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788E6" w14:textId="0D003552" w:rsidR="0044334A" w:rsidRPr="003844E4" w:rsidRDefault="007F001A" w:rsidP="0044334A">
      <w:pPr>
        <w:rPr>
          <w:rFonts w:ascii="Times New Roman" w:hAnsi="Times New Roman" w:cs="Times New Roman"/>
          <w:b/>
          <w:bCs/>
        </w:rPr>
      </w:pPr>
      <w:r w:rsidRPr="003844E4">
        <w:rPr>
          <w:rStyle w:val="Strong"/>
          <w:rFonts w:ascii="Times New Roman" w:hAnsi="Times New Roman" w:cs="Times New Roman"/>
          <w:sz w:val="24"/>
          <w:szCs w:val="24"/>
        </w:rPr>
        <w:t xml:space="preserve">Pharmacognostical Characterization and Phytochemical Profiling of </w:t>
      </w:r>
      <w:r w:rsidRPr="003844E4">
        <w:rPr>
          <w:rStyle w:val="Strong"/>
          <w:rFonts w:ascii="Times New Roman" w:hAnsi="Times New Roman" w:cs="Times New Roman"/>
          <w:i/>
          <w:iCs/>
          <w:sz w:val="24"/>
          <w:szCs w:val="24"/>
        </w:rPr>
        <w:t>Mudgaparni</w:t>
      </w:r>
      <w:r w:rsidRPr="003844E4">
        <w:rPr>
          <w:rStyle w:val="Strong"/>
          <w:rFonts w:ascii="Times New Roman" w:hAnsi="Times New Roman" w:cs="Times New Roman"/>
          <w:sz w:val="24"/>
          <w:szCs w:val="24"/>
        </w:rPr>
        <w:t xml:space="preserve"> (</w:t>
      </w:r>
      <w:r w:rsidRPr="003844E4">
        <w:rPr>
          <w:rStyle w:val="Strong"/>
          <w:rFonts w:ascii="Times New Roman" w:hAnsi="Times New Roman" w:cs="Times New Roman"/>
          <w:i/>
          <w:iCs/>
          <w:sz w:val="24"/>
          <w:szCs w:val="24"/>
        </w:rPr>
        <w:t>Vigna trilobata</w:t>
      </w:r>
      <w:r w:rsidR="00FA39FA" w:rsidRPr="003844E4">
        <w:rPr>
          <w:rStyle w:val="Strong"/>
          <w:rFonts w:ascii="Times New Roman" w:hAnsi="Times New Roman" w:cs="Times New Roman"/>
          <w:sz w:val="24"/>
          <w:szCs w:val="24"/>
        </w:rPr>
        <w:t xml:space="preserve"> Linn.) u</w:t>
      </w:r>
      <w:r w:rsidRPr="003844E4">
        <w:rPr>
          <w:rStyle w:val="Strong"/>
          <w:rFonts w:ascii="Times New Roman" w:hAnsi="Times New Roman" w:cs="Times New Roman"/>
          <w:sz w:val="24"/>
          <w:szCs w:val="24"/>
        </w:rPr>
        <w:t>sing HPTLC Fingerprinting</w:t>
      </w:r>
    </w:p>
    <w:p w14:paraId="019B956F" w14:textId="77777777" w:rsidR="00A838E3" w:rsidRPr="003844E4" w:rsidRDefault="00A838E3" w:rsidP="00C06B2E">
      <w:pPr>
        <w:spacing w:before="100" w:beforeAutospacing="1" w:after="100" w:afterAutospacing="1" w:line="240" w:lineRule="auto"/>
        <w:jc w:val="center"/>
        <w:outlineLvl w:val="1"/>
        <w:rPr>
          <w:rStyle w:val="Strong"/>
          <w:rFonts w:ascii="Times New Roman" w:hAnsi="Times New Roman" w:cs="Times New Roman"/>
          <w:sz w:val="24"/>
          <w:szCs w:val="24"/>
        </w:rPr>
      </w:pPr>
    </w:p>
    <w:p w14:paraId="48C06771" w14:textId="77777777" w:rsidR="00250B89" w:rsidRPr="003844E4" w:rsidRDefault="00250B89" w:rsidP="00250B89">
      <w:pPr>
        <w:spacing w:before="100" w:beforeAutospacing="1" w:after="100" w:afterAutospacing="1" w:line="240" w:lineRule="auto"/>
        <w:outlineLvl w:val="1"/>
        <w:rPr>
          <w:rFonts w:ascii="Times New Roman" w:eastAsia="Times New Roman" w:hAnsi="Times New Roman" w:cs="Times New Roman"/>
          <w:b/>
          <w:bCs/>
          <w:sz w:val="24"/>
          <w:szCs w:val="24"/>
          <w:lang w:eastAsia="en-IN" w:bidi="hi-IN"/>
        </w:rPr>
      </w:pPr>
      <w:r w:rsidRPr="003844E4">
        <w:rPr>
          <w:rFonts w:ascii="Times New Roman" w:eastAsia="Times New Roman" w:hAnsi="Times New Roman" w:cs="Times New Roman"/>
          <w:b/>
          <w:bCs/>
          <w:sz w:val="24"/>
          <w:szCs w:val="24"/>
          <w:lang w:eastAsia="en-IN" w:bidi="hi-IN"/>
        </w:rPr>
        <w:t>A</w:t>
      </w:r>
      <w:r w:rsidR="0004648E" w:rsidRPr="003844E4">
        <w:rPr>
          <w:rFonts w:ascii="Times New Roman" w:eastAsia="Times New Roman" w:hAnsi="Times New Roman" w:cs="Times New Roman"/>
          <w:b/>
          <w:bCs/>
          <w:sz w:val="24"/>
          <w:szCs w:val="24"/>
          <w:lang w:eastAsia="en-IN" w:bidi="hi-IN"/>
        </w:rPr>
        <w:t>bstract</w:t>
      </w:r>
    </w:p>
    <w:p w14:paraId="184D22A9" w14:textId="77777777" w:rsidR="00250B89" w:rsidRPr="003844E4" w:rsidRDefault="00250B89" w:rsidP="00B678FC">
      <w:pPr>
        <w:spacing w:before="100" w:beforeAutospacing="1" w:after="100" w:afterAutospacing="1" w:line="24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b/>
          <w:bCs/>
          <w:sz w:val="24"/>
          <w:szCs w:val="24"/>
          <w:lang w:eastAsia="en-IN" w:bidi="hi-IN"/>
        </w:rPr>
        <w:t>Background:</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i/>
          <w:iCs/>
          <w:sz w:val="24"/>
          <w:szCs w:val="24"/>
          <w:lang w:eastAsia="en-IN" w:bidi="hi-IN"/>
        </w:rPr>
        <w:t>Mudgaparni</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i/>
          <w:iCs/>
          <w:sz w:val="24"/>
          <w:szCs w:val="24"/>
          <w:lang w:eastAsia="en-IN" w:bidi="hi-IN"/>
        </w:rPr>
        <w:t>Vigna trilobata</w:t>
      </w:r>
      <w:r>
        <w:rPr>
          <w:rFonts w:ascii="Times New Roman" w:eastAsia="Times New Roman" w:hAnsi="Times New Roman" w:cs="Times New Roman"/>
          <w:sz w:val="24"/>
          <w:szCs w:val="24"/>
          <w:lang w:eastAsia="en-IN" w:bidi="hi-IN"/>
        </w:rPr>
        <w:t xml:space="preserve"> Linn.) is an important medicinal plant described in </w:t>
      </w:r>
      <w:r>
        <w:rPr>
          <w:rFonts w:ascii="Times New Roman" w:eastAsia="Times New Roman" w:hAnsi="Times New Roman" w:cs="Times New Roman"/>
          <w:i/>
          <w:iCs/>
          <w:sz w:val="24"/>
          <w:szCs w:val="24"/>
          <w:lang w:eastAsia="en-IN" w:bidi="hi-IN"/>
        </w:rPr>
        <w:t>Ayurveda</w:t>
      </w:r>
      <w:r>
        <w:rPr>
          <w:rFonts w:ascii="Times New Roman" w:eastAsia="Times New Roman" w:hAnsi="Times New Roman" w:cs="Times New Roman"/>
          <w:sz w:val="24"/>
          <w:szCs w:val="24"/>
          <w:lang w:eastAsia="en-IN" w:bidi="hi-IN"/>
        </w:rPr>
        <w:t xml:space="preserve"> and included in </w:t>
      </w:r>
      <w:r>
        <w:rPr>
          <w:rFonts w:ascii="Times New Roman" w:eastAsia="Times New Roman" w:hAnsi="Times New Roman" w:cs="Times New Roman"/>
          <w:i/>
          <w:iCs/>
          <w:sz w:val="24"/>
          <w:szCs w:val="24"/>
          <w:lang w:eastAsia="en-IN" w:bidi="hi-IN"/>
        </w:rPr>
        <w:t>Laghu Panchamoola</w:t>
      </w:r>
      <w:r>
        <w:rPr>
          <w:rFonts w:ascii="Times New Roman" w:eastAsia="Times New Roman" w:hAnsi="Times New Roman" w:cs="Times New Roman"/>
          <w:sz w:val="24"/>
          <w:szCs w:val="24"/>
          <w:lang w:eastAsia="en-IN" w:bidi="hi-IN"/>
        </w:rPr>
        <w:t>. Although it is traditionally used for various therapeutic purposes, published information on its pharmacognostical and physicochemical characteristics remains limited.</w:t>
      </w:r>
    </w:p>
    <w:p w14:paraId="62376CB5" w14:textId="77777777" w:rsidR="00250B89" w:rsidRPr="003844E4" w:rsidRDefault="00250B89" w:rsidP="00B678FC">
      <w:pPr>
        <w:spacing w:before="100" w:beforeAutospacing="1" w:after="100" w:afterAutospacing="1" w:line="24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b/>
          <w:bCs/>
          <w:sz w:val="24"/>
          <w:szCs w:val="24"/>
          <w:lang w:eastAsia="en-IN" w:bidi="hi-IN"/>
        </w:rPr>
        <w:t>Aim:</w:t>
      </w:r>
      <w:r>
        <w:rPr>
          <w:rFonts w:ascii="Times New Roman" w:eastAsia="Times New Roman" w:hAnsi="Times New Roman" w:cs="Times New Roman"/>
          <w:sz w:val="24"/>
          <w:szCs w:val="24"/>
          <w:lang w:eastAsia="en-IN" w:bidi="hi-IN"/>
        </w:rPr>
        <w:t xml:space="preserve"> To evaluate the pharmacognostical, physicochemical, phytochemical and chromatographic characteristics of </w:t>
      </w:r>
      <w:r>
        <w:rPr>
          <w:rFonts w:ascii="Times New Roman" w:eastAsia="Times New Roman" w:hAnsi="Times New Roman" w:cs="Times New Roman"/>
          <w:i/>
          <w:iCs/>
          <w:sz w:val="24"/>
          <w:szCs w:val="24"/>
          <w:lang w:eastAsia="en-IN" w:bidi="hi-IN"/>
        </w:rPr>
        <w:t>Mudgaparni</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i/>
          <w:iCs/>
          <w:sz w:val="24"/>
          <w:szCs w:val="24"/>
          <w:lang w:eastAsia="en-IN" w:bidi="hi-IN"/>
        </w:rPr>
        <w:t xml:space="preserve">Vigna trilobata </w:t>
      </w:r>
      <w:r>
        <w:rPr>
          <w:rFonts w:ascii="Times New Roman" w:eastAsia="Times New Roman" w:hAnsi="Times New Roman" w:cs="Times New Roman"/>
          <w:sz w:val="24"/>
          <w:szCs w:val="24"/>
          <w:lang w:eastAsia="en-IN" w:bidi="hi-IN"/>
        </w:rPr>
        <w:t xml:space="preserve">Linn.) and </w:t>
      </w:r>
      <w:r>
        <w:rPr>
          <w:rFonts w:ascii="Times New Roman" w:eastAsia="Times New Roman" w:hAnsi="Times New Roman" w:cs="Times New Roman"/>
          <w:sz w:val="24"/>
          <w:szCs w:val="24"/>
          <w:highlight w:val="yellow"/>
          <w:lang w:eastAsia="en-IN" w:bidi="hi-IN"/>
        </w:rPr>
        <w:t xml:space="preserve">to </w:t>
      </w:r>
      <w:r>
        <w:rPr>
          <w:rFonts w:ascii="Times New Roman" w:eastAsia="Times New Roman" w:hAnsi="Times New Roman" w:cs="Times New Roman"/>
          <w:sz w:val="24"/>
          <w:szCs w:val="24"/>
          <w:lang w:eastAsia="en-IN" w:bidi="hi-IN"/>
        </w:rPr>
        <w:t>generate baseline data for its identification and quality assessment.</w:t>
      </w:r>
    </w:p>
    <w:p w14:paraId="03524841" w14:textId="77777777" w:rsidR="00250B89" w:rsidRPr="003844E4" w:rsidRDefault="00250B89" w:rsidP="00B678FC">
      <w:pPr>
        <w:spacing w:before="100" w:beforeAutospacing="1" w:after="100" w:afterAutospacing="1" w:line="24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b/>
          <w:bCs/>
          <w:sz w:val="24"/>
          <w:szCs w:val="24"/>
          <w:lang w:eastAsia="en-IN" w:bidi="hi-IN"/>
        </w:rPr>
        <w:t>Materials and Methods:</w:t>
      </w:r>
      <w:r>
        <w:rPr>
          <w:rFonts w:ascii="Times New Roman" w:eastAsia="Times New Roman" w:hAnsi="Times New Roman" w:cs="Times New Roman"/>
          <w:sz w:val="24"/>
          <w:szCs w:val="24"/>
          <w:lang w:eastAsia="en-IN" w:bidi="hi-IN"/>
        </w:rPr>
        <w:t xml:space="preserve"> Authenticated whole plant material was subjected to macroscopic and microscopic examination. Physicochemical parameters were determined according to the Ayurvedic Pharmacopoeia of India (API). Preliminary phytochemical screening was performed using aqueous and alcoholic extracts. HPTLC fingerprinting was carried out using </w:t>
      </w:r>
      <w:r>
        <w:rPr>
          <w:rFonts w:ascii="Times New Roman" w:eastAsia="Times New Roman" w:hAnsi="Times New Roman" w:cs="Times New Roman"/>
          <w:sz w:val="24"/>
          <w:szCs w:val="24"/>
          <w:highlight w:val="yellow"/>
          <w:lang w:eastAsia="en-IN" w:bidi="hi-IN"/>
        </w:rPr>
        <w:t xml:space="preserve">a </w:t>
      </w:r>
      <w:r>
        <w:rPr>
          <w:rFonts w:ascii="Times New Roman" w:eastAsia="Times New Roman" w:hAnsi="Times New Roman" w:cs="Times New Roman"/>
          <w:sz w:val="24"/>
          <w:szCs w:val="24"/>
          <w:lang w:eastAsia="en-IN" w:bidi="hi-IN"/>
        </w:rPr>
        <w:t>methanolic extract with silica gel 60 F</w:t>
      </w:r>
      <w:r>
        <w:rPr>
          <w:rFonts w:ascii="Cambria Math" w:eastAsia="Times New Roman" w:hAnsi="Cambria Math" w:cs="Cambria Math"/>
          <w:sz w:val="24"/>
          <w:szCs w:val="24"/>
          <w:lang w:eastAsia="en-IN" w:bidi="hi-IN"/>
        </w:rPr>
        <w:t>₂₅₄</w:t>
      </w:r>
      <w:r>
        <w:rPr>
          <w:rFonts w:ascii="Times New Roman" w:eastAsia="Times New Roman" w:hAnsi="Times New Roman" w:cs="Times New Roman"/>
          <w:sz w:val="24"/>
          <w:szCs w:val="24"/>
          <w:lang w:eastAsia="en-IN" w:bidi="hi-IN"/>
        </w:rPr>
        <w:t xml:space="preserve"> plates and chloroform:ethyl acetate (4:6 v/v) as the mobile phase.</w:t>
      </w:r>
    </w:p>
    <w:p w14:paraId="06AA99B1" w14:textId="77777777" w:rsidR="00250B89" w:rsidRPr="003844E4" w:rsidRDefault="00250B89" w:rsidP="00B678FC">
      <w:pPr>
        <w:spacing w:before="100" w:beforeAutospacing="1" w:after="100" w:afterAutospacing="1" w:line="24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b/>
          <w:bCs/>
          <w:sz w:val="24"/>
          <w:szCs w:val="24"/>
          <w:lang w:eastAsia="en-IN" w:bidi="hi-IN"/>
        </w:rPr>
        <w:t>Results:</w:t>
      </w:r>
      <w:r>
        <w:rPr>
          <w:rFonts w:ascii="Times New Roman" w:eastAsia="Times New Roman" w:hAnsi="Times New Roman" w:cs="Times New Roman"/>
          <w:sz w:val="24"/>
          <w:szCs w:val="24"/>
          <w:lang w:eastAsia="en-IN" w:bidi="hi-IN"/>
        </w:rPr>
        <w:t xml:space="preserve"> Macroscopic and microscopic examination revealed characteristic features useful for plant identification. Physicochemical parameters were found to be within the limits prescribed by the API</w:t>
      </w:r>
      <w:r>
        <w:rPr>
          <w:rFonts w:ascii="Times New Roman" w:eastAsia="Times New Roman" w:hAnsi="Times New Roman" w:cs="Times New Roman"/>
          <w:sz w:val="24"/>
          <w:szCs w:val="24"/>
          <w:highlight w:val="yellow"/>
          <w:lang w:eastAsia="en-IN" w:bidi="hi-IN"/>
        </w:rPr>
        <w:t>,</w:t>
      </w:r>
      <w:r>
        <w:rPr>
          <w:rFonts w:ascii="Times New Roman" w:eastAsia="Times New Roman" w:hAnsi="Times New Roman" w:cs="Times New Roman"/>
          <w:sz w:val="24"/>
          <w:szCs w:val="24"/>
          <w:lang w:eastAsia="en-IN" w:bidi="hi-IN"/>
        </w:rPr>
        <w:t xml:space="preserve"> where available. Preliminary phytochemical analysis indicated the presence of alkaloids, flavonoids, tannins, saponins, sterols, phenolic compounds and proteins in both extracts. HPTLC analysis produced a reproducible chromatographic profile with several distinct peaks at 254 nm and 366 nm.</w:t>
      </w:r>
    </w:p>
    <w:p w14:paraId="59D6D7FE" w14:textId="77777777" w:rsidR="00250B89" w:rsidRPr="003844E4" w:rsidRDefault="00250B89" w:rsidP="00B678FC">
      <w:pPr>
        <w:spacing w:before="100" w:beforeAutospacing="1" w:after="100" w:afterAutospacing="1" w:line="240" w:lineRule="auto"/>
        <w:jc w:val="both"/>
        <w:rPr>
          <w:rFonts w:ascii="Times New Roman" w:eastAsia="Times New Roman" w:hAnsi="Times New Roman" w:cs="Times New Roman"/>
          <w:sz w:val="24"/>
          <w:szCs w:val="24"/>
          <w:lang w:eastAsia="en-IN" w:bidi="hi-IN"/>
        </w:rPr>
      </w:pPr>
      <w:r>
        <w:rPr>
          <w:rFonts w:ascii="Times New Roman" w:eastAsia="Times New Roman" w:hAnsi="Times New Roman" w:cs="Times New Roman"/>
          <w:b/>
          <w:bCs/>
          <w:sz w:val="24"/>
          <w:szCs w:val="24"/>
          <w:lang w:eastAsia="en-IN" w:bidi="hi-IN"/>
        </w:rPr>
        <w:t>Conclusion:</w:t>
      </w:r>
      <w:r>
        <w:rPr>
          <w:rFonts w:ascii="Times New Roman" w:eastAsia="Times New Roman" w:hAnsi="Times New Roman" w:cs="Times New Roman"/>
          <w:sz w:val="24"/>
          <w:szCs w:val="24"/>
          <w:lang w:eastAsia="en-IN" w:bidi="hi-IN"/>
        </w:rPr>
        <w:t xml:space="preserve"> The present study provides pharmacognostical, physicochemical, phytochemical and HPTLC data for </w:t>
      </w:r>
      <w:r>
        <w:rPr>
          <w:rFonts w:ascii="Times New Roman" w:eastAsia="Times New Roman" w:hAnsi="Times New Roman" w:cs="Times New Roman"/>
          <w:i/>
          <w:iCs/>
          <w:sz w:val="24"/>
          <w:szCs w:val="24"/>
          <w:lang w:eastAsia="en-IN" w:bidi="hi-IN"/>
        </w:rPr>
        <w:t>Mudgaparni</w:t>
      </w:r>
      <w:r>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i/>
          <w:iCs/>
          <w:sz w:val="24"/>
          <w:szCs w:val="24"/>
          <w:lang w:eastAsia="en-IN" w:bidi="hi-IN"/>
        </w:rPr>
        <w:t xml:space="preserve">Vigna trilobata </w:t>
      </w:r>
      <w:r>
        <w:rPr>
          <w:rFonts w:ascii="Times New Roman" w:eastAsia="Times New Roman" w:hAnsi="Times New Roman" w:cs="Times New Roman"/>
          <w:sz w:val="24"/>
          <w:szCs w:val="24"/>
          <w:lang w:eastAsia="en-IN" w:bidi="hi-IN"/>
        </w:rPr>
        <w:t>Linn.). These observations may serve as reference information for the identification and quality evaluation of the plant and may be useful in future standardi</w:t>
      </w:r>
      <w:r>
        <w:rPr>
          <w:rFonts w:ascii="Times New Roman" w:eastAsia="Times New Roman" w:hAnsi="Times New Roman" w:cs="Times New Roman"/>
          <w:sz w:val="24"/>
          <w:szCs w:val="24"/>
          <w:highlight w:val="yellow"/>
          <w:lang w:eastAsia="en-IN" w:bidi="hi-IN"/>
        </w:rPr>
        <w:t>s</w:t>
      </w:r>
      <w:r>
        <w:rPr>
          <w:rFonts w:ascii="Times New Roman" w:eastAsia="Times New Roman" w:hAnsi="Times New Roman" w:cs="Times New Roman"/>
          <w:sz w:val="24"/>
          <w:szCs w:val="24"/>
          <w:lang w:eastAsia="en-IN" w:bidi="hi-IN"/>
        </w:rPr>
        <w:t>ation and pharmacological studies.</w:t>
      </w:r>
    </w:p>
    <w:p w14:paraId="2229210E"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b/>
          <w:bCs/>
          <w:sz w:val="24"/>
          <w:szCs w:val="24"/>
        </w:rPr>
        <w:t xml:space="preserve">Key Words: </w:t>
      </w:r>
      <w:r>
        <w:rPr>
          <w:rFonts w:ascii="Times New Roman" w:hAnsi="Times New Roman" w:cs="Times New Roman"/>
          <w:i/>
          <w:iCs/>
          <w:sz w:val="24"/>
          <w:szCs w:val="24"/>
        </w:rPr>
        <w:t xml:space="preserve">Mudgaparni, Vigna trilobata </w:t>
      </w:r>
      <w:r>
        <w:rPr>
          <w:rFonts w:ascii="Times New Roman" w:hAnsi="Times New Roman" w:cs="Times New Roman"/>
          <w:sz w:val="24"/>
          <w:szCs w:val="24"/>
        </w:rPr>
        <w:t>(Linn.)</w:t>
      </w:r>
      <w:r>
        <w:rPr>
          <w:rFonts w:ascii="Times New Roman" w:hAnsi="Times New Roman" w:cs="Times New Roman"/>
          <w:i/>
          <w:iCs/>
          <w:sz w:val="24"/>
          <w:szCs w:val="24"/>
        </w:rPr>
        <w:t xml:space="preserve">, </w:t>
      </w:r>
      <w:r>
        <w:rPr>
          <w:rFonts w:ascii="Times New Roman" w:hAnsi="Times New Roman" w:cs="Times New Roman"/>
          <w:sz w:val="24"/>
          <w:szCs w:val="24"/>
        </w:rPr>
        <w:t>Phytochemical screening, Pharmacognosy, HPTLC, Standardi</w:t>
      </w:r>
      <w:r>
        <w:rPr>
          <w:rFonts w:ascii="Times New Roman" w:hAnsi="Times New Roman" w:cs="Times New Roman"/>
          <w:sz w:val="24"/>
          <w:szCs w:val="24"/>
          <w:highlight w:val="yellow"/>
        </w:rPr>
        <w:t>s</w:t>
      </w:r>
      <w:r>
        <w:rPr>
          <w:rFonts w:ascii="Times New Roman" w:hAnsi="Times New Roman" w:cs="Times New Roman"/>
          <w:sz w:val="24"/>
          <w:szCs w:val="24"/>
        </w:rPr>
        <w:t>ation.</w:t>
      </w:r>
    </w:p>
    <w:p w14:paraId="1EE5CEF5" w14:textId="77777777" w:rsidR="00250B89" w:rsidRPr="003844E4" w:rsidRDefault="00250B89" w:rsidP="00250B89">
      <w:pPr>
        <w:pStyle w:val="Heading1"/>
        <w:rPr>
          <w:rFonts w:ascii="Times New Roman" w:hAnsi="Times New Roman" w:cs="Times New Roman"/>
          <w:color w:val="000000" w:themeColor="text1"/>
          <w:sz w:val="24"/>
          <w:szCs w:val="24"/>
        </w:rPr>
      </w:pPr>
      <w:r w:rsidRPr="003844E4">
        <w:rPr>
          <w:rFonts w:ascii="Times New Roman" w:hAnsi="Times New Roman" w:cs="Times New Roman"/>
          <w:color w:val="000000" w:themeColor="text1"/>
          <w:sz w:val="24"/>
          <w:szCs w:val="24"/>
        </w:rPr>
        <w:t>Introduction</w:t>
      </w:r>
    </w:p>
    <w:p w14:paraId="744CE710" w14:textId="63B6E598" w:rsidR="00626511" w:rsidRPr="003814A0" w:rsidRDefault="00250B89">
      <w:pPr>
        <w:pStyle w:val="NormalWeb"/>
        <w:jc w:val="both"/>
      </w:pPr>
      <w:r>
        <w:t xml:space="preserve">Medicinal plants constitute an important component of </w:t>
      </w:r>
      <w:r>
        <w:rPr>
          <w:i/>
          <w:iCs/>
        </w:rPr>
        <w:t>Ayurvedic</w:t>
      </w:r>
      <w:r>
        <w:t xml:space="preserve"> therapeutics and their quality largely depends on correct identification and proper standardi</w:t>
      </w:r>
      <w:r>
        <w:rPr>
          <w:highlight w:val="yellow"/>
        </w:rPr>
        <w:t>s</w:t>
      </w:r>
      <w:r>
        <w:t>ation. Variations in geographical location, environmental conditions, harvest period and processing methods may influence the characteristics and chemical composition of herbal drugs. Therefore, pharmacognostical and physicochemical evaluation plays an important role in ensuring the identity and quality of medicinal plant materials.</w:t>
      </w:r>
      <w:r w:rsidR="003814A0">
        <w:t xml:space="preserve"> </w:t>
      </w:r>
      <w:r w:rsidRPr="003814A0">
        <w:rPr>
          <w:bCs/>
          <w:highlight w:val="yellow"/>
        </w:rPr>
        <w:t xml:space="preserve">Recent studies have shown that integrating pharmacognostical evaluation with chromatographic fingerprinting can provide </w:t>
      </w:r>
      <w:r w:rsidRPr="003814A0">
        <w:rPr>
          <w:bCs/>
          <w:highlight w:val="yellow"/>
        </w:rPr>
        <w:lastRenderedPageBreak/>
        <w:t>complementary evidence for the identification and quality assessment of medicinal plant materials (Shirsat, 2025; Parihar et al., 2026).</w:t>
      </w:r>
    </w:p>
    <w:p w14:paraId="25463FC7" w14:textId="6FEFDFD5" w:rsidR="00626511" w:rsidRPr="003814A0" w:rsidRDefault="00250B89">
      <w:pPr>
        <w:pStyle w:val="NormalWeb"/>
        <w:jc w:val="both"/>
      </w:pPr>
      <w:r>
        <w:rPr>
          <w:rStyle w:val="Emphasis"/>
        </w:rPr>
        <w:t>Mudgaparni</w:t>
      </w:r>
      <w:r>
        <w:t xml:space="preserve"> (</w:t>
      </w:r>
      <w:r>
        <w:rPr>
          <w:rStyle w:val="Emphasis"/>
        </w:rPr>
        <w:t>Vigna trilobata</w:t>
      </w:r>
      <w:r>
        <w:t xml:space="preserve"> Linn.), belonging to the family Fabaceae, is one of the drugs included in </w:t>
      </w:r>
      <w:r>
        <w:rPr>
          <w:rStyle w:val="Emphasis"/>
        </w:rPr>
        <w:t>jivaniya mahakashaya</w:t>
      </w:r>
      <w:r>
        <w:t xml:space="preserve">. It is described in </w:t>
      </w:r>
      <w:r>
        <w:rPr>
          <w:i/>
          <w:iCs/>
        </w:rPr>
        <w:t>Ayurvedic</w:t>
      </w:r>
      <w:r>
        <w:t xml:space="preserve"> literature for its </w:t>
      </w:r>
      <w:r>
        <w:rPr>
          <w:rStyle w:val="Emphasis"/>
        </w:rPr>
        <w:t xml:space="preserve">balya </w:t>
      </w:r>
      <w:r>
        <w:rPr>
          <w:rStyle w:val="Emphasis"/>
          <w:i w:val="0"/>
          <w:iCs w:val="0"/>
        </w:rPr>
        <w:t>(tonic)</w:t>
      </w:r>
      <w:r>
        <w:t xml:space="preserve">, </w:t>
      </w:r>
      <w:r>
        <w:rPr>
          <w:rStyle w:val="Emphasis"/>
        </w:rPr>
        <w:t>brimhana</w:t>
      </w:r>
      <w:r>
        <w:t xml:space="preserve"> (nutritive) and </w:t>
      </w:r>
      <w:r>
        <w:rPr>
          <w:rStyle w:val="Emphasis"/>
        </w:rPr>
        <w:t>rasayana</w:t>
      </w:r>
      <w:r>
        <w:rPr>
          <w:rStyle w:val="Emphasis"/>
          <w:i w:val="0"/>
          <w:iCs w:val="0"/>
        </w:rPr>
        <w:t xml:space="preserve"> (</w:t>
      </w:r>
      <w:r>
        <w:t>rejuvenative</w:t>
      </w:r>
      <w:r>
        <w:rPr>
          <w:rStyle w:val="Emphasis"/>
          <w:i w:val="0"/>
          <w:iCs w:val="0"/>
        </w:rPr>
        <w:t>)</w:t>
      </w:r>
      <w:r>
        <w:t xml:space="preserve"> properties and is used in the management of various conditions. Experimental studies have also reported the presence of several biologically active phytoconstituents and diverse pharmacological activities.</w:t>
      </w:r>
      <w:r w:rsidR="003814A0">
        <w:t xml:space="preserve"> </w:t>
      </w:r>
      <w:r w:rsidRPr="003814A0">
        <w:rPr>
          <w:bCs/>
          <w:highlight w:val="yellow"/>
        </w:rPr>
        <w:t>Similarly, multicomponent chromatographic fingerprints have been applied to evaluate botanical identity and quality consistency across herbal materials, supporting their use within broader standardisation frameworks (Yan et al., 2025; Li et al., 2025).</w:t>
      </w:r>
    </w:p>
    <w:p w14:paraId="13096A58" w14:textId="77777777" w:rsidR="00250B89" w:rsidRPr="003844E4" w:rsidRDefault="00250B89" w:rsidP="0004648E">
      <w:pPr>
        <w:pStyle w:val="NormalWeb"/>
        <w:jc w:val="both"/>
      </w:pPr>
      <w:r>
        <w:t xml:space="preserve">Despite its traditional importance, detailed pharmacognostical and analytical information on </w:t>
      </w:r>
      <w:r>
        <w:rPr>
          <w:rStyle w:val="Emphasis"/>
        </w:rPr>
        <w:t xml:space="preserve">Mudgaparni </w:t>
      </w:r>
      <w:r>
        <w:rPr>
          <w:rStyle w:val="Emphasis"/>
          <w:i w:val="0"/>
          <w:iCs w:val="0"/>
        </w:rPr>
        <w:t>(</w:t>
      </w:r>
      <w:r>
        <w:rPr>
          <w:rStyle w:val="Emphasis"/>
        </w:rPr>
        <w:t xml:space="preserve">Vigna trilobata </w:t>
      </w:r>
      <w:r>
        <w:rPr>
          <w:rStyle w:val="Emphasis"/>
          <w:i w:val="0"/>
          <w:iCs w:val="0"/>
        </w:rPr>
        <w:t>Linn.)</w:t>
      </w:r>
      <w:r>
        <w:t xml:space="preserve"> is relatively limited. Establishing basic pharmacognostical, physicochemical, phytochemical and chromatographic characteristics may facilitate the identification of genuine plant material and support future quality evaluation.</w:t>
      </w:r>
    </w:p>
    <w:p w14:paraId="6B417C85" w14:textId="77777777" w:rsidR="00250B89" w:rsidRPr="003844E4" w:rsidRDefault="00250B89" w:rsidP="0004648E">
      <w:pPr>
        <w:pStyle w:val="NormalWeb"/>
        <w:jc w:val="both"/>
      </w:pPr>
      <w:r>
        <w:t xml:space="preserve">Therefore, the present study was undertaken to examine the pharmacognostical features, physicochemical parameters, preliminary phytochemical profile and HPTLC fingerprint of </w:t>
      </w:r>
      <w:r>
        <w:rPr>
          <w:rStyle w:val="Emphasis"/>
        </w:rPr>
        <w:t>Mudgaparni</w:t>
      </w:r>
      <w:r>
        <w:t xml:space="preserve"> (</w:t>
      </w:r>
      <w:r>
        <w:rPr>
          <w:rStyle w:val="Emphasis"/>
        </w:rPr>
        <w:t xml:space="preserve">Vigna trilobata </w:t>
      </w:r>
      <w:r>
        <w:rPr>
          <w:rStyle w:val="Emphasis"/>
          <w:i w:val="0"/>
          <w:iCs w:val="0"/>
        </w:rPr>
        <w:t>Linn.</w:t>
      </w:r>
      <w:r>
        <w:t>) with the objective of generating baseline information for its identification and quality assessment.</w:t>
      </w:r>
    </w:p>
    <w:p w14:paraId="4A52F041"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Material &amp; Methods</w:t>
      </w:r>
    </w:p>
    <w:p w14:paraId="6AD7C3DA"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A. Plant Collection and Authentication</w:t>
      </w:r>
    </w:p>
    <w:p w14:paraId="72818504" w14:textId="77777777" w:rsidR="006E112D" w:rsidRPr="003844E4" w:rsidRDefault="006E112D" w:rsidP="00321CE4">
      <w:pPr>
        <w:jc w:val="both"/>
        <w:rPr>
          <w:rFonts w:ascii="Times New Roman" w:hAnsi="Times New Roman" w:cs="Times New Roman"/>
          <w:b/>
          <w:bCs/>
          <w:i/>
          <w:iCs/>
          <w:sz w:val="24"/>
          <w:szCs w:val="24"/>
        </w:rPr>
      </w:pP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seed</w:t>
      </w:r>
      <w:r>
        <w:rPr>
          <w:rFonts w:ascii="Times New Roman" w:hAnsi="Times New Roman" w:cs="Times New Roman"/>
          <w:sz w:val="24"/>
          <w:szCs w:val="24"/>
          <w:highlight w:val="yellow"/>
        </w:rPr>
        <w:t>s</w:t>
      </w:r>
      <w:r>
        <w:rPr>
          <w:rFonts w:ascii="Times New Roman" w:hAnsi="Times New Roman" w:cs="Times New Roman"/>
          <w:sz w:val="24"/>
          <w:szCs w:val="24"/>
        </w:rPr>
        <w:t xml:space="preserve"> were sown in agricultural fields at Ponugodu, Andhra Pradesh, during December</w:t>
      </w:r>
      <w:r>
        <w:rPr>
          <w:rFonts w:ascii="Times New Roman" w:hAnsi="Times New Roman" w:cs="Times New Roman"/>
          <w:sz w:val="24"/>
          <w:szCs w:val="24"/>
          <w:highlight w:val="yellow"/>
        </w:rPr>
        <w:t>,</w:t>
      </w:r>
      <w:r>
        <w:rPr>
          <w:rFonts w:ascii="Times New Roman" w:hAnsi="Times New Roman" w:cs="Times New Roman"/>
          <w:sz w:val="24"/>
          <w:szCs w:val="24"/>
        </w:rPr>
        <w:t xml:space="preserve"> coinciding with the onset of the winter season. The species is well adapted to drought conditions and can withstand prolonged dry periods owing to its deep taproot system. The seedlings developed into mature plants within approximately 1.5 months under natural field conditions. Upon attaining full maturity, the plants were harvested and shade-dried for 20 days to preserve their phytochemical constituents. The collected plant material was taxonomically authenticated by the Botanical Garden of Indian Republic, Botanical Survey of India (BSI-BGIR), Sector 38A, Gautam Budh Nagar, Noida. The specimen was authenticated under Authentication No. </w:t>
      </w:r>
      <w:r>
        <w:rPr>
          <w:rStyle w:val="Strong"/>
          <w:rFonts w:ascii="Times New Roman" w:hAnsi="Times New Roman" w:cs="Times New Roman"/>
          <w:b w:val="0"/>
          <w:bCs w:val="0"/>
          <w:sz w:val="24"/>
          <w:szCs w:val="24"/>
        </w:rPr>
        <w:t>BSI/BGIR/1/TECH./2025/185</w:t>
      </w:r>
      <w:r>
        <w:rPr>
          <w:rFonts w:ascii="Times New Roman" w:hAnsi="Times New Roman" w:cs="Times New Roman"/>
          <w:b/>
          <w:bCs/>
          <w:sz w:val="24"/>
          <w:szCs w:val="24"/>
        </w:rPr>
        <w:t xml:space="preserve">, </w:t>
      </w:r>
      <w:r>
        <w:rPr>
          <w:rFonts w:ascii="Times New Roman" w:hAnsi="Times New Roman" w:cs="Times New Roman"/>
          <w:sz w:val="24"/>
          <w:szCs w:val="24"/>
        </w:rPr>
        <w:t>dated</w:t>
      </w:r>
      <w:r>
        <w:rPr>
          <w:rFonts w:ascii="Times New Roman" w:hAnsi="Times New Roman" w:cs="Times New Roman"/>
          <w:b/>
          <w:bCs/>
          <w:sz w:val="24"/>
          <w:szCs w:val="24"/>
        </w:rPr>
        <w:t xml:space="preserve"> </w:t>
      </w:r>
      <w:r>
        <w:rPr>
          <w:rStyle w:val="Strong"/>
          <w:rFonts w:ascii="Times New Roman" w:hAnsi="Times New Roman" w:cs="Times New Roman"/>
          <w:b w:val="0"/>
          <w:bCs w:val="0"/>
          <w:sz w:val="24"/>
          <w:szCs w:val="24"/>
        </w:rPr>
        <w:t>21 January 2025</w:t>
      </w:r>
      <w:r>
        <w:rPr>
          <w:rFonts w:ascii="Times New Roman" w:hAnsi="Times New Roman" w:cs="Times New Roman"/>
          <w:b/>
          <w:bCs/>
          <w:sz w:val="24"/>
          <w:szCs w:val="24"/>
        </w:rPr>
        <w:t>.</w:t>
      </w:r>
    </w:p>
    <w:p w14:paraId="6DD8F059"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B. Plant Sample Processing</w:t>
      </w:r>
    </w:p>
    <w:p w14:paraId="368976F3" w14:textId="77777777" w:rsidR="00F714D6" w:rsidRPr="003844E4" w:rsidRDefault="00F714D6" w:rsidP="00321CE4">
      <w:pPr>
        <w:jc w:val="both"/>
        <w:rPr>
          <w:rFonts w:ascii="Times New Roman" w:hAnsi="Times New Roman" w:cs="Times New Roman"/>
          <w:sz w:val="24"/>
          <w:szCs w:val="24"/>
        </w:rPr>
      </w:pPr>
      <w:r>
        <w:rPr>
          <w:rFonts w:ascii="Times New Roman" w:hAnsi="Times New Roman" w:cs="Times New Roman"/>
          <w:sz w:val="24"/>
          <w:szCs w:val="24"/>
        </w:rPr>
        <w:t xml:space="preserve">The collected whole plant material and its powdered samples were stored in sealed, light-resistant containers under appropriate storage conditions in accordance with the guidelines prescribed in the </w:t>
      </w:r>
      <w:r>
        <w:rPr>
          <w:rStyle w:val="Emphasis"/>
          <w:rFonts w:ascii="Times New Roman" w:hAnsi="Times New Roman" w:cs="Times New Roman"/>
          <w:i w:val="0"/>
          <w:iCs w:val="0"/>
          <w:sz w:val="24"/>
          <w:szCs w:val="24"/>
        </w:rPr>
        <w:t>Ayurvedic Pharmacopoeia of India</w:t>
      </w:r>
      <w:r>
        <w:rPr>
          <w:rFonts w:ascii="Times New Roman" w:hAnsi="Times New Roman" w:cs="Times New Roman"/>
          <w:sz w:val="24"/>
          <w:szCs w:val="24"/>
        </w:rPr>
        <w:t>. The dried plant material was processed to obtain both coarsely powdered and finely powdered samples, the latter being passed through a 60-mesh sieve. The coarse powder was u</w:t>
      </w:r>
      <w:r>
        <w:rPr>
          <w:rFonts w:ascii="Times New Roman" w:hAnsi="Times New Roman" w:cs="Times New Roman"/>
          <w:sz w:val="24"/>
          <w:szCs w:val="24"/>
          <w:highlight w:val="yellow"/>
        </w:rPr>
        <w:t>s</w:t>
      </w:r>
      <w:r>
        <w:rPr>
          <w:rFonts w:ascii="Times New Roman" w:hAnsi="Times New Roman" w:cs="Times New Roman"/>
          <w:sz w:val="24"/>
          <w:szCs w:val="24"/>
        </w:rPr>
        <w:t>ed for powder microscopy, while the fine powder was employed for physicochemical evaluation, phytochemical screening and chromatographic analysis following standard pharmacognostical and analytical protocols.</w:t>
      </w:r>
    </w:p>
    <w:p w14:paraId="52A5226A"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lastRenderedPageBreak/>
        <w:t>C. Pharmacognostical Study</w:t>
      </w:r>
    </w:p>
    <w:p w14:paraId="24262A0E"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a. Macroscopic Examination</w:t>
      </w:r>
    </w:p>
    <w:p w14:paraId="672823FD" w14:textId="77777777" w:rsidR="00F714D6" w:rsidRPr="003844E4" w:rsidRDefault="00F714D6" w:rsidP="00321CE4">
      <w:pPr>
        <w:jc w:val="both"/>
        <w:rPr>
          <w:rFonts w:ascii="Times New Roman" w:hAnsi="Times New Roman" w:cs="Times New Roman"/>
          <w:b/>
          <w:bCs/>
          <w:sz w:val="24"/>
          <w:szCs w:val="24"/>
        </w:rPr>
      </w:pPr>
      <w:r>
        <w:rPr>
          <w:rFonts w:ascii="Times New Roman" w:hAnsi="Times New Roman" w:cs="Times New Roman"/>
          <w:sz w:val="24"/>
          <w:szCs w:val="24"/>
        </w:rPr>
        <w:t xml:space="preserve">Macroscopic evaluation of the whole plant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was carried out in the Pharmacognosy Laboratory, Department of </w:t>
      </w:r>
      <w:r>
        <w:rPr>
          <w:rFonts w:ascii="Times New Roman" w:hAnsi="Times New Roman" w:cs="Times New Roman"/>
          <w:i/>
          <w:iCs/>
          <w:sz w:val="24"/>
          <w:szCs w:val="24"/>
        </w:rPr>
        <w:t>Dravyaguna Vigyana</w:t>
      </w:r>
      <w:r>
        <w:rPr>
          <w:rFonts w:ascii="Times New Roman" w:hAnsi="Times New Roman" w:cs="Times New Roman"/>
          <w:sz w:val="24"/>
          <w:szCs w:val="24"/>
        </w:rPr>
        <w:t>, Ayurvedic and Unani Tibbia College and Hospital, New Delhi. Morphological characteristics, including structure, shape, size and texture</w:t>
      </w:r>
      <w:r>
        <w:rPr>
          <w:rFonts w:ascii="Times New Roman" w:hAnsi="Times New Roman" w:cs="Times New Roman"/>
          <w:sz w:val="24"/>
          <w:szCs w:val="24"/>
          <w:highlight w:val="yellow"/>
        </w:rPr>
        <w:t>,</w:t>
      </w:r>
      <w:r>
        <w:rPr>
          <w:rFonts w:ascii="Times New Roman" w:hAnsi="Times New Roman" w:cs="Times New Roman"/>
          <w:sz w:val="24"/>
          <w:szCs w:val="24"/>
        </w:rPr>
        <w:t xml:space="preserve"> were examined using unaided vision and a simple microscope (Olympus OIC). Organoleptic parameters, namely colour, odour and taste</w:t>
      </w:r>
      <w:r>
        <w:rPr>
          <w:rFonts w:ascii="Times New Roman" w:hAnsi="Times New Roman" w:cs="Times New Roman"/>
          <w:sz w:val="24"/>
          <w:szCs w:val="24"/>
          <w:highlight w:val="yellow"/>
        </w:rPr>
        <w:t>,</w:t>
      </w:r>
      <w:r>
        <w:rPr>
          <w:rFonts w:ascii="Times New Roman" w:hAnsi="Times New Roman" w:cs="Times New Roman"/>
          <w:sz w:val="24"/>
          <w:szCs w:val="24"/>
        </w:rPr>
        <w:t xml:space="preserve"> were assessed through standard sensory evaluation.</w:t>
      </w:r>
    </w:p>
    <w:p w14:paraId="09F99700" w14:textId="77777777" w:rsidR="00321CE4" w:rsidRPr="003844E4" w:rsidRDefault="00321CE4" w:rsidP="00321CE4">
      <w:pPr>
        <w:jc w:val="both"/>
        <w:rPr>
          <w:rFonts w:ascii="Times New Roman" w:hAnsi="Times New Roman" w:cs="Times New Roman"/>
          <w:b/>
          <w:bCs/>
          <w:sz w:val="24"/>
          <w:szCs w:val="24"/>
          <w:vertAlign w:val="superscript"/>
        </w:rPr>
      </w:pPr>
      <w:r>
        <w:rPr>
          <w:rFonts w:ascii="Times New Roman" w:hAnsi="Times New Roman" w:cs="Times New Roman"/>
          <w:b/>
          <w:bCs/>
          <w:sz w:val="24"/>
          <w:szCs w:val="24"/>
        </w:rPr>
        <w:t>b. Microscopic Examination</w:t>
      </w:r>
      <w:r>
        <w:rPr>
          <w:rFonts w:ascii="Times New Roman" w:hAnsi="Times New Roman" w:cs="Times New Roman"/>
          <w:b/>
          <w:bCs/>
          <w:sz w:val="24"/>
          <w:szCs w:val="24"/>
          <w:highlight w:val="yellow"/>
          <w:vertAlign w:val="superscript"/>
        </w:rPr>
        <w:t xml:space="preserve"> (Ministry of Health and Family Welfare, Government of India, </w:t>
      </w:r>
      <w:r>
        <w:rPr>
          <w:rFonts w:ascii="Times New Roman" w:hAnsi="Times New Roman" w:cs="Times New Roman"/>
          <w:b/>
          <w:bCs/>
          <w:sz w:val="24"/>
          <w:szCs w:val="24"/>
          <w:vertAlign w:val="superscript"/>
        </w:rPr>
        <w:t>1</w:t>
      </w:r>
      <w:r>
        <w:rPr>
          <w:rFonts w:ascii="Times New Roman" w:hAnsi="Times New Roman" w:cs="Times New Roman"/>
          <w:b/>
          <w:bCs/>
          <w:sz w:val="24"/>
          <w:szCs w:val="24"/>
          <w:highlight w:val="yellow"/>
          <w:vertAlign w:val="superscript"/>
        </w:rPr>
        <w:t>999)</w:t>
      </w:r>
    </w:p>
    <w:p w14:paraId="472298AA"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sz w:val="24"/>
          <w:szCs w:val="24"/>
        </w:rPr>
        <w:t xml:space="preserve">i. </w:t>
      </w:r>
      <w:r w:rsidRPr="003844E4">
        <w:rPr>
          <w:rFonts w:ascii="Times New Roman" w:hAnsi="Times New Roman" w:cs="Times New Roman"/>
          <w:b/>
          <w:bCs/>
          <w:sz w:val="24"/>
          <w:szCs w:val="24"/>
        </w:rPr>
        <w:t>Powder microscopy</w:t>
      </w:r>
    </w:p>
    <w:p w14:paraId="15479E68"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b/>
          <w:bCs/>
          <w:sz w:val="24"/>
          <w:szCs w:val="24"/>
        </w:rPr>
        <w:t xml:space="preserve">Material - </w:t>
      </w:r>
      <w:r>
        <w:rPr>
          <w:rFonts w:ascii="Times New Roman" w:hAnsi="Times New Roman" w:cs="Times New Roman"/>
          <w:sz w:val="24"/>
          <w:szCs w:val="24"/>
        </w:rPr>
        <w:t xml:space="preserve">Powder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Fonts w:ascii="Times New Roman" w:hAnsi="Times New Roman" w:cs="Times New Roman"/>
          <w:i/>
          <w:iCs/>
          <w:sz w:val="24"/>
          <w:szCs w:val="24"/>
        </w:rPr>
        <w:t xml:space="preserve">Vigna trilobata </w:t>
      </w:r>
      <w:r>
        <w:rPr>
          <w:rFonts w:ascii="Times New Roman" w:hAnsi="Times New Roman" w:cs="Times New Roman"/>
          <w:sz w:val="24"/>
          <w:szCs w:val="24"/>
        </w:rPr>
        <w:t>Linn.), Compound microscope (Zeiss Axiocam ICc5 microscope 10x, 40x magnifications), Glass slide, Watch glass, Brush, Distilled water, Glycerine, Cover-slips, Staining reagents (safranin, methylene blue).</w:t>
      </w:r>
    </w:p>
    <w:p w14:paraId="7794BDCA" w14:textId="77777777" w:rsidR="00321CE4"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t xml:space="preserve">Procedure – </w:t>
      </w:r>
      <w:r>
        <w:rPr>
          <w:rFonts w:ascii="Times New Roman" w:hAnsi="Times New Roman" w:cs="Times New Roman"/>
          <w:sz w:val="24"/>
          <w:szCs w:val="24"/>
        </w:rPr>
        <w:t xml:space="preserve">The whole plant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was shade-dried, pulverized and sieved through 40–60 mesh, while the 80-mesh fraction was used for powder microscopy. The study was conducted in the Pharmacognosy Laboratory, Department of Dravyaguna Vigyana, Ayurvedic and Unani Tibbia College and Hospital, New Delhi. Wet and dry mounts were prepared by placing a small quantity of the sieved powder on clean glass slides; glycerine was added to one slide for the wet mount</w:t>
      </w:r>
      <w:r>
        <w:rPr>
          <w:rFonts w:ascii="Times New Roman" w:hAnsi="Times New Roman" w:cs="Times New Roman"/>
          <w:sz w:val="24"/>
          <w:szCs w:val="24"/>
          <w:highlight w:val="yellow"/>
        </w:rPr>
        <w:t>,</w:t>
      </w:r>
      <w:r>
        <w:rPr>
          <w:rFonts w:ascii="Times New Roman" w:hAnsi="Times New Roman" w:cs="Times New Roman"/>
          <w:sz w:val="24"/>
          <w:szCs w:val="24"/>
        </w:rPr>
        <w:t xml:space="preserve"> while the other was examined as a dry mount. The powder was spread uniformly using the edge of a glass slide held at an angle of 35°</w:t>
      </w:r>
      <w:r>
        <w:rPr>
          <w:rFonts w:ascii="Times New Roman" w:hAnsi="Times New Roman" w:cs="Times New Roman"/>
          <w:sz w:val="24"/>
          <w:szCs w:val="24"/>
          <w:highlight w:val="yellow"/>
        </w:rPr>
        <w:t>–</w:t>
      </w:r>
      <w:r>
        <w:rPr>
          <w:rFonts w:ascii="Times New Roman" w:hAnsi="Times New Roman" w:cs="Times New Roman"/>
          <w:sz w:val="24"/>
          <w:szCs w:val="24"/>
        </w:rPr>
        <w:t>45° before microscopic examination.</w:t>
      </w:r>
    </w:p>
    <w:p w14:paraId="2041EF90"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ii. Transverse Section</w:t>
      </w:r>
    </w:p>
    <w:p w14:paraId="1C90207C"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b/>
          <w:bCs/>
          <w:sz w:val="24"/>
          <w:szCs w:val="24"/>
        </w:rPr>
        <w:t xml:space="preserve">Materials- </w:t>
      </w:r>
      <w:r>
        <w:rPr>
          <w:rFonts w:ascii="Times New Roman" w:hAnsi="Times New Roman" w:cs="Times New Roman"/>
          <w:sz w:val="24"/>
          <w:szCs w:val="24"/>
        </w:rPr>
        <w:t xml:space="preserve">Leaf, Stem, Roots of </w:t>
      </w:r>
      <w:r>
        <w:rPr>
          <w:rFonts w:ascii="Times New Roman" w:hAnsi="Times New Roman" w:cs="Times New Roman"/>
          <w:i/>
          <w:iCs/>
          <w:sz w:val="24"/>
          <w:szCs w:val="24"/>
        </w:rPr>
        <w:t xml:space="preserve">Mudgaparni </w:t>
      </w:r>
      <w:r>
        <w:rPr>
          <w:rFonts w:ascii="Times New Roman" w:hAnsi="Times New Roman" w:cs="Times New Roman"/>
          <w:sz w:val="24"/>
          <w:szCs w:val="24"/>
        </w:rPr>
        <w:t>(</w:t>
      </w:r>
      <w:r>
        <w:rPr>
          <w:rFonts w:ascii="Times New Roman" w:hAnsi="Times New Roman" w:cs="Times New Roman"/>
          <w:i/>
          <w:iCs/>
          <w:sz w:val="24"/>
          <w:szCs w:val="24"/>
        </w:rPr>
        <w:t>Vigna trilobata</w:t>
      </w:r>
      <w:r>
        <w:rPr>
          <w:rFonts w:ascii="Times New Roman" w:hAnsi="Times New Roman" w:cs="Times New Roman"/>
          <w:sz w:val="24"/>
          <w:szCs w:val="24"/>
        </w:rPr>
        <w:t xml:space="preserve"> Linn.), Microscope (Olympus CX21i), Razor blade, Glass slides, Cover-slips, Brush, Petri dishes, Staining reagents (safranin, methylene blue).</w:t>
      </w:r>
    </w:p>
    <w:p w14:paraId="603AFF39" w14:textId="77777777" w:rsidR="00321CE4"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t xml:space="preserve">Procedure - </w:t>
      </w:r>
      <w:r>
        <w:rPr>
          <w:rFonts w:ascii="Times New Roman" w:hAnsi="Times New Roman" w:cs="Times New Roman"/>
          <w:sz w:val="24"/>
          <w:szCs w:val="24"/>
        </w:rPr>
        <w:t xml:space="preserve">The whole plant sample of </w:t>
      </w:r>
      <w:r>
        <w:rPr>
          <w:rFonts w:ascii="Times New Roman" w:hAnsi="Times New Roman" w:cs="Times New Roman"/>
          <w:i/>
          <w:iCs/>
          <w:sz w:val="24"/>
          <w:szCs w:val="24"/>
        </w:rPr>
        <w:t xml:space="preserve">Mudgaparni </w:t>
      </w:r>
      <w:r>
        <w:rPr>
          <w:rFonts w:ascii="Times New Roman" w:hAnsi="Times New Roman" w:cs="Times New Roman"/>
          <w:sz w:val="24"/>
          <w:szCs w:val="24"/>
        </w:rPr>
        <w:t>(</w:t>
      </w:r>
      <w:r>
        <w:rPr>
          <w:rFonts w:ascii="Times New Roman" w:hAnsi="Times New Roman" w:cs="Times New Roman"/>
          <w:i/>
          <w:iCs/>
          <w:sz w:val="24"/>
          <w:szCs w:val="24"/>
        </w:rPr>
        <w:t>Vigna trilobata</w:t>
      </w:r>
      <w:r>
        <w:rPr>
          <w:rFonts w:ascii="Times New Roman" w:hAnsi="Times New Roman" w:cs="Times New Roman"/>
          <w:sz w:val="24"/>
          <w:szCs w:val="24"/>
        </w:rPr>
        <w:t xml:space="preserve"> Linn.)</w:t>
      </w:r>
      <w:r>
        <w:rPr>
          <w:rFonts w:ascii="Times New Roman" w:hAnsi="Times New Roman" w:cs="Times New Roman"/>
          <w:i/>
          <w:iCs/>
          <w:sz w:val="24"/>
          <w:szCs w:val="24"/>
        </w:rPr>
        <w:t xml:space="preserve"> </w:t>
      </w:r>
      <w:r>
        <w:rPr>
          <w:rFonts w:ascii="Times New Roman" w:hAnsi="Times New Roman" w:cs="Times New Roman"/>
          <w:sz w:val="24"/>
          <w:szCs w:val="24"/>
        </w:rPr>
        <w:t>was soaked in water to soften the tissues before preparing thin transverse sections with a sharp razor blade. Temporary and permanent mounts were prepared, stained with appropriate reagents and examined microscopically. The study was conducted in the Pharmacognosy Laboratory, Department of Dravyaguna Vigyana, Ayurvedic and Unani Tibbia College and Hospital, New Delhi.</w:t>
      </w:r>
    </w:p>
    <w:p w14:paraId="525E272A"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C. Physico-chemical Study</w:t>
      </w:r>
    </w:p>
    <w:p w14:paraId="011160F6"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sz w:val="24"/>
          <w:szCs w:val="24"/>
        </w:rPr>
        <w:t xml:space="preserve">The physico-chemical evaluation of </w:t>
      </w:r>
      <w:r>
        <w:rPr>
          <w:rFonts w:ascii="Times New Roman" w:hAnsi="Times New Roman" w:cs="Times New Roman"/>
          <w:i/>
          <w:iCs/>
          <w:sz w:val="24"/>
          <w:szCs w:val="24"/>
        </w:rPr>
        <w:t xml:space="preserve">Mudgaparni </w:t>
      </w:r>
      <w:r>
        <w:rPr>
          <w:rFonts w:ascii="Times New Roman" w:hAnsi="Times New Roman" w:cs="Times New Roman"/>
          <w:sz w:val="24"/>
          <w:szCs w:val="24"/>
        </w:rPr>
        <w:t>(</w:t>
      </w:r>
      <w:r>
        <w:rPr>
          <w:rFonts w:ascii="Times New Roman" w:hAnsi="Times New Roman" w:cs="Times New Roman"/>
          <w:i/>
          <w:iCs/>
          <w:sz w:val="24"/>
          <w:szCs w:val="24"/>
        </w:rPr>
        <w:t xml:space="preserve">Vigna trilobata </w:t>
      </w:r>
      <w:r>
        <w:rPr>
          <w:rFonts w:ascii="Times New Roman" w:hAnsi="Times New Roman" w:cs="Times New Roman"/>
          <w:sz w:val="24"/>
          <w:szCs w:val="24"/>
        </w:rPr>
        <w:t xml:space="preserve">Linn.) powder was performed </w:t>
      </w:r>
      <w:r>
        <w:rPr>
          <w:rFonts w:ascii="Times New Roman" w:hAnsi="Times New Roman" w:cs="Times New Roman"/>
          <w:sz w:val="24"/>
          <w:szCs w:val="24"/>
          <w:highlight w:val="yellow"/>
        </w:rPr>
        <w:t xml:space="preserve">in </w:t>
      </w:r>
      <w:r>
        <w:rPr>
          <w:rFonts w:ascii="Times New Roman" w:hAnsi="Times New Roman" w:cs="Times New Roman"/>
          <w:sz w:val="24"/>
          <w:szCs w:val="24"/>
        </w:rPr>
        <w:t>a</w:t>
      </w:r>
      <w:r>
        <w:rPr>
          <w:rFonts w:ascii="Times New Roman" w:hAnsi="Times New Roman" w:cs="Times New Roman"/>
          <w:sz w:val="24"/>
          <w:szCs w:val="24"/>
          <w:highlight w:val="yellow"/>
        </w:rPr>
        <w:t>ccordance</w:t>
      </w:r>
      <w:r>
        <w:rPr>
          <w:rFonts w:ascii="Times New Roman" w:hAnsi="Times New Roman" w:cs="Times New Roman"/>
          <w:sz w:val="24"/>
          <w:szCs w:val="24"/>
        </w:rPr>
        <w:t xml:space="preserve"> </w:t>
      </w:r>
      <w:r>
        <w:rPr>
          <w:rFonts w:ascii="Times New Roman" w:hAnsi="Times New Roman" w:cs="Times New Roman"/>
          <w:sz w:val="24"/>
          <w:szCs w:val="24"/>
          <w:highlight w:val="yellow"/>
        </w:rPr>
        <w:t>with</w:t>
      </w:r>
      <w:r>
        <w:rPr>
          <w:rFonts w:ascii="Times New Roman" w:hAnsi="Times New Roman" w:cs="Times New Roman"/>
          <w:sz w:val="24"/>
          <w:szCs w:val="24"/>
        </w:rPr>
        <w:t xml:space="preserve"> the guidelines documented in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Ayurvedic Pharmacopoeia of India.</w:t>
      </w:r>
    </w:p>
    <w:p w14:paraId="12C163A9"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a. Determination of Foreign Matter</w:t>
      </w:r>
    </w:p>
    <w:p w14:paraId="2018F6E8" w14:textId="77777777" w:rsidR="00321CE4"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Material - </w:t>
      </w:r>
      <w:r>
        <w:rPr>
          <w:rFonts w:ascii="Times New Roman" w:hAnsi="Times New Roman" w:cs="Times New Roman"/>
          <w:sz w:val="24"/>
          <w:szCs w:val="24"/>
        </w:rPr>
        <w:t xml:space="preserve">Powder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Fonts w:ascii="Times New Roman" w:hAnsi="Times New Roman" w:cs="Times New Roman"/>
          <w:i/>
          <w:iCs/>
          <w:sz w:val="24"/>
          <w:szCs w:val="24"/>
        </w:rPr>
        <w:t xml:space="preserve">Vigna trilobata </w:t>
      </w:r>
      <w:r>
        <w:rPr>
          <w:rFonts w:ascii="Times New Roman" w:hAnsi="Times New Roman" w:cs="Times New Roman"/>
          <w:sz w:val="24"/>
          <w:szCs w:val="24"/>
        </w:rPr>
        <w:t>Linn.), Hand lens, Magnifying glass, Petri dish, Sieves.</w:t>
      </w:r>
    </w:p>
    <w:p w14:paraId="78C4DD36" w14:textId="77777777" w:rsidR="008004AD"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t xml:space="preserve">Procedure – </w:t>
      </w:r>
      <w:r>
        <w:rPr>
          <w:rFonts w:ascii="Times New Roman" w:hAnsi="Times New Roman" w:cs="Times New Roman"/>
          <w:sz w:val="24"/>
          <w:szCs w:val="24"/>
        </w:rPr>
        <w:t xml:space="preserve">Approximately 100 gm of the dried plant sample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Fonts w:ascii="Times New Roman" w:hAnsi="Times New Roman" w:cs="Times New Roman"/>
          <w:i/>
          <w:iCs/>
          <w:sz w:val="24"/>
          <w:szCs w:val="24"/>
        </w:rPr>
        <w:t xml:space="preserve">Vigna trilobata </w:t>
      </w:r>
      <w:r>
        <w:rPr>
          <w:rFonts w:ascii="Times New Roman" w:hAnsi="Times New Roman" w:cs="Times New Roman"/>
          <w:sz w:val="24"/>
          <w:szCs w:val="24"/>
        </w:rPr>
        <w:t>Linn.) was weighed and uniformly spread on a clean tray for visual inspection. The sample was examined under adequate illumination using the unaided eye and a 6x–10x magnifying lens to detect organic, inorganic and other extraneous matter, including foreign plant materials, insect fragments, sand, stones and other contaminants.</w:t>
      </w:r>
      <w:r>
        <w:rPr>
          <w:rFonts w:ascii="Times New Roman" w:hAnsi="Times New Roman" w:cs="Times New Roman"/>
          <w:b/>
          <w:bCs/>
          <w:sz w:val="24"/>
          <w:szCs w:val="24"/>
        </w:rPr>
        <w:t xml:space="preserve"> </w:t>
      </w:r>
    </w:p>
    <w:p w14:paraId="33674848" w14:textId="77777777" w:rsidR="00321CE4" w:rsidRPr="003844E4" w:rsidRDefault="00321CE4" w:rsidP="00321CE4">
      <w:pPr>
        <w:jc w:val="both"/>
        <w:rPr>
          <w:rFonts w:ascii="Times New Roman" w:hAnsi="Times New Roman" w:cs="Times New Roman"/>
          <w:b/>
          <w:bCs/>
          <w:sz w:val="24"/>
          <w:szCs w:val="24"/>
          <w:lang w:bidi="hi-IN"/>
        </w:rPr>
      </w:pPr>
      <w:r w:rsidRPr="003844E4">
        <w:rPr>
          <w:rFonts w:ascii="Times New Roman" w:hAnsi="Times New Roman" w:cs="Times New Roman"/>
          <w:b/>
          <w:bCs/>
          <w:sz w:val="24"/>
          <w:szCs w:val="24"/>
          <w:lang w:bidi="hi-IN"/>
        </w:rPr>
        <w:t>b. Determination of Moisture Content (Loss on Drying)</w:t>
      </w:r>
    </w:p>
    <w:p w14:paraId="1C4CC45B"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b/>
          <w:bCs/>
          <w:sz w:val="24"/>
          <w:szCs w:val="24"/>
        </w:rPr>
        <w:t xml:space="preserve">Material – </w:t>
      </w:r>
      <w:r>
        <w:rPr>
          <w:rFonts w:ascii="Times New Roman" w:hAnsi="Times New Roman" w:cs="Times New Roman"/>
          <w:sz w:val="24"/>
          <w:szCs w:val="24"/>
        </w:rPr>
        <w:t xml:space="preserve">Coarse powder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Fonts w:ascii="Times New Roman" w:hAnsi="Times New Roman" w:cs="Times New Roman"/>
          <w:i/>
          <w:iCs/>
          <w:sz w:val="24"/>
          <w:szCs w:val="24"/>
        </w:rPr>
        <w:t xml:space="preserve">Vigna trilobata </w:t>
      </w:r>
      <w:r>
        <w:rPr>
          <w:rFonts w:ascii="Times New Roman" w:hAnsi="Times New Roman" w:cs="Times New Roman"/>
          <w:sz w:val="24"/>
          <w:szCs w:val="24"/>
        </w:rPr>
        <w:t>Linn.), Weighing scale, Evaporating dish, Hot air oven, Desiccator, Tongs, Spatula.</w:t>
      </w:r>
    </w:p>
    <w:p w14:paraId="48159480" w14:textId="77777777" w:rsidR="008004AD"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t xml:space="preserve">Procedure – </w:t>
      </w:r>
      <w:r>
        <w:rPr>
          <w:rFonts w:ascii="Times New Roman" w:hAnsi="Times New Roman" w:cs="Times New Roman"/>
          <w:sz w:val="24"/>
          <w:szCs w:val="24"/>
        </w:rPr>
        <w:t xml:space="preserve">Approximately 10 gm of the coarsely powdered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was accurately weighed into a tarred evaporating dish and dried in a hot air oven at 105°C for 5 hours. The sample was subsequently dried and weighed at 1</w:t>
      </w:r>
      <w:r>
        <w:rPr>
          <w:rFonts w:ascii="Times New Roman" w:hAnsi="Times New Roman" w:cs="Times New Roman"/>
          <w:sz w:val="24"/>
          <w:szCs w:val="24"/>
          <w:highlight w:val="yellow"/>
        </w:rPr>
        <w:t>-</w:t>
      </w:r>
      <w:r>
        <w:rPr>
          <w:rFonts w:ascii="Times New Roman" w:hAnsi="Times New Roman" w:cs="Times New Roman"/>
          <w:sz w:val="24"/>
          <w:szCs w:val="24"/>
        </w:rPr>
        <w:t>hour intervals until the difference between two successive readings did not exceed 0.25%. A constant weight was considered to have been attained when two consecutive readings, obtained after drying for 30 minutes followed by cooling in a desiccator for 30 minutes, showed no significant variation.</w:t>
      </w:r>
    </w:p>
    <w:p w14:paraId="7EEECA3D"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c. Determination of Ash Values</w:t>
      </w:r>
    </w:p>
    <w:p w14:paraId="29D17AE6"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i. Determination of Total Ash</w:t>
      </w:r>
    </w:p>
    <w:p w14:paraId="6464A364"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b/>
          <w:bCs/>
          <w:sz w:val="24"/>
          <w:szCs w:val="24"/>
        </w:rPr>
        <w:t xml:space="preserve">Material – </w:t>
      </w:r>
      <w:r>
        <w:rPr>
          <w:rFonts w:ascii="Times New Roman" w:hAnsi="Times New Roman" w:cs="Times New Roman"/>
          <w:sz w:val="24"/>
          <w:szCs w:val="24"/>
        </w:rPr>
        <w:t xml:space="preserve">Fine powder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Fonts w:ascii="Times New Roman" w:hAnsi="Times New Roman" w:cs="Times New Roman"/>
          <w:i/>
          <w:iCs/>
          <w:sz w:val="24"/>
          <w:szCs w:val="24"/>
        </w:rPr>
        <w:t xml:space="preserve">Vigna trilobata </w:t>
      </w:r>
      <w:r>
        <w:rPr>
          <w:rFonts w:ascii="Times New Roman" w:hAnsi="Times New Roman" w:cs="Times New Roman"/>
          <w:sz w:val="24"/>
          <w:szCs w:val="24"/>
        </w:rPr>
        <w:t>Linn.), Weighing scale, Silica crucible, Desiccator, Spatula, Muffle furnace, Tongs.</w:t>
      </w:r>
    </w:p>
    <w:p w14:paraId="03DD2B5E" w14:textId="77777777" w:rsidR="003C7608"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t xml:space="preserve">Procedure – </w:t>
      </w:r>
      <w:r>
        <w:rPr>
          <w:rFonts w:ascii="Times New Roman" w:hAnsi="Times New Roman" w:cs="Times New Roman"/>
          <w:sz w:val="24"/>
          <w:szCs w:val="24"/>
        </w:rPr>
        <w:t xml:space="preserve">Approximately 2 gm of the finely powdered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was accurately weighed into a tarred silica crucible and incinerated at a temperature not exceeding 450°C until free from carbon. The crucible was cooled in a desiccator, weighed and the total ash value was calculated as a percentage of the air-dried drug.</w:t>
      </w:r>
    </w:p>
    <w:p w14:paraId="56D5682C" w14:textId="77777777" w:rsidR="00321CE4" w:rsidRPr="003844E4" w:rsidRDefault="00321CE4" w:rsidP="00321CE4">
      <w:pPr>
        <w:jc w:val="both"/>
        <w:rPr>
          <w:rFonts w:ascii="Times New Roman" w:hAnsi="Times New Roman" w:cs="Times New Roman"/>
          <w:sz w:val="24"/>
          <w:szCs w:val="24"/>
        </w:rPr>
      </w:pPr>
      <w:r w:rsidRPr="003844E4">
        <w:rPr>
          <w:rFonts w:ascii="Times New Roman" w:hAnsi="Times New Roman" w:cs="Times New Roman"/>
          <w:b/>
          <w:bCs/>
          <w:sz w:val="24"/>
          <w:szCs w:val="24"/>
        </w:rPr>
        <w:t>ii. Determination of Acid Insoluble Ash</w:t>
      </w:r>
    </w:p>
    <w:p w14:paraId="540A5492" w14:textId="77777777" w:rsidR="00321CE4"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t xml:space="preserve">Material – </w:t>
      </w:r>
      <w:r>
        <w:rPr>
          <w:rFonts w:ascii="Times New Roman" w:hAnsi="Times New Roman" w:cs="Times New Roman"/>
          <w:sz w:val="24"/>
          <w:szCs w:val="24"/>
        </w:rPr>
        <w:t xml:space="preserve">Fine powder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Fonts w:ascii="Times New Roman" w:hAnsi="Times New Roman" w:cs="Times New Roman"/>
          <w:i/>
          <w:iCs/>
          <w:sz w:val="24"/>
          <w:szCs w:val="24"/>
        </w:rPr>
        <w:t xml:space="preserve">Vigna trilobata </w:t>
      </w:r>
      <w:r>
        <w:rPr>
          <w:rFonts w:ascii="Times New Roman" w:hAnsi="Times New Roman" w:cs="Times New Roman"/>
          <w:sz w:val="24"/>
          <w:szCs w:val="24"/>
        </w:rPr>
        <w:t>Linn.), Weighing scale, Silica crucible, Dilute Hydrochloric Acid, Desiccator, Spatula, Muffle furnance, Tongs, Ashless filter paper (Whatman 41).</w:t>
      </w:r>
    </w:p>
    <w:p w14:paraId="2B5B5728" w14:textId="77777777" w:rsidR="00321CE4"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t xml:space="preserve">Procedure – </w:t>
      </w:r>
      <w:r>
        <w:rPr>
          <w:rFonts w:ascii="Times New Roman" w:hAnsi="Times New Roman" w:cs="Times New Roman"/>
          <w:sz w:val="24"/>
          <w:szCs w:val="24"/>
        </w:rPr>
        <w:t xml:space="preserve">To the crucible containing the total ash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25 ml of dilute hydrochloric acid was added and the contents were boiled gently. The insoluble residue was collected on an ashless Whatman No. 41 filter paper, washed with hot water until neutral and transferred back to the original crucible. The residue was dried, ignited to constant weight, cooled in a desiccator and weighed. The acid-insoluble ash value was calculated as a percentage of the air-dried drug.</w:t>
      </w:r>
    </w:p>
    <w:p w14:paraId="6A2B6582"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d. Determination of Extractive Values</w:t>
      </w:r>
    </w:p>
    <w:p w14:paraId="1DE20D1C"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lastRenderedPageBreak/>
        <w:t>i. Determination of Water-Soluble Extractive Value</w:t>
      </w:r>
    </w:p>
    <w:p w14:paraId="041DBFB2"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b/>
          <w:bCs/>
          <w:sz w:val="24"/>
          <w:szCs w:val="24"/>
        </w:rPr>
        <w:t xml:space="preserve">Material - </w:t>
      </w:r>
      <w:r>
        <w:rPr>
          <w:rFonts w:ascii="Times New Roman" w:hAnsi="Times New Roman" w:cs="Times New Roman"/>
          <w:sz w:val="24"/>
          <w:szCs w:val="24"/>
        </w:rPr>
        <w:t xml:space="preserve">Fine powder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Fonts w:ascii="Times New Roman" w:hAnsi="Times New Roman" w:cs="Times New Roman"/>
          <w:i/>
          <w:iCs/>
          <w:sz w:val="24"/>
          <w:szCs w:val="24"/>
        </w:rPr>
        <w:t xml:space="preserve">Vigna trilobata </w:t>
      </w:r>
      <w:r>
        <w:rPr>
          <w:rFonts w:ascii="Times New Roman" w:hAnsi="Times New Roman" w:cs="Times New Roman"/>
          <w:sz w:val="24"/>
          <w:szCs w:val="24"/>
        </w:rPr>
        <w:t>Linn.), Weighing scale, Conical flasks, Evaporating dishes, Distilled water, Petri-dishes, Desiccator, Ashless Filter paper (Whatman 41), Hot air oven, Aluminium foil, Water bath.</w:t>
      </w:r>
    </w:p>
    <w:p w14:paraId="044FBEF3"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b/>
          <w:bCs/>
          <w:sz w:val="24"/>
          <w:szCs w:val="24"/>
        </w:rPr>
        <w:t xml:space="preserve">Procedure – </w:t>
      </w:r>
      <w:r>
        <w:rPr>
          <w:rFonts w:ascii="Times New Roman" w:hAnsi="Times New Roman" w:cs="Times New Roman"/>
          <w:sz w:val="24"/>
          <w:szCs w:val="24"/>
        </w:rPr>
        <w:t xml:space="preserve">Approximately 5 gm of the finely powdered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was accurately weighed and macerated with 100 ml of distilled water in a closed flask for 24 hours, with frequent shaking during the first 6 hours and standing undisturbed for the remaining 18 hours. The extract was filtered</w:t>
      </w:r>
      <w:r>
        <w:rPr>
          <w:rFonts w:ascii="Times New Roman" w:hAnsi="Times New Roman" w:cs="Times New Roman"/>
          <w:sz w:val="24"/>
          <w:szCs w:val="24"/>
          <w:highlight w:val="yellow"/>
        </w:rPr>
        <w:t>,</w:t>
      </w:r>
      <w:r>
        <w:rPr>
          <w:rFonts w:ascii="Times New Roman" w:hAnsi="Times New Roman" w:cs="Times New Roman"/>
          <w:sz w:val="24"/>
          <w:szCs w:val="24"/>
        </w:rPr>
        <w:t xml:space="preserve"> and the filtrate was evaporated to dr</w:t>
      </w:r>
      <w:r>
        <w:rPr>
          <w:rFonts w:ascii="Times New Roman" w:hAnsi="Times New Roman" w:cs="Times New Roman"/>
          <w:sz w:val="24"/>
          <w:szCs w:val="24"/>
          <w:highlight w:val="yellow"/>
        </w:rPr>
        <w:t>yn</w:t>
      </w:r>
      <w:r>
        <w:rPr>
          <w:rFonts w:ascii="Times New Roman" w:hAnsi="Times New Roman" w:cs="Times New Roman"/>
          <w:sz w:val="24"/>
          <w:szCs w:val="24"/>
        </w:rPr>
        <w:t>e</w:t>
      </w:r>
      <w:r>
        <w:rPr>
          <w:rFonts w:ascii="Times New Roman" w:hAnsi="Times New Roman" w:cs="Times New Roman"/>
          <w:sz w:val="24"/>
          <w:szCs w:val="24"/>
          <w:highlight w:val="yellow"/>
        </w:rPr>
        <w:t>ss</w:t>
      </w:r>
      <w:r>
        <w:rPr>
          <w:rFonts w:ascii="Times New Roman" w:hAnsi="Times New Roman" w:cs="Times New Roman"/>
          <w:sz w:val="24"/>
          <w:szCs w:val="24"/>
        </w:rPr>
        <w:t xml:space="preserve"> in a tarred shallow dish and dried at 105°C to constant weight. The water-soluble extractive value was calculated as a percentage of the air-dried drug.</w:t>
      </w:r>
    </w:p>
    <w:p w14:paraId="025D14FF"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ii. Determination of Alcohol-Soluble Extractive Value</w:t>
      </w:r>
    </w:p>
    <w:p w14:paraId="47FB2E43" w14:textId="77777777" w:rsidR="00321CE4"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t xml:space="preserve">Material - </w:t>
      </w:r>
      <w:r>
        <w:rPr>
          <w:rFonts w:ascii="Times New Roman" w:hAnsi="Times New Roman" w:cs="Times New Roman"/>
          <w:sz w:val="24"/>
          <w:szCs w:val="24"/>
        </w:rPr>
        <w:t xml:space="preserve">Fine powder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Fonts w:ascii="Times New Roman" w:hAnsi="Times New Roman" w:cs="Times New Roman"/>
          <w:i/>
          <w:iCs/>
          <w:sz w:val="24"/>
          <w:szCs w:val="24"/>
        </w:rPr>
        <w:t xml:space="preserve">Vigna trilobata </w:t>
      </w:r>
      <w:r>
        <w:rPr>
          <w:rFonts w:ascii="Times New Roman" w:hAnsi="Times New Roman" w:cs="Times New Roman"/>
          <w:sz w:val="24"/>
          <w:szCs w:val="24"/>
        </w:rPr>
        <w:t>Linn.), Weighing scale, Conical flasks, Evaporating dishes, Ethanol, Petri-dish, Desiccator, Ashless Filter paper (Whatman 41), Hot air oven, Aluminium foil, Water bath.</w:t>
      </w:r>
    </w:p>
    <w:p w14:paraId="0A2A9FF4"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b/>
          <w:bCs/>
          <w:sz w:val="24"/>
          <w:szCs w:val="24"/>
        </w:rPr>
        <w:t xml:space="preserve">Procedure – </w:t>
      </w:r>
      <w:r>
        <w:rPr>
          <w:rFonts w:ascii="Times New Roman" w:hAnsi="Times New Roman" w:cs="Times New Roman"/>
          <w:sz w:val="24"/>
          <w:szCs w:val="24"/>
        </w:rPr>
        <w:t xml:space="preserve">Approximately 5 gm of the finely powdered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was accurately weighed and macerated with 100 ml of ethanol in a closed flask for 24 hours, with frequent shaking during the first 6 hours and standing undisturbed for the remaining 18 hours. The extract was filtered</w:t>
      </w:r>
      <w:r>
        <w:rPr>
          <w:rFonts w:ascii="Times New Roman" w:hAnsi="Times New Roman" w:cs="Times New Roman"/>
          <w:sz w:val="24"/>
          <w:szCs w:val="24"/>
          <w:highlight w:val="yellow"/>
        </w:rPr>
        <w:t>,</w:t>
      </w:r>
      <w:r>
        <w:rPr>
          <w:rFonts w:ascii="Times New Roman" w:hAnsi="Times New Roman" w:cs="Times New Roman"/>
          <w:sz w:val="24"/>
          <w:szCs w:val="24"/>
        </w:rPr>
        <w:t xml:space="preserve"> and the filtrate was evaporated to dr</w:t>
      </w:r>
      <w:r>
        <w:rPr>
          <w:rFonts w:ascii="Times New Roman" w:hAnsi="Times New Roman" w:cs="Times New Roman"/>
          <w:sz w:val="24"/>
          <w:szCs w:val="24"/>
          <w:highlight w:val="yellow"/>
        </w:rPr>
        <w:t>yn</w:t>
      </w:r>
      <w:r>
        <w:rPr>
          <w:rFonts w:ascii="Times New Roman" w:hAnsi="Times New Roman" w:cs="Times New Roman"/>
          <w:sz w:val="24"/>
          <w:szCs w:val="24"/>
        </w:rPr>
        <w:t>e</w:t>
      </w:r>
      <w:r>
        <w:rPr>
          <w:rFonts w:ascii="Times New Roman" w:hAnsi="Times New Roman" w:cs="Times New Roman"/>
          <w:sz w:val="24"/>
          <w:szCs w:val="24"/>
          <w:highlight w:val="yellow"/>
        </w:rPr>
        <w:t>ss</w:t>
      </w:r>
      <w:r>
        <w:rPr>
          <w:rFonts w:ascii="Times New Roman" w:hAnsi="Times New Roman" w:cs="Times New Roman"/>
          <w:sz w:val="24"/>
          <w:szCs w:val="24"/>
        </w:rPr>
        <w:t xml:space="preserve"> in a tarred shallow dish and dried at 105°C to constant weight. The alcohol-soluble extractive value was calculated as a percentage of the air-dried drug. </w:t>
      </w:r>
      <w:r>
        <w:rPr>
          <w:rFonts w:ascii="Times New Roman" w:hAnsi="Times New Roman" w:cs="Times New Roman"/>
          <w:b/>
          <w:bCs/>
          <w:sz w:val="24"/>
          <w:szCs w:val="24"/>
        </w:rPr>
        <w:t>(Table.1)</w:t>
      </w:r>
    </w:p>
    <w:p w14:paraId="2047156E" w14:textId="77777777" w:rsidR="00321CE4" w:rsidRPr="003844E4" w:rsidRDefault="00434DE8" w:rsidP="00434DE8">
      <w:pPr>
        <w:jc w:val="center"/>
        <w:rPr>
          <w:rFonts w:ascii="Times New Roman" w:hAnsi="Times New Roman" w:cs="Times New Roman"/>
          <w:b/>
          <w:bCs/>
          <w:sz w:val="24"/>
          <w:szCs w:val="24"/>
        </w:rPr>
      </w:pPr>
      <w:r w:rsidRPr="003844E4">
        <w:rPr>
          <w:rFonts w:ascii="Times New Roman" w:hAnsi="Times New Roman" w:cs="Times New Roman"/>
          <w:b/>
          <w:bCs/>
          <w:sz w:val="24"/>
          <w:szCs w:val="24"/>
        </w:rPr>
        <w:t>Table1</w:t>
      </w:r>
      <w:r w:rsidR="006D3694" w:rsidRPr="003844E4">
        <w:rPr>
          <w:rFonts w:ascii="Times New Roman" w:hAnsi="Times New Roman" w:cs="Times New Roman"/>
          <w:b/>
          <w:bCs/>
          <w:sz w:val="24"/>
          <w:szCs w:val="24"/>
        </w:rPr>
        <w:t>.</w:t>
      </w:r>
      <w:r w:rsidRPr="003844E4">
        <w:rPr>
          <w:rFonts w:ascii="Times New Roman" w:hAnsi="Times New Roman" w:cs="Times New Roman"/>
          <w:b/>
          <w:bCs/>
          <w:sz w:val="24"/>
          <w:szCs w:val="24"/>
        </w:rPr>
        <w:t>: Physicochemical parameters and their percentage evaluation formulae</w:t>
      </w:r>
    </w:p>
    <w:tbl>
      <w:tblPr>
        <w:tblStyle w:val="TableGrid"/>
        <w:tblW w:w="0" w:type="auto"/>
        <w:tblLook w:val="04A0" w:firstRow="1" w:lastRow="0" w:firstColumn="1" w:lastColumn="0" w:noHBand="0" w:noVBand="1"/>
      </w:tblPr>
      <w:tblGrid>
        <w:gridCol w:w="5211"/>
        <w:gridCol w:w="3969"/>
      </w:tblGrid>
      <w:tr w:rsidR="00321CE4" w:rsidRPr="003844E4" w14:paraId="30C9A5EA" w14:textId="77777777" w:rsidTr="00016E00">
        <w:tc>
          <w:tcPr>
            <w:tcW w:w="5211" w:type="dxa"/>
          </w:tcPr>
          <w:p w14:paraId="620DE2DE"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Physicochemical Parameters</w:t>
            </w:r>
            <w:r w:rsidR="00C43E4C" w:rsidRPr="003844E4">
              <w:rPr>
                <w:rFonts w:ascii="Times New Roman" w:hAnsi="Times New Roman" w:cs="Times New Roman"/>
                <w:b/>
                <w:bCs/>
                <w:sz w:val="24"/>
                <w:szCs w:val="24"/>
              </w:rPr>
              <w:t>(%)</w:t>
            </w:r>
          </w:p>
        </w:tc>
        <w:tc>
          <w:tcPr>
            <w:tcW w:w="3969" w:type="dxa"/>
          </w:tcPr>
          <w:p w14:paraId="49C54A8B"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Formulae</w:t>
            </w:r>
          </w:p>
        </w:tc>
      </w:tr>
      <w:tr w:rsidR="00321CE4" w:rsidRPr="003844E4" w14:paraId="779C77AC" w14:textId="77777777" w:rsidTr="00016E00">
        <w:tc>
          <w:tcPr>
            <w:tcW w:w="5211" w:type="dxa"/>
          </w:tcPr>
          <w:p w14:paraId="42EEDFAB" w14:textId="77777777" w:rsidR="00321CE4" w:rsidRPr="003844E4" w:rsidRDefault="00321CE4" w:rsidP="00C43E4C">
            <w:pPr>
              <w:jc w:val="center"/>
              <w:rPr>
                <w:rFonts w:ascii="Times New Roman" w:hAnsi="Times New Roman" w:cs="Times New Roman"/>
                <w:sz w:val="24"/>
                <w:szCs w:val="24"/>
              </w:rPr>
            </w:pPr>
            <w:r w:rsidRPr="003844E4">
              <w:rPr>
                <w:rFonts w:ascii="Times New Roman" w:hAnsi="Times New Roman" w:cs="Times New Roman"/>
                <w:sz w:val="24"/>
                <w:szCs w:val="24"/>
              </w:rPr>
              <w:t xml:space="preserve">Moisture Content (Loss on Drying) </w:t>
            </w:r>
          </w:p>
        </w:tc>
        <w:tc>
          <w:tcPr>
            <w:tcW w:w="3969" w:type="dxa"/>
          </w:tcPr>
          <w:p w14:paraId="61077EE8"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sz w:val="24"/>
                <w:szCs w:val="24"/>
              </w:rPr>
              <w:t>[(W</w:t>
            </w:r>
            <w:r w:rsidRPr="003844E4">
              <w:rPr>
                <w:rFonts w:ascii="Times New Roman" w:hAnsi="Times New Roman" w:cs="Times New Roman"/>
                <w:sz w:val="24"/>
                <w:szCs w:val="24"/>
                <w:vertAlign w:val="subscript"/>
              </w:rPr>
              <w:t>1</w:t>
            </w:r>
            <w:r w:rsidR="00C43E4C" w:rsidRPr="003844E4">
              <w:rPr>
                <w:rFonts w:ascii="Times New Roman" w:hAnsi="Times New Roman" w:cs="Times New Roman"/>
                <w:sz w:val="24"/>
                <w:szCs w:val="24"/>
                <w:vertAlign w:val="subscript"/>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X)</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w:t>
            </w:r>
            <w:r w:rsidRPr="003844E4">
              <w:rPr>
                <w:rFonts w:ascii="Times New Roman" w:hAnsi="Times New Roman" w:cs="Times New Roman"/>
                <w:sz w:val="24"/>
                <w:szCs w:val="24"/>
                <w:vertAlign w:val="subscript"/>
              </w:rPr>
              <w:t>2</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X × 100%</w:t>
            </w:r>
          </w:p>
        </w:tc>
      </w:tr>
      <w:tr w:rsidR="00321CE4" w:rsidRPr="003844E4" w14:paraId="30D10D00" w14:textId="77777777" w:rsidTr="00016E00">
        <w:tc>
          <w:tcPr>
            <w:tcW w:w="5211" w:type="dxa"/>
          </w:tcPr>
          <w:p w14:paraId="48A8092E"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 xml:space="preserve">Water Soluble Extractive Value </w:t>
            </w:r>
          </w:p>
        </w:tc>
        <w:tc>
          <w:tcPr>
            <w:tcW w:w="3969" w:type="dxa"/>
          </w:tcPr>
          <w:p w14:paraId="717501C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w:t>
            </w:r>
            <w:r w:rsidRPr="003844E4">
              <w:rPr>
                <w:rFonts w:ascii="Times New Roman" w:hAnsi="Times New Roman" w:cs="Times New Roman"/>
                <w:sz w:val="24"/>
                <w:szCs w:val="24"/>
                <w:vertAlign w:val="subscript"/>
              </w:rPr>
              <w:t>2</w:t>
            </w:r>
            <w:r w:rsidR="00C43E4C" w:rsidRPr="003844E4">
              <w:rPr>
                <w:rFonts w:ascii="Times New Roman" w:hAnsi="Times New Roman" w:cs="Times New Roman"/>
                <w:sz w:val="24"/>
                <w:szCs w:val="24"/>
                <w:vertAlign w:val="subscript"/>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w:t>
            </w:r>
            <w:r w:rsidRPr="003844E4">
              <w:rPr>
                <w:rFonts w:ascii="Times New Roman" w:hAnsi="Times New Roman" w:cs="Times New Roman"/>
                <w:sz w:val="24"/>
                <w:szCs w:val="24"/>
                <w:vertAlign w:val="subscript"/>
              </w:rPr>
              <w:t>1</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X × 100%</w:t>
            </w:r>
          </w:p>
        </w:tc>
      </w:tr>
      <w:tr w:rsidR="00321CE4" w:rsidRPr="003844E4" w14:paraId="02E292BE" w14:textId="77777777" w:rsidTr="00016E00">
        <w:tc>
          <w:tcPr>
            <w:tcW w:w="5211" w:type="dxa"/>
          </w:tcPr>
          <w:p w14:paraId="5EEC825A"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 xml:space="preserve">Alcohol Soluble Extractive Value </w:t>
            </w:r>
          </w:p>
        </w:tc>
        <w:tc>
          <w:tcPr>
            <w:tcW w:w="3969" w:type="dxa"/>
          </w:tcPr>
          <w:p w14:paraId="3251B03B"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w:t>
            </w:r>
            <w:r w:rsidRPr="003844E4">
              <w:rPr>
                <w:rFonts w:ascii="Times New Roman" w:hAnsi="Times New Roman" w:cs="Times New Roman"/>
                <w:sz w:val="24"/>
                <w:szCs w:val="24"/>
                <w:vertAlign w:val="subscript"/>
              </w:rPr>
              <w:t>2</w:t>
            </w:r>
            <w:r w:rsidR="00C43E4C" w:rsidRPr="003844E4">
              <w:rPr>
                <w:rFonts w:ascii="Times New Roman" w:hAnsi="Times New Roman" w:cs="Times New Roman"/>
                <w:sz w:val="24"/>
                <w:szCs w:val="24"/>
                <w:vertAlign w:val="subscript"/>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w:t>
            </w:r>
            <w:r w:rsidRPr="003844E4">
              <w:rPr>
                <w:rFonts w:ascii="Times New Roman" w:hAnsi="Times New Roman" w:cs="Times New Roman"/>
                <w:sz w:val="24"/>
                <w:szCs w:val="24"/>
                <w:vertAlign w:val="subscript"/>
              </w:rPr>
              <w:t>1</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X × 100%</w:t>
            </w:r>
          </w:p>
        </w:tc>
      </w:tr>
      <w:tr w:rsidR="00321CE4" w:rsidRPr="003844E4" w14:paraId="277661A3" w14:textId="77777777" w:rsidTr="00016E00">
        <w:tc>
          <w:tcPr>
            <w:tcW w:w="5211" w:type="dxa"/>
          </w:tcPr>
          <w:p w14:paraId="49242531"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 xml:space="preserve">Total Ash </w:t>
            </w:r>
          </w:p>
        </w:tc>
        <w:tc>
          <w:tcPr>
            <w:tcW w:w="3969" w:type="dxa"/>
          </w:tcPr>
          <w:p w14:paraId="0AB39C0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(A</w:t>
            </w:r>
            <w:r w:rsidRPr="003844E4">
              <w:rPr>
                <w:rFonts w:ascii="Times New Roman" w:hAnsi="Times New Roman" w:cs="Times New Roman"/>
                <w:sz w:val="24"/>
                <w:szCs w:val="24"/>
                <w:vertAlign w:val="subscript"/>
              </w:rPr>
              <w:t>2</w:t>
            </w:r>
            <w:r w:rsidRPr="003844E4">
              <w:rPr>
                <w:rFonts w:ascii="Times New Roman" w:hAnsi="Times New Roman" w:cs="Times New Roman"/>
                <w:sz w:val="24"/>
                <w:szCs w:val="24"/>
              </w:rPr>
              <w:t xml:space="preserve"> - A</w:t>
            </w:r>
            <w:r w:rsidRPr="003844E4">
              <w:rPr>
                <w:rFonts w:ascii="Times New Roman" w:hAnsi="Times New Roman" w:cs="Times New Roman"/>
                <w:sz w:val="24"/>
                <w:szCs w:val="24"/>
                <w:vertAlign w:val="subscript"/>
              </w:rPr>
              <w:t>1</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X × 100%</w:t>
            </w:r>
          </w:p>
        </w:tc>
      </w:tr>
      <w:tr w:rsidR="00321CE4" w:rsidRPr="003844E4" w14:paraId="5726385D" w14:textId="77777777" w:rsidTr="00016E00">
        <w:tc>
          <w:tcPr>
            <w:tcW w:w="5211" w:type="dxa"/>
          </w:tcPr>
          <w:p w14:paraId="038C659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 xml:space="preserve">Acid Insoluble Ash </w:t>
            </w:r>
          </w:p>
        </w:tc>
        <w:tc>
          <w:tcPr>
            <w:tcW w:w="3969" w:type="dxa"/>
          </w:tcPr>
          <w:p w14:paraId="3C20F36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b/>
                <w:bCs/>
                <w:sz w:val="24"/>
                <w:szCs w:val="24"/>
                <w:lang w:bidi="hi-IN"/>
              </w:rPr>
              <w:t>(</w:t>
            </w:r>
            <w:r w:rsidRPr="003844E4">
              <w:rPr>
                <w:rFonts w:ascii="Times New Roman" w:hAnsi="Times New Roman" w:cs="Times New Roman"/>
                <w:sz w:val="24"/>
                <w:szCs w:val="24"/>
                <w:lang w:bidi="hi-IN"/>
              </w:rPr>
              <w:t>A</w:t>
            </w:r>
            <w:r w:rsidRPr="003844E4">
              <w:rPr>
                <w:rFonts w:ascii="Times New Roman" w:hAnsi="Times New Roman" w:cs="Times New Roman"/>
                <w:sz w:val="24"/>
                <w:szCs w:val="24"/>
                <w:vertAlign w:val="subscript"/>
                <w:lang w:bidi="hi-IN"/>
              </w:rPr>
              <w:t>2</w:t>
            </w:r>
            <w:r w:rsidR="00C43E4C" w:rsidRPr="003844E4">
              <w:rPr>
                <w:rFonts w:ascii="Times New Roman" w:hAnsi="Times New Roman" w:cs="Times New Roman"/>
                <w:sz w:val="24"/>
                <w:szCs w:val="24"/>
                <w:vertAlign w:val="subscript"/>
                <w:lang w:bidi="hi-IN"/>
              </w:rPr>
              <w:t xml:space="preserve"> </w:t>
            </w:r>
            <w:r w:rsidRPr="003844E4">
              <w:rPr>
                <w:rFonts w:ascii="Times New Roman" w:hAnsi="Times New Roman" w:cs="Times New Roman"/>
                <w:sz w:val="24"/>
                <w:szCs w:val="24"/>
                <w:lang w:bidi="hi-IN"/>
              </w:rPr>
              <w:t>-</w:t>
            </w:r>
            <w:r w:rsidR="00C43E4C" w:rsidRPr="003844E4">
              <w:rPr>
                <w:rFonts w:ascii="Times New Roman" w:hAnsi="Times New Roman" w:cs="Times New Roman"/>
                <w:sz w:val="24"/>
                <w:szCs w:val="24"/>
                <w:lang w:bidi="hi-IN"/>
              </w:rPr>
              <w:t xml:space="preserve"> </w:t>
            </w:r>
            <w:r w:rsidRPr="003844E4">
              <w:rPr>
                <w:rFonts w:ascii="Times New Roman" w:hAnsi="Times New Roman" w:cs="Times New Roman"/>
                <w:sz w:val="24"/>
                <w:szCs w:val="24"/>
                <w:lang w:bidi="hi-IN"/>
              </w:rPr>
              <w:t>A</w:t>
            </w:r>
            <w:r w:rsidRPr="003844E4">
              <w:rPr>
                <w:rFonts w:ascii="Times New Roman" w:hAnsi="Times New Roman" w:cs="Times New Roman"/>
                <w:sz w:val="24"/>
                <w:szCs w:val="24"/>
                <w:vertAlign w:val="subscript"/>
                <w:lang w:bidi="hi-IN"/>
              </w:rPr>
              <w:t>1</w:t>
            </w:r>
            <w:r w:rsidRPr="003844E4">
              <w:rPr>
                <w:rFonts w:ascii="Times New Roman" w:hAnsi="Times New Roman" w:cs="Times New Roman"/>
                <w:sz w:val="24"/>
                <w:szCs w:val="24"/>
                <w:lang w:bidi="hi-IN"/>
              </w:rPr>
              <w:t>)</w:t>
            </w:r>
            <w:r w:rsidR="00C43E4C" w:rsidRPr="003844E4">
              <w:rPr>
                <w:rFonts w:ascii="Times New Roman" w:hAnsi="Times New Roman" w:cs="Times New Roman"/>
                <w:sz w:val="24"/>
                <w:szCs w:val="24"/>
                <w:lang w:bidi="hi-IN"/>
              </w:rPr>
              <w:t xml:space="preserve"> </w:t>
            </w:r>
            <w:r w:rsidRPr="003844E4">
              <w:rPr>
                <w:rFonts w:ascii="Times New Roman" w:hAnsi="Times New Roman" w:cs="Times New Roman"/>
                <w:sz w:val="24"/>
                <w:szCs w:val="24"/>
                <w:lang w:bidi="hi-IN"/>
              </w:rPr>
              <w:t>/</w:t>
            </w:r>
            <w:r w:rsidR="00C43E4C" w:rsidRPr="003844E4">
              <w:rPr>
                <w:rFonts w:ascii="Times New Roman" w:hAnsi="Times New Roman" w:cs="Times New Roman"/>
                <w:sz w:val="24"/>
                <w:szCs w:val="24"/>
                <w:lang w:bidi="hi-IN"/>
              </w:rPr>
              <w:t xml:space="preserve"> </w:t>
            </w:r>
            <w:r w:rsidRPr="003844E4">
              <w:rPr>
                <w:rFonts w:ascii="Times New Roman" w:hAnsi="Times New Roman" w:cs="Times New Roman"/>
                <w:sz w:val="24"/>
                <w:szCs w:val="24"/>
                <w:lang w:bidi="hi-IN"/>
              </w:rPr>
              <w:t>X × 100</w:t>
            </w:r>
            <w:r w:rsidRPr="003844E4">
              <w:rPr>
                <w:rFonts w:ascii="Times New Roman" w:hAnsi="Times New Roman" w:cs="Times New Roman"/>
                <w:sz w:val="24"/>
                <w:szCs w:val="24"/>
              </w:rPr>
              <w:t>%</w:t>
            </w:r>
          </w:p>
        </w:tc>
      </w:tr>
    </w:tbl>
    <w:p w14:paraId="704D3D58" w14:textId="77777777" w:rsidR="00321CE4" w:rsidRPr="003844E4" w:rsidRDefault="00321CE4" w:rsidP="00321CE4">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X: Weight of Drug sample; W</w:t>
      </w:r>
      <w:r w:rsidRPr="003844E4">
        <w:rPr>
          <w:rFonts w:ascii="Times New Roman" w:hAnsi="Times New Roman" w:cs="Times New Roman"/>
          <w:sz w:val="24"/>
          <w:szCs w:val="24"/>
          <w:vertAlign w:val="subscript"/>
        </w:rPr>
        <w:t>1</w:t>
      </w:r>
      <w:r w:rsidRPr="003844E4">
        <w:rPr>
          <w:rFonts w:ascii="Times New Roman" w:hAnsi="Times New Roman" w:cs="Times New Roman"/>
          <w:sz w:val="24"/>
          <w:szCs w:val="24"/>
        </w:rPr>
        <w:t>: Weight of an empty petri dish; W</w:t>
      </w:r>
      <w:r w:rsidRPr="003844E4">
        <w:rPr>
          <w:rFonts w:ascii="Times New Roman" w:hAnsi="Times New Roman" w:cs="Times New Roman"/>
          <w:sz w:val="24"/>
          <w:szCs w:val="24"/>
          <w:vertAlign w:val="subscript"/>
        </w:rPr>
        <w:t xml:space="preserve">2: </w:t>
      </w:r>
      <w:r w:rsidRPr="003844E4">
        <w:rPr>
          <w:rFonts w:ascii="Times New Roman" w:hAnsi="Times New Roman" w:cs="Times New Roman"/>
          <w:sz w:val="24"/>
          <w:szCs w:val="24"/>
        </w:rPr>
        <w:t>Weight of the petri dish after drying (sample/extract); A</w:t>
      </w:r>
      <w:r w:rsidRPr="003844E4">
        <w:rPr>
          <w:rFonts w:ascii="Times New Roman" w:hAnsi="Times New Roman" w:cs="Times New Roman"/>
          <w:sz w:val="24"/>
          <w:szCs w:val="24"/>
          <w:vertAlign w:val="subscript"/>
        </w:rPr>
        <w:t xml:space="preserve">1: </w:t>
      </w:r>
      <w:r w:rsidRPr="003844E4">
        <w:rPr>
          <w:rFonts w:ascii="Times New Roman" w:hAnsi="Times New Roman" w:cs="Times New Roman"/>
          <w:sz w:val="24"/>
          <w:szCs w:val="24"/>
        </w:rPr>
        <w:t>Weight of an empty silica crucible; A</w:t>
      </w:r>
      <w:r w:rsidRPr="003844E4">
        <w:rPr>
          <w:rFonts w:ascii="Times New Roman" w:hAnsi="Times New Roman" w:cs="Times New Roman"/>
          <w:sz w:val="24"/>
          <w:szCs w:val="24"/>
          <w:vertAlign w:val="subscript"/>
        </w:rPr>
        <w:t xml:space="preserve">2: </w:t>
      </w:r>
      <w:r w:rsidRPr="003844E4">
        <w:rPr>
          <w:rFonts w:ascii="Times New Roman" w:hAnsi="Times New Roman" w:cs="Times New Roman"/>
          <w:sz w:val="24"/>
          <w:szCs w:val="24"/>
        </w:rPr>
        <w:t>Weight of silica crucible with ash</w:t>
      </w:r>
    </w:p>
    <w:p w14:paraId="5E3758F2" w14:textId="77777777" w:rsidR="00321CE4" w:rsidRPr="003844E4" w:rsidRDefault="00D969EF" w:rsidP="00321CE4">
      <w:pPr>
        <w:jc w:val="both"/>
        <w:rPr>
          <w:rFonts w:ascii="Times New Roman" w:hAnsi="Times New Roman" w:cs="Times New Roman"/>
          <w:b/>
          <w:bCs/>
          <w:sz w:val="24"/>
          <w:szCs w:val="24"/>
          <w:vertAlign w:val="superscript"/>
        </w:rPr>
      </w:pPr>
      <w:r>
        <w:rPr>
          <w:rFonts w:ascii="Times New Roman" w:hAnsi="Times New Roman" w:cs="Times New Roman"/>
          <w:b/>
          <w:bCs/>
          <w:sz w:val="24"/>
          <w:szCs w:val="24"/>
        </w:rPr>
        <w:t>D. Phytochemical Study</w:t>
      </w:r>
      <w:r>
        <w:rPr>
          <w:rFonts w:ascii="Times New Roman" w:hAnsi="Times New Roman" w:cs="Times New Roman"/>
          <w:b/>
          <w:bCs/>
          <w:sz w:val="24"/>
          <w:szCs w:val="24"/>
          <w:highlight w:val="yellow"/>
          <w:vertAlign w:val="superscript"/>
        </w:rPr>
        <w:t xml:space="preserve"> (Kokate et al., 2018)</w:t>
      </w:r>
    </w:p>
    <w:p w14:paraId="0C5C1F0C"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b/>
          <w:bCs/>
          <w:sz w:val="24"/>
          <w:szCs w:val="24"/>
        </w:rPr>
        <w:t xml:space="preserve">Material – </w:t>
      </w:r>
      <w:r>
        <w:rPr>
          <w:rFonts w:ascii="Times New Roman" w:hAnsi="Times New Roman" w:cs="Times New Roman"/>
          <w:sz w:val="24"/>
          <w:szCs w:val="24"/>
        </w:rPr>
        <w:t xml:space="preserve">Aqueous, alcoholic extract of powder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Fonts w:ascii="Times New Roman" w:hAnsi="Times New Roman" w:cs="Times New Roman"/>
          <w:i/>
          <w:iCs/>
          <w:sz w:val="24"/>
          <w:szCs w:val="24"/>
        </w:rPr>
        <w:t xml:space="preserve">Vigna trilobata </w:t>
      </w:r>
      <w:r>
        <w:rPr>
          <w:rFonts w:ascii="Times New Roman" w:hAnsi="Times New Roman" w:cs="Times New Roman"/>
          <w:sz w:val="24"/>
          <w:szCs w:val="24"/>
        </w:rPr>
        <w:t>Linn.) Dropper, Measuring cylinder, Conical flask, Beakers, Funnel, Test tubes, Test tube holder, Test tube stand, Filter paper (Whatman 41), Distilled water, Dragendroff’s reagent, Hydrochloric acid (HCl), Glacial Acetic acid, 10 % Ferric chloride (FeCl</w:t>
      </w:r>
      <w:r>
        <w:rPr>
          <w:rFonts w:ascii="Times New Roman" w:hAnsi="Times New Roman" w:cs="Times New Roman"/>
          <w:sz w:val="24"/>
          <w:szCs w:val="24"/>
          <w:vertAlign w:val="subscript"/>
        </w:rPr>
        <w:t>3</w:t>
      </w:r>
      <w:r>
        <w:rPr>
          <w:rFonts w:ascii="Times New Roman" w:hAnsi="Times New Roman" w:cs="Times New Roman"/>
          <w:sz w:val="24"/>
          <w:szCs w:val="24"/>
        </w:rPr>
        <w:t>), Sodium Bicarbonate, Concentrated Sulphuric acid (H</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 Millon’s reagent, Fehling’s Solution A &amp; B, Chloroform, Copper sulphate (CuSO</w:t>
      </w:r>
      <w:r>
        <w:rPr>
          <w:rFonts w:ascii="Times New Roman" w:hAnsi="Times New Roman" w:cs="Times New Roman"/>
          <w:sz w:val="24"/>
          <w:szCs w:val="24"/>
          <w:vertAlign w:val="subscript"/>
        </w:rPr>
        <w:t>4</w:t>
      </w:r>
      <w:r>
        <w:rPr>
          <w:rFonts w:ascii="Times New Roman" w:hAnsi="Times New Roman" w:cs="Times New Roman"/>
          <w:sz w:val="24"/>
          <w:szCs w:val="24"/>
        </w:rPr>
        <w:t>), Potassium Hydroxide (KOH) and Sodium Hydroxide (NaOH).</w:t>
      </w:r>
    </w:p>
    <w:p w14:paraId="451FCEC0" w14:textId="77777777" w:rsidR="00321CE4" w:rsidRPr="003844E4" w:rsidRDefault="00321CE4" w:rsidP="00321CE4">
      <w:pPr>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Procedure – </w:t>
      </w:r>
      <w:r>
        <w:rPr>
          <w:rFonts w:ascii="Times New Roman" w:hAnsi="Times New Roman" w:cs="Times New Roman"/>
          <w:sz w:val="24"/>
          <w:szCs w:val="24"/>
        </w:rPr>
        <w:t xml:space="preserve">Extracts of </w:t>
      </w:r>
      <w:r>
        <w:rPr>
          <w:rFonts w:ascii="Times New Roman" w:hAnsi="Times New Roman" w:cs="Times New Roman"/>
          <w:i/>
          <w:iCs/>
          <w:sz w:val="24"/>
          <w:szCs w:val="24"/>
        </w:rPr>
        <w:t>Mudgaparni</w:t>
      </w:r>
      <w:r>
        <w:rPr>
          <w:rFonts w:ascii="Times New Roman" w:hAnsi="Times New Roman" w:cs="Times New Roman"/>
          <w:sz w:val="24"/>
          <w:szCs w:val="24"/>
        </w:rPr>
        <w:t xml:space="preserve">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were prepared by the cold maceration method using a rotary shaker. Approximately 5 gm of the coarsely powdered drug was accurately weighed and macerated with 50 ml of distilled water or ethanol (1:10 w/v) in a stoppered conical flask. The mixture was shaken continuously on a rotary shaker for 6 hours and then allowed to stand undisturbed for the remaining 18 hours. The extract was filtered successively through muslin cloth and Whatman No. 41 filter paper to obtain a clear filtrate, which was used for preliminary phytochemical screening</w:t>
      </w:r>
      <w:r>
        <w:rPr>
          <w:rFonts w:ascii="Times New Roman" w:hAnsi="Times New Roman" w:cs="Times New Roman"/>
        </w:rPr>
        <w:t xml:space="preserve">. </w:t>
      </w:r>
      <w:r>
        <w:rPr>
          <w:rFonts w:ascii="Times New Roman" w:hAnsi="Times New Roman" w:cs="Times New Roman"/>
          <w:b/>
          <w:bCs/>
        </w:rPr>
        <w:t>(</w:t>
      </w:r>
      <w:r>
        <w:rPr>
          <w:rFonts w:ascii="Times New Roman" w:hAnsi="Times New Roman" w:cs="Times New Roman"/>
          <w:b/>
          <w:bCs/>
          <w:sz w:val="24"/>
          <w:szCs w:val="24"/>
        </w:rPr>
        <w:t>Table.2</w:t>
      </w:r>
      <w:r>
        <w:rPr>
          <w:rFonts w:ascii="Times New Roman" w:hAnsi="Times New Roman" w:cs="Times New Roman"/>
          <w:b/>
          <w:bCs/>
        </w:rPr>
        <w:t>)</w:t>
      </w:r>
    </w:p>
    <w:p w14:paraId="704B68D9" w14:textId="77777777" w:rsidR="003C7608" w:rsidRPr="003844E4" w:rsidRDefault="003C7608" w:rsidP="003C7608">
      <w:pPr>
        <w:jc w:val="center"/>
        <w:rPr>
          <w:rFonts w:ascii="Times New Roman" w:hAnsi="Times New Roman" w:cs="Times New Roman"/>
          <w:b/>
          <w:bCs/>
          <w:sz w:val="24"/>
          <w:szCs w:val="24"/>
        </w:rPr>
      </w:pPr>
      <w:r w:rsidRPr="003844E4">
        <w:rPr>
          <w:rFonts w:ascii="Times New Roman" w:hAnsi="Times New Roman" w:cs="Times New Roman"/>
          <w:b/>
          <w:bCs/>
          <w:sz w:val="24"/>
          <w:szCs w:val="24"/>
        </w:rPr>
        <w:t>Table</w:t>
      </w:r>
      <w:r w:rsidR="00C43E4C" w:rsidRPr="003844E4">
        <w:rPr>
          <w:rFonts w:ascii="Times New Roman" w:hAnsi="Times New Roman" w:cs="Times New Roman"/>
          <w:b/>
          <w:bCs/>
          <w:sz w:val="24"/>
          <w:szCs w:val="24"/>
        </w:rPr>
        <w:t>.2</w:t>
      </w:r>
      <w:r w:rsidRPr="003844E4">
        <w:rPr>
          <w:rFonts w:ascii="Times New Roman" w:hAnsi="Times New Roman" w:cs="Times New Roman"/>
          <w:b/>
          <w:bCs/>
          <w:sz w:val="24"/>
          <w:szCs w:val="24"/>
        </w:rPr>
        <w:t>:</w:t>
      </w:r>
      <w:r w:rsidR="00434DE8" w:rsidRPr="003844E4">
        <w:rPr>
          <w:rFonts w:ascii="Times New Roman" w:hAnsi="Times New Roman" w:cs="Times New Roman"/>
          <w:b/>
          <w:bCs/>
          <w:sz w:val="24"/>
          <w:szCs w:val="24"/>
        </w:rPr>
        <w:t xml:space="preserve"> Phytochemical test, procedure</w:t>
      </w:r>
      <w:r w:rsidR="003A5329" w:rsidRPr="003844E4">
        <w:rPr>
          <w:rFonts w:ascii="Times New Roman" w:hAnsi="Times New Roman" w:cs="Times New Roman"/>
          <w:b/>
          <w:bCs/>
          <w:sz w:val="24"/>
          <w:szCs w:val="24"/>
        </w:rPr>
        <w:t>, observation for detection of Primary &amp; Seconadry Metabolite</w:t>
      </w:r>
      <w:r w:rsidR="00434DE8" w:rsidRPr="003844E4">
        <w:rPr>
          <w:rFonts w:ascii="Times New Roman" w:hAnsi="Times New Roman" w:cs="Times New Roman"/>
          <w:b/>
          <w:bCs/>
          <w:sz w:val="24"/>
          <w:szCs w:val="24"/>
        </w:rPr>
        <w:t xml:space="preserve"> </w:t>
      </w:r>
    </w:p>
    <w:tbl>
      <w:tblPr>
        <w:tblStyle w:val="TableGrid"/>
        <w:tblW w:w="0" w:type="auto"/>
        <w:tblLook w:val="04A0" w:firstRow="1" w:lastRow="0" w:firstColumn="1" w:lastColumn="0" w:noHBand="0" w:noVBand="1"/>
      </w:tblPr>
      <w:tblGrid>
        <w:gridCol w:w="1452"/>
        <w:gridCol w:w="1636"/>
        <w:gridCol w:w="1696"/>
        <w:gridCol w:w="2380"/>
        <w:gridCol w:w="2078"/>
      </w:tblGrid>
      <w:tr w:rsidR="00321CE4" w:rsidRPr="003844E4" w14:paraId="226799BC" w14:textId="77777777" w:rsidTr="00016E00">
        <w:tc>
          <w:tcPr>
            <w:tcW w:w="1452" w:type="dxa"/>
          </w:tcPr>
          <w:p w14:paraId="18024984" w14:textId="77777777" w:rsidR="00321CE4" w:rsidRPr="003844E4" w:rsidRDefault="00321CE4" w:rsidP="00016E00">
            <w:pPr>
              <w:jc w:val="both"/>
              <w:rPr>
                <w:rFonts w:ascii="Times New Roman" w:hAnsi="Times New Roman" w:cs="Times New Roman"/>
                <w:b/>
                <w:bCs/>
                <w:sz w:val="24"/>
                <w:szCs w:val="24"/>
              </w:rPr>
            </w:pPr>
            <w:r w:rsidRPr="003844E4">
              <w:rPr>
                <w:rFonts w:ascii="Times New Roman" w:hAnsi="Times New Roman" w:cs="Times New Roman"/>
                <w:b/>
                <w:bCs/>
                <w:sz w:val="24"/>
                <w:szCs w:val="24"/>
              </w:rPr>
              <w:t>Category of Metabolite</w:t>
            </w:r>
          </w:p>
        </w:tc>
        <w:tc>
          <w:tcPr>
            <w:tcW w:w="1636" w:type="dxa"/>
          </w:tcPr>
          <w:p w14:paraId="2ACB0A05" w14:textId="77777777" w:rsidR="00321CE4" w:rsidRPr="003844E4" w:rsidRDefault="00321CE4" w:rsidP="00016E00">
            <w:pPr>
              <w:jc w:val="both"/>
              <w:rPr>
                <w:rFonts w:ascii="Times New Roman" w:hAnsi="Times New Roman" w:cs="Times New Roman"/>
                <w:b/>
                <w:bCs/>
                <w:sz w:val="24"/>
                <w:szCs w:val="24"/>
              </w:rPr>
            </w:pPr>
            <w:r w:rsidRPr="003844E4">
              <w:rPr>
                <w:rFonts w:ascii="Times New Roman" w:hAnsi="Times New Roman" w:cs="Times New Roman"/>
                <w:b/>
                <w:bCs/>
                <w:sz w:val="24"/>
                <w:szCs w:val="24"/>
              </w:rPr>
              <w:t>Name of Metabolite</w:t>
            </w:r>
          </w:p>
        </w:tc>
        <w:tc>
          <w:tcPr>
            <w:tcW w:w="1696" w:type="dxa"/>
          </w:tcPr>
          <w:p w14:paraId="4A4C3D14" w14:textId="77777777" w:rsidR="00321CE4" w:rsidRPr="003844E4" w:rsidRDefault="00321CE4" w:rsidP="00016E00">
            <w:pPr>
              <w:jc w:val="both"/>
              <w:rPr>
                <w:rFonts w:ascii="Times New Roman" w:hAnsi="Times New Roman" w:cs="Times New Roman"/>
                <w:b/>
                <w:bCs/>
                <w:sz w:val="24"/>
                <w:szCs w:val="24"/>
              </w:rPr>
            </w:pPr>
            <w:r w:rsidRPr="003844E4">
              <w:rPr>
                <w:rFonts w:ascii="Times New Roman" w:hAnsi="Times New Roman" w:cs="Times New Roman"/>
                <w:b/>
                <w:bCs/>
                <w:sz w:val="24"/>
                <w:szCs w:val="24"/>
              </w:rPr>
              <w:t>Detection Test</w:t>
            </w:r>
          </w:p>
        </w:tc>
        <w:tc>
          <w:tcPr>
            <w:tcW w:w="2380" w:type="dxa"/>
          </w:tcPr>
          <w:p w14:paraId="69D00B3E" w14:textId="77777777" w:rsidR="00321CE4" w:rsidRPr="003844E4" w:rsidRDefault="00321CE4" w:rsidP="00016E00">
            <w:pPr>
              <w:jc w:val="both"/>
              <w:rPr>
                <w:rFonts w:ascii="Times New Roman" w:hAnsi="Times New Roman" w:cs="Times New Roman"/>
                <w:b/>
                <w:bCs/>
                <w:sz w:val="24"/>
                <w:szCs w:val="24"/>
              </w:rPr>
            </w:pPr>
            <w:r w:rsidRPr="003844E4">
              <w:rPr>
                <w:rFonts w:ascii="Times New Roman" w:hAnsi="Times New Roman" w:cs="Times New Roman"/>
                <w:b/>
                <w:bCs/>
                <w:sz w:val="24"/>
                <w:szCs w:val="24"/>
              </w:rPr>
              <w:t>Procedure</w:t>
            </w:r>
          </w:p>
        </w:tc>
        <w:tc>
          <w:tcPr>
            <w:tcW w:w="2078" w:type="dxa"/>
          </w:tcPr>
          <w:p w14:paraId="6D4C47B3" w14:textId="77777777" w:rsidR="00321CE4" w:rsidRPr="003844E4" w:rsidRDefault="00321CE4" w:rsidP="00016E00">
            <w:pPr>
              <w:jc w:val="both"/>
              <w:rPr>
                <w:rFonts w:ascii="Times New Roman" w:hAnsi="Times New Roman" w:cs="Times New Roman"/>
                <w:b/>
                <w:bCs/>
                <w:sz w:val="24"/>
                <w:szCs w:val="24"/>
              </w:rPr>
            </w:pPr>
            <w:r w:rsidRPr="003844E4">
              <w:rPr>
                <w:rFonts w:ascii="Times New Roman" w:hAnsi="Times New Roman" w:cs="Times New Roman"/>
                <w:b/>
                <w:bCs/>
                <w:sz w:val="24"/>
                <w:szCs w:val="24"/>
              </w:rPr>
              <w:t>Observation</w:t>
            </w:r>
          </w:p>
        </w:tc>
      </w:tr>
      <w:tr w:rsidR="00321CE4" w:rsidRPr="003844E4" w14:paraId="674A460D" w14:textId="77777777" w:rsidTr="00016E00">
        <w:tc>
          <w:tcPr>
            <w:tcW w:w="1452" w:type="dxa"/>
            <w:vMerge w:val="restart"/>
          </w:tcPr>
          <w:p w14:paraId="7B8196F0"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Primary</w:t>
            </w:r>
          </w:p>
        </w:tc>
        <w:tc>
          <w:tcPr>
            <w:tcW w:w="1636" w:type="dxa"/>
          </w:tcPr>
          <w:p w14:paraId="358866A1"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Carbohydrate</w:t>
            </w:r>
          </w:p>
        </w:tc>
        <w:tc>
          <w:tcPr>
            <w:tcW w:w="1696" w:type="dxa"/>
          </w:tcPr>
          <w:p w14:paraId="4CD608A0"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Fehling’s Test</w:t>
            </w:r>
          </w:p>
        </w:tc>
        <w:tc>
          <w:tcPr>
            <w:tcW w:w="2380" w:type="dxa"/>
          </w:tcPr>
          <w:p w14:paraId="4A15CFAB"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2 ml aqueous/ alcoholic filtrate, add 1 ml of each Fehling A &amp; Fehling B to it then boil it for 5-10 minutes on a water bath </w:t>
            </w:r>
          </w:p>
        </w:tc>
        <w:tc>
          <w:tcPr>
            <w:tcW w:w="2078" w:type="dxa"/>
          </w:tcPr>
          <w:p w14:paraId="41CCC264"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Red precpitate</w:t>
            </w:r>
          </w:p>
        </w:tc>
      </w:tr>
      <w:tr w:rsidR="00321CE4" w:rsidRPr="003844E4" w14:paraId="259D77AC" w14:textId="77777777" w:rsidTr="00016E00">
        <w:tc>
          <w:tcPr>
            <w:tcW w:w="1452" w:type="dxa"/>
            <w:vMerge/>
          </w:tcPr>
          <w:p w14:paraId="276E44C1" w14:textId="77777777" w:rsidR="00321CE4" w:rsidRPr="003844E4" w:rsidRDefault="00321CE4" w:rsidP="00016E00">
            <w:pPr>
              <w:jc w:val="both"/>
              <w:rPr>
                <w:rFonts w:ascii="Times New Roman" w:hAnsi="Times New Roman" w:cs="Times New Roman"/>
                <w:sz w:val="24"/>
                <w:szCs w:val="24"/>
              </w:rPr>
            </w:pPr>
          </w:p>
        </w:tc>
        <w:tc>
          <w:tcPr>
            <w:tcW w:w="1636" w:type="dxa"/>
          </w:tcPr>
          <w:p w14:paraId="4C506665"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Proteins</w:t>
            </w:r>
          </w:p>
        </w:tc>
        <w:tc>
          <w:tcPr>
            <w:tcW w:w="1696" w:type="dxa"/>
          </w:tcPr>
          <w:p w14:paraId="43751911"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Milon’s Test</w:t>
            </w:r>
          </w:p>
        </w:tc>
        <w:tc>
          <w:tcPr>
            <w:tcW w:w="2380" w:type="dxa"/>
          </w:tcPr>
          <w:p w14:paraId="7E4F7BFC"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1 ml of aqueous/ alcoholic filtrate, add 5 ml of distilled water and few (2-3) drops of Milon’s reagent </w:t>
            </w:r>
          </w:p>
        </w:tc>
        <w:tc>
          <w:tcPr>
            <w:tcW w:w="2078" w:type="dxa"/>
          </w:tcPr>
          <w:p w14:paraId="4A547872"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White precipitate</w:t>
            </w:r>
          </w:p>
        </w:tc>
      </w:tr>
      <w:tr w:rsidR="00321CE4" w:rsidRPr="003844E4" w14:paraId="6605CD69" w14:textId="77777777" w:rsidTr="00016E00">
        <w:tc>
          <w:tcPr>
            <w:tcW w:w="1452" w:type="dxa"/>
            <w:vMerge w:val="restart"/>
          </w:tcPr>
          <w:p w14:paraId="2504B530"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Secondary</w:t>
            </w:r>
          </w:p>
        </w:tc>
        <w:tc>
          <w:tcPr>
            <w:tcW w:w="1636" w:type="dxa"/>
          </w:tcPr>
          <w:p w14:paraId="40A7B2A7"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Alkaloid</w:t>
            </w:r>
          </w:p>
        </w:tc>
        <w:tc>
          <w:tcPr>
            <w:tcW w:w="1696" w:type="dxa"/>
          </w:tcPr>
          <w:p w14:paraId="7C7D7DB1"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Drangendroff’s Test</w:t>
            </w:r>
          </w:p>
        </w:tc>
        <w:tc>
          <w:tcPr>
            <w:tcW w:w="2380" w:type="dxa"/>
          </w:tcPr>
          <w:p w14:paraId="754BE503"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2 ml aqueous/ alcoholic filtrate, add few drops of dil. HCl then filter it to add 1 ml of Drangendroff reagent</w:t>
            </w:r>
          </w:p>
        </w:tc>
        <w:tc>
          <w:tcPr>
            <w:tcW w:w="2078" w:type="dxa"/>
          </w:tcPr>
          <w:p w14:paraId="7B9D8BB6"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Orange or Red precipitate</w:t>
            </w:r>
          </w:p>
        </w:tc>
      </w:tr>
      <w:tr w:rsidR="00321CE4" w:rsidRPr="003844E4" w14:paraId="637740D7" w14:textId="77777777" w:rsidTr="00016E00">
        <w:tc>
          <w:tcPr>
            <w:tcW w:w="1452" w:type="dxa"/>
            <w:vMerge/>
          </w:tcPr>
          <w:p w14:paraId="07A61E93" w14:textId="77777777" w:rsidR="00321CE4" w:rsidRPr="003844E4" w:rsidRDefault="00321CE4" w:rsidP="00016E00">
            <w:pPr>
              <w:jc w:val="both"/>
              <w:rPr>
                <w:rFonts w:ascii="Times New Roman" w:hAnsi="Times New Roman" w:cs="Times New Roman"/>
                <w:sz w:val="24"/>
                <w:szCs w:val="24"/>
              </w:rPr>
            </w:pPr>
          </w:p>
        </w:tc>
        <w:tc>
          <w:tcPr>
            <w:tcW w:w="1636" w:type="dxa"/>
          </w:tcPr>
          <w:p w14:paraId="0AEF9053"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Tannins</w:t>
            </w:r>
          </w:p>
        </w:tc>
        <w:tc>
          <w:tcPr>
            <w:tcW w:w="1696" w:type="dxa"/>
          </w:tcPr>
          <w:p w14:paraId="238065FE"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Ferric Chloride Test</w:t>
            </w:r>
          </w:p>
        </w:tc>
        <w:tc>
          <w:tcPr>
            <w:tcW w:w="2380" w:type="dxa"/>
          </w:tcPr>
          <w:p w14:paraId="0FD590B3"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1 ml of aqueous/ alcoholic filtrate, add 5 ml of distilled water and few drops of 10% Ferric Chloride </w:t>
            </w:r>
          </w:p>
        </w:tc>
        <w:tc>
          <w:tcPr>
            <w:tcW w:w="2078" w:type="dxa"/>
          </w:tcPr>
          <w:p w14:paraId="0F1CEB30"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Bluish-black or Brownish-green precipitate</w:t>
            </w:r>
          </w:p>
        </w:tc>
      </w:tr>
      <w:tr w:rsidR="00321CE4" w:rsidRPr="003844E4" w14:paraId="53E603C3" w14:textId="77777777" w:rsidTr="00016E00">
        <w:tc>
          <w:tcPr>
            <w:tcW w:w="1452" w:type="dxa"/>
            <w:vMerge/>
          </w:tcPr>
          <w:p w14:paraId="70FF5EFB" w14:textId="77777777" w:rsidR="00321CE4" w:rsidRPr="003844E4" w:rsidRDefault="00321CE4" w:rsidP="00016E00">
            <w:pPr>
              <w:jc w:val="both"/>
              <w:rPr>
                <w:rFonts w:ascii="Times New Roman" w:hAnsi="Times New Roman" w:cs="Times New Roman"/>
                <w:sz w:val="24"/>
                <w:szCs w:val="24"/>
              </w:rPr>
            </w:pPr>
          </w:p>
        </w:tc>
        <w:tc>
          <w:tcPr>
            <w:tcW w:w="1636" w:type="dxa"/>
          </w:tcPr>
          <w:p w14:paraId="0FEBAC16"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Flavonoids</w:t>
            </w:r>
          </w:p>
        </w:tc>
        <w:tc>
          <w:tcPr>
            <w:tcW w:w="1696" w:type="dxa"/>
          </w:tcPr>
          <w:p w14:paraId="5F3586DB"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Alkaline Test</w:t>
            </w:r>
          </w:p>
        </w:tc>
        <w:tc>
          <w:tcPr>
            <w:tcW w:w="2380" w:type="dxa"/>
          </w:tcPr>
          <w:p w14:paraId="2383689C"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1 ml of aqueous/ alcoholic filtrate, add few drops of 20%  Sodium Hydroxide and then dil. HCl is added</w:t>
            </w:r>
          </w:p>
        </w:tc>
        <w:tc>
          <w:tcPr>
            <w:tcW w:w="2078" w:type="dxa"/>
          </w:tcPr>
          <w:p w14:paraId="0350F57A"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Yellow colour solution turns colourless (on addition of dil. HCl)</w:t>
            </w:r>
          </w:p>
        </w:tc>
      </w:tr>
      <w:tr w:rsidR="00321CE4" w:rsidRPr="003844E4" w14:paraId="4A168CF7" w14:textId="77777777" w:rsidTr="00016E00">
        <w:tc>
          <w:tcPr>
            <w:tcW w:w="1452" w:type="dxa"/>
            <w:vMerge/>
          </w:tcPr>
          <w:p w14:paraId="3A2B43C2" w14:textId="77777777" w:rsidR="00321CE4" w:rsidRPr="003844E4" w:rsidRDefault="00321CE4" w:rsidP="00016E00">
            <w:pPr>
              <w:jc w:val="both"/>
              <w:rPr>
                <w:rFonts w:ascii="Times New Roman" w:hAnsi="Times New Roman" w:cs="Times New Roman"/>
                <w:sz w:val="24"/>
                <w:szCs w:val="24"/>
              </w:rPr>
            </w:pPr>
          </w:p>
        </w:tc>
        <w:tc>
          <w:tcPr>
            <w:tcW w:w="1636" w:type="dxa"/>
          </w:tcPr>
          <w:p w14:paraId="28D333E2"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Saponins</w:t>
            </w:r>
          </w:p>
        </w:tc>
        <w:tc>
          <w:tcPr>
            <w:tcW w:w="1696" w:type="dxa"/>
          </w:tcPr>
          <w:p w14:paraId="497A26BD"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Froth Formation Test</w:t>
            </w:r>
          </w:p>
        </w:tc>
        <w:tc>
          <w:tcPr>
            <w:tcW w:w="2380" w:type="dxa"/>
          </w:tcPr>
          <w:p w14:paraId="6E2CFEFE"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2.5 ml aqueous/ alcoholic filtrate, add 10 ml distilled water and shake vigorously for 2 minutes</w:t>
            </w:r>
          </w:p>
        </w:tc>
        <w:tc>
          <w:tcPr>
            <w:tcW w:w="2078" w:type="dxa"/>
          </w:tcPr>
          <w:p w14:paraId="4F3F4A69"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Froth forms</w:t>
            </w:r>
          </w:p>
        </w:tc>
      </w:tr>
      <w:tr w:rsidR="00321CE4" w:rsidRPr="003844E4" w14:paraId="6E1FAB1A" w14:textId="77777777" w:rsidTr="00016E00">
        <w:tc>
          <w:tcPr>
            <w:tcW w:w="1452" w:type="dxa"/>
            <w:vMerge/>
          </w:tcPr>
          <w:p w14:paraId="5E2AAC02" w14:textId="77777777" w:rsidR="00321CE4" w:rsidRPr="003844E4" w:rsidRDefault="00321CE4" w:rsidP="00016E00">
            <w:pPr>
              <w:jc w:val="both"/>
              <w:rPr>
                <w:rFonts w:ascii="Times New Roman" w:hAnsi="Times New Roman" w:cs="Times New Roman"/>
                <w:sz w:val="24"/>
                <w:szCs w:val="24"/>
              </w:rPr>
            </w:pPr>
          </w:p>
        </w:tc>
        <w:tc>
          <w:tcPr>
            <w:tcW w:w="1636" w:type="dxa"/>
          </w:tcPr>
          <w:p w14:paraId="26159F1F"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Glycoside</w:t>
            </w:r>
          </w:p>
        </w:tc>
        <w:tc>
          <w:tcPr>
            <w:tcW w:w="1696" w:type="dxa"/>
          </w:tcPr>
          <w:p w14:paraId="26862C4C"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Keller-Killiani Test</w:t>
            </w:r>
          </w:p>
        </w:tc>
        <w:tc>
          <w:tcPr>
            <w:tcW w:w="2380" w:type="dxa"/>
          </w:tcPr>
          <w:p w14:paraId="045E36C1"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1 ml of aqueous/ alcoholic filtrate, add </w:t>
            </w:r>
            <w:r w:rsidRPr="003844E4">
              <w:rPr>
                <w:rFonts w:ascii="Times New Roman" w:hAnsi="Times New Roman" w:cs="Times New Roman"/>
                <w:sz w:val="24"/>
                <w:szCs w:val="24"/>
              </w:rPr>
              <w:lastRenderedPageBreak/>
              <w:t>1ml Glacial Acetic acid, few drops of 10% Ferric Chloride solution and conc. Sulphuric acid</w:t>
            </w:r>
          </w:p>
        </w:tc>
        <w:tc>
          <w:tcPr>
            <w:tcW w:w="2078" w:type="dxa"/>
          </w:tcPr>
          <w:p w14:paraId="2D67471B"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lastRenderedPageBreak/>
              <w:t xml:space="preserve">Reddish-brown ring at junction of </w:t>
            </w:r>
            <w:r w:rsidRPr="003844E4">
              <w:rPr>
                <w:rFonts w:ascii="Times New Roman" w:hAnsi="Times New Roman" w:cs="Times New Roman"/>
                <w:sz w:val="24"/>
                <w:szCs w:val="24"/>
              </w:rPr>
              <w:lastRenderedPageBreak/>
              <w:t>two layers</w:t>
            </w:r>
          </w:p>
        </w:tc>
      </w:tr>
      <w:tr w:rsidR="00321CE4" w:rsidRPr="003844E4" w14:paraId="26B09D07" w14:textId="77777777" w:rsidTr="00016E00">
        <w:tc>
          <w:tcPr>
            <w:tcW w:w="1452" w:type="dxa"/>
            <w:vMerge/>
          </w:tcPr>
          <w:p w14:paraId="4FF3EB8C" w14:textId="77777777" w:rsidR="00321CE4" w:rsidRPr="003844E4" w:rsidRDefault="00321CE4" w:rsidP="00016E00">
            <w:pPr>
              <w:jc w:val="both"/>
              <w:rPr>
                <w:rFonts w:ascii="Times New Roman" w:hAnsi="Times New Roman" w:cs="Times New Roman"/>
                <w:sz w:val="24"/>
                <w:szCs w:val="24"/>
              </w:rPr>
            </w:pPr>
          </w:p>
        </w:tc>
        <w:tc>
          <w:tcPr>
            <w:tcW w:w="1636" w:type="dxa"/>
          </w:tcPr>
          <w:p w14:paraId="5BA0314D"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Sterols</w:t>
            </w:r>
          </w:p>
        </w:tc>
        <w:tc>
          <w:tcPr>
            <w:tcW w:w="1696" w:type="dxa"/>
          </w:tcPr>
          <w:p w14:paraId="2B902FD7"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Salkowski Test</w:t>
            </w:r>
          </w:p>
        </w:tc>
        <w:tc>
          <w:tcPr>
            <w:tcW w:w="2380" w:type="dxa"/>
          </w:tcPr>
          <w:p w14:paraId="55880EEA"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2 ml of aqueous/ alcoholic filtrate, add 2 ml Chloroform and conc. Sulphuric acid</w:t>
            </w:r>
          </w:p>
        </w:tc>
        <w:tc>
          <w:tcPr>
            <w:tcW w:w="2078" w:type="dxa"/>
          </w:tcPr>
          <w:p w14:paraId="5FB10F9B"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Pink or Red colour ring</w:t>
            </w:r>
          </w:p>
        </w:tc>
      </w:tr>
      <w:tr w:rsidR="00321CE4" w:rsidRPr="003844E4" w14:paraId="434B27EE" w14:textId="77777777" w:rsidTr="00016E00">
        <w:tc>
          <w:tcPr>
            <w:tcW w:w="1452" w:type="dxa"/>
            <w:vMerge/>
          </w:tcPr>
          <w:p w14:paraId="6084E8B6" w14:textId="77777777" w:rsidR="00321CE4" w:rsidRPr="003844E4" w:rsidRDefault="00321CE4" w:rsidP="00016E00">
            <w:pPr>
              <w:jc w:val="both"/>
              <w:rPr>
                <w:rFonts w:ascii="Times New Roman" w:hAnsi="Times New Roman" w:cs="Times New Roman"/>
                <w:sz w:val="24"/>
                <w:szCs w:val="24"/>
              </w:rPr>
            </w:pPr>
          </w:p>
        </w:tc>
        <w:tc>
          <w:tcPr>
            <w:tcW w:w="1636" w:type="dxa"/>
          </w:tcPr>
          <w:p w14:paraId="65E07FC8"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Phenols</w:t>
            </w:r>
          </w:p>
        </w:tc>
        <w:tc>
          <w:tcPr>
            <w:tcW w:w="1696" w:type="dxa"/>
          </w:tcPr>
          <w:p w14:paraId="70930A8C"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Ferric Chloride Test</w:t>
            </w:r>
          </w:p>
        </w:tc>
        <w:tc>
          <w:tcPr>
            <w:tcW w:w="2380" w:type="dxa"/>
          </w:tcPr>
          <w:p w14:paraId="54089678"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2 ml of aqueous/ alcoholic filtrate (warm), add 2 ml of 10% Ferric Chloride solution</w:t>
            </w:r>
          </w:p>
        </w:tc>
        <w:tc>
          <w:tcPr>
            <w:tcW w:w="2078" w:type="dxa"/>
          </w:tcPr>
          <w:p w14:paraId="68814BF0"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Blue or Green colour</w:t>
            </w:r>
          </w:p>
        </w:tc>
      </w:tr>
    </w:tbl>
    <w:p w14:paraId="3547A4F6" w14:textId="77777777" w:rsidR="00321CE4" w:rsidRPr="003844E4" w:rsidRDefault="00321CE4" w:rsidP="00321CE4">
      <w:pPr>
        <w:jc w:val="both"/>
        <w:rPr>
          <w:rFonts w:ascii="Times New Roman" w:hAnsi="Times New Roman" w:cs="Times New Roman"/>
          <w:sz w:val="24"/>
          <w:szCs w:val="24"/>
        </w:rPr>
      </w:pPr>
    </w:p>
    <w:p w14:paraId="1890407F"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E. High Performance Thin Layer Chromatography Study</w:t>
      </w:r>
    </w:p>
    <w:p w14:paraId="7106F46B" w14:textId="77777777" w:rsidR="00321CE4" w:rsidRPr="003844E4" w:rsidRDefault="00321CE4" w:rsidP="00321CE4">
      <w:pPr>
        <w:jc w:val="both"/>
        <w:rPr>
          <w:rFonts w:ascii="Times New Roman" w:hAnsi="Times New Roman" w:cs="Times New Roman"/>
          <w:sz w:val="24"/>
          <w:szCs w:val="24"/>
        </w:rPr>
      </w:pPr>
      <w:r>
        <w:rPr>
          <w:rFonts w:ascii="Times New Roman" w:hAnsi="Times New Roman" w:cs="Times New Roman"/>
          <w:sz w:val="24"/>
          <w:szCs w:val="24"/>
        </w:rPr>
        <w:t xml:space="preserve">The High Performance Thin-Layer Chromatography (HPTLC) of </w:t>
      </w:r>
      <w:r>
        <w:rPr>
          <w:rFonts w:ascii="Times New Roman" w:hAnsi="Times New Roman" w:cs="Times New Roman"/>
          <w:i/>
          <w:iCs/>
          <w:sz w:val="24"/>
          <w:szCs w:val="24"/>
        </w:rPr>
        <w:t xml:space="preserve">Mudgaparni </w:t>
      </w:r>
      <w:r>
        <w:rPr>
          <w:rFonts w:ascii="Times New Roman" w:hAnsi="Times New Roman" w:cs="Times New Roman"/>
          <w:sz w:val="24"/>
          <w:szCs w:val="24"/>
        </w:rPr>
        <w:t>(</w:t>
      </w:r>
      <w:r>
        <w:rPr>
          <w:rFonts w:ascii="Times New Roman" w:hAnsi="Times New Roman" w:cs="Times New Roman"/>
          <w:i/>
          <w:iCs/>
          <w:sz w:val="24"/>
          <w:szCs w:val="24"/>
        </w:rPr>
        <w:t xml:space="preserve">Vigna trilobata </w:t>
      </w:r>
      <w:r>
        <w:rPr>
          <w:rFonts w:ascii="Times New Roman" w:hAnsi="Times New Roman" w:cs="Times New Roman"/>
          <w:sz w:val="24"/>
          <w:szCs w:val="24"/>
        </w:rPr>
        <w:t>Linn.) was performed at Delhi Pharmaceutical Sciences and Research University, New Delhi</w:t>
      </w:r>
      <w:r>
        <w:rPr>
          <w:rFonts w:ascii="Times New Roman" w:hAnsi="Times New Roman" w:cs="Times New Roman"/>
          <w:sz w:val="24"/>
          <w:szCs w:val="24"/>
          <w:highlight w:val="yellow"/>
        </w:rPr>
        <w:t>,</w:t>
      </w:r>
      <w:r>
        <w:rPr>
          <w:rFonts w:ascii="Times New Roman" w:hAnsi="Times New Roman" w:cs="Times New Roman"/>
          <w:sz w:val="24"/>
          <w:szCs w:val="24"/>
        </w:rPr>
        <w:t xml:space="preserve"> on April 01, 2025.</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500 mg sample of </w:t>
      </w:r>
      <w:r>
        <w:rPr>
          <w:rFonts w:ascii="Times New Roman" w:hAnsi="Times New Roman" w:cs="Times New Roman"/>
          <w:i/>
          <w:iCs/>
          <w:sz w:val="24"/>
          <w:szCs w:val="24"/>
        </w:rPr>
        <w:t xml:space="preserve">Mudgaparni </w:t>
      </w:r>
      <w:r>
        <w:rPr>
          <w:rFonts w:ascii="Times New Roman" w:hAnsi="Times New Roman" w:cs="Times New Roman"/>
          <w:sz w:val="24"/>
          <w:szCs w:val="24"/>
        </w:rPr>
        <w:t>(</w:t>
      </w:r>
      <w:r>
        <w:rPr>
          <w:rFonts w:ascii="Times New Roman" w:hAnsi="Times New Roman" w:cs="Times New Roman"/>
          <w:i/>
          <w:iCs/>
          <w:sz w:val="24"/>
          <w:szCs w:val="24"/>
        </w:rPr>
        <w:t xml:space="preserve">Vigna trilobata </w:t>
      </w:r>
      <w:r>
        <w:rPr>
          <w:rFonts w:ascii="Times New Roman" w:hAnsi="Times New Roman" w:cs="Times New Roman"/>
          <w:sz w:val="24"/>
          <w:szCs w:val="24"/>
        </w:rPr>
        <w:t xml:space="preserve">Linn.) powder </w:t>
      </w:r>
      <w:r>
        <w:rPr>
          <w:rFonts w:ascii="Times New Roman" w:hAnsi="Times New Roman" w:cs="Times New Roman"/>
          <w:sz w:val="24"/>
          <w:szCs w:val="24"/>
          <w:highlight w:val="yellow"/>
        </w:rPr>
        <w:t xml:space="preserve">was </w:t>
      </w:r>
      <w:r>
        <w:rPr>
          <w:rFonts w:ascii="Times New Roman" w:hAnsi="Times New Roman" w:cs="Times New Roman"/>
          <w:sz w:val="24"/>
          <w:szCs w:val="24"/>
        </w:rPr>
        <w:t xml:space="preserve">added </w:t>
      </w:r>
      <w:r>
        <w:rPr>
          <w:rFonts w:ascii="Times New Roman" w:hAnsi="Times New Roman" w:cs="Times New Roman"/>
          <w:sz w:val="24"/>
          <w:szCs w:val="24"/>
          <w:highlight w:val="yellow"/>
        </w:rPr>
        <w:t>to</w:t>
      </w:r>
      <w:r>
        <w:rPr>
          <w:rFonts w:ascii="Times New Roman" w:hAnsi="Times New Roman" w:cs="Times New Roman"/>
          <w:sz w:val="24"/>
          <w:szCs w:val="24"/>
        </w:rPr>
        <w:t xml:space="preserve"> 5 ml of </w:t>
      </w:r>
      <w:r>
        <w:rPr>
          <w:rFonts w:ascii="Times New Roman" w:hAnsi="Times New Roman" w:cs="Times New Roman"/>
          <w:sz w:val="24"/>
          <w:szCs w:val="24"/>
          <w:highlight w:val="yellow"/>
        </w:rPr>
        <w:t>e</w:t>
      </w:r>
      <w:r>
        <w:rPr>
          <w:rFonts w:ascii="Times New Roman" w:hAnsi="Times New Roman" w:cs="Times New Roman"/>
          <w:sz w:val="24"/>
          <w:szCs w:val="24"/>
        </w:rPr>
        <w:t xml:space="preserve">thanol. </w:t>
      </w:r>
      <w:r>
        <w:rPr>
          <w:rFonts w:ascii="Times New Roman" w:hAnsi="Times New Roman" w:cs="Times New Roman"/>
          <w:sz w:val="24"/>
          <w:szCs w:val="24"/>
          <w:highlight w:val="yellow"/>
        </w:rPr>
        <w:t>I</w:t>
      </w:r>
      <w:r>
        <w:rPr>
          <w:rFonts w:ascii="Times New Roman" w:hAnsi="Times New Roman" w:cs="Times New Roman"/>
          <w:sz w:val="24"/>
          <w:szCs w:val="24"/>
        </w:rPr>
        <w:t>t was</w:t>
      </w:r>
      <w:r>
        <w:rPr>
          <w:rFonts w:ascii="Times New Roman" w:hAnsi="Times New Roman" w:cs="Times New Roman"/>
          <w:sz w:val="24"/>
          <w:szCs w:val="24"/>
          <w:highlight w:val="yellow"/>
        </w:rPr>
        <w:t xml:space="preserve"> then</w:t>
      </w:r>
      <w:r>
        <w:rPr>
          <w:rFonts w:ascii="Times New Roman" w:hAnsi="Times New Roman" w:cs="Times New Roman"/>
          <w:sz w:val="24"/>
          <w:szCs w:val="24"/>
        </w:rPr>
        <w:t xml:space="preserve"> sonicate</w:t>
      </w:r>
      <w:r>
        <w:rPr>
          <w:rFonts w:ascii="Times New Roman" w:hAnsi="Times New Roman" w:cs="Times New Roman"/>
          <w:sz w:val="24"/>
          <w:szCs w:val="24"/>
          <w:highlight w:val="yellow"/>
        </w:rPr>
        <w:t>d</w:t>
      </w:r>
      <w:r>
        <w:rPr>
          <w:rFonts w:ascii="Times New Roman" w:hAnsi="Times New Roman" w:cs="Times New Roman"/>
          <w:sz w:val="24"/>
          <w:szCs w:val="24"/>
        </w:rPr>
        <w:t xml:space="preserve"> for 10 minutes and centrifuged at 2500/rpm for 10 minutes. The supernatant extract was used for HPTLC </w:t>
      </w:r>
      <w:r>
        <w:rPr>
          <w:rFonts w:ascii="Times New Roman" w:hAnsi="Times New Roman" w:cs="Times New Roman"/>
          <w:sz w:val="24"/>
          <w:szCs w:val="24"/>
          <w:highlight w:val="yellow"/>
        </w:rPr>
        <w:t>a</w:t>
      </w:r>
      <w:r>
        <w:rPr>
          <w:rFonts w:ascii="Times New Roman" w:hAnsi="Times New Roman" w:cs="Times New Roman"/>
          <w:sz w:val="24"/>
          <w:szCs w:val="24"/>
        </w:rPr>
        <w:t>nalysis. According to</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Ayurvedic Pharmacopoeia of India</w:t>
      </w:r>
      <w:r>
        <w:rPr>
          <w:rFonts w:ascii="Times New Roman" w:hAnsi="Times New Roman" w:cs="Times New Roman"/>
          <w:sz w:val="24"/>
          <w:szCs w:val="24"/>
          <w:highlight w:val="yellow"/>
        </w:rPr>
        <w:t>,</w:t>
      </w:r>
      <w:r>
        <w:rPr>
          <w:rFonts w:ascii="Times New Roman" w:hAnsi="Times New Roman" w:cs="Times New Roman"/>
          <w:sz w:val="24"/>
          <w:szCs w:val="24"/>
        </w:rPr>
        <w:t xml:space="preserve"> the main phytoconstituent documented for </w:t>
      </w:r>
      <w:r>
        <w:rPr>
          <w:rFonts w:ascii="Times New Roman" w:hAnsi="Times New Roman" w:cs="Times New Roman"/>
          <w:i/>
          <w:iCs/>
          <w:sz w:val="24"/>
          <w:szCs w:val="24"/>
        </w:rPr>
        <w:t xml:space="preserve">Mudgaparni </w:t>
      </w:r>
      <w:r>
        <w:rPr>
          <w:rFonts w:ascii="Times New Roman" w:hAnsi="Times New Roman" w:cs="Times New Roman"/>
          <w:sz w:val="24"/>
          <w:szCs w:val="24"/>
        </w:rPr>
        <w:t>(</w:t>
      </w:r>
      <w:r>
        <w:rPr>
          <w:rFonts w:ascii="Times New Roman" w:hAnsi="Times New Roman" w:cs="Times New Roman"/>
          <w:i/>
          <w:iCs/>
          <w:sz w:val="24"/>
          <w:szCs w:val="24"/>
        </w:rPr>
        <w:t xml:space="preserve">Vigna trilobata </w:t>
      </w:r>
      <w:r>
        <w:rPr>
          <w:rFonts w:ascii="Times New Roman" w:hAnsi="Times New Roman" w:cs="Times New Roman"/>
          <w:sz w:val="24"/>
          <w:szCs w:val="24"/>
        </w:rPr>
        <w:t>Linn.)</w:t>
      </w:r>
      <w:r>
        <w:rPr>
          <w:rFonts w:ascii="Times New Roman" w:hAnsi="Times New Roman" w:cs="Times New Roman"/>
          <w:i/>
          <w:iCs/>
          <w:sz w:val="24"/>
          <w:szCs w:val="24"/>
        </w:rPr>
        <w:t xml:space="preserve"> </w:t>
      </w:r>
      <w:r>
        <w:rPr>
          <w:rFonts w:ascii="Times New Roman" w:hAnsi="Times New Roman" w:cs="Times New Roman"/>
          <w:sz w:val="24"/>
          <w:szCs w:val="24"/>
        </w:rPr>
        <w:t>is sterols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theref</w:t>
      </w:r>
      <w:r>
        <w:rPr>
          <w:rFonts w:ascii="Times New Roman" w:hAnsi="Times New Roman" w:cs="Times New Roman"/>
          <w:sz w:val="24"/>
          <w:szCs w:val="24"/>
        </w:rPr>
        <w:t>o</w:t>
      </w:r>
      <w:r>
        <w:rPr>
          <w:rFonts w:ascii="Times New Roman" w:hAnsi="Times New Roman" w:cs="Times New Roman"/>
          <w:sz w:val="24"/>
          <w:szCs w:val="24"/>
          <w:highlight w:val="yellow"/>
        </w:rPr>
        <w:t>re,</w:t>
      </w:r>
      <w:r>
        <w:rPr>
          <w:rFonts w:ascii="Times New Roman" w:hAnsi="Times New Roman" w:cs="Times New Roman"/>
          <w:sz w:val="24"/>
          <w:szCs w:val="24"/>
        </w:rPr>
        <w:t xml:space="preserve"> the </w:t>
      </w:r>
      <w:r>
        <w:rPr>
          <w:rFonts w:ascii="Times New Roman" w:hAnsi="Times New Roman" w:cs="Times New Roman"/>
          <w:sz w:val="24"/>
          <w:szCs w:val="24"/>
          <w:highlight w:val="yellow"/>
        </w:rPr>
        <w:t>se</w:t>
      </w:r>
      <w:r>
        <w:rPr>
          <w:rFonts w:ascii="Times New Roman" w:hAnsi="Times New Roman" w:cs="Times New Roman"/>
          <w:sz w:val="24"/>
          <w:szCs w:val="24"/>
        </w:rPr>
        <w:t>le</w:t>
      </w:r>
      <w:r>
        <w:rPr>
          <w:rFonts w:ascii="Times New Roman" w:hAnsi="Times New Roman" w:cs="Times New Roman"/>
          <w:sz w:val="24"/>
          <w:szCs w:val="24"/>
          <w:highlight w:val="yellow"/>
        </w:rPr>
        <w:t>cted</w:t>
      </w:r>
      <w:r>
        <w:rPr>
          <w:rFonts w:ascii="Times New Roman" w:hAnsi="Times New Roman" w:cs="Times New Roman"/>
          <w:sz w:val="24"/>
          <w:szCs w:val="24"/>
        </w:rPr>
        <w:t xml:space="preserve"> mobile phase was Chloroform : Ethyl Acetate 4:6 (v/v)</w:t>
      </w:r>
      <w:r>
        <w:rPr>
          <w:rFonts w:ascii="Times New Roman" w:hAnsi="Times New Roman" w:cs="Times New Roman"/>
          <w:sz w:val="24"/>
          <w:szCs w:val="24"/>
          <w:highlight w:val="yellow"/>
        </w:rPr>
        <w:t>,</w:t>
      </w:r>
      <w:r>
        <w:rPr>
          <w:rFonts w:ascii="Times New Roman" w:hAnsi="Times New Roman" w:cs="Times New Roman"/>
          <w:sz w:val="24"/>
          <w:szCs w:val="24"/>
        </w:rPr>
        <w:t xml:space="preserve"> and</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derivatisation agent was Anisealdehyde, Sulphuric Acid.</w:t>
      </w:r>
    </w:p>
    <w:p w14:paraId="32DB9420"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 xml:space="preserve">Results </w:t>
      </w:r>
    </w:p>
    <w:p w14:paraId="2CCE4ECB"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Macroscopic features:</w:t>
      </w:r>
    </w:p>
    <w:p w14:paraId="01B179F2" w14:textId="77777777" w:rsidR="00321CE4" w:rsidRPr="003844E4" w:rsidRDefault="00321CE4" w:rsidP="00321CE4">
      <w:pPr>
        <w:jc w:val="center"/>
        <w:rPr>
          <w:rFonts w:ascii="Times New Roman" w:hAnsi="Times New Roman" w:cs="Times New Roman"/>
          <w:b/>
          <w:bCs/>
          <w:sz w:val="24"/>
          <w:szCs w:val="24"/>
        </w:rPr>
      </w:pPr>
      <w:r w:rsidRPr="003844E4">
        <w:rPr>
          <w:rFonts w:ascii="Times New Roman" w:hAnsi="Times New Roman" w:cs="Times New Roman"/>
          <w:b/>
          <w:bCs/>
          <w:sz w:val="24"/>
          <w:szCs w:val="24"/>
        </w:rPr>
        <w:t>Table</w:t>
      </w:r>
      <w:r w:rsidR="00D138AC" w:rsidRPr="003844E4">
        <w:rPr>
          <w:rFonts w:ascii="Times New Roman" w:hAnsi="Times New Roman" w:cs="Times New Roman"/>
          <w:b/>
          <w:bCs/>
          <w:sz w:val="24"/>
          <w:szCs w:val="24"/>
        </w:rPr>
        <w:t xml:space="preserve"> </w:t>
      </w:r>
      <w:r w:rsidR="00C43E4C" w:rsidRPr="003844E4">
        <w:rPr>
          <w:rFonts w:ascii="Times New Roman" w:hAnsi="Times New Roman" w:cs="Times New Roman"/>
          <w:b/>
          <w:bCs/>
          <w:sz w:val="24"/>
          <w:szCs w:val="24"/>
        </w:rPr>
        <w:t>.3</w:t>
      </w:r>
      <w:r w:rsidRPr="003844E4">
        <w:rPr>
          <w:rFonts w:ascii="Times New Roman" w:hAnsi="Times New Roman" w:cs="Times New Roman"/>
          <w:b/>
          <w:bCs/>
          <w:sz w:val="24"/>
          <w:szCs w:val="24"/>
        </w:rPr>
        <w:t xml:space="preserve">: Macroscopic Features of </w:t>
      </w:r>
      <w:r w:rsidRPr="003844E4">
        <w:rPr>
          <w:rFonts w:ascii="Times New Roman" w:hAnsi="Times New Roman" w:cs="Times New Roman"/>
          <w:b/>
          <w:bCs/>
          <w:i/>
          <w:iCs/>
          <w:sz w:val="24"/>
          <w:szCs w:val="24"/>
        </w:rPr>
        <w:t xml:space="preserve">Mudgaparni </w:t>
      </w:r>
      <w:r w:rsidRPr="003844E4">
        <w:rPr>
          <w:rFonts w:ascii="Times New Roman" w:hAnsi="Times New Roman" w:cs="Times New Roman"/>
          <w:b/>
          <w:bCs/>
          <w:sz w:val="24"/>
          <w:szCs w:val="24"/>
        </w:rPr>
        <w:t>(</w:t>
      </w:r>
      <w:r w:rsidRPr="003844E4">
        <w:rPr>
          <w:rFonts w:ascii="Times New Roman" w:hAnsi="Times New Roman" w:cs="Times New Roman"/>
          <w:b/>
          <w:bCs/>
          <w:i/>
          <w:iCs/>
          <w:sz w:val="24"/>
          <w:szCs w:val="24"/>
        </w:rPr>
        <w:t>Vigna trilobata</w:t>
      </w:r>
      <w:r w:rsidRPr="003844E4">
        <w:rPr>
          <w:rFonts w:ascii="Times New Roman" w:hAnsi="Times New Roman" w:cs="Times New Roman"/>
          <w:b/>
          <w:bCs/>
          <w:sz w:val="24"/>
          <w:szCs w:val="24"/>
        </w:rPr>
        <w:t xml:space="preserve"> Linn.) </w:t>
      </w:r>
    </w:p>
    <w:tbl>
      <w:tblPr>
        <w:tblStyle w:val="TableGrid"/>
        <w:tblW w:w="0" w:type="auto"/>
        <w:tblLook w:val="04A0" w:firstRow="1" w:lastRow="0" w:firstColumn="1" w:lastColumn="0" w:noHBand="0" w:noVBand="1"/>
      </w:tblPr>
      <w:tblGrid>
        <w:gridCol w:w="941"/>
        <w:gridCol w:w="1387"/>
        <w:gridCol w:w="1749"/>
        <w:gridCol w:w="1843"/>
        <w:gridCol w:w="1985"/>
        <w:gridCol w:w="1337"/>
      </w:tblGrid>
      <w:tr w:rsidR="00321CE4" w:rsidRPr="003844E4" w14:paraId="69E93697" w14:textId="77777777" w:rsidTr="003A5329">
        <w:tc>
          <w:tcPr>
            <w:tcW w:w="941" w:type="dxa"/>
          </w:tcPr>
          <w:p w14:paraId="109FF53C" w14:textId="77777777" w:rsidR="00321CE4" w:rsidRPr="003844E4" w:rsidRDefault="00321CE4" w:rsidP="00016E00">
            <w:pPr>
              <w:jc w:val="center"/>
              <w:rPr>
                <w:rFonts w:ascii="Times New Roman" w:hAnsi="Times New Roman" w:cs="Mangal"/>
                <w:b/>
                <w:bCs/>
                <w:sz w:val="24"/>
                <w:szCs w:val="24"/>
                <w:lang w:bidi="hi-IN"/>
              </w:rPr>
            </w:pPr>
            <w:r w:rsidRPr="003844E4">
              <w:rPr>
                <w:rFonts w:ascii="Times New Roman" w:hAnsi="Times New Roman" w:cs="Mangal"/>
                <w:b/>
                <w:bCs/>
                <w:sz w:val="24"/>
                <w:szCs w:val="24"/>
                <w:lang w:bidi="hi-IN"/>
              </w:rPr>
              <w:t>Part</w:t>
            </w:r>
            <w:r w:rsidR="003A5329" w:rsidRPr="003844E4">
              <w:rPr>
                <w:rFonts w:ascii="Times New Roman" w:hAnsi="Times New Roman" w:cs="Mangal"/>
                <w:b/>
                <w:bCs/>
                <w:sz w:val="24"/>
                <w:szCs w:val="24"/>
                <w:lang w:bidi="hi-IN"/>
              </w:rPr>
              <w:t>s</w:t>
            </w:r>
          </w:p>
        </w:tc>
        <w:tc>
          <w:tcPr>
            <w:tcW w:w="1387" w:type="dxa"/>
          </w:tcPr>
          <w:p w14:paraId="638FBABD" w14:textId="77777777" w:rsidR="00321CE4" w:rsidRPr="003844E4" w:rsidRDefault="00321CE4" w:rsidP="00016E00">
            <w:pPr>
              <w:jc w:val="center"/>
              <w:rPr>
                <w:rFonts w:ascii="Times New Roman" w:hAnsi="Times New Roman" w:cs="Mangal"/>
                <w:b/>
                <w:bCs/>
                <w:sz w:val="24"/>
                <w:szCs w:val="24"/>
                <w:lang w:bidi="hi-IN"/>
              </w:rPr>
            </w:pPr>
            <w:r w:rsidRPr="003844E4">
              <w:rPr>
                <w:rFonts w:ascii="Times New Roman" w:hAnsi="Times New Roman" w:cs="Mangal"/>
                <w:b/>
                <w:bCs/>
                <w:sz w:val="24"/>
                <w:szCs w:val="24"/>
                <w:lang w:bidi="hi-IN"/>
              </w:rPr>
              <w:t>Colour</w:t>
            </w:r>
          </w:p>
        </w:tc>
        <w:tc>
          <w:tcPr>
            <w:tcW w:w="1749" w:type="dxa"/>
          </w:tcPr>
          <w:p w14:paraId="1BFBE17E" w14:textId="77777777" w:rsidR="00321CE4" w:rsidRPr="003844E4" w:rsidRDefault="00321CE4" w:rsidP="00016E00">
            <w:pPr>
              <w:jc w:val="center"/>
              <w:rPr>
                <w:rFonts w:ascii="Times New Roman" w:hAnsi="Times New Roman" w:cs="Mangal"/>
                <w:b/>
                <w:bCs/>
                <w:sz w:val="24"/>
                <w:szCs w:val="24"/>
                <w:lang w:bidi="hi-IN"/>
              </w:rPr>
            </w:pPr>
            <w:r w:rsidRPr="003844E4">
              <w:rPr>
                <w:rFonts w:ascii="Times New Roman" w:hAnsi="Times New Roman" w:cs="Mangal"/>
                <w:b/>
                <w:bCs/>
                <w:sz w:val="24"/>
                <w:szCs w:val="24"/>
                <w:lang w:bidi="hi-IN"/>
              </w:rPr>
              <w:t>Shape</w:t>
            </w:r>
          </w:p>
        </w:tc>
        <w:tc>
          <w:tcPr>
            <w:tcW w:w="1843" w:type="dxa"/>
          </w:tcPr>
          <w:p w14:paraId="290669C7" w14:textId="77777777" w:rsidR="00321CE4" w:rsidRPr="003844E4" w:rsidRDefault="00321CE4" w:rsidP="00016E00">
            <w:pPr>
              <w:jc w:val="center"/>
              <w:rPr>
                <w:rFonts w:ascii="Times New Roman" w:hAnsi="Times New Roman" w:cs="Mangal"/>
                <w:b/>
                <w:bCs/>
                <w:sz w:val="24"/>
                <w:szCs w:val="24"/>
                <w:lang w:bidi="hi-IN"/>
              </w:rPr>
            </w:pPr>
            <w:r w:rsidRPr="003844E4">
              <w:rPr>
                <w:rFonts w:ascii="Times New Roman" w:hAnsi="Times New Roman" w:cs="Mangal"/>
                <w:b/>
                <w:bCs/>
                <w:sz w:val="24"/>
                <w:szCs w:val="24"/>
                <w:lang w:bidi="hi-IN"/>
              </w:rPr>
              <w:t>Size</w:t>
            </w:r>
          </w:p>
        </w:tc>
        <w:tc>
          <w:tcPr>
            <w:tcW w:w="1985" w:type="dxa"/>
          </w:tcPr>
          <w:p w14:paraId="7614CA4F" w14:textId="77777777" w:rsidR="00321CE4" w:rsidRPr="003844E4" w:rsidRDefault="00321CE4" w:rsidP="00016E00">
            <w:pPr>
              <w:jc w:val="center"/>
              <w:rPr>
                <w:rFonts w:ascii="Times New Roman" w:hAnsi="Times New Roman" w:cs="Mangal"/>
                <w:b/>
                <w:bCs/>
                <w:sz w:val="24"/>
                <w:szCs w:val="24"/>
                <w:lang w:bidi="hi-IN"/>
              </w:rPr>
            </w:pPr>
            <w:r w:rsidRPr="003844E4">
              <w:rPr>
                <w:rFonts w:ascii="Times New Roman" w:hAnsi="Times New Roman" w:cs="Mangal"/>
                <w:b/>
                <w:bCs/>
                <w:sz w:val="24"/>
                <w:szCs w:val="24"/>
                <w:lang w:bidi="hi-IN"/>
              </w:rPr>
              <w:t>Texture</w:t>
            </w:r>
          </w:p>
        </w:tc>
        <w:tc>
          <w:tcPr>
            <w:tcW w:w="1337" w:type="dxa"/>
          </w:tcPr>
          <w:p w14:paraId="16A242CB" w14:textId="77777777" w:rsidR="00321CE4" w:rsidRPr="003844E4" w:rsidRDefault="00321CE4" w:rsidP="00016E00">
            <w:pPr>
              <w:jc w:val="center"/>
              <w:rPr>
                <w:rFonts w:ascii="Times New Roman" w:hAnsi="Times New Roman" w:cs="Mangal"/>
                <w:b/>
                <w:bCs/>
                <w:sz w:val="24"/>
                <w:szCs w:val="24"/>
                <w:lang w:bidi="hi-IN"/>
              </w:rPr>
            </w:pPr>
            <w:r w:rsidRPr="003844E4">
              <w:rPr>
                <w:rFonts w:ascii="Times New Roman" w:hAnsi="Times New Roman" w:cs="Mangal"/>
                <w:b/>
                <w:bCs/>
                <w:sz w:val="24"/>
                <w:szCs w:val="24"/>
                <w:lang w:bidi="hi-IN"/>
              </w:rPr>
              <w:t>Fracture</w:t>
            </w:r>
          </w:p>
        </w:tc>
      </w:tr>
      <w:tr w:rsidR="00321CE4" w:rsidRPr="003844E4" w14:paraId="30FC9A06" w14:textId="77777777" w:rsidTr="003A5329">
        <w:tc>
          <w:tcPr>
            <w:tcW w:w="941" w:type="dxa"/>
          </w:tcPr>
          <w:p w14:paraId="32E03EAF"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Root</w:t>
            </w:r>
          </w:p>
        </w:tc>
        <w:tc>
          <w:tcPr>
            <w:tcW w:w="1387" w:type="dxa"/>
          </w:tcPr>
          <w:p w14:paraId="5FD194C4"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Brownish-grey</w:t>
            </w:r>
          </w:p>
        </w:tc>
        <w:tc>
          <w:tcPr>
            <w:tcW w:w="1749" w:type="dxa"/>
          </w:tcPr>
          <w:p w14:paraId="06451134"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Cylindrical</w:t>
            </w:r>
          </w:p>
        </w:tc>
        <w:tc>
          <w:tcPr>
            <w:tcW w:w="1843" w:type="dxa"/>
          </w:tcPr>
          <w:p w14:paraId="22B19DE2"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l: 2.5-15.0 cm</w:t>
            </w:r>
          </w:p>
          <w:p w14:paraId="13029E1A"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b: 0.1-0.2 cm</w:t>
            </w:r>
          </w:p>
        </w:tc>
        <w:tc>
          <w:tcPr>
            <w:tcW w:w="1985" w:type="dxa"/>
          </w:tcPr>
          <w:p w14:paraId="66780B5B"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Rough</w:t>
            </w:r>
          </w:p>
        </w:tc>
        <w:tc>
          <w:tcPr>
            <w:tcW w:w="1337" w:type="dxa"/>
          </w:tcPr>
          <w:p w14:paraId="26589FF1"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Fibrous</w:t>
            </w:r>
          </w:p>
        </w:tc>
      </w:tr>
      <w:tr w:rsidR="00321CE4" w:rsidRPr="003844E4" w14:paraId="37D34EBF" w14:textId="77777777" w:rsidTr="003A5329">
        <w:tc>
          <w:tcPr>
            <w:tcW w:w="941" w:type="dxa"/>
          </w:tcPr>
          <w:p w14:paraId="65AD97DE"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Stem</w:t>
            </w:r>
          </w:p>
        </w:tc>
        <w:tc>
          <w:tcPr>
            <w:tcW w:w="1387" w:type="dxa"/>
          </w:tcPr>
          <w:p w14:paraId="4FA8089F"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Pale green</w:t>
            </w:r>
          </w:p>
        </w:tc>
        <w:tc>
          <w:tcPr>
            <w:tcW w:w="1749" w:type="dxa"/>
          </w:tcPr>
          <w:p w14:paraId="7C5FA7F4"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Cylindrical</w:t>
            </w:r>
          </w:p>
        </w:tc>
        <w:tc>
          <w:tcPr>
            <w:tcW w:w="1843" w:type="dxa"/>
          </w:tcPr>
          <w:p w14:paraId="7CBB46EE"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l: 12-55 cm</w:t>
            </w:r>
          </w:p>
          <w:p w14:paraId="379D0C13"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b: 0.1-0.2 cm</w:t>
            </w:r>
          </w:p>
        </w:tc>
        <w:tc>
          <w:tcPr>
            <w:tcW w:w="1985" w:type="dxa"/>
          </w:tcPr>
          <w:p w14:paraId="1EE5193C"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Grooved &amp; Glabrous</w:t>
            </w:r>
          </w:p>
        </w:tc>
        <w:tc>
          <w:tcPr>
            <w:tcW w:w="1337" w:type="dxa"/>
          </w:tcPr>
          <w:p w14:paraId="5605CE97"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Fibrous</w:t>
            </w:r>
          </w:p>
        </w:tc>
      </w:tr>
      <w:tr w:rsidR="00321CE4" w:rsidRPr="003844E4" w14:paraId="787C3D7E" w14:textId="77777777" w:rsidTr="003A5329">
        <w:tc>
          <w:tcPr>
            <w:tcW w:w="941" w:type="dxa"/>
          </w:tcPr>
          <w:p w14:paraId="4080D1B3"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Leaf</w:t>
            </w:r>
          </w:p>
        </w:tc>
        <w:tc>
          <w:tcPr>
            <w:tcW w:w="1387" w:type="dxa"/>
          </w:tcPr>
          <w:p w14:paraId="28F9917A"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Dark greenish, pale green</w:t>
            </w:r>
          </w:p>
        </w:tc>
        <w:tc>
          <w:tcPr>
            <w:tcW w:w="1749" w:type="dxa"/>
          </w:tcPr>
          <w:p w14:paraId="094EB9CF"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Trifoliate</w:t>
            </w:r>
          </w:p>
        </w:tc>
        <w:tc>
          <w:tcPr>
            <w:tcW w:w="1843" w:type="dxa"/>
          </w:tcPr>
          <w:p w14:paraId="2C3AEE6D"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l: 1.3-2.5 cm</w:t>
            </w:r>
          </w:p>
          <w:p w14:paraId="6BD99639" w14:textId="77777777" w:rsidR="00321CE4" w:rsidRPr="003844E4" w:rsidRDefault="00321CE4" w:rsidP="00016E00">
            <w:pPr>
              <w:jc w:val="center"/>
              <w:rPr>
                <w:rFonts w:ascii="Times New Roman" w:hAnsi="Times New Roman" w:cs="Mangal"/>
                <w:sz w:val="24"/>
                <w:szCs w:val="24"/>
                <w:lang w:bidi="hi-IN"/>
              </w:rPr>
            </w:pPr>
          </w:p>
        </w:tc>
        <w:tc>
          <w:tcPr>
            <w:tcW w:w="1985" w:type="dxa"/>
          </w:tcPr>
          <w:p w14:paraId="1565059E"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Soft, few &amp; fine hairs</w:t>
            </w:r>
          </w:p>
        </w:tc>
        <w:tc>
          <w:tcPr>
            <w:tcW w:w="1337" w:type="dxa"/>
          </w:tcPr>
          <w:p w14:paraId="5F952A14"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w:t>
            </w:r>
          </w:p>
        </w:tc>
      </w:tr>
      <w:tr w:rsidR="00321CE4" w:rsidRPr="003844E4" w14:paraId="467D0A3B" w14:textId="77777777" w:rsidTr="003A5329">
        <w:tc>
          <w:tcPr>
            <w:tcW w:w="941" w:type="dxa"/>
          </w:tcPr>
          <w:p w14:paraId="5150111E"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Flower</w:t>
            </w:r>
          </w:p>
        </w:tc>
        <w:tc>
          <w:tcPr>
            <w:tcW w:w="1387" w:type="dxa"/>
          </w:tcPr>
          <w:p w14:paraId="07AD9FF7"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Yellow</w:t>
            </w:r>
          </w:p>
        </w:tc>
        <w:tc>
          <w:tcPr>
            <w:tcW w:w="1749" w:type="dxa"/>
          </w:tcPr>
          <w:p w14:paraId="2ADE8812"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Papilionaceous</w:t>
            </w:r>
          </w:p>
        </w:tc>
        <w:tc>
          <w:tcPr>
            <w:tcW w:w="1843" w:type="dxa"/>
          </w:tcPr>
          <w:p w14:paraId="3616DD00"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w:t>
            </w:r>
          </w:p>
        </w:tc>
        <w:tc>
          <w:tcPr>
            <w:tcW w:w="1985" w:type="dxa"/>
          </w:tcPr>
          <w:p w14:paraId="26292743"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Smooth</w:t>
            </w:r>
          </w:p>
        </w:tc>
        <w:tc>
          <w:tcPr>
            <w:tcW w:w="1337" w:type="dxa"/>
          </w:tcPr>
          <w:p w14:paraId="13D3FC26"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w:t>
            </w:r>
          </w:p>
        </w:tc>
      </w:tr>
      <w:tr w:rsidR="00321CE4" w:rsidRPr="003844E4" w14:paraId="79122D61" w14:textId="77777777" w:rsidTr="003A5329">
        <w:tc>
          <w:tcPr>
            <w:tcW w:w="941" w:type="dxa"/>
          </w:tcPr>
          <w:p w14:paraId="45FE5DC3"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Fruit</w:t>
            </w:r>
          </w:p>
        </w:tc>
        <w:tc>
          <w:tcPr>
            <w:tcW w:w="1387" w:type="dxa"/>
          </w:tcPr>
          <w:p w14:paraId="4A5FE3FF"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Greyish-black</w:t>
            </w:r>
          </w:p>
        </w:tc>
        <w:tc>
          <w:tcPr>
            <w:tcW w:w="1749" w:type="dxa"/>
          </w:tcPr>
          <w:p w14:paraId="5BBA8587"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Sub-cylindrical</w:t>
            </w:r>
          </w:p>
        </w:tc>
        <w:tc>
          <w:tcPr>
            <w:tcW w:w="1843" w:type="dxa"/>
          </w:tcPr>
          <w:p w14:paraId="1DA1685B"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l: 2.5-7 cm</w:t>
            </w:r>
          </w:p>
          <w:p w14:paraId="542D3C81"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b: 3mm</w:t>
            </w:r>
          </w:p>
        </w:tc>
        <w:tc>
          <w:tcPr>
            <w:tcW w:w="1985" w:type="dxa"/>
          </w:tcPr>
          <w:p w14:paraId="66770BB6"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Smooth &amp; Glabrous</w:t>
            </w:r>
          </w:p>
        </w:tc>
        <w:tc>
          <w:tcPr>
            <w:tcW w:w="1337" w:type="dxa"/>
          </w:tcPr>
          <w:p w14:paraId="00091FB6"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Fibrous</w:t>
            </w:r>
          </w:p>
        </w:tc>
      </w:tr>
      <w:tr w:rsidR="00321CE4" w:rsidRPr="003844E4" w14:paraId="48CDD0BB" w14:textId="77777777" w:rsidTr="003A5329">
        <w:tc>
          <w:tcPr>
            <w:tcW w:w="941" w:type="dxa"/>
          </w:tcPr>
          <w:p w14:paraId="4963DF25"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Seeds</w:t>
            </w:r>
          </w:p>
        </w:tc>
        <w:tc>
          <w:tcPr>
            <w:tcW w:w="1387" w:type="dxa"/>
          </w:tcPr>
          <w:p w14:paraId="17746E21"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Greyish-black</w:t>
            </w:r>
          </w:p>
        </w:tc>
        <w:tc>
          <w:tcPr>
            <w:tcW w:w="1749" w:type="dxa"/>
          </w:tcPr>
          <w:p w14:paraId="68B199BD"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Oval</w:t>
            </w:r>
          </w:p>
        </w:tc>
        <w:tc>
          <w:tcPr>
            <w:tcW w:w="1843" w:type="dxa"/>
          </w:tcPr>
          <w:p w14:paraId="0063D8E2"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Tiny</w:t>
            </w:r>
          </w:p>
        </w:tc>
        <w:tc>
          <w:tcPr>
            <w:tcW w:w="1985" w:type="dxa"/>
          </w:tcPr>
          <w:p w14:paraId="1183F4D3"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Hard</w:t>
            </w:r>
          </w:p>
        </w:tc>
        <w:tc>
          <w:tcPr>
            <w:tcW w:w="1337" w:type="dxa"/>
          </w:tcPr>
          <w:p w14:paraId="0E540844"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w:t>
            </w:r>
          </w:p>
        </w:tc>
      </w:tr>
    </w:tbl>
    <w:p>
      <w:r>
        <w:rPr>
          <w:i w:val="0"/>
        </w:rPr>
        <w:t>Table 3 summarises the macroscopic characteristics of the different plant parts. The root and stem were cylindrical and fibrous, whereas the leaves were trifoliate, soft and covered with a few fine hairs. Yellow papilionaceous flowers, greyish-black sub-cylindrical fruits and small, hard, oval greyish-black seeds were also observed. These features provide readily observable characters for the identification of Mudgaparni (</w:t>
      </w:r>
      <w:r>
        <w:rPr>
          <w:i/>
        </w:rPr>
        <w:t>Vigna trilobata Linn.</w:t>
      </w:r>
      <w:r>
        <w:rPr>
          <w:i w:val="0"/>
        </w:rPr>
        <w:t>).</w:t>
      </w:r>
    </w:p>
    <w:p w14:paraId="1ACD7287" w14:textId="77777777" w:rsidR="00321CE4" w:rsidRPr="003844E4" w:rsidRDefault="00321CE4" w:rsidP="00321CE4">
      <w:pPr>
        <w:rPr>
          <w:rFonts w:ascii="Times New Roman" w:hAnsi="Times New Roman" w:cs="Times New Roman"/>
          <w:b/>
          <w:bCs/>
          <w:sz w:val="24"/>
          <w:szCs w:val="24"/>
        </w:rPr>
      </w:pPr>
    </w:p>
    <w:p w14:paraId="56AF73DE" w14:textId="77777777" w:rsidR="00321CE4" w:rsidRPr="003844E4" w:rsidRDefault="0004648E" w:rsidP="00321CE4">
      <w:pPr>
        <w:rPr>
          <w:rFonts w:ascii="Times New Roman" w:hAnsi="Times New Roman" w:cs="Times New Roman"/>
          <w:b/>
          <w:bCs/>
          <w:sz w:val="24"/>
          <w:szCs w:val="24"/>
        </w:rPr>
      </w:pPr>
      <w:r w:rsidRPr="003844E4">
        <w:rPr>
          <w:rFonts w:ascii="Times New Roman" w:hAnsi="Times New Roman" w:cs="Times New Roman"/>
          <w:b/>
          <w:bCs/>
          <w:sz w:val="24"/>
          <w:szCs w:val="24"/>
        </w:rPr>
        <w:t xml:space="preserve">        </w:t>
      </w:r>
      <w:r w:rsidR="00321CE4" w:rsidRPr="003844E4">
        <w:rPr>
          <w:rFonts w:ascii="Times New Roman" w:hAnsi="Times New Roman" w:cs="Times New Roman"/>
          <w:b/>
          <w:bCs/>
          <w:sz w:val="24"/>
          <w:szCs w:val="24"/>
        </w:rPr>
        <w:t>Table</w:t>
      </w:r>
      <w:r w:rsidR="00D138AC" w:rsidRPr="003844E4">
        <w:rPr>
          <w:rFonts w:ascii="Times New Roman" w:hAnsi="Times New Roman" w:cs="Times New Roman"/>
          <w:b/>
          <w:bCs/>
          <w:sz w:val="24"/>
          <w:szCs w:val="24"/>
        </w:rPr>
        <w:t xml:space="preserve"> </w:t>
      </w:r>
      <w:r w:rsidR="00C43E4C" w:rsidRPr="003844E4">
        <w:rPr>
          <w:rFonts w:ascii="Times New Roman" w:hAnsi="Times New Roman" w:cs="Times New Roman"/>
          <w:b/>
          <w:bCs/>
          <w:sz w:val="24"/>
          <w:szCs w:val="24"/>
        </w:rPr>
        <w:t>4</w:t>
      </w:r>
      <w:r w:rsidR="00321CE4" w:rsidRPr="003844E4">
        <w:rPr>
          <w:rFonts w:ascii="Times New Roman" w:hAnsi="Times New Roman" w:cs="Times New Roman"/>
          <w:b/>
          <w:bCs/>
          <w:sz w:val="24"/>
          <w:szCs w:val="24"/>
        </w:rPr>
        <w:t xml:space="preserve">: Organoleptic Features of crude </w:t>
      </w:r>
      <w:r w:rsidR="00321CE4" w:rsidRPr="003844E4">
        <w:rPr>
          <w:rFonts w:ascii="Times New Roman" w:hAnsi="Times New Roman" w:cs="Times New Roman"/>
          <w:b/>
          <w:bCs/>
          <w:i/>
          <w:iCs/>
          <w:sz w:val="24"/>
          <w:szCs w:val="24"/>
        </w:rPr>
        <w:t xml:space="preserve">Mudgaparni </w:t>
      </w:r>
      <w:r w:rsidR="00321CE4" w:rsidRPr="003844E4">
        <w:rPr>
          <w:rFonts w:ascii="Times New Roman" w:hAnsi="Times New Roman" w:cs="Times New Roman"/>
          <w:b/>
          <w:bCs/>
          <w:sz w:val="24"/>
          <w:szCs w:val="24"/>
        </w:rPr>
        <w:t>(</w:t>
      </w:r>
      <w:r w:rsidR="00321CE4" w:rsidRPr="003844E4">
        <w:rPr>
          <w:rFonts w:ascii="Times New Roman" w:hAnsi="Times New Roman" w:cs="Times New Roman"/>
          <w:b/>
          <w:bCs/>
          <w:i/>
          <w:iCs/>
          <w:sz w:val="24"/>
          <w:szCs w:val="24"/>
        </w:rPr>
        <w:t xml:space="preserve">Vigna trilobata </w:t>
      </w:r>
      <w:r w:rsidR="00321CE4" w:rsidRPr="003844E4">
        <w:rPr>
          <w:rFonts w:ascii="Times New Roman" w:hAnsi="Times New Roman" w:cs="Times New Roman"/>
          <w:b/>
          <w:bCs/>
          <w:sz w:val="24"/>
          <w:szCs w:val="24"/>
        </w:rPr>
        <w:t xml:space="preserve">Linn.) </w:t>
      </w:r>
    </w:p>
    <w:tbl>
      <w:tblPr>
        <w:tblStyle w:val="TableGrid"/>
        <w:tblW w:w="0" w:type="auto"/>
        <w:tblLook w:val="04A0" w:firstRow="1" w:lastRow="0" w:firstColumn="1" w:lastColumn="0" w:noHBand="0" w:noVBand="1"/>
      </w:tblPr>
      <w:tblGrid>
        <w:gridCol w:w="959"/>
        <w:gridCol w:w="3260"/>
        <w:gridCol w:w="5023"/>
      </w:tblGrid>
      <w:tr w:rsidR="00321CE4" w:rsidRPr="003844E4" w14:paraId="308C27F7" w14:textId="77777777" w:rsidTr="00016E00">
        <w:tc>
          <w:tcPr>
            <w:tcW w:w="959" w:type="dxa"/>
          </w:tcPr>
          <w:p w14:paraId="23FCE8C9"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lastRenderedPageBreak/>
              <w:t>S. No.</w:t>
            </w:r>
          </w:p>
        </w:tc>
        <w:tc>
          <w:tcPr>
            <w:tcW w:w="3260" w:type="dxa"/>
          </w:tcPr>
          <w:p w14:paraId="387B3864"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Organoleptic features</w:t>
            </w:r>
          </w:p>
        </w:tc>
        <w:tc>
          <w:tcPr>
            <w:tcW w:w="5023" w:type="dxa"/>
          </w:tcPr>
          <w:p w14:paraId="6A2F3835"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i/>
                <w:iCs/>
                <w:sz w:val="24"/>
                <w:szCs w:val="24"/>
              </w:rPr>
              <w:t xml:space="preserve">Vigna trilobata </w:t>
            </w:r>
            <w:r w:rsidRPr="003844E4">
              <w:rPr>
                <w:rFonts w:ascii="Times New Roman" w:hAnsi="Times New Roman" w:cs="Times New Roman"/>
                <w:b/>
                <w:bCs/>
                <w:sz w:val="24"/>
                <w:szCs w:val="24"/>
              </w:rPr>
              <w:t>L</w:t>
            </w:r>
            <w:r w:rsidR="007B0E0B" w:rsidRPr="003844E4">
              <w:rPr>
                <w:rFonts w:ascii="Times New Roman" w:hAnsi="Times New Roman" w:cs="Times New Roman"/>
                <w:b/>
                <w:bCs/>
                <w:sz w:val="24"/>
                <w:szCs w:val="24"/>
              </w:rPr>
              <w:t>inn</w:t>
            </w:r>
            <w:r w:rsidRPr="003844E4">
              <w:rPr>
                <w:rFonts w:ascii="Times New Roman" w:hAnsi="Times New Roman" w:cs="Times New Roman"/>
                <w:b/>
                <w:bCs/>
                <w:sz w:val="24"/>
                <w:szCs w:val="24"/>
              </w:rPr>
              <w:t>. Whole plant (crude)</w:t>
            </w:r>
          </w:p>
        </w:tc>
      </w:tr>
      <w:tr w:rsidR="00321CE4" w:rsidRPr="003844E4" w14:paraId="02B24C48" w14:textId="77777777" w:rsidTr="00016E00">
        <w:tc>
          <w:tcPr>
            <w:tcW w:w="959" w:type="dxa"/>
          </w:tcPr>
          <w:p w14:paraId="0BE5F8F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1.</w:t>
            </w:r>
          </w:p>
        </w:tc>
        <w:tc>
          <w:tcPr>
            <w:tcW w:w="3260" w:type="dxa"/>
          </w:tcPr>
          <w:p w14:paraId="108DB59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Sound (</w:t>
            </w:r>
            <w:r w:rsidRPr="003844E4">
              <w:rPr>
                <w:rFonts w:ascii="Times New Roman" w:hAnsi="Times New Roman" w:cs="Times New Roman"/>
                <w:i/>
                <w:iCs/>
                <w:sz w:val="24"/>
                <w:szCs w:val="24"/>
              </w:rPr>
              <w:t>Shabda</w:t>
            </w:r>
            <w:r w:rsidRPr="003844E4">
              <w:rPr>
                <w:rFonts w:ascii="Times New Roman" w:hAnsi="Times New Roman" w:cs="Times New Roman"/>
                <w:sz w:val="24"/>
                <w:szCs w:val="24"/>
              </w:rPr>
              <w:t>)</w:t>
            </w:r>
          </w:p>
        </w:tc>
        <w:tc>
          <w:tcPr>
            <w:tcW w:w="5023" w:type="dxa"/>
          </w:tcPr>
          <w:p w14:paraId="277D084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02298BAB" w14:textId="77777777" w:rsidTr="00016E00">
        <w:tc>
          <w:tcPr>
            <w:tcW w:w="959" w:type="dxa"/>
          </w:tcPr>
          <w:p w14:paraId="0D250F2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2.</w:t>
            </w:r>
          </w:p>
        </w:tc>
        <w:tc>
          <w:tcPr>
            <w:tcW w:w="3260" w:type="dxa"/>
          </w:tcPr>
          <w:p w14:paraId="61C2BFA1"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Touch (</w:t>
            </w:r>
            <w:r w:rsidRPr="003844E4">
              <w:rPr>
                <w:rFonts w:ascii="Times New Roman" w:hAnsi="Times New Roman" w:cs="Times New Roman"/>
                <w:i/>
                <w:iCs/>
                <w:sz w:val="24"/>
                <w:szCs w:val="24"/>
              </w:rPr>
              <w:t>Sparsha</w:t>
            </w:r>
            <w:r w:rsidRPr="003844E4">
              <w:rPr>
                <w:rFonts w:ascii="Times New Roman" w:hAnsi="Times New Roman" w:cs="Times New Roman"/>
                <w:sz w:val="24"/>
                <w:szCs w:val="24"/>
              </w:rPr>
              <w:t>)</w:t>
            </w:r>
          </w:p>
        </w:tc>
        <w:tc>
          <w:tcPr>
            <w:tcW w:w="5023" w:type="dxa"/>
          </w:tcPr>
          <w:p w14:paraId="073E756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Soft</w:t>
            </w:r>
          </w:p>
        </w:tc>
      </w:tr>
      <w:tr w:rsidR="00321CE4" w:rsidRPr="003844E4" w14:paraId="21DD4FE9" w14:textId="77777777" w:rsidTr="00016E00">
        <w:tc>
          <w:tcPr>
            <w:tcW w:w="959" w:type="dxa"/>
          </w:tcPr>
          <w:p w14:paraId="0EDFBD8C"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3.</w:t>
            </w:r>
          </w:p>
        </w:tc>
        <w:tc>
          <w:tcPr>
            <w:tcW w:w="3260" w:type="dxa"/>
          </w:tcPr>
          <w:p w14:paraId="38774D99"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Colour (</w:t>
            </w:r>
            <w:r w:rsidRPr="003844E4">
              <w:rPr>
                <w:rFonts w:ascii="Times New Roman" w:hAnsi="Times New Roman" w:cs="Times New Roman"/>
                <w:i/>
                <w:iCs/>
                <w:sz w:val="24"/>
                <w:szCs w:val="24"/>
              </w:rPr>
              <w:t>Rupa</w:t>
            </w:r>
            <w:r w:rsidRPr="003844E4">
              <w:rPr>
                <w:rFonts w:ascii="Times New Roman" w:hAnsi="Times New Roman" w:cs="Times New Roman"/>
                <w:sz w:val="24"/>
                <w:szCs w:val="24"/>
              </w:rPr>
              <w:t>)</w:t>
            </w:r>
          </w:p>
        </w:tc>
        <w:tc>
          <w:tcPr>
            <w:tcW w:w="5023" w:type="dxa"/>
          </w:tcPr>
          <w:p w14:paraId="53E8B7BA"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Dark greenish- grey</w:t>
            </w:r>
          </w:p>
        </w:tc>
      </w:tr>
      <w:tr w:rsidR="00321CE4" w:rsidRPr="003844E4" w14:paraId="603717EA" w14:textId="77777777" w:rsidTr="00016E00">
        <w:tc>
          <w:tcPr>
            <w:tcW w:w="959" w:type="dxa"/>
          </w:tcPr>
          <w:p w14:paraId="424F625B"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4.</w:t>
            </w:r>
          </w:p>
        </w:tc>
        <w:tc>
          <w:tcPr>
            <w:tcW w:w="3260" w:type="dxa"/>
          </w:tcPr>
          <w:p w14:paraId="7A7D062F"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Taste (</w:t>
            </w:r>
            <w:r w:rsidRPr="003844E4">
              <w:rPr>
                <w:rFonts w:ascii="Times New Roman" w:hAnsi="Times New Roman" w:cs="Times New Roman"/>
                <w:i/>
                <w:iCs/>
                <w:sz w:val="24"/>
                <w:szCs w:val="24"/>
              </w:rPr>
              <w:t>Rasa</w:t>
            </w:r>
            <w:r w:rsidRPr="003844E4">
              <w:rPr>
                <w:rFonts w:ascii="Times New Roman" w:hAnsi="Times New Roman" w:cs="Times New Roman"/>
                <w:sz w:val="24"/>
                <w:szCs w:val="24"/>
              </w:rPr>
              <w:t>)</w:t>
            </w:r>
          </w:p>
        </w:tc>
        <w:tc>
          <w:tcPr>
            <w:tcW w:w="5023" w:type="dxa"/>
          </w:tcPr>
          <w:p w14:paraId="29634411"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No characteristic taste</w:t>
            </w:r>
          </w:p>
        </w:tc>
      </w:tr>
      <w:tr w:rsidR="00321CE4" w:rsidRPr="003844E4" w14:paraId="41B099A2" w14:textId="77777777" w:rsidTr="00016E00">
        <w:tc>
          <w:tcPr>
            <w:tcW w:w="959" w:type="dxa"/>
          </w:tcPr>
          <w:p w14:paraId="3C9D60BF"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5.</w:t>
            </w:r>
          </w:p>
        </w:tc>
        <w:tc>
          <w:tcPr>
            <w:tcW w:w="3260" w:type="dxa"/>
          </w:tcPr>
          <w:p w14:paraId="7C955913"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Odour (</w:t>
            </w:r>
            <w:r w:rsidRPr="003844E4">
              <w:rPr>
                <w:rFonts w:ascii="Times New Roman" w:hAnsi="Times New Roman" w:cs="Times New Roman"/>
                <w:i/>
                <w:iCs/>
                <w:sz w:val="24"/>
                <w:szCs w:val="24"/>
              </w:rPr>
              <w:t>Gandha</w:t>
            </w:r>
            <w:r w:rsidRPr="003844E4">
              <w:rPr>
                <w:rFonts w:ascii="Times New Roman" w:hAnsi="Times New Roman" w:cs="Times New Roman"/>
                <w:sz w:val="24"/>
                <w:szCs w:val="24"/>
              </w:rPr>
              <w:t>)</w:t>
            </w:r>
          </w:p>
        </w:tc>
        <w:tc>
          <w:tcPr>
            <w:tcW w:w="5023" w:type="dxa"/>
          </w:tcPr>
          <w:p w14:paraId="08871801"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No characteristic smell</w:t>
            </w:r>
          </w:p>
        </w:tc>
      </w:tr>
    </w:tbl>
    <w:p>
      <w:r>
        <w:rPr>
          <w:i w:val="0"/>
        </w:rPr>
        <w:t>As shown in Table 4, the crude whole plant was soft to the touch and dark greenish-grey in colour, with no characteristic taste or odour. These organoleptic observations complement the macroscopic characters recorded for the intact plant material.</w:t>
      </w:r>
    </w:p>
    <w:p w14:paraId="2F02A954" w14:textId="77777777" w:rsidR="00321CE4" w:rsidRPr="003844E4" w:rsidRDefault="00321CE4" w:rsidP="00321CE4">
      <w:pPr>
        <w:jc w:val="both"/>
        <w:rPr>
          <w:rFonts w:ascii="Times New Roman" w:hAnsi="Times New Roman" w:cs="Times New Roman"/>
          <w:b/>
          <w:bCs/>
          <w:sz w:val="24"/>
          <w:szCs w:val="24"/>
        </w:rPr>
      </w:pPr>
    </w:p>
    <w:p w14:paraId="1426CE50" w14:textId="77777777" w:rsidR="00A838E3" w:rsidRPr="003844E4" w:rsidRDefault="00A838E3" w:rsidP="00250B89">
      <w:pPr>
        <w:rPr>
          <w:rFonts w:ascii="Times New Roman" w:hAnsi="Times New Roman" w:cs="Times New Roman"/>
          <w:b/>
          <w:bCs/>
          <w:sz w:val="24"/>
          <w:szCs w:val="24"/>
        </w:rPr>
      </w:pPr>
    </w:p>
    <w:p w14:paraId="2FC5A1E3" w14:textId="77777777" w:rsidR="00321CE4" w:rsidRPr="003844E4" w:rsidRDefault="00321CE4" w:rsidP="00250B89">
      <w:pPr>
        <w:rPr>
          <w:rFonts w:ascii="Times New Roman" w:hAnsi="Times New Roman" w:cs="Times New Roman"/>
          <w:b/>
          <w:bCs/>
          <w:sz w:val="24"/>
          <w:szCs w:val="24"/>
        </w:rPr>
      </w:pPr>
      <w:r w:rsidRPr="003844E4">
        <w:rPr>
          <w:rFonts w:ascii="Times New Roman" w:hAnsi="Times New Roman" w:cs="Times New Roman"/>
          <w:b/>
          <w:bCs/>
          <w:sz w:val="24"/>
          <w:szCs w:val="24"/>
        </w:rPr>
        <w:t>Table</w:t>
      </w:r>
      <w:r w:rsidR="00D138AC" w:rsidRPr="003844E4">
        <w:rPr>
          <w:rFonts w:ascii="Times New Roman" w:hAnsi="Times New Roman" w:cs="Times New Roman"/>
          <w:b/>
          <w:bCs/>
          <w:sz w:val="24"/>
          <w:szCs w:val="24"/>
        </w:rPr>
        <w:t xml:space="preserve"> 5</w:t>
      </w:r>
      <w:r w:rsidRPr="003844E4">
        <w:rPr>
          <w:rFonts w:ascii="Times New Roman" w:hAnsi="Times New Roman" w:cs="Times New Roman"/>
          <w:b/>
          <w:bCs/>
          <w:sz w:val="24"/>
          <w:szCs w:val="24"/>
        </w:rPr>
        <w:t xml:space="preserve">: Organoleptic Features of powder (dry) </w:t>
      </w:r>
      <w:r w:rsidRPr="003844E4">
        <w:rPr>
          <w:rFonts w:ascii="Times New Roman" w:hAnsi="Times New Roman" w:cs="Times New Roman"/>
          <w:b/>
          <w:bCs/>
          <w:i/>
          <w:iCs/>
          <w:sz w:val="24"/>
          <w:szCs w:val="24"/>
        </w:rPr>
        <w:t xml:space="preserve">Mudgaparni </w:t>
      </w:r>
      <w:r w:rsidRPr="003844E4">
        <w:rPr>
          <w:rFonts w:ascii="Times New Roman" w:hAnsi="Times New Roman" w:cs="Times New Roman"/>
          <w:b/>
          <w:bCs/>
          <w:sz w:val="24"/>
          <w:szCs w:val="24"/>
        </w:rPr>
        <w:t>(</w:t>
      </w:r>
      <w:r w:rsidRPr="003844E4">
        <w:rPr>
          <w:rFonts w:ascii="Times New Roman" w:hAnsi="Times New Roman" w:cs="Times New Roman"/>
          <w:b/>
          <w:bCs/>
          <w:i/>
          <w:iCs/>
          <w:sz w:val="24"/>
          <w:szCs w:val="24"/>
        </w:rPr>
        <w:t xml:space="preserve">Vigna trilobata </w:t>
      </w:r>
      <w:r w:rsidRPr="003844E4">
        <w:rPr>
          <w:rFonts w:ascii="Times New Roman" w:hAnsi="Times New Roman" w:cs="Times New Roman"/>
          <w:b/>
          <w:bCs/>
          <w:sz w:val="24"/>
          <w:szCs w:val="24"/>
        </w:rPr>
        <w:t>Linn.)</w:t>
      </w:r>
    </w:p>
    <w:tbl>
      <w:tblPr>
        <w:tblStyle w:val="TableGrid"/>
        <w:tblW w:w="0" w:type="auto"/>
        <w:tblLook w:val="04A0" w:firstRow="1" w:lastRow="0" w:firstColumn="1" w:lastColumn="0" w:noHBand="0" w:noVBand="1"/>
      </w:tblPr>
      <w:tblGrid>
        <w:gridCol w:w="959"/>
        <w:gridCol w:w="3260"/>
        <w:gridCol w:w="5023"/>
      </w:tblGrid>
      <w:tr w:rsidR="00321CE4" w:rsidRPr="003844E4" w14:paraId="134BBD20" w14:textId="77777777" w:rsidTr="00016E00">
        <w:tc>
          <w:tcPr>
            <w:tcW w:w="959" w:type="dxa"/>
          </w:tcPr>
          <w:p w14:paraId="4BE05E9A"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S. No.</w:t>
            </w:r>
          </w:p>
        </w:tc>
        <w:tc>
          <w:tcPr>
            <w:tcW w:w="3260" w:type="dxa"/>
          </w:tcPr>
          <w:p w14:paraId="799A0B50"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Organoleptic features</w:t>
            </w:r>
          </w:p>
        </w:tc>
        <w:tc>
          <w:tcPr>
            <w:tcW w:w="5023" w:type="dxa"/>
          </w:tcPr>
          <w:p w14:paraId="25B1064F"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i/>
                <w:iCs/>
                <w:sz w:val="24"/>
                <w:szCs w:val="24"/>
              </w:rPr>
              <w:t xml:space="preserve">Vigna trilobata </w:t>
            </w:r>
            <w:r w:rsidRPr="003844E4">
              <w:rPr>
                <w:rFonts w:ascii="Times New Roman" w:hAnsi="Times New Roman" w:cs="Times New Roman"/>
                <w:b/>
                <w:bCs/>
                <w:sz w:val="24"/>
                <w:szCs w:val="24"/>
              </w:rPr>
              <w:t>L</w:t>
            </w:r>
            <w:r w:rsidR="007B0E0B" w:rsidRPr="003844E4">
              <w:rPr>
                <w:rFonts w:ascii="Times New Roman" w:hAnsi="Times New Roman" w:cs="Times New Roman"/>
                <w:b/>
                <w:bCs/>
                <w:sz w:val="24"/>
                <w:szCs w:val="24"/>
              </w:rPr>
              <w:t>inn</w:t>
            </w:r>
            <w:r w:rsidRPr="003844E4">
              <w:rPr>
                <w:rFonts w:ascii="Times New Roman" w:hAnsi="Times New Roman" w:cs="Times New Roman"/>
                <w:b/>
                <w:bCs/>
                <w:sz w:val="24"/>
                <w:szCs w:val="24"/>
              </w:rPr>
              <w:t>. Whole plant (powder)</w:t>
            </w:r>
          </w:p>
        </w:tc>
      </w:tr>
      <w:tr w:rsidR="00321CE4" w:rsidRPr="003844E4" w14:paraId="61D74CCA" w14:textId="77777777" w:rsidTr="00016E00">
        <w:tc>
          <w:tcPr>
            <w:tcW w:w="959" w:type="dxa"/>
          </w:tcPr>
          <w:p w14:paraId="5BA31F7C"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1.</w:t>
            </w:r>
          </w:p>
        </w:tc>
        <w:tc>
          <w:tcPr>
            <w:tcW w:w="3260" w:type="dxa"/>
          </w:tcPr>
          <w:p w14:paraId="1BFBADFE"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Sound (</w:t>
            </w:r>
            <w:r w:rsidRPr="003844E4">
              <w:rPr>
                <w:rFonts w:ascii="Times New Roman" w:hAnsi="Times New Roman" w:cs="Times New Roman"/>
                <w:i/>
                <w:iCs/>
                <w:sz w:val="24"/>
                <w:szCs w:val="24"/>
              </w:rPr>
              <w:t>Shabda</w:t>
            </w:r>
            <w:r w:rsidRPr="003844E4">
              <w:rPr>
                <w:rFonts w:ascii="Times New Roman" w:hAnsi="Times New Roman" w:cs="Times New Roman"/>
                <w:sz w:val="24"/>
                <w:szCs w:val="24"/>
              </w:rPr>
              <w:t>)</w:t>
            </w:r>
          </w:p>
        </w:tc>
        <w:tc>
          <w:tcPr>
            <w:tcW w:w="5023" w:type="dxa"/>
          </w:tcPr>
          <w:p w14:paraId="214EA9D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36A7CF62" w14:textId="77777777" w:rsidTr="00016E00">
        <w:tc>
          <w:tcPr>
            <w:tcW w:w="959" w:type="dxa"/>
          </w:tcPr>
          <w:p w14:paraId="1BA9C27E"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2.</w:t>
            </w:r>
          </w:p>
        </w:tc>
        <w:tc>
          <w:tcPr>
            <w:tcW w:w="3260" w:type="dxa"/>
          </w:tcPr>
          <w:p w14:paraId="5A971ED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Touch (</w:t>
            </w:r>
            <w:r w:rsidRPr="003844E4">
              <w:rPr>
                <w:rFonts w:ascii="Times New Roman" w:hAnsi="Times New Roman" w:cs="Times New Roman"/>
                <w:i/>
                <w:iCs/>
                <w:sz w:val="24"/>
                <w:szCs w:val="24"/>
              </w:rPr>
              <w:t>Sparsha</w:t>
            </w:r>
            <w:r w:rsidRPr="003844E4">
              <w:rPr>
                <w:rFonts w:ascii="Times New Roman" w:hAnsi="Times New Roman" w:cs="Times New Roman"/>
                <w:sz w:val="24"/>
                <w:szCs w:val="24"/>
              </w:rPr>
              <w:t>)</w:t>
            </w:r>
          </w:p>
        </w:tc>
        <w:tc>
          <w:tcPr>
            <w:tcW w:w="5023" w:type="dxa"/>
          </w:tcPr>
          <w:p w14:paraId="7286C10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Coarse</w:t>
            </w:r>
          </w:p>
        </w:tc>
      </w:tr>
      <w:tr w:rsidR="00321CE4" w:rsidRPr="003844E4" w14:paraId="315FF5D4" w14:textId="77777777" w:rsidTr="00016E00">
        <w:tc>
          <w:tcPr>
            <w:tcW w:w="959" w:type="dxa"/>
          </w:tcPr>
          <w:p w14:paraId="5ECBB219"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3.</w:t>
            </w:r>
          </w:p>
        </w:tc>
        <w:tc>
          <w:tcPr>
            <w:tcW w:w="3260" w:type="dxa"/>
          </w:tcPr>
          <w:p w14:paraId="477C5E92"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Colour (</w:t>
            </w:r>
            <w:r w:rsidRPr="003844E4">
              <w:rPr>
                <w:rFonts w:ascii="Times New Roman" w:hAnsi="Times New Roman" w:cs="Times New Roman"/>
                <w:i/>
                <w:iCs/>
                <w:sz w:val="24"/>
                <w:szCs w:val="24"/>
              </w:rPr>
              <w:t>Rupa</w:t>
            </w:r>
            <w:r w:rsidRPr="003844E4">
              <w:rPr>
                <w:rFonts w:ascii="Times New Roman" w:hAnsi="Times New Roman" w:cs="Times New Roman"/>
                <w:sz w:val="24"/>
                <w:szCs w:val="24"/>
              </w:rPr>
              <w:t>)</w:t>
            </w:r>
          </w:p>
        </w:tc>
        <w:tc>
          <w:tcPr>
            <w:tcW w:w="5023" w:type="dxa"/>
          </w:tcPr>
          <w:p w14:paraId="0944D9B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Pale greenish</w:t>
            </w:r>
          </w:p>
        </w:tc>
      </w:tr>
      <w:tr w:rsidR="00321CE4" w:rsidRPr="003844E4" w14:paraId="5ADA4A5C" w14:textId="77777777" w:rsidTr="00016E00">
        <w:tc>
          <w:tcPr>
            <w:tcW w:w="959" w:type="dxa"/>
          </w:tcPr>
          <w:p w14:paraId="49668508"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4.</w:t>
            </w:r>
          </w:p>
        </w:tc>
        <w:tc>
          <w:tcPr>
            <w:tcW w:w="3260" w:type="dxa"/>
          </w:tcPr>
          <w:p w14:paraId="7D0A5487"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Taste (</w:t>
            </w:r>
            <w:r w:rsidRPr="003844E4">
              <w:rPr>
                <w:rFonts w:ascii="Times New Roman" w:hAnsi="Times New Roman" w:cs="Times New Roman"/>
                <w:i/>
                <w:iCs/>
                <w:sz w:val="24"/>
                <w:szCs w:val="24"/>
              </w:rPr>
              <w:t>Rasa</w:t>
            </w:r>
            <w:r w:rsidRPr="003844E4">
              <w:rPr>
                <w:rFonts w:ascii="Times New Roman" w:hAnsi="Times New Roman" w:cs="Times New Roman"/>
                <w:sz w:val="24"/>
                <w:szCs w:val="24"/>
              </w:rPr>
              <w:t>)</w:t>
            </w:r>
          </w:p>
        </w:tc>
        <w:tc>
          <w:tcPr>
            <w:tcW w:w="5023" w:type="dxa"/>
          </w:tcPr>
          <w:p w14:paraId="1059A9F8"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No characteristic taste</w:t>
            </w:r>
          </w:p>
        </w:tc>
      </w:tr>
      <w:tr w:rsidR="00321CE4" w:rsidRPr="003844E4" w14:paraId="19E4E445" w14:textId="77777777" w:rsidTr="00016E00">
        <w:tc>
          <w:tcPr>
            <w:tcW w:w="959" w:type="dxa"/>
          </w:tcPr>
          <w:p w14:paraId="03639F44"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5.</w:t>
            </w:r>
          </w:p>
        </w:tc>
        <w:tc>
          <w:tcPr>
            <w:tcW w:w="3260" w:type="dxa"/>
          </w:tcPr>
          <w:p w14:paraId="1FE1A023"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Odour (</w:t>
            </w:r>
            <w:r w:rsidRPr="003844E4">
              <w:rPr>
                <w:rFonts w:ascii="Times New Roman" w:hAnsi="Times New Roman" w:cs="Times New Roman"/>
                <w:i/>
                <w:iCs/>
                <w:sz w:val="24"/>
                <w:szCs w:val="24"/>
              </w:rPr>
              <w:t>Gandha</w:t>
            </w:r>
            <w:r w:rsidRPr="003844E4">
              <w:rPr>
                <w:rFonts w:ascii="Times New Roman" w:hAnsi="Times New Roman" w:cs="Times New Roman"/>
                <w:sz w:val="24"/>
                <w:szCs w:val="24"/>
              </w:rPr>
              <w:t>)</w:t>
            </w:r>
          </w:p>
        </w:tc>
        <w:tc>
          <w:tcPr>
            <w:tcW w:w="5023" w:type="dxa"/>
          </w:tcPr>
          <w:p w14:paraId="2DC92D8A"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Faint smell of tea leaves</w:t>
            </w:r>
          </w:p>
        </w:tc>
      </w:tr>
    </w:tbl>
    <w:p>
      <w:r>
        <w:rPr>
          <w:i w:val="0"/>
        </w:rPr>
        <w:t>Table 5 shows that the dried powder was coarse and pale greenish, with no characteristic taste and a faint odour resembling tea leaves. These sensory properties provide additional descriptive features for routine examination of the powdered crude drug.</w:t>
      </w:r>
    </w:p>
    <w:p w14:paraId="7D15FC6F" w14:textId="77777777" w:rsidR="00321CE4" w:rsidRPr="003844E4" w:rsidRDefault="00321CE4" w:rsidP="00321CE4">
      <w:pPr>
        <w:jc w:val="both"/>
        <w:rPr>
          <w:rFonts w:ascii="Times New Roman" w:hAnsi="Times New Roman" w:cs="Times New Roman"/>
          <w:b/>
          <w:bCs/>
          <w:sz w:val="24"/>
          <w:szCs w:val="24"/>
        </w:rPr>
      </w:pPr>
    </w:p>
    <w:p w14:paraId="4F823891"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b. Microscopic Study</w:t>
      </w:r>
    </w:p>
    <w:p w14:paraId="51C0F176"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i. Powder Microscopy</w:t>
      </w:r>
    </w:p>
    <w:p w14:paraId="71FC0D16"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46FC3865" wp14:editId="550C5B46">
            <wp:extent cx="5372757" cy="2406869"/>
            <wp:effectExtent l="19050" t="0" r="0" b="0"/>
            <wp:docPr id="1" name="Picture 3" descr="C:\Users\MANOJ\Downloads\ChatGPT Image Jul 8, 2026, 04_12_0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NOJ\Downloads\ChatGPT Image Jul 8, 2026, 04_12_05 PM.png"/>
                    <pic:cNvPicPr>
                      <a:picLocks noChangeAspect="1" noChangeArrowheads="1"/>
                    </pic:cNvPicPr>
                  </pic:nvPicPr>
                  <pic:blipFill>
                    <a:blip r:embed="rId6" cstate="print"/>
                    <a:srcRect/>
                    <a:stretch>
                      <a:fillRect/>
                    </a:stretch>
                  </pic:blipFill>
                  <pic:spPr bwMode="auto">
                    <a:xfrm>
                      <a:off x="0" y="0"/>
                      <a:ext cx="5415081" cy="2425829"/>
                    </a:xfrm>
                    <a:prstGeom prst="rect">
                      <a:avLst/>
                    </a:prstGeom>
                    <a:noFill/>
                    <a:ln w="9525">
                      <a:noFill/>
                      <a:miter lim="800000"/>
                      <a:headEnd/>
                      <a:tailEnd/>
                    </a:ln>
                  </pic:spPr>
                </pic:pic>
              </a:graphicData>
            </a:graphic>
          </wp:inline>
        </w:drawing>
      </w:r>
    </w:p>
    <w:p w14:paraId="6D8F014C"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lastRenderedPageBreak/>
        <w:drawing>
          <wp:inline distT="0" distB="0" distL="0" distR="0" wp14:anchorId="56166B70" wp14:editId="35248DD1">
            <wp:extent cx="5372757" cy="2562944"/>
            <wp:effectExtent l="19050" t="0" r="0" b="0"/>
            <wp:docPr id="3" name="Picture 2" descr="C:\Users\MANOJ\Downloads\ChatGPT Image Jul 10, 2026, 03_25_3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OJ\Downloads\ChatGPT Image Jul 10, 2026, 03_25_39 PM.png"/>
                    <pic:cNvPicPr>
                      <a:picLocks noChangeAspect="1" noChangeArrowheads="1"/>
                    </pic:cNvPicPr>
                  </pic:nvPicPr>
                  <pic:blipFill>
                    <a:blip r:embed="rId7" cstate="print"/>
                    <a:srcRect/>
                    <a:stretch>
                      <a:fillRect/>
                    </a:stretch>
                  </pic:blipFill>
                  <pic:spPr bwMode="auto">
                    <a:xfrm>
                      <a:off x="0" y="0"/>
                      <a:ext cx="5401893" cy="2576843"/>
                    </a:xfrm>
                    <a:prstGeom prst="rect">
                      <a:avLst/>
                    </a:prstGeom>
                    <a:noFill/>
                    <a:ln w="9525">
                      <a:noFill/>
                      <a:miter lim="800000"/>
                      <a:headEnd/>
                      <a:tailEnd/>
                    </a:ln>
                  </pic:spPr>
                </pic:pic>
              </a:graphicData>
            </a:graphic>
          </wp:inline>
        </w:drawing>
      </w:r>
    </w:p>
    <w:p w14:paraId="2231A7A3" w14:textId="77777777" w:rsidR="00321CE4" w:rsidRPr="003844E4" w:rsidRDefault="00321CE4" w:rsidP="00321CE4">
      <w:pPr>
        <w:jc w:val="center"/>
        <w:rPr>
          <w:rFonts w:ascii="Times New Roman" w:hAnsi="Times New Roman" w:cs="Times New Roman"/>
          <w:b/>
          <w:bCs/>
          <w:sz w:val="24"/>
          <w:szCs w:val="24"/>
        </w:rPr>
      </w:pPr>
      <w:r w:rsidRPr="003844E4">
        <w:rPr>
          <w:rFonts w:ascii="Times New Roman" w:hAnsi="Times New Roman" w:cs="Times New Roman"/>
          <w:b/>
          <w:bCs/>
          <w:sz w:val="24"/>
          <w:szCs w:val="24"/>
        </w:rPr>
        <w:t xml:space="preserve">Fig1.: Powder microscopy of </w:t>
      </w:r>
      <w:r w:rsidRPr="003844E4">
        <w:rPr>
          <w:rFonts w:ascii="Times New Roman" w:hAnsi="Times New Roman" w:cs="Times New Roman"/>
          <w:b/>
          <w:bCs/>
          <w:i/>
          <w:iCs/>
          <w:sz w:val="24"/>
          <w:szCs w:val="24"/>
        </w:rPr>
        <w:t xml:space="preserve">Mudgaparni </w:t>
      </w:r>
      <w:r w:rsidRPr="003844E4">
        <w:rPr>
          <w:rFonts w:ascii="Times New Roman" w:hAnsi="Times New Roman" w:cs="Times New Roman"/>
          <w:b/>
          <w:bCs/>
          <w:sz w:val="24"/>
          <w:szCs w:val="24"/>
        </w:rPr>
        <w:t>(</w:t>
      </w:r>
      <w:r w:rsidRPr="003844E4">
        <w:rPr>
          <w:rFonts w:ascii="Times New Roman" w:hAnsi="Times New Roman" w:cs="Times New Roman"/>
          <w:b/>
          <w:bCs/>
          <w:i/>
          <w:iCs/>
          <w:sz w:val="24"/>
          <w:szCs w:val="24"/>
        </w:rPr>
        <w:t xml:space="preserve">Vigna trilobata </w:t>
      </w:r>
      <w:r w:rsidRPr="003844E4">
        <w:rPr>
          <w:rFonts w:ascii="Times New Roman" w:hAnsi="Times New Roman" w:cs="Times New Roman"/>
          <w:b/>
          <w:bCs/>
          <w:sz w:val="24"/>
          <w:szCs w:val="24"/>
        </w:rPr>
        <w:t>L</w:t>
      </w:r>
      <w:r w:rsidR="003B028F" w:rsidRPr="003844E4">
        <w:rPr>
          <w:rFonts w:ascii="Times New Roman" w:hAnsi="Times New Roman" w:cs="Times New Roman"/>
          <w:b/>
          <w:bCs/>
          <w:sz w:val="24"/>
          <w:szCs w:val="24"/>
        </w:rPr>
        <w:t>inn</w:t>
      </w:r>
      <w:r w:rsidRPr="003844E4">
        <w:rPr>
          <w:rFonts w:ascii="Times New Roman" w:hAnsi="Times New Roman" w:cs="Times New Roman"/>
          <w:b/>
          <w:bCs/>
          <w:sz w:val="24"/>
          <w:szCs w:val="24"/>
        </w:rPr>
        <w:t>.) whole plant powder</w:t>
      </w:r>
    </w:p>
    <w:p w14:paraId="65F8E8C3" w14:textId="77777777" w:rsidR="00277E87" w:rsidRPr="003844E4" w:rsidRDefault="003B028F" w:rsidP="00321CE4">
      <w:pPr>
        <w:jc w:val="both"/>
        <w:rPr>
          <w:rFonts w:ascii="Times New Roman" w:hAnsi="Times New Roman" w:cs="Times New Roman"/>
          <w:b/>
          <w:bCs/>
          <w:sz w:val="24"/>
          <w:szCs w:val="24"/>
        </w:rPr>
      </w:pPr>
      <w:r>
        <w:rPr>
          <w:rFonts w:ascii="Times New Roman" w:hAnsi="Times New Roman" w:cs="Times New Roman"/>
          <w:sz w:val="24"/>
          <w:szCs w:val="24"/>
        </w:rPr>
        <w:t>The powder showed distinct fragments of the epidermis, palisade parenchyma and spongy mesophyll. Fragments of mesophyll tissue occurred in compact aggregates, while palisade parenchyma appeared as elongated, closely arranged cells. Spongy parenchyma was observed as loosely arranged cellular fragments with intercellular spaces. Numerous fragments of parenchymatous cells were also present. Xylem vessels</w:t>
      </w:r>
      <w:r>
        <w:rPr>
          <w:rFonts w:ascii="Times New Roman" w:hAnsi="Times New Roman" w:cs="Times New Roman"/>
          <w:sz w:val="24"/>
          <w:szCs w:val="24"/>
          <w:highlight w:val="yellow"/>
        </w:rPr>
        <w:t>,</w:t>
      </w:r>
      <w:r>
        <w:rPr>
          <w:rFonts w:ascii="Times New Roman" w:hAnsi="Times New Roman" w:cs="Times New Roman"/>
          <w:sz w:val="24"/>
          <w:szCs w:val="24"/>
        </w:rPr>
        <w:t xml:space="preserve"> including elongated tracheary elements with thickened walls, were evident along with fragments of fibres.</w:t>
      </w:r>
    </w:p>
    <w:p w14:paraId="190664CC"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ii. Transverse Section</w:t>
      </w:r>
    </w:p>
    <w:p w14:paraId="2555A56D"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56615481" wp14:editId="6EF3C0F0">
            <wp:extent cx="5488371" cy="2710061"/>
            <wp:effectExtent l="19050" t="0" r="0" b="0"/>
            <wp:docPr id="4" name="Picture 1" descr="C:\Users\MANOJ\Downloads\ChatGPT Image Jul 13, 2026, 11_35_06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OJ\Downloads\ChatGPT Image Jul 13, 2026, 11_35_06 AM.png"/>
                    <pic:cNvPicPr>
                      <a:picLocks noChangeAspect="1" noChangeArrowheads="1"/>
                    </pic:cNvPicPr>
                  </pic:nvPicPr>
                  <pic:blipFill>
                    <a:blip r:embed="rId8" cstate="print"/>
                    <a:srcRect/>
                    <a:stretch>
                      <a:fillRect/>
                    </a:stretch>
                  </pic:blipFill>
                  <pic:spPr bwMode="auto">
                    <a:xfrm>
                      <a:off x="0" y="0"/>
                      <a:ext cx="5493888" cy="2712785"/>
                    </a:xfrm>
                    <a:prstGeom prst="rect">
                      <a:avLst/>
                    </a:prstGeom>
                    <a:noFill/>
                    <a:ln w="9525">
                      <a:noFill/>
                      <a:miter lim="800000"/>
                      <a:headEnd/>
                      <a:tailEnd/>
                    </a:ln>
                  </pic:spPr>
                </pic:pic>
              </a:graphicData>
            </a:graphic>
          </wp:inline>
        </w:drawing>
      </w:r>
    </w:p>
    <w:p w14:paraId="61B80CBB" w14:textId="77777777" w:rsidR="00016E00"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Fig</w:t>
      </w:r>
      <w:r w:rsidR="00BC4DD0" w:rsidRPr="003844E4">
        <w:rPr>
          <w:rFonts w:ascii="Times New Roman" w:hAnsi="Times New Roman" w:cs="Times New Roman"/>
          <w:b/>
          <w:bCs/>
          <w:sz w:val="24"/>
          <w:szCs w:val="24"/>
        </w:rPr>
        <w:t xml:space="preserve"> </w:t>
      </w:r>
      <w:r w:rsidRPr="003844E4">
        <w:rPr>
          <w:rFonts w:ascii="Times New Roman" w:hAnsi="Times New Roman" w:cs="Times New Roman"/>
          <w:b/>
          <w:bCs/>
          <w:sz w:val="24"/>
          <w:szCs w:val="24"/>
        </w:rPr>
        <w:t xml:space="preserve">2: (a,b)Transverse section (TS) of Leaf of </w:t>
      </w:r>
      <w:r w:rsidRPr="003844E4">
        <w:rPr>
          <w:rFonts w:ascii="Times New Roman" w:hAnsi="Times New Roman" w:cs="Times New Roman"/>
          <w:b/>
          <w:bCs/>
          <w:i/>
          <w:iCs/>
          <w:sz w:val="24"/>
          <w:szCs w:val="24"/>
        </w:rPr>
        <w:t xml:space="preserve">Mudgaparni </w:t>
      </w:r>
      <w:r w:rsidRPr="003844E4">
        <w:rPr>
          <w:rFonts w:ascii="Times New Roman" w:hAnsi="Times New Roman" w:cs="Times New Roman"/>
          <w:b/>
          <w:bCs/>
          <w:sz w:val="24"/>
          <w:szCs w:val="24"/>
        </w:rPr>
        <w:t>(</w:t>
      </w:r>
      <w:r w:rsidRPr="003844E4">
        <w:rPr>
          <w:rFonts w:ascii="Times New Roman" w:hAnsi="Times New Roman" w:cs="Times New Roman"/>
          <w:b/>
          <w:bCs/>
          <w:i/>
          <w:iCs/>
          <w:sz w:val="24"/>
          <w:szCs w:val="24"/>
        </w:rPr>
        <w:t xml:space="preserve">Vigna trilobata </w:t>
      </w:r>
      <w:r w:rsidRPr="003844E4">
        <w:rPr>
          <w:rFonts w:ascii="Times New Roman" w:hAnsi="Times New Roman" w:cs="Times New Roman"/>
          <w:b/>
          <w:bCs/>
          <w:sz w:val="24"/>
          <w:szCs w:val="24"/>
        </w:rPr>
        <w:t>L</w:t>
      </w:r>
      <w:r w:rsidR="003B028F" w:rsidRPr="003844E4">
        <w:rPr>
          <w:rFonts w:ascii="Times New Roman" w:hAnsi="Times New Roman" w:cs="Times New Roman"/>
          <w:b/>
          <w:bCs/>
          <w:sz w:val="24"/>
          <w:szCs w:val="24"/>
        </w:rPr>
        <w:t>inn</w:t>
      </w:r>
      <w:r w:rsidRPr="003844E4">
        <w:rPr>
          <w:rFonts w:ascii="Times New Roman" w:hAnsi="Times New Roman" w:cs="Times New Roman"/>
          <w:b/>
          <w:bCs/>
          <w:sz w:val="24"/>
          <w:szCs w:val="24"/>
        </w:rPr>
        <w:t>.)</w:t>
      </w:r>
    </w:p>
    <w:p w14:paraId="6CCD3C5F" w14:textId="77777777" w:rsidR="003B028F" w:rsidRPr="003844E4" w:rsidRDefault="003B028F" w:rsidP="003B028F">
      <w:pPr>
        <w:jc w:val="both"/>
        <w:rPr>
          <w:rFonts w:ascii="Times New Roman" w:hAnsi="Times New Roman" w:cs="Times New Roman"/>
          <w:b/>
          <w:bCs/>
          <w:sz w:val="24"/>
          <w:szCs w:val="24"/>
        </w:rPr>
      </w:pPr>
      <w:r>
        <w:rPr>
          <w:rFonts w:ascii="Times New Roman" w:hAnsi="Times New Roman" w:cs="Times New Roman"/>
          <w:sz w:val="24"/>
          <w:szCs w:val="24"/>
        </w:rPr>
        <w:t xml:space="preserve">The transverse section of the leaf of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exhibit</w:t>
      </w:r>
      <w:r>
        <w:rPr>
          <w:rFonts w:ascii="Times New Roman" w:hAnsi="Times New Roman" w:cs="Times New Roman"/>
          <w:sz w:val="24"/>
          <w:szCs w:val="24"/>
          <w:highlight w:val="yellow"/>
        </w:rPr>
        <w:t>ed</w:t>
      </w:r>
      <w:r>
        <w:rPr>
          <w:rFonts w:ascii="Times New Roman" w:hAnsi="Times New Roman" w:cs="Times New Roman"/>
          <w:sz w:val="24"/>
          <w:szCs w:val="24"/>
        </w:rPr>
        <w:t xml:space="preserve"> a dorsiventral structure. The leaf was bounded by a single layer of compactly arranged upper and lower epidermal cells. The upper epidermis was followed by a distinct zone of elongated, closely arranged palisade mesophyll cells. Beneath the palisade region, the spongy mesophyll consisted of </w:t>
      </w:r>
      <w:r>
        <w:rPr>
          <w:rFonts w:ascii="Times New Roman" w:hAnsi="Times New Roman" w:cs="Times New Roman"/>
          <w:sz w:val="24"/>
          <w:szCs w:val="24"/>
        </w:rPr>
        <w:lastRenderedPageBreak/>
        <w:t>loosely arranged, irregularly shaped parenchymatous cells with prominent intercellular spaces. The midrib region was prominent and composed mainly of parenchymatous ground tissue containing a distinct vascular bundle. The vascular bundle was embedded within the midrib and surrounded by parenchymatous cells. The lower epidermis formed the outermost layer on the abaxial surface.</w:t>
      </w:r>
    </w:p>
    <w:p w14:paraId="1891EB92" w14:textId="77777777" w:rsidR="00514553" w:rsidRPr="003844E4" w:rsidRDefault="00653CC6"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183D9C7E" wp14:editId="0EA9576E">
            <wp:extent cx="5278164" cy="2309392"/>
            <wp:effectExtent l="19050" t="0" r="0" b="0"/>
            <wp:docPr id="2" name="Picture 2" descr="C:\Users\MANOJ\Downloads\ChatGPT Image Jul 13, 2026, 12_09_1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OJ\Downloads\ChatGPT Image Jul 13, 2026, 12_09_17 PM.png"/>
                    <pic:cNvPicPr>
                      <a:picLocks noChangeAspect="1" noChangeArrowheads="1"/>
                    </pic:cNvPicPr>
                  </pic:nvPicPr>
                  <pic:blipFill>
                    <a:blip r:embed="rId9" cstate="print"/>
                    <a:srcRect/>
                    <a:stretch>
                      <a:fillRect/>
                    </a:stretch>
                  </pic:blipFill>
                  <pic:spPr bwMode="auto">
                    <a:xfrm>
                      <a:off x="0" y="0"/>
                      <a:ext cx="5306748" cy="2321898"/>
                    </a:xfrm>
                    <a:prstGeom prst="rect">
                      <a:avLst/>
                    </a:prstGeom>
                    <a:noFill/>
                    <a:ln w="9525">
                      <a:noFill/>
                      <a:miter lim="800000"/>
                      <a:headEnd/>
                      <a:tailEnd/>
                    </a:ln>
                  </pic:spPr>
                </pic:pic>
              </a:graphicData>
            </a:graphic>
          </wp:inline>
        </w:drawing>
      </w:r>
    </w:p>
    <w:p w14:paraId="3106F89C" w14:textId="77777777" w:rsidR="00277E87" w:rsidRPr="003844E4" w:rsidRDefault="00514553" w:rsidP="00277E87">
      <w:pPr>
        <w:jc w:val="both"/>
        <w:rPr>
          <w:rFonts w:ascii="Times New Roman" w:hAnsi="Times New Roman" w:cs="Times New Roman"/>
          <w:b/>
          <w:bCs/>
          <w:sz w:val="24"/>
          <w:szCs w:val="24"/>
        </w:rPr>
      </w:pPr>
      <w:r w:rsidRPr="003844E4">
        <w:rPr>
          <w:rFonts w:ascii="Times New Roman" w:hAnsi="Times New Roman" w:cs="Times New Roman"/>
          <w:b/>
          <w:bCs/>
          <w:sz w:val="24"/>
          <w:szCs w:val="24"/>
        </w:rPr>
        <w:t xml:space="preserve">  </w:t>
      </w:r>
      <w:r w:rsidR="00321CE4" w:rsidRPr="003844E4">
        <w:rPr>
          <w:rFonts w:ascii="Times New Roman" w:hAnsi="Times New Roman" w:cs="Times New Roman"/>
          <w:b/>
          <w:bCs/>
          <w:sz w:val="24"/>
          <w:szCs w:val="24"/>
        </w:rPr>
        <w:t>Fig</w:t>
      </w:r>
      <w:r w:rsidR="00BC4DD0" w:rsidRPr="003844E4">
        <w:rPr>
          <w:rFonts w:ascii="Times New Roman" w:hAnsi="Times New Roman" w:cs="Times New Roman"/>
          <w:b/>
          <w:bCs/>
          <w:sz w:val="24"/>
          <w:szCs w:val="24"/>
        </w:rPr>
        <w:t xml:space="preserve"> </w:t>
      </w:r>
      <w:r w:rsidR="00321CE4" w:rsidRPr="003844E4">
        <w:rPr>
          <w:rFonts w:ascii="Times New Roman" w:hAnsi="Times New Roman" w:cs="Times New Roman"/>
          <w:b/>
          <w:bCs/>
          <w:sz w:val="24"/>
          <w:szCs w:val="24"/>
        </w:rPr>
        <w:t xml:space="preserve">.3:(c,d) Transverse section (TS) of Stem of </w:t>
      </w:r>
      <w:r w:rsidR="00321CE4" w:rsidRPr="003844E4">
        <w:rPr>
          <w:rFonts w:ascii="Times New Roman" w:hAnsi="Times New Roman" w:cs="Times New Roman"/>
          <w:b/>
          <w:bCs/>
          <w:i/>
          <w:iCs/>
          <w:sz w:val="24"/>
          <w:szCs w:val="24"/>
        </w:rPr>
        <w:t xml:space="preserve">Mudgaparni </w:t>
      </w:r>
      <w:r w:rsidR="00321CE4" w:rsidRPr="003844E4">
        <w:rPr>
          <w:rFonts w:ascii="Times New Roman" w:hAnsi="Times New Roman" w:cs="Times New Roman"/>
          <w:b/>
          <w:bCs/>
          <w:sz w:val="24"/>
          <w:szCs w:val="24"/>
        </w:rPr>
        <w:t>(</w:t>
      </w:r>
      <w:r w:rsidR="00321CE4" w:rsidRPr="003844E4">
        <w:rPr>
          <w:rFonts w:ascii="Times New Roman" w:hAnsi="Times New Roman" w:cs="Times New Roman"/>
          <w:b/>
          <w:bCs/>
          <w:i/>
          <w:iCs/>
          <w:sz w:val="24"/>
          <w:szCs w:val="24"/>
        </w:rPr>
        <w:t xml:space="preserve">Vigna trilobata </w:t>
      </w:r>
      <w:r w:rsidR="00321CE4" w:rsidRPr="003844E4">
        <w:rPr>
          <w:rFonts w:ascii="Times New Roman" w:hAnsi="Times New Roman" w:cs="Times New Roman"/>
          <w:b/>
          <w:bCs/>
          <w:sz w:val="24"/>
          <w:szCs w:val="24"/>
        </w:rPr>
        <w:t>L</w:t>
      </w:r>
      <w:r w:rsidR="007B0E0B" w:rsidRPr="003844E4">
        <w:rPr>
          <w:rFonts w:ascii="Times New Roman" w:hAnsi="Times New Roman" w:cs="Times New Roman"/>
          <w:b/>
          <w:bCs/>
          <w:sz w:val="24"/>
          <w:szCs w:val="24"/>
        </w:rPr>
        <w:t>inn</w:t>
      </w:r>
      <w:r w:rsidR="00321CE4" w:rsidRPr="003844E4">
        <w:rPr>
          <w:rFonts w:ascii="Times New Roman" w:hAnsi="Times New Roman" w:cs="Times New Roman"/>
          <w:b/>
          <w:bCs/>
          <w:sz w:val="24"/>
          <w:szCs w:val="24"/>
        </w:rPr>
        <w:t>.)</w:t>
      </w:r>
    </w:p>
    <w:p w14:paraId="737C57D4" w14:textId="77777777" w:rsidR="007B0E0B" w:rsidRPr="003844E4" w:rsidRDefault="007B0E0B" w:rsidP="00277E87">
      <w:pPr>
        <w:jc w:val="both"/>
        <w:rPr>
          <w:rFonts w:ascii="Times New Roman" w:hAnsi="Times New Roman" w:cs="Times New Roman"/>
          <w:b/>
          <w:bCs/>
          <w:sz w:val="24"/>
          <w:szCs w:val="24"/>
        </w:rPr>
      </w:pPr>
      <w:r>
        <w:rPr>
          <w:rFonts w:ascii="Times New Roman" w:hAnsi="Times New Roman" w:cs="Times New Roman"/>
          <w:sz w:val="24"/>
          <w:szCs w:val="24"/>
        </w:rPr>
        <w:t xml:space="preserve">The transverse section of the stem of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showed a distinct epidermal layer forming the outermost covering. The epidermis was followed by a cortex composed of parenchymatous cells, with a zone of collenchymatous tissue observed beneath the epidermal region. A distinct endodermis demarcated the cortical region from the vascular tissue. The pericycle was present internal to the endodermis. The vascular tissues were arranged in distinct vascular bundles, with phloem occurring towards the outer side and xylem towards the inner side. The xylem consisted of prominent, thick-walled vessels of varying sizes. The central region was occupied by a broad, well-developed parenchymatous pith.</w:t>
      </w:r>
    </w:p>
    <w:p w14:paraId="04425415"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118BDFA5" wp14:editId="3E0F77C3">
            <wp:extent cx="5215102" cy="2395547"/>
            <wp:effectExtent l="19050" t="0" r="4598" b="0"/>
            <wp:docPr id="24" name="Picture 3" descr="C:\Users\MANOJ\Downloads\ChatGPT Image Jul 13, 2026, 12_46_0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NOJ\Downloads\ChatGPT Image Jul 13, 2026, 12_46_00 PM.png"/>
                    <pic:cNvPicPr>
                      <a:picLocks noChangeAspect="1" noChangeArrowheads="1"/>
                    </pic:cNvPicPr>
                  </pic:nvPicPr>
                  <pic:blipFill>
                    <a:blip r:embed="rId10" cstate="print"/>
                    <a:srcRect/>
                    <a:stretch>
                      <a:fillRect/>
                    </a:stretch>
                  </pic:blipFill>
                  <pic:spPr bwMode="auto">
                    <a:xfrm>
                      <a:off x="0" y="0"/>
                      <a:ext cx="5246730" cy="2410075"/>
                    </a:xfrm>
                    <a:prstGeom prst="rect">
                      <a:avLst/>
                    </a:prstGeom>
                    <a:noFill/>
                    <a:ln w="9525">
                      <a:noFill/>
                      <a:miter lim="800000"/>
                      <a:headEnd/>
                      <a:tailEnd/>
                    </a:ln>
                  </pic:spPr>
                </pic:pic>
              </a:graphicData>
            </a:graphic>
          </wp:inline>
        </w:drawing>
      </w:r>
    </w:p>
    <w:p w14:paraId="7FA06B0A" w14:textId="77777777" w:rsidR="007B0E0B"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Fig</w:t>
      </w:r>
      <w:r w:rsidR="00BC4DD0" w:rsidRPr="003844E4">
        <w:rPr>
          <w:rFonts w:ascii="Times New Roman" w:hAnsi="Times New Roman" w:cs="Times New Roman"/>
          <w:b/>
          <w:bCs/>
          <w:sz w:val="24"/>
          <w:szCs w:val="24"/>
        </w:rPr>
        <w:t xml:space="preserve"> </w:t>
      </w:r>
      <w:r w:rsidRPr="003844E4">
        <w:rPr>
          <w:rFonts w:ascii="Times New Roman" w:hAnsi="Times New Roman" w:cs="Times New Roman"/>
          <w:b/>
          <w:bCs/>
          <w:sz w:val="24"/>
          <w:szCs w:val="24"/>
        </w:rPr>
        <w:t xml:space="preserve">.4:(e,f) Transverse section (TS) of Roots of </w:t>
      </w:r>
      <w:r w:rsidRPr="003844E4">
        <w:rPr>
          <w:rFonts w:ascii="Times New Roman" w:hAnsi="Times New Roman" w:cs="Times New Roman"/>
          <w:b/>
          <w:bCs/>
          <w:i/>
          <w:iCs/>
          <w:sz w:val="24"/>
          <w:szCs w:val="24"/>
        </w:rPr>
        <w:t xml:space="preserve">Mudgaparni </w:t>
      </w:r>
      <w:r w:rsidRPr="003844E4">
        <w:rPr>
          <w:rFonts w:ascii="Times New Roman" w:hAnsi="Times New Roman" w:cs="Times New Roman"/>
          <w:b/>
          <w:bCs/>
          <w:sz w:val="24"/>
          <w:szCs w:val="24"/>
        </w:rPr>
        <w:t>(</w:t>
      </w:r>
      <w:r w:rsidRPr="003844E4">
        <w:rPr>
          <w:rFonts w:ascii="Times New Roman" w:hAnsi="Times New Roman" w:cs="Times New Roman"/>
          <w:b/>
          <w:bCs/>
          <w:i/>
          <w:iCs/>
          <w:sz w:val="24"/>
          <w:szCs w:val="24"/>
        </w:rPr>
        <w:t xml:space="preserve">Vigna trilobata </w:t>
      </w:r>
      <w:r w:rsidRPr="003844E4">
        <w:rPr>
          <w:rFonts w:ascii="Times New Roman" w:hAnsi="Times New Roman" w:cs="Times New Roman"/>
          <w:b/>
          <w:bCs/>
          <w:sz w:val="24"/>
          <w:szCs w:val="24"/>
        </w:rPr>
        <w:t>L</w:t>
      </w:r>
      <w:r w:rsidR="00277E87" w:rsidRPr="003844E4">
        <w:rPr>
          <w:rFonts w:ascii="Times New Roman" w:hAnsi="Times New Roman" w:cs="Times New Roman"/>
          <w:b/>
          <w:bCs/>
          <w:sz w:val="24"/>
          <w:szCs w:val="24"/>
        </w:rPr>
        <w:t>inn</w:t>
      </w:r>
      <w:r w:rsidRPr="003844E4">
        <w:rPr>
          <w:rFonts w:ascii="Times New Roman" w:hAnsi="Times New Roman" w:cs="Times New Roman"/>
          <w:b/>
          <w:bCs/>
          <w:sz w:val="24"/>
          <w:szCs w:val="24"/>
        </w:rPr>
        <w:t>.)</w:t>
      </w:r>
      <w:r w:rsidR="006E112D" w:rsidRPr="003844E4">
        <w:rPr>
          <w:rFonts w:ascii="Times New Roman" w:hAnsi="Times New Roman" w:cs="Times New Roman"/>
          <w:b/>
          <w:bCs/>
          <w:sz w:val="24"/>
          <w:szCs w:val="24"/>
        </w:rPr>
        <w:t xml:space="preserve"> </w:t>
      </w:r>
    </w:p>
    <w:p w14:paraId="48374E6D" w14:textId="77777777" w:rsidR="006E112D" w:rsidRPr="003844E4" w:rsidRDefault="007B0E0B" w:rsidP="00321CE4">
      <w:pPr>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The transverse section of the root of </w:t>
      </w:r>
      <w:r>
        <w:rPr>
          <w:rStyle w:val="Emphasis"/>
          <w:rFonts w:ascii="Times New Roman" w:hAnsi="Times New Roman" w:cs="Times New Roman"/>
          <w:sz w:val="24"/>
          <w:szCs w:val="24"/>
        </w:rPr>
        <w:t>Vigna trilobata</w:t>
      </w:r>
      <w:r>
        <w:rPr>
          <w:rFonts w:ascii="Times New Roman" w:hAnsi="Times New Roman" w:cs="Times New Roman"/>
          <w:sz w:val="24"/>
          <w:szCs w:val="24"/>
        </w:rPr>
        <w:t xml:space="preserve"> Linn. exhibit</w:t>
      </w:r>
      <w:r>
        <w:rPr>
          <w:rFonts w:ascii="Times New Roman" w:hAnsi="Times New Roman" w:cs="Times New Roman"/>
          <w:sz w:val="24"/>
          <w:szCs w:val="24"/>
          <w:highlight w:val="yellow"/>
        </w:rPr>
        <w:t>ed</w:t>
      </w:r>
      <w:r>
        <w:rPr>
          <w:rFonts w:ascii="Times New Roman" w:hAnsi="Times New Roman" w:cs="Times New Roman"/>
          <w:sz w:val="24"/>
          <w:szCs w:val="24"/>
        </w:rPr>
        <w:t xml:space="preserve"> a distinct outer epidermal layer followed by a well-developed cortex. The cortex consisted of several layers of predominantly collenchymatous and parenchymatous cells. A distinct single-layered endodermis demarcated the cortex from the stele. The pericycle was present immediately inner to the endodermis and appeared as a discontinuous ring. The vascular bundles were arranged in a distinct ring, exhibiting secondary growth. The phloem occurred towards the outer region, while the xylem was situated towards the inner region and consisted of prominent secondary xylem with well-developed vessels. Phloem rays and xylem rays were also evident between the vascular tissues.</w:t>
      </w:r>
    </w:p>
    <w:p w14:paraId="0CC885BD" w14:textId="77777777" w:rsidR="00321CE4" w:rsidRPr="003844E4" w:rsidRDefault="00A82AB6" w:rsidP="00321CE4">
      <w:pPr>
        <w:jc w:val="both"/>
        <w:rPr>
          <w:rFonts w:ascii="Times New Roman" w:hAnsi="Times New Roman" w:cs="Times New Roman"/>
          <w:b/>
          <w:bCs/>
          <w:sz w:val="24"/>
          <w:szCs w:val="24"/>
          <w:vertAlign w:val="superscript"/>
        </w:rPr>
      </w:pPr>
      <w:r>
        <w:rPr>
          <w:rFonts w:ascii="Times New Roman" w:hAnsi="Times New Roman" w:cs="Times New Roman"/>
          <w:b/>
          <w:bCs/>
          <w:sz w:val="24"/>
          <w:szCs w:val="24"/>
        </w:rPr>
        <w:t>B. Physicochemical Study</w:t>
      </w:r>
      <w:r>
        <w:rPr>
          <w:rFonts w:ascii="Times New Roman" w:hAnsi="Times New Roman" w:cs="Times New Roman"/>
          <w:b/>
          <w:bCs/>
          <w:sz w:val="24"/>
          <w:szCs w:val="24"/>
          <w:highlight w:val="yellow"/>
          <w:vertAlign w:val="superscript"/>
        </w:rPr>
        <w:t xml:space="preserve"> (Ministry of Health and Family Welfare, Government of India, </w:t>
      </w:r>
      <w:r>
        <w:rPr>
          <w:rFonts w:ascii="Times New Roman" w:hAnsi="Times New Roman" w:cs="Times New Roman"/>
          <w:b/>
          <w:bCs/>
          <w:sz w:val="24"/>
          <w:szCs w:val="24"/>
          <w:vertAlign w:val="superscript"/>
        </w:rPr>
        <w:t>2</w:t>
      </w:r>
      <w:r>
        <w:rPr>
          <w:rFonts w:ascii="Times New Roman" w:hAnsi="Times New Roman" w:cs="Times New Roman"/>
          <w:b/>
          <w:bCs/>
          <w:sz w:val="24"/>
          <w:szCs w:val="24"/>
          <w:highlight w:val="yellow"/>
          <w:vertAlign w:val="superscript"/>
        </w:rPr>
        <w:t>008)</w:t>
      </w:r>
    </w:p>
    <w:p w14:paraId="03BF6AD9" w14:textId="77777777" w:rsidR="007B0E0B" w:rsidRPr="003844E4" w:rsidRDefault="00C43E4C" w:rsidP="008A6C88">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 xml:space="preserve">Table </w:t>
      </w:r>
      <w:r w:rsidR="00D138AC" w:rsidRPr="003844E4">
        <w:rPr>
          <w:rFonts w:ascii="Times New Roman" w:hAnsi="Times New Roman" w:cs="Times New Roman"/>
          <w:b/>
          <w:bCs/>
          <w:sz w:val="24"/>
          <w:szCs w:val="24"/>
        </w:rPr>
        <w:t>6</w:t>
      </w:r>
      <w:r w:rsidR="007B0E0B" w:rsidRPr="003844E4">
        <w:rPr>
          <w:rFonts w:ascii="Times New Roman" w:hAnsi="Times New Roman" w:cs="Times New Roman"/>
          <w:b/>
          <w:bCs/>
          <w:sz w:val="24"/>
          <w:szCs w:val="24"/>
        </w:rPr>
        <w:t xml:space="preserve">: </w:t>
      </w:r>
      <w:r w:rsidR="00A82AB6" w:rsidRPr="003844E4">
        <w:rPr>
          <w:rFonts w:ascii="Times New Roman" w:hAnsi="Times New Roman" w:cs="Times New Roman"/>
          <w:b/>
          <w:bCs/>
          <w:sz w:val="24"/>
          <w:szCs w:val="24"/>
        </w:rPr>
        <w:t xml:space="preserve">Physicochemical Study of </w:t>
      </w:r>
      <w:r w:rsidR="00A82AB6" w:rsidRPr="003844E4">
        <w:rPr>
          <w:rFonts w:ascii="Times New Roman" w:hAnsi="Times New Roman" w:cs="Times New Roman"/>
          <w:b/>
          <w:bCs/>
          <w:i/>
          <w:iCs/>
          <w:sz w:val="24"/>
          <w:szCs w:val="24"/>
        </w:rPr>
        <w:t xml:space="preserve">Vigna trilobata </w:t>
      </w:r>
      <w:r w:rsidR="00A82AB6" w:rsidRPr="003844E4">
        <w:rPr>
          <w:rFonts w:ascii="Times New Roman" w:hAnsi="Times New Roman" w:cs="Times New Roman"/>
          <w:b/>
          <w:bCs/>
          <w:sz w:val="24"/>
          <w:szCs w:val="24"/>
        </w:rPr>
        <w:t>Linn.</w:t>
      </w:r>
    </w:p>
    <w:tbl>
      <w:tblPr>
        <w:tblStyle w:val="TableGrid"/>
        <w:tblW w:w="0" w:type="auto"/>
        <w:tblInd w:w="250" w:type="dxa"/>
        <w:tblLook w:val="04A0" w:firstRow="1" w:lastRow="0" w:firstColumn="1" w:lastColumn="0" w:noHBand="0" w:noVBand="1"/>
      </w:tblPr>
      <w:tblGrid>
        <w:gridCol w:w="709"/>
        <w:gridCol w:w="3661"/>
        <w:gridCol w:w="2311"/>
        <w:gridCol w:w="2311"/>
      </w:tblGrid>
      <w:tr w:rsidR="00321CE4" w:rsidRPr="003844E4" w14:paraId="575610CD" w14:textId="77777777" w:rsidTr="006E112D">
        <w:tc>
          <w:tcPr>
            <w:tcW w:w="709" w:type="dxa"/>
          </w:tcPr>
          <w:p w14:paraId="6172A95F" w14:textId="77777777" w:rsidR="00321CE4" w:rsidRPr="003844E4" w:rsidRDefault="00321CE4" w:rsidP="008A6C88">
            <w:pPr>
              <w:pStyle w:val="NoSpacing"/>
              <w:rPr>
                <w:rFonts w:ascii="Times New Roman" w:hAnsi="Times New Roman" w:cs="Times New Roman"/>
                <w:b/>
                <w:bCs/>
                <w:sz w:val="24"/>
                <w:szCs w:val="24"/>
              </w:rPr>
            </w:pPr>
            <w:r w:rsidRPr="003844E4">
              <w:rPr>
                <w:rFonts w:ascii="Times New Roman" w:hAnsi="Times New Roman" w:cs="Times New Roman"/>
                <w:b/>
                <w:bCs/>
                <w:sz w:val="24"/>
                <w:szCs w:val="24"/>
              </w:rPr>
              <w:t>S. No.</w:t>
            </w:r>
          </w:p>
        </w:tc>
        <w:tc>
          <w:tcPr>
            <w:tcW w:w="3661" w:type="dxa"/>
          </w:tcPr>
          <w:p w14:paraId="06D8979A" w14:textId="77777777" w:rsidR="00321CE4" w:rsidRPr="003844E4" w:rsidRDefault="00321CE4" w:rsidP="008A6C88">
            <w:pPr>
              <w:pStyle w:val="NoSpacing"/>
              <w:rPr>
                <w:rFonts w:ascii="Times New Roman" w:hAnsi="Times New Roman" w:cs="Times New Roman"/>
                <w:b/>
                <w:bCs/>
                <w:sz w:val="24"/>
                <w:szCs w:val="24"/>
              </w:rPr>
            </w:pPr>
            <w:r w:rsidRPr="003844E4">
              <w:rPr>
                <w:rFonts w:ascii="Times New Roman" w:hAnsi="Times New Roman" w:cs="Times New Roman"/>
                <w:b/>
                <w:bCs/>
                <w:sz w:val="24"/>
                <w:szCs w:val="24"/>
              </w:rPr>
              <w:t>Parameters</w:t>
            </w:r>
          </w:p>
        </w:tc>
        <w:tc>
          <w:tcPr>
            <w:tcW w:w="2311" w:type="dxa"/>
          </w:tcPr>
          <w:p w14:paraId="3E3CAC9D" w14:textId="77777777" w:rsidR="00321CE4" w:rsidRPr="003844E4" w:rsidRDefault="00321CE4" w:rsidP="008A6C88">
            <w:pPr>
              <w:pStyle w:val="NoSpacing"/>
              <w:rPr>
                <w:rFonts w:ascii="Times New Roman" w:hAnsi="Times New Roman" w:cs="Times New Roman"/>
                <w:b/>
                <w:bCs/>
                <w:sz w:val="24"/>
                <w:szCs w:val="24"/>
              </w:rPr>
            </w:pPr>
            <w:r w:rsidRPr="003844E4">
              <w:rPr>
                <w:rFonts w:ascii="Times New Roman" w:hAnsi="Times New Roman" w:cs="Times New Roman"/>
                <w:b/>
                <w:bCs/>
                <w:i/>
                <w:iCs/>
                <w:sz w:val="24"/>
                <w:szCs w:val="24"/>
              </w:rPr>
              <w:t xml:space="preserve">Mudgaparni </w:t>
            </w:r>
            <w:r w:rsidRPr="003844E4">
              <w:rPr>
                <w:rFonts w:ascii="Times New Roman" w:hAnsi="Times New Roman" w:cs="Times New Roman"/>
                <w:b/>
                <w:bCs/>
                <w:sz w:val="24"/>
                <w:szCs w:val="24"/>
              </w:rPr>
              <w:t>(</w:t>
            </w:r>
            <w:r w:rsidRPr="003844E4">
              <w:rPr>
                <w:rFonts w:ascii="Times New Roman" w:hAnsi="Times New Roman" w:cs="Times New Roman"/>
                <w:b/>
                <w:bCs/>
                <w:i/>
                <w:iCs/>
                <w:sz w:val="24"/>
                <w:szCs w:val="24"/>
              </w:rPr>
              <w:t xml:space="preserve">Vigna trilobata </w:t>
            </w:r>
            <w:r w:rsidRPr="003844E4">
              <w:rPr>
                <w:rFonts w:ascii="Times New Roman" w:hAnsi="Times New Roman" w:cs="Times New Roman"/>
                <w:b/>
                <w:bCs/>
                <w:sz w:val="24"/>
                <w:szCs w:val="24"/>
              </w:rPr>
              <w:t>Linn.) Sample readings</w:t>
            </w:r>
          </w:p>
        </w:tc>
        <w:tc>
          <w:tcPr>
            <w:tcW w:w="2311" w:type="dxa"/>
          </w:tcPr>
          <w:p w14:paraId="38B6C952" w14:textId="77777777" w:rsidR="00321CE4" w:rsidRPr="003844E4" w:rsidRDefault="00321CE4" w:rsidP="008A6C88">
            <w:pPr>
              <w:pStyle w:val="NoSpacing"/>
              <w:rPr>
                <w:rFonts w:ascii="Times New Roman" w:hAnsi="Times New Roman" w:cs="Times New Roman"/>
                <w:b/>
                <w:bCs/>
                <w:sz w:val="24"/>
                <w:szCs w:val="24"/>
              </w:rPr>
            </w:pPr>
            <w:r w:rsidRPr="003844E4">
              <w:rPr>
                <w:rFonts w:ascii="Times New Roman" w:hAnsi="Times New Roman" w:cs="Times New Roman"/>
                <w:b/>
                <w:bCs/>
                <w:sz w:val="24"/>
                <w:szCs w:val="24"/>
              </w:rPr>
              <w:t>Standard as per Ayurveda Pharmacopoeia of India</w:t>
            </w:r>
          </w:p>
        </w:tc>
      </w:tr>
      <w:tr w:rsidR="00321CE4" w:rsidRPr="003844E4" w14:paraId="0D62718D" w14:textId="77777777" w:rsidTr="006E112D">
        <w:tc>
          <w:tcPr>
            <w:tcW w:w="709" w:type="dxa"/>
          </w:tcPr>
          <w:p w14:paraId="1BCF634A"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a</w:t>
            </w:r>
          </w:p>
        </w:tc>
        <w:tc>
          <w:tcPr>
            <w:tcW w:w="3661" w:type="dxa"/>
          </w:tcPr>
          <w:p w14:paraId="7E20C70D"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Foreign matter</w:t>
            </w:r>
          </w:p>
        </w:tc>
        <w:tc>
          <w:tcPr>
            <w:tcW w:w="2311" w:type="dxa"/>
          </w:tcPr>
          <w:p w14:paraId="4A812E44"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1.5%</w:t>
            </w:r>
          </w:p>
        </w:tc>
        <w:tc>
          <w:tcPr>
            <w:tcW w:w="2311" w:type="dxa"/>
          </w:tcPr>
          <w:p w14:paraId="58D8B9F3"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2%</w:t>
            </w:r>
          </w:p>
        </w:tc>
      </w:tr>
      <w:tr w:rsidR="00321CE4" w:rsidRPr="003844E4" w14:paraId="7286982C" w14:textId="77777777" w:rsidTr="006E112D">
        <w:tc>
          <w:tcPr>
            <w:tcW w:w="709" w:type="dxa"/>
          </w:tcPr>
          <w:p w14:paraId="14AAF2A3"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b</w:t>
            </w:r>
          </w:p>
        </w:tc>
        <w:tc>
          <w:tcPr>
            <w:tcW w:w="3661" w:type="dxa"/>
          </w:tcPr>
          <w:p w14:paraId="7D2B0478"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Loss on Drying</w:t>
            </w:r>
          </w:p>
        </w:tc>
        <w:tc>
          <w:tcPr>
            <w:tcW w:w="2311" w:type="dxa"/>
          </w:tcPr>
          <w:p w14:paraId="765764B4"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1%</w:t>
            </w:r>
          </w:p>
        </w:tc>
        <w:tc>
          <w:tcPr>
            <w:tcW w:w="2311" w:type="dxa"/>
          </w:tcPr>
          <w:p w14:paraId="11BF4A00"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Not mentioned</w:t>
            </w:r>
          </w:p>
        </w:tc>
      </w:tr>
      <w:tr w:rsidR="00321CE4" w:rsidRPr="003844E4" w14:paraId="019FF7FE" w14:textId="77777777" w:rsidTr="006E112D">
        <w:tc>
          <w:tcPr>
            <w:tcW w:w="709" w:type="dxa"/>
          </w:tcPr>
          <w:p w14:paraId="3088B656"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c</w:t>
            </w:r>
          </w:p>
        </w:tc>
        <w:tc>
          <w:tcPr>
            <w:tcW w:w="3661" w:type="dxa"/>
          </w:tcPr>
          <w:p w14:paraId="07C7DFE1"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Total Ash</w:t>
            </w:r>
          </w:p>
        </w:tc>
        <w:tc>
          <w:tcPr>
            <w:tcW w:w="2311" w:type="dxa"/>
          </w:tcPr>
          <w:p w14:paraId="19E47E07"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9.9%</w:t>
            </w:r>
          </w:p>
        </w:tc>
        <w:tc>
          <w:tcPr>
            <w:tcW w:w="2311" w:type="dxa"/>
          </w:tcPr>
          <w:p w14:paraId="6DC38A5D"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11.5%</w:t>
            </w:r>
          </w:p>
        </w:tc>
      </w:tr>
      <w:tr w:rsidR="00321CE4" w:rsidRPr="003844E4" w14:paraId="16776ADB" w14:textId="77777777" w:rsidTr="006E112D">
        <w:tc>
          <w:tcPr>
            <w:tcW w:w="709" w:type="dxa"/>
          </w:tcPr>
          <w:p w14:paraId="70F97575"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d</w:t>
            </w:r>
          </w:p>
        </w:tc>
        <w:tc>
          <w:tcPr>
            <w:tcW w:w="3661" w:type="dxa"/>
          </w:tcPr>
          <w:p w14:paraId="2D1BED76"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Acid-insoluble ash</w:t>
            </w:r>
          </w:p>
        </w:tc>
        <w:tc>
          <w:tcPr>
            <w:tcW w:w="2311" w:type="dxa"/>
          </w:tcPr>
          <w:p w14:paraId="237192B9"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1.4%</w:t>
            </w:r>
          </w:p>
        </w:tc>
        <w:tc>
          <w:tcPr>
            <w:tcW w:w="2311" w:type="dxa"/>
          </w:tcPr>
          <w:p w14:paraId="5716884A"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1.5%</w:t>
            </w:r>
          </w:p>
        </w:tc>
      </w:tr>
      <w:tr w:rsidR="00321CE4" w:rsidRPr="003844E4" w14:paraId="74B09DAC" w14:textId="77777777" w:rsidTr="006E112D">
        <w:tc>
          <w:tcPr>
            <w:tcW w:w="709" w:type="dxa"/>
          </w:tcPr>
          <w:p w14:paraId="7E4B2394"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e</w:t>
            </w:r>
          </w:p>
        </w:tc>
        <w:tc>
          <w:tcPr>
            <w:tcW w:w="3661" w:type="dxa"/>
          </w:tcPr>
          <w:p w14:paraId="23A0E4AC"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Water-soluble extractive value</w:t>
            </w:r>
          </w:p>
        </w:tc>
        <w:tc>
          <w:tcPr>
            <w:tcW w:w="2311" w:type="dxa"/>
          </w:tcPr>
          <w:p w14:paraId="6E71505B"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10.3%</w:t>
            </w:r>
          </w:p>
        </w:tc>
        <w:tc>
          <w:tcPr>
            <w:tcW w:w="2311" w:type="dxa"/>
          </w:tcPr>
          <w:p w14:paraId="0C24A3E7"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11%</w:t>
            </w:r>
          </w:p>
        </w:tc>
      </w:tr>
      <w:tr w:rsidR="00321CE4" w:rsidRPr="003844E4" w14:paraId="3AA54058" w14:textId="77777777" w:rsidTr="006E112D">
        <w:tc>
          <w:tcPr>
            <w:tcW w:w="709" w:type="dxa"/>
          </w:tcPr>
          <w:p w14:paraId="369DB7A3"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w:t>
            </w:r>
          </w:p>
        </w:tc>
        <w:tc>
          <w:tcPr>
            <w:tcW w:w="3661" w:type="dxa"/>
          </w:tcPr>
          <w:p w14:paraId="5B9AAE45" w14:textId="77777777" w:rsidR="00321CE4" w:rsidRPr="003844E4" w:rsidRDefault="00321CE4" w:rsidP="00016E00">
            <w:pPr>
              <w:jc w:val="both"/>
              <w:rPr>
                <w:rFonts w:ascii="Times New Roman" w:hAnsi="Times New Roman" w:cs="Times New Roman"/>
                <w:b/>
                <w:bCs/>
                <w:sz w:val="24"/>
                <w:szCs w:val="24"/>
              </w:rPr>
            </w:pPr>
            <w:r w:rsidRPr="003844E4">
              <w:rPr>
                <w:rFonts w:ascii="Times New Roman" w:hAnsi="Times New Roman" w:cs="Times New Roman"/>
                <w:sz w:val="24"/>
                <w:szCs w:val="24"/>
              </w:rPr>
              <w:t>Alcohol-soluble extractive value</w:t>
            </w:r>
          </w:p>
        </w:tc>
        <w:tc>
          <w:tcPr>
            <w:tcW w:w="2311" w:type="dxa"/>
          </w:tcPr>
          <w:p w14:paraId="581C86E6"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2.9%</w:t>
            </w:r>
          </w:p>
        </w:tc>
        <w:tc>
          <w:tcPr>
            <w:tcW w:w="2311" w:type="dxa"/>
          </w:tcPr>
          <w:p w14:paraId="59700CBB"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3%</w:t>
            </w:r>
          </w:p>
        </w:tc>
      </w:tr>
    </w:tbl>
    <w:p>
      <w:r>
        <w:rPr>
          <w:i w:val="0"/>
        </w:rPr>
        <w:t>The physicochemical values are presented in Table 6 and illustrated in Figure 5. Foreign matter was 1.5%, total ash 9.9%, acid-insoluble ash 1.4%, water-soluble extractive value 10.3% and alcohol-soluble extractive value 2.9%; each value was within the corresponding Ayurvedic Pharmacopoeia of India limit shown in the table. Loss on drying was 1.0%, for which no pharmacopoeial limit was stated in the cited standard.</w:t>
      </w:r>
    </w:p>
    <w:p w14:paraId="70A244B6" w14:textId="77777777" w:rsidR="00321CE4" w:rsidRPr="003844E4" w:rsidRDefault="00321CE4" w:rsidP="00321CE4">
      <w:pPr>
        <w:jc w:val="both"/>
        <w:rPr>
          <w:rFonts w:ascii="Times New Roman" w:hAnsi="Times New Roman" w:cs="Times New Roman"/>
          <w:b/>
          <w:bCs/>
          <w:sz w:val="24"/>
          <w:szCs w:val="24"/>
        </w:rPr>
      </w:pPr>
    </w:p>
    <w:p w14:paraId="1C32E4AB" w14:textId="77777777" w:rsidR="00277E87" w:rsidRPr="003844E4" w:rsidRDefault="00277E87" w:rsidP="00321CE4">
      <w:pPr>
        <w:jc w:val="both"/>
        <w:rPr>
          <w:rFonts w:ascii="Times New Roman" w:hAnsi="Times New Roman" w:cs="Times New Roman"/>
          <w:b/>
          <w:bCs/>
          <w:sz w:val="24"/>
          <w:szCs w:val="24"/>
        </w:rPr>
      </w:pPr>
    </w:p>
    <w:p w14:paraId="677B32FC" w14:textId="77777777" w:rsidR="00277E87" w:rsidRPr="003844E4" w:rsidRDefault="00277E87"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72723DDE" wp14:editId="23BC592C">
            <wp:extent cx="5646026" cy="2916878"/>
            <wp:effectExtent l="19050" t="0" r="0" b="0"/>
            <wp:docPr id="5" name="Picture 1" descr="C:\Users\MANOJ\Downloads\ChatGPT Image Aug 7, 2026, 09_35_2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OJ\Downloads\ChatGPT Image Aug 7, 2026, 09_35_20 AM.png"/>
                    <pic:cNvPicPr>
                      <a:picLocks noChangeAspect="1" noChangeArrowheads="1"/>
                    </pic:cNvPicPr>
                  </pic:nvPicPr>
                  <pic:blipFill>
                    <a:blip r:embed="rId11" cstate="print"/>
                    <a:srcRect/>
                    <a:stretch>
                      <a:fillRect/>
                    </a:stretch>
                  </pic:blipFill>
                  <pic:spPr bwMode="auto">
                    <a:xfrm>
                      <a:off x="0" y="0"/>
                      <a:ext cx="5650102" cy="2918984"/>
                    </a:xfrm>
                    <a:prstGeom prst="rect">
                      <a:avLst/>
                    </a:prstGeom>
                    <a:noFill/>
                    <a:ln w="9525">
                      <a:noFill/>
                      <a:miter lim="800000"/>
                      <a:headEnd/>
                      <a:tailEnd/>
                    </a:ln>
                  </pic:spPr>
                </pic:pic>
              </a:graphicData>
            </a:graphic>
          </wp:inline>
        </w:drawing>
      </w:r>
    </w:p>
    <w:p w14:paraId="7C5FD698" w14:textId="77777777" w:rsidR="00C43E4C" w:rsidRPr="003844E4" w:rsidRDefault="00321CE4" w:rsidP="00C43E4C">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lastRenderedPageBreak/>
        <w:drawing>
          <wp:inline distT="0" distB="0" distL="0" distR="0" wp14:anchorId="0BB5B9A4" wp14:editId="559F7516">
            <wp:extent cx="5593474" cy="2333296"/>
            <wp:effectExtent l="19050" t="0" r="7226" b="0"/>
            <wp:docPr id="8" name="Picture 1" descr="C:\Users\MANOJ\Downloads\ChatGPT Image Jul 16, 2026, 02_40_0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OJ\Downloads\ChatGPT Image Jul 16, 2026, 02_40_09 PM.png"/>
                    <pic:cNvPicPr>
                      <a:picLocks noChangeAspect="1" noChangeArrowheads="1"/>
                    </pic:cNvPicPr>
                  </pic:nvPicPr>
                  <pic:blipFill>
                    <a:blip r:embed="rId12" cstate="print"/>
                    <a:srcRect/>
                    <a:stretch>
                      <a:fillRect/>
                    </a:stretch>
                  </pic:blipFill>
                  <pic:spPr bwMode="auto">
                    <a:xfrm>
                      <a:off x="0" y="0"/>
                      <a:ext cx="5614956" cy="2342257"/>
                    </a:xfrm>
                    <a:prstGeom prst="rect">
                      <a:avLst/>
                    </a:prstGeom>
                    <a:noFill/>
                    <a:ln w="9525">
                      <a:noFill/>
                      <a:miter lim="800000"/>
                      <a:headEnd/>
                      <a:tailEnd/>
                    </a:ln>
                  </pic:spPr>
                </pic:pic>
              </a:graphicData>
            </a:graphic>
          </wp:inline>
        </w:drawing>
      </w:r>
    </w:p>
    <w:p w14:paraId="03B87863" w14:textId="77777777" w:rsidR="00321CE4" w:rsidRPr="003844E4" w:rsidRDefault="00C43E4C"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rPr>
        <w:drawing>
          <wp:inline distT="0" distB="0" distL="0" distR="0" wp14:anchorId="615BA2C9" wp14:editId="1380D20A">
            <wp:extent cx="5519902" cy="2195842"/>
            <wp:effectExtent l="19050" t="0" r="4598" b="0"/>
            <wp:docPr id="7" name="Picture 2" descr="C:\Users\MANOJ\Downloads\ChatGPT Image Jul 16, 2026, 02_36_3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OJ\Downloads\ChatGPT Image Jul 16, 2026, 02_36_32 PM.png"/>
                    <pic:cNvPicPr>
                      <a:picLocks noChangeAspect="1" noChangeArrowheads="1"/>
                    </pic:cNvPicPr>
                  </pic:nvPicPr>
                  <pic:blipFill>
                    <a:blip r:embed="rId13" cstate="print"/>
                    <a:srcRect/>
                    <a:stretch>
                      <a:fillRect/>
                    </a:stretch>
                  </pic:blipFill>
                  <pic:spPr bwMode="auto">
                    <a:xfrm>
                      <a:off x="0" y="0"/>
                      <a:ext cx="5536521" cy="2202453"/>
                    </a:xfrm>
                    <a:prstGeom prst="rect">
                      <a:avLst/>
                    </a:prstGeom>
                    <a:noFill/>
                    <a:ln w="9525">
                      <a:noFill/>
                      <a:miter lim="800000"/>
                      <a:headEnd/>
                      <a:tailEnd/>
                    </a:ln>
                  </pic:spPr>
                </pic:pic>
              </a:graphicData>
            </a:graphic>
          </wp:inline>
        </w:drawing>
      </w:r>
    </w:p>
    <w:p w14:paraId="56EF287C" w14:textId="77777777" w:rsidR="006D39C6" w:rsidRPr="003844E4" w:rsidRDefault="00321CE4" w:rsidP="00321CE4">
      <w:pPr>
        <w:jc w:val="both"/>
        <w:rPr>
          <w:rFonts w:ascii="Times New Roman" w:hAnsi="Times New Roman" w:cs="Times New Roman"/>
          <w:b/>
          <w:bCs/>
          <w:noProof/>
          <w:sz w:val="24"/>
          <w:szCs w:val="24"/>
          <w:lang w:eastAsia="en-IN" w:bidi="hi-IN"/>
        </w:rPr>
      </w:pPr>
      <w:r w:rsidRPr="003844E4">
        <w:rPr>
          <w:rFonts w:ascii="Times New Roman" w:hAnsi="Times New Roman" w:cs="Times New Roman"/>
          <w:b/>
          <w:bCs/>
          <w:noProof/>
          <w:sz w:val="24"/>
          <w:szCs w:val="24"/>
          <w:lang w:eastAsia="en-IN" w:bidi="hi-IN"/>
        </w:rPr>
        <w:drawing>
          <wp:inline distT="0" distB="0" distL="0" distR="0" wp14:anchorId="50067504" wp14:editId="22C3FAD0">
            <wp:extent cx="5498881" cy="2039007"/>
            <wp:effectExtent l="19050" t="0" r="6569" b="0"/>
            <wp:docPr id="11" name="Picture 6" descr="C:\Users\MANOJ\Downloads\ChatGPT Image Jul 16, 2026, 02_42_2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NOJ\Downloads\ChatGPT Image Jul 16, 2026, 02_42_25 PM.png"/>
                    <pic:cNvPicPr>
                      <a:picLocks noChangeAspect="1" noChangeArrowheads="1"/>
                    </pic:cNvPicPr>
                  </pic:nvPicPr>
                  <pic:blipFill>
                    <a:blip r:embed="rId14" cstate="print"/>
                    <a:srcRect/>
                    <a:stretch>
                      <a:fillRect/>
                    </a:stretch>
                  </pic:blipFill>
                  <pic:spPr bwMode="auto">
                    <a:xfrm>
                      <a:off x="0" y="0"/>
                      <a:ext cx="5529552" cy="2050380"/>
                    </a:xfrm>
                    <a:prstGeom prst="rect">
                      <a:avLst/>
                    </a:prstGeom>
                    <a:noFill/>
                    <a:ln w="9525">
                      <a:noFill/>
                      <a:miter lim="800000"/>
                      <a:headEnd/>
                      <a:tailEnd/>
                    </a:ln>
                  </pic:spPr>
                </pic:pic>
              </a:graphicData>
            </a:graphic>
          </wp:inline>
        </w:drawing>
      </w:r>
    </w:p>
    <w:p w14:paraId="2FF0F191" w14:textId="77777777" w:rsidR="00321CE4" w:rsidRPr="003844E4" w:rsidRDefault="00C43E4C"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t>Fig</w:t>
      </w:r>
      <w:r w:rsidR="00BC4DD0" w:rsidRPr="003844E4">
        <w:rPr>
          <w:rFonts w:ascii="Times New Roman" w:hAnsi="Times New Roman" w:cs="Times New Roman"/>
          <w:b/>
          <w:bCs/>
          <w:noProof/>
          <w:sz w:val="24"/>
          <w:szCs w:val="24"/>
          <w:lang w:eastAsia="en-IN" w:bidi="hi-IN"/>
        </w:rPr>
        <w:t xml:space="preserve"> </w:t>
      </w:r>
      <w:r w:rsidR="00321CE4" w:rsidRPr="003844E4">
        <w:rPr>
          <w:rFonts w:ascii="Times New Roman" w:hAnsi="Times New Roman" w:cs="Times New Roman"/>
          <w:b/>
          <w:bCs/>
          <w:noProof/>
          <w:sz w:val="24"/>
          <w:szCs w:val="24"/>
          <w:lang w:eastAsia="en-IN" w:bidi="hi-IN"/>
        </w:rPr>
        <w:t xml:space="preserve">5: Physicochemical evaluation of </w:t>
      </w:r>
      <w:r w:rsidR="00321CE4" w:rsidRPr="003844E4">
        <w:rPr>
          <w:rFonts w:ascii="Times New Roman" w:hAnsi="Times New Roman" w:cs="Times New Roman"/>
          <w:b/>
          <w:bCs/>
          <w:i/>
          <w:iCs/>
          <w:noProof/>
          <w:sz w:val="24"/>
          <w:szCs w:val="24"/>
          <w:lang w:eastAsia="en-IN" w:bidi="hi-IN"/>
        </w:rPr>
        <w:t xml:space="preserve">Mudgaparni </w:t>
      </w:r>
      <w:r w:rsidR="00321CE4" w:rsidRPr="003844E4">
        <w:rPr>
          <w:rFonts w:ascii="Times New Roman" w:hAnsi="Times New Roman" w:cs="Times New Roman"/>
          <w:b/>
          <w:bCs/>
          <w:noProof/>
          <w:sz w:val="24"/>
          <w:szCs w:val="24"/>
          <w:lang w:eastAsia="en-IN" w:bidi="hi-IN"/>
        </w:rPr>
        <w:t>(</w:t>
      </w:r>
      <w:r w:rsidR="00321CE4" w:rsidRPr="003844E4">
        <w:rPr>
          <w:rFonts w:ascii="Times New Roman" w:hAnsi="Times New Roman" w:cs="Times New Roman"/>
          <w:b/>
          <w:bCs/>
          <w:i/>
          <w:iCs/>
          <w:noProof/>
          <w:sz w:val="24"/>
          <w:szCs w:val="24"/>
          <w:lang w:eastAsia="en-IN" w:bidi="hi-IN"/>
        </w:rPr>
        <w:t xml:space="preserve">Vigna trilobata </w:t>
      </w:r>
      <w:r w:rsidR="00321CE4" w:rsidRPr="003844E4">
        <w:rPr>
          <w:rFonts w:ascii="Times New Roman" w:hAnsi="Times New Roman" w:cs="Times New Roman"/>
          <w:b/>
          <w:bCs/>
          <w:noProof/>
          <w:sz w:val="24"/>
          <w:szCs w:val="24"/>
          <w:lang w:eastAsia="en-IN" w:bidi="hi-IN"/>
        </w:rPr>
        <w:t>L.) shows (a,b)</w:t>
      </w:r>
      <w:r w:rsidR="006D39C6" w:rsidRPr="003844E4">
        <w:rPr>
          <w:rFonts w:ascii="Times New Roman" w:hAnsi="Times New Roman" w:cs="Times New Roman"/>
          <w:b/>
          <w:bCs/>
          <w:noProof/>
          <w:sz w:val="24"/>
          <w:szCs w:val="24"/>
          <w:lang w:eastAsia="en-IN" w:bidi="hi-IN"/>
        </w:rPr>
        <w:t xml:space="preserve"> Hebarium of </w:t>
      </w:r>
      <w:r w:rsidR="006D39C6" w:rsidRPr="003844E4">
        <w:rPr>
          <w:rFonts w:ascii="Times New Roman" w:hAnsi="Times New Roman" w:cs="Times New Roman"/>
          <w:b/>
          <w:bCs/>
          <w:i/>
          <w:iCs/>
          <w:noProof/>
          <w:sz w:val="24"/>
          <w:szCs w:val="24"/>
          <w:lang w:eastAsia="en-IN" w:bidi="hi-IN"/>
        </w:rPr>
        <w:t xml:space="preserve">Mudgaparni </w:t>
      </w:r>
      <w:r w:rsidR="006D39C6" w:rsidRPr="003844E4">
        <w:rPr>
          <w:rFonts w:ascii="Times New Roman" w:hAnsi="Times New Roman" w:cs="Times New Roman"/>
          <w:b/>
          <w:bCs/>
          <w:noProof/>
          <w:sz w:val="24"/>
          <w:szCs w:val="24"/>
          <w:lang w:eastAsia="en-IN" w:bidi="hi-IN"/>
        </w:rPr>
        <w:t>(</w:t>
      </w:r>
      <w:r w:rsidR="006D39C6" w:rsidRPr="003844E4">
        <w:rPr>
          <w:rFonts w:ascii="Times New Roman" w:hAnsi="Times New Roman" w:cs="Times New Roman"/>
          <w:b/>
          <w:bCs/>
          <w:i/>
          <w:iCs/>
          <w:noProof/>
          <w:sz w:val="24"/>
          <w:szCs w:val="24"/>
          <w:lang w:eastAsia="en-IN" w:bidi="hi-IN"/>
        </w:rPr>
        <w:t xml:space="preserve">Vigna trilobata </w:t>
      </w:r>
      <w:r w:rsidR="006D39C6" w:rsidRPr="003844E4">
        <w:rPr>
          <w:rFonts w:ascii="Times New Roman" w:hAnsi="Times New Roman" w:cs="Times New Roman"/>
          <w:b/>
          <w:bCs/>
          <w:noProof/>
          <w:sz w:val="24"/>
          <w:szCs w:val="24"/>
          <w:lang w:eastAsia="en-IN" w:bidi="hi-IN"/>
        </w:rPr>
        <w:t>Linn), Foreign Matter</w:t>
      </w:r>
      <w:r w:rsidR="00321CE4" w:rsidRPr="003844E4">
        <w:rPr>
          <w:rFonts w:ascii="Times New Roman" w:hAnsi="Times New Roman" w:cs="Times New Roman"/>
          <w:b/>
          <w:bCs/>
          <w:noProof/>
          <w:sz w:val="24"/>
          <w:szCs w:val="24"/>
          <w:lang w:eastAsia="en-IN" w:bidi="hi-IN"/>
        </w:rPr>
        <w:t>; (c,d): Aqueous &amp; Alcohol Soluble Extractive values; (e,f): Total Ash value &amp; Acid Insoluble Ash Value; (g,h): Moisture Content (Loss on Drying)</w:t>
      </w:r>
    </w:p>
    <w:p w14:paraId="49701D52" w14:textId="77777777" w:rsidR="00321CE4" w:rsidRPr="003844E4" w:rsidRDefault="00321CE4" w:rsidP="00321CE4">
      <w:pPr>
        <w:jc w:val="both"/>
        <w:rPr>
          <w:rFonts w:ascii="Times New Roman" w:hAnsi="Times New Roman" w:cs="Times New Roman"/>
          <w:b/>
          <w:bCs/>
          <w:sz w:val="24"/>
          <w:szCs w:val="24"/>
          <w:vertAlign w:val="superscript"/>
        </w:rPr>
      </w:pPr>
      <w:r>
        <w:rPr>
          <w:rFonts w:ascii="Times New Roman" w:hAnsi="Times New Roman" w:cs="Times New Roman"/>
          <w:b/>
          <w:bCs/>
          <w:sz w:val="24"/>
          <w:szCs w:val="24"/>
        </w:rPr>
        <w:t>C. Phytochemical Study</w:t>
      </w:r>
      <w:r>
        <w:rPr>
          <w:rFonts w:ascii="Times New Roman" w:hAnsi="Times New Roman" w:cs="Times New Roman"/>
          <w:b/>
          <w:bCs/>
          <w:sz w:val="24"/>
          <w:szCs w:val="24"/>
          <w:highlight w:val="yellow"/>
          <w:vertAlign w:val="superscript"/>
        </w:rPr>
        <w:t xml:space="preserve"> (Kokate et al., 2018)</w:t>
      </w:r>
    </w:p>
    <w:p w14:paraId="6D219DDD" w14:textId="77777777" w:rsidR="008A6C88" w:rsidRPr="003844E4" w:rsidRDefault="00C43E4C"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 xml:space="preserve">Table </w:t>
      </w:r>
      <w:r w:rsidR="00D138AC" w:rsidRPr="003844E4">
        <w:rPr>
          <w:rFonts w:ascii="Times New Roman" w:hAnsi="Times New Roman" w:cs="Times New Roman"/>
          <w:b/>
          <w:bCs/>
          <w:sz w:val="24"/>
          <w:szCs w:val="24"/>
        </w:rPr>
        <w:t>7</w:t>
      </w:r>
      <w:r w:rsidR="00E0407E" w:rsidRPr="003844E4">
        <w:rPr>
          <w:rFonts w:ascii="Times New Roman" w:hAnsi="Times New Roman" w:cs="Times New Roman"/>
          <w:b/>
          <w:bCs/>
          <w:sz w:val="24"/>
          <w:szCs w:val="24"/>
        </w:rPr>
        <w:t xml:space="preserve">: Phytochemical Study of </w:t>
      </w:r>
      <w:r w:rsidR="00E0407E" w:rsidRPr="003844E4">
        <w:rPr>
          <w:rFonts w:ascii="Times New Roman" w:hAnsi="Times New Roman" w:cs="Times New Roman"/>
          <w:b/>
          <w:bCs/>
          <w:i/>
          <w:iCs/>
          <w:sz w:val="24"/>
          <w:szCs w:val="24"/>
        </w:rPr>
        <w:t xml:space="preserve">Vigna trilobata </w:t>
      </w:r>
      <w:r w:rsidR="00E0407E" w:rsidRPr="003844E4">
        <w:rPr>
          <w:rFonts w:ascii="Times New Roman" w:hAnsi="Times New Roman" w:cs="Times New Roman"/>
          <w:b/>
          <w:bCs/>
          <w:sz w:val="24"/>
          <w:szCs w:val="24"/>
        </w:rPr>
        <w:t>Linn.</w:t>
      </w:r>
    </w:p>
    <w:tbl>
      <w:tblPr>
        <w:tblStyle w:val="TableGrid"/>
        <w:tblW w:w="0" w:type="auto"/>
        <w:tblLayout w:type="fixed"/>
        <w:tblLook w:val="04A0" w:firstRow="1" w:lastRow="0" w:firstColumn="1" w:lastColumn="0" w:noHBand="0" w:noVBand="1"/>
      </w:tblPr>
      <w:tblGrid>
        <w:gridCol w:w="759"/>
        <w:gridCol w:w="1791"/>
        <w:gridCol w:w="2311"/>
        <w:gridCol w:w="1981"/>
        <w:gridCol w:w="2197"/>
      </w:tblGrid>
      <w:tr w:rsidR="00321CE4" w:rsidRPr="003844E4" w14:paraId="2357D5B1" w14:textId="77777777" w:rsidTr="006D39C6">
        <w:trPr>
          <w:trHeight w:val="253"/>
        </w:trPr>
        <w:tc>
          <w:tcPr>
            <w:tcW w:w="759" w:type="dxa"/>
            <w:vMerge w:val="restart"/>
          </w:tcPr>
          <w:p w14:paraId="3DB227A3" w14:textId="77777777" w:rsidR="00321CE4" w:rsidRPr="003844E4" w:rsidRDefault="00321CE4"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S.No.</w:t>
            </w:r>
          </w:p>
        </w:tc>
        <w:tc>
          <w:tcPr>
            <w:tcW w:w="1791" w:type="dxa"/>
            <w:vMerge w:val="restart"/>
          </w:tcPr>
          <w:p w14:paraId="76A777E5" w14:textId="77777777" w:rsidR="00321CE4" w:rsidRPr="003844E4" w:rsidRDefault="00321CE4"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Phytochemical</w:t>
            </w:r>
          </w:p>
        </w:tc>
        <w:tc>
          <w:tcPr>
            <w:tcW w:w="2311" w:type="dxa"/>
            <w:vMerge w:val="restart"/>
          </w:tcPr>
          <w:p w14:paraId="11AF8AAC" w14:textId="77777777" w:rsidR="00321CE4" w:rsidRPr="003844E4" w:rsidRDefault="00321CE4"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Test</w:t>
            </w:r>
          </w:p>
        </w:tc>
        <w:tc>
          <w:tcPr>
            <w:tcW w:w="4178" w:type="dxa"/>
            <w:gridSpan w:val="2"/>
          </w:tcPr>
          <w:p w14:paraId="1667B357" w14:textId="77777777" w:rsidR="00321CE4" w:rsidRPr="003844E4" w:rsidRDefault="00321CE4"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Observations</w:t>
            </w:r>
          </w:p>
        </w:tc>
      </w:tr>
      <w:tr w:rsidR="00321CE4" w:rsidRPr="003844E4" w14:paraId="05ABA299" w14:textId="77777777" w:rsidTr="006D39C6">
        <w:trPr>
          <w:trHeight w:val="137"/>
        </w:trPr>
        <w:tc>
          <w:tcPr>
            <w:tcW w:w="759" w:type="dxa"/>
            <w:vMerge/>
          </w:tcPr>
          <w:p w14:paraId="7BADACE8" w14:textId="77777777" w:rsidR="00321CE4" w:rsidRPr="003844E4" w:rsidRDefault="00321CE4" w:rsidP="00E0407E">
            <w:pPr>
              <w:pStyle w:val="NoSpacing"/>
              <w:jc w:val="center"/>
              <w:rPr>
                <w:rFonts w:ascii="Times New Roman" w:hAnsi="Times New Roman" w:cs="Times New Roman"/>
                <w:b/>
                <w:bCs/>
                <w:sz w:val="24"/>
                <w:szCs w:val="24"/>
              </w:rPr>
            </w:pPr>
          </w:p>
        </w:tc>
        <w:tc>
          <w:tcPr>
            <w:tcW w:w="1791" w:type="dxa"/>
            <w:vMerge/>
          </w:tcPr>
          <w:p w14:paraId="50CF36AB" w14:textId="77777777" w:rsidR="00321CE4" w:rsidRPr="003844E4" w:rsidRDefault="00321CE4" w:rsidP="00E0407E">
            <w:pPr>
              <w:pStyle w:val="NoSpacing"/>
              <w:jc w:val="center"/>
              <w:rPr>
                <w:rFonts w:ascii="Times New Roman" w:hAnsi="Times New Roman" w:cs="Times New Roman"/>
                <w:b/>
                <w:bCs/>
                <w:sz w:val="24"/>
                <w:szCs w:val="24"/>
              </w:rPr>
            </w:pPr>
          </w:p>
        </w:tc>
        <w:tc>
          <w:tcPr>
            <w:tcW w:w="2311" w:type="dxa"/>
            <w:vMerge/>
          </w:tcPr>
          <w:p w14:paraId="387117A9" w14:textId="77777777" w:rsidR="00321CE4" w:rsidRPr="003844E4" w:rsidRDefault="00321CE4" w:rsidP="00E0407E">
            <w:pPr>
              <w:pStyle w:val="NoSpacing"/>
              <w:jc w:val="center"/>
              <w:rPr>
                <w:rFonts w:ascii="Times New Roman" w:hAnsi="Times New Roman" w:cs="Times New Roman"/>
                <w:b/>
                <w:bCs/>
                <w:sz w:val="24"/>
                <w:szCs w:val="24"/>
              </w:rPr>
            </w:pPr>
          </w:p>
        </w:tc>
        <w:tc>
          <w:tcPr>
            <w:tcW w:w="1981" w:type="dxa"/>
          </w:tcPr>
          <w:p w14:paraId="65A58A8E" w14:textId="77777777" w:rsidR="00321CE4" w:rsidRPr="003844E4" w:rsidRDefault="00321CE4"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Alcohol extract</w:t>
            </w:r>
          </w:p>
        </w:tc>
        <w:tc>
          <w:tcPr>
            <w:tcW w:w="2197" w:type="dxa"/>
          </w:tcPr>
          <w:p w14:paraId="1AC15376" w14:textId="77777777" w:rsidR="00321CE4" w:rsidRPr="003844E4" w:rsidRDefault="00321CE4"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Aqueous extract</w:t>
            </w:r>
          </w:p>
        </w:tc>
      </w:tr>
      <w:tr w:rsidR="00321CE4" w:rsidRPr="003844E4" w14:paraId="1A33E5E5" w14:textId="77777777" w:rsidTr="006D39C6">
        <w:trPr>
          <w:trHeight w:val="253"/>
        </w:trPr>
        <w:tc>
          <w:tcPr>
            <w:tcW w:w="759" w:type="dxa"/>
          </w:tcPr>
          <w:p w14:paraId="24897B0F"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lastRenderedPageBreak/>
              <w:t>1.</w:t>
            </w:r>
          </w:p>
        </w:tc>
        <w:tc>
          <w:tcPr>
            <w:tcW w:w="1791" w:type="dxa"/>
          </w:tcPr>
          <w:p w14:paraId="4942C01F"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Alkaloid</w:t>
            </w:r>
          </w:p>
        </w:tc>
        <w:tc>
          <w:tcPr>
            <w:tcW w:w="2311" w:type="dxa"/>
          </w:tcPr>
          <w:p w14:paraId="20D13EA7"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Fehling’s Test</w:t>
            </w:r>
          </w:p>
        </w:tc>
        <w:tc>
          <w:tcPr>
            <w:tcW w:w="1981" w:type="dxa"/>
          </w:tcPr>
          <w:p w14:paraId="165D5AE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1674CEF2"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6E38D505" w14:textId="77777777" w:rsidTr="006D39C6">
        <w:trPr>
          <w:trHeight w:val="253"/>
        </w:trPr>
        <w:tc>
          <w:tcPr>
            <w:tcW w:w="759" w:type="dxa"/>
          </w:tcPr>
          <w:p w14:paraId="54073CB6"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2.</w:t>
            </w:r>
          </w:p>
        </w:tc>
        <w:tc>
          <w:tcPr>
            <w:tcW w:w="1791" w:type="dxa"/>
          </w:tcPr>
          <w:p w14:paraId="34B0E6A3"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Flavonoid</w:t>
            </w:r>
          </w:p>
        </w:tc>
        <w:tc>
          <w:tcPr>
            <w:tcW w:w="2311" w:type="dxa"/>
          </w:tcPr>
          <w:p w14:paraId="018CD0D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Alkaline Test</w:t>
            </w:r>
          </w:p>
        </w:tc>
        <w:tc>
          <w:tcPr>
            <w:tcW w:w="1981" w:type="dxa"/>
          </w:tcPr>
          <w:p w14:paraId="12355301"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22BE00FE"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1D4A6CA7" w14:textId="77777777" w:rsidTr="006D39C6">
        <w:trPr>
          <w:trHeight w:val="253"/>
        </w:trPr>
        <w:tc>
          <w:tcPr>
            <w:tcW w:w="759" w:type="dxa"/>
          </w:tcPr>
          <w:p w14:paraId="1551009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3.</w:t>
            </w:r>
          </w:p>
        </w:tc>
        <w:tc>
          <w:tcPr>
            <w:tcW w:w="1791" w:type="dxa"/>
          </w:tcPr>
          <w:p w14:paraId="5F915688"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Glycoside</w:t>
            </w:r>
          </w:p>
        </w:tc>
        <w:tc>
          <w:tcPr>
            <w:tcW w:w="2311" w:type="dxa"/>
          </w:tcPr>
          <w:p w14:paraId="65B194E4"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Keller-Killiani Test</w:t>
            </w:r>
          </w:p>
        </w:tc>
        <w:tc>
          <w:tcPr>
            <w:tcW w:w="1981" w:type="dxa"/>
          </w:tcPr>
          <w:p w14:paraId="68A9E7D6"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592FE3FE"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118AABDE" w14:textId="77777777" w:rsidTr="006D39C6">
        <w:trPr>
          <w:trHeight w:val="268"/>
        </w:trPr>
        <w:tc>
          <w:tcPr>
            <w:tcW w:w="759" w:type="dxa"/>
          </w:tcPr>
          <w:p w14:paraId="4B37134A"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4.</w:t>
            </w:r>
          </w:p>
        </w:tc>
        <w:tc>
          <w:tcPr>
            <w:tcW w:w="1791" w:type="dxa"/>
          </w:tcPr>
          <w:p w14:paraId="1AEBE8CF"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Tannin</w:t>
            </w:r>
          </w:p>
        </w:tc>
        <w:tc>
          <w:tcPr>
            <w:tcW w:w="2311" w:type="dxa"/>
          </w:tcPr>
          <w:p w14:paraId="674F0864"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Ferric Chloride Test</w:t>
            </w:r>
          </w:p>
        </w:tc>
        <w:tc>
          <w:tcPr>
            <w:tcW w:w="1981" w:type="dxa"/>
          </w:tcPr>
          <w:p w14:paraId="5E01D133"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06C36873"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03B6A645" w14:textId="77777777" w:rsidTr="006D39C6">
        <w:trPr>
          <w:trHeight w:val="253"/>
        </w:trPr>
        <w:tc>
          <w:tcPr>
            <w:tcW w:w="759" w:type="dxa"/>
          </w:tcPr>
          <w:p w14:paraId="0FF01DF2"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5.</w:t>
            </w:r>
          </w:p>
        </w:tc>
        <w:tc>
          <w:tcPr>
            <w:tcW w:w="1791" w:type="dxa"/>
          </w:tcPr>
          <w:p w14:paraId="09B98C88"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Saponin</w:t>
            </w:r>
          </w:p>
        </w:tc>
        <w:tc>
          <w:tcPr>
            <w:tcW w:w="2311" w:type="dxa"/>
          </w:tcPr>
          <w:p w14:paraId="2E50F90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Froth Formation Test</w:t>
            </w:r>
          </w:p>
        </w:tc>
        <w:tc>
          <w:tcPr>
            <w:tcW w:w="1981" w:type="dxa"/>
          </w:tcPr>
          <w:p w14:paraId="736F31A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0BD19E68"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6A9FB327" w14:textId="77777777" w:rsidTr="006D39C6">
        <w:trPr>
          <w:trHeight w:val="253"/>
        </w:trPr>
        <w:tc>
          <w:tcPr>
            <w:tcW w:w="759" w:type="dxa"/>
          </w:tcPr>
          <w:p w14:paraId="1115582C"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6.</w:t>
            </w:r>
          </w:p>
        </w:tc>
        <w:tc>
          <w:tcPr>
            <w:tcW w:w="1791" w:type="dxa"/>
          </w:tcPr>
          <w:p w14:paraId="7AE43ED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Sterols</w:t>
            </w:r>
          </w:p>
        </w:tc>
        <w:tc>
          <w:tcPr>
            <w:tcW w:w="2311" w:type="dxa"/>
          </w:tcPr>
          <w:p w14:paraId="214A9F8F"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Salkowski’s Test</w:t>
            </w:r>
          </w:p>
        </w:tc>
        <w:tc>
          <w:tcPr>
            <w:tcW w:w="1981" w:type="dxa"/>
          </w:tcPr>
          <w:p w14:paraId="46D7FD4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671D505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59EC69DA" w14:textId="77777777" w:rsidTr="006D39C6">
        <w:trPr>
          <w:trHeight w:val="253"/>
        </w:trPr>
        <w:tc>
          <w:tcPr>
            <w:tcW w:w="759" w:type="dxa"/>
          </w:tcPr>
          <w:p w14:paraId="0BA8DD0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7.</w:t>
            </w:r>
          </w:p>
        </w:tc>
        <w:tc>
          <w:tcPr>
            <w:tcW w:w="1791" w:type="dxa"/>
          </w:tcPr>
          <w:p w14:paraId="6834F531"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Phenols</w:t>
            </w:r>
          </w:p>
        </w:tc>
        <w:tc>
          <w:tcPr>
            <w:tcW w:w="2311" w:type="dxa"/>
          </w:tcPr>
          <w:p w14:paraId="52AF3EDA"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Ferric Chloride Test</w:t>
            </w:r>
          </w:p>
        </w:tc>
        <w:tc>
          <w:tcPr>
            <w:tcW w:w="1981" w:type="dxa"/>
          </w:tcPr>
          <w:p w14:paraId="280B1A2C"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4CF7CFD1"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14BD801F" w14:textId="77777777" w:rsidTr="006D39C6">
        <w:trPr>
          <w:trHeight w:val="268"/>
        </w:trPr>
        <w:tc>
          <w:tcPr>
            <w:tcW w:w="759" w:type="dxa"/>
          </w:tcPr>
          <w:p w14:paraId="5DA5C3BC"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8.</w:t>
            </w:r>
          </w:p>
        </w:tc>
        <w:tc>
          <w:tcPr>
            <w:tcW w:w="1791" w:type="dxa"/>
          </w:tcPr>
          <w:p w14:paraId="3B52E09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Carbohydrates</w:t>
            </w:r>
          </w:p>
        </w:tc>
        <w:tc>
          <w:tcPr>
            <w:tcW w:w="2311" w:type="dxa"/>
          </w:tcPr>
          <w:p w14:paraId="757E936F"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Fehling’s Test</w:t>
            </w:r>
          </w:p>
        </w:tc>
        <w:tc>
          <w:tcPr>
            <w:tcW w:w="1981" w:type="dxa"/>
          </w:tcPr>
          <w:p w14:paraId="13EB0B54"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3B1E4EB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019FA238" w14:textId="77777777" w:rsidTr="006D39C6">
        <w:trPr>
          <w:trHeight w:val="268"/>
        </w:trPr>
        <w:tc>
          <w:tcPr>
            <w:tcW w:w="759" w:type="dxa"/>
          </w:tcPr>
          <w:p w14:paraId="44E8D1FE"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9.</w:t>
            </w:r>
          </w:p>
        </w:tc>
        <w:tc>
          <w:tcPr>
            <w:tcW w:w="1791" w:type="dxa"/>
          </w:tcPr>
          <w:p w14:paraId="32CCE7F9"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Proteins</w:t>
            </w:r>
          </w:p>
        </w:tc>
        <w:tc>
          <w:tcPr>
            <w:tcW w:w="2311" w:type="dxa"/>
          </w:tcPr>
          <w:p w14:paraId="79EC081B"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Milon’s Test</w:t>
            </w:r>
          </w:p>
        </w:tc>
        <w:tc>
          <w:tcPr>
            <w:tcW w:w="1981" w:type="dxa"/>
          </w:tcPr>
          <w:p w14:paraId="6EFFED0A"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6B3594F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bl>
    <w:p>
      <w:r>
        <w:rPr>
          <w:i w:val="0"/>
        </w:rPr>
        <w:t>The qualitative phytochemical findings are summarised in Table 7 and illustrated in Figure 6. Alkaloids, flavonoids, tannins, saponins, sterols, phenols and proteins were detected in both the alcoholic and aqueous extracts, whereas glycosides and carbohydrates were not detected under the experimental conditions.</w:t>
      </w:r>
    </w:p>
    <w:p w14:paraId="641EE887" w14:textId="77777777" w:rsidR="00321CE4" w:rsidRPr="003844E4" w:rsidRDefault="00321CE4" w:rsidP="006E112D">
      <w:pPr>
        <w:jc w:val="center"/>
        <w:rPr>
          <w:rFonts w:ascii="Times New Roman" w:hAnsi="Times New Roman" w:cs="Times New Roman"/>
          <w:b/>
          <w:bCs/>
          <w:sz w:val="24"/>
          <w:szCs w:val="24"/>
        </w:rPr>
      </w:pPr>
      <w:r w:rsidRPr="003844E4">
        <w:rPr>
          <w:rFonts w:ascii="Times New Roman" w:hAnsi="Times New Roman" w:cs="Times New Roman"/>
          <w:b/>
          <w:bCs/>
          <w:sz w:val="24"/>
          <w:szCs w:val="24"/>
        </w:rPr>
        <w:t>+ indicates: Presence and - indicates: Absence</w:t>
      </w:r>
    </w:p>
    <w:p w14:paraId="10CB6700"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5379C7AA" wp14:editId="01EDB741">
            <wp:extent cx="5633611" cy="2459421"/>
            <wp:effectExtent l="19050" t="0" r="5189" b="0"/>
            <wp:docPr id="15" name="Picture 5" descr="C:\Users\MANOJ\Downloads\ChatGPT Image Jul 16, 2026, 03_06_1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NOJ\Downloads\ChatGPT Image Jul 16, 2026, 03_06_18 PM.png"/>
                    <pic:cNvPicPr>
                      <a:picLocks noChangeAspect="1" noChangeArrowheads="1"/>
                    </pic:cNvPicPr>
                  </pic:nvPicPr>
                  <pic:blipFill>
                    <a:blip r:embed="rId15" cstate="print"/>
                    <a:srcRect/>
                    <a:stretch>
                      <a:fillRect/>
                    </a:stretch>
                  </pic:blipFill>
                  <pic:spPr bwMode="auto">
                    <a:xfrm>
                      <a:off x="0" y="0"/>
                      <a:ext cx="5729699" cy="2501369"/>
                    </a:xfrm>
                    <a:prstGeom prst="rect">
                      <a:avLst/>
                    </a:prstGeom>
                    <a:noFill/>
                    <a:ln w="9525">
                      <a:noFill/>
                      <a:miter lim="800000"/>
                      <a:headEnd/>
                      <a:tailEnd/>
                    </a:ln>
                  </pic:spPr>
                </pic:pic>
              </a:graphicData>
            </a:graphic>
          </wp:inline>
        </w:drawing>
      </w:r>
    </w:p>
    <w:p w14:paraId="663B35C7"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179BDAB5" wp14:editId="51221E08">
            <wp:extent cx="5628715" cy="1997394"/>
            <wp:effectExtent l="19050" t="0" r="0" b="0"/>
            <wp:docPr id="18" name="Picture 1" descr="C:\Users\MANOJ\Downloads\ChatGPT Image Jul 17, 2026, 12_34_3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OJ\Downloads\ChatGPT Image Jul 17, 2026, 12_34_35 PM.png"/>
                    <pic:cNvPicPr>
                      <a:picLocks noChangeAspect="1" noChangeArrowheads="1"/>
                    </pic:cNvPicPr>
                  </pic:nvPicPr>
                  <pic:blipFill>
                    <a:blip r:embed="rId16" cstate="print"/>
                    <a:srcRect/>
                    <a:stretch>
                      <a:fillRect/>
                    </a:stretch>
                  </pic:blipFill>
                  <pic:spPr bwMode="auto">
                    <a:xfrm>
                      <a:off x="0" y="0"/>
                      <a:ext cx="5633937" cy="1999247"/>
                    </a:xfrm>
                    <a:prstGeom prst="rect">
                      <a:avLst/>
                    </a:prstGeom>
                    <a:noFill/>
                    <a:ln w="9525">
                      <a:noFill/>
                      <a:miter lim="800000"/>
                      <a:headEnd/>
                      <a:tailEnd/>
                    </a:ln>
                  </pic:spPr>
                </pic:pic>
              </a:graphicData>
            </a:graphic>
          </wp:inline>
        </w:drawing>
      </w:r>
    </w:p>
    <w:p w14:paraId="088AF7C7" w14:textId="77777777" w:rsidR="00321CE4" w:rsidRPr="003844E4" w:rsidRDefault="00C43E4C" w:rsidP="00321CE4">
      <w:pPr>
        <w:jc w:val="center"/>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t>Fig</w:t>
      </w:r>
      <w:r w:rsidR="00BC4DD0" w:rsidRPr="003844E4">
        <w:rPr>
          <w:rFonts w:ascii="Times New Roman" w:hAnsi="Times New Roman" w:cs="Times New Roman"/>
          <w:b/>
          <w:bCs/>
          <w:noProof/>
          <w:sz w:val="24"/>
          <w:szCs w:val="24"/>
          <w:lang w:eastAsia="en-IN" w:bidi="hi-IN"/>
        </w:rPr>
        <w:t xml:space="preserve"> </w:t>
      </w:r>
      <w:r w:rsidR="00321CE4" w:rsidRPr="003844E4">
        <w:rPr>
          <w:rFonts w:ascii="Times New Roman" w:hAnsi="Times New Roman" w:cs="Times New Roman"/>
          <w:b/>
          <w:bCs/>
          <w:noProof/>
          <w:sz w:val="24"/>
          <w:szCs w:val="24"/>
          <w:lang w:eastAsia="en-IN" w:bidi="hi-IN"/>
        </w:rPr>
        <w:t xml:space="preserve">.6: Phytochemical evaluation of </w:t>
      </w:r>
      <w:r w:rsidR="00321CE4" w:rsidRPr="003844E4">
        <w:rPr>
          <w:rFonts w:ascii="Times New Roman" w:hAnsi="Times New Roman" w:cs="Times New Roman"/>
          <w:b/>
          <w:bCs/>
          <w:i/>
          <w:iCs/>
          <w:noProof/>
          <w:sz w:val="24"/>
          <w:szCs w:val="24"/>
          <w:lang w:eastAsia="en-IN" w:bidi="hi-IN"/>
        </w:rPr>
        <w:t xml:space="preserve">Mudgaparni </w:t>
      </w:r>
      <w:r w:rsidR="00321CE4" w:rsidRPr="003844E4">
        <w:rPr>
          <w:rFonts w:ascii="Times New Roman" w:hAnsi="Times New Roman" w:cs="Times New Roman"/>
          <w:b/>
          <w:bCs/>
          <w:noProof/>
          <w:sz w:val="24"/>
          <w:szCs w:val="24"/>
          <w:lang w:eastAsia="en-IN" w:bidi="hi-IN"/>
        </w:rPr>
        <w:t>(</w:t>
      </w:r>
      <w:r w:rsidR="00321CE4" w:rsidRPr="003844E4">
        <w:rPr>
          <w:rFonts w:ascii="Times New Roman" w:hAnsi="Times New Roman" w:cs="Times New Roman"/>
          <w:b/>
          <w:bCs/>
          <w:i/>
          <w:iCs/>
          <w:noProof/>
          <w:sz w:val="24"/>
          <w:szCs w:val="24"/>
          <w:lang w:eastAsia="en-IN" w:bidi="hi-IN"/>
        </w:rPr>
        <w:t xml:space="preserve">Vigna trilobata </w:t>
      </w:r>
      <w:r w:rsidR="00321CE4" w:rsidRPr="003844E4">
        <w:rPr>
          <w:rFonts w:ascii="Times New Roman" w:hAnsi="Times New Roman" w:cs="Times New Roman"/>
          <w:b/>
          <w:bCs/>
          <w:noProof/>
          <w:sz w:val="24"/>
          <w:szCs w:val="24"/>
          <w:lang w:eastAsia="en-IN" w:bidi="hi-IN"/>
        </w:rPr>
        <w:t>L</w:t>
      </w:r>
      <w:r w:rsidR="006F004B" w:rsidRPr="003844E4">
        <w:rPr>
          <w:rFonts w:ascii="Times New Roman" w:hAnsi="Times New Roman" w:cs="Times New Roman"/>
          <w:b/>
          <w:bCs/>
          <w:noProof/>
          <w:sz w:val="24"/>
          <w:szCs w:val="24"/>
          <w:lang w:eastAsia="en-IN" w:bidi="hi-IN"/>
        </w:rPr>
        <w:t>inn</w:t>
      </w:r>
      <w:r w:rsidR="00321CE4" w:rsidRPr="003844E4">
        <w:rPr>
          <w:rFonts w:ascii="Times New Roman" w:hAnsi="Times New Roman" w:cs="Times New Roman"/>
          <w:b/>
          <w:bCs/>
          <w:noProof/>
          <w:sz w:val="24"/>
          <w:szCs w:val="24"/>
          <w:lang w:eastAsia="en-IN" w:bidi="hi-IN"/>
        </w:rPr>
        <w:t>.) for Aqueous  Extract &amp; Alcoholic Extract</w:t>
      </w:r>
    </w:p>
    <w:p w14:paraId="565030A8" w14:textId="3A4C3268" w:rsidR="00321CE4" w:rsidRPr="003844E4" w:rsidRDefault="00321CE4" w:rsidP="00321CE4">
      <w:pPr>
        <w:jc w:val="both"/>
        <w:rPr>
          <w:rFonts w:ascii="Times New Roman" w:hAnsi="Times New Roman" w:cs="Times New Roman"/>
          <w:b/>
          <w:bCs/>
          <w:sz w:val="24"/>
          <w:szCs w:val="24"/>
          <w:vertAlign w:val="superscript"/>
        </w:rPr>
      </w:pPr>
      <w:r>
        <w:rPr>
          <w:rFonts w:ascii="Times New Roman" w:hAnsi="Times New Roman" w:cs="Times New Roman"/>
          <w:b/>
          <w:bCs/>
          <w:sz w:val="24"/>
          <w:szCs w:val="24"/>
        </w:rPr>
        <w:t>D. High Performance Thin-Layer Chromatography</w:t>
      </w:r>
      <w:r>
        <w:rPr>
          <w:rFonts w:ascii="Times New Roman" w:hAnsi="Times New Roman" w:cs="Times New Roman"/>
          <w:b/>
          <w:bCs/>
          <w:sz w:val="24"/>
          <w:szCs w:val="24"/>
          <w:highlight w:val="yellow"/>
          <w:vertAlign w:val="superscript"/>
        </w:rPr>
        <w:t xml:space="preserve"> </w:t>
      </w:r>
      <w:r w:rsidRPr="0083681A">
        <w:rPr>
          <w:rFonts w:ascii="Times New Roman" w:hAnsi="Times New Roman" w:cs="Times New Roman"/>
          <w:b/>
          <w:bCs/>
          <w:sz w:val="24"/>
          <w:szCs w:val="24"/>
          <w:highlight w:val="yellow"/>
          <w:vertAlign w:val="superscript"/>
        </w:rPr>
        <w:t>(</w:t>
      </w:r>
      <w:r w:rsidR="0083681A" w:rsidRPr="0083681A">
        <w:rPr>
          <w:rFonts w:ascii="Times New Roman" w:hAnsi="Times New Roman" w:cs="Times New Roman"/>
          <w:b/>
          <w:bCs/>
          <w:sz w:val="24"/>
          <w:szCs w:val="24"/>
          <w:highlight w:val="yellow"/>
          <w:vertAlign w:val="superscript"/>
        </w:rPr>
        <w:t>Gökbulut</w:t>
      </w:r>
      <w:r w:rsidRPr="0083681A">
        <w:rPr>
          <w:rFonts w:ascii="Times New Roman" w:hAnsi="Times New Roman" w:cs="Times New Roman"/>
          <w:b/>
          <w:bCs/>
          <w:sz w:val="24"/>
          <w:szCs w:val="24"/>
          <w:highlight w:val="yellow"/>
          <w:vertAlign w:val="superscript"/>
        </w:rPr>
        <w:t xml:space="preserve">, </w:t>
      </w:r>
      <w:r w:rsidR="0083681A" w:rsidRPr="0083681A">
        <w:rPr>
          <w:rFonts w:ascii="Times New Roman" w:hAnsi="Times New Roman" w:cs="Times New Roman"/>
          <w:b/>
          <w:bCs/>
          <w:sz w:val="24"/>
          <w:szCs w:val="24"/>
          <w:highlight w:val="yellow"/>
          <w:vertAlign w:val="superscript"/>
        </w:rPr>
        <w:t>2021</w:t>
      </w:r>
      <w:r w:rsidRPr="0083681A">
        <w:rPr>
          <w:rFonts w:ascii="Times New Roman" w:hAnsi="Times New Roman" w:cs="Times New Roman"/>
          <w:b/>
          <w:bCs/>
          <w:sz w:val="24"/>
          <w:szCs w:val="24"/>
          <w:highlight w:val="yellow"/>
          <w:vertAlign w:val="superscript"/>
        </w:rPr>
        <w:t>.)</w:t>
      </w:r>
    </w:p>
    <w:p w14:paraId="5D67930B" w14:textId="77777777" w:rsidR="002774CC" w:rsidRPr="003844E4" w:rsidRDefault="002774CC" w:rsidP="00321CE4">
      <w:pPr>
        <w:jc w:val="both"/>
        <w:rPr>
          <w:rStyle w:val="Emphasis"/>
          <w:rFonts w:ascii="Times New Roman" w:hAnsi="Times New Roman" w:cs="Times New Roman"/>
          <w:i w:val="0"/>
          <w:iCs w:val="0"/>
          <w:sz w:val="24"/>
          <w:szCs w:val="24"/>
        </w:rPr>
      </w:pPr>
      <w:r>
        <w:rPr>
          <w:rStyle w:val="Emphasis"/>
          <w:rFonts w:ascii="Times New Roman" w:hAnsi="Times New Roman" w:cs="Times New Roman"/>
          <w:i w:val="0"/>
          <w:iCs w:val="0"/>
          <w:sz w:val="24"/>
          <w:szCs w:val="24"/>
        </w:rPr>
        <w:t>HPTLC analysis of the ethanolic extract of</w:t>
      </w:r>
      <w:r>
        <w:rPr>
          <w:rFonts w:ascii="Times New Roman" w:hAnsi="Times New Roman" w:cs="Times New Roman"/>
          <w:i/>
          <w:iCs/>
          <w:sz w:val="24"/>
          <w:szCs w:val="24"/>
        </w:rPr>
        <w:t xml:space="preserve"> Vigna trilobata </w:t>
      </w:r>
      <w:r>
        <w:rPr>
          <w:rFonts w:ascii="Times New Roman" w:hAnsi="Times New Roman" w:cs="Times New Roman"/>
          <w:sz w:val="24"/>
          <w:szCs w:val="24"/>
        </w:rPr>
        <w:t>Linn.</w:t>
      </w:r>
      <w:r>
        <w:rPr>
          <w:rFonts w:ascii="Times New Roman" w:hAnsi="Times New Roman" w:cs="Times New Roman"/>
          <w:i/>
          <w:iCs/>
          <w:sz w:val="24"/>
          <w:szCs w:val="24"/>
        </w:rPr>
        <w:t xml:space="preserve"> </w:t>
      </w:r>
      <w:r>
        <w:rPr>
          <w:rStyle w:val="Emphasis"/>
          <w:rFonts w:ascii="Times New Roman" w:hAnsi="Times New Roman" w:cs="Times New Roman"/>
          <w:i w:val="0"/>
          <w:iCs w:val="0"/>
          <w:sz w:val="24"/>
          <w:szCs w:val="24"/>
        </w:rPr>
        <w:t xml:space="preserve">generated a well-resolved chromatographic fingerprint at both 254 and 366 nm. Six to seven peaks were observed at 254 nm and three to six peaks at 366 nm, indicating the presence of multiple detectable constituents. The major peaks at Rf values of approximately 0.89–0.95 accounted for the highest peak areas, while similar chromatographic profiles across different sample applications suggested good repeatability under the experimental conditions. The obtained </w:t>
      </w:r>
      <w:r>
        <w:rPr>
          <w:rStyle w:val="Emphasis"/>
          <w:rFonts w:ascii="Times New Roman" w:hAnsi="Times New Roman" w:cs="Times New Roman"/>
          <w:i w:val="0"/>
          <w:iCs w:val="0"/>
          <w:sz w:val="24"/>
          <w:szCs w:val="24"/>
        </w:rPr>
        <w:lastRenderedPageBreak/>
        <w:t>fingerprint may serve as a reference profile for the identification and comparative quality assessment of</w:t>
      </w:r>
      <w:r>
        <w:rPr>
          <w:rFonts w:ascii="Times New Roman" w:hAnsi="Times New Roman" w:cs="Times New Roman"/>
          <w:i/>
          <w:iCs/>
          <w:sz w:val="24"/>
          <w:szCs w:val="24"/>
        </w:rPr>
        <w:t xml:space="preserve"> Vigna trilobata</w:t>
      </w:r>
      <w:r>
        <w:rPr>
          <w:rFonts w:ascii="Times New Roman" w:hAnsi="Times New Roman" w:cs="Times New Roman"/>
          <w:sz w:val="24"/>
          <w:szCs w:val="24"/>
        </w:rPr>
        <w:t xml:space="preserve"> Linn</w:t>
      </w:r>
      <w:r>
        <w:rPr>
          <w:rFonts w:ascii="Times New Roman" w:hAnsi="Times New Roman" w:cs="Times New Roman"/>
          <w:i/>
          <w:iCs/>
          <w:sz w:val="24"/>
          <w:szCs w:val="24"/>
          <w:highlight w:val="yellow"/>
        </w:rPr>
        <w:t>.</w:t>
      </w:r>
      <w:r>
        <w:rPr>
          <w:rFonts w:ascii="Times New Roman" w:hAnsi="Times New Roman" w:cs="Times New Roman"/>
          <w:i/>
          <w:iCs/>
          <w:sz w:val="24"/>
          <w:szCs w:val="24"/>
        </w:rPr>
        <w:t xml:space="preserve"> </w:t>
      </w:r>
      <w:r>
        <w:rPr>
          <w:rStyle w:val="Emphasis"/>
          <w:rFonts w:ascii="Times New Roman" w:hAnsi="Times New Roman" w:cs="Times New Roman"/>
          <w:i w:val="0"/>
          <w:iCs w:val="0"/>
          <w:sz w:val="24"/>
          <w:szCs w:val="24"/>
        </w:rPr>
        <w:t>samples.</w:t>
      </w:r>
    </w:p>
    <w:p w14:paraId="6980EA0E" w14:textId="77777777" w:rsidR="00E0407E" w:rsidRPr="003844E4" w:rsidRDefault="00C43E4C" w:rsidP="00E0407E">
      <w:pPr>
        <w:jc w:val="center"/>
        <w:rPr>
          <w:rFonts w:ascii="Times New Roman" w:hAnsi="Times New Roman" w:cs="Times New Roman"/>
          <w:b/>
          <w:bCs/>
          <w:i/>
          <w:iCs/>
          <w:sz w:val="24"/>
          <w:szCs w:val="24"/>
        </w:rPr>
      </w:pPr>
      <w:r w:rsidRPr="003844E4">
        <w:rPr>
          <w:rFonts w:ascii="Times New Roman" w:hAnsi="Times New Roman" w:cs="Times New Roman"/>
          <w:b/>
          <w:bCs/>
          <w:sz w:val="24"/>
          <w:szCs w:val="24"/>
        </w:rPr>
        <w:t xml:space="preserve">Table </w:t>
      </w:r>
      <w:r w:rsidR="00D138AC" w:rsidRPr="003844E4">
        <w:rPr>
          <w:rFonts w:ascii="Times New Roman" w:hAnsi="Times New Roman" w:cs="Times New Roman"/>
          <w:b/>
          <w:bCs/>
          <w:sz w:val="24"/>
          <w:szCs w:val="24"/>
        </w:rPr>
        <w:t>8</w:t>
      </w:r>
      <w:r w:rsidR="00E0407E" w:rsidRPr="003844E4">
        <w:rPr>
          <w:rFonts w:ascii="Times New Roman" w:hAnsi="Times New Roman" w:cs="Times New Roman"/>
          <w:b/>
          <w:bCs/>
          <w:sz w:val="24"/>
          <w:szCs w:val="24"/>
        </w:rPr>
        <w:t xml:space="preserve">: High Performance Thin Layer Chromatographic Analysis of </w:t>
      </w:r>
      <w:r w:rsidR="00E0407E" w:rsidRPr="003844E4">
        <w:rPr>
          <w:rFonts w:ascii="Times New Roman" w:hAnsi="Times New Roman" w:cs="Times New Roman"/>
          <w:b/>
          <w:bCs/>
          <w:i/>
          <w:iCs/>
          <w:sz w:val="24"/>
          <w:szCs w:val="24"/>
        </w:rPr>
        <w:t xml:space="preserve">Vigna trilobata </w:t>
      </w:r>
      <w:r w:rsidR="00E0407E" w:rsidRPr="003844E4">
        <w:rPr>
          <w:rFonts w:ascii="Times New Roman" w:hAnsi="Times New Roman" w:cs="Times New Roman"/>
          <w:b/>
          <w:bCs/>
          <w:sz w:val="24"/>
          <w:szCs w:val="24"/>
        </w:rPr>
        <w:t>Linn.</w:t>
      </w:r>
    </w:p>
    <w:tbl>
      <w:tblPr>
        <w:tblStyle w:val="TableGrid"/>
        <w:tblW w:w="0" w:type="auto"/>
        <w:tblLook w:val="04A0" w:firstRow="1" w:lastRow="0" w:firstColumn="1" w:lastColumn="0" w:noHBand="0" w:noVBand="1"/>
      </w:tblPr>
      <w:tblGrid>
        <w:gridCol w:w="4077"/>
        <w:gridCol w:w="4820"/>
      </w:tblGrid>
      <w:tr w:rsidR="0002368C" w:rsidRPr="003844E4" w14:paraId="723C667F" w14:textId="77777777" w:rsidTr="0002368C">
        <w:tc>
          <w:tcPr>
            <w:tcW w:w="4077" w:type="dxa"/>
          </w:tcPr>
          <w:p w14:paraId="11A00BDB" w14:textId="77777777" w:rsidR="0002368C" w:rsidRPr="003844E4" w:rsidRDefault="0002368C" w:rsidP="002774CC">
            <w:pPr>
              <w:jc w:val="center"/>
              <w:rPr>
                <w:rFonts w:ascii="Times New Roman" w:hAnsi="Times New Roman" w:cs="Times New Roman"/>
                <w:b/>
                <w:bCs/>
                <w:sz w:val="24"/>
                <w:szCs w:val="24"/>
              </w:rPr>
            </w:pPr>
            <w:r w:rsidRPr="003844E4">
              <w:rPr>
                <w:rFonts w:ascii="Times New Roman" w:hAnsi="Times New Roman" w:cs="Times New Roman"/>
                <w:b/>
                <w:bCs/>
                <w:sz w:val="24"/>
                <w:szCs w:val="24"/>
              </w:rPr>
              <w:t>Parameter</w:t>
            </w:r>
          </w:p>
        </w:tc>
        <w:tc>
          <w:tcPr>
            <w:tcW w:w="4820" w:type="dxa"/>
          </w:tcPr>
          <w:p w14:paraId="43F39232" w14:textId="77777777" w:rsidR="0002368C" w:rsidRPr="003844E4" w:rsidRDefault="0002368C" w:rsidP="002774CC">
            <w:pPr>
              <w:jc w:val="center"/>
              <w:rPr>
                <w:rFonts w:ascii="Times New Roman" w:hAnsi="Times New Roman" w:cs="Times New Roman"/>
                <w:b/>
                <w:bCs/>
                <w:sz w:val="24"/>
                <w:szCs w:val="24"/>
              </w:rPr>
            </w:pPr>
            <w:r w:rsidRPr="003844E4">
              <w:rPr>
                <w:rFonts w:ascii="Times New Roman" w:hAnsi="Times New Roman" w:cs="Times New Roman"/>
                <w:b/>
                <w:bCs/>
                <w:sz w:val="24"/>
                <w:szCs w:val="24"/>
              </w:rPr>
              <w:t>Observation</w:t>
            </w:r>
          </w:p>
        </w:tc>
      </w:tr>
      <w:tr w:rsidR="0002368C" w:rsidRPr="003844E4" w14:paraId="5379BAB9" w14:textId="77777777" w:rsidTr="0002368C">
        <w:tc>
          <w:tcPr>
            <w:tcW w:w="4077" w:type="dxa"/>
          </w:tcPr>
          <w:p w14:paraId="12350A47" w14:textId="77777777" w:rsidR="0002368C" w:rsidRPr="003844E4" w:rsidRDefault="0002368C" w:rsidP="002774CC">
            <w:pPr>
              <w:jc w:val="center"/>
              <w:rPr>
                <w:rFonts w:ascii="Times New Roman" w:hAnsi="Times New Roman" w:cs="Times New Roman"/>
                <w:sz w:val="24"/>
                <w:szCs w:val="24"/>
              </w:rPr>
            </w:pPr>
            <w:r w:rsidRPr="003844E4">
              <w:rPr>
                <w:rFonts w:ascii="Times New Roman" w:hAnsi="Times New Roman" w:cs="Times New Roman"/>
                <w:sz w:val="24"/>
                <w:szCs w:val="24"/>
              </w:rPr>
              <w:t>Sample</w:t>
            </w: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76"/>
            </w:tblGrid>
            <w:tr w:rsidR="0002368C" w:rsidRPr="003844E4" w14:paraId="56A77987" w14:textId="77777777" w:rsidTr="00016E00">
              <w:trPr>
                <w:tblCellSpacing w:w="15" w:type="dxa"/>
              </w:trPr>
              <w:tc>
                <w:tcPr>
                  <w:tcW w:w="0" w:type="auto"/>
                  <w:vAlign w:val="center"/>
                  <w:hideMark/>
                </w:tcPr>
                <w:p w14:paraId="17D80E40" w14:textId="77777777" w:rsidR="0002368C" w:rsidRPr="003844E4" w:rsidRDefault="002774CC" w:rsidP="002774CC">
                  <w:pPr>
                    <w:jc w:val="cente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 xml:space="preserve">Ethanolic extract of </w:t>
                  </w:r>
                  <w:r w:rsidR="0002368C" w:rsidRPr="003844E4">
                    <w:rPr>
                      <w:rStyle w:val="Emphasis"/>
                      <w:rFonts w:ascii="Times New Roman" w:hAnsi="Times New Roman" w:cs="Times New Roman"/>
                      <w:sz w:val="24"/>
                      <w:szCs w:val="24"/>
                    </w:rPr>
                    <w:t>Vigna trilobata</w:t>
                  </w:r>
                </w:p>
              </w:tc>
            </w:tr>
          </w:tbl>
          <w:p w14:paraId="71EE066F" w14:textId="77777777" w:rsidR="0002368C" w:rsidRPr="003844E4" w:rsidRDefault="0002368C" w:rsidP="002774CC">
            <w:pPr>
              <w:jc w:val="center"/>
              <w:rPr>
                <w:rFonts w:ascii="Times New Roman" w:hAnsi="Times New Roman" w:cs="Times New Roman"/>
                <w:vanish/>
                <w:sz w:val="24"/>
                <w:szCs w:val="24"/>
              </w:rPr>
            </w:pPr>
          </w:p>
        </w:tc>
      </w:tr>
      <w:tr w:rsidR="0002368C" w:rsidRPr="003844E4" w14:paraId="67380F98"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83"/>
            </w:tblGrid>
            <w:tr w:rsidR="0002368C" w:rsidRPr="003844E4" w14:paraId="2D1B93B0" w14:textId="77777777" w:rsidTr="00016E00">
              <w:trPr>
                <w:tblCellSpacing w:w="15" w:type="dxa"/>
              </w:trPr>
              <w:tc>
                <w:tcPr>
                  <w:tcW w:w="0" w:type="auto"/>
                  <w:vAlign w:val="center"/>
                  <w:hideMark/>
                </w:tcPr>
                <w:p w14:paraId="7FFD2258" w14:textId="77777777" w:rsidR="0002368C" w:rsidRPr="003844E4" w:rsidRDefault="002774CC" w:rsidP="002774CC">
                  <w:pP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Stationary phase</w:t>
                  </w:r>
                </w:p>
              </w:tc>
            </w:tr>
          </w:tbl>
          <w:p w14:paraId="15FD9B62" w14:textId="77777777" w:rsidR="0002368C" w:rsidRPr="003844E4" w:rsidRDefault="0002368C" w:rsidP="002774CC">
            <w:pPr>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97"/>
            </w:tblGrid>
            <w:tr w:rsidR="0002368C" w:rsidRPr="003844E4" w14:paraId="2D55EBFE" w14:textId="77777777" w:rsidTr="00016E00">
              <w:trPr>
                <w:tblCellSpacing w:w="15" w:type="dxa"/>
              </w:trPr>
              <w:tc>
                <w:tcPr>
                  <w:tcW w:w="0" w:type="auto"/>
                  <w:vAlign w:val="center"/>
                  <w:hideMark/>
                </w:tcPr>
                <w:p w14:paraId="3D3ECD47" w14:textId="77777777" w:rsidR="0002368C" w:rsidRPr="003844E4" w:rsidRDefault="002774CC" w:rsidP="002774CC">
                  <w:pP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Silica gel 60 F</w:t>
                  </w:r>
                  <w:r w:rsidR="0002368C" w:rsidRPr="003844E4">
                    <w:rPr>
                      <w:rFonts w:ascii="Cambria Math" w:hAnsi="Cambria Math" w:cs="Times New Roman"/>
                      <w:sz w:val="24"/>
                      <w:szCs w:val="24"/>
                    </w:rPr>
                    <w:t>₂₅₄</w:t>
                  </w:r>
                </w:p>
              </w:tc>
            </w:tr>
          </w:tbl>
          <w:p w14:paraId="544B48E3" w14:textId="77777777" w:rsidR="0002368C" w:rsidRPr="003844E4" w:rsidRDefault="0002368C" w:rsidP="002774CC">
            <w:pPr>
              <w:rPr>
                <w:rFonts w:ascii="Times New Roman" w:hAnsi="Times New Roman" w:cs="Times New Roman"/>
                <w:vanish/>
                <w:sz w:val="24"/>
                <w:szCs w:val="24"/>
              </w:rPr>
            </w:pPr>
          </w:p>
        </w:tc>
      </w:tr>
      <w:tr w:rsidR="0002368C" w:rsidRPr="003844E4" w14:paraId="22B35DA4"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30"/>
            </w:tblGrid>
            <w:tr w:rsidR="0002368C" w:rsidRPr="003844E4" w14:paraId="61C6608E" w14:textId="77777777" w:rsidTr="00016E00">
              <w:trPr>
                <w:tblCellSpacing w:w="15" w:type="dxa"/>
              </w:trPr>
              <w:tc>
                <w:tcPr>
                  <w:tcW w:w="0" w:type="auto"/>
                  <w:vAlign w:val="center"/>
                  <w:hideMark/>
                </w:tcPr>
                <w:p w14:paraId="6CBB1FF8" w14:textId="77777777" w:rsidR="0002368C" w:rsidRPr="003844E4" w:rsidRDefault="002774CC" w:rsidP="002774CC">
                  <w:pPr>
                    <w:jc w:val="cente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Mobile phase</w:t>
                  </w:r>
                </w:p>
              </w:tc>
            </w:tr>
          </w:tbl>
          <w:p w14:paraId="12732458" w14:textId="77777777" w:rsidR="0002368C" w:rsidRPr="003844E4" w:rsidRDefault="0002368C" w:rsidP="002774CC">
            <w:pPr>
              <w:jc w:val="center"/>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70"/>
            </w:tblGrid>
            <w:tr w:rsidR="0002368C" w:rsidRPr="003844E4" w14:paraId="27ADE582" w14:textId="77777777" w:rsidTr="00016E00">
              <w:trPr>
                <w:tblCellSpacing w:w="15" w:type="dxa"/>
              </w:trPr>
              <w:tc>
                <w:tcPr>
                  <w:tcW w:w="0" w:type="auto"/>
                  <w:vAlign w:val="center"/>
                  <w:hideMark/>
                </w:tcPr>
                <w:p w14:paraId="66460800" w14:textId="77777777" w:rsidR="0002368C" w:rsidRPr="003844E4" w:rsidRDefault="002774CC" w:rsidP="002774CC">
                  <w:pPr>
                    <w:jc w:val="cente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Chloroform : Ethyl acetate (4:6 v/v)</w:t>
                  </w:r>
                </w:p>
              </w:tc>
            </w:tr>
          </w:tbl>
          <w:p w14:paraId="554A6938" w14:textId="77777777" w:rsidR="0002368C" w:rsidRPr="003844E4" w:rsidRDefault="0002368C" w:rsidP="002774CC">
            <w:pPr>
              <w:jc w:val="center"/>
              <w:rPr>
                <w:rFonts w:ascii="Times New Roman" w:hAnsi="Times New Roman" w:cs="Times New Roman"/>
                <w:vanish/>
                <w:sz w:val="24"/>
                <w:szCs w:val="24"/>
              </w:rPr>
            </w:pPr>
          </w:p>
        </w:tc>
      </w:tr>
      <w:tr w:rsidR="0002368C" w:rsidRPr="003844E4" w14:paraId="7A3AD4F3"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43"/>
            </w:tblGrid>
            <w:tr w:rsidR="0002368C" w:rsidRPr="003844E4" w14:paraId="0F9D83DF" w14:textId="77777777" w:rsidTr="00016E00">
              <w:trPr>
                <w:tblCellSpacing w:w="15" w:type="dxa"/>
              </w:trPr>
              <w:tc>
                <w:tcPr>
                  <w:tcW w:w="0" w:type="auto"/>
                  <w:vAlign w:val="center"/>
                  <w:hideMark/>
                </w:tcPr>
                <w:p w14:paraId="561C1D51" w14:textId="77777777" w:rsidR="0002368C" w:rsidRPr="003844E4" w:rsidRDefault="002774CC" w:rsidP="002774CC">
                  <w:pPr>
                    <w:jc w:val="cente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Detection wavelengths</w:t>
                  </w:r>
                </w:p>
              </w:tc>
            </w:tr>
          </w:tbl>
          <w:p w14:paraId="28D8B484" w14:textId="77777777" w:rsidR="0002368C" w:rsidRPr="003844E4" w:rsidRDefault="0002368C" w:rsidP="002774CC">
            <w:pPr>
              <w:jc w:val="center"/>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0"/>
            </w:tblGrid>
            <w:tr w:rsidR="0002368C" w:rsidRPr="003844E4" w14:paraId="25A7F471" w14:textId="77777777" w:rsidTr="00016E00">
              <w:trPr>
                <w:tblCellSpacing w:w="15" w:type="dxa"/>
              </w:trPr>
              <w:tc>
                <w:tcPr>
                  <w:tcW w:w="0" w:type="auto"/>
                  <w:vAlign w:val="center"/>
                  <w:hideMark/>
                </w:tcPr>
                <w:p w14:paraId="1C91EFC4" w14:textId="77777777" w:rsidR="0002368C" w:rsidRPr="003844E4" w:rsidRDefault="002774CC" w:rsidP="002774CC">
                  <w:pPr>
                    <w:jc w:val="cente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254 nm and 366 nm</w:t>
                  </w:r>
                </w:p>
              </w:tc>
            </w:tr>
          </w:tbl>
          <w:p w14:paraId="37595C68" w14:textId="77777777" w:rsidR="0002368C" w:rsidRPr="003844E4" w:rsidRDefault="0002368C" w:rsidP="002774CC">
            <w:pPr>
              <w:jc w:val="center"/>
              <w:rPr>
                <w:rFonts w:ascii="Times New Roman" w:hAnsi="Times New Roman" w:cs="Times New Roman"/>
                <w:vanish/>
                <w:sz w:val="24"/>
                <w:szCs w:val="24"/>
              </w:rPr>
            </w:pPr>
          </w:p>
        </w:tc>
      </w:tr>
      <w:tr w:rsidR="0002368C" w:rsidRPr="003844E4" w14:paraId="00FD6734"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3"/>
            </w:tblGrid>
            <w:tr w:rsidR="0002368C" w:rsidRPr="003844E4" w14:paraId="62558F85" w14:textId="77777777" w:rsidTr="00016E00">
              <w:trPr>
                <w:tblCellSpacing w:w="15" w:type="dxa"/>
              </w:trPr>
              <w:tc>
                <w:tcPr>
                  <w:tcW w:w="0" w:type="auto"/>
                  <w:vAlign w:val="center"/>
                  <w:hideMark/>
                </w:tcPr>
                <w:p w14:paraId="3E085FF2" w14:textId="77777777" w:rsidR="0002368C" w:rsidRPr="003844E4" w:rsidRDefault="002774CC"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Number of peaks at 254 nm</w:t>
                  </w:r>
                </w:p>
              </w:tc>
            </w:tr>
          </w:tbl>
          <w:p w14:paraId="076FBB89"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77"/>
            </w:tblGrid>
            <w:tr w:rsidR="0002368C" w:rsidRPr="003844E4" w14:paraId="3BF318BC" w14:textId="77777777" w:rsidTr="00016E00">
              <w:trPr>
                <w:tblCellSpacing w:w="15" w:type="dxa"/>
              </w:trPr>
              <w:tc>
                <w:tcPr>
                  <w:tcW w:w="0" w:type="auto"/>
                  <w:vAlign w:val="center"/>
                  <w:hideMark/>
                </w:tcPr>
                <w:p w14:paraId="647A1E8E" w14:textId="77777777" w:rsidR="0002368C" w:rsidRPr="003844E4" w:rsidRDefault="00514553"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6–7 peaks</w:t>
                  </w:r>
                </w:p>
              </w:tc>
            </w:tr>
          </w:tbl>
          <w:p w14:paraId="7808B464" w14:textId="77777777" w:rsidR="0002368C" w:rsidRPr="003844E4" w:rsidRDefault="0002368C" w:rsidP="00016E00">
            <w:pPr>
              <w:jc w:val="both"/>
              <w:rPr>
                <w:rFonts w:ascii="Times New Roman" w:hAnsi="Times New Roman" w:cs="Times New Roman"/>
                <w:vanish/>
                <w:sz w:val="24"/>
                <w:szCs w:val="24"/>
              </w:rPr>
            </w:pPr>
          </w:p>
        </w:tc>
      </w:tr>
      <w:tr w:rsidR="0002368C" w:rsidRPr="003844E4" w14:paraId="06441CEB"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3"/>
            </w:tblGrid>
            <w:tr w:rsidR="0002368C" w:rsidRPr="003844E4" w14:paraId="30FC8FED" w14:textId="77777777" w:rsidTr="00016E00">
              <w:trPr>
                <w:tblCellSpacing w:w="15" w:type="dxa"/>
              </w:trPr>
              <w:tc>
                <w:tcPr>
                  <w:tcW w:w="0" w:type="auto"/>
                  <w:vAlign w:val="center"/>
                  <w:hideMark/>
                </w:tcPr>
                <w:p w14:paraId="146CE792" w14:textId="77777777" w:rsidR="0002368C" w:rsidRPr="003844E4" w:rsidRDefault="002774CC"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Number of peaks at 366 nm</w:t>
                  </w:r>
                </w:p>
              </w:tc>
            </w:tr>
          </w:tbl>
          <w:p w14:paraId="642A4BCD"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77"/>
            </w:tblGrid>
            <w:tr w:rsidR="0002368C" w:rsidRPr="003844E4" w14:paraId="4A07F3C3" w14:textId="77777777" w:rsidTr="00016E00">
              <w:trPr>
                <w:tblCellSpacing w:w="15" w:type="dxa"/>
              </w:trPr>
              <w:tc>
                <w:tcPr>
                  <w:tcW w:w="0" w:type="auto"/>
                  <w:vAlign w:val="center"/>
                  <w:hideMark/>
                </w:tcPr>
                <w:p w14:paraId="45AAF1B8" w14:textId="77777777" w:rsidR="0002368C" w:rsidRPr="003844E4" w:rsidRDefault="00514553"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6D39C6"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3–6 peaks</w:t>
                  </w:r>
                </w:p>
              </w:tc>
            </w:tr>
          </w:tbl>
          <w:p w14:paraId="2E1F6A77" w14:textId="77777777" w:rsidR="0002368C" w:rsidRPr="003844E4" w:rsidRDefault="0002368C" w:rsidP="00016E00">
            <w:pPr>
              <w:jc w:val="both"/>
              <w:rPr>
                <w:rFonts w:ascii="Times New Roman" w:hAnsi="Times New Roman" w:cs="Times New Roman"/>
                <w:vanish/>
                <w:sz w:val="24"/>
                <w:szCs w:val="24"/>
              </w:rPr>
            </w:pPr>
          </w:p>
        </w:tc>
      </w:tr>
      <w:tr w:rsidR="0002368C" w:rsidRPr="003844E4" w14:paraId="74340D91"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0"/>
            </w:tblGrid>
            <w:tr w:rsidR="0002368C" w:rsidRPr="003844E4" w14:paraId="300A196B" w14:textId="77777777" w:rsidTr="00016E00">
              <w:trPr>
                <w:tblCellSpacing w:w="15" w:type="dxa"/>
              </w:trPr>
              <w:tc>
                <w:tcPr>
                  <w:tcW w:w="0" w:type="auto"/>
                  <w:vAlign w:val="center"/>
                  <w:hideMark/>
                </w:tcPr>
                <w:p w14:paraId="7E1613FF" w14:textId="77777777" w:rsidR="0002368C" w:rsidRPr="003844E4" w:rsidRDefault="002774CC" w:rsidP="0002368C">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Major peak  at 254 nm</w:t>
                  </w:r>
                </w:p>
              </w:tc>
            </w:tr>
          </w:tbl>
          <w:p w14:paraId="0E7DFA69"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95"/>
            </w:tblGrid>
            <w:tr w:rsidR="0002368C" w:rsidRPr="003844E4" w14:paraId="174E4CD7" w14:textId="77777777" w:rsidTr="00016E00">
              <w:trPr>
                <w:tblCellSpacing w:w="15" w:type="dxa"/>
              </w:trPr>
              <w:tc>
                <w:tcPr>
                  <w:tcW w:w="0" w:type="auto"/>
                  <w:vAlign w:val="center"/>
                  <w:hideMark/>
                </w:tcPr>
                <w:p w14:paraId="11FC4E23" w14:textId="77777777" w:rsidR="0002368C" w:rsidRPr="003844E4" w:rsidRDefault="006D39C6"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Rf ≈ 0.89 (58–60% peak area)</w:t>
                  </w:r>
                </w:p>
              </w:tc>
            </w:tr>
          </w:tbl>
          <w:p w14:paraId="31E68975" w14:textId="77777777" w:rsidR="0002368C" w:rsidRPr="003844E4" w:rsidRDefault="0002368C" w:rsidP="00016E00">
            <w:pPr>
              <w:jc w:val="both"/>
              <w:rPr>
                <w:rFonts w:ascii="Times New Roman" w:hAnsi="Times New Roman" w:cs="Times New Roman"/>
                <w:vanish/>
                <w:sz w:val="24"/>
                <w:szCs w:val="24"/>
              </w:rPr>
            </w:pPr>
          </w:p>
        </w:tc>
      </w:tr>
      <w:tr w:rsidR="0002368C" w:rsidRPr="003844E4" w14:paraId="66F6C22F"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70"/>
            </w:tblGrid>
            <w:tr w:rsidR="0002368C" w:rsidRPr="003844E4" w14:paraId="77DD1EBA" w14:textId="77777777" w:rsidTr="00016E00">
              <w:trPr>
                <w:tblCellSpacing w:w="15" w:type="dxa"/>
              </w:trPr>
              <w:tc>
                <w:tcPr>
                  <w:tcW w:w="0" w:type="auto"/>
                  <w:vAlign w:val="center"/>
                  <w:hideMark/>
                </w:tcPr>
                <w:p w14:paraId="0BF95922" w14:textId="77777777" w:rsidR="0002368C" w:rsidRPr="003844E4" w:rsidRDefault="002774CC"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Second major peak at 254 nm</w:t>
                  </w:r>
                </w:p>
              </w:tc>
            </w:tr>
          </w:tbl>
          <w:p w14:paraId="78F0BA4E"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35"/>
            </w:tblGrid>
            <w:tr w:rsidR="0002368C" w:rsidRPr="003844E4" w14:paraId="118D79E2" w14:textId="77777777" w:rsidTr="00016E00">
              <w:trPr>
                <w:tblCellSpacing w:w="15" w:type="dxa"/>
              </w:trPr>
              <w:tc>
                <w:tcPr>
                  <w:tcW w:w="0" w:type="auto"/>
                  <w:vAlign w:val="center"/>
                  <w:hideMark/>
                </w:tcPr>
                <w:p w14:paraId="4628428A" w14:textId="77777777" w:rsidR="0002368C" w:rsidRPr="003844E4" w:rsidRDefault="006D39C6"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Rf ≈ 0.94–0.95 (23–24% peak area)</w:t>
                  </w:r>
                </w:p>
              </w:tc>
            </w:tr>
          </w:tbl>
          <w:p w14:paraId="7B898D18" w14:textId="77777777" w:rsidR="0002368C" w:rsidRPr="003844E4" w:rsidRDefault="0002368C" w:rsidP="00016E00">
            <w:pPr>
              <w:jc w:val="both"/>
              <w:rPr>
                <w:rFonts w:ascii="Times New Roman" w:hAnsi="Times New Roman" w:cs="Times New Roman"/>
                <w:vanish/>
                <w:sz w:val="24"/>
                <w:szCs w:val="24"/>
              </w:rPr>
            </w:pPr>
          </w:p>
        </w:tc>
      </w:tr>
      <w:tr w:rsidR="0002368C" w:rsidRPr="003844E4" w14:paraId="7DBCF3D9"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57"/>
            </w:tblGrid>
            <w:tr w:rsidR="0002368C" w:rsidRPr="003844E4" w14:paraId="2BEE9E01" w14:textId="77777777" w:rsidTr="00016E00">
              <w:trPr>
                <w:tblCellSpacing w:w="15" w:type="dxa"/>
              </w:trPr>
              <w:tc>
                <w:tcPr>
                  <w:tcW w:w="0" w:type="auto"/>
                  <w:vAlign w:val="center"/>
                  <w:hideMark/>
                </w:tcPr>
                <w:p w14:paraId="238477A4" w14:textId="77777777" w:rsidR="0002368C" w:rsidRPr="003844E4" w:rsidRDefault="002774CC" w:rsidP="0002368C">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Major peak 366 nm</w:t>
                  </w:r>
                </w:p>
              </w:tc>
            </w:tr>
          </w:tbl>
          <w:p w14:paraId="7C305484"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35"/>
            </w:tblGrid>
            <w:tr w:rsidR="0002368C" w:rsidRPr="003844E4" w14:paraId="2F2B91A8" w14:textId="77777777" w:rsidTr="00016E00">
              <w:trPr>
                <w:tblCellSpacing w:w="15" w:type="dxa"/>
              </w:trPr>
              <w:tc>
                <w:tcPr>
                  <w:tcW w:w="0" w:type="auto"/>
                  <w:vAlign w:val="center"/>
                  <w:hideMark/>
                </w:tcPr>
                <w:p w14:paraId="65274915" w14:textId="77777777" w:rsidR="0002368C" w:rsidRPr="003844E4" w:rsidRDefault="006D39C6"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Rf ≈ 0.95 (49–50% peak area)</w:t>
                  </w:r>
                </w:p>
              </w:tc>
            </w:tr>
          </w:tbl>
          <w:p w14:paraId="357FAA81" w14:textId="77777777" w:rsidR="0002368C" w:rsidRPr="003844E4" w:rsidRDefault="0002368C" w:rsidP="00016E00">
            <w:pPr>
              <w:jc w:val="both"/>
              <w:rPr>
                <w:rFonts w:ascii="Times New Roman" w:hAnsi="Times New Roman" w:cs="Times New Roman"/>
                <w:vanish/>
                <w:sz w:val="24"/>
                <w:szCs w:val="24"/>
              </w:rPr>
            </w:pPr>
          </w:p>
        </w:tc>
      </w:tr>
      <w:tr w:rsidR="0002368C" w:rsidRPr="003844E4" w14:paraId="7749D6F0"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17"/>
            </w:tblGrid>
            <w:tr w:rsidR="0002368C" w:rsidRPr="003844E4" w14:paraId="3EBBCD9C" w14:textId="77777777" w:rsidTr="00016E00">
              <w:trPr>
                <w:tblCellSpacing w:w="15" w:type="dxa"/>
              </w:trPr>
              <w:tc>
                <w:tcPr>
                  <w:tcW w:w="0" w:type="auto"/>
                  <w:vAlign w:val="center"/>
                  <w:hideMark/>
                </w:tcPr>
                <w:p w14:paraId="54E3B5A1" w14:textId="77777777" w:rsidR="0002368C" w:rsidRPr="003844E4" w:rsidRDefault="002774CC"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Second major peak 366 nm</w:t>
                  </w:r>
                </w:p>
              </w:tc>
            </w:tr>
          </w:tbl>
          <w:p w14:paraId="45CBB7A2"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35"/>
            </w:tblGrid>
            <w:tr w:rsidR="0002368C" w:rsidRPr="003844E4" w14:paraId="3529F5B7" w14:textId="77777777" w:rsidTr="00016E00">
              <w:trPr>
                <w:tblCellSpacing w:w="15" w:type="dxa"/>
              </w:trPr>
              <w:tc>
                <w:tcPr>
                  <w:tcW w:w="0" w:type="auto"/>
                  <w:vAlign w:val="center"/>
                  <w:hideMark/>
                </w:tcPr>
                <w:p w14:paraId="33509326" w14:textId="77777777" w:rsidR="0002368C" w:rsidRPr="003844E4" w:rsidRDefault="006D39C6"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Rf ≈ 0.86–0.87 (23–24% peak area)</w:t>
                  </w:r>
                </w:p>
              </w:tc>
            </w:tr>
          </w:tbl>
          <w:p w14:paraId="25C45050" w14:textId="77777777" w:rsidR="0002368C" w:rsidRPr="003844E4" w:rsidRDefault="0002368C" w:rsidP="00016E00">
            <w:pPr>
              <w:jc w:val="both"/>
              <w:rPr>
                <w:rFonts w:ascii="Times New Roman" w:hAnsi="Times New Roman" w:cs="Times New Roman"/>
                <w:vanish/>
                <w:sz w:val="24"/>
                <w:szCs w:val="24"/>
              </w:rPr>
            </w:pPr>
          </w:p>
        </w:tc>
      </w:tr>
      <w:tr w:rsidR="0002368C" w:rsidRPr="003844E4" w14:paraId="381CC9B7"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7"/>
            </w:tblGrid>
            <w:tr w:rsidR="0002368C" w:rsidRPr="003844E4" w14:paraId="1716489D" w14:textId="77777777" w:rsidTr="00016E00">
              <w:trPr>
                <w:tblCellSpacing w:w="15" w:type="dxa"/>
              </w:trPr>
              <w:tc>
                <w:tcPr>
                  <w:tcW w:w="0" w:type="auto"/>
                  <w:vAlign w:val="center"/>
                  <w:hideMark/>
                </w:tcPr>
                <w:p w14:paraId="66C7B922" w14:textId="77777777" w:rsidR="0002368C" w:rsidRPr="003844E4" w:rsidRDefault="002774CC"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Minor peaks</w:t>
                  </w:r>
                </w:p>
              </w:tc>
            </w:tr>
          </w:tbl>
          <w:p w14:paraId="4CEC5ACB"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69"/>
            </w:tblGrid>
            <w:tr w:rsidR="0002368C" w:rsidRPr="003844E4" w14:paraId="709101FD" w14:textId="77777777" w:rsidTr="00016E00">
              <w:trPr>
                <w:tblCellSpacing w:w="15" w:type="dxa"/>
              </w:trPr>
              <w:tc>
                <w:tcPr>
                  <w:tcW w:w="0" w:type="auto"/>
                  <w:vAlign w:val="center"/>
                  <w:hideMark/>
                </w:tcPr>
                <w:p w14:paraId="2263FA96" w14:textId="77777777" w:rsidR="0002368C" w:rsidRPr="003844E4" w:rsidRDefault="0002368C" w:rsidP="00016E00">
                  <w:pPr>
                    <w:jc w:val="both"/>
                    <w:rPr>
                      <w:rFonts w:ascii="Times New Roman" w:hAnsi="Times New Roman" w:cs="Times New Roman"/>
                      <w:sz w:val="24"/>
                      <w:szCs w:val="24"/>
                    </w:rPr>
                  </w:pPr>
                  <w:r w:rsidRPr="003844E4">
                    <w:rPr>
                      <w:rFonts w:ascii="Times New Roman" w:hAnsi="Times New Roman" w:cs="Times New Roman"/>
                      <w:sz w:val="24"/>
                      <w:szCs w:val="24"/>
                    </w:rPr>
                    <w:t>Rf ≈ 0.00–0.13, 0.75 and 1.00</w:t>
                  </w:r>
                </w:p>
              </w:tc>
            </w:tr>
          </w:tbl>
          <w:p w14:paraId="06063B47" w14:textId="77777777" w:rsidR="0002368C" w:rsidRPr="003844E4" w:rsidRDefault="0002368C" w:rsidP="00016E00">
            <w:pPr>
              <w:jc w:val="both"/>
              <w:rPr>
                <w:rFonts w:ascii="Times New Roman" w:hAnsi="Times New Roman" w:cs="Times New Roman"/>
                <w:vanish/>
                <w:sz w:val="24"/>
                <w:szCs w:val="24"/>
              </w:rPr>
            </w:pPr>
          </w:p>
        </w:tc>
      </w:tr>
      <w:tr w:rsidR="006F004B" w:rsidRPr="003844E4" w14:paraId="28386C47" w14:textId="77777777" w:rsidTr="0002368C">
        <w:tc>
          <w:tcPr>
            <w:tcW w:w="4077" w:type="dxa"/>
          </w:tcPr>
          <w:p w14:paraId="437350CA" w14:textId="77777777" w:rsidR="006F004B" w:rsidRPr="003844E4" w:rsidRDefault="006F004B" w:rsidP="006F004B">
            <w:pPr>
              <w:rPr>
                <w:rFonts w:ascii="Times New Roman" w:hAnsi="Times New Roman" w:cs="Times New Roman"/>
                <w:sz w:val="24"/>
                <w:szCs w:val="24"/>
              </w:rPr>
            </w:pPr>
            <w:r w:rsidRPr="003844E4">
              <w:rPr>
                <w:rFonts w:ascii="Times New Roman" w:hAnsi="Times New Roman" w:cs="Times New Roman"/>
                <w:sz w:val="24"/>
                <w:szCs w:val="24"/>
              </w:rPr>
              <w:t xml:space="preserve">           Reproducibility</w:t>
            </w:r>
          </w:p>
        </w:tc>
        <w:tc>
          <w:tcPr>
            <w:tcW w:w="4820" w:type="dxa"/>
          </w:tcPr>
          <w:p w14:paraId="39EF3105" w14:textId="77777777" w:rsidR="006F004B" w:rsidRPr="003844E4" w:rsidRDefault="006F004B" w:rsidP="00016E00">
            <w:pPr>
              <w:jc w:val="both"/>
              <w:rPr>
                <w:rFonts w:ascii="Times New Roman" w:hAnsi="Times New Roman" w:cs="Times New Roman"/>
                <w:sz w:val="24"/>
                <w:szCs w:val="24"/>
              </w:rPr>
            </w:pPr>
            <w:r w:rsidRPr="003844E4">
              <w:rPr>
                <w:rFonts w:ascii="Times New Roman" w:hAnsi="Times New Roman" w:cs="Times New Roman"/>
                <w:sz w:val="24"/>
                <w:szCs w:val="24"/>
              </w:rPr>
              <w:t>Similar Rf values observed in all tracks (1-4µL)</w:t>
            </w:r>
          </w:p>
        </w:tc>
      </w:tr>
    </w:tbl>
    <w:p>
      <w:r>
        <w:rPr>
          <w:i w:val="0"/>
        </w:rPr>
        <w:t>Table 8 summarises the HPTLC fingerprint of the ethanolic extract. Six to seven peaks were detected at 254 nm and three to six peaks at 366 nm. At 254 nm, the dominant peak occurred at Rf approximately 0.89 with 58-60% of the peak area, followed by a peak at Rf approximately 0.94-0.95 with 23-24% of the peak area. At 366 nm, the principal peak occurred at Rf approximately 0.95 with 49-50% of the peak area, while the second major peak was observed at Rf approximately 0.86-0.87 with 23-24% of the peak area. Similar Rf values across the 1-4 µL tracks indicated repeatability of the chromatographic pattern under the stated conditions.</w:t>
      </w:r>
    </w:p>
    <w:p w14:paraId="179EA302" w14:textId="77777777" w:rsidR="00016E00" w:rsidRPr="003844E4" w:rsidRDefault="00321CE4" w:rsidP="00016E00">
      <w:pPr>
        <w:jc w:val="both"/>
        <w:rPr>
          <w:rFonts w:ascii="Times New Roman" w:hAnsi="Times New Roman" w:cs="Times New Roman"/>
          <w:i/>
          <w:iCs/>
          <w:sz w:val="24"/>
          <w:szCs w:val="24"/>
          <w:lang w:bidi="hi-IN"/>
        </w:rPr>
      </w:pPr>
      <w:r w:rsidRPr="003844E4">
        <w:rPr>
          <w:rFonts w:ascii="Times New Roman" w:hAnsi="Times New Roman" w:cs="Times New Roman"/>
          <w:i/>
          <w:iCs/>
          <w:sz w:val="24"/>
          <w:szCs w:val="24"/>
          <w:lang w:bidi="hi-IN"/>
        </w:rPr>
        <w:t xml:space="preserve"> </w:t>
      </w:r>
    </w:p>
    <w:p w14:paraId="3BE03495" w14:textId="77777777" w:rsidR="00016E00" w:rsidRPr="003844E4" w:rsidRDefault="00016E00" w:rsidP="00016E00">
      <w:pPr>
        <w:jc w:val="both"/>
        <w:rPr>
          <w:rFonts w:ascii="Times New Roman" w:hAnsi="Times New Roman" w:cs="Times New Roman"/>
          <w:b/>
          <w:bCs/>
          <w:i/>
          <w:iCs/>
          <w:sz w:val="24"/>
          <w:szCs w:val="24"/>
          <w:lang w:bidi="hi-IN"/>
        </w:rPr>
      </w:pPr>
      <w:r w:rsidRPr="003844E4">
        <w:rPr>
          <w:rFonts w:ascii="Times New Roman" w:hAnsi="Times New Roman" w:cs="Times New Roman"/>
          <w:b/>
          <w:bCs/>
          <w:color w:val="000000" w:themeColor="text1"/>
          <w:sz w:val="24"/>
          <w:szCs w:val="24"/>
        </w:rPr>
        <w:t>Discussion</w:t>
      </w:r>
    </w:p>
    <w:p w14:paraId="234DFC17" w14:textId="77777777" w:rsidR="00016E00" w:rsidRPr="003844E4" w:rsidRDefault="00016E00" w:rsidP="00016E00">
      <w:pPr>
        <w:pStyle w:val="NormalWeb"/>
        <w:jc w:val="both"/>
      </w:pPr>
      <w:r>
        <w:t xml:space="preserve">The present study evaluated the pharmacognostical, physicochemical, phytochemical and chromatographic characteristics of </w:t>
      </w:r>
      <w:r>
        <w:rPr>
          <w:rStyle w:val="Emphasis"/>
        </w:rPr>
        <w:t>Mudgaparni</w:t>
      </w:r>
      <w:r>
        <w:t xml:space="preserve"> (</w:t>
      </w:r>
      <w:r>
        <w:rPr>
          <w:rStyle w:val="Emphasis"/>
        </w:rPr>
        <w:t>Vigna trilobata</w:t>
      </w:r>
      <w:r>
        <w:rPr>
          <w:rStyle w:val="Emphasis"/>
          <w:i w:val="0"/>
          <w:iCs w:val="0"/>
        </w:rPr>
        <w:t xml:space="preserve"> Linn.</w:t>
      </w:r>
      <w:r>
        <w:t>) to generate baseline information for its identification and quality assessment.</w:t>
      </w:r>
    </w:p>
    <w:p w14:paraId="01CCCE88" w14:textId="77777777" w:rsidR="000078B8" w:rsidRPr="003844E4" w:rsidRDefault="00000000">
      <w:pPr>
        <w:pStyle w:val="NormalWeb"/>
        <w:jc w:val="both"/>
      </w:pPr>
      <w:r>
        <w:t>An integrated evaluation that combines morphological, physicochemical, phytochemical and chromatographic evidence is consistent with multidimensional approaches to herbal-drug standardi</w:t>
      </w:r>
      <w:r>
        <w:rPr>
          <w:highlight w:val="yellow"/>
        </w:rPr>
        <w:t>s</w:t>
      </w:r>
      <w:r>
        <w:t>ation, because complex botanical materials are more reliably characteri</w:t>
      </w:r>
      <w:r>
        <w:rPr>
          <w:highlight w:val="yellow"/>
        </w:rPr>
        <w:t>s</w:t>
      </w:r>
      <w:r>
        <w:t>ed by complementary quality attributes than by a single test alone (Balekundri &amp; Mannur, 2020; Kaundal &amp; Kumar, 2025; Noviana et al., 2022).</w:t>
      </w:r>
    </w:p>
    <w:p w14:paraId="291BF885" w14:textId="77777777" w:rsidR="00016E00" w:rsidRPr="003844E4" w:rsidRDefault="00016E00" w:rsidP="00016E00">
      <w:pPr>
        <w:pStyle w:val="NormalWeb"/>
        <w:jc w:val="both"/>
      </w:pPr>
      <w:r>
        <w:t xml:space="preserve">Macroscopic examination demonstrated characteristic morphological features of the root, stem, leaves, flowers, fruits and seeds that are consistent with the botanical description of the </w:t>
      </w:r>
      <w:r>
        <w:lastRenderedPageBreak/>
        <w:t>species. Microscopic evaluation, including powder microscopy and transverse sections of different plant parts</w:t>
      </w:r>
      <w:r>
        <w:rPr>
          <w:highlight w:val="yellow"/>
        </w:rPr>
        <w:t>,</w:t>
      </w:r>
      <w:r>
        <w:t xml:space="preserve"> revealed diagnostic anatomical features that may assist in the identification of the crude drug</w:t>
      </w:r>
      <w:r>
        <w:rPr>
          <w:highlight w:val="yellow"/>
        </w:rPr>
        <w:t>,</w:t>
      </w:r>
      <w:r>
        <w:t xml:space="preserve"> particularly in powdered form.</w:t>
      </w:r>
    </w:p>
    <w:p>
      <w:r>
        <w:rPr>
          <w:i w:val="0"/>
        </w:rPr>
        <w:t>The macroscopic findings in Table 3, together with the organoleptic observations in Tables 4 and 5, define a practical descriptive profile of the crude and powdered drug. In particular, the combination of cylindrical fibrous vegetative parts, trifoliate leaves and the distinct colour, texture and odour characteristics may assist preliminary authentication before microscopic examination. Figures 1-4 further support this identification by demonstrating epidermal and mesophyll fragments in the powder and diagnostic tissue organisation in the leaf, stem and root.</w:t>
      </w:r>
    </w:p>
    <w:p w14:paraId="3119DA3D" w14:textId="77777777" w:rsidR="000078B8" w:rsidRPr="003844E4" w:rsidRDefault="00000000">
      <w:pPr>
        <w:pStyle w:val="NormalWeb"/>
        <w:jc w:val="both"/>
      </w:pPr>
      <w:r>
        <w:t xml:space="preserve">Macroscopic and microscopic markers are particularly useful for authentication when crude drugs are traded as fragmented or powdered material, because diagnostic anatomical characters can help distinguish genuine material from morphologically similar substitutes or adulterants (Balekundri &amp; Mannur, 2020; Kaundal &amp; Kumar, 2025; Rashid et al., 2018). The diagnostic tissues observed in the present study therefore provide a morphological-anatomical basis for future comparative authentication of </w:t>
      </w:r>
      <w:r>
        <w:rPr>
          <w:i/>
          <w:iCs/>
        </w:rPr>
        <w:t>Vigna trilobata</w:t>
      </w:r>
      <w:r>
        <w:t>, although examination of additional populations would be required to establish the consistency of these features across geographical sources.</w:t>
      </w:r>
    </w:p>
    <w:p w14:paraId="47D6316C" w14:textId="77777777" w:rsidR="00016E00" w:rsidRPr="003844E4" w:rsidRDefault="00016E00" w:rsidP="00016E00">
      <w:pPr>
        <w:pStyle w:val="NormalWeb"/>
        <w:jc w:val="both"/>
      </w:pPr>
      <w:r>
        <w:t xml:space="preserve">Physicochemical evaluation is routinely employed to assess the quality and purity of herbal drugs. The values obtained for foreign matter, total ash, acid-insoluble ash, water-soluble extractive and alcohol-soluble extractive were within the limits prescribed by the Ayurvedic Pharmacopoeia of India where standards </w:t>
      </w:r>
      <w:r>
        <w:rPr>
          <w:highlight w:val="yellow"/>
        </w:rPr>
        <w:t>we</w:t>
      </w:r>
      <w:r>
        <w:t>re available. The low moisture content indicates that the sample was adequately dried, which may help reduce deterioration during storage. The comparatively higher water-soluble extractive value suggests that a greater proportion of extractable constituents are soluble in water.</w:t>
      </w:r>
    </w:p>
    <w:p>
      <w:r>
        <w:rPr>
          <w:i w:val="0"/>
        </w:rPr>
        <w:t>The numerical results in Table 6 strengthen this interpretation: foreign matter (1.5%), total ash (9.9%), acid-insoluble ash (1.4%), water-soluble extractive value (10.3%) and alcohol-soluble extractive value (2.9%) remained within the cited pharmacopoeial limits. Figure 5 visually documents the material and analytical stages associated with these determinations. The low loss on drying (1.0%) indicates a well-dried sample, whereas the higher water-soluble than alcohol-soluble extractive value suggests that, under the applied procedures, a larger fraction of extractable constituents was recovered in water.</w:t>
      </w:r>
    </w:p>
    <w:p w14:paraId="7F32DF36" w14:textId="77777777" w:rsidR="000078B8" w:rsidRPr="003844E4" w:rsidRDefault="00000000">
      <w:pPr>
        <w:pStyle w:val="NormalWeb"/>
        <w:jc w:val="both"/>
      </w:pPr>
      <w:r w:rsidRPr="003844E4">
        <w:t>Ash values, moisture content and solvent-extractive values are widely used as complementary indices of inorganic residue, storage-related deterioration and the proportion of solvent-extractable constituents in herbal raw materials (Balekundri &amp; Mannur, 2020; Kaundal &amp; Kumar, 2025; Rashid et al., 2018). In the present sample, the low loss on drying together with conformity of the reported physicochemical parameters to the cited pharmacopoeial limits supports acceptable raw-material quality under the tested conditions; however, these measurements should be interpreted as batch-specific data rather than universal limits for the species.</w:t>
      </w:r>
    </w:p>
    <w:p w14:paraId="5DAA18CC" w14:textId="77777777" w:rsidR="00016E00" w:rsidRPr="003844E4" w:rsidRDefault="00016E00" w:rsidP="00016E00">
      <w:pPr>
        <w:pStyle w:val="NormalWeb"/>
        <w:jc w:val="both"/>
      </w:pPr>
      <w:r>
        <w:t>Preliminary phytochemical screening indicated the presence of alkaloids, flavonoids, tannins, saponins, sterols, phenolic compounds and proteins in both aqueous and alcoholic extracts, whereas glycosides and carbohydrates were not detected under</w:t>
      </w:r>
      <w:r>
        <w:rPr>
          <w:highlight w:val="yellow"/>
        </w:rPr>
        <w:t xml:space="preserve"> the test conditions</w:t>
      </w:r>
      <w:r>
        <w:t xml:space="preserve">. These findings are generally in agreement with previous reports on </w:t>
      </w:r>
      <w:r>
        <w:rPr>
          <w:rStyle w:val="Emphasis"/>
        </w:rPr>
        <w:t xml:space="preserve">Vigna trilobata </w:t>
      </w:r>
      <w:r>
        <w:rPr>
          <w:rStyle w:val="Emphasis"/>
          <w:i w:val="0"/>
          <w:iCs w:val="0"/>
        </w:rPr>
        <w:t>Linn.</w:t>
      </w:r>
      <w:r>
        <w:t>, although qualitative phytochemical results may vary depending on the extraction method, solvent system and geographical source of the plant material.</w:t>
      </w:r>
    </w:p>
    <w:p>
      <w:r>
        <w:rPr>
          <w:i w:val="0"/>
        </w:rPr>
        <w:t>The concordant reactions in both extract types (Table 7 and Figure 6) suggest that several major metabolite classes were detectable irrespective of whether water or alcohol was used for the preliminary extraction. Conversely, the negative reactions for glycosides and carbohydrates should be interpreted only as non-detection under the specific qualitative tests and extraction conditions used, rather than as proof of complete absence from the plant.</w:t>
      </w:r>
    </w:p>
    <w:p w14:paraId="61861F73" w14:textId="77777777" w:rsidR="000078B8" w:rsidRPr="003844E4" w:rsidRDefault="00000000">
      <w:pPr>
        <w:pStyle w:val="NormalWeb"/>
        <w:jc w:val="both"/>
      </w:pPr>
      <w:r>
        <w:t xml:space="preserve">Previous investigations of </w:t>
      </w:r>
      <w:r>
        <w:rPr>
          <w:i/>
          <w:iCs/>
        </w:rPr>
        <w:t>Vigna trilobata</w:t>
      </w:r>
      <w:r>
        <w:t xml:space="preserve"> have documented a chemically diverse profile that includes flavonoid and phenolic constituents, while more recent seed-level profiling has demonstrated variation among accessions and the presence of multiple detectable metabolites (Gore et al., 2024; Seneviratne &amp; Harborne, 1992; Zaheer et al., 2021). Accordingly, the qualitative detection of several metabolite classes in the present whole-plant extracts is plausible, but a negative preliminary reaction should not be interpreted as definitive absence because detection can depend on solvent selection, analyte concentration and assay sensitivity.</w:t>
      </w:r>
    </w:p>
    <w:p w14:paraId="71717AB5" w14:textId="77777777" w:rsidR="00016E00" w:rsidRPr="003844E4" w:rsidRDefault="00016E00" w:rsidP="00016E00">
      <w:pPr>
        <w:pStyle w:val="NormalWeb"/>
        <w:jc w:val="both"/>
      </w:pPr>
      <w:r>
        <w:t>HPTLC analysis generated a distinct chromatographic fingerprint with multiple peaks at both 254 nm and 366 nm. The reproducibility of the chromatographic profile across different sample applications suggests that the method may be useful for comparative evaluation and quality assessment.</w:t>
      </w:r>
      <w:r>
        <w:rPr>
          <w:highlight w:val="yellow"/>
        </w:rPr>
        <w:t xml:space="preserve"> </w:t>
      </w:r>
      <w:r>
        <w:t xml:space="preserve">Overall, the findings of the present study add to the available </w:t>
      </w:r>
      <w:r>
        <w:lastRenderedPageBreak/>
        <w:t xml:space="preserve">pharmacognostical and analytical information on </w:t>
      </w:r>
      <w:r>
        <w:rPr>
          <w:rStyle w:val="Emphasis"/>
        </w:rPr>
        <w:t>Mudgaparni</w:t>
      </w:r>
      <w:r>
        <w:t xml:space="preserve"> and may be useful as reference data for future investigations involving authentication and standardi</w:t>
      </w:r>
      <w:r>
        <w:rPr>
          <w:highlight w:val="yellow"/>
        </w:rPr>
        <w:t>s</w:t>
      </w:r>
      <w:r>
        <w:t>ation of the plant.</w:t>
      </w:r>
    </w:p>
    <w:p>
      <w:r>
        <w:rPr>
          <w:i w:val="0"/>
        </w:rPr>
        <w:t>The HPTLC data in Table 8 provide the strongest analytical support for the proposed reference fingerprint. The dominant zones at Rf approximately 0.89-0.95 accounted for the largest proportions of peak area at both wavelengths, while the recurrence of similar Rf values across the 1-4 µL applications indicates good within-run repeatability. These findings justify use of the chromatogram as a preliminary comparative profile, but they do not substitute for formal method validation or inter-batch evaluation.</w:t>
      </w:r>
    </w:p>
    <w:p w14:paraId="297D5C3B" w14:textId="77777777" w:rsidR="000078B8" w:rsidRPr="003844E4" w:rsidRDefault="00000000">
      <w:pPr>
        <w:pStyle w:val="NormalWeb"/>
        <w:jc w:val="both"/>
      </w:pPr>
      <w:r w:rsidRPr="003844E4">
        <w:t>Chromatographic fingerprinting is widely used for comparative assessment of complex herbal materials because the distribution and relative intensity of multiple zones or peaks can provide a broader identity pattern than reliance on a single constituent (Balekundri &amp; Mannur, 2020; Gökbulut, 2021; Noviana et al., 2022). The repeated Rf pattern observed across the sample applications therefore supports the use of the present chromatogram as a preliminary reference fingerprint; nevertheless, formal analytical validation and comparison with independent batches would be required before establishing it as a routine quality-control specification.</w:t>
      </w:r>
    </w:p>
    <w:p w14:paraId="4947FB41" w14:textId="77777777" w:rsidR="00321CE4" w:rsidRPr="003844E4" w:rsidRDefault="00321CE4" w:rsidP="00321CE4">
      <w:pPr>
        <w:jc w:val="both"/>
        <w:rPr>
          <w:rFonts w:ascii="Times New Roman" w:hAnsi="Times New Roman" w:cs="Times New Roman"/>
          <w:b/>
          <w:bCs/>
          <w:sz w:val="24"/>
          <w:szCs w:val="24"/>
          <w:lang w:bidi="hi-IN"/>
        </w:rPr>
      </w:pPr>
      <w:r w:rsidRPr="003844E4">
        <w:rPr>
          <w:rFonts w:ascii="Times New Roman" w:hAnsi="Times New Roman" w:cs="Times New Roman"/>
          <w:b/>
          <w:bCs/>
          <w:sz w:val="24"/>
          <w:szCs w:val="24"/>
          <w:lang w:bidi="hi-IN"/>
        </w:rPr>
        <w:t>Conclusion</w:t>
      </w:r>
    </w:p>
    <w:p w14:paraId="697ED2D0" w14:textId="77777777" w:rsidR="00016E00" w:rsidRPr="003844E4" w:rsidRDefault="00016E00" w:rsidP="00016E00">
      <w:pPr>
        <w:pStyle w:val="pdq2pgselectionanchorcontainer"/>
        <w:jc w:val="both"/>
      </w:pPr>
      <w:r>
        <w:t xml:space="preserve">The present study documented the pharmacognostical, physicochemical, phytochemical, and HPTLC characteristics of </w:t>
      </w:r>
      <w:r>
        <w:rPr>
          <w:rStyle w:val="Emphasis"/>
        </w:rPr>
        <w:t>Mudgaparni</w:t>
      </w:r>
      <w:r>
        <w:t xml:space="preserve"> (</w:t>
      </w:r>
      <w:r>
        <w:rPr>
          <w:rStyle w:val="Emphasis"/>
        </w:rPr>
        <w:t>Vigna trilobata</w:t>
      </w:r>
      <w:r>
        <w:t xml:space="preserve"> Linn.). The observed macroscopic and microscopic features may assist in the identification of the crude drug, while the physicochemical parameters provide basic information regarding its quality. Preliminary phytochemical screening indicated the presence of several classes of phytoconstituents and HPTLC analysis generated a characteristic chromatographic fingerprint of the ethanolic extract.</w:t>
      </w:r>
    </w:p>
    <w:p w14:paraId="416A6C79" w14:textId="77777777" w:rsidR="00016E00" w:rsidRPr="003844E4" w:rsidRDefault="00016E00" w:rsidP="00016E00">
      <w:pPr>
        <w:pStyle w:val="pdq2pgselectionanchorcontainer"/>
        <w:jc w:val="both"/>
      </w:pPr>
      <w:r>
        <w:t>Although the findings are limited to qualitative and analytical evaluation, they provide baseline data that may be useful for future studies on the authentication, standardi</w:t>
      </w:r>
      <w:r>
        <w:rPr>
          <w:highlight w:val="yellow"/>
        </w:rPr>
        <w:t>s</w:t>
      </w:r>
      <w:r>
        <w:t xml:space="preserve">ation and quality assessment of </w:t>
      </w:r>
      <w:r>
        <w:rPr>
          <w:rStyle w:val="Emphasis"/>
        </w:rPr>
        <w:t xml:space="preserve">Mudgaparni </w:t>
      </w:r>
      <w:r>
        <w:rPr>
          <w:rStyle w:val="Emphasis"/>
          <w:i w:val="0"/>
          <w:iCs w:val="0"/>
        </w:rPr>
        <w:t>(</w:t>
      </w:r>
      <w:r>
        <w:rPr>
          <w:rStyle w:val="Emphasis"/>
        </w:rPr>
        <w:t xml:space="preserve">Vigna trilobata </w:t>
      </w:r>
      <w:r>
        <w:rPr>
          <w:rStyle w:val="Emphasis"/>
          <w:i w:val="0"/>
          <w:iCs w:val="0"/>
        </w:rPr>
        <w:t>Linn.)</w:t>
      </w:r>
      <w:r>
        <w:t>. Further investigations involving quantitative phytochemical analysis, isolation of marker compounds, pharmacological evaluation and clinical studies are required to better understand its therapeutic potential.</w:t>
      </w:r>
    </w:p>
    <w:p w14:paraId="2AD041EA" w14:textId="77777777" w:rsidR="00321CE4" w:rsidRPr="003844E4" w:rsidRDefault="00016E00" w:rsidP="00321CE4">
      <w:pPr>
        <w:pStyle w:val="NormalWeb"/>
        <w:jc w:val="both"/>
        <w:rPr>
          <w:b/>
          <w:bCs/>
        </w:rPr>
      </w:pPr>
      <w:r w:rsidRPr="003844E4">
        <w:rPr>
          <w:b/>
          <w:bCs/>
        </w:rPr>
        <w:t>Limitations and Future Scope</w:t>
      </w:r>
    </w:p>
    <w:p w14:paraId="127D6D53" w14:textId="77777777" w:rsidR="00016E00" w:rsidRPr="003844E4" w:rsidRDefault="00016E00" w:rsidP="00321CE4">
      <w:pPr>
        <w:pStyle w:val="NormalWeb"/>
        <w:jc w:val="both"/>
      </w:pPr>
      <w:r>
        <w:t xml:space="preserve">The present study was limited to the pharmacognostical, physicochemical, preliminary phytochemical and HPTLC evaluation of </w:t>
      </w:r>
      <w:r>
        <w:rPr>
          <w:rStyle w:val="Emphasis"/>
        </w:rPr>
        <w:t>Mudgaparni</w:t>
      </w:r>
      <w:r>
        <w:t xml:space="preserve"> (</w:t>
      </w:r>
      <w:r>
        <w:rPr>
          <w:rStyle w:val="Emphasis"/>
        </w:rPr>
        <w:t>Vigna trilobata</w:t>
      </w:r>
      <w:r>
        <w:t xml:space="preserve"> Linn.). The phytochemical analysis was qualitative in nature and individual bioactive constituents were not identified or quantified. Furthermore, the investigation was conducted using plant material collected from a single geographical location and harvesting season. Nevertheless, the findings provide baseline information that may be useful for future investigations. Further studies involving quantitative phytochemical estimation, characteri</w:t>
      </w:r>
      <w:r>
        <w:rPr>
          <w:highlight w:val="yellow"/>
        </w:rPr>
        <w:t>s</w:t>
      </w:r>
      <w:r>
        <w:t xml:space="preserve">ation of marker compounds using advanced analytical techniques, validation of the HPTLC fingerprint, comparative evaluation of samples from different geographical regions and seasons may contribute to a more comprehensive understanding of the quality, safety and therapeutic potential of </w:t>
      </w:r>
      <w:r>
        <w:rPr>
          <w:rStyle w:val="Emphasis"/>
        </w:rPr>
        <w:t xml:space="preserve">Mudgaparni </w:t>
      </w:r>
      <w:r>
        <w:rPr>
          <w:rStyle w:val="Emphasis"/>
          <w:i w:val="0"/>
          <w:iCs w:val="0"/>
        </w:rPr>
        <w:t>(</w:t>
      </w:r>
      <w:r>
        <w:rPr>
          <w:rStyle w:val="Emphasis"/>
        </w:rPr>
        <w:t xml:space="preserve">Vigna trilobata </w:t>
      </w:r>
      <w:r>
        <w:rPr>
          <w:rStyle w:val="Emphasis"/>
          <w:i w:val="0"/>
          <w:iCs w:val="0"/>
        </w:rPr>
        <w:t>Linn.)</w:t>
      </w:r>
      <w:r>
        <w:t>.</w:t>
      </w:r>
    </w:p>
    <w:p w14:paraId="70D7CF48" w14:textId="77777777" w:rsidR="00E16090" w:rsidRPr="003844E4" w:rsidRDefault="00E16090" w:rsidP="00E16090">
      <w:pPr>
        <w:spacing w:after="0" w:line="240" w:lineRule="auto"/>
        <w:rPr>
          <w:rFonts w:ascii="Times New Roman" w:hAnsi="Times New Roman" w:cs="Times New Roman"/>
          <w:b/>
        </w:rPr>
      </w:pPr>
      <w:r w:rsidRPr="003844E4">
        <w:rPr>
          <w:rFonts w:ascii="Times New Roman" w:hAnsi="Times New Roman" w:cs="Times New Roman"/>
          <w:b/>
        </w:rPr>
        <w:t>Declaration of AI Use</w:t>
      </w:r>
    </w:p>
    <w:p w14:paraId="2237FDF6" w14:textId="77777777" w:rsidR="00E16090" w:rsidRPr="003844E4" w:rsidRDefault="00E16090" w:rsidP="00E16090">
      <w:pPr>
        <w:spacing w:after="0" w:line="240" w:lineRule="auto"/>
        <w:rPr>
          <w:rFonts w:ascii="Times New Roman" w:hAnsi="Times New Roman" w:cs="Times New Roman"/>
          <w:b/>
        </w:rPr>
      </w:pPr>
    </w:p>
    <w:p w14:paraId="59168322" w14:textId="77777777" w:rsidR="00E16090" w:rsidRPr="003844E4" w:rsidRDefault="00E16090" w:rsidP="00E16090">
      <w:pPr>
        <w:spacing w:after="0" w:line="240" w:lineRule="auto"/>
        <w:rPr>
          <w:rFonts w:ascii="Times New Roman" w:hAnsi="Times New Roman" w:cs="Times New Roman"/>
          <w:b/>
        </w:rPr>
      </w:pPr>
    </w:p>
    <w:p w14:paraId="4FB1951B" w14:textId="77777777" w:rsidR="00E16090" w:rsidRPr="003844E4" w:rsidRDefault="00E16090" w:rsidP="00E16090">
      <w:pPr>
        <w:spacing w:after="0" w:line="240" w:lineRule="auto"/>
        <w:rPr>
          <w:rFonts w:ascii="Times New Roman" w:hAnsi="Times New Roman" w:cs="Times New Roman"/>
          <w:b/>
        </w:rPr>
      </w:pPr>
    </w:p>
    <w:p w14:paraId="6AB1F9E8" w14:textId="77777777" w:rsidR="00E16090" w:rsidRPr="003844E4" w:rsidRDefault="00E16090" w:rsidP="00E16090">
      <w:pPr>
        <w:pStyle w:val="NormalWeb"/>
        <w:jc w:val="both"/>
        <w:rPr>
          <w:b/>
          <w:bCs/>
        </w:rPr>
      </w:pPr>
      <w:r>
        <w:rPr>
          <w:rFonts w:ascii="Arial" w:hAnsi="Arial" w:cs="Arial"/>
          <w:sz w:val="20"/>
          <w:szCs w:val="20"/>
        </w:rPr>
        <w:t xml:space="preserve">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w:t>
      </w:r>
      <w:r>
        <w:rPr>
          <w:rFonts w:ascii="Arial" w:hAnsi="Arial" w:cs="Arial"/>
          <w:sz w:val="20"/>
          <w:szCs w:val="20"/>
        </w:rPr>
        <w:lastRenderedPageBreak/>
        <w:t>revision. The author(s) accept full responsibility for the accuracy, integrity, and final content of the manuscript</w:t>
      </w:r>
      <w:r>
        <w:rPr>
          <w:rFonts w:ascii="Arial" w:hAnsi="Arial" w:cs="Arial"/>
          <w:sz w:val="20"/>
          <w:szCs w:val="20"/>
          <w:highlight w:val="yellow"/>
        </w:rPr>
        <w:t>.</w:t>
      </w:r>
    </w:p>
    <w:p w14:paraId="48CD35F6" w14:textId="77777777" w:rsidR="00B569B1" w:rsidRDefault="00321CE4" w:rsidP="00321CE4">
      <w:pPr>
        <w:pStyle w:val="NormalWeb"/>
        <w:rPr>
          <w:b/>
          <w:bCs/>
        </w:rPr>
      </w:pPr>
      <w:r w:rsidRPr="003844E4">
        <w:t xml:space="preserve"> </w:t>
      </w:r>
      <w:r w:rsidR="00B569B1" w:rsidRPr="003844E4">
        <w:rPr>
          <w:b/>
          <w:bCs/>
        </w:rPr>
        <w:t>References</w:t>
      </w:r>
    </w:p>
    <w:p w14:paraId="188459F4" w14:textId="18AD584B" w:rsidR="0083681A" w:rsidRPr="005E0BF1" w:rsidRDefault="0083681A" w:rsidP="0083681A">
      <w:pPr>
        <w:spacing w:before="100" w:beforeAutospacing="1" w:after="100" w:afterAutospacing="1" w:line="240" w:lineRule="auto"/>
        <w:rPr>
          <w:rFonts w:ascii="Times New Roman" w:eastAsia="Times New Roman" w:hAnsi="Times New Roman" w:cs="Times New Roman"/>
          <w:sz w:val="24"/>
          <w:szCs w:val="24"/>
          <w:lang w:val="en-US"/>
        </w:rPr>
      </w:pPr>
      <w:r w:rsidRPr="005E0BF1">
        <w:rPr>
          <w:rFonts w:ascii="Times New Roman" w:eastAsia="Times New Roman" w:hAnsi="Times New Roman" w:cs="Times New Roman"/>
          <w:sz w:val="24"/>
          <w:szCs w:val="24"/>
          <w:lang w:val="en-US"/>
        </w:rPr>
        <w:t xml:space="preserve">Gökbulut, A. (2021). High performance thin layer chromatography (HPTLC) for the investigation of medicinal plants. </w:t>
      </w:r>
      <w:r w:rsidRPr="005E0BF1">
        <w:rPr>
          <w:rFonts w:ascii="Times New Roman" w:eastAsia="Times New Roman" w:hAnsi="Times New Roman" w:cs="Times New Roman"/>
          <w:i/>
          <w:iCs/>
          <w:sz w:val="24"/>
          <w:szCs w:val="24"/>
          <w:lang w:val="en-US"/>
        </w:rPr>
        <w:t>Current Analytical Chemistry, 17</w:t>
      </w:r>
      <w:r w:rsidRPr="005E0BF1">
        <w:rPr>
          <w:rFonts w:ascii="Times New Roman" w:eastAsia="Times New Roman" w:hAnsi="Times New Roman" w:cs="Times New Roman"/>
          <w:sz w:val="24"/>
          <w:szCs w:val="24"/>
          <w:lang w:val="en-US"/>
        </w:rPr>
        <w:t xml:space="preserve">(9), 1252–1259. </w:t>
      </w:r>
      <w:hyperlink r:id="rId17" w:history="1">
        <w:r w:rsidRPr="005E0BF1">
          <w:rPr>
            <w:rFonts w:ascii="Times New Roman" w:eastAsia="Times New Roman" w:hAnsi="Times New Roman" w:cs="Times New Roman"/>
            <w:color w:val="0000FF"/>
            <w:sz w:val="24"/>
            <w:szCs w:val="24"/>
            <w:u w:val="single"/>
            <w:lang w:val="en-US"/>
          </w:rPr>
          <w:t>https://doi.org/10.2174/1573411016999200602124813</w:t>
        </w:r>
      </w:hyperlink>
      <w:r w:rsidRPr="005E0BF1">
        <w:rPr>
          <w:rFonts w:ascii="Times New Roman" w:eastAsia="Times New Roman" w:hAnsi="Times New Roman" w:cs="Times New Roman"/>
          <w:sz w:val="24"/>
          <w:szCs w:val="24"/>
          <w:lang w:val="en-US"/>
        </w:rPr>
        <w:br/>
      </w:r>
    </w:p>
    <w:p w14:paraId="287BA2DC" w14:textId="77777777" w:rsidR="0083681A" w:rsidRPr="0083681A" w:rsidRDefault="0083681A" w:rsidP="0083681A">
      <w:pPr>
        <w:spacing w:before="100" w:beforeAutospacing="1" w:after="100" w:afterAutospacing="1" w:line="240" w:lineRule="auto"/>
        <w:rPr>
          <w:rFonts w:ascii="Times New Roman" w:eastAsia="Times New Roman" w:hAnsi="Times New Roman" w:cs="Times New Roman"/>
          <w:sz w:val="24"/>
          <w:szCs w:val="24"/>
          <w:lang w:val="en-US"/>
        </w:rPr>
      </w:pPr>
      <w:r w:rsidRPr="0083681A">
        <w:rPr>
          <w:rFonts w:ascii="Times New Roman" w:eastAsia="Times New Roman" w:hAnsi="Times New Roman" w:cs="Times New Roman"/>
          <w:sz w:val="24"/>
          <w:szCs w:val="24"/>
          <w:lang w:val="en-US"/>
        </w:rPr>
        <w:t xml:space="preserve">Balekundri, A., &amp; Mannur, V. (2020). Quality control of the traditional herbs and herbal products: A review. </w:t>
      </w:r>
      <w:r w:rsidRPr="0083681A">
        <w:rPr>
          <w:rFonts w:ascii="Times New Roman" w:eastAsia="Times New Roman" w:hAnsi="Times New Roman" w:cs="Times New Roman"/>
          <w:i/>
          <w:iCs/>
          <w:sz w:val="24"/>
          <w:szCs w:val="24"/>
          <w:lang w:val="en-US"/>
        </w:rPr>
        <w:t>Future Journal of Pharmaceutical Sciences, 6</w:t>
      </w:r>
      <w:r w:rsidRPr="0083681A">
        <w:rPr>
          <w:rFonts w:ascii="Times New Roman" w:eastAsia="Times New Roman" w:hAnsi="Times New Roman" w:cs="Times New Roman"/>
          <w:sz w:val="24"/>
          <w:szCs w:val="24"/>
          <w:lang w:val="en-US"/>
        </w:rPr>
        <w:t xml:space="preserve">, Article 67. </w:t>
      </w:r>
      <w:hyperlink r:id="rId18" w:history="1">
        <w:r w:rsidRPr="0083681A">
          <w:rPr>
            <w:rFonts w:ascii="Times New Roman" w:eastAsia="Times New Roman" w:hAnsi="Times New Roman" w:cs="Times New Roman"/>
            <w:color w:val="0000FF"/>
            <w:sz w:val="24"/>
            <w:szCs w:val="24"/>
            <w:u w:val="single"/>
            <w:lang w:val="en-US"/>
          </w:rPr>
          <w:t>https://doi.org/10.1186/s43094-020-00091-5</w:t>
        </w:r>
      </w:hyperlink>
    </w:p>
    <w:p w14:paraId="2A2394C2" w14:textId="77777777" w:rsidR="0083681A" w:rsidRPr="0083681A" w:rsidRDefault="0083681A" w:rsidP="0083681A">
      <w:pPr>
        <w:spacing w:before="100" w:beforeAutospacing="1" w:after="100" w:afterAutospacing="1" w:line="240" w:lineRule="auto"/>
        <w:rPr>
          <w:rFonts w:ascii="Times New Roman" w:eastAsia="Times New Roman" w:hAnsi="Times New Roman" w:cs="Times New Roman"/>
          <w:sz w:val="24"/>
          <w:szCs w:val="24"/>
          <w:lang w:val="en-US"/>
        </w:rPr>
      </w:pPr>
      <w:r w:rsidRPr="0083681A">
        <w:rPr>
          <w:rFonts w:ascii="Times New Roman" w:eastAsia="Times New Roman" w:hAnsi="Times New Roman" w:cs="Times New Roman"/>
          <w:sz w:val="24"/>
          <w:szCs w:val="24"/>
          <w:lang w:val="en-US"/>
        </w:rPr>
        <w:t xml:space="preserve">Gökbulut, A. (2021). High performance thin layer chromatography (HPTLC) for the investigation of medicinal plants. </w:t>
      </w:r>
      <w:r w:rsidRPr="0083681A">
        <w:rPr>
          <w:rFonts w:ascii="Times New Roman" w:eastAsia="Times New Roman" w:hAnsi="Times New Roman" w:cs="Times New Roman"/>
          <w:i/>
          <w:iCs/>
          <w:sz w:val="24"/>
          <w:szCs w:val="24"/>
          <w:lang w:val="en-US"/>
        </w:rPr>
        <w:t>Current Analytical Chemistry, 17</w:t>
      </w:r>
      <w:r w:rsidRPr="0083681A">
        <w:rPr>
          <w:rFonts w:ascii="Times New Roman" w:eastAsia="Times New Roman" w:hAnsi="Times New Roman" w:cs="Times New Roman"/>
          <w:sz w:val="24"/>
          <w:szCs w:val="24"/>
          <w:lang w:val="en-US"/>
        </w:rPr>
        <w:t xml:space="preserve">(9), 1252–1259. </w:t>
      </w:r>
      <w:hyperlink r:id="rId19" w:history="1">
        <w:r w:rsidRPr="0083681A">
          <w:rPr>
            <w:rFonts w:ascii="Times New Roman" w:eastAsia="Times New Roman" w:hAnsi="Times New Roman" w:cs="Times New Roman"/>
            <w:color w:val="0000FF"/>
            <w:sz w:val="24"/>
            <w:szCs w:val="24"/>
            <w:u w:val="single"/>
            <w:lang w:val="en-US"/>
          </w:rPr>
          <w:t>https://doi.org/10.2174/1573411016999200602124813</w:t>
        </w:r>
      </w:hyperlink>
    </w:p>
    <w:p w14:paraId="320EB137" w14:textId="77777777" w:rsidR="0083681A" w:rsidRPr="0083681A" w:rsidRDefault="0083681A" w:rsidP="0083681A">
      <w:pPr>
        <w:spacing w:before="100" w:beforeAutospacing="1" w:after="100" w:afterAutospacing="1" w:line="240" w:lineRule="auto"/>
        <w:rPr>
          <w:rFonts w:ascii="Times New Roman" w:eastAsia="Times New Roman" w:hAnsi="Times New Roman" w:cs="Times New Roman"/>
          <w:sz w:val="24"/>
          <w:szCs w:val="24"/>
          <w:lang w:val="en-US"/>
        </w:rPr>
      </w:pPr>
      <w:r w:rsidRPr="0083681A">
        <w:rPr>
          <w:rFonts w:ascii="Times New Roman" w:eastAsia="Times New Roman" w:hAnsi="Times New Roman" w:cs="Times New Roman"/>
          <w:sz w:val="24"/>
          <w:szCs w:val="24"/>
          <w:lang w:val="en-US"/>
        </w:rPr>
        <w:t xml:space="preserve">Gore, N. T., Shaikh, S. S., Sule, V. A., Umdale, S. D., Mundada, P. S., Gaikwad, N. B., &amp; Ahire, M. L. (2024). Understanding the nutritional profile of </w:t>
      </w:r>
      <w:r w:rsidRPr="0083681A">
        <w:rPr>
          <w:rFonts w:ascii="Times New Roman" w:eastAsia="Times New Roman" w:hAnsi="Times New Roman" w:cs="Times New Roman"/>
          <w:i/>
          <w:iCs/>
          <w:sz w:val="24"/>
          <w:szCs w:val="24"/>
          <w:lang w:val="en-US"/>
        </w:rPr>
        <w:t>Vigna trilobata</w:t>
      </w:r>
      <w:r w:rsidRPr="0083681A">
        <w:rPr>
          <w:rFonts w:ascii="Times New Roman" w:eastAsia="Times New Roman" w:hAnsi="Times New Roman" w:cs="Times New Roman"/>
          <w:sz w:val="24"/>
          <w:szCs w:val="24"/>
          <w:lang w:val="en-US"/>
        </w:rPr>
        <w:t xml:space="preserve">: A lesser-known, underexplored grain legume. </w:t>
      </w:r>
      <w:r w:rsidRPr="0083681A">
        <w:rPr>
          <w:rFonts w:ascii="Times New Roman" w:eastAsia="Times New Roman" w:hAnsi="Times New Roman" w:cs="Times New Roman"/>
          <w:i/>
          <w:iCs/>
          <w:sz w:val="24"/>
          <w:szCs w:val="24"/>
          <w:lang w:val="en-US"/>
        </w:rPr>
        <w:t>Food and Humanity, 3</w:t>
      </w:r>
      <w:r w:rsidRPr="0083681A">
        <w:rPr>
          <w:rFonts w:ascii="Times New Roman" w:eastAsia="Times New Roman" w:hAnsi="Times New Roman" w:cs="Times New Roman"/>
          <w:sz w:val="24"/>
          <w:szCs w:val="24"/>
          <w:lang w:val="en-US"/>
        </w:rPr>
        <w:t xml:space="preserve">, 100343. </w:t>
      </w:r>
      <w:hyperlink r:id="rId20" w:history="1">
        <w:r w:rsidRPr="0083681A">
          <w:rPr>
            <w:rFonts w:ascii="Times New Roman" w:eastAsia="Times New Roman" w:hAnsi="Times New Roman" w:cs="Times New Roman"/>
            <w:color w:val="0000FF"/>
            <w:sz w:val="24"/>
            <w:szCs w:val="24"/>
            <w:u w:val="single"/>
            <w:lang w:val="en-US"/>
          </w:rPr>
          <w:t>https://doi.org/10.1016/j.foohum.2024.100343</w:t>
        </w:r>
      </w:hyperlink>
    </w:p>
    <w:p w14:paraId="78B1638B" w14:textId="77777777" w:rsidR="0083681A" w:rsidRPr="0083681A" w:rsidRDefault="0083681A" w:rsidP="0083681A">
      <w:pPr>
        <w:spacing w:before="100" w:beforeAutospacing="1" w:after="100" w:afterAutospacing="1" w:line="240" w:lineRule="auto"/>
        <w:rPr>
          <w:rFonts w:ascii="Times New Roman" w:eastAsia="Times New Roman" w:hAnsi="Times New Roman" w:cs="Times New Roman"/>
          <w:sz w:val="24"/>
          <w:szCs w:val="24"/>
          <w:lang w:val="en-US"/>
        </w:rPr>
      </w:pPr>
      <w:r w:rsidRPr="0083681A">
        <w:rPr>
          <w:rFonts w:ascii="Times New Roman" w:eastAsia="Times New Roman" w:hAnsi="Times New Roman" w:cs="Times New Roman"/>
          <w:sz w:val="24"/>
          <w:szCs w:val="24"/>
          <w:lang w:val="en-US"/>
        </w:rPr>
        <w:t xml:space="preserve">Kaundal, R., &amp; Kumar, D. (2025). Current demands for standardization of Indian medicinal plants: A critical review. </w:t>
      </w:r>
      <w:r w:rsidRPr="0083681A">
        <w:rPr>
          <w:rFonts w:ascii="Times New Roman" w:eastAsia="Times New Roman" w:hAnsi="Times New Roman" w:cs="Times New Roman"/>
          <w:i/>
          <w:iCs/>
          <w:sz w:val="24"/>
          <w:szCs w:val="24"/>
          <w:lang w:val="en-US"/>
        </w:rPr>
        <w:t>Medicine in Drug Discovery, 27</w:t>
      </w:r>
      <w:r w:rsidRPr="0083681A">
        <w:rPr>
          <w:rFonts w:ascii="Times New Roman" w:eastAsia="Times New Roman" w:hAnsi="Times New Roman" w:cs="Times New Roman"/>
          <w:sz w:val="24"/>
          <w:szCs w:val="24"/>
          <w:lang w:val="en-US"/>
        </w:rPr>
        <w:t xml:space="preserve">, 100211. </w:t>
      </w:r>
      <w:hyperlink r:id="rId21" w:history="1">
        <w:r w:rsidRPr="0083681A">
          <w:rPr>
            <w:rFonts w:ascii="Times New Roman" w:eastAsia="Times New Roman" w:hAnsi="Times New Roman" w:cs="Times New Roman"/>
            <w:color w:val="0000FF"/>
            <w:sz w:val="24"/>
            <w:szCs w:val="24"/>
            <w:u w:val="single"/>
            <w:lang w:val="en-US"/>
          </w:rPr>
          <w:t>https://doi.org/10.1016/j.medidd.2025.100211</w:t>
        </w:r>
      </w:hyperlink>
    </w:p>
    <w:p w14:paraId="4844C029" w14:textId="53A977F9" w:rsidR="0083681A" w:rsidRPr="0083681A" w:rsidRDefault="0083681A" w:rsidP="0083681A">
      <w:pPr>
        <w:spacing w:before="100" w:beforeAutospacing="1" w:after="100" w:afterAutospacing="1" w:line="240" w:lineRule="auto"/>
        <w:rPr>
          <w:rFonts w:ascii="Times New Roman" w:eastAsia="Times New Roman" w:hAnsi="Times New Roman" w:cs="Times New Roman"/>
          <w:sz w:val="24"/>
          <w:szCs w:val="24"/>
          <w:lang w:val="en-US"/>
        </w:rPr>
      </w:pPr>
      <w:r w:rsidRPr="0083681A">
        <w:rPr>
          <w:rFonts w:ascii="Times New Roman" w:eastAsia="Times New Roman" w:hAnsi="Times New Roman" w:cs="Times New Roman"/>
          <w:sz w:val="24"/>
          <w:szCs w:val="24"/>
          <w:lang w:val="en-US"/>
        </w:rPr>
        <w:t xml:space="preserve">Kokate, C. K., Purohit, A. P., &amp; Gokhale, S. B. (2018). </w:t>
      </w:r>
      <w:r w:rsidRPr="0083681A">
        <w:rPr>
          <w:rFonts w:ascii="Times New Roman" w:eastAsia="Times New Roman" w:hAnsi="Times New Roman" w:cs="Times New Roman"/>
          <w:i/>
          <w:iCs/>
          <w:sz w:val="24"/>
          <w:szCs w:val="24"/>
          <w:lang w:val="en-US"/>
        </w:rPr>
        <w:t>Pharmacognosy</w:t>
      </w:r>
      <w:r w:rsidRPr="0083681A">
        <w:rPr>
          <w:rFonts w:ascii="Times New Roman" w:eastAsia="Times New Roman" w:hAnsi="Times New Roman" w:cs="Times New Roman"/>
          <w:sz w:val="24"/>
          <w:szCs w:val="24"/>
          <w:lang w:val="en-US"/>
        </w:rPr>
        <w:t xml:space="preserve"> (55th ed., Appendix VII, pp. A22–A27). Nirali Prakashan. </w:t>
      </w:r>
    </w:p>
    <w:p w14:paraId="108CB7B2" w14:textId="77777777" w:rsidR="0083681A" w:rsidRPr="0083681A" w:rsidRDefault="0083681A" w:rsidP="0083681A">
      <w:pPr>
        <w:spacing w:before="100" w:beforeAutospacing="1" w:after="100" w:afterAutospacing="1" w:line="240" w:lineRule="auto"/>
        <w:rPr>
          <w:rFonts w:ascii="Times New Roman" w:eastAsia="Times New Roman" w:hAnsi="Times New Roman" w:cs="Times New Roman"/>
          <w:sz w:val="24"/>
          <w:szCs w:val="24"/>
          <w:lang w:val="en-US"/>
        </w:rPr>
      </w:pPr>
      <w:r w:rsidRPr="0083681A">
        <w:rPr>
          <w:rFonts w:ascii="Times New Roman" w:eastAsia="Times New Roman" w:hAnsi="Times New Roman" w:cs="Times New Roman"/>
          <w:sz w:val="24"/>
          <w:szCs w:val="24"/>
          <w:lang w:val="en-US"/>
        </w:rPr>
        <w:t xml:space="preserve">Li, Y., Yang, P., Qing, H., Xie, Z., Zhou, K., Sun, L., Chen, M., Wang, M., &amp; Ren, X. (2025). A multimodal strategy for quality control and botanical origin traceability of </w:t>
      </w:r>
      <w:r w:rsidRPr="0083681A">
        <w:rPr>
          <w:rFonts w:ascii="Times New Roman" w:eastAsia="Times New Roman" w:hAnsi="Times New Roman" w:cs="Times New Roman"/>
          <w:i/>
          <w:iCs/>
          <w:sz w:val="24"/>
          <w:szCs w:val="24"/>
          <w:lang w:val="en-US"/>
        </w:rPr>
        <w:t>Codonopsis Radix</w:t>
      </w:r>
      <w:r w:rsidRPr="0083681A">
        <w:rPr>
          <w:rFonts w:ascii="Times New Roman" w:eastAsia="Times New Roman" w:hAnsi="Times New Roman" w:cs="Times New Roman"/>
          <w:sz w:val="24"/>
          <w:szCs w:val="24"/>
          <w:lang w:val="en-US"/>
        </w:rPr>
        <w:t xml:space="preserve"> based on HPLC fingerprints with chemometric analysis. </w:t>
      </w:r>
      <w:r w:rsidRPr="0083681A">
        <w:rPr>
          <w:rFonts w:ascii="Times New Roman" w:eastAsia="Times New Roman" w:hAnsi="Times New Roman" w:cs="Times New Roman"/>
          <w:i/>
          <w:iCs/>
          <w:sz w:val="24"/>
          <w:szCs w:val="24"/>
          <w:lang w:val="en-US"/>
        </w:rPr>
        <w:t>Biomedical Chromatography, 39</w:t>
      </w:r>
      <w:r w:rsidRPr="0083681A">
        <w:rPr>
          <w:rFonts w:ascii="Times New Roman" w:eastAsia="Times New Roman" w:hAnsi="Times New Roman" w:cs="Times New Roman"/>
          <w:sz w:val="24"/>
          <w:szCs w:val="24"/>
          <w:lang w:val="en-US"/>
        </w:rPr>
        <w:t xml:space="preserve">(10), e70185. </w:t>
      </w:r>
      <w:hyperlink r:id="rId22" w:history="1">
        <w:r w:rsidRPr="0083681A">
          <w:rPr>
            <w:rFonts w:ascii="Times New Roman" w:eastAsia="Times New Roman" w:hAnsi="Times New Roman" w:cs="Times New Roman"/>
            <w:color w:val="0000FF"/>
            <w:sz w:val="24"/>
            <w:szCs w:val="24"/>
            <w:u w:val="single"/>
            <w:lang w:val="en-US"/>
          </w:rPr>
          <w:t>https://doi.org/10.1002/bmc.70185</w:t>
        </w:r>
      </w:hyperlink>
    </w:p>
    <w:p w14:paraId="016FD021" w14:textId="06820EBF" w:rsidR="0083681A" w:rsidRPr="0083681A" w:rsidRDefault="0083681A" w:rsidP="0083681A">
      <w:pPr>
        <w:spacing w:before="100" w:beforeAutospacing="1" w:after="100" w:afterAutospacing="1" w:line="240" w:lineRule="auto"/>
        <w:rPr>
          <w:rFonts w:ascii="Times New Roman" w:eastAsia="Times New Roman" w:hAnsi="Times New Roman" w:cs="Times New Roman"/>
          <w:sz w:val="24"/>
          <w:szCs w:val="24"/>
          <w:lang w:val="en-US"/>
        </w:rPr>
      </w:pPr>
      <w:r w:rsidRPr="0083681A">
        <w:rPr>
          <w:rFonts w:ascii="Times New Roman" w:eastAsia="Times New Roman" w:hAnsi="Times New Roman" w:cs="Times New Roman"/>
          <w:sz w:val="24"/>
          <w:szCs w:val="24"/>
          <w:lang w:val="en-US"/>
        </w:rPr>
        <w:t xml:space="preserve">Ministry of Health and Family Welfare, Government of India. (1999). </w:t>
      </w:r>
      <w:r w:rsidRPr="0083681A">
        <w:rPr>
          <w:rFonts w:ascii="Times New Roman" w:eastAsia="Times New Roman" w:hAnsi="Times New Roman" w:cs="Times New Roman"/>
          <w:i/>
          <w:iCs/>
          <w:sz w:val="24"/>
          <w:szCs w:val="24"/>
          <w:lang w:val="en-US"/>
        </w:rPr>
        <w:t>The Ayurvedic pharmacopoeia of India</w:t>
      </w:r>
      <w:r w:rsidRPr="0083681A">
        <w:rPr>
          <w:rFonts w:ascii="Times New Roman" w:eastAsia="Times New Roman" w:hAnsi="Times New Roman" w:cs="Times New Roman"/>
          <w:sz w:val="24"/>
          <w:szCs w:val="24"/>
          <w:lang w:val="en-US"/>
        </w:rPr>
        <w:t xml:space="preserve"> (Part I, Vol. II). Controller of Publications. </w:t>
      </w:r>
    </w:p>
    <w:p w14:paraId="399038C3" w14:textId="276C72EF" w:rsidR="0083681A" w:rsidRPr="0083681A" w:rsidRDefault="0083681A" w:rsidP="0083681A">
      <w:pPr>
        <w:spacing w:before="100" w:beforeAutospacing="1" w:after="100" w:afterAutospacing="1" w:line="240" w:lineRule="auto"/>
        <w:rPr>
          <w:rFonts w:ascii="Times New Roman" w:eastAsia="Times New Roman" w:hAnsi="Times New Roman" w:cs="Times New Roman"/>
          <w:sz w:val="24"/>
          <w:szCs w:val="24"/>
          <w:lang w:val="en-US"/>
        </w:rPr>
      </w:pPr>
      <w:r w:rsidRPr="0083681A">
        <w:rPr>
          <w:rFonts w:ascii="Times New Roman" w:eastAsia="Times New Roman" w:hAnsi="Times New Roman" w:cs="Times New Roman"/>
          <w:sz w:val="24"/>
          <w:szCs w:val="24"/>
          <w:lang w:val="en-US"/>
        </w:rPr>
        <w:t xml:space="preserve">Ministry of Health and Family Welfare, Government of India. (2008). </w:t>
      </w:r>
      <w:r w:rsidRPr="0083681A">
        <w:rPr>
          <w:rFonts w:ascii="Times New Roman" w:eastAsia="Times New Roman" w:hAnsi="Times New Roman" w:cs="Times New Roman"/>
          <w:i/>
          <w:iCs/>
          <w:sz w:val="24"/>
          <w:szCs w:val="24"/>
          <w:lang w:val="en-US"/>
        </w:rPr>
        <w:t>The Ayurvedic pharmacopoeia of India</w:t>
      </w:r>
      <w:r w:rsidRPr="0083681A">
        <w:rPr>
          <w:rFonts w:ascii="Times New Roman" w:eastAsia="Times New Roman" w:hAnsi="Times New Roman" w:cs="Times New Roman"/>
          <w:sz w:val="24"/>
          <w:szCs w:val="24"/>
          <w:lang w:val="en-US"/>
        </w:rPr>
        <w:t xml:space="preserve"> (Part I, Vol. VI, Appendix 2: Tests and determinations). Department of AYUSH. </w:t>
      </w:r>
    </w:p>
    <w:p w14:paraId="6CDE6236" w14:textId="77777777" w:rsidR="0083681A" w:rsidRPr="0083681A" w:rsidRDefault="0083681A" w:rsidP="0083681A">
      <w:pPr>
        <w:spacing w:before="100" w:beforeAutospacing="1" w:after="100" w:afterAutospacing="1" w:line="240" w:lineRule="auto"/>
        <w:rPr>
          <w:rFonts w:ascii="Times New Roman" w:eastAsia="Times New Roman" w:hAnsi="Times New Roman" w:cs="Times New Roman"/>
          <w:sz w:val="24"/>
          <w:szCs w:val="24"/>
          <w:lang w:val="en-US"/>
        </w:rPr>
      </w:pPr>
      <w:r w:rsidRPr="0083681A">
        <w:rPr>
          <w:rFonts w:ascii="Times New Roman" w:eastAsia="Times New Roman" w:hAnsi="Times New Roman" w:cs="Times New Roman"/>
          <w:sz w:val="24"/>
          <w:szCs w:val="24"/>
          <w:lang w:val="en-US"/>
        </w:rPr>
        <w:t xml:space="preserve">Noviana, E., Indrayanto, G., &amp; Rohman, A. (2022). Advances in fingerprint analysis for standardization and quality control of herbal medicines. </w:t>
      </w:r>
      <w:r w:rsidRPr="0083681A">
        <w:rPr>
          <w:rFonts w:ascii="Times New Roman" w:eastAsia="Times New Roman" w:hAnsi="Times New Roman" w:cs="Times New Roman"/>
          <w:i/>
          <w:iCs/>
          <w:sz w:val="24"/>
          <w:szCs w:val="24"/>
          <w:lang w:val="en-US"/>
        </w:rPr>
        <w:t>Frontiers in Pharmacology, 13</w:t>
      </w:r>
      <w:r w:rsidRPr="0083681A">
        <w:rPr>
          <w:rFonts w:ascii="Times New Roman" w:eastAsia="Times New Roman" w:hAnsi="Times New Roman" w:cs="Times New Roman"/>
          <w:sz w:val="24"/>
          <w:szCs w:val="24"/>
          <w:lang w:val="en-US"/>
        </w:rPr>
        <w:t xml:space="preserve">, 853023. </w:t>
      </w:r>
      <w:hyperlink r:id="rId23" w:history="1">
        <w:r w:rsidRPr="0083681A">
          <w:rPr>
            <w:rFonts w:ascii="Times New Roman" w:eastAsia="Times New Roman" w:hAnsi="Times New Roman" w:cs="Times New Roman"/>
            <w:color w:val="0000FF"/>
            <w:sz w:val="24"/>
            <w:szCs w:val="24"/>
            <w:u w:val="single"/>
            <w:lang w:val="en-US"/>
          </w:rPr>
          <w:t>https://doi.org/10.3389/fphar.2022.853023</w:t>
        </w:r>
      </w:hyperlink>
    </w:p>
    <w:p w14:paraId="2A6AA0F6" w14:textId="77777777" w:rsidR="0083681A" w:rsidRPr="0083681A" w:rsidRDefault="0083681A" w:rsidP="0083681A">
      <w:pPr>
        <w:spacing w:before="100" w:beforeAutospacing="1" w:after="100" w:afterAutospacing="1" w:line="240" w:lineRule="auto"/>
        <w:rPr>
          <w:rFonts w:ascii="Times New Roman" w:eastAsia="Times New Roman" w:hAnsi="Times New Roman" w:cs="Times New Roman"/>
          <w:sz w:val="24"/>
          <w:szCs w:val="24"/>
          <w:lang w:val="en-US"/>
        </w:rPr>
      </w:pPr>
      <w:r w:rsidRPr="0083681A">
        <w:rPr>
          <w:rFonts w:ascii="Times New Roman" w:eastAsia="Times New Roman" w:hAnsi="Times New Roman" w:cs="Times New Roman"/>
          <w:sz w:val="24"/>
          <w:szCs w:val="24"/>
          <w:lang w:val="en-US"/>
        </w:rPr>
        <w:t>Parihar, V., Sushma, &amp; Behera, B. (2026). Comprehensive standardization and quality evaluation of Katurohini (</w:t>
      </w:r>
      <w:r w:rsidRPr="0083681A">
        <w:rPr>
          <w:rFonts w:ascii="Times New Roman" w:eastAsia="Times New Roman" w:hAnsi="Times New Roman" w:cs="Times New Roman"/>
          <w:i/>
          <w:iCs/>
          <w:sz w:val="24"/>
          <w:szCs w:val="24"/>
          <w:lang w:val="en-US"/>
        </w:rPr>
        <w:t>Picrorhiza kurroa</w:t>
      </w:r>
      <w:r w:rsidRPr="0083681A">
        <w:rPr>
          <w:rFonts w:ascii="Times New Roman" w:eastAsia="Times New Roman" w:hAnsi="Times New Roman" w:cs="Times New Roman"/>
          <w:sz w:val="24"/>
          <w:szCs w:val="24"/>
          <w:lang w:val="en-US"/>
        </w:rPr>
        <w:t xml:space="preserve"> Royle ex Benth.) rhizome through pharmacognostical, physicochemical, phytochemical and HPTLC studies. </w:t>
      </w:r>
      <w:r w:rsidRPr="0083681A">
        <w:rPr>
          <w:rFonts w:ascii="Times New Roman" w:eastAsia="Times New Roman" w:hAnsi="Times New Roman" w:cs="Times New Roman"/>
          <w:i/>
          <w:iCs/>
          <w:sz w:val="24"/>
          <w:szCs w:val="24"/>
          <w:lang w:val="en-US"/>
        </w:rPr>
        <w:t>BIONATURE, 46</w:t>
      </w:r>
      <w:r w:rsidRPr="0083681A">
        <w:rPr>
          <w:rFonts w:ascii="Times New Roman" w:eastAsia="Times New Roman" w:hAnsi="Times New Roman" w:cs="Times New Roman"/>
          <w:sz w:val="24"/>
          <w:szCs w:val="24"/>
          <w:lang w:val="en-US"/>
        </w:rPr>
        <w:t xml:space="preserve">(2), 223–236. </w:t>
      </w:r>
      <w:hyperlink r:id="rId24" w:history="1">
        <w:r w:rsidRPr="0083681A">
          <w:rPr>
            <w:rFonts w:ascii="Times New Roman" w:eastAsia="Times New Roman" w:hAnsi="Times New Roman" w:cs="Times New Roman"/>
            <w:color w:val="0000FF"/>
            <w:sz w:val="24"/>
            <w:szCs w:val="24"/>
            <w:u w:val="single"/>
            <w:lang w:val="en-US"/>
          </w:rPr>
          <w:t>https://doi.org/10.56557/bn/2026/v46i22138</w:t>
        </w:r>
      </w:hyperlink>
    </w:p>
    <w:p w14:paraId="57ADD435" w14:textId="77777777" w:rsidR="0083681A" w:rsidRPr="0083681A" w:rsidRDefault="0083681A" w:rsidP="0083681A">
      <w:pPr>
        <w:spacing w:before="100" w:beforeAutospacing="1" w:after="100" w:afterAutospacing="1" w:line="240" w:lineRule="auto"/>
        <w:rPr>
          <w:rFonts w:ascii="Times New Roman" w:eastAsia="Times New Roman" w:hAnsi="Times New Roman" w:cs="Times New Roman"/>
          <w:sz w:val="24"/>
          <w:szCs w:val="24"/>
          <w:lang w:val="en-US"/>
        </w:rPr>
      </w:pPr>
      <w:r w:rsidRPr="0083681A">
        <w:rPr>
          <w:rFonts w:ascii="Times New Roman" w:eastAsia="Times New Roman" w:hAnsi="Times New Roman" w:cs="Times New Roman"/>
          <w:sz w:val="24"/>
          <w:szCs w:val="24"/>
          <w:lang w:val="en-US"/>
        </w:rPr>
        <w:lastRenderedPageBreak/>
        <w:t xml:space="preserve">Rashid, S., Zafar, M., Ahmad, M., Lone, F. A., Shaheen, S., Sultana, S., Ashfaq, S., &amp; Shinwari, M. I. (2018). Microscopic investigations and pharmacognostic techniques used for the standardization of herbal drug </w:t>
      </w:r>
      <w:r w:rsidRPr="0083681A">
        <w:rPr>
          <w:rFonts w:ascii="Times New Roman" w:eastAsia="Times New Roman" w:hAnsi="Times New Roman" w:cs="Times New Roman"/>
          <w:i/>
          <w:iCs/>
          <w:sz w:val="24"/>
          <w:szCs w:val="24"/>
          <w:lang w:val="en-US"/>
        </w:rPr>
        <w:t>Nigella sativa</w:t>
      </w:r>
      <w:r w:rsidRPr="0083681A">
        <w:rPr>
          <w:rFonts w:ascii="Times New Roman" w:eastAsia="Times New Roman" w:hAnsi="Times New Roman" w:cs="Times New Roman"/>
          <w:sz w:val="24"/>
          <w:szCs w:val="24"/>
          <w:lang w:val="en-US"/>
        </w:rPr>
        <w:t xml:space="preserve"> L. </w:t>
      </w:r>
      <w:r w:rsidRPr="0083681A">
        <w:rPr>
          <w:rFonts w:ascii="Times New Roman" w:eastAsia="Times New Roman" w:hAnsi="Times New Roman" w:cs="Times New Roman"/>
          <w:i/>
          <w:iCs/>
          <w:sz w:val="24"/>
          <w:szCs w:val="24"/>
          <w:lang w:val="en-US"/>
        </w:rPr>
        <w:t>Microscopy Research and Technique, 81</w:t>
      </w:r>
      <w:r w:rsidRPr="0083681A">
        <w:rPr>
          <w:rFonts w:ascii="Times New Roman" w:eastAsia="Times New Roman" w:hAnsi="Times New Roman" w:cs="Times New Roman"/>
          <w:sz w:val="24"/>
          <w:szCs w:val="24"/>
          <w:lang w:val="en-US"/>
        </w:rPr>
        <w:t xml:space="preserve">(12), 1443–1450. </w:t>
      </w:r>
      <w:hyperlink r:id="rId25" w:history="1">
        <w:r w:rsidRPr="0083681A">
          <w:rPr>
            <w:rFonts w:ascii="Times New Roman" w:eastAsia="Times New Roman" w:hAnsi="Times New Roman" w:cs="Times New Roman"/>
            <w:color w:val="0000FF"/>
            <w:sz w:val="24"/>
            <w:szCs w:val="24"/>
            <w:u w:val="single"/>
            <w:lang w:val="en-US"/>
          </w:rPr>
          <w:t>https://doi.org/10.1002/jemt.23110</w:t>
        </w:r>
      </w:hyperlink>
    </w:p>
    <w:p w14:paraId="42B2E319" w14:textId="77777777" w:rsidR="0083681A" w:rsidRPr="0083681A" w:rsidRDefault="0083681A" w:rsidP="0083681A">
      <w:pPr>
        <w:spacing w:before="100" w:beforeAutospacing="1" w:after="100" w:afterAutospacing="1" w:line="240" w:lineRule="auto"/>
        <w:rPr>
          <w:rFonts w:ascii="Times New Roman" w:eastAsia="Times New Roman" w:hAnsi="Times New Roman" w:cs="Times New Roman"/>
          <w:sz w:val="24"/>
          <w:szCs w:val="24"/>
          <w:lang w:val="en-US"/>
        </w:rPr>
      </w:pPr>
      <w:r w:rsidRPr="0083681A">
        <w:rPr>
          <w:rFonts w:ascii="Times New Roman" w:eastAsia="Times New Roman" w:hAnsi="Times New Roman" w:cs="Times New Roman"/>
          <w:sz w:val="24"/>
          <w:szCs w:val="24"/>
          <w:lang w:val="en-US"/>
        </w:rPr>
        <w:t xml:space="preserve">Seneviratne, G. I., &amp; Harborne, J. B. (1992). Constitutive flavonoids and induced isoflavonoids as taxonomic markers in the genus </w:t>
      </w:r>
      <w:r w:rsidRPr="0083681A">
        <w:rPr>
          <w:rFonts w:ascii="Times New Roman" w:eastAsia="Times New Roman" w:hAnsi="Times New Roman" w:cs="Times New Roman"/>
          <w:i/>
          <w:iCs/>
          <w:sz w:val="24"/>
          <w:szCs w:val="24"/>
          <w:lang w:val="en-US"/>
        </w:rPr>
        <w:t>Vigna</w:t>
      </w:r>
      <w:r w:rsidRPr="0083681A">
        <w:rPr>
          <w:rFonts w:ascii="Times New Roman" w:eastAsia="Times New Roman" w:hAnsi="Times New Roman" w:cs="Times New Roman"/>
          <w:sz w:val="24"/>
          <w:szCs w:val="24"/>
          <w:lang w:val="en-US"/>
        </w:rPr>
        <w:t xml:space="preserve">. </w:t>
      </w:r>
      <w:r w:rsidRPr="0083681A">
        <w:rPr>
          <w:rFonts w:ascii="Times New Roman" w:eastAsia="Times New Roman" w:hAnsi="Times New Roman" w:cs="Times New Roman"/>
          <w:i/>
          <w:iCs/>
          <w:sz w:val="24"/>
          <w:szCs w:val="24"/>
          <w:lang w:val="en-US"/>
        </w:rPr>
        <w:t>Biochemical Systematics and Ecology, 20</w:t>
      </w:r>
      <w:r w:rsidRPr="0083681A">
        <w:rPr>
          <w:rFonts w:ascii="Times New Roman" w:eastAsia="Times New Roman" w:hAnsi="Times New Roman" w:cs="Times New Roman"/>
          <w:sz w:val="24"/>
          <w:szCs w:val="24"/>
          <w:lang w:val="en-US"/>
        </w:rPr>
        <w:t xml:space="preserve">(5), 459–467. </w:t>
      </w:r>
      <w:hyperlink r:id="rId26" w:history="1">
        <w:r w:rsidRPr="0083681A">
          <w:rPr>
            <w:rFonts w:ascii="Times New Roman" w:eastAsia="Times New Roman" w:hAnsi="Times New Roman" w:cs="Times New Roman"/>
            <w:color w:val="0000FF"/>
            <w:sz w:val="24"/>
            <w:szCs w:val="24"/>
            <w:u w:val="single"/>
            <w:lang w:val="en-US"/>
          </w:rPr>
          <w:t>https://doi.org/10.1016/0305-1978(92)90087-T</w:t>
        </w:r>
      </w:hyperlink>
    </w:p>
    <w:p w14:paraId="63BF1ADC" w14:textId="77777777" w:rsidR="0083681A" w:rsidRPr="0083681A" w:rsidRDefault="0083681A" w:rsidP="0083681A">
      <w:pPr>
        <w:spacing w:before="100" w:beforeAutospacing="1" w:after="100" w:afterAutospacing="1" w:line="240" w:lineRule="auto"/>
        <w:rPr>
          <w:rFonts w:ascii="Times New Roman" w:eastAsia="Times New Roman" w:hAnsi="Times New Roman" w:cs="Times New Roman"/>
          <w:sz w:val="24"/>
          <w:szCs w:val="24"/>
          <w:lang w:val="en-US"/>
        </w:rPr>
      </w:pPr>
      <w:r w:rsidRPr="0083681A">
        <w:rPr>
          <w:rFonts w:ascii="Times New Roman" w:eastAsia="Times New Roman" w:hAnsi="Times New Roman" w:cs="Times New Roman"/>
          <w:sz w:val="24"/>
          <w:szCs w:val="24"/>
          <w:lang w:val="en-US"/>
        </w:rPr>
        <w:t xml:space="preserve">Shirsat, R. P. (2025). HPTLC profiling of </w:t>
      </w:r>
      <w:r w:rsidRPr="0083681A">
        <w:rPr>
          <w:rFonts w:ascii="Times New Roman" w:eastAsia="Times New Roman" w:hAnsi="Times New Roman" w:cs="Times New Roman"/>
          <w:i/>
          <w:iCs/>
          <w:sz w:val="24"/>
          <w:szCs w:val="24"/>
          <w:lang w:val="en-US"/>
        </w:rPr>
        <w:t>Hydrocotyle vulgaris</w:t>
      </w:r>
      <w:r w:rsidRPr="0083681A">
        <w:rPr>
          <w:rFonts w:ascii="Times New Roman" w:eastAsia="Times New Roman" w:hAnsi="Times New Roman" w:cs="Times New Roman"/>
          <w:sz w:val="24"/>
          <w:szCs w:val="24"/>
          <w:lang w:val="en-US"/>
        </w:rPr>
        <w:t xml:space="preserve"> L. leaves for identification of bioactive compounds. </w:t>
      </w:r>
      <w:r w:rsidRPr="0083681A">
        <w:rPr>
          <w:rFonts w:ascii="Times New Roman" w:eastAsia="Times New Roman" w:hAnsi="Times New Roman" w:cs="Times New Roman"/>
          <w:i/>
          <w:iCs/>
          <w:sz w:val="24"/>
          <w:szCs w:val="24"/>
          <w:lang w:val="en-US"/>
        </w:rPr>
        <w:t>European Journal of Medicinal Plants, 36</w:t>
      </w:r>
      <w:r w:rsidRPr="0083681A">
        <w:rPr>
          <w:rFonts w:ascii="Times New Roman" w:eastAsia="Times New Roman" w:hAnsi="Times New Roman" w:cs="Times New Roman"/>
          <w:sz w:val="24"/>
          <w:szCs w:val="24"/>
          <w:lang w:val="en-US"/>
        </w:rPr>
        <w:t xml:space="preserve">(3), 129–140. </w:t>
      </w:r>
      <w:hyperlink r:id="rId27" w:history="1">
        <w:r w:rsidRPr="0083681A">
          <w:rPr>
            <w:rFonts w:ascii="Times New Roman" w:eastAsia="Times New Roman" w:hAnsi="Times New Roman" w:cs="Times New Roman"/>
            <w:color w:val="0000FF"/>
            <w:sz w:val="24"/>
            <w:szCs w:val="24"/>
            <w:u w:val="single"/>
            <w:lang w:val="en-US"/>
          </w:rPr>
          <w:t>https://doi.org/10.9734/ejmp/2025/v36i31269</w:t>
        </w:r>
      </w:hyperlink>
    </w:p>
    <w:p w14:paraId="35764F87" w14:textId="77777777" w:rsidR="0083681A" w:rsidRPr="0083681A" w:rsidRDefault="0083681A" w:rsidP="0083681A">
      <w:pPr>
        <w:spacing w:before="100" w:beforeAutospacing="1" w:after="100" w:afterAutospacing="1" w:line="240" w:lineRule="auto"/>
        <w:rPr>
          <w:rFonts w:ascii="Times New Roman" w:eastAsia="Times New Roman" w:hAnsi="Times New Roman" w:cs="Times New Roman"/>
          <w:sz w:val="24"/>
          <w:szCs w:val="24"/>
          <w:lang w:val="en-US"/>
        </w:rPr>
      </w:pPr>
      <w:r w:rsidRPr="0083681A">
        <w:rPr>
          <w:rFonts w:ascii="Times New Roman" w:eastAsia="Times New Roman" w:hAnsi="Times New Roman" w:cs="Times New Roman"/>
          <w:sz w:val="24"/>
          <w:szCs w:val="24"/>
          <w:lang w:val="en-US"/>
        </w:rPr>
        <w:t xml:space="preserve">Yan, H., Zhang, Z., Lan, L., &amp; Sun, G. (2025). A comprehensive quality control system for Chinese herbal medicine based on HPLC ratio quantitative fingerprinting and spectral quantized fingerprinting combined with antioxidant activity: A case of Siegesbeckiae Herba. </w:t>
      </w:r>
      <w:r w:rsidRPr="0083681A">
        <w:rPr>
          <w:rFonts w:ascii="Times New Roman" w:eastAsia="Times New Roman" w:hAnsi="Times New Roman" w:cs="Times New Roman"/>
          <w:i/>
          <w:iCs/>
          <w:sz w:val="24"/>
          <w:szCs w:val="24"/>
          <w:lang w:val="en-US"/>
        </w:rPr>
        <w:t>Journal of Chromatography A, 1760</w:t>
      </w:r>
      <w:r w:rsidRPr="0083681A">
        <w:rPr>
          <w:rFonts w:ascii="Times New Roman" w:eastAsia="Times New Roman" w:hAnsi="Times New Roman" w:cs="Times New Roman"/>
          <w:sz w:val="24"/>
          <w:szCs w:val="24"/>
          <w:lang w:val="en-US"/>
        </w:rPr>
        <w:t xml:space="preserve">, 466313. </w:t>
      </w:r>
      <w:hyperlink r:id="rId28" w:history="1">
        <w:r w:rsidRPr="0083681A">
          <w:rPr>
            <w:rFonts w:ascii="Times New Roman" w:eastAsia="Times New Roman" w:hAnsi="Times New Roman" w:cs="Times New Roman"/>
            <w:color w:val="0000FF"/>
            <w:sz w:val="24"/>
            <w:szCs w:val="24"/>
            <w:u w:val="single"/>
            <w:lang w:val="en-US"/>
          </w:rPr>
          <w:t>https://doi.org/10.1016/j.chroma.2025.466313</w:t>
        </w:r>
      </w:hyperlink>
    </w:p>
    <w:p w14:paraId="16D5AD36" w14:textId="77777777" w:rsidR="0083681A" w:rsidRPr="0083681A" w:rsidRDefault="0083681A" w:rsidP="0083681A">
      <w:pPr>
        <w:spacing w:before="100" w:beforeAutospacing="1" w:after="100" w:afterAutospacing="1" w:line="240" w:lineRule="auto"/>
        <w:rPr>
          <w:rFonts w:ascii="Times New Roman" w:eastAsia="Times New Roman" w:hAnsi="Times New Roman" w:cs="Times New Roman"/>
          <w:sz w:val="24"/>
          <w:szCs w:val="24"/>
          <w:lang w:val="en-US"/>
        </w:rPr>
      </w:pPr>
      <w:r w:rsidRPr="0083681A">
        <w:rPr>
          <w:rFonts w:ascii="Times New Roman" w:eastAsia="Times New Roman" w:hAnsi="Times New Roman" w:cs="Times New Roman"/>
          <w:sz w:val="24"/>
          <w:szCs w:val="24"/>
          <w:lang w:val="en-US"/>
        </w:rPr>
        <w:t xml:space="preserve">Zaheer, M., Kalim, A., Siddiqui, M. U. A., &amp; Ahmed, S. (2021). </w:t>
      </w:r>
      <w:r w:rsidRPr="0083681A">
        <w:rPr>
          <w:rFonts w:ascii="Times New Roman" w:eastAsia="Times New Roman" w:hAnsi="Times New Roman" w:cs="Times New Roman"/>
          <w:i/>
          <w:iCs/>
          <w:sz w:val="24"/>
          <w:szCs w:val="24"/>
          <w:lang w:val="en-US"/>
        </w:rPr>
        <w:t>Vigna trilobata</w:t>
      </w:r>
      <w:r w:rsidRPr="0083681A">
        <w:rPr>
          <w:rFonts w:ascii="Times New Roman" w:eastAsia="Times New Roman" w:hAnsi="Times New Roman" w:cs="Times New Roman"/>
          <w:sz w:val="24"/>
          <w:szCs w:val="24"/>
          <w:lang w:val="en-US"/>
        </w:rPr>
        <w:t xml:space="preserve"> (L.) Verdc: A review of medicinal uses, phytochemistry and pharmacology. </w:t>
      </w:r>
      <w:r w:rsidRPr="0083681A">
        <w:rPr>
          <w:rFonts w:ascii="Times New Roman" w:eastAsia="Times New Roman" w:hAnsi="Times New Roman" w:cs="Times New Roman"/>
          <w:i/>
          <w:iCs/>
          <w:sz w:val="24"/>
          <w:szCs w:val="24"/>
          <w:lang w:val="en-US"/>
        </w:rPr>
        <w:t>Journal of Pharmacognosy and Phytochemistry, 10</w:t>
      </w:r>
      <w:r w:rsidRPr="0083681A">
        <w:rPr>
          <w:rFonts w:ascii="Times New Roman" w:eastAsia="Times New Roman" w:hAnsi="Times New Roman" w:cs="Times New Roman"/>
          <w:sz w:val="24"/>
          <w:szCs w:val="24"/>
          <w:lang w:val="en-US"/>
        </w:rPr>
        <w:t xml:space="preserve">(2), 118–120. </w:t>
      </w:r>
      <w:hyperlink r:id="rId29" w:history="1">
        <w:r w:rsidRPr="0083681A">
          <w:rPr>
            <w:rFonts w:ascii="Times New Roman" w:eastAsia="Times New Roman" w:hAnsi="Times New Roman" w:cs="Times New Roman"/>
            <w:color w:val="0000FF"/>
            <w:sz w:val="24"/>
            <w:szCs w:val="24"/>
            <w:u w:val="single"/>
            <w:lang w:val="en-US"/>
          </w:rPr>
          <w:t>https://doi.org/10.22271/phyto.2021.v10.i2b.13971</w:t>
        </w:r>
      </w:hyperlink>
    </w:p>
    <w:p w14:paraId="0352EDBC" w14:textId="77777777" w:rsidR="0083681A" w:rsidRPr="003844E4" w:rsidRDefault="0083681A" w:rsidP="00321CE4">
      <w:pPr>
        <w:pStyle w:val="NormalWeb"/>
        <w:rPr>
          <w:b/>
          <w:bCs/>
        </w:rPr>
      </w:pPr>
    </w:p>
    <w:sectPr w:rsidR="0083681A" w:rsidRPr="003844E4" w:rsidSect="00016E00">
      <w:headerReference w:type="even" r:id="rId30"/>
      <w:headerReference w:type="default" r:id="rId31"/>
      <w:footerReference w:type="even" r:id="rId32"/>
      <w:footerReference w:type="default" r:id="rId33"/>
      <w:headerReference w:type="first" r:id="rId34"/>
      <w:footerReference w:type="firs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57F28" w14:textId="77777777" w:rsidR="00A061C9" w:rsidRDefault="00A061C9" w:rsidP="00321CE4">
      <w:pPr>
        <w:spacing w:after="0" w:line="240" w:lineRule="auto"/>
      </w:pPr>
      <w:r>
        <w:separator/>
      </w:r>
    </w:p>
  </w:endnote>
  <w:endnote w:type="continuationSeparator" w:id="0">
    <w:p w14:paraId="498E7210" w14:textId="77777777" w:rsidR="00A061C9" w:rsidRDefault="00A061C9" w:rsidP="00321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8CC87" w14:textId="77777777" w:rsidR="00BC11B5" w:rsidRDefault="00BC11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DEAF4" w14:textId="77777777" w:rsidR="00BC11B5" w:rsidRDefault="00BC11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A422B" w14:textId="77777777" w:rsidR="00BC11B5" w:rsidRDefault="00BC11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78CDF" w14:textId="77777777" w:rsidR="00A061C9" w:rsidRDefault="00A061C9" w:rsidP="00321CE4">
      <w:pPr>
        <w:spacing w:after="0" w:line="240" w:lineRule="auto"/>
      </w:pPr>
      <w:r>
        <w:separator/>
      </w:r>
    </w:p>
  </w:footnote>
  <w:footnote w:type="continuationSeparator" w:id="0">
    <w:p w14:paraId="39051057" w14:textId="77777777" w:rsidR="00A061C9" w:rsidRDefault="00A061C9" w:rsidP="00321C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76772" w14:textId="77777777" w:rsidR="00BC11B5" w:rsidRDefault="00000000">
    <w:pPr>
      <w:pStyle w:val="Header"/>
    </w:pPr>
    <w:r>
      <w:rPr>
        <w:noProof/>
      </w:rPr>
      <w:pict w14:anchorId="5CA8BB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26153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8A7E2" w14:textId="77777777" w:rsidR="00BC11B5" w:rsidRDefault="00000000">
    <w:pPr>
      <w:pStyle w:val="Header"/>
    </w:pPr>
    <w:r>
      <w:rPr>
        <w:noProof/>
      </w:rPr>
      <w:pict w14:anchorId="667C42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26153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A30A9" w14:textId="77777777" w:rsidR="00BC11B5" w:rsidRDefault="00000000">
    <w:pPr>
      <w:pStyle w:val="Header"/>
    </w:pPr>
    <w:r>
      <w:rPr>
        <w:noProof/>
      </w:rPr>
      <w:pict w14:anchorId="29220D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26153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21CE4"/>
    <w:rsid w:val="0000037E"/>
    <w:rsid w:val="00000594"/>
    <w:rsid w:val="00000B02"/>
    <w:rsid w:val="00000F0D"/>
    <w:rsid w:val="000017A2"/>
    <w:rsid w:val="00001AA6"/>
    <w:rsid w:val="00003957"/>
    <w:rsid w:val="00003E6A"/>
    <w:rsid w:val="00005B2A"/>
    <w:rsid w:val="00006687"/>
    <w:rsid w:val="00006CBC"/>
    <w:rsid w:val="00006FAA"/>
    <w:rsid w:val="000078B8"/>
    <w:rsid w:val="00007AA5"/>
    <w:rsid w:val="00010362"/>
    <w:rsid w:val="00011313"/>
    <w:rsid w:val="0001226C"/>
    <w:rsid w:val="00012724"/>
    <w:rsid w:val="000127F3"/>
    <w:rsid w:val="000139FE"/>
    <w:rsid w:val="00013C55"/>
    <w:rsid w:val="00013C71"/>
    <w:rsid w:val="000145FB"/>
    <w:rsid w:val="00014BDC"/>
    <w:rsid w:val="00014CD1"/>
    <w:rsid w:val="0001590F"/>
    <w:rsid w:val="000168FF"/>
    <w:rsid w:val="00016C18"/>
    <w:rsid w:val="00016E00"/>
    <w:rsid w:val="0001755E"/>
    <w:rsid w:val="000211C9"/>
    <w:rsid w:val="0002368C"/>
    <w:rsid w:val="00023B36"/>
    <w:rsid w:val="000240E9"/>
    <w:rsid w:val="000252DF"/>
    <w:rsid w:val="000263C7"/>
    <w:rsid w:val="00027C9C"/>
    <w:rsid w:val="000308DF"/>
    <w:rsid w:val="00030BB8"/>
    <w:rsid w:val="00030CE5"/>
    <w:rsid w:val="00031C69"/>
    <w:rsid w:val="000328FC"/>
    <w:rsid w:val="00032E50"/>
    <w:rsid w:val="00033058"/>
    <w:rsid w:val="00034721"/>
    <w:rsid w:val="000348B0"/>
    <w:rsid w:val="00034B47"/>
    <w:rsid w:val="00035E78"/>
    <w:rsid w:val="0003772E"/>
    <w:rsid w:val="00040670"/>
    <w:rsid w:val="0004094D"/>
    <w:rsid w:val="00040F8F"/>
    <w:rsid w:val="000411A8"/>
    <w:rsid w:val="00041EA3"/>
    <w:rsid w:val="000420C9"/>
    <w:rsid w:val="0004280C"/>
    <w:rsid w:val="00042E7D"/>
    <w:rsid w:val="0004304E"/>
    <w:rsid w:val="00043925"/>
    <w:rsid w:val="0004648E"/>
    <w:rsid w:val="00053119"/>
    <w:rsid w:val="00053908"/>
    <w:rsid w:val="00054451"/>
    <w:rsid w:val="000544D5"/>
    <w:rsid w:val="00055881"/>
    <w:rsid w:val="000563A1"/>
    <w:rsid w:val="0005645C"/>
    <w:rsid w:val="0005775D"/>
    <w:rsid w:val="00060566"/>
    <w:rsid w:val="00060723"/>
    <w:rsid w:val="00060E59"/>
    <w:rsid w:val="00061037"/>
    <w:rsid w:val="000616A5"/>
    <w:rsid w:val="0006185B"/>
    <w:rsid w:val="00064DDF"/>
    <w:rsid w:val="00065438"/>
    <w:rsid w:val="000675D6"/>
    <w:rsid w:val="000676A7"/>
    <w:rsid w:val="000677AB"/>
    <w:rsid w:val="00071432"/>
    <w:rsid w:val="0007346C"/>
    <w:rsid w:val="000738F5"/>
    <w:rsid w:val="0007589D"/>
    <w:rsid w:val="0007678A"/>
    <w:rsid w:val="00076D35"/>
    <w:rsid w:val="00082389"/>
    <w:rsid w:val="000840B2"/>
    <w:rsid w:val="00084BEA"/>
    <w:rsid w:val="00090345"/>
    <w:rsid w:val="00092F9E"/>
    <w:rsid w:val="00093336"/>
    <w:rsid w:val="000959A9"/>
    <w:rsid w:val="00096435"/>
    <w:rsid w:val="00097032"/>
    <w:rsid w:val="00097648"/>
    <w:rsid w:val="000A0F66"/>
    <w:rsid w:val="000A10F4"/>
    <w:rsid w:val="000A1610"/>
    <w:rsid w:val="000A1B60"/>
    <w:rsid w:val="000A2F75"/>
    <w:rsid w:val="000A53A8"/>
    <w:rsid w:val="000A78C7"/>
    <w:rsid w:val="000B06B9"/>
    <w:rsid w:val="000B316A"/>
    <w:rsid w:val="000B3C85"/>
    <w:rsid w:val="000B4085"/>
    <w:rsid w:val="000B42FC"/>
    <w:rsid w:val="000B48DB"/>
    <w:rsid w:val="000B574A"/>
    <w:rsid w:val="000B5810"/>
    <w:rsid w:val="000B5BB4"/>
    <w:rsid w:val="000B72E8"/>
    <w:rsid w:val="000B783F"/>
    <w:rsid w:val="000C0108"/>
    <w:rsid w:val="000C0BD2"/>
    <w:rsid w:val="000C10C9"/>
    <w:rsid w:val="000C2295"/>
    <w:rsid w:val="000C2847"/>
    <w:rsid w:val="000C3F33"/>
    <w:rsid w:val="000C4DE7"/>
    <w:rsid w:val="000C50A0"/>
    <w:rsid w:val="000C69E7"/>
    <w:rsid w:val="000C6E5E"/>
    <w:rsid w:val="000C7C33"/>
    <w:rsid w:val="000D0389"/>
    <w:rsid w:val="000D06F9"/>
    <w:rsid w:val="000D1081"/>
    <w:rsid w:val="000D1FDA"/>
    <w:rsid w:val="000D2F4B"/>
    <w:rsid w:val="000D31CA"/>
    <w:rsid w:val="000D4365"/>
    <w:rsid w:val="000D6A81"/>
    <w:rsid w:val="000D7205"/>
    <w:rsid w:val="000D7763"/>
    <w:rsid w:val="000D7952"/>
    <w:rsid w:val="000D7EEB"/>
    <w:rsid w:val="000E01C6"/>
    <w:rsid w:val="000E135C"/>
    <w:rsid w:val="000E20D0"/>
    <w:rsid w:val="000E2C8D"/>
    <w:rsid w:val="000E359F"/>
    <w:rsid w:val="000E3CF8"/>
    <w:rsid w:val="000E4F14"/>
    <w:rsid w:val="000E5441"/>
    <w:rsid w:val="000E5C4F"/>
    <w:rsid w:val="000F001A"/>
    <w:rsid w:val="000F03CC"/>
    <w:rsid w:val="000F0AED"/>
    <w:rsid w:val="000F0F10"/>
    <w:rsid w:val="000F21C9"/>
    <w:rsid w:val="000F21F9"/>
    <w:rsid w:val="000F2701"/>
    <w:rsid w:val="000F2BC3"/>
    <w:rsid w:val="000F350A"/>
    <w:rsid w:val="000F37FD"/>
    <w:rsid w:val="000F4F75"/>
    <w:rsid w:val="000F4FF4"/>
    <w:rsid w:val="000F5483"/>
    <w:rsid w:val="000F5FDD"/>
    <w:rsid w:val="000F696B"/>
    <w:rsid w:val="000F7D41"/>
    <w:rsid w:val="001024F9"/>
    <w:rsid w:val="00102613"/>
    <w:rsid w:val="00102A33"/>
    <w:rsid w:val="00104CEB"/>
    <w:rsid w:val="001066DA"/>
    <w:rsid w:val="001069D7"/>
    <w:rsid w:val="00106B0E"/>
    <w:rsid w:val="00107706"/>
    <w:rsid w:val="00110192"/>
    <w:rsid w:val="00110267"/>
    <w:rsid w:val="00112734"/>
    <w:rsid w:val="00112B94"/>
    <w:rsid w:val="00114ACE"/>
    <w:rsid w:val="00117A1E"/>
    <w:rsid w:val="001209E7"/>
    <w:rsid w:val="00120E9D"/>
    <w:rsid w:val="00123BD3"/>
    <w:rsid w:val="00126BBE"/>
    <w:rsid w:val="00127FD7"/>
    <w:rsid w:val="00130184"/>
    <w:rsid w:val="00135B15"/>
    <w:rsid w:val="00136D8F"/>
    <w:rsid w:val="00136EAF"/>
    <w:rsid w:val="00136FA6"/>
    <w:rsid w:val="0013753E"/>
    <w:rsid w:val="001379CD"/>
    <w:rsid w:val="0014044B"/>
    <w:rsid w:val="001409DE"/>
    <w:rsid w:val="00140AB1"/>
    <w:rsid w:val="00143D1E"/>
    <w:rsid w:val="00144260"/>
    <w:rsid w:val="00144C3D"/>
    <w:rsid w:val="00146397"/>
    <w:rsid w:val="001473DC"/>
    <w:rsid w:val="001477C3"/>
    <w:rsid w:val="001478BE"/>
    <w:rsid w:val="001479E7"/>
    <w:rsid w:val="001503E4"/>
    <w:rsid w:val="00151176"/>
    <w:rsid w:val="001513A3"/>
    <w:rsid w:val="00152D7B"/>
    <w:rsid w:val="00153C18"/>
    <w:rsid w:val="00155475"/>
    <w:rsid w:val="0015551C"/>
    <w:rsid w:val="001579B1"/>
    <w:rsid w:val="00157DD4"/>
    <w:rsid w:val="0016073C"/>
    <w:rsid w:val="00160ADA"/>
    <w:rsid w:val="001619E8"/>
    <w:rsid w:val="0016349F"/>
    <w:rsid w:val="00163A50"/>
    <w:rsid w:val="001674FF"/>
    <w:rsid w:val="001675A2"/>
    <w:rsid w:val="00167834"/>
    <w:rsid w:val="00170493"/>
    <w:rsid w:val="0017095B"/>
    <w:rsid w:val="001712B1"/>
    <w:rsid w:val="001728CB"/>
    <w:rsid w:val="00172FA7"/>
    <w:rsid w:val="00175E66"/>
    <w:rsid w:val="0017651B"/>
    <w:rsid w:val="001768BA"/>
    <w:rsid w:val="00177035"/>
    <w:rsid w:val="00180808"/>
    <w:rsid w:val="00180D4D"/>
    <w:rsid w:val="001818AF"/>
    <w:rsid w:val="00181DBE"/>
    <w:rsid w:val="0018292C"/>
    <w:rsid w:val="00182AF5"/>
    <w:rsid w:val="00183245"/>
    <w:rsid w:val="00183FB6"/>
    <w:rsid w:val="001841C9"/>
    <w:rsid w:val="001870C6"/>
    <w:rsid w:val="00187899"/>
    <w:rsid w:val="00187A08"/>
    <w:rsid w:val="00190595"/>
    <w:rsid w:val="00190F28"/>
    <w:rsid w:val="00191016"/>
    <w:rsid w:val="00191264"/>
    <w:rsid w:val="00191286"/>
    <w:rsid w:val="00194719"/>
    <w:rsid w:val="00194C95"/>
    <w:rsid w:val="00194F02"/>
    <w:rsid w:val="001964EA"/>
    <w:rsid w:val="00196DF2"/>
    <w:rsid w:val="001970A5"/>
    <w:rsid w:val="001A000D"/>
    <w:rsid w:val="001A04E2"/>
    <w:rsid w:val="001A0E4A"/>
    <w:rsid w:val="001A1AD6"/>
    <w:rsid w:val="001A30AC"/>
    <w:rsid w:val="001A3D5B"/>
    <w:rsid w:val="001A4E98"/>
    <w:rsid w:val="001B00BD"/>
    <w:rsid w:val="001B2970"/>
    <w:rsid w:val="001B360D"/>
    <w:rsid w:val="001B37BA"/>
    <w:rsid w:val="001B37E9"/>
    <w:rsid w:val="001B3863"/>
    <w:rsid w:val="001B45B3"/>
    <w:rsid w:val="001B4749"/>
    <w:rsid w:val="001B4A89"/>
    <w:rsid w:val="001B592F"/>
    <w:rsid w:val="001B65C4"/>
    <w:rsid w:val="001B6700"/>
    <w:rsid w:val="001B6C18"/>
    <w:rsid w:val="001C0149"/>
    <w:rsid w:val="001C1BB2"/>
    <w:rsid w:val="001C2163"/>
    <w:rsid w:val="001C2A5B"/>
    <w:rsid w:val="001C2E87"/>
    <w:rsid w:val="001C358B"/>
    <w:rsid w:val="001C3912"/>
    <w:rsid w:val="001C3B67"/>
    <w:rsid w:val="001C47EB"/>
    <w:rsid w:val="001C54B5"/>
    <w:rsid w:val="001C5786"/>
    <w:rsid w:val="001C6260"/>
    <w:rsid w:val="001C6757"/>
    <w:rsid w:val="001D0D22"/>
    <w:rsid w:val="001D27B4"/>
    <w:rsid w:val="001D282A"/>
    <w:rsid w:val="001D4217"/>
    <w:rsid w:val="001D51E5"/>
    <w:rsid w:val="001D543F"/>
    <w:rsid w:val="001D5AC6"/>
    <w:rsid w:val="001D5C16"/>
    <w:rsid w:val="001D7474"/>
    <w:rsid w:val="001D7F5A"/>
    <w:rsid w:val="001E08C4"/>
    <w:rsid w:val="001E1D61"/>
    <w:rsid w:val="001E4819"/>
    <w:rsid w:val="001E4BFC"/>
    <w:rsid w:val="001E4DC2"/>
    <w:rsid w:val="001E4F53"/>
    <w:rsid w:val="001E661D"/>
    <w:rsid w:val="001E6777"/>
    <w:rsid w:val="001E6B3A"/>
    <w:rsid w:val="001E7EEA"/>
    <w:rsid w:val="001F06DF"/>
    <w:rsid w:val="001F2CEC"/>
    <w:rsid w:val="001F30D3"/>
    <w:rsid w:val="001F5840"/>
    <w:rsid w:val="00200618"/>
    <w:rsid w:val="002026A7"/>
    <w:rsid w:val="00204720"/>
    <w:rsid w:val="00206200"/>
    <w:rsid w:val="002062C9"/>
    <w:rsid w:val="002063F4"/>
    <w:rsid w:val="00207AA7"/>
    <w:rsid w:val="00207E4A"/>
    <w:rsid w:val="00210092"/>
    <w:rsid w:val="002104F6"/>
    <w:rsid w:val="00210D7C"/>
    <w:rsid w:val="0021278F"/>
    <w:rsid w:val="002131B3"/>
    <w:rsid w:val="00213DD3"/>
    <w:rsid w:val="0021532B"/>
    <w:rsid w:val="00215B8F"/>
    <w:rsid w:val="002161FE"/>
    <w:rsid w:val="00216499"/>
    <w:rsid w:val="0021704B"/>
    <w:rsid w:val="00217606"/>
    <w:rsid w:val="002209B0"/>
    <w:rsid w:val="00221895"/>
    <w:rsid w:val="00223E18"/>
    <w:rsid w:val="002240C8"/>
    <w:rsid w:val="002258B6"/>
    <w:rsid w:val="00225EE5"/>
    <w:rsid w:val="00226ED0"/>
    <w:rsid w:val="002276F1"/>
    <w:rsid w:val="002302DC"/>
    <w:rsid w:val="002310E0"/>
    <w:rsid w:val="0023325D"/>
    <w:rsid w:val="00235476"/>
    <w:rsid w:val="00236C71"/>
    <w:rsid w:val="002414D0"/>
    <w:rsid w:val="002435F1"/>
    <w:rsid w:val="002455C5"/>
    <w:rsid w:val="00245A0A"/>
    <w:rsid w:val="00246147"/>
    <w:rsid w:val="00246B4B"/>
    <w:rsid w:val="00250451"/>
    <w:rsid w:val="00250842"/>
    <w:rsid w:val="00250B89"/>
    <w:rsid w:val="00250BEC"/>
    <w:rsid w:val="0025193E"/>
    <w:rsid w:val="00252A02"/>
    <w:rsid w:val="002537DB"/>
    <w:rsid w:val="00253CCF"/>
    <w:rsid w:val="002544DD"/>
    <w:rsid w:val="00254A73"/>
    <w:rsid w:val="002552E3"/>
    <w:rsid w:val="002556AA"/>
    <w:rsid w:val="00262B29"/>
    <w:rsid w:val="00263FAA"/>
    <w:rsid w:val="00264B08"/>
    <w:rsid w:val="0026547E"/>
    <w:rsid w:val="00266901"/>
    <w:rsid w:val="00266F0E"/>
    <w:rsid w:val="0026733B"/>
    <w:rsid w:val="00267DA9"/>
    <w:rsid w:val="00267EF6"/>
    <w:rsid w:val="00272AA2"/>
    <w:rsid w:val="00272DD6"/>
    <w:rsid w:val="00275135"/>
    <w:rsid w:val="00275BB1"/>
    <w:rsid w:val="002774CC"/>
    <w:rsid w:val="00277E87"/>
    <w:rsid w:val="002810CF"/>
    <w:rsid w:val="002817EC"/>
    <w:rsid w:val="00281F9D"/>
    <w:rsid w:val="002824E1"/>
    <w:rsid w:val="002826BF"/>
    <w:rsid w:val="00282E02"/>
    <w:rsid w:val="0028317A"/>
    <w:rsid w:val="0028319C"/>
    <w:rsid w:val="00283371"/>
    <w:rsid w:val="0028598B"/>
    <w:rsid w:val="00285A25"/>
    <w:rsid w:val="00285F14"/>
    <w:rsid w:val="00286E3F"/>
    <w:rsid w:val="002873DB"/>
    <w:rsid w:val="0029128D"/>
    <w:rsid w:val="00292120"/>
    <w:rsid w:val="002934C9"/>
    <w:rsid w:val="00293B8B"/>
    <w:rsid w:val="00294260"/>
    <w:rsid w:val="0029434A"/>
    <w:rsid w:val="00295128"/>
    <w:rsid w:val="0029539F"/>
    <w:rsid w:val="00295BD6"/>
    <w:rsid w:val="0029671B"/>
    <w:rsid w:val="00297BD6"/>
    <w:rsid w:val="00297BFB"/>
    <w:rsid w:val="00297F6E"/>
    <w:rsid w:val="002A0E10"/>
    <w:rsid w:val="002A1916"/>
    <w:rsid w:val="002A1DE3"/>
    <w:rsid w:val="002A1FA6"/>
    <w:rsid w:val="002A344F"/>
    <w:rsid w:val="002A353A"/>
    <w:rsid w:val="002A4BF9"/>
    <w:rsid w:val="002A4EF2"/>
    <w:rsid w:val="002A644E"/>
    <w:rsid w:val="002A6C46"/>
    <w:rsid w:val="002A719B"/>
    <w:rsid w:val="002A78DA"/>
    <w:rsid w:val="002B0802"/>
    <w:rsid w:val="002B18C4"/>
    <w:rsid w:val="002B1C39"/>
    <w:rsid w:val="002B262A"/>
    <w:rsid w:val="002B2760"/>
    <w:rsid w:val="002B2B56"/>
    <w:rsid w:val="002B2D33"/>
    <w:rsid w:val="002B3BCE"/>
    <w:rsid w:val="002B3C0C"/>
    <w:rsid w:val="002B54F9"/>
    <w:rsid w:val="002B62FB"/>
    <w:rsid w:val="002C142F"/>
    <w:rsid w:val="002C1C31"/>
    <w:rsid w:val="002C3193"/>
    <w:rsid w:val="002C36FE"/>
    <w:rsid w:val="002C3A2C"/>
    <w:rsid w:val="002C4D88"/>
    <w:rsid w:val="002C4E36"/>
    <w:rsid w:val="002C5D2F"/>
    <w:rsid w:val="002D023E"/>
    <w:rsid w:val="002D1F59"/>
    <w:rsid w:val="002D2C1F"/>
    <w:rsid w:val="002D31AC"/>
    <w:rsid w:val="002D3D3D"/>
    <w:rsid w:val="002D41AC"/>
    <w:rsid w:val="002D4FE9"/>
    <w:rsid w:val="002D5752"/>
    <w:rsid w:val="002D6E0E"/>
    <w:rsid w:val="002E0BA6"/>
    <w:rsid w:val="002E0CFF"/>
    <w:rsid w:val="002E0DC6"/>
    <w:rsid w:val="002E0E85"/>
    <w:rsid w:val="002E100F"/>
    <w:rsid w:val="002E17A0"/>
    <w:rsid w:val="002E3CBE"/>
    <w:rsid w:val="002E552E"/>
    <w:rsid w:val="002E779E"/>
    <w:rsid w:val="002F0168"/>
    <w:rsid w:val="002F26A2"/>
    <w:rsid w:val="002F2AE5"/>
    <w:rsid w:val="002F2FE6"/>
    <w:rsid w:val="002F303A"/>
    <w:rsid w:val="002F3606"/>
    <w:rsid w:val="002F37E7"/>
    <w:rsid w:val="002F4B6B"/>
    <w:rsid w:val="002F4D37"/>
    <w:rsid w:val="002F5149"/>
    <w:rsid w:val="002F593C"/>
    <w:rsid w:val="002F60E0"/>
    <w:rsid w:val="003007FB"/>
    <w:rsid w:val="00300F27"/>
    <w:rsid w:val="00301C06"/>
    <w:rsid w:val="00302338"/>
    <w:rsid w:val="003023B0"/>
    <w:rsid w:val="00302B67"/>
    <w:rsid w:val="00304175"/>
    <w:rsid w:val="00304AAB"/>
    <w:rsid w:val="0030524A"/>
    <w:rsid w:val="00306E2F"/>
    <w:rsid w:val="003073CB"/>
    <w:rsid w:val="00310F74"/>
    <w:rsid w:val="0031383F"/>
    <w:rsid w:val="00314348"/>
    <w:rsid w:val="003170BC"/>
    <w:rsid w:val="00317999"/>
    <w:rsid w:val="003200A1"/>
    <w:rsid w:val="003212E9"/>
    <w:rsid w:val="00321CE4"/>
    <w:rsid w:val="00322133"/>
    <w:rsid w:val="00323213"/>
    <w:rsid w:val="00325383"/>
    <w:rsid w:val="003254DE"/>
    <w:rsid w:val="003258C0"/>
    <w:rsid w:val="00327A23"/>
    <w:rsid w:val="003308CB"/>
    <w:rsid w:val="00330BDA"/>
    <w:rsid w:val="0033157E"/>
    <w:rsid w:val="00332715"/>
    <w:rsid w:val="003332FF"/>
    <w:rsid w:val="00333498"/>
    <w:rsid w:val="00333670"/>
    <w:rsid w:val="003336B3"/>
    <w:rsid w:val="0033775C"/>
    <w:rsid w:val="003400E2"/>
    <w:rsid w:val="0034132D"/>
    <w:rsid w:val="0034163F"/>
    <w:rsid w:val="00341763"/>
    <w:rsid w:val="00344020"/>
    <w:rsid w:val="0034412E"/>
    <w:rsid w:val="003441E7"/>
    <w:rsid w:val="003442A1"/>
    <w:rsid w:val="00344517"/>
    <w:rsid w:val="00345C15"/>
    <w:rsid w:val="00350961"/>
    <w:rsid w:val="00350988"/>
    <w:rsid w:val="00351F12"/>
    <w:rsid w:val="00353AED"/>
    <w:rsid w:val="00353FAA"/>
    <w:rsid w:val="00354348"/>
    <w:rsid w:val="00354AAA"/>
    <w:rsid w:val="0035553C"/>
    <w:rsid w:val="00355753"/>
    <w:rsid w:val="00355945"/>
    <w:rsid w:val="00357475"/>
    <w:rsid w:val="00360562"/>
    <w:rsid w:val="0036069E"/>
    <w:rsid w:val="003613F5"/>
    <w:rsid w:val="00362638"/>
    <w:rsid w:val="00362BD0"/>
    <w:rsid w:val="003633A8"/>
    <w:rsid w:val="00363E70"/>
    <w:rsid w:val="00366083"/>
    <w:rsid w:val="00367AFE"/>
    <w:rsid w:val="0037200A"/>
    <w:rsid w:val="0037450F"/>
    <w:rsid w:val="003745D1"/>
    <w:rsid w:val="00374817"/>
    <w:rsid w:val="00375DC2"/>
    <w:rsid w:val="00375E8C"/>
    <w:rsid w:val="00376670"/>
    <w:rsid w:val="003768ED"/>
    <w:rsid w:val="00376FC7"/>
    <w:rsid w:val="00377A03"/>
    <w:rsid w:val="003814A0"/>
    <w:rsid w:val="003822BD"/>
    <w:rsid w:val="003828DF"/>
    <w:rsid w:val="00383391"/>
    <w:rsid w:val="003844E4"/>
    <w:rsid w:val="00386E86"/>
    <w:rsid w:val="0038712D"/>
    <w:rsid w:val="00387A86"/>
    <w:rsid w:val="00387C28"/>
    <w:rsid w:val="00390932"/>
    <w:rsid w:val="00390B3C"/>
    <w:rsid w:val="00390F0C"/>
    <w:rsid w:val="00390F47"/>
    <w:rsid w:val="00391212"/>
    <w:rsid w:val="00395733"/>
    <w:rsid w:val="0039580F"/>
    <w:rsid w:val="00396B5C"/>
    <w:rsid w:val="00396BEB"/>
    <w:rsid w:val="00396EEE"/>
    <w:rsid w:val="00397643"/>
    <w:rsid w:val="00397953"/>
    <w:rsid w:val="00397DF5"/>
    <w:rsid w:val="003A0435"/>
    <w:rsid w:val="003A0929"/>
    <w:rsid w:val="003A0FC9"/>
    <w:rsid w:val="003A284F"/>
    <w:rsid w:val="003A2FD5"/>
    <w:rsid w:val="003A3688"/>
    <w:rsid w:val="003A38C4"/>
    <w:rsid w:val="003A4743"/>
    <w:rsid w:val="003A5329"/>
    <w:rsid w:val="003A5906"/>
    <w:rsid w:val="003A631B"/>
    <w:rsid w:val="003A7BDF"/>
    <w:rsid w:val="003B028F"/>
    <w:rsid w:val="003B0401"/>
    <w:rsid w:val="003B0CF6"/>
    <w:rsid w:val="003B16AD"/>
    <w:rsid w:val="003B1CBB"/>
    <w:rsid w:val="003B2603"/>
    <w:rsid w:val="003B399B"/>
    <w:rsid w:val="003B3E72"/>
    <w:rsid w:val="003B3F8D"/>
    <w:rsid w:val="003B5FAB"/>
    <w:rsid w:val="003B673F"/>
    <w:rsid w:val="003B7038"/>
    <w:rsid w:val="003B736F"/>
    <w:rsid w:val="003C11F6"/>
    <w:rsid w:val="003C2CAC"/>
    <w:rsid w:val="003C361B"/>
    <w:rsid w:val="003C3D0B"/>
    <w:rsid w:val="003C4D31"/>
    <w:rsid w:val="003C5A1E"/>
    <w:rsid w:val="003C6C20"/>
    <w:rsid w:val="003C7608"/>
    <w:rsid w:val="003C79DC"/>
    <w:rsid w:val="003D05AD"/>
    <w:rsid w:val="003D0661"/>
    <w:rsid w:val="003D0F3C"/>
    <w:rsid w:val="003D260D"/>
    <w:rsid w:val="003D40FC"/>
    <w:rsid w:val="003D62A5"/>
    <w:rsid w:val="003D6E07"/>
    <w:rsid w:val="003D7BB4"/>
    <w:rsid w:val="003E0282"/>
    <w:rsid w:val="003E0F47"/>
    <w:rsid w:val="003E0FFD"/>
    <w:rsid w:val="003E1F34"/>
    <w:rsid w:val="003E201E"/>
    <w:rsid w:val="003E2A50"/>
    <w:rsid w:val="003E2EB9"/>
    <w:rsid w:val="003E333C"/>
    <w:rsid w:val="003E3F5D"/>
    <w:rsid w:val="003E48F0"/>
    <w:rsid w:val="003E5398"/>
    <w:rsid w:val="003E67EB"/>
    <w:rsid w:val="003E7422"/>
    <w:rsid w:val="003F0A85"/>
    <w:rsid w:val="003F0E58"/>
    <w:rsid w:val="003F1D98"/>
    <w:rsid w:val="003F254C"/>
    <w:rsid w:val="003F4857"/>
    <w:rsid w:val="003F48B2"/>
    <w:rsid w:val="003F51D8"/>
    <w:rsid w:val="003F60D1"/>
    <w:rsid w:val="003F7BC4"/>
    <w:rsid w:val="00400113"/>
    <w:rsid w:val="0040096A"/>
    <w:rsid w:val="004011F1"/>
    <w:rsid w:val="00401409"/>
    <w:rsid w:val="0040154E"/>
    <w:rsid w:val="00402B3A"/>
    <w:rsid w:val="004042AF"/>
    <w:rsid w:val="004047F7"/>
    <w:rsid w:val="00406910"/>
    <w:rsid w:val="0040716A"/>
    <w:rsid w:val="0041060E"/>
    <w:rsid w:val="004111DA"/>
    <w:rsid w:val="004146B6"/>
    <w:rsid w:val="00414FF5"/>
    <w:rsid w:val="0041532A"/>
    <w:rsid w:val="00415F30"/>
    <w:rsid w:val="004167CA"/>
    <w:rsid w:val="00417F1F"/>
    <w:rsid w:val="00420614"/>
    <w:rsid w:val="00420AF9"/>
    <w:rsid w:val="0042156B"/>
    <w:rsid w:val="00422478"/>
    <w:rsid w:val="00423428"/>
    <w:rsid w:val="00425087"/>
    <w:rsid w:val="0042795C"/>
    <w:rsid w:val="00427A68"/>
    <w:rsid w:val="00427E61"/>
    <w:rsid w:val="00430084"/>
    <w:rsid w:val="004310E5"/>
    <w:rsid w:val="00432D0F"/>
    <w:rsid w:val="004334E2"/>
    <w:rsid w:val="004336EA"/>
    <w:rsid w:val="00433DD5"/>
    <w:rsid w:val="0043436D"/>
    <w:rsid w:val="00434B9A"/>
    <w:rsid w:val="00434DE8"/>
    <w:rsid w:val="00434F83"/>
    <w:rsid w:val="00437092"/>
    <w:rsid w:val="00440D2F"/>
    <w:rsid w:val="0044118E"/>
    <w:rsid w:val="00442774"/>
    <w:rsid w:val="00442A07"/>
    <w:rsid w:val="00442FD2"/>
    <w:rsid w:val="0044334A"/>
    <w:rsid w:val="00445873"/>
    <w:rsid w:val="00445D62"/>
    <w:rsid w:val="00445E21"/>
    <w:rsid w:val="00446381"/>
    <w:rsid w:val="00450915"/>
    <w:rsid w:val="00450AB4"/>
    <w:rsid w:val="00452FD8"/>
    <w:rsid w:val="004532B7"/>
    <w:rsid w:val="0045381B"/>
    <w:rsid w:val="00455AAC"/>
    <w:rsid w:val="004571C0"/>
    <w:rsid w:val="00457478"/>
    <w:rsid w:val="00457C62"/>
    <w:rsid w:val="004603EE"/>
    <w:rsid w:val="00460DD8"/>
    <w:rsid w:val="0046138F"/>
    <w:rsid w:val="0046193F"/>
    <w:rsid w:val="00461B35"/>
    <w:rsid w:val="004623DF"/>
    <w:rsid w:val="004639A6"/>
    <w:rsid w:val="00464DFD"/>
    <w:rsid w:val="0046513B"/>
    <w:rsid w:val="00465993"/>
    <w:rsid w:val="00466017"/>
    <w:rsid w:val="004662BC"/>
    <w:rsid w:val="004720F5"/>
    <w:rsid w:val="0047318E"/>
    <w:rsid w:val="00473F74"/>
    <w:rsid w:val="004741D2"/>
    <w:rsid w:val="0047436F"/>
    <w:rsid w:val="0047440B"/>
    <w:rsid w:val="00474D98"/>
    <w:rsid w:val="004756F0"/>
    <w:rsid w:val="00475917"/>
    <w:rsid w:val="00475C99"/>
    <w:rsid w:val="00476094"/>
    <w:rsid w:val="0047743C"/>
    <w:rsid w:val="004775D8"/>
    <w:rsid w:val="004776FB"/>
    <w:rsid w:val="00477A32"/>
    <w:rsid w:val="00480FE5"/>
    <w:rsid w:val="00481724"/>
    <w:rsid w:val="00482039"/>
    <w:rsid w:val="004826DC"/>
    <w:rsid w:val="00482E0A"/>
    <w:rsid w:val="00483692"/>
    <w:rsid w:val="00484B2D"/>
    <w:rsid w:val="00485659"/>
    <w:rsid w:val="00485B7A"/>
    <w:rsid w:val="00487A43"/>
    <w:rsid w:val="00487FE1"/>
    <w:rsid w:val="00490B1A"/>
    <w:rsid w:val="0049261A"/>
    <w:rsid w:val="00493298"/>
    <w:rsid w:val="00493E85"/>
    <w:rsid w:val="00494D54"/>
    <w:rsid w:val="00495E22"/>
    <w:rsid w:val="004963D0"/>
    <w:rsid w:val="0049729B"/>
    <w:rsid w:val="00497400"/>
    <w:rsid w:val="00497D8B"/>
    <w:rsid w:val="004A0478"/>
    <w:rsid w:val="004A0B4D"/>
    <w:rsid w:val="004A5B84"/>
    <w:rsid w:val="004A646F"/>
    <w:rsid w:val="004A64A7"/>
    <w:rsid w:val="004A74BB"/>
    <w:rsid w:val="004A7821"/>
    <w:rsid w:val="004B1B70"/>
    <w:rsid w:val="004B208C"/>
    <w:rsid w:val="004B3BC4"/>
    <w:rsid w:val="004B3FCA"/>
    <w:rsid w:val="004B5018"/>
    <w:rsid w:val="004B55AC"/>
    <w:rsid w:val="004B5C12"/>
    <w:rsid w:val="004B5E94"/>
    <w:rsid w:val="004B6056"/>
    <w:rsid w:val="004B6449"/>
    <w:rsid w:val="004C0C02"/>
    <w:rsid w:val="004C0C76"/>
    <w:rsid w:val="004C159F"/>
    <w:rsid w:val="004C20BC"/>
    <w:rsid w:val="004C25BC"/>
    <w:rsid w:val="004C2637"/>
    <w:rsid w:val="004C26E5"/>
    <w:rsid w:val="004C26F3"/>
    <w:rsid w:val="004C3D4E"/>
    <w:rsid w:val="004C450F"/>
    <w:rsid w:val="004C5011"/>
    <w:rsid w:val="004C510F"/>
    <w:rsid w:val="004C6B9D"/>
    <w:rsid w:val="004C71CF"/>
    <w:rsid w:val="004C74F7"/>
    <w:rsid w:val="004C76A4"/>
    <w:rsid w:val="004C785F"/>
    <w:rsid w:val="004D0F6D"/>
    <w:rsid w:val="004D12F4"/>
    <w:rsid w:val="004D1E6C"/>
    <w:rsid w:val="004D2216"/>
    <w:rsid w:val="004D25AF"/>
    <w:rsid w:val="004D331E"/>
    <w:rsid w:val="004D42B0"/>
    <w:rsid w:val="004D4EA3"/>
    <w:rsid w:val="004D4FF4"/>
    <w:rsid w:val="004D7F9E"/>
    <w:rsid w:val="004E007E"/>
    <w:rsid w:val="004E2075"/>
    <w:rsid w:val="004E325A"/>
    <w:rsid w:val="004E3354"/>
    <w:rsid w:val="004E3CDC"/>
    <w:rsid w:val="004E4375"/>
    <w:rsid w:val="004E461A"/>
    <w:rsid w:val="004E588F"/>
    <w:rsid w:val="004E5C98"/>
    <w:rsid w:val="004E6322"/>
    <w:rsid w:val="004E63A9"/>
    <w:rsid w:val="004E6AA6"/>
    <w:rsid w:val="004E7FED"/>
    <w:rsid w:val="004F10BC"/>
    <w:rsid w:val="004F13EB"/>
    <w:rsid w:val="004F27F7"/>
    <w:rsid w:val="004F2CB0"/>
    <w:rsid w:val="004F3ABE"/>
    <w:rsid w:val="004F3CD3"/>
    <w:rsid w:val="004F4662"/>
    <w:rsid w:val="004F5C30"/>
    <w:rsid w:val="004F64A7"/>
    <w:rsid w:val="004F6C40"/>
    <w:rsid w:val="004F76E1"/>
    <w:rsid w:val="004F77BD"/>
    <w:rsid w:val="005003DE"/>
    <w:rsid w:val="00502059"/>
    <w:rsid w:val="005023D4"/>
    <w:rsid w:val="0050266A"/>
    <w:rsid w:val="00504529"/>
    <w:rsid w:val="0050471A"/>
    <w:rsid w:val="005061FD"/>
    <w:rsid w:val="00510034"/>
    <w:rsid w:val="00512631"/>
    <w:rsid w:val="00513CD9"/>
    <w:rsid w:val="00513CE8"/>
    <w:rsid w:val="00514553"/>
    <w:rsid w:val="0051503E"/>
    <w:rsid w:val="00516013"/>
    <w:rsid w:val="0052103B"/>
    <w:rsid w:val="00523624"/>
    <w:rsid w:val="00523D4A"/>
    <w:rsid w:val="005254B5"/>
    <w:rsid w:val="00526705"/>
    <w:rsid w:val="005272D9"/>
    <w:rsid w:val="00531100"/>
    <w:rsid w:val="005316D9"/>
    <w:rsid w:val="0053224F"/>
    <w:rsid w:val="00532FCC"/>
    <w:rsid w:val="005330E7"/>
    <w:rsid w:val="00533B74"/>
    <w:rsid w:val="005340BF"/>
    <w:rsid w:val="00534424"/>
    <w:rsid w:val="00536914"/>
    <w:rsid w:val="00536D72"/>
    <w:rsid w:val="00540D14"/>
    <w:rsid w:val="00542C2F"/>
    <w:rsid w:val="00542FFE"/>
    <w:rsid w:val="005432EB"/>
    <w:rsid w:val="00543760"/>
    <w:rsid w:val="005443FB"/>
    <w:rsid w:val="00546049"/>
    <w:rsid w:val="005468E4"/>
    <w:rsid w:val="005469DB"/>
    <w:rsid w:val="005471D6"/>
    <w:rsid w:val="00547CC0"/>
    <w:rsid w:val="00547D5C"/>
    <w:rsid w:val="00550951"/>
    <w:rsid w:val="00550DF6"/>
    <w:rsid w:val="005513A7"/>
    <w:rsid w:val="00551AF3"/>
    <w:rsid w:val="00552C84"/>
    <w:rsid w:val="0055446D"/>
    <w:rsid w:val="005545D3"/>
    <w:rsid w:val="00556436"/>
    <w:rsid w:val="00556CA8"/>
    <w:rsid w:val="00557B49"/>
    <w:rsid w:val="00560D27"/>
    <w:rsid w:val="00561329"/>
    <w:rsid w:val="005625F8"/>
    <w:rsid w:val="00564A13"/>
    <w:rsid w:val="005655EB"/>
    <w:rsid w:val="005666F8"/>
    <w:rsid w:val="00566995"/>
    <w:rsid w:val="00566B80"/>
    <w:rsid w:val="005674AD"/>
    <w:rsid w:val="005707E8"/>
    <w:rsid w:val="005722AF"/>
    <w:rsid w:val="00575613"/>
    <w:rsid w:val="00580BCF"/>
    <w:rsid w:val="00581B44"/>
    <w:rsid w:val="005824EC"/>
    <w:rsid w:val="00583D2E"/>
    <w:rsid w:val="005840E9"/>
    <w:rsid w:val="00584B71"/>
    <w:rsid w:val="005854D4"/>
    <w:rsid w:val="00585621"/>
    <w:rsid w:val="00586170"/>
    <w:rsid w:val="005877E5"/>
    <w:rsid w:val="0058788A"/>
    <w:rsid w:val="005909D4"/>
    <w:rsid w:val="0059102B"/>
    <w:rsid w:val="00593396"/>
    <w:rsid w:val="00595405"/>
    <w:rsid w:val="00595D6C"/>
    <w:rsid w:val="005977E3"/>
    <w:rsid w:val="00597D07"/>
    <w:rsid w:val="005A0399"/>
    <w:rsid w:val="005A05DC"/>
    <w:rsid w:val="005A1C40"/>
    <w:rsid w:val="005A2024"/>
    <w:rsid w:val="005A2912"/>
    <w:rsid w:val="005A2BE4"/>
    <w:rsid w:val="005A2BE7"/>
    <w:rsid w:val="005A2D3F"/>
    <w:rsid w:val="005A31D5"/>
    <w:rsid w:val="005A37DA"/>
    <w:rsid w:val="005A430B"/>
    <w:rsid w:val="005A4473"/>
    <w:rsid w:val="005A468B"/>
    <w:rsid w:val="005A4BE1"/>
    <w:rsid w:val="005A59D8"/>
    <w:rsid w:val="005A5F36"/>
    <w:rsid w:val="005A681A"/>
    <w:rsid w:val="005A77AB"/>
    <w:rsid w:val="005B0399"/>
    <w:rsid w:val="005B061C"/>
    <w:rsid w:val="005B289F"/>
    <w:rsid w:val="005B2AE6"/>
    <w:rsid w:val="005B2C65"/>
    <w:rsid w:val="005B5EC6"/>
    <w:rsid w:val="005B7122"/>
    <w:rsid w:val="005C07AF"/>
    <w:rsid w:val="005C1544"/>
    <w:rsid w:val="005C1D3A"/>
    <w:rsid w:val="005C2A03"/>
    <w:rsid w:val="005C2D3F"/>
    <w:rsid w:val="005C2F07"/>
    <w:rsid w:val="005C4660"/>
    <w:rsid w:val="005C4B0C"/>
    <w:rsid w:val="005C4F86"/>
    <w:rsid w:val="005C5A4C"/>
    <w:rsid w:val="005C6BC5"/>
    <w:rsid w:val="005C7815"/>
    <w:rsid w:val="005D0C59"/>
    <w:rsid w:val="005D131A"/>
    <w:rsid w:val="005D1CB6"/>
    <w:rsid w:val="005D2CDD"/>
    <w:rsid w:val="005D3247"/>
    <w:rsid w:val="005D42A4"/>
    <w:rsid w:val="005D472C"/>
    <w:rsid w:val="005D5C77"/>
    <w:rsid w:val="005D638C"/>
    <w:rsid w:val="005D7B75"/>
    <w:rsid w:val="005E0BF1"/>
    <w:rsid w:val="005E0CB6"/>
    <w:rsid w:val="005E0E06"/>
    <w:rsid w:val="005E1761"/>
    <w:rsid w:val="005E1A5E"/>
    <w:rsid w:val="005E2CA9"/>
    <w:rsid w:val="005E3185"/>
    <w:rsid w:val="005E3393"/>
    <w:rsid w:val="005E3531"/>
    <w:rsid w:val="005E443A"/>
    <w:rsid w:val="005E5F05"/>
    <w:rsid w:val="005E748C"/>
    <w:rsid w:val="005F1602"/>
    <w:rsid w:val="005F2454"/>
    <w:rsid w:val="005F3741"/>
    <w:rsid w:val="005F3D5A"/>
    <w:rsid w:val="005F3FD8"/>
    <w:rsid w:val="005F6A80"/>
    <w:rsid w:val="005F79C0"/>
    <w:rsid w:val="005F7B6A"/>
    <w:rsid w:val="005F7D59"/>
    <w:rsid w:val="00600A7F"/>
    <w:rsid w:val="006013A7"/>
    <w:rsid w:val="0060150B"/>
    <w:rsid w:val="00601E86"/>
    <w:rsid w:val="00602394"/>
    <w:rsid w:val="00603D40"/>
    <w:rsid w:val="0060411B"/>
    <w:rsid w:val="0060470C"/>
    <w:rsid w:val="00605BEE"/>
    <w:rsid w:val="00605ED2"/>
    <w:rsid w:val="006063D5"/>
    <w:rsid w:val="00610157"/>
    <w:rsid w:val="00611075"/>
    <w:rsid w:val="006112F8"/>
    <w:rsid w:val="006113C9"/>
    <w:rsid w:val="006117DE"/>
    <w:rsid w:val="00611A33"/>
    <w:rsid w:val="0061224B"/>
    <w:rsid w:val="00613DAF"/>
    <w:rsid w:val="00614AA1"/>
    <w:rsid w:val="006216A5"/>
    <w:rsid w:val="00622D47"/>
    <w:rsid w:val="00622E75"/>
    <w:rsid w:val="006256D5"/>
    <w:rsid w:val="00626511"/>
    <w:rsid w:val="0062662C"/>
    <w:rsid w:val="00626A1D"/>
    <w:rsid w:val="006311A3"/>
    <w:rsid w:val="00633466"/>
    <w:rsid w:val="00633CC8"/>
    <w:rsid w:val="006347B1"/>
    <w:rsid w:val="0063492D"/>
    <w:rsid w:val="006353BB"/>
    <w:rsid w:val="00636135"/>
    <w:rsid w:val="0064149C"/>
    <w:rsid w:val="006418F2"/>
    <w:rsid w:val="00642E9E"/>
    <w:rsid w:val="00643A8C"/>
    <w:rsid w:val="0064422F"/>
    <w:rsid w:val="00644586"/>
    <w:rsid w:val="0064517B"/>
    <w:rsid w:val="00645357"/>
    <w:rsid w:val="006459F1"/>
    <w:rsid w:val="00645F65"/>
    <w:rsid w:val="00646A08"/>
    <w:rsid w:val="006500C0"/>
    <w:rsid w:val="00652292"/>
    <w:rsid w:val="0065264E"/>
    <w:rsid w:val="00652F32"/>
    <w:rsid w:val="00653CC6"/>
    <w:rsid w:val="00654386"/>
    <w:rsid w:val="00654472"/>
    <w:rsid w:val="006558CF"/>
    <w:rsid w:val="00655A30"/>
    <w:rsid w:val="006570B5"/>
    <w:rsid w:val="00657D82"/>
    <w:rsid w:val="00660E18"/>
    <w:rsid w:val="0066209C"/>
    <w:rsid w:val="006658CC"/>
    <w:rsid w:val="00666144"/>
    <w:rsid w:val="006665AA"/>
    <w:rsid w:val="006700DE"/>
    <w:rsid w:val="0067026E"/>
    <w:rsid w:val="00670655"/>
    <w:rsid w:val="00671700"/>
    <w:rsid w:val="00672604"/>
    <w:rsid w:val="00674258"/>
    <w:rsid w:val="00675BFF"/>
    <w:rsid w:val="00677F22"/>
    <w:rsid w:val="0068015E"/>
    <w:rsid w:val="006801D3"/>
    <w:rsid w:val="006819EB"/>
    <w:rsid w:val="00682170"/>
    <w:rsid w:val="0068288F"/>
    <w:rsid w:val="006833E0"/>
    <w:rsid w:val="0068352B"/>
    <w:rsid w:val="006835BC"/>
    <w:rsid w:val="0068489D"/>
    <w:rsid w:val="00684AA8"/>
    <w:rsid w:val="0068523D"/>
    <w:rsid w:val="00690D4B"/>
    <w:rsid w:val="00691B92"/>
    <w:rsid w:val="00694AFE"/>
    <w:rsid w:val="00695279"/>
    <w:rsid w:val="0069563F"/>
    <w:rsid w:val="006960D3"/>
    <w:rsid w:val="006961B5"/>
    <w:rsid w:val="006A00FF"/>
    <w:rsid w:val="006A1D98"/>
    <w:rsid w:val="006A2E21"/>
    <w:rsid w:val="006A5527"/>
    <w:rsid w:val="006A6951"/>
    <w:rsid w:val="006B0F41"/>
    <w:rsid w:val="006B2643"/>
    <w:rsid w:val="006B3CBF"/>
    <w:rsid w:val="006B3ECF"/>
    <w:rsid w:val="006B4114"/>
    <w:rsid w:val="006C0366"/>
    <w:rsid w:val="006C0CDF"/>
    <w:rsid w:val="006C0FFB"/>
    <w:rsid w:val="006C1091"/>
    <w:rsid w:val="006C25F7"/>
    <w:rsid w:val="006C31A2"/>
    <w:rsid w:val="006C322B"/>
    <w:rsid w:val="006C379E"/>
    <w:rsid w:val="006C57FF"/>
    <w:rsid w:val="006C5A67"/>
    <w:rsid w:val="006C71B6"/>
    <w:rsid w:val="006C72C0"/>
    <w:rsid w:val="006D3694"/>
    <w:rsid w:val="006D39C6"/>
    <w:rsid w:val="006D4FF4"/>
    <w:rsid w:val="006D514D"/>
    <w:rsid w:val="006D5185"/>
    <w:rsid w:val="006D5287"/>
    <w:rsid w:val="006D5B53"/>
    <w:rsid w:val="006D66E8"/>
    <w:rsid w:val="006E012B"/>
    <w:rsid w:val="006E068E"/>
    <w:rsid w:val="006E0B46"/>
    <w:rsid w:val="006E112D"/>
    <w:rsid w:val="006E1B60"/>
    <w:rsid w:val="006E2D2C"/>
    <w:rsid w:val="006E3237"/>
    <w:rsid w:val="006E3884"/>
    <w:rsid w:val="006E52FF"/>
    <w:rsid w:val="006E57C7"/>
    <w:rsid w:val="006E5A88"/>
    <w:rsid w:val="006E7036"/>
    <w:rsid w:val="006E73AA"/>
    <w:rsid w:val="006E7919"/>
    <w:rsid w:val="006F004B"/>
    <w:rsid w:val="006F00E8"/>
    <w:rsid w:val="006F04C2"/>
    <w:rsid w:val="006F0D40"/>
    <w:rsid w:val="006F1867"/>
    <w:rsid w:val="006F1D74"/>
    <w:rsid w:val="006F21C1"/>
    <w:rsid w:val="006F3999"/>
    <w:rsid w:val="006F3A4E"/>
    <w:rsid w:val="006F55E8"/>
    <w:rsid w:val="006F6568"/>
    <w:rsid w:val="006F73EF"/>
    <w:rsid w:val="006F7D76"/>
    <w:rsid w:val="006F7F28"/>
    <w:rsid w:val="006F7F7C"/>
    <w:rsid w:val="00702696"/>
    <w:rsid w:val="007035D9"/>
    <w:rsid w:val="00703917"/>
    <w:rsid w:val="00705398"/>
    <w:rsid w:val="007054D3"/>
    <w:rsid w:val="00706F0D"/>
    <w:rsid w:val="00706F27"/>
    <w:rsid w:val="00711B3C"/>
    <w:rsid w:val="00712656"/>
    <w:rsid w:val="0071335E"/>
    <w:rsid w:val="00713E71"/>
    <w:rsid w:val="00713EBF"/>
    <w:rsid w:val="00714794"/>
    <w:rsid w:val="00714E5D"/>
    <w:rsid w:val="00714EBF"/>
    <w:rsid w:val="00715803"/>
    <w:rsid w:val="0071652C"/>
    <w:rsid w:val="00716B5C"/>
    <w:rsid w:val="00717215"/>
    <w:rsid w:val="00717B8C"/>
    <w:rsid w:val="00720BDA"/>
    <w:rsid w:val="00721C5D"/>
    <w:rsid w:val="007235CA"/>
    <w:rsid w:val="0072420B"/>
    <w:rsid w:val="0072534A"/>
    <w:rsid w:val="00725AAE"/>
    <w:rsid w:val="00725CE4"/>
    <w:rsid w:val="007272DF"/>
    <w:rsid w:val="00727F12"/>
    <w:rsid w:val="00730470"/>
    <w:rsid w:val="0073063E"/>
    <w:rsid w:val="0073078D"/>
    <w:rsid w:val="00731B7C"/>
    <w:rsid w:val="007328DB"/>
    <w:rsid w:val="00732C29"/>
    <w:rsid w:val="00735EE7"/>
    <w:rsid w:val="00735EF4"/>
    <w:rsid w:val="00735F2C"/>
    <w:rsid w:val="00736790"/>
    <w:rsid w:val="007369C2"/>
    <w:rsid w:val="007407D8"/>
    <w:rsid w:val="00740818"/>
    <w:rsid w:val="00742805"/>
    <w:rsid w:val="00743114"/>
    <w:rsid w:val="00743552"/>
    <w:rsid w:val="007437A1"/>
    <w:rsid w:val="00743A09"/>
    <w:rsid w:val="00743AFA"/>
    <w:rsid w:val="007442BF"/>
    <w:rsid w:val="00744E6E"/>
    <w:rsid w:val="00745A1D"/>
    <w:rsid w:val="00746110"/>
    <w:rsid w:val="0074614E"/>
    <w:rsid w:val="007463F0"/>
    <w:rsid w:val="0074667E"/>
    <w:rsid w:val="00750898"/>
    <w:rsid w:val="00750939"/>
    <w:rsid w:val="007521DC"/>
    <w:rsid w:val="00752B08"/>
    <w:rsid w:val="00753722"/>
    <w:rsid w:val="00753A8A"/>
    <w:rsid w:val="00754D04"/>
    <w:rsid w:val="00757525"/>
    <w:rsid w:val="00757872"/>
    <w:rsid w:val="00761BBC"/>
    <w:rsid w:val="00762AAE"/>
    <w:rsid w:val="00762F22"/>
    <w:rsid w:val="00763E5E"/>
    <w:rsid w:val="00764184"/>
    <w:rsid w:val="007659F8"/>
    <w:rsid w:val="00766CF8"/>
    <w:rsid w:val="00766D68"/>
    <w:rsid w:val="00766DCB"/>
    <w:rsid w:val="00767C60"/>
    <w:rsid w:val="00770211"/>
    <w:rsid w:val="00770CA7"/>
    <w:rsid w:val="00771FFE"/>
    <w:rsid w:val="00773631"/>
    <w:rsid w:val="00773F41"/>
    <w:rsid w:val="00774751"/>
    <w:rsid w:val="007756BD"/>
    <w:rsid w:val="0077579B"/>
    <w:rsid w:val="007757A3"/>
    <w:rsid w:val="00776905"/>
    <w:rsid w:val="00780436"/>
    <w:rsid w:val="0078190A"/>
    <w:rsid w:val="00781EB7"/>
    <w:rsid w:val="00782FC0"/>
    <w:rsid w:val="0078395C"/>
    <w:rsid w:val="007847E4"/>
    <w:rsid w:val="0078673E"/>
    <w:rsid w:val="00787A78"/>
    <w:rsid w:val="00787F1C"/>
    <w:rsid w:val="00787FC9"/>
    <w:rsid w:val="00790157"/>
    <w:rsid w:val="0079270D"/>
    <w:rsid w:val="00793E00"/>
    <w:rsid w:val="00794C3E"/>
    <w:rsid w:val="00794EC1"/>
    <w:rsid w:val="00795235"/>
    <w:rsid w:val="0079623F"/>
    <w:rsid w:val="007A1B05"/>
    <w:rsid w:val="007A1DD3"/>
    <w:rsid w:val="007A4376"/>
    <w:rsid w:val="007A6835"/>
    <w:rsid w:val="007A69A3"/>
    <w:rsid w:val="007A6C4F"/>
    <w:rsid w:val="007A74BB"/>
    <w:rsid w:val="007B0C23"/>
    <w:rsid w:val="007B0E0B"/>
    <w:rsid w:val="007B1BDB"/>
    <w:rsid w:val="007B2323"/>
    <w:rsid w:val="007B2B3B"/>
    <w:rsid w:val="007B3629"/>
    <w:rsid w:val="007B4DDA"/>
    <w:rsid w:val="007B568A"/>
    <w:rsid w:val="007B7505"/>
    <w:rsid w:val="007B7B18"/>
    <w:rsid w:val="007B7D81"/>
    <w:rsid w:val="007C018C"/>
    <w:rsid w:val="007C10C5"/>
    <w:rsid w:val="007C1911"/>
    <w:rsid w:val="007C312A"/>
    <w:rsid w:val="007C32E5"/>
    <w:rsid w:val="007C4024"/>
    <w:rsid w:val="007C491F"/>
    <w:rsid w:val="007C504C"/>
    <w:rsid w:val="007C6082"/>
    <w:rsid w:val="007C642E"/>
    <w:rsid w:val="007C722B"/>
    <w:rsid w:val="007C74D0"/>
    <w:rsid w:val="007C7ABA"/>
    <w:rsid w:val="007C7BFB"/>
    <w:rsid w:val="007D067B"/>
    <w:rsid w:val="007D39F2"/>
    <w:rsid w:val="007D492D"/>
    <w:rsid w:val="007D4E03"/>
    <w:rsid w:val="007D6A86"/>
    <w:rsid w:val="007E007F"/>
    <w:rsid w:val="007E1710"/>
    <w:rsid w:val="007E1BB0"/>
    <w:rsid w:val="007E1C53"/>
    <w:rsid w:val="007E2AC1"/>
    <w:rsid w:val="007E3067"/>
    <w:rsid w:val="007E4D46"/>
    <w:rsid w:val="007E507F"/>
    <w:rsid w:val="007E69BA"/>
    <w:rsid w:val="007E7778"/>
    <w:rsid w:val="007E7790"/>
    <w:rsid w:val="007E7A29"/>
    <w:rsid w:val="007E7DEC"/>
    <w:rsid w:val="007F001A"/>
    <w:rsid w:val="007F05AB"/>
    <w:rsid w:val="007F0DF4"/>
    <w:rsid w:val="007F2884"/>
    <w:rsid w:val="007F4D63"/>
    <w:rsid w:val="007F5DAD"/>
    <w:rsid w:val="007F5E25"/>
    <w:rsid w:val="007F6511"/>
    <w:rsid w:val="007F6738"/>
    <w:rsid w:val="007F77EA"/>
    <w:rsid w:val="007F7C26"/>
    <w:rsid w:val="008004AD"/>
    <w:rsid w:val="008004C6"/>
    <w:rsid w:val="0080097E"/>
    <w:rsid w:val="00802925"/>
    <w:rsid w:val="00804671"/>
    <w:rsid w:val="008048DB"/>
    <w:rsid w:val="008101C7"/>
    <w:rsid w:val="00810E0C"/>
    <w:rsid w:val="00811FA8"/>
    <w:rsid w:val="00813939"/>
    <w:rsid w:val="008148BE"/>
    <w:rsid w:val="00814F95"/>
    <w:rsid w:val="00817F98"/>
    <w:rsid w:val="00821D84"/>
    <w:rsid w:val="00823508"/>
    <w:rsid w:val="00824F53"/>
    <w:rsid w:val="00824FAD"/>
    <w:rsid w:val="00827FFA"/>
    <w:rsid w:val="008305C5"/>
    <w:rsid w:val="00830A7D"/>
    <w:rsid w:val="008315BF"/>
    <w:rsid w:val="008333CC"/>
    <w:rsid w:val="008354B8"/>
    <w:rsid w:val="00836055"/>
    <w:rsid w:val="0083681A"/>
    <w:rsid w:val="00837E13"/>
    <w:rsid w:val="0084056C"/>
    <w:rsid w:val="00842206"/>
    <w:rsid w:val="00842B39"/>
    <w:rsid w:val="008445CF"/>
    <w:rsid w:val="00846DD2"/>
    <w:rsid w:val="00850FB1"/>
    <w:rsid w:val="0085326E"/>
    <w:rsid w:val="00856590"/>
    <w:rsid w:val="00857BBE"/>
    <w:rsid w:val="008608B6"/>
    <w:rsid w:val="00861478"/>
    <w:rsid w:val="0086255F"/>
    <w:rsid w:val="008637DA"/>
    <w:rsid w:val="00863D79"/>
    <w:rsid w:val="00865164"/>
    <w:rsid w:val="008657DA"/>
    <w:rsid w:val="008658D9"/>
    <w:rsid w:val="0086644E"/>
    <w:rsid w:val="00866B57"/>
    <w:rsid w:val="00866D91"/>
    <w:rsid w:val="00870B69"/>
    <w:rsid w:val="008711CE"/>
    <w:rsid w:val="00871726"/>
    <w:rsid w:val="00871797"/>
    <w:rsid w:val="0087185F"/>
    <w:rsid w:val="00872D32"/>
    <w:rsid w:val="00874433"/>
    <w:rsid w:val="008758EC"/>
    <w:rsid w:val="008760CF"/>
    <w:rsid w:val="00877947"/>
    <w:rsid w:val="008803BD"/>
    <w:rsid w:val="00880CD4"/>
    <w:rsid w:val="00881134"/>
    <w:rsid w:val="00884E35"/>
    <w:rsid w:val="0088630D"/>
    <w:rsid w:val="00887825"/>
    <w:rsid w:val="0089327F"/>
    <w:rsid w:val="008933DE"/>
    <w:rsid w:val="00893D19"/>
    <w:rsid w:val="00894A31"/>
    <w:rsid w:val="00895109"/>
    <w:rsid w:val="0089562A"/>
    <w:rsid w:val="00895D95"/>
    <w:rsid w:val="00896FF8"/>
    <w:rsid w:val="00897910"/>
    <w:rsid w:val="00897B8E"/>
    <w:rsid w:val="008A342D"/>
    <w:rsid w:val="008A3993"/>
    <w:rsid w:val="008A3B99"/>
    <w:rsid w:val="008A525A"/>
    <w:rsid w:val="008A692A"/>
    <w:rsid w:val="008A6BD9"/>
    <w:rsid w:val="008A6C88"/>
    <w:rsid w:val="008A79B6"/>
    <w:rsid w:val="008A7C56"/>
    <w:rsid w:val="008A7D49"/>
    <w:rsid w:val="008B0156"/>
    <w:rsid w:val="008B0E24"/>
    <w:rsid w:val="008B111B"/>
    <w:rsid w:val="008B1736"/>
    <w:rsid w:val="008B2E44"/>
    <w:rsid w:val="008B3B7A"/>
    <w:rsid w:val="008B5588"/>
    <w:rsid w:val="008B5735"/>
    <w:rsid w:val="008B5FC2"/>
    <w:rsid w:val="008B79A0"/>
    <w:rsid w:val="008C2A04"/>
    <w:rsid w:val="008C4317"/>
    <w:rsid w:val="008C4871"/>
    <w:rsid w:val="008C7C60"/>
    <w:rsid w:val="008D26A8"/>
    <w:rsid w:val="008D3978"/>
    <w:rsid w:val="008D5641"/>
    <w:rsid w:val="008D6FE6"/>
    <w:rsid w:val="008E09C2"/>
    <w:rsid w:val="008E3964"/>
    <w:rsid w:val="008E3D01"/>
    <w:rsid w:val="008E401A"/>
    <w:rsid w:val="008E44E8"/>
    <w:rsid w:val="008E4A89"/>
    <w:rsid w:val="008E4BF5"/>
    <w:rsid w:val="008E6508"/>
    <w:rsid w:val="008E6AB4"/>
    <w:rsid w:val="008E6C59"/>
    <w:rsid w:val="008E7442"/>
    <w:rsid w:val="008F007A"/>
    <w:rsid w:val="008F32D6"/>
    <w:rsid w:val="008F364E"/>
    <w:rsid w:val="008F37F1"/>
    <w:rsid w:val="008F39D0"/>
    <w:rsid w:val="008F434A"/>
    <w:rsid w:val="008F476B"/>
    <w:rsid w:val="008F4782"/>
    <w:rsid w:val="008F48BF"/>
    <w:rsid w:val="008F5AED"/>
    <w:rsid w:val="008F5C0A"/>
    <w:rsid w:val="008F5E07"/>
    <w:rsid w:val="008F5FDA"/>
    <w:rsid w:val="00900548"/>
    <w:rsid w:val="00901294"/>
    <w:rsid w:val="00901BDB"/>
    <w:rsid w:val="00901D09"/>
    <w:rsid w:val="00903B06"/>
    <w:rsid w:val="00905661"/>
    <w:rsid w:val="00905690"/>
    <w:rsid w:val="00907AF7"/>
    <w:rsid w:val="00907FE8"/>
    <w:rsid w:val="009104CD"/>
    <w:rsid w:val="0091100D"/>
    <w:rsid w:val="00911090"/>
    <w:rsid w:val="00911C14"/>
    <w:rsid w:val="0091274E"/>
    <w:rsid w:val="00913E92"/>
    <w:rsid w:val="00915A9F"/>
    <w:rsid w:val="00915AED"/>
    <w:rsid w:val="00916738"/>
    <w:rsid w:val="00916AF5"/>
    <w:rsid w:val="0091788A"/>
    <w:rsid w:val="009214C3"/>
    <w:rsid w:val="00921624"/>
    <w:rsid w:val="00921A50"/>
    <w:rsid w:val="00921F34"/>
    <w:rsid w:val="00922FF1"/>
    <w:rsid w:val="00924298"/>
    <w:rsid w:val="009246C6"/>
    <w:rsid w:val="00925D8A"/>
    <w:rsid w:val="00926F44"/>
    <w:rsid w:val="009274AB"/>
    <w:rsid w:val="00930098"/>
    <w:rsid w:val="00930C46"/>
    <w:rsid w:val="009327CC"/>
    <w:rsid w:val="00932F79"/>
    <w:rsid w:val="009338CA"/>
    <w:rsid w:val="00933D2A"/>
    <w:rsid w:val="0093440C"/>
    <w:rsid w:val="00935009"/>
    <w:rsid w:val="0093633B"/>
    <w:rsid w:val="009368BB"/>
    <w:rsid w:val="00937156"/>
    <w:rsid w:val="0093751C"/>
    <w:rsid w:val="00940C16"/>
    <w:rsid w:val="00940C5B"/>
    <w:rsid w:val="00944333"/>
    <w:rsid w:val="0094438F"/>
    <w:rsid w:val="0094504F"/>
    <w:rsid w:val="00946084"/>
    <w:rsid w:val="00946A6C"/>
    <w:rsid w:val="00950BEF"/>
    <w:rsid w:val="00950CDC"/>
    <w:rsid w:val="00951114"/>
    <w:rsid w:val="00951383"/>
    <w:rsid w:val="0095290C"/>
    <w:rsid w:val="00952DC9"/>
    <w:rsid w:val="009531D0"/>
    <w:rsid w:val="00953572"/>
    <w:rsid w:val="0095429B"/>
    <w:rsid w:val="00954E05"/>
    <w:rsid w:val="009556B0"/>
    <w:rsid w:val="009562E4"/>
    <w:rsid w:val="009569BA"/>
    <w:rsid w:val="00956AB5"/>
    <w:rsid w:val="0095704C"/>
    <w:rsid w:val="00957900"/>
    <w:rsid w:val="0096138C"/>
    <w:rsid w:val="00961FF6"/>
    <w:rsid w:val="009637E0"/>
    <w:rsid w:val="009639DC"/>
    <w:rsid w:val="00963F64"/>
    <w:rsid w:val="00963FB4"/>
    <w:rsid w:val="00964B02"/>
    <w:rsid w:val="009651C6"/>
    <w:rsid w:val="009674CB"/>
    <w:rsid w:val="0097094B"/>
    <w:rsid w:val="00970A62"/>
    <w:rsid w:val="009715AF"/>
    <w:rsid w:val="00972EF5"/>
    <w:rsid w:val="009740DD"/>
    <w:rsid w:val="009759B6"/>
    <w:rsid w:val="00975DEC"/>
    <w:rsid w:val="00981BD4"/>
    <w:rsid w:val="00983A44"/>
    <w:rsid w:val="009862C2"/>
    <w:rsid w:val="00986C61"/>
    <w:rsid w:val="00986C87"/>
    <w:rsid w:val="009922DD"/>
    <w:rsid w:val="009933B1"/>
    <w:rsid w:val="009937A5"/>
    <w:rsid w:val="00993DCA"/>
    <w:rsid w:val="009948D1"/>
    <w:rsid w:val="00994B28"/>
    <w:rsid w:val="00994CA5"/>
    <w:rsid w:val="00995F6C"/>
    <w:rsid w:val="009966C6"/>
    <w:rsid w:val="009975E8"/>
    <w:rsid w:val="009A0A9A"/>
    <w:rsid w:val="009A172E"/>
    <w:rsid w:val="009A1944"/>
    <w:rsid w:val="009A1A61"/>
    <w:rsid w:val="009A26AF"/>
    <w:rsid w:val="009A29A4"/>
    <w:rsid w:val="009A3B82"/>
    <w:rsid w:val="009A3C1A"/>
    <w:rsid w:val="009A5D4F"/>
    <w:rsid w:val="009A7885"/>
    <w:rsid w:val="009A7E49"/>
    <w:rsid w:val="009B0052"/>
    <w:rsid w:val="009B0FC7"/>
    <w:rsid w:val="009B28A6"/>
    <w:rsid w:val="009B390A"/>
    <w:rsid w:val="009B6420"/>
    <w:rsid w:val="009C21FD"/>
    <w:rsid w:val="009C293D"/>
    <w:rsid w:val="009C4310"/>
    <w:rsid w:val="009C5149"/>
    <w:rsid w:val="009C5C76"/>
    <w:rsid w:val="009C72E9"/>
    <w:rsid w:val="009C78B4"/>
    <w:rsid w:val="009D06AE"/>
    <w:rsid w:val="009D2113"/>
    <w:rsid w:val="009D5198"/>
    <w:rsid w:val="009D5542"/>
    <w:rsid w:val="009D6836"/>
    <w:rsid w:val="009E0379"/>
    <w:rsid w:val="009E0E9E"/>
    <w:rsid w:val="009E12EA"/>
    <w:rsid w:val="009E21B8"/>
    <w:rsid w:val="009E26A0"/>
    <w:rsid w:val="009E3EA6"/>
    <w:rsid w:val="009E4D19"/>
    <w:rsid w:val="009E6101"/>
    <w:rsid w:val="009F0F7B"/>
    <w:rsid w:val="009F1561"/>
    <w:rsid w:val="009F1613"/>
    <w:rsid w:val="009F19A3"/>
    <w:rsid w:val="009F3BC5"/>
    <w:rsid w:val="009F3E3C"/>
    <w:rsid w:val="009F45FF"/>
    <w:rsid w:val="009F51FA"/>
    <w:rsid w:val="009F57C4"/>
    <w:rsid w:val="009F64A1"/>
    <w:rsid w:val="009F7AB2"/>
    <w:rsid w:val="00A020F6"/>
    <w:rsid w:val="00A03052"/>
    <w:rsid w:val="00A03B9A"/>
    <w:rsid w:val="00A04BAA"/>
    <w:rsid w:val="00A0608B"/>
    <w:rsid w:val="00A061C9"/>
    <w:rsid w:val="00A06748"/>
    <w:rsid w:val="00A07411"/>
    <w:rsid w:val="00A07F19"/>
    <w:rsid w:val="00A11259"/>
    <w:rsid w:val="00A13D06"/>
    <w:rsid w:val="00A143B0"/>
    <w:rsid w:val="00A14880"/>
    <w:rsid w:val="00A14F0C"/>
    <w:rsid w:val="00A166C4"/>
    <w:rsid w:val="00A17ECD"/>
    <w:rsid w:val="00A2037F"/>
    <w:rsid w:val="00A20463"/>
    <w:rsid w:val="00A20664"/>
    <w:rsid w:val="00A21FC0"/>
    <w:rsid w:val="00A24204"/>
    <w:rsid w:val="00A24433"/>
    <w:rsid w:val="00A24E26"/>
    <w:rsid w:val="00A24E4F"/>
    <w:rsid w:val="00A2613C"/>
    <w:rsid w:val="00A27B74"/>
    <w:rsid w:val="00A3099C"/>
    <w:rsid w:val="00A30A31"/>
    <w:rsid w:val="00A324B4"/>
    <w:rsid w:val="00A32AD4"/>
    <w:rsid w:val="00A34E04"/>
    <w:rsid w:val="00A36F29"/>
    <w:rsid w:val="00A409C4"/>
    <w:rsid w:val="00A40FF9"/>
    <w:rsid w:val="00A41133"/>
    <w:rsid w:val="00A4116B"/>
    <w:rsid w:val="00A44B93"/>
    <w:rsid w:val="00A4695F"/>
    <w:rsid w:val="00A46B1E"/>
    <w:rsid w:val="00A516C3"/>
    <w:rsid w:val="00A52A9B"/>
    <w:rsid w:val="00A53E55"/>
    <w:rsid w:val="00A567BC"/>
    <w:rsid w:val="00A5695C"/>
    <w:rsid w:val="00A571F5"/>
    <w:rsid w:val="00A57214"/>
    <w:rsid w:val="00A57624"/>
    <w:rsid w:val="00A57D86"/>
    <w:rsid w:val="00A60432"/>
    <w:rsid w:val="00A629D0"/>
    <w:rsid w:val="00A62FC2"/>
    <w:rsid w:val="00A632F2"/>
    <w:rsid w:val="00A63369"/>
    <w:rsid w:val="00A64A35"/>
    <w:rsid w:val="00A65300"/>
    <w:rsid w:val="00A65C3B"/>
    <w:rsid w:val="00A65F55"/>
    <w:rsid w:val="00A65F6A"/>
    <w:rsid w:val="00A66E61"/>
    <w:rsid w:val="00A67A32"/>
    <w:rsid w:val="00A67D4D"/>
    <w:rsid w:val="00A67D76"/>
    <w:rsid w:val="00A701F0"/>
    <w:rsid w:val="00A70432"/>
    <w:rsid w:val="00A717E9"/>
    <w:rsid w:val="00A71DC4"/>
    <w:rsid w:val="00A7460A"/>
    <w:rsid w:val="00A74BE0"/>
    <w:rsid w:val="00A75F60"/>
    <w:rsid w:val="00A76112"/>
    <w:rsid w:val="00A7636E"/>
    <w:rsid w:val="00A76D34"/>
    <w:rsid w:val="00A77096"/>
    <w:rsid w:val="00A774E6"/>
    <w:rsid w:val="00A77D06"/>
    <w:rsid w:val="00A81909"/>
    <w:rsid w:val="00A82A0F"/>
    <w:rsid w:val="00A82AB6"/>
    <w:rsid w:val="00A8378D"/>
    <w:rsid w:val="00A838E3"/>
    <w:rsid w:val="00A84181"/>
    <w:rsid w:val="00A85FE2"/>
    <w:rsid w:val="00A867DE"/>
    <w:rsid w:val="00A86A3D"/>
    <w:rsid w:val="00A903C9"/>
    <w:rsid w:val="00A911FA"/>
    <w:rsid w:val="00A918DA"/>
    <w:rsid w:val="00A92392"/>
    <w:rsid w:val="00A92630"/>
    <w:rsid w:val="00A9271A"/>
    <w:rsid w:val="00A93044"/>
    <w:rsid w:val="00A94073"/>
    <w:rsid w:val="00A9482F"/>
    <w:rsid w:val="00A94CA3"/>
    <w:rsid w:val="00AA0060"/>
    <w:rsid w:val="00AA03E4"/>
    <w:rsid w:val="00AA22CB"/>
    <w:rsid w:val="00AA28E9"/>
    <w:rsid w:val="00AA298C"/>
    <w:rsid w:val="00AA3177"/>
    <w:rsid w:val="00AA3299"/>
    <w:rsid w:val="00AA34B0"/>
    <w:rsid w:val="00AA37BE"/>
    <w:rsid w:val="00AA3DA7"/>
    <w:rsid w:val="00AA49AE"/>
    <w:rsid w:val="00AA530D"/>
    <w:rsid w:val="00AA62AC"/>
    <w:rsid w:val="00AA6E66"/>
    <w:rsid w:val="00AA705B"/>
    <w:rsid w:val="00AB09B5"/>
    <w:rsid w:val="00AB0A61"/>
    <w:rsid w:val="00AB1008"/>
    <w:rsid w:val="00AB1FE1"/>
    <w:rsid w:val="00AB21F8"/>
    <w:rsid w:val="00AB262F"/>
    <w:rsid w:val="00AB2BC2"/>
    <w:rsid w:val="00AB3DB7"/>
    <w:rsid w:val="00AB4193"/>
    <w:rsid w:val="00AB483E"/>
    <w:rsid w:val="00AB5C82"/>
    <w:rsid w:val="00AB6390"/>
    <w:rsid w:val="00AB67C3"/>
    <w:rsid w:val="00AB6A77"/>
    <w:rsid w:val="00AC0F53"/>
    <w:rsid w:val="00AC0F93"/>
    <w:rsid w:val="00AC10C2"/>
    <w:rsid w:val="00AC3B3D"/>
    <w:rsid w:val="00AC3EDE"/>
    <w:rsid w:val="00AC416A"/>
    <w:rsid w:val="00AC4542"/>
    <w:rsid w:val="00AC538C"/>
    <w:rsid w:val="00AC53DA"/>
    <w:rsid w:val="00AD11A4"/>
    <w:rsid w:val="00AD1494"/>
    <w:rsid w:val="00AD1A3B"/>
    <w:rsid w:val="00AD1ADD"/>
    <w:rsid w:val="00AD262F"/>
    <w:rsid w:val="00AD2BAA"/>
    <w:rsid w:val="00AD39E4"/>
    <w:rsid w:val="00AD3B0C"/>
    <w:rsid w:val="00AD4717"/>
    <w:rsid w:val="00AD4AAF"/>
    <w:rsid w:val="00AD4E42"/>
    <w:rsid w:val="00AD7C00"/>
    <w:rsid w:val="00AE0076"/>
    <w:rsid w:val="00AE0D9C"/>
    <w:rsid w:val="00AE1062"/>
    <w:rsid w:val="00AE1745"/>
    <w:rsid w:val="00AE18F0"/>
    <w:rsid w:val="00AE2E7D"/>
    <w:rsid w:val="00AE3129"/>
    <w:rsid w:val="00AE38EB"/>
    <w:rsid w:val="00AE438A"/>
    <w:rsid w:val="00AE4433"/>
    <w:rsid w:val="00AE46B0"/>
    <w:rsid w:val="00AE4858"/>
    <w:rsid w:val="00AE69E9"/>
    <w:rsid w:val="00AE6B24"/>
    <w:rsid w:val="00AF1327"/>
    <w:rsid w:val="00AF2404"/>
    <w:rsid w:val="00AF36E5"/>
    <w:rsid w:val="00AF4117"/>
    <w:rsid w:val="00AF43D7"/>
    <w:rsid w:val="00AF5759"/>
    <w:rsid w:val="00AF57E4"/>
    <w:rsid w:val="00AF5AC1"/>
    <w:rsid w:val="00AF630E"/>
    <w:rsid w:val="00B01247"/>
    <w:rsid w:val="00B01BB3"/>
    <w:rsid w:val="00B01EF3"/>
    <w:rsid w:val="00B02CDD"/>
    <w:rsid w:val="00B0578F"/>
    <w:rsid w:val="00B11357"/>
    <w:rsid w:val="00B119B6"/>
    <w:rsid w:val="00B120DA"/>
    <w:rsid w:val="00B12990"/>
    <w:rsid w:val="00B12B66"/>
    <w:rsid w:val="00B13044"/>
    <w:rsid w:val="00B1383E"/>
    <w:rsid w:val="00B13A82"/>
    <w:rsid w:val="00B14188"/>
    <w:rsid w:val="00B1428E"/>
    <w:rsid w:val="00B14B3D"/>
    <w:rsid w:val="00B14F35"/>
    <w:rsid w:val="00B150D1"/>
    <w:rsid w:val="00B16A79"/>
    <w:rsid w:val="00B16D1F"/>
    <w:rsid w:val="00B170F7"/>
    <w:rsid w:val="00B179A5"/>
    <w:rsid w:val="00B17DA4"/>
    <w:rsid w:val="00B2010D"/>
    <w:rsid w:val="00B20976"/>
    <w:rsid w:val="00B20D20"/>
    <w:rsid w:val="00B20DB3"/>
    <w:rsid w:val="00B21DCC"/>
    <w:rsid w:val="00B22696"/>
    <w:rsid w:val="00B2295E"/>
    <w:rsid w:val="00B270FA"/>
    <w:rsid w:val="00B27EA4"/>
    <w:rsid w:val="00B31145"/>
    <w:rsid w:val="00B31260"/>
    <w:rsid w:val="00B31B05"/>
    <w:rsid w:val="00B32AB7"/>
    <w:rsid w:val="00B3341E"/>
    <w:rsid w:val="00B335B7"/>
    <w:rsid w:val="00B34BEE"/>
    <w:rsid w:val="00B35BA2"/>
    <w:rsid w:val="00B35E5C"/>
    <w:rsid w:val="00B40190"/>
    <w:rsid w:val="00B402A9"/>
    <w:rsid w:val="00B41CAB"/>
    <w:rsid w:val="00B4225B"/>
    <w:rsid w:val="00B44137"/>
    <w:rsid w:val="00B45956"/>
    <w:rsid w:val="00B45E98"/>
    <w:rsid w:val="00B47CED"/>
    <w:rsid w:val="00B52835"/>
    <w:rsid w:val="00B548D5"/>
    <w:rsid w:val="00B54E05"/>
    <w:rsid w:val="00B554D7"/>
    <w:rsid w:val="00B569B1"/>
    <w:rsid w:val="00B571CA"/>
    <w:rsid w:val="00B57B39"/>
    <w:rsid w:val="00B60DB0"/>
    <w:rsid w:val="00B60FF4"/>
    <w:rsid w:val="00B61160"/>
    <w:rsid w:val="00B61BB5"/>
    <w:rsid w:val="00B62AB3"/>
    <w:rsid w:val="00B64159"/>
    <w:rsid w:val="00B64224"/>
    <w:rsid w:val="00B64961"/>
    <w:rsid w:val="00B64AD9"/>
    <w:rsid w:val="00B651EA"/>
    <w:rsid w:val="00B657DA"/>
    <w:rsid w:val="00B66A05"/>
    <w:rsid w:val="00B678FC"/>
    <w:rsid w:val="00B67C65"/>
    <w:rsid w:val="00B67CA5"/>
    <w:rsid w:val="00B700AC"/>
    <w:rsid w:val="00B70B3A"/>
    <w:rsid w:val="00B70CC3"/>
    <w:rsid w:val="00B7104D"/>
    <w:rsid w:val="00B71659"/>
    <w:rsid w:val="00B720F4"/>
    <w:rsid w:val="00B722AE"/>
    <w:rsid w:val="00B72BB7"/>
    <w:rsid w:val="00B738F2"/>
    <w:rsid w:val="00B7490D"/>
    <w:rsid w:val="00B760D2"/>
    <w:rsid w:val="00B777C5"/>
    <w:rsid w:val="00B8075E"/>
    <w:rsid w:val="00B8396D"/>
    <w:rsid w:val="00B84C31"/>
    <w:rsid w:val="00B850A0"/>
    <w:rsid w:val="00B9036F"/>
    <w:rsid w:val="00B9179C"/>
    <w:rsid w:val="00B91D29"/>
    <w:rsid w:val="00B9200D"/>
    <w:rsid w:val="00B92A1A"/>
    <w:rsid w:val="00B92D76"/>
    <w:rsid w:val="00B93DCE"/>
    <w:rsid w:val="00B93E31"/>
    <w:rsid w:val="00B96944"/>
    <w:rsid w:val="00B96D90"/>
    <w:rsid w:val="00B973AB"/>
    <w:rsid w:val="00B976B3"/>
    <w:rsid w:val="00B97A1D"/>
    <w:rsid w:val="00B97CCC"/>
    <w:rsid w:val="00BA0AA2"/>
    <w:rsid w:val="00BA2E0C"/>
    <w:rsid w:val="00BA316A"/>
    <w:rsid w:val="00BA38A3"/>
    <w:rsid w:val="00BA4D02"/>
    <w:rsid w:val="00BA57C6"/>
    <w:rsid w:val="00BA5AB4"/>
    <w:rsid w:val="00BA5C6C"/>
    <w:rsid w:val="00BB0D52"/>
    <w:rsid w:val="00BB0D96"/>
    <w:rsid w:val="00BB1BCA"/>
    <w:rsid w:val="00BB4593"/>
    <w:rsid w:val="00BB4AD3"/>
    <w:rsid w:val="00BB5A4E"/>
    <w:rsid w:val="00BB7A94"/>
    <w:rsid w:val="00BB7FDC"/>
    <w:rsid w:val="00BC05E0"/>
    <w:rsid w:val="00BC0BBA"/>
    <w:rsid w:val="00BC11B5"/>
    <w:rsid w:val="00BC1500"/>
    <w:rsid w:val="00BC1641"/>
    <w:rsid w:val="00BC2309"/>
    <w:rsid w:val="00BC36AE"/>
    <w:rsid w:val="00BC4106"/>
    <w:rsid w:val="00BC4481"/>
    <w:rsid w:val="00BC44B3"/>
    <w:rsid w:val="00BC4954"/>
    <w:rsid w:val="00BC4DD0"/>
    <w:rsid w:val="00BC5726"/>
    <w:rsid w:val="00BC5C30"/>
    <w:rsid w:val="00BC5F67"/>
    <w:rsid w:val="00BC7463"/>
    <w:rsid w:val="00BC7F82"/>
    <w:rsid w:val="00BD0B5B"/>
    <w:rsid w:val="00BD2CE6"/>
    <w:rsid w:val="00BD40D6"/>
    <w:rsid w:val="00BD430E"/>
    <w:rsid w:val="00BD4BDF"/>
    <w:rsid w:val="00BD5087"/>
    <w:rsid w:val="00BD5558"/>
    <w:rsid w:val="00BD5939"/>
    <w:rsid w:val="00BD6362"/>
    <w:rsid w:val="00BD6A5C"/>
    <w:rsid w:val="00BD7789"/>
    <w:rsid w:val="00BD7E5A"/>
    <w:rsid w:val="00BE0F71"/>
    <w:rsid w:val="00BE120B"/>
    <w:rsid w:val="00BE17DA"/>
    <w:rsid w:val="00BE17F8"/>
    <w:rsid w:val="00BE2DF6"/>
    <w:rsid w:val="00BE33D8"/>
    <w:rsid w:val="00BE3586"/>
    <w:rsid w:val="00BE4369"/>
    <w:rsid w:val="00BE45A0"/>
    <w:rsid w:val="00BE4F74"/>
    <w:rsid w:val="00BE5781"/>
    <w:rsid w:val="00BE6B13"/>
    <w:rsid w:val="00BE6FA2"/>
    <w:rsid w:val="00BF16BB"/>
    <w:rsid w:val="00BF2CA4"/>
    <w:rsid w:val="00BF3939"/>
    <w:rsid w:val="00BF3A2A"/>
    <w:rsid w:val="00BF4867"/>
    <w:rsid w:val="00BF4A6B"/>
    <w:rsid w:val="00BF4A7A"/>
    <w:rsid w:val="00BF60D5"/>
    <w:rsid w:val="00BF644C"/>
    <w:rsid w:val="00BF698A"/>
    <w:rsid w:val="00C0100D"/>
    <w:rsid w:val="00C01469"/>
    <w:rsid w:val="00C03789"/>
    <w:rsid w:val="00C04DDA"/>
    <w:rsid w:val="00C0579F"/>
    <w:rsid w:val="00C05EC3"/>
    <w:rsid w:val="00C06B2E"/>
    <w:rsid w:val="00C0770D"/>
    <w:rsid w:val="00C10B7A"/>
    <w:rsid w:val="00C132C2"/>
    <w:rsid w:val="00C13801"/>
    <w:rsid w:val="00C143CA"/>
    <w:rsid w:val="00C1494D"/>
    <w:rsid w:val="00C167D4"/>
    <w:rsid w:val="00C16FE4"/>
    <w:rsid w:val="00C1714D"/>
    <w:rsid w:val="00C1782A"/>
    <w:rsid w:val="00C20CDB"/>
    <w:rsid w:val="00C2152D"/>
    <w:rsid w:val="00C21DAE"/>
    <w:rsid w:val="00C21E3B"/>
    <w:rsid w:val="00C22068"/>
    <w:rsid w:val="00C229ED"/>
    <w:rsid w:val="00C23DF7"/>
    <w:rsid w:val="00C24042"/>
    <w:rsid w:val="00C24391"/>
    <w:rsid w:val="00C24DD3"/>
    <w:rsid w:val="00C25087"/>
    <w:rsid w:val="00C258BF"/>
    <w:rsid w:val="00C2608D"/>
    <w:rsid w:val="00C26E6B"/>
    <w:rsid w:val="00C3083F"/>
    <w:rsid w:val="00C30A5C"/>
    <w:rsid w:val="00C31E9E"/>
    <w:rsid w:val="00C36931"/>
    <w:rsid w:val="00C40093"/>
    <w:rsid w:val="00C400D5"/>
    <w:rsid w:val="00C412EC"/>
    <w:rsid w:val="00C414C8"/>
    <w:rsid w:val="00C42035"/>
    <w:rsid w:val="00C421CC"/>
    <w:rsid w:val="00C42CCC"/>
    <w:rsid w:val="00C42ED7"/>
    <w:rsid w:val="00C43262"/>
    <w:rsid w:val="00C43E4C"/>
    <w:rsid w:val="00C442F4"/>
    <w:rsid w:val="00C455C5"/>
    <w:rsid w:val="00C465B7"/>
    <w:rsid w:val="00C502B4"/>
    <w:rsid w:val="00C50A8D"/>
    <w:rsid w:val="00C50B8F"/>
    <w:rsid w:val="00C51122"/>
    <w:rsid w:val="00C51B57"/>
    <w:rsid w:val="00C51DB7"/>
    <w:rsid w:val="00C5239C"/>
    <w:rsid w:val="00C54DFC"/>
    <w:rsid w:val="00C55272"/>
    <w:rsid w:val="00C55AC9"/>
    <w:rsid w:val="00C562D0"/>
    <w:rsid w:val="00C57208"/>
    <w:rsid w:val="00C612F0"/>
    <w:rsid w:val="00C61C13"/>
    <w:rsid w:val="00C62306"/>
    <w:rsid w:val="00C6301B"/>
    <w:rsid w:val="00C63DF5"/>
    <w:rsid w:val="00C645B4"/>
    <w:rsid w:val="00C6528E"/>
    <w:rsid w:val="00C65E1A"/>
    <w:rsid w:val="00C67193"/>
    <w:rsid w:val="00C67E47"/>
    <w:rsid w:val="00C67E79"/>
    <w:rsid w:val="00C71468"/>
    <w:rsid w:val="00C72AFF"/>
    <w:rsid w:val="00C73A4A"/>
    <w:rsid w:val="00C73F45"/>
    <w:rsid w:val="00C77F92"/>
    <w:rsid w:val="00C814C5"/>
    <w:rsid w:val="00C81ABB"/>
    <w:rsid w:val="00C82A08"/>
    <w:rsid w:val="00C8327C"/>
    <w:rsid w:val="00C833D2"/>
    <w:rsid w:val="00C83541"/>
    <w:rsid w:val="00C83EC0"/>
    <w:rsid w:val="00C8499B"/>
    <w:rsid w:val="00C84C58"/>
    <w:rsid w:val="00C86862"/>
    <w:rsid w:val="00C8735D"/>
    <w:rsid w:val="00C90195"/>
    <w:rsid w:val="00C90723"/>
    <w:rsid w:val="00C91B64"/>
    <w:rsid w:val="00C92B9C"/>
    <w:rsid w:val="00C94166"/>
    <w:rsid w:val="00C94F23"/>
    <w:rsid w:val="00C95D1B"/>
    <w:rsid w:val="00C96BD5"/>
    <w:rsid w:val="00C97411"/>
    <w:rsid w:val="00C97738"/>
    <w:rsid w:val="00C97BB8"/>
    <w:rsid w:val="00CA00F4"/>
    <w:rsid w:val="00CA016D"/>
    <w:rsid w:val="00CA076E"/>
    <w:rsid w:val="00CA0EA7"/>
    <w:rsid w:val="00CA2C9F"/>
    <w:rsid w:val="00CA3F8F"/>
    <w:rsid w:val="00CA43FC"/>
    <w:rsid w:val="00CA5789"/>
    <w:rsid w:val="00CA6467"/>
    <w:rsid w:val="00CA67EE"/>
    <w:rsid w:val="00CA6D3A"/>
    <w:rsid w:val="00CA7F7E"/>
    <w:rsid w:val="00CB0C94"/>
    <w:rsid w:val="00CB12CE"/>
    <w:rsid w:val="00CB1D81"/>
    <w:rsid w:val="00CB21DA"/>
    <w:rsid w:val="00CB2F3A"/>
    <w:rsid w:val="00CB3CB6"/>
    <w:rsid w:val="00CB42B3"/>
    <w:rsid w:val="00CB444C"/>
    <w:rsid w:val="00CB6904"/>
    <w:rsid w:val="00CB69B7"/>
    <w:rsid w:val="00CC0965"/>
    <w:rsid w:val="00CC28EB"/>
    <w:rsid w:val="00CC3F98"/>
    <w:rsid w:val="00CC4C63"/>
    <w:rsid w:val="00CC5128"/>
    <w:rsid w:val="00CC5CD5"/>
    <w:rsid w:val="00CC6259"/>
    <w:rsid w:val="00CC7BD4"/>
    <w:rsid w:val="00CC7DE1"/>
    <w:rsid w:val="00CD351E"/>
    <w:rsid w:val="00CD3AB3"/>
    <w:rsid w:val="00CD441A"/>
    <w:rsid w:val="00CD48B3"/>
    <w:rsid w:val="00CD5472"/>
    <w:rsid w:val="00CD69E9"/>
    <w:rsid w:val="00CD767A"/>
    <w:rsid w:val="00CD7D30"/>
    <w:rsid w:val="00CD7DC2"/>
    <w:rsid w:val="00CE01EC"/>
    <w:rsid w:val="00CE083A"/>
    <w:rsid w:val="00CE2F91"/>
    <w:rsid w:val="00CE3E06"/>
    <w:rsid w:val="00CE43DD"/>
    <w:rsid w:val="00CE5914"/>
    <w:rsid w:val="00CE5E5D"/>
    <w:rsid w:val="00CE5FFD"/>
    <w:rsid w:val="00CE65BA"/>
    <w:rsid w:val="00CF108F"/>
    <w:rsid w:val="00CF30AC"/>
    <w:rsid w:val="00CF56FF"/>
    <w:rsid w:val="00CF61B5"/>
    <w:rsid w:val="00D0191B"/>
    <w:rsid w:val="00D01CC4"/>
    <w:rsid w:val="00D02D7E"/>
    <w:rsid w:val="00D04957"/>
    <w:rsid w:val="00D06140"/>
    <w:rsid w:val="00D06326"/>
    <w:rsid w:val="00D10322"/>
    <w:rsid w:val="00D10715"/>
    <w:rsid w:val="00D133F0"/>
    <w:rsid w:val="00D138AC"/>
    <w:rsid w:val="00D14783"/>
    <w:rsid w:val="00D16A6C"/>
    <w:rsid w:val="00D21BB9"/>
    <w:rsid w:val="00D22092"/>
    <w:rsid w:val="00D225E2"/>
    <w:rsid w:val="00D22745"/>
    <w:rsid w:val="00D25DE9"/>
    <w:rsid w:val="00D2676E"/>
    <w:rsid w:val="00D2691E"/>
    <w:rsid w:val="00D27430"/>
    <w:rsid w:val="00D3067D"/>
    <w:rsid w:val="00D33B37"/>
    <w:rsid w:val="00D33B93"/>
    <w:rsid w:val="00D351C8"/>
    <w:rsid w:val="00D37266"/>
    <w:rsid w:val="00D375BE"/>
    <w:rsid w:val="00D40466"/>
    <w:rsid w:val="00D41784"/>
    <w:rsid w:val="00D43172"/>
    <w:rsid w:val="00D44701"/>
    <w:rsid w:val="00D50F8D"/>
    <w:rsid w:val="00D50FB3"/>
    <w:rsid w:val="00D519F2"/>
    <w:rsid w:val="00D51DEA"/>
    <w:rsid w:val="00D5218A"/>
    <w:rsid w:val="00D529B2"/>
    <w:rsid w:val="00D52D6E"/>
    <w:rsid w:val="00D5408E"/>
    <w:rsid w:val="00D54685"/>
    <w:rsid w:val="00D54D6B"/>
    <w:rsid w:val="00D55A32"/>
    <w:rsid w:val="00D56057"/>
    <w:rsid w:val="00D56313"/>
    <w:rsid w:val="00D5669A"/>
    <w:rsid w:val="00D57FC3"/>
    <w:rsid w:val="00D606B2"/>
    <w:rsid w:val="00D60A75"/>
    <w:rsid w:val="00D6138B"/>
    <w:rsid w:val="00D6207A"/>
    <w:rsid w:val="00D62EAA"/>
    <w:rsid w:val="00D64761"/>
    <w:rsid w:val="00D648F7"/>
    <w:rsid w:val="00D65597"/>
    <w:rsid w:val="00D672D4"/>
    <w:rsid w:val="00D67C75"/>
    <w:rsid w:val="00D70055"/>
    <w:rsid w:val="00D70351"/>
    <w:rsid w:val="00D70F14"/>
    <w:rsid w:val="00D71F55"/>
    <w:rsid w:val="00D722B4"/>
    <w:rsid w:val="00D7315E"/>
    <w:rsid w:val="00D74079"/>
    <w:rsid w:val="00D77615"/>
    <w:rsid w:val="00D77A84"/>
    <w:rsid w:val="00D77DAA"/>
    <w:rsid w:val="00D80371"/>
    <w:rsid w:val="00D80A63"/>
    <w:rsid w:val="00D818BF"/>
    <w:rsid w:val="00D8310D"/>
    <w:rsid w:val="00D83170"/>
    <w:rsid w:val="00D8463C"/>
    <w:rsid w:val="00D85AF6"/>
    <w:rsid w:val="00D85CEC"/>
    <w:rsid w:val="00D861F1"/>
    <w:rsid w:val="00D87EFF"/>
    <w:rsid w:val="00D92680"/>
    <w:rsid w:val="00D93629"/>
    <w:rsid w:val="00D95925"/>
    <w:rsid w:val="00D961C6"/>
    <w:rsid w:val="00D965F4"/>
    <w:rsid w:val="00D969EF"/>
    <w:rsid w:val="00D973F0"/>
    <w:rsid w:val="00DA062C"/>
    <w:rsid w:val="00DA0760"/>
    <w:rsid w:val="00DA3C87"/>
    <w:rsid w:val="00DA3F95"/>
    <w:rsid w:val="00DA449B"/>
    <w:rsid w:val="00DA582D"/>
    <w:rsid w:val="00DA64A6"/>
    <w:rsid w:val="00DB0058"/>
    <w:rsid w:val="00DB029F"/>
    <w:rsid w:val="00DB0D5D"/>
    <w:rsid w:val="00DB104A"/>
    <w:rsid w:val="00DB356A"/>
    <w:rsid w:val="00DB63F7"/>
    <w:rsid w:val="00DB680D"/>
    <w:rsid w:val="00DB7A8C"/>
    <w:rsid w:val="00DC0684"/>
    <w:rsid w:val="00DC06CA"/>
    <w:rsid w:val="00DC313B"/>
    <w:rsid w:val="00DC6EBC"/>
    <w:rsid w:val="00DC786D"/>
    <w:rsid w:val="00DC7A65"/>
    <w:rsid w:val="00DC7B52"/>
    <w:rsid w:val="00DD1237"/>
    <w:rsid w:val="00DD255E"/>
    <w:rsid w:val="00DD3044"/>
    <w:rsid w:val="00DD3939"/>
    <w:rsid w:val="00DD3CCB"/>
    <w:rsid w:val="00DD46B1"/>
    <w:rsid w:val="00DD48BF"/>
    <w:rsid w:val="00DD6B09"/>
    <w:rsid w:val="00DE14D1"/>
    <w:rsid w:val="00DE15C0"/>
    <w:rsid w:val="00DE19FF"/>
    <w:rsid w:val="00DE2237"/>
    <w:rsid w:val="00DE6422"/>
    <w:rsid w:val="00DE6CDA"/>
    <w:rsid w:val="00DF006A"/>
    <w:rsid w:val="00DF1332"/>
    <w:rsid w:val="00DF16CB"/>
    <w:rsid w:val="00DF1C3A"/>
    <w:rsid w:val="00DF3F20"/>
    <w:rsid w:val="00DF41BE"/>
    <w:rsid w:val="00DF580F"/>
    <w:rsid w:val="00DF65C1"/>
    <w:rsid w:val="00DF666E"/>
    <w:rsid w:val="00DF71FA"/>
    <w:rsid w:val="00DF72D2"/>
    <w:rsid w:val="00DF7494"/>
    <w:rsid w:val="00E013FF"/>
    <w:rsid w:val="00E016F0"/>
    <w:rsid w:val="00E02037"/>
    <w:rsid w:val="00E033B2"/>
    <w:rsid w:val="00E0407E"/>
    <w:rsid w:val="00E041C0"/>
    <w:rsid w:val="00E05C80"/>
    <w:rsid w:val="00E05D92"/>
    <w:rsid w:val="00E07BDA"/>
    <w:rsid w:val="00E1034B"/>
    <w:rsid w:val="00E1422D"/>
    <w:rsid w:val="00E14875"/>
    <w:rsid w:val="00E150B7"/>
    <w:rsid w:val="00E1534E"/>
    <w:rsid w:val="00E16090"/>
    <w:rsid w:val="00E16D58"/>
    <w:rsid w:val="00E20424"/>
    <w:rsid w:val="00E2098F"/>
    <w:rsid w:val="00E2131D"/>
    <w:rsid w:val="00E2280A"/>
    <w:rsid w:val="00E22F6D"/>
    <w:rsid w:val="00E22FD3"/>
    <w:rsid w:val="00E23867"/>
    <w:rsid w:val="00E24062"/>
    <w:rsid w:val="00E24815"/>
    <w:rsid w:val="00E26D65"/>
    <w:rsid w:val="00E308BD"/>
    <w:rsid w:val="00E30A43"/>
    <w:rsid w:val="00E30E57"/>
    <w:rsid w:val="00E31980"/>
    <w:rsid w:val="00E328F8"/>
    <w:rsid w:val="00E332DE"/>
    <w:rsid w:val="00E338C7"/>
    <w:rsid w:val="00E34F86"/>
    <w:rsid w:val="00E35D70"/>
    <w:rsid w:val="00E36484"/>
    <w:rsid w:val="00E364C8"/>
    <w:rsid w:val="00E41418"/>
    <w:rsid w:val="00E421DC"/>
    <w:rsid w:val="00E42513"/>
    <w:rsid w:val="00E42B02"/>
    <w:rsid w:val="00E44977"/>
    <w:rsid w:val="00E46019"/>
    <w:rsid w:val="00E46119"/>
    <w:rsid w:val="00E468E4"/>
    <w:rsid w:val="00E47B00"/>
    <w:rsid w:val="00E52D18"/>
    <w:rsid w:val="00E532AB"/>
    <w:rsid w:val="00E533C0"/>
    <w:rsid w:val="00E53B4D"/>
    <w:rsid w:val="00E53BEE"/>
    <w:rsid w:val="00E55205"/>
    <w:rsid w:val="00E556DD"/>
    <w:rsid w:val="00E5786D"/>
    <w:rsid w:val="00E57916"/>
    <w:rsid w:val="00E61428"/>
    <w:rsid w:val="00E615C0"/>
    <w:rsid w:val="00E61831"/>
    <w:rsid w:val="00E61C81"/>
    <w:rsid w:val="00E62176"/>
    <w:rsid w:val="00E62410"/>
    <w:rsid w:val="00E63565"/>
    <w:rsid w:val="00E63BBF"/>
    <w:rsid w:val="00E64418"/>
    <w:rsid w:val="00E6515C"/>
    <w:rsid w:val="00E65287"/>
    <w:rsid w:val="00E6561B"/>
    <w:rsid w:val="00E65CD5"/>
    <w:rsid w:val="00E70462"/>
    <w:rsid w:val="00E717AE"/>
    <w:rsid w:val="00E73611"/>
    <w:rsid w:val="00E74351"/>
    <w:rsid w:val="00E74574"/>
    <w:rsid w:val="00E74DAE"/>
    <w:rsid w:val="00E755A3"/>
    <w:rsid w:val="00E7670E"/>
    <w:rsid w:val="00E80076"/>
    <w:rsid w:val="00E8099A"/>
    <w:rsid w:val="00E80AD0"/>
    <w:rsid w:val="00E817B1"/>
    <w:rsid w:val="00E829CE"/>
    <w:rsid w:val="00E829D1"/>
    <w:rsid w:val="00E82CFE"/>
    <w:rsid w:val="00E837B2"/>
    <w:rsid w:val="00E83F6D"/>
    <w:rsid w:val="00E841D2"/>
    <w:rsid w:val="00E86115"/>
    <w:rsid w:val="00E8616D"/>
    <w:rsid w:val="00E86EE4"/>
    <w:rsid w:val="00E87FD1"/>
    <w:rsid w:val="00E90298"/>
    <w:rsid w:val="00E91694"/>
    <w:rsid w:val="00E924FB"/>
    <w:rsid w:val="00E92CD9"/>
    <w:rsid w:val="00E95CDD"/>
    <w:rsid w:val="00E95D7E"/>
    <w:rsid w:val="00E96C42"/>
    <w:rsid w:val="00E97D3D"/>
    <w:rsid w:val="00EA0CCF"/>
    <w:rsid w:val="00EA1087"/>
    <w:rsid w:val="00EA143D"/>
    <w:rsid w:val="00EA2FE0"/>
    <w:rsid w:val="00EA37FA"/>
    <w:rsid w:val="00EA3CBC"/>
    <w:rsid w:val="00EA4766"/>
    <w:rsid w:val="00EA5BD0"/>
    <w:rsid w:val="00EA668E"/>
    <w:rsid w:val="00EA6699"/>
    <w:rsid w:val="00EA690E"/>
    <w:rsid w:val="00EB211B"/>
    <w:rsid w:val="00EB223E"/>
    <w:rsid w:val="00EB2F5E"/>
    <w:rsid w:val="00EB341E"/>
    <w:rsid w:val="00EB3A72"/>
    <w:rsid w:val="00EB51A7"/>
    <w:rsid w:val="00EB5D4E"/>
    <w:rsid w:val="00EB6EED"/>
    <w:rsid w:val="00EC046B"/>
    <w:rsid w:val="00EC07A9"/>
    <w:rsid w:val="00EC0BBA"/>
    <w:rsid w:val="00EC1DF8"/>
    <w:rsid w:val="00EC2632"/>
    <w:rsid w:val="00EC38AD"/>
    <w:rsid w:val="00EC45A0"/>
    <w:rsid w:val="00EC65B7"/>
    <w:rsid w:val="00EC6C93"/>
    <w:rsid w:val="00EC7CBB"/>
    <w:rsid w:val="00ED0193"/>
    <w:rsid w:val="00ED0AE9"/>
    <w:rsid w:val="00ED1DAE"/>
    <w:rsid w:val="00ED50FD"/>
    <w:rsid w:val="00ED7D88"/>
    <w:rsid w:val="00ED7DB3"/>
    <w:rsid w:val="00EE0846"/>
    <w:rsid w:val="00EE09AE"/>
    <w:rsid w:val="00EE0E83"/>
    <w:rsid w:val="00EE2A65"/>
    <w:rsid w:val="00EE401F"/>
    <w:rsid w:val="00EE49B1"/>
    <w:rsid w:val="00EE4B4A"/>
    <w:rsid w:val="00EE61BB"/>
    <w:rsid w:val="00EE7182"/>
    <w:rsid w:val="00EE7231"/>
    <w:rsid w:val="00EE7949"/>
    <w:rsid w:val="00EE7EF7"/>
    <w:rsid w:val="00EF0204"/>
    <w:rsid w:val="00EF06FF"/>
    <w:rsid w:val="00EF40B3"/>
    <w:rsid w:val="00EF52F4"/>
    <w:rsid w:val="00EF584D"/>
    <w:rsid w:val="00EF671A"/>
    <w:rsid w:val="00F00383"/>
    <w:rsid w:val="00F00537"/>
    <w:rsid w:val="00F02012"/>
    <w:rsid w:val="00F02221"/>
    <w:rsid w:val="00F023B5"/>
    <w:rsid w:val="00F02C2D"/>
    <w:rsid w:val="00F0312F"/>
    <w:rsid w:val="00F03D20"/>
    <w:rsid w:val="00F0404C"/>
    <w:rsid w:val="00F05A74"/>
    <w:rsid w:val="00F05F98"/>
    <w:rsid w:val="00F06F34"/>
    <w:rsid w:val="00F10893"/>
    <w:rsid w:val="00F11A95"/>
    <w:rsid w:val="00F1359E"/>
    <w:rsid w:val="00F155D3"/>
    <w:rsid w:val="00F15E19"/>
    <w:rsid w:val="00F163D6"/>
    <w:rsid w:val="00F204CB"/>
    <w:rsid w:val="00F23AC1"/>
    <w:rsid w:val="00F24654"/>
    <w:rsid w:val="00F24675"/>
    <w:rsid w:val="00F25117"/>
    <w:rsid w:val="00F2592A"/>
    <w:rsid w:val="00F267BC"/>
    <w:rsid w:val="00F26A49"/>
    <w:rsid w:val="00F26C72"/>
    <w:rsid w:val="00F2754D"/>
    <w:rsid w:val="00F30872"/>
    <w:rsid w:val="00F30D19"/>
    <w:rsid w:val="00F33C72"/>
    <w:rsid w:val="00F3435B"/>
    <w:rsid w:val="00F352C6"/>
    <w:rsid w:val="00F352F6"/>
    <w:rsid w:val="00F359CC"/>
    <w:rsid w:val="00F36BF0"/>
    <w:rsid w:val="00F40752"/>
    <w:rsid w:val="00F410E6"/>
    <w:rsid w:val="00F41675"/>
    <w:rsid w:val="00F4174C"/>
    <w:rsid w:val="00F43759"/>
    <w:rsid w:val="00F46B79"/>
    <w:rsid w:val="00F479EF"/>
    <w:rsid w:val="00F5134A"/>
    <w:rsid w:val="00F52E26"/>
    <w:rsid w:val="00F5395B"/>
    <w:rsid w:val="00F54028"/>
    <w:rsid w:val="00F541FC"/>
    <w:rsid w:val="00F545AF"/>
    <w:rsid w:val="00F55CF4"/>
    <w:rsid w:val="00F55E7E"/>
    <w:rsid w:val="00F56071"/>
    <w:rsid w:val="00F6040F"/>
    <w:rsid w:val="00F60F53"/>
    <w:rsid w:val="00F60FBE"/>
    <w:rsid w:val="00F61DC8"/>
    <w:rsid w:val="00F630B1"/>
    <w:rsid w:val="00F641B9"/>
    <w:rsid w:val="00F64826"/>
    <w:rsid w:val="00F65866"/>
    <w:rsid w:val="00F65D87"/>
    <w:rsid w:val="00F669E2"/>
    <w:rsid w:val="00F66C8C"/>
    <w:rsid w:val="00F67401"/>
    <w:rsid w:val="00F71259"/>
    <w:rsid w:val="00F71373"/>
    <w:rsid w:val="00F714D6"/>
    <w:rsid w:val="00F72434"/>
    <w:rsid w:val="00F72B7E"/>
    <w:rsid w:val="00F7442A"/>
    <w:rsid w:val="00F75910"/>
    <w:rsid w:val="00F75CF5"/>
    <w:rsid w:val="00F773DA"/>
    <w:rsid w:val="00F80983"/>
    <w:rsid w:val="00F810A0"/>
    <w:rsid w:val="00F819DD"/>
    <w:rsid w:val="00F81D0A"/>
    <w:rsid w:val="00F82418"/>
    <w:rsid w:val="00F85B90"/>
    <w:rsid w:val="00F85E89"/>
    <w:rsid w:val="00F8619A"/>
    <w:rsid w:val="00F86240"/>
    <w:rsid w:val="00F87037"/>
    <w:rsid w:val="00F91B4F"/>
    <w:rsid w:val="00F91C6F"/>
    <w:rsid w:val="00F91CC9"/>
    <w:rsid w:val="00F92002"/>
    <w:rsid w:val="00F92B00"/>
    <w:rsid w:val="00F937F3"/>
    <w:rsid w:val="00F93968"/>
    <w:rsid w:val="00F96129"/>
    <w:rsid w:val="00F96956"/>
    <w:rsid w:val="00F971A0"/>
    <w:rsid w:val="00F97319"/>
    <w:rsid w:val="00FA01AD"/>
    <w:rsid w:val="00FA0C7A"/>
    <w:rsid w:val="00FA15D6"/>
    <w:rsid w:val="00FA260D"/>
    <w:rsid w:val="00FA39FA"/>
    <w:rsid w:val="00FA3F9F"/>
    <w:rsid w:val="00FA45AE"/>
    <w:rsid w:val="00FA4D5C"/>
    <w:rsid w:val="00FA51A6"/>
    <w:rsid w:val="00FB0A64"/>
    <w:rsid w:val="00FB0DD1"/>
    <w:rsid w:val="00FB1CAF"/>
    <w:rsid w:val="00FB35FF"/>
    <w:rsid w:val="00FB3F75"/>
    <w:rsid w:val="00FB5427"/>
    <w:rsid w:val="00FB5657"/>
    <w:rsid w:val="00FB60D9"/>
    <w:rsid w:val="00FC03D1"/>
    <w:rsid w:val="00FC0D96"/>
    <w:rsid w:val="00FC0E0D"/>
    <w:rsid w:val="00FC0EEA"/>
    <w:rsid w:val="00FC0F75"/>
    <w:rsid w:val="00FC1AD5"/>
    <w:rsid w:val="00FC1FBD"/>
    <w:rsid w:val="00FC3B81"/>
    <w:rsid w:val="00FC4D85"/>
    <w:rsid w:val="00FC5309"/>
    <w:rsid w:val="00FC5817"/>
    <w:rsid w:val="00FC71CE"/>
    <w:rsid w:val="00FC78AE"/>
    <w:rsid w:val="00FD02D0"/>
    <w:rsid w:val="00FD0391"/>
    <w:rsid w:val="00FD0DC8"/>
    <w:rsid w:val="00FD0FD9"/>
    <w:rsid w:val="00FD10D4"/>
    <w:rsid w:val="00FD123A"/>
    <w:rsid w:val="00FD1DCE"/>
    <w:rsid w:val="00FD25EB"/>
    <w:rsid w:val="00FD29A4"/>
    <w:rsid w:val="00FD29AD"/>
    <w:rsid w:val="00FD6386"/>
    <w:rsid w:val="00FD643D"/>
    <w:rsid w:val="00FD7790"/>
    <w:rsid w:val="00FE0F53"/>
    <w:rsid w:val="00FE168D"/>
    <w:rsid w:val="00FE1F71"/>
    <w:rsid w:val="00FE21D6"/>
    <w:rsid w:val="00FE2F96"/>
    <w:rsid w:val="00FE5B30"/>
    <w:rsid w:val="00FE5DD5"/>
    <w:rsid w:val="00FE6E29"/>
    <w:rsid w:val="00FE7EAE"/>
    <w:rsid w:val="00FF0C91"/>
    <w:rsid w:val="00FF20B8"/>
    <w:rsid w:val="00FF2348"/>
    <w:rsid w:val="00FF2F1F"/>
    <w:rsid w:val="00FF3601"/>
    <w:rsid w:val="00FF3841"/>
    <w:rsid w:val="00FF4586"/>
    <w:rsid w:val="00FF631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7EE19"/>
  <w15:docId w15:val="{DBB74356-5F96-490D-982F-D1599DEE3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CE4"/>
  </w:style>
  <w:style w:type="paragraph" w:styleId="Heading1">
    <w:name w:val="heading 1"/>
    <w:basedOn w:val="Normal"/>
    <w:next w:val="Normal"/>
    <w:link w:val="Heading1Char"/>
    <w:uiPriority w:val="9"/>
    <w:qFormat/>
    <w:rsid w:val="00250B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50B89"/>
    <w:pPr>
      <w:spacing w:before="100" w:beforeAutospacing="1" w:after="100" w:afterAutospacing="1" w:line="240" w:lineRule="auto"/>
      <w:outlineLvl w:val="1"/>
    </w:pPr>
    <w:rPr>
      <w:rFonts w:ascii="Times New Roman" w:eastAsia="Times New Roman" w:hAnsi="Times New Roman" w:cs="Times New Roman"/>
      <w:b/>
      <w:bCs/>
      <w:sz w:val="36"/>
      <w:szCs w:val="36"/>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21CE4"/>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styleId="Strong">
    <w:name w:val="Strong"/>
    <w:basedOn w:val="DefaultParagraphFont"/>
    <w:uiPriority w:val="22"/>
    <w:qFormat/>
    <w:rsid w:val="00321CE4"/>
    <w:rPr>
      <w:b/>
      <w:bCs/>
    </w:rPr>
  </w:style>
  <w:style w:type="character" w:styleId="Emphasis">
    <w:name w:val="Emphasis"/>
    <w:basedOn w:val="DefaultParagraphFont"/>
    <w:uiPriority w:val="20"/>
    <w:qFormat/>
    <w:rsid w:val="00321CE4"/>
    <w:rPr>
      <w:i/>
      <w:iCs/>
    </w:rPr>
  </w:style>
  <w:style w:type="paragraph" w:styleId="NoSpacing">
    <w:name w:val="No Spacing"/>
    <w:uiPriority w:val="1"/>
    <w:qFormat/>
    <w:rsid w:val="00321CE4"/>
    <w:pPr>
      <w:spacing w:after="0" w:line="240" w:lineRule="auto"/>
    </w:pPr>
  </w:style>
  <w:style w:type="paragraph" w:styleId="BalloonText">
    <w:name w:val="Balloon Text"/>
    <w:basedOn w:val="Normal"/>
    <w:link w:val="BalloonTextChar"/>
    <w:uiPriority w:val="99"/>
    <w:semiHidden/>
    <w:unhideWhenUsed/>
    <w:rsid w:val="00321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CE4"/>
    <w:rPr>
      <w:rFonts w:ascii="Tahoma" w:hAnsi="Tahoma" w:cs="Tahoma"/>
      <w:sz w:val="16"/>
      <w:szCs w:val="16"/>
    </w:rPr>
  </w:style>
  <w:style w:type="paragraph" w:styleId="ListParagraph">
    <w:name w:val="List Paragraph"/>
    <w:basedOn w:val="Normal"/>
    <w:uiPriority w:val="34"/>
    <w:qFormat/>
    <w:rsid w:val="00321CE4"/>
    <w:pPr>
      <w:ind w:left="720"/>
      <w:contextualSpacing/>
    </w:pPr>
  </w:style>
  <w:style w:type="paragraph" w:styleId="Header">
    <w:name w:val="header"/>
    <w:basedOn w:val="Normal"/>
    <w:link w:val="HeaderChar"/>
    <w:uiPriority w:val="99"/>
    <w:unhideWhenUsed/>
    <w:rsid w:val="00321C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1CE4"/>
  </w:style>
  <w:style w:type="paragraph" w:styleId="Footer">
    <w:name w:val="footer"/>
    <w:basedOn w:val="Normal"/>
    <w:link w:val="FooterChar"/>
    <w:uiPriority w:val="99"/>
    <w:unhideWhenUsed/>
    <w:rsid w:val="00321C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1CE4"/>
  </w:style>
  <w:style w:type="character" w:customStyle="1" w:styleId="Heading2Char">
    <w:name w:val="Heading 2 Char"/>
    <w:basedOn w:val="DefaultParagraphFont"/>
    <w:link w:val="Heading2"/>
    <w:uiPriority w:val="9"/>
    <w:rsid w:val="00250B89"/>
    <w:rPr>
      <w:rFonts w:ascii="Times New Roman" w:eastAsia="Times New Roman" w:hAnsi="Times New Roman" w:cs="Times New Roman"/>
      <w:b/>
      <w:bCs/>
      <w:sz w:val="36"/>
      <w:szCs w:val="36"/>
      <w:lang w:eastAsia="en-IN" w:bidi="hi-IN"/>
    </w:rPr>
  </w:style>
  <w:style w:type="character" w:customStyle="1" w:styleId="Heading1Char">
    <w:name w:val="Heading 1 Char"/>
    <w:basedOn w:val="DefaultParagraphFont"/>
    <w:link w:val="Heading1"/>
    <w:uiPriority w:val="9"/>
    <w:rsid w:val="00250B89"/>
    <w:rPr>
      <w:rFonts w:asciiTheme="majorHAnsi" w:eastAsiaTheme="majorEastAsia" w:hAnsiTheme="majorHAnsi" w:cstheme="majorBidi"/>
      <w:b/>
      <w:bCs/>
      <w:color w:val="365F91" w:themeColor="accent1" w:themeShade="BF"/>
      <w:sz w:val="28"/>
      <w:szCs w:val="28"/>
    </w:rPr>
  </w:style>
  <w:style w:type="paragraph" w:customStyle="1" w:styleId="pdq2pgselectionanchorcontainer">
    <w:name w:val="pdq2pg_selectionanchorcontainer"/>
    <w:basedOn w:val="Normal"/>
    <w:rsid w:val="00016E00"/>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styleId="Hyperlink">
    <w:name w:val="Hyperlink"/>
    <w:basedOn w:val="DefaultParagraphFont"/>
    <w:uiPriority w:val="99"/>
    <w:unhideWhenUsed/>
    <w:rsid w:val="00E0407E"/>
    <w:rPr>
      <w:color w:val="0000FF" w:themeColor="hyperlink"/>
      <w:u w:val="single"/>
    </w:rPr>
  </w:style>
  <w:style w:type="character" w:styleId="UnresolvedMention">
    <w:name w:val="Unresolved Mention"/>
    <w:basedOn w:val="DefaultParagraphFont"/>
    <w:uiPriority w:val="99"/>
    <w:semiHidden/>
    <w:unhideWhenUsed/>
    <w:rsid w:val="00E160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441591">
      <w:bodyDiv w:val="1"/>
      <w:marLeft w:val="0"/>
      <w:marRight w:val="0"/>
      <w:marTop w:val="0"/>
      <w:marBottom w:val="0"/>
      <w:divBdr>
        <w:top w:val="none" w:sz="0" w:space="0" w:color="auto"/>
        <w:left w:val="none" w:sz="0" w:space="0" w:color="auto"/>
        <w:bottom w:val="none" w:sz="0" w:space="0" w:color="auto"/>
        <w:right w:val="none" w:sz="0" w:space="0" w:color="auto"/>
      </w:divBdr>
    </w:div>
    <w:div w:id="1258103702">
      <w:bodyDiv w:val="1"/>
      <w:marLeft w:val="0"/>
      <w:marRight w:val="0"/>
      <w:marTop w:val="0"/>
      <w:marBottom w:val="0"/>
      <w:divBdr>
        <w:top w:val="none" w:sz="0" w:space="0" w:color="auto"/>
        <w:left w:val="none" w:sz="0" w:space="0" w:color="auto"/>
        <w:bottom w:val="none" w:sz="0" w:space="0" w:color="auto"/>
        <w:right w:val="none" w:sz="0" w:space="0" w:color="auto"/>
      </w:divBdr>
    </w:div>
    <w:div w:id="1274094239">
      <w:bodyDiv w:val="1"/>
      <w:marLeft w:val="0"/>
      <w:marRight w:val="0"/>
      <w:marTop w:val="0"/>
      <w:marBottom w:val="0"/>
      <w:divBdr>
        <w:top w:val="none" w:sz="0" w:space="0" w:color="auto"/>
        <w:left w:val="none" w:sz="0" w:space="0" w:color="auto"/>
        <w:bottom w:val="none" w:sz="0" w:space="0" w:color="auto"/>
        <w:right w:val="none" w:sz="0" w:space="0" w:color="auto"/>
      </w:divBdr>
    </w:div>
    <w:div w:id="142279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hyperlink" Target="https://doi.org/10.1186/s43094-020-00091-5" TargetMode="External"/><Relationship Id="rId26" Type="http://schemas.openxmlformats.org/officeDocument/2006/relationships/hyperlink" Target="https://doi.org/10.1016/0305-1978(92)90087-T" TargetMode="External"/><Relationship Id="rId21" Type="http://schemas.openxmlformats.org/officeDocument/2006/relationships/hyperlink" Target="https://doi.org/10.1016/j.medidd.2025.100211" TargetMode="External"/><Relationship Id="rId34" Type="http://schemas.openxmlformats.org/officeDocument/2006/relationships/header" Target="header3.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hyperlink" Target="https://doi.org/10.2174/1573411016999200602124813%5d" TargetMode="External"/><Relationship Id="rId25" Type="http://schemas.openxmlformats.org/officeDocument/2006/relationships/hyperlink" Target="https://doi.org/10.1002/jemt.23110" TargetMode="External"/><Relationship Id="rId33"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hyperlink" Target="https://doi.org/10.1016/j.foohum.2024.100343" TargetMode="External"/><Relationship Id="rId29" Type="http://schemas.openxmlformats.org/officeDocument/2006/relationships/hyperlink" Target="https://doi.org/10.22271/phyto.2021.v10.i2b.13971"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doi.org/10.56557/bn/2026/v46i22138"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hyperlink" Target="https://doi.org/10.3389/fphar.2022.853023" TargetMode="External"/><Relationship Id="rId28" Type="http://schemas.openxmlformats.org/officeDocument/2006/relationships/hyperlink" Target="https://doi.org/10.1016/j.chroma.2025.466313" TargetMode="External"/><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hyperlink" Target="https://doi.org/10.2174/1573411016999200602124813" TargetMode="External"/><Relationship Id="rId31"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doi.org/10.1002/bmc.70185?utm_source=chatgpt.com" TargetMode="External"/><Relationship Id="rId27" Type="http://schemas.openxmlformats.org/officeDocument/2006/relationships/hyperlink" Target="https://doi.org/10.9734/ejmp/2025/v36i31269?utm_source=chatgpt.com"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478</TotalTime>
  <Pages>18</Pages>
  <Words>5418</Words>
  <Characters>30883</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MANOJ</dc:creator>
  <cp:lastModifiedBy>SDI CPU 1117</cp:lastModifiedBy>
  <cp:revision>33</cp:revision>
  <dcterms:created xsi:type="dcterms:W3CDTF">2026-07-29T05:59:00Z</dcterms:created>
  <dcterms:modified xsi:type="dcterms:W3CDTF">2026-10-06T11:09:00Z</dcterms:modified>
</cp:coreProperties>
</file>