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A607" w14:textId="77777777" w:rsidR="005860A8" w:rsidRDefault="00CA3585" w:rsidP="005D3BAF">
      <w:pPr>
        <w:spacing w:after="240" w:line="276" w:lineRule="auto"/>
        <w:jc w:val="both"/>
      </w:pPr>
      <w:r>
        <w:rPr>
          <w:b/>
          <w:sz w:val="28"/>
        </w:rPr>
        <w:t xml:space="preserve">Resurgence of </w:t>
      </w:r>
      <w:proofErr w:type="spellStart"/>
      <w:r>
        <w:rPr>
          <w:b/>
          <w:sz w:val="28"/>
        </w:rPr>
        <w:t>Chandipura</w:t>
      </w:r>
      <w:proofErr w:type="spellEnd"/>
      <w:r>
        <w:rPr>
          <w:b/>
          <w:sz w:val="28"/>
        </w:rPr>
        <w:t xml:space="preserve"> Virus Encephalitis in Western India, 2026: A Descriptive Surveillance Analysis of Test Positivity and Case Fatality, with Implications for Laboratory Diagnostics</w:t>
      </w:r>
    </w:p>
    <w:p w14:paraId="78ED30DB" w14:textId="77777777" w:rsidR="005860A8" w:rsidRDefault="00CA3585" w:rsidP="005D3BAF">
      <w:pPr>
        <w:pStyle w:val="Heading1"/>
        <w:jc w:val="both"/>
      </w:pPr>
      <w:r>
        <w:t>Abstract</w:t>
      </w:r>
    </w:p>
    <w:p w14:paraId="3E784B5A" w14:textId="77777777" w:rsidR="005860A8" w:rsidRDefault="00CA3585" w:rsidP="005D3BAF">
      <w:pPr>
        <w:spacing w:after="80"/>
        <w:jc w:val="both"/>
      </w:pPr>
      <w:r>
        <w:rPr>
          <w:b/>
        </w:rPr>
        <w:t>Introduction:</w:t>
      </w:r>
      <w:r>
        <w:t xml:space="preserve"> Chandipura virus (CHPV) causes acute encephalitis syndrome (AES) </w:t>
      </w:r>
      <w:r>
        <w:rPr>
          <w:highlight w:val="yellow"/>
        </w:rPr>
        <w:t>and is associated with high mortality among children</w:t>
      </w:r>
      <w:r>
        <w:t xml:space="preserve"> in central and western India. </w:t>
      </w:r>
      <w:r>
        <w:rPr>
          <w:highlight w:val="yellow"/>
        </w:rPr>
        <w:t>Following the major 2024 outbreak</w:t>
      </w:r>
      <w:r>
        <w:t>, Gujarat reported a resurgence beginning on 30 June 2026. This study characterised the course of the outbreak and quantified laboratory and mortality indicators with measures of uncertainty.</w:t>
      </w:r>
    </w:p>
    <w:p w14:paraId="27EF9709" w14:textId="77777777" w:rsidR="005860A8" w:rsidRDefault="00CA3585" w:rsidP="005D3BAF">
      <w:pPr>
        <w:spacing w:after="80"/>
        <w:jc w:val="both"/>
      </w:pPr>
      <w:r>
        <w:rPr>
          <w:b/>
        </w:rPr>
        <w:t>Methods:</w:t>
      </w:r>
      <w:r>
        <w:t xml:space="preserve"> Descriptive secondary analysis of </w:t>
      </w:r>
      <w:r>
        <w:rPr>
          <w:highlight w:val="yellow"/>
        </w:rPr>
        <w:t>aggregated state health bulletins distributed through news services between 21 July and 28 August 2026</w:t>
      </w:r>
      <w:r>
        <w:t xml:space="preserve">. Cumulative and interval test positivity (confirmed cases divided by available results) and the crude case fatality rate (CFR) among confirmed cases were calculated with 95% Wilson </w:t>
      </w:r>
      <w:r>
        <w:rPr>
          <w:highlight w:val="yellow"/>
        </w:rPr>
        <w:t>confidence intervals (CIs)</w:t>
      </w:r>
      <w:r>
        <w:t>.</w:t>
      </w:r>
    </w:p>
    <w:p w14:paraId="2D81F7DB" w14:textId="77777777" w:rsidR="005860A8" w:rsidRDefault="00CA3585" w:rsidP="005D3BAF">
      <w:pPr>
        <w:spacing w:after="80"/>
        <w:jc w:val="both"/>
      </w:pPr>
      <w:r>
        <w:rPr>
          <w:b/>
        </w:rPr>
        <w:t>Results:</w:t>
      </w:r>
      <w:r>
        <w:t xml:space="preserve"> By 28 August, 324 suspected cases had been reported in Gujarat, of which 42 were confirmed; 28 </w:t>
      </w:r>
      <w:r>
        <w:rPr>
          <w:highlight w:val="yellow"/>
        </w:rPr>
        <w:t>deaths occurred among confirmed cases</w:t>
      </w:r>
      <w:r>
        <w:t xml:space="preserve"> (crude CFR 66.7%, 95% CI 51.6-79.0). Cumulative positivity fell from 21.8% (12.9-34.4) to 13.4% (10.1-17.6). Interval positivity fell from 19.5% (13.4-27.6) for 21 July-4 August to 1.5% (0.3-7.9) for 14-28 August, when 67 new suspected cases yielded one new confirmed case. Cases occurred in 12 districts of Gujarat and three of Rajasthan. No vector sample tested positive.</w:t>
      </w:r>
    </w:p>
    <w:p w14:paraId="6E0E6040" w14:textId="77777777" w:rsidR="005860A8" w:rsidRDefault="00CA3585" w:rsidP="005D3BAF">
      <w:pPr>
        <w:spacing w:after="80"/>
        <w:jc w:val="both"/>
      </w:pPr>
      <w:r>
        <w:rPr>
          <w:b/>
        </w:rPr>
        <w:t>Discussion:</w:t>
      </w:r>
      <w:r>
        <w:t xml:space="preserve"> Confirmed cases plateaued </w:t>
      </w:r>
      <w:r>
        <w:rPr>
          <w:highlight w:val="yellow"/>
        </w:rPr>
        <w:t>while suspected case counts continued to rise</w:t>
      </w:r>
      <w:r>
        <w:t xml:space="preserve">, suggesting that many current AES cases may not be CHPV infections. Reporting delays, pending results and </w:t>
      </w:r>
      <w:r>
        <w:rPr>
          <w:highlight w:val="yellow"/>
        </w:rPr>
        <w:t>changes in case definitions</w:t>
      </w:r>
      <w:r>
        <w:t xml:space="preserve"> cannot be excluded.</w:t>
      </w:r>
    </w:p>
    <w:p w14:paraId="388F7355" w14:textId="77777777" w:rsidR="005860A8" w:rsidRDefault="00CA3585" w:rsidP="005D3BAF">
      <w:pPr>
        <w:spacing w:after="80"/>
        <w:jc w:val="both"/>
      </w:pPr>
      <w:r>
        <w:rPr>
          <w:b/>
        </w:rPr>
        <w:t>Conclusions:</w:t>
      </w:r>
      <w:r>
        <w:t xml:space="preserve"> This was a severe regional outbreak with a very high crude CFR among confirmed cases. Prompt differential diagnosis, district-level molecular testing and </w:t>
      </w:r>
      <w:r>
        <w:rPr>
          <w:highlight w:val="yellow"/>
        </w:rPr>
        <w:t>line-listed reporting are required</w:t>
      </w:r>
      <w:r>
        <w:t>. National burden could not be determined.</w:t>
      </w:r>
    </w:p>
    <w:p w14:paraId="724855EC" w14:textId="77777777" w:rsidR="005860A8" w:rsidRDefault="00CA3585" w:rsidP="005D3BAF">
      <w:pPr>
        <w:jc w:val="both"/>
      </w:pPr>
      <w:r>
        <w:rPr>
          <w:b/>
        </w:rPr>
        <w:t>Keywords:</w:t>
      </w:r>
      <w:r>
        <w:t xml:space="preserve"> </w:t>
      </w:r>
      <w:proofErr w:type="spellStart"/>
      <w:r>
        <w:t>Chandipura</w:t>
      </w:r>
      <w:proofErr w:type="spellEnd"/>
      <w:r>
        <w:t xml:space="preserve"> virus; acute encephalitis syndrome; outbreak; Gujarat; RT-PCR; test positivity</w:t>
      </w:r>
    </w:p>
    <w:p w14:paraId="5C153AF7" w14:textId="77777777" w:rsidR="005860A8" w:rsidRDefault="00CA3585" w:rsidP="005D3BAF">
      <w:pPr>
        <w:jc w:val="both"/>
      </w:pPr>
      <w:r>
        <w:br w:type="page"/>
      </w:r>
    </w:p>
    <w:p w14:paraId="3583F5DD" w14:textId="77777777" w:rsidR="005860A8" w:rsidRDefault="00CA3585" w:rsidP="005D3BAF">
      <w:pPr>
        <w:pStyle w:val="Heading1"/>
        <w:jc w:val="both"/>
      </w:pPr>
      <w:r>
        <w:lastRenderedPageBreak/>
        <w:t>Introduction</w:t>
      </w:r>
    </w:p>
    <w:p w14:paraId="227BFADA" w14:textId="77777777" w:rsidR="005860A8" w:rsidRPr="005D3BAF" w:rsidRDefault="00CA3585" w:rsidP="005D3BAF">
      <w:pPr>
        <w:jc w:val="both"/>
      </w:pPr>
      <w:r>
        <w:t xml:space="preserve">Chandipura virus (CHPV) was first isolated in 1965 from people with fever in Nagpur district, Maharashtra, and was named after a nearby village </w:t>
      </w:r>
      <w:r>
        <w:rPr>
          <w:highlight w:val="yellow"/>
        </w:rPr>
        <w:t>(Bhatt &amp; Rodrigues, 1967)</w:t>
      </w:r>
      <w:r>
        <w:t xml:space="preserve">. It is an enveloped, bullet-shaped, single-stranded, negative-sense RNA virus. </w:t>
      </w:r>
      <w:r>
        <w:rPr>
          <w:highlight w:val="yellow"/>
        </w:rPr>
        <w:t>It belongs to the same family as vesicular stomatitis viruses</w:t>
      </w:r>
      <w:r>
        <w:t xml:space="preserve"> and is one of the vesiculoviruses known to cause illness in humans </w:t>
      </w:r>
      <w:r>
        <w:rPr>
          <w:highlight w:val="yellow"/>
        </w:rPr>
        <w:t xml:space="preserve">(Menghani et al., 2012; </w:t>
      </w:r>
      <w:r w:rsidRPr="005D3BAF">
        <w:rPr>
          <w:highlight w:val="yellow"/>
        </w:rPr>
        <w:t>Sudeep et al., 2016)</w:t>
      </w:r>
      <w:r w:rsidRPr="005D3BAF">
        <w:t>. Infection begins with fever and can progress rapidly to seizures, confusion, loss of consciousness, coma and death, especially in children.</w:t>
      </w:r>
      <w:r w:rsidRPr="005D3BAF">
        <w:rPr>
          <w:highlight w:val="yellow"/>
        </w:rPr>
        <w:t xml:space="preserve"> Recent reviews have described molecular and serological methods for laboratory confirmation of CHPV infection (Deshwali &amp; Sharma, 2025; Mallick et al., 2025).</w:t>
      </w:r>
    </w:p>
    <w:p w14:paraId="09532F53" w14:textId="77777777" w:rsidR="005860A8" w:rsidRPr="005D3BAF" w:rsidRDefault="00CA3585" w:rsidP="005D3BAF">
      <w:pPr>
        <w:jc w:val="both"/>
      </w:pPr>
      <w:r w:rsidRPr="005D3BAF">
        <w:rPr>
          <w:highlight w:val="yellow"/>
        </w:rPr>
        <w:t>Other outbreaks of CHPV-associated acute encephalitis syndrome (AES) include one</w:t>
      </w:r>
      <w:r w:rsidRPr="005D3BAF">
        <w:t xml:space="preserve"> in Andhra Pradesh in 2003, with 329 suspected cases and 183 deaths </w:t>
      </w:r>
      <w:r w:rsidRPr="005D3BAF">
        <w:rPr>
          <w:highlight w:val="yellow"/>
        </w:rPr>
        <w:t>(Rao et al., 2004)</w:t>
      </w:r>
      <w:r w:rsidRPr="005D3BAF">
        <w:t xml:space="preserve">, one in eastern Gujarat in 2004 </w:t>
      </w:r>
      <w:r w:rsidRPr="005D3BAF">
        <w:rPr>
          <w:highlight w:val="yellow"/>
        </w:rPr>
        <w:t>(Chadha et al., 2005)</w:t>
      </w:r>
      <w:r w:rsidRPr="005D3BAF">
        <w:t xml:space="preserve"> and one in Nagpur division, Maharashtra, in 2007 </w:t>
      </w:r>
      <w:r w:rsidRPr="005D3BAF">
        <w:rPr>
          <w:highlight w:val="yellow"/>
        </w:rPr>
        <w:t>(Gurav et al., 2010)</w:t>
      </w:r>
      <w:r w:rsidRPr="005D3BAF">
        <w:t xml:space="preserve">. The case fatality rate in the 2003-2004 outbreaks in central India was estimated at 56-75% </w:t>
      </w:r>
      <w:r w:rsidRPr="005D3BAF">
        <w:rPr>
          <w:highlight w:val="yellow"/>
        </w:rPr>
        <w:t>(Sudeep et al., 2016)</w:t>
      </w:r>
      <w:r w:rsidRPr="005D3BAF">
        <w:t xml:space="preserve">. Phlebotomine sandflies are believed to be the primary vector, although </w:t>
      </w:r>
      <w:r w:rsidRPr="005D3BAF">
        <w:rPr>
          <w:i/>
        </w:rPr>
        <w:t>Sergentomyia</w:t>
      </w:r>
      <w:r w:rsidRPr="005D3BAF">
        <w:t xml:space="preserve"> species, mosquitoes and ticks are also suspected. Outbreaks typically occur during the monsoon and post-monsoon periods </w:t>
      </w:r>
      <w:r w:rsidRPr="005D3BAF">
        <w:rPr>
          <w:highlight w:val="yellow"/>
        </w:rPr>
        <w:t>(Geevarghese et al., 2005; Menghani et al., 2012; Sudeep et al., 2016)</w:t>
      </w:r>
      <w:r w:rsidRPr="005D3BAF">
        <w:t xml:space="preserve">. </w:t>
      </w:r>
      <w:r w:rsidRPr="005D3BAF">
        <w:rPr>
          <w:highlight w:val="yellow"/>
        </w:rPr>
        <w:t>No licensed vaccine or specific antiviral treatment is available; management is limited to supportive care</w:t>
      </w:r>
      <w:r w:rsidRPr="005D3BAF">
        <w:t xml:space="preserve"> </w:t>
      </w:r>
      <w:r w:rsidRPr="005D3BAF">
        <w:rPr>
          <w:highlight w:val="yellow"/>
        </w:rPr>
        <w:t>(Sapkal et al., 2018; Sudeep et al., 2016)</w:t>
      </w:r>
      <w:r w:rsidRPr="005D3BAF">
        <w:t>.</w:t>
      </w:r>
    </w:p>
    <w:p w14:paraId="574B4A7C" w14:textId="77777777" w:rsidR="005860A8" w:rsidRPr="005D3BAF" w:rsidRDefault="00CA3585" w:rsidP="005D3BAF">
      <w:pPr>
        <w:jc w:val="both"/>
      </w:pPr>
      <w:r w:rsidRPr="005D3BAF">
        <w:t xml:space="preserve">The World Health Organization (WHO) reported that the period from early June to 15 August 2024 saw the largest number of AES cases in India in the last 20 years: 245 cases with 82 deaths (33%). Laboratories confirmed CHPV in 64 of these cases, 61 in Gujarat and three in Rajasthan </w:t>
      </w:r>
      <w:r w:rsidRPr="005D3BAF">
        <w:rPr>
          <w:highlight w:val="yellow"/>
        </w:rPr>
        <w:t>(World Health Organization, 2024)</w:t>
      </w:r>
      <w:r w:rsidRPr="005D3BAF">
        <w:t xml:space="preserve">. </w:t>
      </w:r>
      <w:r w:rsidRPr="005D3BAF">
        <w:rPr>
          <w:highlight w:val="yellow"/>
        </w:rPr>
        <w:t>In 2026, Gujarat experienced another increase in AES cases, beginning on 30 June</w:t>
      </w:r>
      <w:r w:rsidRPr="005D3BAF">
        <w:t xml:space="preserve">. The cases spread to Rajasthan, and in August the Union Ministry of Health and Family Welfare sent a National Joint Outbreak Response Team (NJORT) to each state </w:t>
      </w:r>
      <w:r w:rsidRPr="005D3BAF">
        <w:rPr>
          <w:highlight w:val="yellow"/>
        </w:rPr>
        <w:t>(News Arena Network, 2026)</w:t>
      </w:r>
      <w:r w:rsidRPr="005D3BAF">
        <w:t>.</w:t>
      </w:r>
    </w:p>
    <w:p w14:paraId="7E754DE3" w14:textId="77777777" w:rsidR="00F47D17" w:rsidRPr="005D3BAF" w:rsidRDefault="00000000" w:rsidP="005D3BAF">
      <w:pPr>
        <w:jc w:val="both"/>
      </w:pPr>
      <w:r w:rsidRPr="005D3BAF">
        <w:rPr>
          <w:highlight w:val="yellow"/>
        </w:rPr>
        <w:t xml:space="preserve">Recent discussion of the 2024 resurgence emphasised access to decentralised diagnostic services and systematic surveillance reporting as public health priorities (Garg et al., 2024). Genomic investigation of a CHPV isolate from Gujarat also highlighted the limited availability of viral genomic data and the need for broader genomic surveillance (Shukla et al., 2026). A methodological review of Nipah virus diagnosis examined the timing of molecular and serological measurements in proposed diagnostic frameworks; because it </w:t>
      </w:r>
      <w:r w:rsidRPr="005D3BAF">
        <w:rPr>
          <w:highlight w:val="yellow"/>
        </w:rPr>
        <w:lastRenderedPageBreak/>
        <w:t>concerns a different virus, its findings cannot establish CHPV assay performance (Joseph et al., 2026).</w:t>
      </w:r>
    </w:p>
    <w:p w14:paraId="7539EB4F" w14:textId="77777777" w:rsidR="005860A8" w:rsidRDefault="00CA3585" w:rsidP="005D3BAF">
      <w:pPr>
        <w:jc w:val="both"/>
      </w:pPr>
      <w:r w:rsidRPr="005D3BAF">
        <w:rPr>
          <w:highlight w:val="yellow"/>
        </w:rPr>
        <w:t>Three considerations motivate this study</w:t>
      </w:r>
      <w:r w:rsidRPr="005D3BAF">
        <w:t xml:space="preserve">. First, the 2026 data are available mainly as media reports of state bulletins, and </w:t>
      </w:r>
      <w:r w:rsidRPr="005D3BAF">
        <w:rPr>
          <w:highlight w:val="yellow"/>
        </w:rPr>
        <w:t>the inconsistencies in these reports have not been systematically examined</w:t>
      </w:r>
      <w:r w:rsidRPr="005D3BAF">
        <w:t xml:space="preserve">. Second, the relationship between suspected AES cases, laboratory-confirmed cases and mortality </w:t>
      </w:r>
      <w:r w:rsidRPr="005D3BAF">
        <w:rPr>
          <w:highlight w:val="yellow"/>
        </w:rPr>
        <w:t>requires examination with quantified uncertainty</w:t>
      </w:r>
      <w:r w:rsidRPr="005D3BAF">
        <w:t xml:space="preserve"> rather than headline counts. Third, the implications for laboratory diagnosis and for</w:t>
      </w:r>
      <w:r>
        <w:t xml:space="preserve"> the responsible development of predictive models, in relation to established reporting standards, need to be considered. The objectives were to (i) describe the 2026 trajectory as reported; (ii) calculate test positivity and crude case fatality with 95% confidence intervals, and derive interval-specific estimates to remove the </w:t>
      </w:r>
      <w:r>
        <w:rPr>
          <w:highlight w:val="yellow"/>
        </w:rPr>
        <w:t>dependence inherent in cumulative series</w:t>
      </w:r>
      <w:r>
        <w:t>; (iii) compare this outbreak with previously described outbreaks; and (iv) propose a methodologically sound laboratory research plan.</w:t>
      </w:r>
    </w:p>
    <w:p w14:paraId="4A051AA1" w14:textId="77777777" w:rsidR="005860A8" w:rsidRDefault="00CA3585" w:rsidP="005D3BAF">
      <w:pPr>
        <w:pStyle w:val="Heading1"/>
        <w:jc w:val="both"/>
      </w:pPr>
      <w:r>
        <w:t>Methods</w:t>
      </w:r>
    </w:p>
    <w:p w14:paraId="40DB5FBD" w14:textId="77777777" w:rsidR="005860A8" w:rsidRDefault="00CA3585" w:rsidP="005D3BAF">
      <w:pPr>
        <w:pStyle w:val="Heading2"/>
        <w:jc w:val="both"/>
      </w:pPr>
      <w:r>
        <w:t>Study design and reporting</w:t>
      </w:r>
    </w:p>
    <w:p w14:paraId="3AF4B9EA" w14:textId="77777777" w:rsidR="005860A8" w:rsidRDefault="00CA3585" w:rsidP="005D3BAF">
      <w:pPr>
        <w:jc w:val="both"/>
      </w:pPr>
      <w:r>
        <w:t xml:space="preserve">This was a descriptive, retrospective secondary analysis of </w:t>
      </w:r>
      <w:r>
        <w:rPr>
          <w:highlight w:val="yellow"/>
        </w:rPr>
        <w:t>aggregated public data, reported in accordance</w:t>
      </w:r>
      <w:r>
        <w:t xml:space="preserve"> with the applicable sections of the STROBE statement </w:t>
      </w:r>
      <w:r>
        <w:rPr>
          <w:highlight w:val="yellow"/>
        </w:rPr>
        <w:t>(von Elm et al., 2007)</w:t>
      </w:r>
      <w:r>
        <w:t>. No individual-level data were used.</w:t>
      </w:r>
    </w:p>
    <w:p w14:paraId="598D2132" w14:textId="77777777" w:rsidR="005860A8" w:rsidRDefault="00CA3585" w:rsidP="005D3BAF">
      <w:pPr>
        <w:pStyle w:val="Heading2"/>
        <w:jc w:val="both"/>
      </w:pPr>
      <w:r>
        <w:t>Data sources and selection</w:t>
      </w:r>
    </w:p>
    <w:p w14:paraId="163F572E" w14:textId="7FE23E10" w:rsidR="005860A8" w:rsidRDefault="00CA3585" w:rsidP="005D3BAF">
      <w:pPr>
        <w:jc w:val="both"/>
      </w:pPr>
      <w:r>
        <w:t xml:space="preserve">We searched for official and media reports of Gujarat Health Department bulletins published after 30 June 2026, the WHO Disease Outbreak News report of 2024 </w:t>
      </w:r>
      <w:r>
        <w:rPr>
          <w:highlight w:val="yellow"/>
        </w:rPr>
        <w:t>(World Health Organization, 2024)</w:t>
      </w:r>
      <w:r>
        <w:t xml:space="preserve"> and the scholarly literature on CHPV. The last search was conducted on 14 October 2026. Bulletin data were taken from reports released by the Indo-Asian News Service (IANS) and reproduced by local media </w:t>
      </w:r>
      <w:r>
        <w:rPr>
          <w:highlight w:val="yellow"/>
        </w:rPr>
        <w:t>(Indo-Asian News Service, 2026a; Indo-Asian News Service, 2026b; Indo-Asian News Service, 2026c)</w:t>
      </w:r>
      <w:r>
        <w:t xml:space="preserve">. These were supplemented by statements of the state Health Minister </w:t>
      </w:r>
      <w:r>
        <w:rPr>
          <w:highlight w:val="yellow"/>
        </w:rPr>
        <w:t>(Indo-Asian News Service, 2026d; Press Trust of India, 2026)</w:t>
      </w:r>
      <w:r>
        <w:t xml:space="preserve">, an institutional overview </w:t>
      </w:r>
      <w:r>
        <w:rPr>
          <w:highlight w:val="yellow"/>
        </w:rPr>
        <w:t>(</w:t>
      </w:r>
      <w:r w:rsidR="00FA1192" w:rsidRPr="00FA1192">
        <w:rPr>
          <w:highlight w:val="yellow"/>
        </w:rPr>
        <w:t>IIHMR University</w:t>
      </w:r>
      <w:r w:rsidRPr="00FA1192">
        <w:rPr>
          <w:highlight w:val="yellow"/>
        </w:rPr>
        <w:t xml:space="preserve">, </w:t>
      </w:r>
      <w:r>
        <w:rPr>
          <w:highlight w:val="yellow"/>
        </w:rPr>
        <w:t>2026)</w:t>
      </w:r>
      <w:r>
        <w:t xml:space="preserve"> and documentation of the NJORT inquiry </w:t>
      </w:r>
      <w:r>
        <w:rPr>
          <w:highlight w:val="yellow"/>
        </w:rPr>
        <w:t>(News Arena Network, 2026; Observer Onl</w:t>
      </w:r>
      <w:r w:rsidRPr="00FA1192">
        <w:rPr>
          <w:highlight w:val="yellow"/>
        </w:rPr>
        <w:t>ine</w:t>
      </w:r>
      <w:r w:rsidR="00FA1192" w:rsidRPr="00FA1192">
        <w:rPr>
          <w:highlight w:val="yellow"/>
        </w:rPr>
        <w:t xml:space="preserve"> </w:t>
      </w:r>
      <w:r w:rsidR="00FA1192" w:rsidRPr="00FA1192">
        <w:rPr>
          <w:highlight w:val="yellow"/>
        </w:rPr>
        <w:t>Report</w:t>
      </w:r>
      <w:r w:rsidRPr="00FA1192">
        <w:rPr>
          <w:highlight w:val="yellow"/>
        </w:rPr>
        <w:t xml:space="preserve">, </w:t>
      </w:r>
      <w:r>
        <w:rPr>
          <w:highlight w:val="yellow"/>
        </w:rPr>
        <w:t>2026)</w:t>
      </w:r>
      <w:r>
        <w:t xml:space="preserve">. When reports of the same bulletin gave different figures, we preferred the report with a clearly stated data cut-off that was verified by at least two independent sources. The latest bulletin we could </w:t>
      </w:r>
      <w:r>
        <w:lastRenderedPageBreak/>
        <w:t>locate was dated 28 August 2026. The results therefore describe the situation up to that date and not the severity of the outbreak on 14 October 2026.</w:t>
      </w:r>
    </w:p>
    <w:p w14:paraId="1700354A" w14:textId="77777777" w:rsidR="005860A8" w:rsidRDefault="00CA3585" w:rsidP="005D3BAF">
      <w:pPr>
        <w:pStyle w:val="Heading2"/>
        <w:jc w:val="both"/>
      </w:pPr>
      <w:r>
        <w:t>Definitions</w:t>
      </w:r>
    </w:p>
    <w:p w14:paraId="7E09067C" w14:textId="77777777" w:rsidR="005860A8" w:rsidRDefault="00CA3585" w:rsidP="005D3BAF">
      <w:pPr>
        <w:jc w:val="both"/>
      </w:pPr>
      <w:r>
        <w:t xml:space="preserve">A suspected CHPV case was an AES case examined for CHPV infection since 30 June 2026, as designated by the state. A confirmed case was a CHPV infection confirmed by laboratory analysis, as stated by the state. Media reports mentioned quantitative PCR </w:t>
      </w:r>
      <w:r>
        <w:rPr>
          <w:highlight w:val="yellow"/>
        </w:rPr>
        <w:t>(Indo-Asian News Service, 2026c)</w:t>
      </w:r>
      <w:r>
        <w:t xml:space="preserve">, whereas the WHO stated that confirmation during the 2024 outbreak was by IgM enzyme-linked immunosorbent assay (ELISA) or reverse transcription polymerase chain reaction (RT-PCR) </w:t>
      </w:r>
      <w:r>
        <w:rPr>
          <w:highlight w:val="yellow"/>
        </w:rPr>
        <w:t>(World Health Organization, 2024)</w:t>
      </w:r>
      <w:r>
        <w:t>. Pending cases were those with no test result reported yet. Positivity was defined as confirmed cases divided by suspected cases with a known result, that is, confirmed / (suspected - pending). Positivity among new cases reported in each interval was calculated from the difference between successive cumulative reports rather than from total counts. The crude case fatality rate (CFR) was the number of deaths among confirmed cases divided by the number of confirmed cases. These measures are descriptive; differences in reporting thresholds, testing methods and case identification may limit comparability across reporting periods.</w:t>
      </w:r>
    </w:p>
    <w:p w14:paraId="3B4AC280" w14:textId="77777777" w:rsidR="005860A8" w:rsidRDefault="00CA3585" w:rsidP="005D3BAF">
      <w:pPr>
        <w:pStyle w:val="Heading2"/>
        <w:jc w:val="both"/>
      </w:pPr>
      <w:r>
        <w:t>Statistical analysis</w:t>
      </w:r>
    </w:p>
    <w:p w14:paraId="3E14814A" w14:textId="77777777" w:rsidR="005860A8" w:rsidRDefault="00CA3585" w:rsidP="005D3BAF">
      <w:pPr>
        <w:jc w:val="both"/>
      </w:pPr>
      <w:r>
        <w:t xml:space="preserve">Proportions are reported with 95% Wilson score intervals </w:t>
      </w:r>
      <w:r>
        <w:rPr>
          <w:highlight w:val="yellow"/>
        </w:rPr>
        <w:t>(Newcombe, 1998; Wilson, 1927)</w:t>
      </w:r>
      <w:r>
        <w:t xml:space="preserve">. Interval positivity was calculated by subtracting the earlier cumulative figure from the later one, which removes the overlap between successive cumulative denominators. This approach is susceptible to reporting delays and retrospective revisions. </w:t>
      </w:r>
      <w:r>
        <w:rPr>
          <w:highlight w:val="yellow"/>
        </w:rPr>
        <w:t>Because the aggregate data are limited</w:t>
      </w:r>
      <w:r>
        <w:t xml:space="preserve">, non-independent and subject to delay, no inferential modelling or trend testing was performed. To assess the effect of pending results on positivity, we calculated upper and lower bounds by assuming that either all pending samples would be positive or none would be. </w:t>
      </w:r>
      <w:r>
        <w:rPr>
          <w:highlight w:val="yellow"/>
        </w:rPr>
        <w:t>Year-on-year comparisons</w:t>
      </w:r>
      <w:r>
        <w:t xml:space="preserve"> are descriptive only. All calculations were performed in Python 3 and can be reproduced from the information in Tables 1 and 2.</w:t>
      </w:r>
    </w:p>
    <w:p w14:paraId="33B0D717" w14:textId="77777777" w:rsidR="005860A8" w:rsidRDefault="00CA3585" w:rsidP="005D3BAF">
      <w:pPr>
        <w:pStyle w:val="Heading2"/>
        <w:jc w:val="both"/>
      </w:pPr>
      <w:r>
        <w:t>Ethics</w:t>
      </w:r>
    </w:p>
    <w:p w14:paraId="223853B7" w14:textId="77777777" w:rsidR="005860A8" w:rsidRDefault="00CA3585" w:rsidP="005D3BAF">
      <w:pPr>
        <w:jc w:val="both"/>
      </w:pPr>
      <w:r>
        <w:t>Only publicly accessible, aggregated data were used. The study contains no information that can be linked to an individual and no identifiable personal information. Ethics committee approval was not required because the research is based solely on publicly available, non-identifiable aggregated data.</w:t>
      </w:r>
    </w:p>
    <w:p w14:paraId="65F05C75" w14:textId="77777777" w:rsidR="005860A8" w:rsidRDefault="00CA3585" w:rsidP="005D3BAF">
      <w:pPr>
        <w:pStyle w:val="Heading1"/>
        <w:jc w:val="both"/>
      </w:pPr>
      <w:r>
        <w:lastRenderedPageBreak/>
        <w:t>Results</w:t>
      </w:r>
    </w:p>
    <w:p w14:paraId="5117F18F" w14:textId="77777777" w:rsidR="005860A8" w:rsidRDefault="00CA3585" w:rsidP="005D3BAF">
      <w:pPr>
        <w:pStyle w:val="Heading2"/>
        <w:jc w:val="both"/>
      </w:pPr>
      <w:r>
        <w:t>Temporal trajectory</w:t>
      </w:r>
    </w:p>
    <w:p w14:paraId="1E9ADADC" w14:textId="77777777" w:rsidR="005860A8" w:rsidRDefault="00CA3585" w:rsidP="005D3BAF">
      <w:pPr>
        <w:jc w:val="both"/>
      </w:pPr>
      <w:r>
        <w:t xml:space="preserve">As of 13 July 2026, the earliest surveillance reports showed at least seven confirmed cases and three deaths in children, and 27 blood samples from suspected cases had been sent for laboratory testing </w:t>
      </w:r>
      <w:r>
        <w:rPr>
          <w:highlight w:val="yellow"/>
        </w:rPr>
        <w:t>(Press Trust of India, 2026)</w:t>
      </w:r>
      <w:r>
        <w:t xml:space="preserve">. Table 1 summarises the subsequent surveillance bulletins and Figure 1 shows the progression of suspected and confirmed cases. From 21 July to 28 August 2026, cumulative suspected cases </w:t>
      </w:r>
      <w:r>
        <w:rPr>
          <w:highlight w:val="yellow"/>
        </w:rPr>
        <w:t>increased from 63 to 324</w:t>
      </w:r>
      <w:r>
        <w:t xml:space="preserve"> (about 5.1-fold), while confirmed cases </w:t>
      </w:r>
      <w:r>
        <w:rPr>
          <w:highlight w:val="yellow"/>
        </w:rPr>
        <w:t>increased from 12 to 42</w:t>
      </w:r>
      <w:r>
        <w:t xml:space="preserve"> (about 3.5-fold). The ratio of suspected to confirmed cases rose from 5.3 to 7.7, indicating a growing gap between the two. This divergence </w:t>
      </w:r>
      <w:r>
        <w:rPr>
          <w:highlight w:val="yellow"/>
        </w:rPr>
        <w:t>could reflect a decline in transmission or diagnostic capacity</w:t>
      </w:r>
      <w:r>
        <w:t>, but it may equally reflect changes in testing capacity, case identification and laboratory turnaround time, or a build-up of pending results. Cumulative positivity decreased from 21.8% on 21 July to 13.4% on 28 August, whereas the crude CFR among confirmed cases increased from 62.9% on 4 August to 66.7% on 28 August. These divergent patterns need careful interpretation, because cumulative positivity reflects the composition of the tested population, while the crude CFR may reflect incomplete follow-up of outcomes and delays between diagnosis and death.</w:t>
      </w:r>
    </w:p>
    <w:p w14:paraId="35CAF095" w14:textId="77777777" w:rsidR="005860A8" w:rsidRDefault="00CA3585" w:rsidP="005D3BAF">
      <w:pPr>
        <w:keepNext/>
        <w:spacing w:after="60" w:line="240" w:lineRule="auto"/>
        <w:jc w:val="both"/>
      </w:pPr>
      <w:r>
        <w:rPr>
          <w:b/>
          <w:sz w:val="22"/>
        </w:rPr>
        <w:t>Table 1.</w:t>
      </w:r>
      <w:r>
        <w:rPr>
          <w:sz w:val="22"/>
        </w:rPr>
        <w:t xml:space="preserve"> Cumulative reported CHPV surveillance figures, Gujarat, 30 June 2026 onward, with derived indicators</w:t>
      </w:r>
    </w:p>
    <w:tbl>
      <w:tblPr>
        <w:tblStyle w:val="TableGrid"/>
        <w:tblW w:w="0" w:type="auto"/>
        <w:jc w:val="center"/>
        <w:tblLayout w:type="fixed"/>
        <w:tblLook w:val="04A0" w:firstRow="1" w:lastRow="0" w:firstColumn="1" w:lastColumn="0" w:noHBand="0" w:noVBand="1"/>
      </w:tblPr>
      <w:tblGrid>
        <w:gridCol w:w="1224"/>
        <w:gridCol w:w="1080"/>
        <w:gridCol w:w="1080"/>
        <w:gridCol w:w="1152"/>
        <w:gridCol w:w="936"/>
        <w:gridCol w:w="1872"/>
        <w:gridCol w:w="1728"/>
      </w:tblGrid>
      <w:tr w:rsidR="005860A8" w14:paraId="201BEDC3" w14:textId="77777777">
        <w:trPr>
          <w:cantSplit/>
          <w:tblHeader/>
          <w:jc w:val="center"/>
        </w:trPr>
        <w:tc>
          <w:tcPr>
            <w:tcW w:w="1224" w:type="dxa"/>
            <w:shd w:val="clear" w:color="auto" w:fill="E7E6E6"/>
          </w:tcPr>
          <w:p w14:paraId="457C429E" w14:textId="77777777" w:rsidR="005860A8" w:rsidRDefault="00CA3585" w:rsidP="005D3BAF">
            <w:pPr>
              <w:spacing w:before="40" w:after="40" w:line="240" w:lineRule="auto"/>
              <w:jc w:val="both"/>
            </w:pPr>
            <w:r>
              <w:rPr>
                <w:b/>
                <w:sz w:val="20"/>
              </w:rPr>
              <w:t>Reporting point</w:t>
            </w:r>
          </w:p>
        </w:tc>
        <w:tc>
          <w:tcPr>
            <w:tcW w:w="1080" w:type="dxa"/>
            <w:shd w:val="clear" w:color="auto" w:fill="E7E6E6"/>
          </w:tcPr>
          <w:p w14:paraId="4B1493F8" w14:textId="77777777" w:rsidR="005860A8" w:rsidRDefault="00CA3585" w:rsidP="005D3BAF">
            <w:pPr>
              <w:spacing w:before="40" w:after="40" w:line="240" w:lineRule="auto"/>
              <w:jc w:val="both"/>
            </w:pPr>
            <w:r>
              <w:rPr>
                <w:b/>
                <w:sz w:val="20"/>
              </w:rPr>
              <w:t>Suspected</w:t>
            </w:r>
          </w:p>
        </w:tc>
        <w:tc>
          <w:tcPr>
            <w:tcW w:w="1080" w:type="dxa"/>
            <w:shd w:val="clear" w:color="auto" w:fill="E7E6E6"/>
          </w:tcPr>
          <w:p w14:paraId="6F7D727F" w14:textId="77777777" w:rsidR="005860A8" w:rsidRDefault="00CA3585" w:rsidP="005D3BAF">
            <w:pPr>
              <w:spacing w:before="40" w:after="40" w:line="240" w:lineRule="auto"/>
              <w:jc w:val="both"/>
            </w:pPr>
            <w:r>
              <w:rPr>
                <w:b/>
                <w:sz w:val="20"/>
              </w:rPr>
              <w:t>Confirmed</w:t>
            </w:r>
          </w:p>
        </w:tc>
        <w:tc>
          <w:tcPr>
            <w:tcW w:w="1152" w:type="dxa"/>
            <w:shd w:val="clear" w:color="auto" w:fill="E7E6E6"/>
          </w:tcPr>
          <w:p w14:paraId="3A9E776F" w14:textId="77777777" w:rsidR="005860A8" w:rsidRDefault="00CA3585" w:rsidP="005D3BAF">
            <w:pPr>
              <w:spacing w:before="40" w:after="40" w:line="240" w:lineRule="auto"/>
              <w:jc w:val="both"/>
            </w:pPr>
            <w:r>
              <w:rPr>
                <w:b/>
                <w:sz w:val="20"/>
              </w:rPr>
              <w:t>Deaths (confirmed)</w:t>
            </w:r>
          </w:p>
        </w:tc>
        <w:tc>
          <w:tcPr>
            <w:tcW w:w="936" w:type="dxa"/>
            <w:shd w:val="clear" w:color="auto" w:fill="E7E6E6"/>
          </w:tcPr>
          <w:p w14:paraId="6C58BC8E" w14:textId="77777777" w:rsidR="005860A8" w:rsidRDefault="00CA3585" w:rsidP="005D3BAF">
            <w:pPr>
              <w:spacing w:before="40" w:after="40" w:line="240" w:lineRule="auto"/>
              <w:jc w:val="both"/>
            </w:pPr>
            <w:r>
              <w:rPr>
                <w:b/>
                <w:sz w:val="20"/>
              </w:rPr>
              <w:t>Pending</w:t>
            </w:r>
          </w:p>
        </w:tc>
        <w:tc>
          <w:tcPr>
            <w:tcW w:w="1872" w:type="dxa"/>
            <w:shd w:val="clear" w:color="auto" w:fill="E7E6E6"/>
          </w:tcPr>
          <w:p w14:paraId="23468E9F" w14:textId="77777777" w:rsidR="005860A8" w:rsidRDefault="00CA3585" w:rsidP="005D3BAF">
            <w:pPr>
              <w:spacing w:before="40" w:after="40" w:line="240" w:lineRule="auto"/>
              <w:jc w:val="both"/>
            </w:pPr>
            <w:r>
              <w:rPr>
                <w:b/>
                <w:sz w:val="20"/>
              </w:rPr>
              <w:t>Cumulative positivity, % (95% CI)</w:t>
            </w:r>
          </w:p>
        </w:tc>
        <w:tc>
          <w:tcPr>
            <w:tcW w:w="1728" w:type="dxa"/>
            <w:shd w:val="clear" w:color="auto" w:fill="E7E6E6"/>
          </w:tcPr>
          <w:p w14:paraId="64DA2720" w14:textId="77777777" w:rsidR="005860A8" w:rsidRDefault="00CA3585" w:rsidP="005D3BAF">
            <w:pPr>
              <w:spacing w:before="40" w:after="40" w:line="240" w:lineRule="auto"/>
              <w:jc w:val="both"/>
            </w:pPr>
            <w:r>
              <w:rPr>
                <w:b/>
                <w:sz w:val="20"/>
              </w:rPr>
              <w:t>Crude CFR, % (95% CI)</w:t>
            </w:r>
          </w:p>
        </w:tc>
      </w:tr>
      <w:tr w:rsidR="005860A8" w14:paraId="2FAF5097" w14:textId="77777777">
        <w:trPr>
          <w:cantSplit/>
          <w:jc w:val="center"/>
        </w:trPr>
        <w:tc>
          <w:tcPr>
            <w:tcW w:w="1224" w:type="dxa"/>
          </w:tcPr>
          <w:p w14:paraId="6A7D2455" w14:textId="77777777" w:rsidR="005860A8" w:rsidRDefault="00CA3585" w:rsidP="005D3BAF">
            <w:pPr>
              <w:spacing w:before="40" w:after="40" w:line="240" w:lineRule="auto"/>
              <w:jc w:val="both"/>
            </w:pPr>
            <w:r>
              <w:rPr>
                <w:sz w:val="20"/>
              </w:rPr>
              <w:t>21 Jul</w:t>
            </w:r>
          </w:p>
        </w:tc>
        <w:tc>
          <w:tcPr>
            <w:tcW w:w="1080" w:type="dxa"/>
          </w:tcPr>
          <w:p w14:paraId="5DE7D08E" w14:textId="77777777" w:rsidR="005860A8" w:rsidRDefault="00CA3585" w:rsidP="005D3BAF">
            <w:pPr>
              <w:spacing w:before="40" w:after="40" w:line="240" w:lineRule="auto"/>
              <w:jc w:val="both"/>
            </w:pPr>
            <w:r>
              <w:rPr>
                <w:sz w:val="20"/>
              </w:rPr>
              <w:t>63</w:t>
            </w:r>
          </w:p>
        </w:tc>
        <w:tc>
          <w:tcPr>
            <w:tcW w:w="1080" w:type="dxa"/>
          </w:tcPr>
          <w:p w14:paraId="2138C535" w14:textId="77777777" w:rsidR="005860A8" w:rsidRDefault="00CA3585" w:rsidP="005D3BAF">
            <w:pPr>
              <w:spacing w:before="40" w:after="40" w:line="240" w:lineRule="auto"/>
              <w:jc w:val="both"/>
            </w:pPr>
            <w:r>
              <w:rPr>
                <w:sz w:val="20"/>
              </w:rPr>
              <w:t>12</w:t>
            </w:r>
          </w:p>
        </w:tc>
        <w:tc>
          <w:tcPr>
            <w:tcW w:w="1152" w:type="dxa"/>
          </w:tcPr>
          <w:p w14:paraId="19F25221" w14:textId="77777777" w:rsidR="005860A8" w:rsidRDefault="00CA3585" w:rsidP="005D3BAF">
            <w:pPr>
              <w:spacing w:before="40" w:after="40" w:line="240" w:lineRule="auto"/>
              <w:jc w:val="both"/>
            </w:pPr>
            <w:r>
              <w:rPr>
                <w:sz w:val="20"/>
              </w:rPr>
              <w:t>NR</w:t>
            </w:r>
          </w:p>
        </w:tc>
        <w:tc>
          <w:tcPr>
            <w:tcW w:w="936" w:type="dxa"/>
          </w:tcPr>
          <w:p w14:paraId="00458798" w14:textId="77777777" w:rsidR="005860A8" w:rsidRDefault="00CA3585" w:rsidP="005D3BAF">
            <w:pPr>
              <w:spacing w:before="40" w:after="40" w:line="240" w:lineRule="auto"/>
              <w:jc w:val="both"/>
            </w:pPr>
            <w:r>
              <w:rPr>
                <w:sz w:val="20"/>
              </w:rPr>
              <w:t>8</w:t>
            </w:r>
          </w:p>
        </w:tc>
        <w:tc>
          <w:tcPr>
            <w:tcW w:w="1872" w:type="dxa"/>
          </w:tcPr>
          <w:p w14:paraId="066F9043" w14:textId="77777777" w:rsidR="005860A8" w:rsidRDefault="00CA3585" w:rsidP="005D3BAF">
            <w:pPr>
              <w:spacing w:before="40" w:after="40" w:line="240" w:lineRule="auto"/>
              <w:jc w:val="both"/>
            </w:pPr>
            <w:r>
              <w:rPr>
                <w:sz w:val="20"/>
              </w:rPr>
              <w:t>21.8 (12.9-34.4); 12/55</w:t>
            </w:r>
          </w:p>
        </w:tc>
        <w:tc>
          <w:tcPr>
            <w:tcW w:w="1728" w:type="dxa"/>
          </w:tcPr>
          <w:p w14:paraId="00FE1D1B" w14:textId="77777777" w:rsidR="005860A8" w:rsidRDefault="00CA3585" w:rsidP="005D3BAF">
            <w:pPr>
              <w:spacing w:before="40" w:after="40" w:line="240" w:lineRule="auto"/>
              <w:jc w:val="both"/>
            </w:pPr>
            <w:r>
              <w:rPr>
                <w:sz w:val="20"/>
              </w:rPr>
              <w:t>NR</w:t>
            </w:r>
          </w:p>
        </w:tc>
      </w:tr>
      <w:tr w:rsidR="005860A8" w14:paraId="2EF9C6F4" w14:textId="77777777">
        <w:trPr>
          <w:cantSplit/>
          <w:jc w:val="center"/>
        </w:trPr>
        <w:tc>
          <w:tcPr>
            <w:tcW w:w="1224" w:type="dxa"/>
          </w:tcPr>
          <w:p w14:paraId="73B371DC" w14:textId="77777777" w:rsidR="005860A8" w:rsidRDefault="00CA3585" w:rsidP="005D3BAF">
            <w:pPr>
              <w:spacing w:before="40" w:after="40" w:line="240" w:lineRule="auto"/>
              <w:jc w:val="both"/>
            </w:pPr>
            <w:r>
              <w:rPr>
                <w:sz w:val="20"/>
              </w:rPr>
              <w:t>4 Aug</w:t>
            </w:r>
          </w:p>
        </w:tc>
        <w:tc>
          <w:tcPr>
            <w:tcW w:w="1080" w:type="dxa"/>
          </w:tcPr>
          <w:p w14:paraId="4623F4B7" w14:textId="77777777" w:rsidR="005860A8" w:rsidRDefault="00CA3585" w:rsidP="005D3BAF">
            <w:pPr>
              <w:spacing w:before="40" w:after="40" w:line="240" w:lineRule="auto"/>
              <w:jc w:val="both"/>
            </w:pPr>
            <w:r>
              <w:rPr>
                <w:sz w:val="20"/>
              </w:rPr>
              <w:t>184</w:t>
            </w:r>
          </w:p>
        </w:tc>
        <w:tc>
          <w:tcPr>
            <w:tcW w:w="1080" w:type="dxa"/>
          </w:tcPr>
          <w:p w14:paraId="6C6FEA9E" w14:textId="77777777" w:rsidR="005860A8" w:rsidRDefault="00CA3585" w:rsidP="005D3BAF">
            <w:pPr>
              <w:spacing w:before="40" w:after="40" w:line="240" w:lineRule="auto"/>
              <w:jc w:val="both"/>
            </w:pPr>
            <w:r>
              <w:rPr>
                <w:sz w:val="20"/>
              </w:rPr>
              <w:t>35</w:t>
            </w:r>
          </w:p>
        </w:tc>
        <w:tc>
          <w:tcPr>
            <w:tcW w:w="1152" w:type="dxa"/>
          </w:tcPr>
          <w:p w14:paraId="1C889CF2" w14:textId="77777777" w:rsidR="005860A8" w:rsidRDefault="00CA3585" w:rsidP="005D3BAF">
            <w:pPr>
              <w:spacing w:before="40" w:after="40" w:line="240" w:lineRule="auto"/>
              <w:jc w:val="both"/>
            </w:pPr>
            <w:r>
              <w:rPr>
                <w:sz w:val="20"/>
              </w:rPr>
              <w:t>22</w:t>
            </w:r>
          </w:p>
        </w:tc>
        <w:tc>
          <w:tcPr>
            <w:tcW w:w="936" w:type="dxa"/>
          </w:tcPr>
          <w:p w14:paraId="3FF9B8F8" w14:textId="77777777" w:rsidR="005860A8" w:rsidRDefault="00CA3585" w:rsidP="005D3BAF">
            <w:pPr>
              <w:spacing w:before="40" w:after="40" w:line="240" w:lineRule="auto"/>
              <w:jc w:val="both"/>
            </w:pPr>
            <w:r>
              <w:rPr>
                <w:sz w:val="20"/>
              </w:rPr>
              <w:t>11</w:t>
            </w:r>
          </w:p>
        </w:tc>
        <w:tc>
          <w:tcPr>
            <w:tcW w:w="1872" w:type="dxa"/>
          </w:tcPr>
          <w:p w14:paraId="6A39DFC0" w14:textId="77777777" w:rsidR="005860A8" w:rsidRDefault="00CA3585" w:rsidP="005D3BAF">
            <w:pPr>
              <w:spacing w:before="40" w:after="40" w:line="240" w:lineRule="auto"/>
              <w:jc w:val="both"/>
            </w:pPr>
            <w:r>
              <w:rPr>
                <w:sz w:val="20"/>
              </w:rPr>
              <w:t>20.2 (14.9-26.8); 35/173</w:t>
            </w:r>
          </w:p>
        </w:tc>
        <w:tc>
          <w:tcPr>
            <w:tcW w:w="1728" w:type="dxa"/>
          </w:tcPr>
          <w:p w14:paraId="4949CAE6" w14:textId="77777777" w:rsidR="005860A8" w:rsidRDefault="00CA3585" w:rsidP="005D3BAF">
            <w:pPr>
              <w:spacing w:before="40" w:after="40" w:line="240" w:lineRule="auto"/>
              <w:jc w:val="both"/>
            </w:pPr>
            <w:r>
              <w:rPr>
                <w:sz w:val="20"/>
              </w:rPr>
              <w:t>62.9 (46.3-76.8); 22/35</w:t>
            </w:r>
          </w:p>
        </w:tc>
      </w:tr>
      <w:tr w:rsidR="005860A8" w14:paraId="1845182E" w14:textId="77777777">
        <w:trPr>
          <w:cantSplit/>
          <w:jc w:val="center"/>
        </w:trPr>
        <w:tc>
          <w:tcPr>
            <w:tcW w:w="1224" w:type="dxa"/>
          </w:tcPr>
          <w:p w14:paraId="3F52399C" w14:textId="77777777" w:rsidR="005860A8" w:rsidRDefault="00CA3585" w:rsidP="005D3BAF">
            <w:pPr>
              <w:spacing w:before="40" w:after="40" w:line="240" w:lineRule="auto"/>
              <w:jc w:val="both"/>
            </w:pPr>
            <w:r>
              <w:rPr>
                <w:sz w:val="20"/>
              </w:rPr>
              <w:t>10 Aug†</w:t>
            </w:r>
          </w:p>
        </w:tc>
        <w:tc>
          <w:tcPr>
            <w:tcW w:w="1080" w:type="dxa"/>
          </w:tcPr>
          <w:p w14:paraId="5078EDA3" w14:textId="77777777" w:rsidR="005860A8" w:rsidRDefault="00CA3585" w:rsidP="005D3BAF">
            <w:pPr>
              <w:spacing w:before="40" w:after="40" w:line="240" w:lineRule="auto"/>
              <w:jc w:val="both"/>
            </w:pPr>
            <w:r>
              <w:rPr>
                <w:sz w:val="20"/>
              </w:rPr>
              <w:t>225</w:t>
            </w:r>
          </w:p>
        </w:tc>
        <w:tc>
          <w:tcPr>
            <w:tcW w:w="1080" w:type="dxa"/>
          </w:tcPr>
          <w:p w14:paraId="4A41697F" w14:textId="77777777" w:rsidR="005860A8" w:rsidRDefault="00CA3585" w:rsidP="005D3BAF">
            <w:pPr>
              <w:spacing w:before="40" w:after="40" w:line="240" w:lineRule="auto"/>
              <w:jc w:val="both"/>
            </w:pPr>
            <w:r>
              <w:rPr>
                <w:sz w:val="20"/>
              </w:rPr>
              <w:t>39</w:t>
            </w:r>
          </w:p>
        </w:tc>
        <w:tc>
          <w:tcPr>
            <w:tcW w:w="1152" w:type="dxa"/>
          </w:tcPr>
          <w:p w14:paraId="4A78FA76" w14:textId="77777777" w:rsidR="005860A8" w:rsidRDefault="00CA3585" w:rsidP="005D3BAF">
            <w:pPr>
              <w:spacing w:before="40" w:after="40" w:line="240" w:lineRule="auto"/>
              <w:jc w:val="both"/>
            </w:pPr>
            <w:r>
              <w:rPr>
                <w:sz w:val="20"/>
              </w:rPr>
              <w:t>25</w:t>
            </w:r>
          </w:p>
        </w:tc>
        <w:tc>
          <w:tcPr>
            <w:tcW w:w="936" w:type="dxa"/>
          </w:tcPr>
          <w:p w14:paraId="1E2D6C18" w14:textId="77777777" w:rsidR="005860A8" w:rsidRDefault="00CA3585" w:rsidP="005D3BAF">
            <w:pPr>
              <w:spacing w:before="40" w:after="40" w:line="240" w:lineRule="auto"/>
              <w:jc w:val="both"/>
            </w:pPr>
            <w:r>
              <w:rPr>
                <w:sz w:val="20"/>
              </w:rPr>
              <w:t>13</w:t>
            </w:r>
          </w:p>
        </w:tc>
        <w:tc>
          <w:tcPr>
            <w:tcW w:w="1872" w:type="dxa"/>
          </w:tcPr>
          <w:p w14:paraId="4F98856C" w14:textId="77777777" w:rsidR="005860A8" w:rsidRDefault="00CA3585" w:rsidP="005D3BAF">
            <w:pPr>
              <w:spacing w:before="40" w:after="40" w:line="240" w:lineRule="auto"/>
              <w:jc w:val="both"/>
            </w:pPr>
            <w:r>
              <w:rPr>
                <w:sz w:val="20"/>
              </w:rPr>
              <w:t>18.4 (13.8-24.2); 39/212</w:t>
            </w:r>
          </w:p>
        </w:tc>
        <w:tc>
          <w:tcPr>
            <w:tcW w:w="1728" w:type="dxa"/>
          </w:tcPr>
          <w:p w14:paraId="29435C9F" w14:textId="77777777" w:rsidR="005860A8" w:rsidRDefault="00CA3585" w:rsidP="005D3BAF">
            <w:pPr>
              <w:spacing w:before="40" w:after="40" w:line="240" w:lineRule="auto"/>
              <w:jc w:val="both"/>
            </w:pPr>
            <w:r>
              <w:rPr>
                <w:sz w:val="20"/>
              </w:rPr>
              <w:t>64.1 (48.4-77.3); 25/39</w:t>
            </w:r>
          </w:p>
        </w:tc>
      </w:tr>
      <w:tr w:rsidR="005860A8" w14:paraId="3CBEC01E" w14:textId="77777777">
        <w:trPr>
          <w:cantSplit/>
          <w:jc w:val="center"/>
        </w:trPr>
        <w:tc>
          <w:tcPr>
            <w:tcW w:w="1224" w:type="dxa"/>
          </w:tcPr>
          <w:p w14:paraId="2DBD5D13" w14:textId="77777777" w:rsidR="005860A8" w:rsidRDefault="00CA3585" w:rsidP="005D3BAF">
            <w:pPr>
              <w:spacing w:before="40" w:after="40" w:line="240" w:lineRule="auto"/>
              <w:jc w:val="both"/>
            </w:pPr>
            <w:r>
              <w:rPr>
                <w:sz w:val="20"/>
              </w:rPr>
              <w:t>14 Aug</w:t>
            </w:r>
          </w:p>
        </w:tc>
        <w:tc>
          <w:tcPr>
            <w:tcW w:w="1080" w:type="dxa"/>
          </w:tcPr>
          <w:p w14:paraId="54A87CDD" w14:textId="77777777" w:rsidR="005860A8" w:rsidRDefault="00CA3585" w:rsidP="005D3BAF">
            <w:pPr>
              <w:spacing w:before="40" w:after="40" w:line="240" w:lineRule="auto"/>
              <w:jc w:val="both"/>
            </w:pPr>
            <w:r>
              <w:rPr>
                <w:sz w:val="20"/>
              </w:rPr>
              <w:t>257</w:t>
            </w:r>
          </w:p>
        </w:tc>
        <w:tc>
          <w:tcPr>
            <w:tcW w:w="1080" w:type="dxa"/>
          </w:tcPr>
          <w:p w14:paraId="5ECB17C1" w14:textId="77777777" w:rsidR="005860A8" w:rsidRDefault="00CA3585" w:rsidP="005D3BAF">
            <w:pPr>
              <w:spacing w:before="40" w:after="40" w:line="240" w:lineRule="auto"/>
              <w:jc w:val="both"/>
            </w:pPr>
            <w:r>
              <w:rPr>
                <w:sz w:val="20"/>
              </w:rPr>
              <w:t>41</w:t>
            </w:r>
          </w:p>
        </w:tc>
        <w:tc>
          <w:tcPr>
            <w:tcW w:w="1152" w:type="dxa"/>
          </w:tcPr>
          <w:p w14:paraId="305B2F6A" w14:textId="77777777" w:rsidR="005860A8" w:rsidRDefault="00CA3585" w:rsidP="005D3BAF">
            <w:pPr>
              <w:spacing w:before="40" w:after="40" w:line="240" w:lineRule="auto"/>
              <w:jc w:val="both"/>
            </w:pPr>
            <w:r>
              <w:rPr>
                <w:sz w:val="20"/>
              </w:rPr>
              <w:t>27</w:t>
            </w:r>
          </w:p>
        </w:tc>
        <w:tc>
          <w:tcPr>
            <w:tcW w:w="936" w:type="dxa"/>
          </w:tcPr>
          <w:p w14:paraId="3536C95B" w14:textId="77777777" w:rsidR="005860A8" w:rsidRDefault="00CA3585" w:rsidP="005D3BAF">
            <w:pPr>
              <w:spacing w:before="40" w:after="40" w:line="240" w:lineRule="auto"/>
              <w:jc w:val="both"/>
            </w:pPr>
            <w:r>
              <w:rPr>
                <w:sz w:val="20"/>
              </w:rPr>
              <w:t>11</w:t>
            </w:r>
          </w:p>
        </w:tc>
        <w:tc>
          <w:tcPr>
            <w:tcW w:w="1872" w:type="dxa"/>
          </w:tcPr>
          <w:p w14:paraId="11D7655A" w14:textId="77777777" w:rsidR="005860A8" w:rsidRDefault="00CA3585" w:rsidP="005D3BAF">
            <w:pPr>
              <w:spacing w:before="40" w:after="40" w:line="240" w:lineRule="auto"/>
              <w:jc w:val="both"/>
            </w:pPr>
            <w:r>
              <w:rPr>
                <w:sz w:val="20"/>
              </w:rPr>
              <w:t>16.7 (12.5-21.8); 41/246</w:t>
            </w:r>
          </w:p>
        </w:tc>
        <w:tc>
          <w:tcPr>
            <w:tcW w:w="1728" w:type="dxa"/>
          </w:tcPr>
          <w:p w14:paraId="0F57F781" w14:textId="77777777" w:rsidR="005860A8" w:rsidRDefault="00CA3585" w:rsidP="005D3BAF">
            <w:pPr>
              <w:spacing w:before="40" w:after="40" w:line="240" w:lineRule="auto"/>
              <w:jc w:val="both"/>
            </w:pPr>
            <w:r>
              <w:rPr>
                <w:sz w:val="20"/>
              </w:rPr>
              <w:t>65.9 (50.5-78.4); 27/41</w:t>
            </w:r>
          </w:p>
        </w:tc>
      </w:tr>
      <w:tr w:rsidR="005860A8" w14:paraId="0245F2A6" w14:textId="77777777">
        <w:trPr>
          <w:cantSplit/>
          <w:jc w:val="center"/>
        </w:trPr>
        <w:tc>
          <w:tcPr>
            <w:tcW w:w="1224" w:type="dxa"/>
          </w:tcPr>
          <w:p w14:paraId="7CDD17D6" w14:textId="77777777" w:rsidR="005860A8" w:rsidRDefault="00CA3585" w:rsidP="005D3BAF">
            <w:pPr>
              <w:spacing w:before="40" w:after="40" w:line="240" w:lineRule="auto"/>
              <w:jc w:val="both"/>
            </w:pPr>
            <w:r>
              <w:rPr>
                <w:sz w:val="20"/>
              </w:rPr>
              <w:t>28 Aug</w:t>
            </w:r>
          </w:p>
        </w:tc>
        <w:tc>
          <w:tcPr>
            <w:tcW w:w="1080" w:type="dxa"/>
          </w:tcPr>
          <w:p w14:paraId="48E85DE2" w14:textId="77777777" w:rsidR="005860A8" w:rsidRDefault="00CA3585" w:rsidP="005D3BAF">
            <w:pPr>
              <w:spacing w:before="40" w:after="40" w:line="240" w:lineRule="auto"/>
              <w:jc w:val="both"/>
            </w:pPr>
            <w:r>
              <w:rPr>
                <w:sz w:val="20"/>
              </w:rPr>
              <w:t>324</w:t>
            </w:r>
          </w:p>
        </w:tc>
        <w:tc>
          <w:tcPr>
            <w:tcW w:w="1080" w:type="dxa"/>
          </w:tcPr>
          <w:p w14:paraId="15668BBC" w14:textId="77777777" w:rsidR="005860A8" w:rsidRDefault="00CA3585" w:rsidP="005D3BAF">
            <w:pPr>
              <w:spacing w:before="40" w:after="40" w:line="240" w:lineRule="auto"/>
              <w:jc w:val="both"/>
            </w:pPr>
            <w:r>
              <w:rPr>
                <w:sz w:val="20"/>
              </w:rPr>
              <w:t>42</w:t>
            </w:r>
          </w:p>
        </w:tc>
        <w:tc>
          <w:tcPr>
            <w:tcW w:w="1152" w:type="dxa"/>
          </w:tcPr>
          <w:p w14:paraId="1A0B5C9A" w14:textId="77777777" w:rsidR="005860A8" w:rsidRDefault="00CA3585" w:rsidP="005D3BAF">
            <w:pPr>
              <w:spacing w:before="40" w:after="40" w:line="240" w:lineRule="auto"/>
              <w:jc w:val="both"/>
            </w:pPr>
            <w:r>
              <w:rPr>
                <w:sz w:val="20"/>
              </w:rPr>
              <w:t>28</w:t>
            </w:r>
          </w:p>
        </w:tc>
        <w:tc>
          <w:tcPr>
            <w:tcW w:w="936" w:type="dxa"/>
          </w:tcPr>
          <w:p w14:paraId="40EC475A" w14:textId="77777777" w:rsidR="005860A8" w:rsidRDefault="00CA3585" w:rsidP="005D3BAF">
            <w:pPr>
              <w:spacing w:before="40" w:after="40" w:line="240" w:lineRule="auto"/>
              <w:jc w:val="both"/>
            </w:pPr>
            <w:r>
              <w:rPr>
                <w:sz w:val="20"/>
              </w:rPr>
              <w:t>10</w:t>
            </w:r>
          </w:p>
        </w:tc>
        <w:tc>
          <w:tcPr>
            <w:tcW w:w="1872" w:type="dxa"/>
          </w:tcPr>
          <w:p w14:paraId="437A2581" w14:textId="77777777" w:rsidR="005860A8" w:rsidRDefault="00CA3585" w:rsidP="005D3BAF">
            <w:pPr>
              <w:spacing w:before="40" w:after="40" w:line="240" w:lineRule="auto"/>
              <w:jc w:val="both"/>
            </w:pPr>
            <w:r>
              <w:rPr>
                <w:sz w:val="20"/>
              </w:rPr>
              <w:t>13.4 (10.1-17.6); 42/314</w:t>
            </w:r>
          </w:p>
        </w:tc>
        <w:tc>
          <w:tcPr>
            <w:tcW w:w="1728" w:type="dxa"/>
          </w:tcPr>
          <w:p w14:paraId="3FFDAF96" w14:textId="77777777" w:rsidR="005860A8" w:rsidRDefault="00CA3585" w:rsidP="005D3BAF">
            <w:pPr>
              <w:spacing w:before="40" w:after="40" w:line="240" w:lineRule="auto"/>
              <w:jc w:val="both"/>
            </w:pPr>
            <w:r>
              <w:rPr>
                <w:sz w:val="20"/>
              </w:rPr>
              <w:t>66.7 (51.6-79.0); 28/42</w:t>
            </w:r>
          </w:p>
        </w:tc>
      </w:tr>
    </w:tbl>
    <w:p w14:paraId="507A8606" w14:textId="77777777" w:rsidR="005860A8" w:rsidRDefault="00CA3585" w:rsidP="005D3BAF">
      <w:pPr>
        <w:spacing w:after="200" w:line="240" w:lineRule="auto"/>
        <w:jc w:val="both"/>
      </w:pPr>
      <w:r>
        <w:rPr>
          <w:sz w:val="20"/>
        </w:rPr>
        <w:t>NR, not reported; CFR, case fatality rate; CI, confidence interval. †Data period 30 June-10 August, published on 24 August [14]. The 4 August entry is the bulletin for 3-4 August. Sources: [12-15,17]. Positivity, CFR and 95% Wilson CIs were derived by the authors.</w:t>
      </w:r>
    </w:p>
    <w:p w14:paraId="0774651C" w14:textId="77777777" w:rsidR="005860A8" w:rsidRDefault="00CA3585" w:rsidP="005D3BAF">
      <w:pPr>
        <w:pStyle w:val="Heading2"/>
        <w:jc w:val="both"/>
      </w:pPr>
      <w:r>
        <w:t>Test positivity</w:t>
      </w:r>
    </w:p>
    <w:p w14:paraId="17578DE2" w14:textId="77777777" w:rsidR="005860A8" w:rsidRDefault="00CA3585" w:rsidP="005D3BAF">
      <w:pPr>
        <w:jc w:val="both"/>
      </w:pPr>
      <w:r>
        <w:t xml:space="preserve">From 21 July to 28 August 2026, cumulative positivity decreased from 21.8% (95% CI 12.9-34.4) to 13.4% (10.1-17.6). Interval estimates (Table 2) </w:t>
      </w:r>
      <w:r>
        <w:rPr>
          <w:highlight w:val="yellow"/>
        </w:rPr>
        <w:t xml:space="preserve">indicate that the decrease occurred </w:t>
      </w:r>
      <w:r>
        <w:rPr>
          <w:highlight w:val="yellow"/>
        </w:rPr>
        <w:lastRenderedPageBreak/>
        <w:t>mainly</w:t>
      </w:r>
      <w:r>
        <w:t xml:space="preserve"> in the later part of the study period. Interval positivity was 19.5% (13.4-27.6) from 21 July to 4 August, 10.3% (4.1-23.6) from 4 to 10 August, 5.9% (1.6-19.1) from 10 to 14 August, and 1.5% (0.3-7.9) from 14 to 28 August, when 67 new suspected cases yielded only one new confirmed case. Over the whole period there were 30 new confirmed cases from 259 new test results (11.6%; 8.2-16.1%). Pending results (8-13 per time point; 3.1% of suspected cases on 28 August) could have changed cumulative positivity on 28 August by no more than 2.7 percentage points (range 13.0-16.0%), which would not explain the observed decrease.</w:t>
      </w:r>
    </w:p>
    <w:p w14:paraId="14EADF1C" w14:textId="77777777" w:rsidR="005860A8" w:rsidRDefault="00CA3585" w:rsidP="005D3BAF">
      <w:pPr>
        <w:keepNext/>
        <w:spacing w:after="60" w:line="240" w:lineRule="auto"/>
        <w:jc w:val="both"/>
      </w:pPr>
      <w:r>
        <w:rPr>
          <w:b/>
          <w:sz w:val="22"/>
        </w:rPr>
        <w:t>Table 2.</w:t>
      </w:r>
      <w:r>
        <w:rPr>
          <w:sz w:val="22"/>
        </w:rPr>
        <w:t xml:space="preserve"> Interval analysis of derived test positivity between successive bulletins</w:t>
      </w:r>
    </w:p>
    <w:tbl>
      <w:tblPr>
        <w:tblStyle w:val="TableGrid"/>
        <w:tblW w:w="0" w:type="auto"/>
        <w:jc w:val="center"/>
        <w:tblLayout w:type="fixed"/>
        <w:tblLook w:val="04A0" w:firstRow="1" w:lastRow="0" w:firstColumn="1" w:lastColumn="0" w:noHBand="0" w:noVBand="1"/>
      </w:tblPr>
      <w:tblGrid>
        <w:gridCol w:w="2304"/>
        <w:gridCol w:w="1440"/>
        <w:gridCol w:w="1440"/>
        <w:gridCol w:w="1728"/>
        <w:gridCol w:w="2160"/>
      </w:tblGrid>
      <w:tr w:rsidR="005860A8" w14:paraId="6672BB05" w14:textId="77777777">
        <w:trPr>
          <w:cantSplit/>
          <w:tblHeader/>
          <w:jc w:val="center"/>
        </w:trPr>
        <w:tc>
          <w:tcPr>
            <w:tcW w:w="2304" w:type="dxa"/>
            <w:shd w:val="clear" w:color="auto" w:fill="E7E6E6"/>
          </w:tcPr>
          <w:p w14:paraId="117DFE01" w14:textId="77777777" w:rsidR="005860A8" w:rsidRDefault="00CA3585" w:rsidP="005D3BAF">
            <w:pPr>
              <w:spacing w:before="40" w:after="40" w:line="240" w:lineRule="auto"/>
              <w:jc w:val="both"/>
            </w:pPr>
            <w:r>
              <w:rPr>
                <w:b/>
                <w:sz w:val="20"/>
              </w:rPr>
              <w:t>Interval</w:t>
            </w:r>
          </w:p>
        </w:tc>
        <w:tc>
          <w:tcPr>
            <w:tcW w:w="1440" w:type="dxa"/>
            <w:shd w:val="clear" w:color="auto" w:fill="E7E6E6"/>
          </w:tcPr>
          <w:p w14:paraId="2986351F" w14:textId="77777777" w:rsidR="005860A8" w:rsidRDefault="00CA3585" w:rsidP="005D3BAF">
            <w:pPr>
              <w:spacing w:before="40" w:after="40" w:line="240" w:lineRule="auto"/>
              <w:jc w:val="both"/>
            </w:pPr>
            <w:r>
              <w:rPr>
                <w:b/>
                <w:sz w:val="20"/>
              </w:rPr>
              <w:t>New suspected</w:t>
            </w:r>
          </w:p>
        </w:tc>
        <w:tc>
          <w:tcPr>
            <w:tcW w:w="1440" w:type="dxa"/>
            <w:shd w:val="clear" w:color="auto" w:fill="E7E6E6"/>
          </w:tcPr>
          <w:p w14:paraId="1CB0A80D" w14:textId="77777777" w:rsidR="005860A8" w:rsidRDefault="00CA3585" w:rsidP="005D3BAF">
            <w:pPr>
              <w:spacing w:before="40" w:after="40" w:line="240" w:lineRule="auto"/>
              <w:jc w:val="both"/>
            </w:pPr>
            <w:r>
              <w:rPr>
                <w:b/>
                <w:sz w:val="20"/>
              </w:rPr>
              <w:t>New confirmed</w:t>
            </w:r>
          </w:p>
        </w:tc>
        <w:tc>
          <w:tcPr>
            <w:tcW w:w="1728" w:type="dxa"/>
            <w:shd w:val="clear" w:color="auto" w:fill="E7E6E6"/>
          </w:tcPr>
          <w:p w14:paraId="402BC0A2" w14:textId="77777777" w:rsidR="005860A8" w:rsidRDefault="00CA3585" w:rsidP="005D3BAF">
            <w:pPr>
              <w:spacing w:before="40" w:after="40" w:line="240" w:lineRule="auto"/>
              <w:jc w:val="both"/>
            </w:pPr>
            <w:r>
              <w:rPr>
                <w:b/>
                <w:sz w:val="20"/>
              </w:rPr>
              <w:t>New results available</w:t>
            </w:r>
          </w:p>
        </w:tc>
        <w:tc>
          <w:tcPr>
            <w:tcW w:w="2160" w:type="dxa"/>
            <w:shd w:val="clear" w:color="auto" w:fill="E7E6E6"/>
          </w:tcPr>
          <w:p w14:paraId="6989CC62" w14:textId="77777777" w:rsidR="005860A8" w:rsidRDefault="00CA3585" w:rsidP="005D3BAF">
            <w:pPr>
              <w:spacing w:before="40" w:after="40" w:line="240" w:lineRule="auto"/>
              <w:jc w:val="both"/>
            </w:pPr>
            <w:r>
              <w:rPr>
                <w:b/>
                <w:sz w:val="20"/>
              </w:rPr>
              <w:t>Interval positivity, % (95% CI)</w:t>
            </w:r>
          </w:p>
        </w:tc>
      </w:tr>
      <w:tr w:rsidR="005860A8" w14:paraId="4A7E2CC4" w14:textId="77777777">
        <w:trPr>
          <w:cantSplit/>
          <w:jc w:val="center"/>
        </w:trPr>
        <w:tc>
          <w:tcPr>
            <w:tcW w:w="2304" w:type="dxa"/>
          </w:tcPr>
          <w:p w14:paraId="5A7D8C7A" w14:textId="77777777" w:rsidR="005860A8" w:rsidRDefault="00CA3585" w:rsidP="005D3BAF">
            <w:pPr>
              <w:spacing w:before="40" w:after="40" w:line="240" w:lineRule="auto"/>
              <w:jc w:val="both"/>
            </w:pPr>
            <w:r>
              <w:rPr>
                <w:sz w:val="20"/>
              </w:rPr>
              <w:t>21 Jul to 4 Aug</w:t>
            </w:r>
          </w:p>
        </w:tc>
        <w:tc>
          <w:tcPr>
            <w:tcW w:w="1440" w:type="dxa"/>
          </w:tcPr>
          <w:p w14:paraId="1D83001C" w14:textId="77777777" w:rsidR="005860A8" w:rsidRDefault="00CA3585" w:rsidP="005D3BAF">
            <w:pPr>
              <w:spacing w:before="40" w:after="40" w:line="240" w:lineRule="auto"/>
              <w:jc w:val="both"/>
            </w:pPr>
            <w:r>
              <w:rPr>
                <w:sz w:val="20"/>
              </w:rPr>
              <w:t>121</w:t>
            </w:r>
          </w:p>
        </w:tc>
        <w:tc>
          <w:tcPr>
            <w:tcW w:w="1440" w:type="dxa"/>
          </w:tcPr>
          <w:p w14:paraId="45A7F934" w14:textId="77777777" w:rsidR="005860A8" w:rsidRDefault="00CA3585" w:rsidP="005D3BAF">
            <w:pPr>
              <w:spacing w:before="40" w:after="40" w:line="240" w:lineRule="auto"/>
              <w:jc w:val="both"/>
            </w:pPr>
            <w:r>
              <w:rPr>
                <w:sz w:val="20"/>
              </w:rPr>
              <w:t>23</w:t>
            </w:r>
          </w:p>
        </w:tc>
        <w:tc>
          <w:tcPr>
            <w:tcW w:w="1728" w:type="dxa"/>
          </w:tcPr>
          <w:p w14:paraId="58102139" w14:textId="77777777" w:rsidR="005860A8" w:rsidRDefault="00CA3585" w:rsidP="005D3BAF">
            <w:pPr>
              <w:spacing w:before="40" w:after="40" w:line="240" w:lineRule="auto"/>
              <w:jc w:val="both"/>
            </w:pPr>
            <w:r>
              <w:rPr>
                <w:sz w:val="20"/>
              </w:rPr>
              <w:t>118</w:t>
            </w:r>
          </w:p>
        </w:tc>
        <w:tc>
          <w:tcPr>
            <w:tcW w:w="2160" w:type="dxa"/>
          </w:tcPr>
          <w:p w14:paraId="7DD75FAB" w14:textId="77777777" w:rsidR="005860A8" w:rsidRDefault="00CA3585" w:rsidP="005D3BAF">
            <w:pPr>
              <w:spacing w:before="40" w:after="40" w:line="240" w:lineRule="auto"/>
              <w:jc w:val="both"/>
            </w:pPr>
            <w:r>
              <w:rPr>
                <w:sz w:val="20"/>
              </w:rPr>
              <w:t>19.5 (13.4-27.6)</w:t>
            </w:r>
          </w:p>
        </w:tc>
      </w:tr>
      <w:tr w:rsidR="005860A8" w14:paraId="4993C1B8" w14:textId="77777777">
        <w:trPr>
          <w:cantSplit/>
          <w:jc w:val="center"/>
        </w:trPr>
        <w:tc>
          <w:tcPr>
            <w:tcW w:w="2304" w:type="dxa"/>
          </w:tcPr>
          <w:p w14:paraId="6588289A" w14:textId="77777777" w:rsidR="005860A8" w:rsidRDefault="00CA3585" w:rsidP="005D3BAF">
            <w:pPr>
              <w:spacing w:before="40" w:after="40" w:line="240" w:lineRule="auto"/>
              <w:jc w:val="both"/>
            </w:pPr>
            <w:r>
              <w:rPr>
                <w:sz w:val="20"/>
              </w:rPr>
              <w:t>4 Aug to 10 Aug</w:t>
            </w:r>
          </w:p>
        </w:tc>
        <w:tc>
          <w:tcPr>
            <w:tcW w:w="1440" w:type="dxa"/>
          </w:tcPr>
          <w:p w14:paraId="338A8E23" w14:textId="77777777" w:rsidR="005860A8" w:rsidRDefault="00CA3585" w:rsidP="005D3BAF">
            <w:pPr>
              <w:spacing w:before="40" w:after="40" w:line="240" w:lineRule="auto"/>
              <w:jc w:val="both"/>
            </w:pPr>
            <w:r>
              <w:rPr>
                <w:sz w:val="20"/>
              </w:rPr>
              <w:t>41</w:t>
            </w:r>
          </w:p>
        </w:tc>
        <w:tc>
          <w:tcPr>
            <w:tcW w:w="1440" w:type="dxa"/>
          </w:tcPr>
          <w:p w14:paraId="657BA7A9" w14:textId="77777777" w:rsidR="005860A8" w:rsidRDefault="00CA3585" w:rsidP="005D3BAF">
            <w:pPr>
              <w:spacing w:before="40" w:after="40" w:line="240" w:lineRule="auto"/>
              <w:jc w:val="both"/>
            </w:pPr>
            <w:r>
              <w:rPr>
                <w:sz w:val="20"/>
              </w:rPr>
              <w:t>4</w:t>
            </w:r>
          </w:p>
        </w:tc>
        <w:tc>
          <w:tcPr>
            <w:tcW w:w="1728" w:type="dxa"/>
          </w:tcPr>
          <w:p w14:paraId="53DBDB28" w14:textId="77777777" w:rsidR="005860A8" w:rsidRDefault="00CA3585" w:rsidP="005D3BAF">
            <w:pPr>
              <w:spacing w:before="40" w:after="40" w:line="240" w:lineRule="auto"/>
              <w:jc w:val="both"/>
            </w:pPr>
            <w:r>
              <w:rPr>
                <w:sz w:val="20"/>
              </w:rPr>
              <w:t>39</w:t>
            </w:r>
          </w:p>
        </w:tc>
        <w:tc>
          <w:tcPr>
            <w:tcW w:w="2160" w:type="dxa"/>
          </w:tcPr>
          <w:p w14:paraId="3473626D" w14:textId="77777777" w:rsidR="005860A8" w:rsidRDefault="00CA3585" w:rsidP="005D3BAF">
            <w:pPr>
              <w:spacing w:before="40" w:after="40" w:line="240" w:lineRule="auto"/>
              <w:jc w:val="both"/>
            </w:pPr>
            <w:r>
              <w:rPr>
                <w:sz w:val="20"/>
              </w:rPr>
              <w:t>10.3 (4.1-23.6)</w:t>
            </w:r>
          </w:p>
        </w:tc>
      </w:tr>
      <w:tr w:rsidR="005860A8" w14:paraId="50C36446" w14:textId="77777777">
        <w:trPr>
          <w:cantSplit/>
          <w:jc w:val="center"/>
        </w:trPr>
        <w:tc>
          <w:tcPr>
            <w:tcW w:w="2304" w:type="dxa"/>
          </w:tcPr>
          <w:p w14:paraId="447B8CAE" w14:textId="77777777" w:rsidR="005860A8" w:rsidRDefault="00CA3585" w:rsidP="005D3BAF">
            <w:pPr>
              <w:spacing w:before="40" w:after="40" w:line="240" w:lineRule="auto"/>
              <w:jc w:val="both"/>
            </w:pPr>
            <w:r>
              <w:rPr>
                <w:sz w:val="20"/>
              </w:rPr>
              <w:t>10 Aug to 14 Aug</w:t>
            </w:r>
          </w:p>
        </w:tc>
        <w:tc>
          <w:tcPr>
            <w:tcW w:w="1440" w:type="dxa"/>
          </w:tcPr>
          <w:p w14:paraId="52D0CB12" w14:textId="77777777" w:rsidR="005860A8" w:rsidRDefault="00CA3585" w:rsidP="005D3BAF">
            <w:pPr>
              <w:spacing w:before="40" w:after="40" w:line="240" w:lineRule="auto"/>
              <w:jc w:val="both"/>
            </w:pPr>
            <w:r>
              <w:rPr>
                <w:sz w:val="20"/>
              </w:rPr>
              <w:t>32</w:t>
            </w:r>
          </w:p>
        </w:tc>
        <w:tc>
          <w:tcPr>
            <w:tcW w:w="1440" w:type="dxa"/>
          </w:tcPr>
          <w:p w14:paraId="2F0B65E7" w14:textId="77777777" w:rsidR="005860A8" w:rsidRDefault="00CA3585" w:rsidP="005D3BAF">
            <w:pPr>
              <w:spacing w:before="40" w:after="40" w:line="240" w:lineRule="auto"/>
              <w:jc w:val="both"/>
            </w:pPr>
            <w:r>
              <w:rPr>
                <w:sz w:val="20"/>
              </w:rPr>
              <w:t>2</w:t>
            </w:r>
          </w:p>
        </w:tc>
        <w:tc>
          <w:tcPr>
            <w:tcW w:w="1728" w:type="dxa"/>
          </w:tcPr>
          <w:p w14:paraId="63512C20" w14:textId="77777777" w:rsidR="005860A8" w:rsidRDefault="00CA3585" w:rsidP="005D3BAF">
            <w:pPr>
              <w:spacing w:before="40" w:after="40" w:line="240" w:lineRule="auto"/>
              <w:jc w:val="both"/>
            </w:pPr>
            <w:r>
              <w:rPr>
                <w:sz w:val="20"/>
              </w:rPr>
              <w:t>34</w:t>
            </w:r>
          </w:p>
        </w:tc>
        <w:tc>
          <w:tcPr>
            <w:tcW w:w="2160" w:type="dxa"/>
          </w:tcPr>
          <w:p w14:paraId="3C16C654" w14:textId="77777777" w:rsidR="005860A8" w:rsidRDefault="00CA3585" w:rsidP="005D3BAF">
            <w:pPr>
              <w:spacing w:before="40" w:after="40" w:line="240" w:lineRule="auto"/>
              <w:jc w:val="both"/>
            </w:pPr>
            <w:r>
              <w:rPr>
                <w:sz w:val="20"/>
              </w:rPr>
              <w:t>5.9 (1.6-19.1)</w:t>
            </w:r>
          </w:p>
        </w:tc>
      </w:tr>
      <w:tr w:rsidR="005860A8" w14:paraId="503F7B55" w14:textId="77777777">
        <w:trPr>
          <w:cantSplit/>
          <w:jc w:val="center"/>
        </w:trPr>
        <w:tc>
          <w:tcPr>
            <w:tcW w:w="2304" w:type="dxa"/>
          </w:tcPr>
          <w:p w14:paraId="72EAB083" w14:textId="77777777" w:rsidR="005860A8" w:rsidRDefault="00CA3585" w:rsidP="005D3BAF">
            <w:pPr>
              <w:spacing w:before="40" w:after="40" w:line="240" w:lineRule="auto"/>
              <w:jc w:val="both"/>
            </w:pPr>
            <w:r>
              <w:rPr>
                <w:sz w:val="20"/>
              </w:rPr>
              <w:t>14 Aug to 28 Aug</w:t>
            </w:r>
          </w:p>
        </w:tc>
        <w:tc>
          <w:tcPr>
            <w:tcW w:w="1440" w:type="dxa"/>
          </w:tcPr>
          <w:p w14:paraId="30827EB0" w14:textId="77777777" w:rsidR="005860A8" w:rsidRDefault="00CA3585" w:rsidP="005D3BAF">
            <w:pPr>
              <w:spacing w:before="40" w:after="40" w:line="240" w:lineRule="auto"/>
              <w:jc w:val="both"/>
            </w:pPr>
            <w:r>
              <w:rPr>
                <w:sz w:val="20"/>
              </w:rPr>
              <w:t>67</w:t>
            </w:r>
          </w:p>
        </w:tc>
        <w:tc>
          <w:tcPr>
            <w:tcW w:w="1440" w:type="dxa"/>
          </w:tcPr>
          <w:p w14:paraId="1942EB66" w14:textId="77777777" w:rsidR="005860A8" w:rsidRDefault="00CA3585" w:rsidP="005D3BAF">
            <w:pPr>
              <w:spacing w:before="40" w:after="40" w:line="240" w:lineRule="auto"/>
              <w:jc w:val="both"/>
            </w:pPr>
            <w:r>
              <w:rPr>
                <w:sz w:val="20"/>
              </w:rPr>
              <w:t>1</w:t>
            </w:r>
          </w:p>
        </w:tc>
        <w:tc>
          <w:tcPr>
            <w:tcW w:w="1728" w:type="dxa"/>
          </w:tcPr>
          <w:p w14:paraId="374D6A24" w14:textId="77777777" w:rsidR="005860A8" w:rsidRDefault="00CA3585" w:rsidP="005D3BAF">
            <w:pPr>
              <w:spacing w:before="40" w:after="40" w:line="240" w:lineRule="auto"/>
              <w:jc w:val="both"/>
            </w:pPr>
            <w:r>
              <w:rPr>
                <w:sz w:val="20"/>
              </w:rPr>
              <w:t>68</w:t>
            </w:r>
          </w:p>
        </w:tc>
        <w:tc>
          <w:tcPr>
            <w:tcW w:w="2160" w:type="dxa"/>
          </w:tcPr>
          <w:p w14:paraId="2FEDC8DC" w14:textId="77777777" w:rsidR="005860A8" w:rsidRDefault="00CA3585" w:rsidP="005D3BAF">
            <w:pPr>
              <w:spacing w:before="40" w:after="40" w:line="240" w:lineRule="auto"/>
              <w:jc w:val="both"/>
            </w:pPr>
            <w:r>
              <w:rPr>
                <w:sz w:val="20"/>
              </w:rPr>
              <w:t>1.5 (0.3-7.9)</w:t>
            </w:r>
          </w:p>
        </w:tc>
      </w:tr>
      <w:tr w:rsidR="005860A8" w14:paraId="53F71F88" w14:textId="77777777">
        <w:trPr>
          <w:cantSplit/>
          <w:jc w:val="center"/>
        </w:trPr>
        <w:tc>
          <w:tcPr>
            <w:tcW w:w="2304" w:type="dxa"/>
          </w:tcPr>
          <w:p w14:paraId="2E6B5CCC" w14:textId="77777777" w:rsidR="005860A8" w:rsidRDefault="00CA3585" w:rsidP="005D3BAF">
            <w:pPr>
              <w:spacing w:before="40" w:after="40" w:line="240" w:lineRule="auto"/>
              <w:jc w:val="both"/>
            </w:pPr>
            <w:r>
              <w:rPr>
                <w:sz w:val="20"/>
              </w:rPr>
              <w:t>21 Jul to 28 Aug (overall)</w:t>
            </w:r>
          </w:p>
        </w:tc>
        <w:tc>
          <w:tcPr>
            <w:tcW w:w="1440" w:type="dxa"/>
          </w:tcPr>
          <w:p w14:paraId="67D3CDAE" w14:textId="77777777" w:rsidR="005860A8" w:rsidRDefault="00CA3585" w:rsidP="005D3BAF">
            <w:pPr>
              <w:spacing w:before="40" w:after="40" w:line="240" w:lineRule="auto"/>
              <w:jc w:val="both"/>
            </w:pPr>
            <w:r>
              <w:rPr>
                <w:sz w:val="20"/>
              </w:rPr>
              <w:t>261</w:t>
            </w:r>
          </w:p>
        </w:tc>
        <w:tc>
          <w:tcPr>
            <w:tcW w:w="1440" w:type="dxa"/>
          </w:tcPr>
          <w:p w14:paraId="438688AB" w14:textId="77777777" w:rsidR="005860A8" w:rsidRDefault="00CA3585" w:rsidP="005D3BAF">
            <w:pPr>
              <w:spacing w:before="40" w:after="40" w:line="240" w:lineRule="auto"/>
              <w:jc w:val="both"/>
            </w:pPr>
            <w:r>
              <w:rPr>
                <w:sz w:val="20"/>
              </w:rPr>
              <w:t>30</w:t>
            </w:r>
          </w:p>
        </w:tc>
        <w:tc>
          <w:tcPr>
            <w:tcW w:w="1728" w:type="dxa"/>
          </w:tcPr>
          <w:p w14:paraId="1B35D6A6" w14:textId="77777777" w:rsidR="005860A8" w:rsidRDefault="00CA3585" w:rsidP="005D3BAF">
            <w:pPr>
              <w:spacing w:before="40" w:after="40" w:line="240" w:lineRule="auto"/>
              <w:jc w:val="both"/>
            </w:pPr>
            <w:r>
              <w:rPr>
                <w:sz w:val="20"/>
              </w:rPr>
              <w:t>259</w:t>
            </w:r>
          </w:p>
        </w:tc>
        <w:tc>
          <w:tcPr>
            <w:tcW w:w="2160" w:type="dxa"/>
          </w:tcPr>
          <w:p w14:paraId="7B785F90" w14:textId="77777777" w:rsidR="005860A8" w:rsidRDefault="00CA3585" w:rsidP="005D3BAF">
            <w:pPr>
              <w:spacing w:before="40" w:after="40" w:line="240" w:lineRule="auto"/>
              <w:jc w:val="both"/>
            </w:pPr>
            <w:r>
              <w:rPr>
                <w:sz w:val="20"/>
              </w:rPr>
              <w:t>11.6 (8.2-16.1)</w:t>
            </w:r>
          </w:p>
        </w:tc>
      </w:tr>
    </w:tbl>
    <w:p w14:paraId="4A8186F0" w14:textId="77777777" w:rsidR="005860A8" w:rsidRDefault="00CA3585" w:rsidP="005D3BAF">
      <w:pPr>
        <w:spacing w:after="200" w:line="240" w:lineRule="auto"/>
        <w:jc w:val="both"/>
      </w:pPr>
      <w:r>
        <w:rPr>
          <w:sz w:val="20"/>
        </w:rPr>
        <w:t>CI, confidence interval. Derived by the authors from differences between cumulative bulletins. Intervals are of unequal length and sensitive to reporting lag; they should be read as descriptive trends, not as formal estimates of incidence.</w:t>
      </w:r>
    </w:p>
    <w:p w14:paraId="6622798E" w14:textId="77777777" w:rsidR="005860A8" w:rsidRDefault="00CA3585" w:rsidP="005D3BAF">
      <w:pPr>
        <w:keepNext/>
        <w:spacing w:line="240" w:lineRule="auto"/>
        <w:jc w:val="both"/>
      </w:pPr>
      <w:r>
        <w:rPr>
          <w:noProof/>
          <w:lang w:val="en-IN" w:eastAsia="en-IN"/>
        </w:rPr>
        <w:drawing>
          <wp:inline distT="0" distB="0" distL="0" distR="0" wp14:anchorId="7EC854F3" wp14:editId="666FEDCE">
            <wp:extent cx="5669280" cy="23749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669280" cy="2374969"/>
                    </a:xfrm>
                    <a:prstGeom prst="rect">
                      <a:avLst/>
                    </a:prstGeom>
                  </pic:spPr>
                </pic:pic>
              </a:graphicData>
            </a:graphic>
          </wp:inline>
        </w:drawing>
      </w:r>
    </w:p>
    <w:p w14:paraId="539E2AA8" w14:textId="77777777" w:rsidR="005860A8" w:rsidRDefault="00CA3585" w:rsidP="005D3BAF">
      <w:pPr>
        <w:spacing w:after="200" w:line="240" w:lineRule="auto"/>
        <w:jc w:val="both"/>
      </w:pPr>
      <w:r>
        <w:rPr>
          <w:b/>
          <w:sz w:val="22"/>
        </w:rPr>
        <w:t>Figure 1.</w:t>
      </w:r>
      <w:r>
        <w:rPr>
          <w:sz w:val="22"/>
        </w:rPr>
        <w:t xml:space="preserve"> Surveillance reports for CHPV in Gujarat, 21 July-28 August 2026. (A) Cumulative suspected and confirmed cases. (B) Cumulative and interval test positivity with 95% Wilson confidence limits; the dotted line shows the proportion of AES cases laboratory-confirmed as CHPV in 2024 (64/245), whose denominator is all AES cases and is therefore not directly comparable.</w:t>
      </w:r>
    </w:p>
    <w:p w14:paraId="75D74259" w14:textId="77777777" w:rsidR="005860A8" w:rsidRDefault="00CA3585" w:rsidP="005D3BAF">
      <w:pPr>
        <w:pStyle w:val="Heading2"/>
        <w:jc w:val="both"/>
      </w:pPr>
      <w:r>
        <w:t>Fatality among confirmed cases</w:t>
      </w:r>
    </w:p>
    <w:p w14:paraId="5E194FEF" w14:textId="77777777" w:rsidR="005860A8" w:rsidRDefault="00CA3585" w:rsidP="005D3BAF">
      <w:pPr>
        <w:jc w:val="both"/>
      </w:pPr>
      <w:r>
        <w:rPr>
          <w:highlight w:val="yellow"/>
        </w:rPr>
        <w:t>On 28 August, the crude CFR</w:t>
      </w:r>
      <w:r>
        <w:t xml:space="preserve"> was 66.7% (28/42; 95% CI 51.6-79.0%). </w:t>
      </w:r>
      <w:r>
        <w:rPr>
          <w:highlight w:val="yellow"/>
        </w:rPr>
        <w:t>From 4 to 28 August, there were</w:t>
      </w:r>
      <w:r>
        <w:t xml:space="preserve"> seven additional confirmed cases and six additional deaths among confirmed cases. </w:t>
      </w:r>
      <w:r>
        <w:rPr>
          <w:highlight w:val="yellow"/>
        </w:rPr>
        <w:t>This cannot be interpreted as an incremental fatality rate</w:t>
      </w:r>
      <w:r>
        <w:t xml:space="preserve">, because most of these deaths occurred in previously confirmed cases. Early August reports indicated that all confirmed cases were children under 15 years </w:t>
      </w:r>
      <w:r>
        <w:rPr>
          <w:highlight w:val="yellow"/>
        </w:rPr>
        <w:t>(Indo-Asian News Service, 2026d)</w:t>
      </w:r>
      <w:r>
        <w:t xml:space="preserve">. Because the CFR </w:t>
      </w:r>
      <w:r>
        <w:lastRenderedPageBreak/>
        <w:t>includes only confirmed cases, it may overestimate the risk of death among all infected children (see Interpretation of case fatality). No deaths among test-negative suspected AES cases were reported, so the overall mortality of the AES population is unknown.</w:t>
      </w:r>
    </w:p>
    <w:p w14:paraId="0C1C6A8E" w14:textId="77777777" w:rsidR="005860A8" w:rsidRDefault="00CA3585" w:rsidP="005D3BAF">
      <w:pPr>
        <w:pStyle w:val="Heading2"/>
        <w:jc w:val="both"/>
      </w:pPr>
      <w:r>
        <w:t>Geography, vector findings and response</w:t>
      </w:r>
    </w:p>
    <w:p w14:paraId="39307E30" w14:textId="1BF4B56C" w:rsidR="005860A8" w:rsidRDefault="00CA3585" w:rsidP="005D3BAF">
      <w:pPr>
        <w:jc w:val="both"/>
      </w:pPr>
      <w:r>
        <w:t xml:space="preserve">Cases were reported from 12 districts of Gujarat and three of Rajasthan. Patan recorded the most confirmed cases, followed by </w:t>
      </w:r>
      <w:proofErr w:type="spellStart"/>
      <w:r>
        <w:t>Sabarkantha</w:t>
      </w:r>
      <w:proofErr w:type="spellEnd"/>
      <w:r>
        <w:t xml:space="preserve"> </w:t>
      </w:r>
      <w:r>
        <w:rPr>
          <w:highlight w:val="yellow"/>
        </w:rPr>
        <w:t>(</w:t>
      </w:r>
      <w:r w:rsidRPr="00FA1192">
        <w:rPr>
          <w:highlight w:val="yellow"/>
        </w:rPr>
        <w:t>Observer Online</w:t>
      </w:r>
      <w:r w:rsidR="00FA1192" w:rsidRPr="00FA1192">
        <w:rPr>
          <w:highlight w:val="yellow"/>
        </w:rPr>
        <w:t xml:space="preserve"> </w:t>
      </w:r>
      <w:r w:rsidR="00FA1192" w:rsidRPr="00FA1192">
        <w:rPr>
          <w:highlight w:val="yellow"/>
        </w:rPr>
        <w:t>Report</w:t>
      </w:r>
      <w:r w:rsidRPr="00FA1192">
        <w:rPr>
          <w:highlight w:val="yellow"/>
        </w:rPr>
        <w:t xml:space="preserve">, </w:t>
      </w:r>
      <w:r>
        <w:rPr>
          <w:highlight w:val="yellow"/>
        </w:rPr>
        <w:t>2026)</w:t>
      </w:r>
      <w:r>
        <w:t xml:space="preserve">. Cases were initially reported in </w:t>
      </w:r>
      <w:r>
        <w:rPr>
          <w:highlight w:val="yellow"/>
        </w:rPr>
        <w:t>northern Gujarat and the eastern tribal belt</w:t>
      </w:r>
      <w:r>
        <w:t xml:space="preserve">, and early deaths occurred in Rajasthan's </w:t>
      </w:r>
      <w:proofErr w:type="spellStart"/>
      <w:r>
        <w:t>Salumbar</w:t>
      </w:r>
      <w:proofErr w:type="spellEnd"/>
      <w:r>
        <w:t xml:space="preserve"> district </w:t>
      </w:r>
      <w:r w:rsidRPr="00FA1192">
        <w:rPr>
          <w:highlight w:val="yellow"/>
        </w:rPr>
        <w:t>(</w:t>
      </w:r>
      <w:r w:rsidR="00FA1192" w:rsidRPr="00FA1192">
        <w:rPr>
          <w:highlight w:val="yellow"/>
        </w:rPr>
        <w:t>De Sarkar</w:t>
      </w:r>
      <w:r w:rsidRPr="00FA1192">
        <w:rPr>
          <w:highlight w:val="yellow"/>
        </w:rPr>
        <w:t xml:space="preserve">, </w:t>
      </w:r>
      <w:r>
        <w:rPr>
          <w:highlight w:val="yellow"/>
        </w:rPr>
        <w:t>2026)</w:t>
      </w:r>
      <w:r>
        <w:t xml:space="preserve">. Cases were subsequently reported in Panchmahal, Kheda, Aravalli, Gandhinagar, Anand, Rajkot and Bhavnagar </w:t>
      </w:r>
      <w:r>
        <w:rPr>
          <w:highlight w:val="yellow"/>
        </w:rPr>
        <w:t>(Indo-Asian News Service, 2026b</w:t>
      </w:r>
      <w:r w:rsidRPr="00FA1192">
        <w:rPr>
          <w:highlight w:val="yellow"/>
        </w:rPr>
        <w:t xml:space="preserve">; </w:t>
      </w:r>
      <w:r w:rsidR="00FA1192" w:rsidRPr="00FA1192">
        <w:rPr>
          <w:highlight w:val="yellow"/>
        </w:rPr>
        <w:t xml:space="preserve">Team </w:t>
      </w:r>
      <w:proofErr w:type="spellStart"/>
      <w:r w:rsidR="00FA1192" w:rsidRPr="00FA1192">
        <w:rPr>
          <w:highlight w:val="yellow"/>
        </w:rPr>
        <w:t>VoI</w:t>
      </w:r>
      <w:proofErr w:type="spellEnd"/>
      <w:r w:rsidRPr="00FA1192">
        <w:rPr>
          <w:highlight w:val="yellow"/>
        </w:rPr>
        <w:t>, 2026</w:t>
      </w:r>
      <w:r>
        <w:rPr>
          <w:highlight w:val="yellow"/>
        </w:rPr>
        <w:t>)</w:t>
      </w:r>
      <w:r>
        <w:t xml:space="preserve">. Cases were also reported in the Saurashtra region, where sandflies are less common, and a state livestock official described cases as "sporadic" rather than "clustered" </w:t>
      </w:r>
      <w:r>
        <w:rPr>
          <w:highlight w:val="yellow"/>
        </w:rPr>
        <w:t>(Obser</w:t>
      </w:r>
      <w:r w:rsidRPr="00FA1192">
        <w:rPr>
          <w:highlight w:val="yellow"/>
        </w:rPr>
        <w:t>ver Online</w:t>
      </w:r>
      <w:r w:rsidR="00FA1192" w:rsidRPr="00FA1192">
        <w:rPr>
          <w:highlight w:val="yellow"/>
        </w:rPr>
        <w:t xml:space="preserve"> </w:t>
      </w:r>
      <w:r w:rsidR="00FA1192" w:rsidRPr="00FA1192">
        <w:rPr>
          <w:highlight w:val="yellow"/>
        </w:rPr>
        <w:t>Report</w:t>
      </w:r>
      <w:r w:rsidRPr="00FA1192">
        <w:rPr>
          <w:highlight w:val="yellow"/>
        </w:rPr>
        <w:t>, 2026</w:t>
      </w:r>
      <w:r>
        <w:rPr>
          <w:highlight w:val="yellow"/>
        </w:rPr>
        <w:t>)</w:t>
      </w:r>
      <w:r>
        <w:t xml:space="preserve">. More than 1,000 sandfly and other vector samples collected in Gujarat and Rajasthan during the 2024 and 2026 outbreaks were tested for virus and none was positive, although the reports do not distinguish between the two years </w:t>
      </w:r>
      <w:r>
        <w:rPr>
          <w:highlight w:val="yellow"/>
        </w:rPr>
        <w:t>(Obser</w:t>
      </w:r>
      <w:r w:rsidRPr="00FA1192">
        <w:rPr>
          <w:highlight w:val="yellow"/>
        </w:rPr>
        <w:t>ver Online</w:t>
      </w:r>
      <w:r w:rsidR="00FA1192" w:rsidRPr="00FA1192">
        <w:rPr>
          <w:highlight w:val="yellow"/>
        </w:rPr>
        <w:t xml:space="preserve"> </w:t>
      </w:r>
      <w:r w:rsidR="00FA1192" w:rsidRPr="00FA1192">
        <w:rPr>
          <w:highlight w:val="yellow"/>
        </w:rPr>
        <w:t>Report</w:t>
      </w:r>
      <w:r w:rsidRPr="00FA1192">
        <w:rPr>
          <w:highlight w:val="yellow"/>
        </w:rPr>
        <w:t>, 2026</w:t>
      </w:r>
      <w:r>
        <w:rPr>
          <w:highlight w:val="yellow"/>
        </w:rPr>
        <w:t>)</w:t>
      </w:r>
      <w:r>
        <w:t xml:space="preserve">. The NJORT, with state authorities and national organisations, is investigating human, animal and vector components </w:t>
      </w:r>
      <w:r>
        <w:rPr>
          <w:highlight w:val="yellow"/>
        </w:rPr>
        <w:t>(News Arena Network, 2026)</w:t>
      </w:r>
      <w:r>
        <w:t xml:space="preserve">. When the outbreak began, the state advised that children with suspected disease be transferred immediately to hospitals with oxygen and ventilator facilities </w:t>
      </w:r>
      <w:r>
        <w:rPr>
          <w:highlight w:val="yellow"/>
        </w:rPr>
        <w:t>(Indo-Asian News Service, 2026a)</w:t>
      </w:r>
      <w:r>
        <w:t>.</w:t>
      </w:r>
    </w:p>
    <w:p w14:paraId="1465BE8C" w14:textId="77777777" w:rsidR="005860A8" w:rsidRDefault="00CA3585" w:rsidP="005D3BAF">
      <w:pPr>
        <w:pStyle w:val="Heading2"/>
        <w:jc w:val="both"/>
      </w:pPr>
      <w:r>
        <w:t>Comparison with earlier events</w:t>
      </w:r>
    </w:p>
    <w:p w14:paraId="1E4BC2CC" w14:textId="77777777" w:rsidR="005860A8" w:rsidRDefault="00CA3585" w:rsidP="005D3BAF">
      <w:pPr>
        <w:keepNext/>
        <w:spacing w:after="60" w:line="240" w:lineRule="auto"/>
        <w:jc w:val="both"/>
      </w:pPr>
      <w:r>
        <w:rPr>
          <w:b/>
          <w:sz w:val="22"/>
        </w:rPr>
        <w:t>Table 3.</w:t>
      </w:r>
      <w:r>
        <w:rPr>
          <w:sz w:val="22"/>
        </w:rPr>
        <w:t xml:space="preserve"> Selected CHPV-related outbreaks in India (not for direct comparison)</w:t>
      </w:r>
    </w:p>
    <w:tbl>
      <w:tblPr>
        <w:tblStyle w:val="TableGrid"/>
        <w:tblW w:w="0" w:type="auto"/>
        <w:jc w:val="center"/>
        <w:tblLayout w:type="fixed"/>
        <w:tblLook w:val="04A0" w:firstRow="1" w:lastRow="0" w:firstColumn="1" w:lastColumn="0" w:noHBand="0" w:noVBand="1"/>
      </w:tblPr>
      <w:tblGrid>
        <w:gridCol w:w="2160"/>
        <w:gridCol w:w="2304"/>
        <w:gridCol w:w="2016"/>
        <w:gridCol w:w="2592"/>
      </w:tblGrid>
      <w:tr w:rsidR="005860A8" w14:paraId="7F6D8190" w14:textId="77777777">
        <w:trPr>
          <w:cantSplit/>
          <w:tblHeader/>
          <w:jc w:val="center"/>
        </w:trPr>
        <w:tc>
          <w:tcPr>
            <w:tcW w:w="2160" w:type="dxa"/>
            <w:shd w:val="clear" w:color="auto" w:fill="E7E6E6"/>
          </w:tcPr>
          <w:p w14:paraId="5B7CDFF4" w14:textId="77777777" w:rsidR="005860A8" w:rsidRDefault="00CA3585" w:rsidP="005D3BAF">
            <w:pPr>
              <w:spacing w:before="40" w:after="40" w:line="240" w:lineRule="auto"/>
              <w:jc w:val="both"/>
            </w:pPr>
            <w:r>
              <w:rPr>
                <w:b/>
                <w:sz w:val="20"/>
              </w:rPr>
              <w:t>Event</w:t>
            </w:r>
          </w:p>
        </w:tc>
        <w:tc>
          <w:tcPr>
            <w:tcW w:w="2304" w:type="dxa"/>
            <w:shd w:val="clear" w:color="auto" w:fill="E7E6E6"/>
          </w:tcPr>
          <w:p w14:paraId="60A8774B" w14:textId="77777777" w:rsidR="005860A8" w:rsidRDefault="00CA3585" w:rsidP="005D3BAF">
            <w:pPr>
              <w:spacing w:before="40" w:after="40" w:line="240" w:lineRule="auto"/>
              <w:jc w:val="both"/>
            </w:pPr>
            <w:r>
              <w:rPr>
                <w:b/>
                <w:sz w:val="20"/>
              </w:rPr>
              <w:t>Reported burden</w:t>
            </w:r>
          </w:p>
        </w:tc>
        <w:tc>
          <w:tcPr>
            <w:tcW w:w="2016" w:type="dxa"/>
            <w:shd w:val="clear" w:color="auto" w:fill="E7E6E6"/>
          </w:tcPr>
          <w:p w14:paraId="39F5686A" w14:textId="77777777" w:rsidR="005860A8" w:rsidRDefault="00CA3585" w:rsidP="005D3BAF">
            <w:pPr>
              <w:spacing w:before="40" w:after="40" w:line="240" w:lineRule="auto"/>
              <w:jc w:val="both"/>
            </w:pPr>
            <w:r>
              <w:rPr>
                <w:b/>
                <w:sz w:val="20"/>
              </w:rPr>
              <w:t>Case fatality</w:t>
            </w:r>
          </w:p>
        </w:tc>
        <w:tc>
          <w:tcPr>
            <w:tcW w:w="2592" w:type="dxa"/>
            <w:shd w:val="clear" w:color="auto" w:fill="E7E6E6"/>
          </w:tcPr>
          <w:p w14:paraId="16B38121" w14:textId="77777777" w:rsidR="005860A8" w:rsidRDefault="00CA3585" w:rsidP="005D3BAF">
            <w:pPr>
              <w:spacing w:before="40" w:after="40" w:line="240" w:lineRule="auto"/>
              <w:jc w:val="both"/>
            </w:pPr>
            <w:r>
              <w:rPr>
                <w:b/>
                <w:sz w:val="20"/>
              </w:rPr>
              <w:t>Notes</w:t>
            </w:r>
          </w:p>
        </w:tc>
      </w:tr>
      <w:tr w:rsidR="005860A8" w14:paraId="473C9EB3" w14:textId="77777777">
        <w:trPr>
          <w:cantSplit/>
          <w:jc w:val="center"/>
        </w:trPr>
        <w:tc>
          <w:tcPr>
            <w:tcW w:w="2160" w:type="dxa"/>
          </w:tcPr>
          <w:p w14:paraId="27106275" w14:textId="77777777" w:rsidR="005860A8" w:rsidRDefault="00CA3585" w:rsidP="005D3BAF">
            <w:pPr>
              <w:spacing w:before="40" w:after="40" w:line="240" w:lineRule="auto"/>
              <w:jc w:val="both"/>
            </w:pPr>
            <w:r>
              <w:rPr>
                <w:sz w:val="20"/>
              </w:rPr>
              <w:t>Andhra Pradesh, 2003</w:t>
            </w:r>
          </w:p>
        </w:tc>
        <w:tc>
          <w:tcPr>
            <w:tcW w:w="2304" w:type="dxa"/>
          </w:tcPr>
          <w:p w14:paraId="3A9DE0C5" w14:textId="77777777" w:rsidR="005860A8" w:rsidRDefault="00CA3585" w:rsidP="005D3BAF">
            <w:pPr>
              <w:spacing w:before="40" w:after="40" w:line="240" w:lineRule="auto"/>
              <w:jc w:val="both"/>
            </w:pPr>
            <w:r>
              <w:rPr>
                <w:sz w:val="20"/>
              </w:rPr>
              <w:t>329 suspected, 183 deaths</w:t>
            </w:r>
          </w:p>
        </w:tc>
        <w:tc>
          <w:tcPr>
            <w:tcW w:w="2016" w:type="dxa"/>
          </w:tcPr>
          <w:p w14:paraId="55C4BD3B" w14:textId="77777777" w:rsidR="005860A8" w:rsidRDefault="00CA3585" w:rsidP="005D3BAF">
            <w:pPr>
              <w:spacing w:before="40" w:after="40" w:line="240" w:lineRule="auto"/>
              <w:jc w:val="both"/>
            </w:pPr>
            <w:r>
              <w:rPr>
                <w:sz w:val="20"/>
              </w:rPr>
              <w:t>About 56%</w:t>
            </w:r>
          </w:p>
        </w:tc>
        <w:tc>
          <w:tcPr>
            <w:tcW w:w="2592" w:type="dxa"/>
          </w:tcPr>
          <w:p w14:paraId="779C6E33" w14:textId="77777777" w:rsidR="005860A8" w:rsidRDefault="00CA3585" w:rsidP="005D3BAF">
            <w:pPr>
              <w:spacing w:before="40" w:after="40" w:line="240" w:lineRule="auto"/>
              <w:jc w:val="both"/>
            </w:pPr>
            <w:r>
              <w:rPr>
                <w:sz w:val="20"/>
              </w:rPr>
              <w:t>Retrospectively linked to CHPV [4]</w:t>
            </w:r>
          </w:p>
        </w:tc>
      </w:tr>
      <w:tr w:rsidR="005860A8" w14:paraId="51EE15D1" w14:textId="77777777">
        <w:trPr>
          <w:cantSplit/>
          <w:jc w:val="center"/>
        </w:trPr>
        <w:tc>
          <w:tcPr>
            <w:tcW w:w="2160" w:type="dxa"/>
          </w:tcPr>
          <w:p w14:paraId="7BA122BF" w14:textId="77777777" w:rsidR="005860A8" w:rsidRDefault="00CA3585" w:rsidP="005D3BAF">
            <w:pPr>
              <w:spacing w:before="40" w:after="40" w:line="240" w:lineRule="auto"/>
              <w:jc w:val="both"/>
            </w:pPr>
            <w:r>
              <w:rPr>
                <w:sz w:val="20"/>
              </w:rPr>
              <w:t>Central India, 2003-04</w:t>
            </w:r>
          </w:p>
        </w:tc>
        <w:tc>
          <w:tcPr>
            <w:tcW w:w="2304" w:type="dxa"/>
          </w:tcPr>
          <w:p w14:paraId="6FBF04E7" w14:textId="77777777" w:rsidR="005860A8" w:rsidRDefault="00CA3585" w:rsidP="005D3BAF">
            <w:pPr>
              <w:spacing w:before="40" w:after="40" w:line="240" w:lineRule="auto"/>
              <w:jc w:val="both"/>
            </w:pPr>
            <w:r>
              <w:rPr>
                <w:sz w:val="20"/>
              </w:rPr>
              <w:t>Multiple states</w:t>
            </w:r>
          </w:p>
        </w:tc>
        <w:tc>
          <w:tcPr>
            <w:tcW w:w="2016" w:type="dxa"/>
          </w:tcPr>
          <w:p w14:paraId="0E2BF427" w14:textId="77777777" w:rsidR="005860A8" w:rsidRDefault="00CA3585" w:rsidP="005D3BAF">
            <w:pPr>
              <w:spacing w:before="40" w:after="40" w:line="240" w:lineRule="auto"/>
              <w:jc w:val="both"/>
            </w:pPr>
            <w:r>
              <w:rPr>
                <w:sz w:val="20"/>
              </w:rPr>
              <w:t>56-75%</w:t>
            </w:r>
          </w:p>
        </w:tc>
        <w:tc>
          <w:tcPr>
            <w:tcW w:w="2592" w:type="dxa"/>
          </w:tcPr>
          <w:p w14:paraId="474234BD" w14:textId="77777777" w:rsidR="005860A8" w:rsidRDefault="00CA3585" w:rsidP="005D3BAF">
            <w:pPr>
              <w:spacing w:before="40" w:after="40" w:line="240" w:lineRule="auto"/>
              <w:jc w:val="both"/>
            </w:pPr>
            <w:r>
              <w:rPr>
                <w:sz w:val="20"/>
              </w:rPr>
              <w:t>Range from review literature [3]</w:t>
            </w:r>
          </w:p>
        </w:tc>
      </w:tr>
      <w:tr w:rsidR="005860A8" w14:paraId="563BCA03" w14:textId="77777777">
        <w:trPr>
          <w:cantSplit/>
          <w:jc w:val="center"/>
        </w:trPr>
        <w:tc>
          <w:tcPr>
            <w:tcW w:w="2160" w:type="dxa"/>
          </w:tcPr>
          <w:p w14:paraId="35C7E6FE" w14:textId="77777777" w:rsidR="005860A8" w:rsidRDefault="00CA3585" w:rsidP="005D3BAF">
            <w:pPr>
              <w:spacing w:before="40" w:after="40" w:line="240" w:lineRule="auto"/>
              <w:jc w:val="both"/>
            </w:pPr>
            <w:r>
              <w:rPr>
                <w:sz w:val="20"/>
              </w:rPr>
              <w:t>Gujarat, 2004</w:t>
            </w:r>
          </w:p>
        </w:tc>
        <w:tc>
          <w:tcPr>
            <w:tcW w:w="2304" w:type="dxa"/>
          </w:tcPr>
          <w:p w14:paraId="50F55F9C" w14:textId="77777777" w:rsidR="005860A8" w:rsidRDefault="00CA3585" w:rsidP="005D3BAF">
            <w:pPr>
              <w:spacing w:before="40" w:after="40" w:line="240" w:lineRule="auto"/>
              <w:jc w:val="both"/>
            </w:pPr>
            <w:r>
              <w:rPr>
                <w:sz w:val="20"/>
              </w:rPr>
              <w:t>Eastern districts</w:t>
            </w:r>
          </w:p>
        </w:tc>
        <w:tc>
          <w:tcPr>
            <w:tcW w:w="2016" w:type="dxa"/>
          </w:tcPr>
          <w:p w14:paraId="7061CC7E" w14:textId="77777777" w:rsidR="005860A8" w:rsidRDefault="00CA3585" w:rsidP="005D3BAF">
            <w:pPr>
              <w:spacing w:before="40" w:after="40" w:line="240" w:lineRule="auto"/>
              <w:jc w:val="both"/>
            </w:pPr>
            <w:r>
              <w:rPr>
                <w:sz w:val="20"/>
              </w:rPr>
              <w:t>Not tabulated</w:t>
            </w:r>
          </w:p>
        </w:tc>
        <w:tc>
          <w:tcPr>
            <w:tcW w:w="2592" w:type="dxa"/>
          </w:tcPr>
          <w:p w14:paraId="72EF0265" w14:textId="77777777" w:rsidR="005860A8" w:rsidRDefault="00CA3585" w:rsidP="005D3BAF">
            <w:pPr>
              <w:spacing w:before="40" w:after="40" w:line="240" w:lineRule="auto"/>
              <w:jc w:val="both"/>
            </w:pPr>
            <w:r>
              <w:rPr>
                <w:sz w:val="20"/>
              </w:rPr>
              <w:t>Laboratory-confirmed CHPV encephalitis [5]</w:t>
            </w:r>
          </w:p>
        </w:tc>
      </w:tr>
      <w:tr w:rsidR="005860A8" w14:paraId="339F7BD4" w14:textId="77777777">
        <w:trPr>
          <w:cantSplit/>
          <w:jc w:val="center"/>
        </w:trPr>
        <w:tc>
          <w:tcPr>
            <w:tcW w:w="2160" w:type="dxa"/>
          </w:tcPr>
          <w:p w14:paraId="4EC1AF87" w14:textId="77777777" w:rsidR="005860A8" w:rsidRDefault="00CA3585" w:rsidP="005D3BAF">
            <w:pPr>
              <w:spacing w:before="40" w:after="40" w:line="240" w:lineRule="auto"/>
              <w:jc w:val="both"/>
            </w:pPr>
            <w:r>
              <w:rPr>
                <w:sz w:val="20"/>
              </w:rPr>
              <w:t>Maharashtra, 2007</w:t>
            </w:r>
          </w:p>
        </w:tc>
        <w:tc>
          <w:tcPr>
            <w:tcW w:w="2304" w:type="dxa"/>
          </w:tcPr>
          <w:p w14:paraId="7777B118" w14:textId="77777777" w:rsidR="005860A8" w:rsidRDefault="00CA3585" w:rsidP="005D3BAF">
            <w:pPr>
              <w:spacing w:before="40" w:after="40" w:line="240" w:lineRule="auto"/>
              <w:jc w:val="both"/>
            </w:pPr>
            <w:r>
              <w:rPr>
                <w:sz w:val="20"/>
              </w:rPr>
              <w:t>Nagpur division</w:t>
            </w:r>
          </w:p>
        </w:tc>
        <w:tc>
          <w:tcPr>
            <w:tcW w:w="2016" w:type="dxa"/>
          </w:tcPr>
          <w:p w14:paraId="45D1EADE" w14:textId="77777777" w:rsidR="005860A8" w:rsidRDefault="00CA3585" w:rsidP="005D3BAF">
            <w:pPr>
              <w:spacing w:before="40" w:after="40" w:line="240" w:lineRule="auto"/>
              <w:jc w:val="both"/>
            </w:pPr>
            <w:r>
              <w:rPr>
                <w:sz w:val="20"/>
              </w:rPr>
              <w:t>Not tabulated</w:t>
            </w:r>
          </w:p>
        </w:tc>
        <w:tc>
          <w:tcPr>
            <w:tcW w:w="2592" w:type="dxa"/>
          </w:tcPr>
          <w:p w14:paraId="212C17F3" w14:textId="77777777" w:rsidR="005860A8" w:rsidRDefault="00CA3585" w:rsidP="005D3BAF">
            <w:pPr>
              <w:spacing w:before="40" w:after="40" w:line="240" w:lineRule="auto"/>
              <w:jc w:val="both"/>
            </w:pPr>
            <w:proofErr w:type="spellStart"/>
            <w:r>
              <w:rPr>
                <w:sz w:val="20"/>
              </w:rPr>
              <w:t>Paediatric</w:t>
            </w:r>
            <w:proofErr w:type="spellEnd"/>
            <w:r>
              <w:rPr>
                <w:sz w:val="20"/>
              </w:rPr>
              <w:t xml:space="preserve"> outbreak [6]</w:t>
            </w:r>
          </w:p>
        </w:tc>
      </w:tr>
      <w:tr w:rsidR="005860A8" w14:paraId="713B32D8" w14:textId="77777777">
        <w:trPr>
          <w:cantSplit/>
          <w:jc w:val="center"/>
        </w:trPr>
        <w:tc>
          <w:tcPr>
            <w:tcW w:w="2160" w:type="dxa"/>
          </w:tcPr>
          <w:p w14:paraId="085E307D" w14:textId="77777777" w:rsidR="005860A8" w:rsidRDefault="00CA3585" w:rsidP="005D3BAF">
            <w:pPr>
              <w:spacing w:before="40" w:after="40" w:line="240" w:lineRule="auto"/>
              <w:jc w:val="both"/>
            </w:pPr>
            <w:r>
              <w:rPr>
                <w:sz w:val="20"/>
              </w:rPr>
              <w:t>India, June-15 Aug 2024</w:t>
            </w:r>
          </w:p>
        </w:tc>
        <w:tc>
          <w:tcPr>
            <w:tcW w:w="2304" w:type="dxa"/>
          </w:tcPr>
          <w:p w14:paraId="2076CEEE" w14:textId="77777777" w:rsidR="005860A8" w:rsidRDefault="00CA3585" w:rsidP="005D3BAF">
            <w:pPr>
              <w:spacing w:before="40" w:after="40" w:line="240" w:lineRule="auto"/>
              <w:jc w:val="both"/>
            </w:pPr>
            <w:r>
              <w:rPr>
                <w:sz w:val="20"/>
              </w:rPr>
              <w:t>245 AES; 64 CHPV-confirmed</w:t>
            </w:r>
          </w:p>
        </w:tc>
        <w:tc>
          <w:tcPr>
            <w:tcW w:w="2016" w:type="dxa"/>
          </w:tcPr>
          <w:p w14:paraId="08ED37B0" w14:textId="77777777" w:rsidR="005860A8" w:rsidRDefault="00CA3585" w:rsidP="005D3BAF">
            <w:pPr>
              <w:spacing w:before="40" w:after="40" w:line="240" w:lineRule="auto"/>
              <w:jc w:val="both"/>
            </w:pPr>
            <w:r>
              <w:rPr>
                <w:sz w:val="20"/>
              </w:rPr>
              <w:t>33% among all AES (82 deaths)</w:t>
            </w:r>
          </w:p>
        </w:tc>
        <w:tc>
          <w:tcPr>
            <w:tcW w:w="2592" w:type="dxa"/>
          </w:tcPr>
          <w:p w14:paraId="0F7E0965" w14:textId="77777777" w:rsidR="005860A8" w:rsidRDefault="00CA3585" w:rsidP="005D3BAF">
            <w:pPr>
              <w:spacing w:before="40" w:after="40" w:line="240" w:lineRule="auto"/>
              <w:jc w:val="both"/>
            </w:pPr>
            <w:r>
              <w:rPr>
                <w:sz w:val="20"/>
              </w:rPr>
              <w:t>Largest in about 20 years [9]</w:t>
            </w:r>
          </w:p>
        </w:tc>
      </w:tr>
      <w:tr w:rsidR="005860A8" w14:paraId="6014E6A7" w14:textId="77777777">
        <w:trPr>
          <w:cantSplit/>
          <w:jc w:val="center"/>
        </w:trPr>
        <w:tc>
          <w:tcPr>
            <w:tcW w:w="2160" w:type="dxa"/>
          </w:tcPr>
          <w:p w14:paraId="071A696E" w14:textId="77777777" w:rsidR="005860A8" w:rsidRDefault="00CA3585" w:rsidP="005D3BAF">
            <w:pPr>
              <w:spacing w:before="40" w:after="40" w:line="240" w:lineRule="auto"/>
              <w:jc w:val="both"/>
            </w:pPr>
            <w:r>
              <w:rPr>
                <w:sz w:val="20"/>
              </w:rPr>
              <w:t>Gujarat, 30 Jun-28 Aug 2026</w:t>
            </w:r>
          </w:p>
        </w:tc>
        <w:tc>
          <w:tcPr>
            <w:tcW w:w="2304" w:type="dxa"/>
          </w:tcPr>
          <w:p w14:paraId="1B4B563D" w14:textId="77777777" w:rsidR="005860A8" w:rsidRDefault="00CA3585" w:rsidP="005D3BAF">
            <w:pPr>
              <w:spacing w:before="40" w:after="40" w:line="240" w:lineRule="auto"/>
              <w:jc w:val="both"/>
            </w:pPr>
            <w:r>
              <w:rPr>
                <w:sz w:val="20"/>
              </w:rPr>
              <w:t>324 suspected; 42 confirmed</w:t>
            </w:r>
          </w:p>
        </w:tc>
        <w:tc>
          <w:tcPr>
            <w:tcW w:w="2016" w:type="dxa"/>
          </w:tcPr>
          <w:p w14:paraId="34381B42" w14:textId="77777777" w:rsidR="005860A8" w:rsidRDefault="00CA3585" w:rsidP="005D3BAF">
            <w:pPr>
              <w:spacing w:before="40" w:after="40" w:line="240" w:lineRule="auto"/>
              <w:jc w:val="both"/>
            </w:pPr>
            <w:r>
              <w:rPr>
                <w:sz w:val="20"/>
              </w:rPr>
              <w:t>66.7% among confirmed</w:t>
            </w:r>
          </w:p>
        </w:tc>
        <w:tc>
          <w:tcPr>
            <w:tcW w:w="2592" w:type="dxa"/>
          </w:tcPr>
          <w:p w14:paraId="677A762F" w14:textId="77777777" w:rsidR="005860A8" w:rsidRDefault="00CA3585" w:rsidP="005D3BAF">
            <w:pPr>
              <w:spacing w:before="40" w:after="40" w:line="240" w:lineRule="auto"/>
              <w:jc w:val="both"/>
            </w:pPr>
            <w:r>
              <w:rPr>
                <w:sz w:val="20"/>
              </w:rPr>
              <w:t>Present study</w:t>
            </w:r>
          </w:p>
        </w:tc>
      </w:tr>
    </w:tbl>
    <w:p w14:paraId="1CE17EFE" w14:textId="77777777" w:rsidR="005860A8" w:rsidRDefault="00CA3585" w:rsidP="005D3BAF">
      <w:pPr>
        <w:spacing w:after="200" w:line="240" w:lineRule="auto"/>
        <w:jc w:val="both"/>
      </w:pPr>
      <w:r>
        <w:rPr>
          <w:sz w:val="20"/>
        </w:rPr>
        <w:t>AES, acute encephalitis syndrome.</w:t>
      </w:r>
    </w:p>
    <w:p w14:paraId="11D1A673" w14:textId="77777777" w:rsidR="005860A8" w:rsidRDefault="00CA3585" w:rsidP="005D3BAF">
      <w:pPr>
        <w:jc w:val="both"/>
      </w:pPr>
      <w:r>
        <w:t xml:space="preserve">The proportion of AES cases confirmed as CHPV is based on all AES cases in 2024 </w:t>
      </w:r>
      <w:r>
        <w:rPr>
          <w:highlight w:val="yellow"/>
        </w:rPr>
        <w:t>whereas the 2026 denominator consists only of laboratory-tested suspected cases</w:t>
      </w:r>
      <w:r>
        <w:t xml:space="preserve">, so the two </w:t>
      </w:r>
      <w:r>
        <w:lastRenderedPageBreak/>
        <w:t>proportions cannot be compared. Of the 245 AES cases reported in 2024, 64 (26.1%; 95% CI 21.0-32.0%) were confirmed as CHPV infection.</w:t>
      </w:r>
    </w:p>
    <w:p w14:paraId="32EB4AE4" w14:textId="77777777" w:rsidR="005860A8" w:rsidRDefault="00CA3585" w:rsidP="005D3BAF">
      <w:pPr>
        <w:pStyle w:val="Heading1"/>
        <w:jc w:val="both"/>
      </w:pPr>
      <w:r>
        <w:t>Discussion</w:t>
      </w:r>
    </w:p>
    <w:p w14:paraId="07A4E0C0" w14:textId="77777777" w:rsidR="005860A8" w:rsidRDefault="00CA3585" w:rsidP="005D3BAF">
      <w:pPr>
        <w:pStyle w:val="Heading2"/>
        <w:jc w:val="both"/>
      </w:pPr>
      <w:r>
        <w:t>Principal findings</w:t>
      </w:r>
    </w:p>
    <w:p w14:paraId="5B4EEA02" w14:textId="77777777" w:rsidR="005860A8" w:rsidRDefault="00CA3585" w:rsidP="005D3BAF">
      <w:pPr>
        <w:jc w:val="both"/>
      </w:pPr>
      <w:r>
        <w:t xml:space="preserve">The published data describe a large, geographically dispersed paediatric encephalitis outbreak in western India with a high crude fatality rate among laboratory-confirmed cases. </w:t>
      </w:r>
      <w:r>
        <w:rPr>
          <w:highlight w:val="yellow"/>
        </w:rPr>
        <w:t>The most informative pattern was</w:t>
      </w:r>
      <w:r>
        <w:t xml:space="preserve"> the widening gap between suspected and confirmed cases. Cumulative positivity fell from 21.8% to 13.4%, and interval analysis shows very few new laboratory-confirmed cases since mid-August (one new confirmed case among 67 new suspected cases) while suspected cases continued to rise. This resembles 2024, when only about 25% of AES cases were confirmed as CHPV </w:t>
      </w:r>
      <w:r>
        <w:rPr>
          <w:highlight w:val="yellow"/>
        </w:rPr>
        <w:t>(World Health Organization, 2024)</w:t>
      </w:r>
      <w:r>
        <w:t xml:space="preserve">. The pattern is consistent with heightened awareness of AES and wider identification of AES cases with causes other than CHPV. </w:t>
      </w:r>
      <w:r>
        <w:rPr>
          <w:highlight w:val="yellow"/>
        </w:rPr>
        <w:t>The pattern is also consistent with reporting delays</w:t>
      </w:r>
      <w:r>
        <w:t>, later negative results, problems with specimen quality or timing, changes to the suspected case definition and low assay sensitivity. Aggregate data cannot distinguish between these possibilities, which is a further reason for line-listed reporting.</w:t>
      </w:r>
    </w:p>
    <w:p w14:paraId="7D743AC5" w14:textId="77777777" w:rsidR="005860A8" w:rsidRDefault="00CA3585" w:rsidP="005D3BAF">
      <w:pPr>
        <w:pStyle w:val="Heading2"/>
        <w:jc w:val="both"/>
      </w:pPr>
      <w:r>
        <w:t>Implications for laboratory diagnostics</w:t>
      </w:r>
    </w:p>
    <w:p w14:paraId="6EFF94EB" w14:textId="77777777" w:rsidR="005860A8" w:rsidRDefault="00CA3585" w:rsidP="005D3BAF">
      <w:pPr>
        <w:jc w:val="both"/>
      </w:pPr>
      <w:r>
        <w:t xml:space="preserve">The speed of diagnosis in a rapidly progressing illness determines whether treatment starts in time. Testing blood or cerebrospinal fluid (CSF) for viral RNA by RT-PCR </w:t>
      </w:r>
      <w:r>
        <w:rPr>
          <w:highlight w:val="yellow"/>
        </w:rPr>
        <w:t>during the early stages of disease would probably be more informative</w:t>
      </w:r>
      <w:r>
        <w:t xml:space="preserve"> than antibody testing, because antibodies take time to form. IgM ELISA may be useful </w:t>
      </w:r>
      <w:r>
        <w:rPr>
          <w:highlight w:val="yellow"/>
        </w:rPr>
        <w:t>at later stages after symptom onset</w:t>
      </w:r>
      <w:r>
        <w:t xml:space="preserve"> </w:t>
      </w:r>
      <w:r>
        <w:rPr>
          <w:highlight w:val="yellow"/>
        </w:rPr>
        <w:t>(World Health Organization, 2024)</w:t>
      </w:r>
      <w:r>
        <w:t xml:space="preserve">. Practical considerations include maintaining the cold chain during sample collection and transport to a reference laboratory, the </w:t>
      </w:r>
      <w:r>
        <w:rPr>
          <w:highlight w:val="yellow"/>
        </w:rPr>
        <w:t>8–13 results pending at individual reporting points</w:t>
      </w:r>
      <w:r>
        <w:t>, and the development of multi-pathogen panels (for example, Japanese encephalitis virus, dengue virus, enteroviruses and bacterial meningitis) so that a CHPV-negative sample leads to other possible causes rather than a diagnostic dead end. Because many suspected cases test negative, the proportion of patients who receive an aetiological diagnosis is as important a laboratory indicator as the number of CHPV-positive results. Quality-assured molecular testing at district level is therefore a priority for laboratories.</w:t>
      </w:r>
    </w:p>
    <w:p w14:paraId="5E00F73A" w14:textId="77777777" w:rsidR="005860A8" w:rsidRDefault="00CA3585" w:rsidP="005D3BAF">
      <w:pPr>
        <w:pStyle w:val="Heading2"/>
        <w:jc w:val="both"/>
      </w:pPr>
      <w:r>
        <w:lastRenderedPageBreak/>
        <w:t>Interpretation of case fatality</w:t>
      </w:r>
    </w:p>
    <w:p w14:paraId="66194FA6" w14:textId="77777777" w:rsidR="005860A8" w:rsidRDefault="00CA3585" w:rsidP="005D3BAF">
      <w:pPr>
        <w:jc w:val="both"/>
      </w:pPr>
      <w:r>
        <w:t xml:space="preserve">The crude CFR of 66.7% could considerably overstate the fatality risk among all infected people and should be interpreted with caution. Laboratory confirmation probably </w:t>
      </w:r>
      <w:r>
        <w:rPr>
          <w:highlight w:val="yellow"/>
        </w:rPr>
        <w:t>preferentially identifies those with severe or fatal disease</w:t>
      </w:r>
      <w:r>
        <w:t xml:space="preserve">, who are more likely to receive prompt diagnostic evaluation, including post-mortem sampling. People with mild or subclinical infection, or who are never diagnosed, fall outside both the numerator and the denominator. Serological evidence indicates wider circulation of the virus than laboratory-confirmed cases reflect </w:t>
      </w:r>
      <w:r>
        <w:rPr>
          <w:highlight w:val="yellow"/>
        </w:rPr>
        <w:t>(Sudeep et al., 2016)</w:t>
      </w:r>
      <w:r>
        <w:t xml:space="preserve">. Pending results, and patients still in hospital whose outcomes are right-censored, </w:t>
      </w:r>
      <w:r>
        <w:rPr>
          <w:highlight w:val="yellow"/>
        </w:rPr>
        <w:t>introduce further uncertainty</w:t>
      </w:r>
      <w:r>
        <w:t xml:space="preserve">. Incomplete follow-up and the delay from illness onset to death are known to bias case fatality estimates in either direction during emerging infectious disease outbreaks </w:t>
      </w:r>
      <w:r>
        <w:rPr>
          <w:highlight w:val="yellow"/>
        </w:rPr>
        <w:t>(Ghani et al., 2005)</w:t>
      </w:r>
      <w:r>
        <w:t xml:space="preserve">. Interpretation of official mortality statistics is a further source of uncertainty. A Ministry statement of 3 August associated 22 deaths with the virus among "suspected" cases, whereas agency bulletins reported 22 deaths among "confirmed" cases </w:t>
      </w:r>
      <w:r>
        <w:rPr>
          <w:highlight w:val="yellow"/>
        </w:rPr>
        <w:t>(Indo-Asian News Service, 2026a; Indo-Asian News Service, 2026d)</w:t>
      </w:r>
      <w:r>
        <w:t>. This study used the agency bulletins' classification. The crude CFR should therefore be reported with its numerator, denominator and 95% confidence interval, as in Table 1, rather than as a measure of infection fatality risk. Finally, the crude CFR cannot be compared directly with the 33% reported for 2024 unless case definitions, ascertainment, denominators and outcome follow-up are shown to be equivalent.</w:t>
      </w:r>
    </w:p>
    <w:p w14:paraId="74117C80" w14:textId="77777777" w:rsidR="005860A8" w:rsidRDefault="00CA3585" w:rsidP="005D3BAF">
      <w:pPr>
        <w:pStyle w:val="Heading2"/>
        <w:jc w:val="both"/>
      </w:pPr>
      <w:r>
        <w:t>Unresolved transmission questions</w:t>
      </w:r>
    </w:p>
    <w:p w14:paraId="5DE23B9A" w14:textId="7E2B4B5E" w:rsidR="005860A8" w:rsidRDefault="00CA3585" w:rsidP="005D3BAF">
      <w:pPr>
        <w:jc w:val="both"/>
      </w:pPr>
      <w:r>
        <w:t>The primary suspected vectors are sandflies (</w:t>
      </w:r>
      <w:r>
        <w:rPr>
          <w:i/>
        </w:rPr>
        <w:t>Phlebotomus</w:t>
      </w:r>
      <w:r>
        <w:t xml:space="preserve"> and </w:t>
      </w:r>
      <w:r>
        <w:rPr>
          <w:i/>
        </w:rPr>
        <w:t>Sergentomyia</w:t>
      </w:r>
      <w:r>
        <w:t xml:space="preserve"> spp.) </w:t>
      </w:r>
      <w:r>
        <w:rPr>
          <w:highlight w:val="yellow"/>
        </w:rPr>
        <w:t>(Geevarghese et al., 2005; Sudeep et al., 2016)</w:t>
      </w:r>
      <w:r>
        <w:t xml:space="preserve">. Given the absence of positive vector samples, the scattered geographical distribution and the cases reported in Saurashtra </w:t>
      </w:r>
      <w:r>
        <w:rPr>
          <w:highlight w:val="yellow"/>
        </w:rPr>
        <w:t>(Observer Online</w:t>
      </w:r>
      <w:r w:rsidR="00FA1192" w:rsidRPr="00FA1192">
        <w:t xml:space="preserve"> </w:t>
      </w:r>
      <w:r w:rsidR="00FA1192" w:rsidRPr="00FA1192">
        <w:rPr>
          <w:highlight w:val="yellow"/>
        </w:rPr>
        <w:t>Report</w:t>
      </w:r>
      <w:r w:rsidRPr="00FA1192">
        <w:rPr>
          <w:highlight w:val="yellow"/>
        </w:rPr>
        <w:t xml:space="preserve">, </w:t>
      </w:r>
      <w:r>
        <w:rPr>
          <w:highlight w:val="yellow"/>
        </w:rPr>
        <w:t>2026)</w:t>
      </w:r>
      <w:r>
        <w:t xml:space="preserve">, additional vectors, animal reservoir hosts and ecological factors may be involved. Failure to detect infected arthropods </w:t>
      </w:r>
      <w:r>
        <w:rPr>
          <w:highlight w:val="yellow"/>
        </w:rPr>
        <w:t>does not imply the absence of infection</w:t>
      </w:r>
      <w:r>
        <w:t xml:space="preserve">, because sensitivity depends </w:t>
      </w:r>
      <w:r>
        <w:rPr>
          <w:highlight w:val="yellow"/>
        </w:rPr>
        <w:t>on the timing and selection of arthropod sampling</w:t>
      </w:r>
      <w:r>
        <w:t xml:space="preserve"> and on the amount of sampling. Integrated human-animal-vector (One Health) surveillance using common laboratory techniques and protocols would be beneficial, with negative results reported together with the sampling effort.</w:t>
      </w:r>
    </w:p>
    <w:p w14:paraId="4B155B96" w14:textId="77777777" w:rsidR="005860A8" w:rsidRDefault="00CA3585" w:rsidP="005D3BAF">
      <w:pPr>
        <w:pStyle w:val="Heading2"/>
        <w:jc w:val="both"/>
      </w:pPr>
      <w:r>
        <w:t>Health-system and societal effects</w:t>
      </w:r>
    </w:p>
    <w:p w14:paraId="0D675EC4" w14:textId="77777777" w:rsidR="005860A8" w:rsidRDefault="00CA3585" w:rsidP="005D3BAF">
      <w:pPr>
        <w:jc w:val="both"/>
      </w:pPr>
      <w:r>
        <w:t xml:space="preserve">Severe </w:t>
      </w:r>
      <w:proofErr w:type="spellStart"/>
      <w:r>
        <w:t>paediatric</w:t>
      </w:r>
      <w:proofErr w:type="spellEnd"/>
      <w:r>
        <w:t xml:space="preserve"> encephalitis requires emergency </w:t>
      </w:r>
      <w:proofErr w:type="spellStart"/>
      <w:r>
        <w:t>paediatric</w:t>
      </w:r>
      <w:proofErr w:type="spellEnd"/>
      <w:r>
        <w:t xml:space="preserve"> care and referral </w:t>
      </w:r>
      <w:proofErr w:type="spellStart"/>
      <w:r>
        <w:t>centres</w:t>
      </w:r>
      <w:proofErr w:type="spellEnd"/>
      <w:r>
        <w:t xml:space="preserve"> equipped with oxygen and ventilators; the state directed smaller facilities to give initial </w:t>
      </w:r>
      <w:r>
        <w:lastRenderedPageBreak/>
        <w:t xml:space="preserve">treatment to children with encephalitis and then refer them immediately to larger facilities. It is reasonable to expect households to incur costs (travel, hospital fees, lost wages of the primary caregiver), but none of the literature reviewed provides quantitative data on the economic impact of severe </w:t>
      </w:r>
      <w:proofErr w:type="spellStart"/>
      <w:r>
        <w:t>paediatric</w:t>
      </w:r>
      <w:proofErr w:type="spellEnd"/>
      <w:r>
        <w:t xml:space="preserve"> encephalitis, so no estimate of the economic burden can be made. This should be addressed by health economics research.</w:t>
      </w:r>
    </w:p>
    <w:p w14:paraId="51AB2D70" w14:textId="77777777" w:rsidR="005860A8" w:rsidRDefault="00CA3585" w:rsidP="005D3BAF">
      <w:pPr>
        <w:pStyle w:val="Heading2"/>
        <w:jc w:val="both"/>
      </w:pPr>
      <w:r>
        <w:t>Strengths and limitations</w:t>
      </w:r>
    </w:p>
    <w:p w14:paraId="2EFB1048" w14:textId="68E07E75" w:rsidR="005860A8" w:rsidRDefault="00CA3585" w:rsidP="005D3BAF">
      <w:pPr>
        <w:jc w:val="both"/>
      </w:pPr>
      <w:r>
        <w:rPr>
          <w:highlight w:val="yellow"/>
        </w:rPr>
        <w:t>The methodological strengths include explicit derivations</w:t>
      </w:r>
      <w:r>
        <w:t xml:space="preserve">, interval estimates that reduce reliance on cumulative series, uncertainty intervals, and clear separation of reported from derived data. </w:t>
      </w:r>
      <w:r>
        <w:rPr>
          <w:highlight w:val="yellow"/>
        </w:rPr>
        <w:t>Several limitations apply</w:t>
      </w:r>
      <w:r>
        <w:t xml:space="preserve">. </w:t>
      </w:r>
      <w:r>
        <w:rPr>
          <w:highlight w:val="yellow"/>
        </w:rPr>
        <w:t>First, the data come from secondary media reports</w:t>
      </w:r>
      <w:r>
        <w:t xml:space="preserve"> of state bulletins rather than primary line lists. Second, reports of the same bulletins were often contradictory. For example, a report published on 24 August described a bulletin of 225 suspected cases with data ending on 10 August, which may be misread as a subsequent decrease in cases </w:t>
      </w:r>
      <w:r>
        <w:rPr>
          <w:highlight w:val="yellow"/>
        </w:rPr>
        <w:t>(Indo-Asian News Service, 2026a)</w:t>
      </w:r>
      <w:r>
        <w:t xml:space="preserve">. Early reports of confirmed cases also differed on 13 July (seven confirmed according to the Health Minister </w:t>
      </w:r>
      <w:r>
        <w:rPr>
          <w:highlight w:val="yellow"/>
        </w:rPr>
        <w:t>(Press Trust of India, 2026)</w:t>
      </w:r>
      <w:r>
        <w:t xml:space="preserve">; six infected children in another summary </w:t>
      </w:r>
      <w:r>
        <w:rPr>
          <w:highlight w:val="yellow"/>
        </w:rPr>
        <w:t>(</w:t>
      </w:r>
      <w:r w:rsidR="00FA1192" w:rsidRPr="00FA1192">
        <w:rPr>
          <w:highlight w:val="yellow"/>
        </w:rPr>
        <w:t>De Sarkar</w:t>
      </w:r>
      <w:r w:rsidRPr="00FA1192">
        <w:rPr>
          <w:highlight w:val="yellow"/>
        </w:rPr>
        <w:t xml:space="preserve">, </w:t>
      </w:r>
      <w:r>
        <w:rPr>
          <w:highlight w:val="yellow"/>
        </w:rPr>
        <w:t>2026)</w:t>
      </w:r>
      <w:r>
        <w:t xml:space="preserve">). We used series with stated data cut-off dates. Third, the definition of a suspected case may have changed over time. Fourth, results pending at each time point influence both positivity and the crude CFR. Fifth, no demographic information (age, sex), onset-to-admission interval, treatment, specimen types or CSF data were available, so assay performance could not be assessed. Finally, </w:t>
      </w:r>
      <w:r>
        <w:rPr>
          <w:highlight w:val="yellow"/>
        </w:rPr>
        <w:t>the analysis is restricted to Gujarat bulletins</w:t>
      </w:r>
      <w:r>
        <w:t xml:space="preserve"> and does not estimate the national burden of CHPV. CHPV outbreaks are not necessarily national epidemics, and the evidence here suggests a regional outbreak in Gujarat and Rajasthan.</w:t>
      </w:r>
    </w:p>
    <w:p w14:paraId="70AC77E4" w14:textId="77777777" w:rsidR="005860A8" w:rsidRDefault="00CA3585" w:rsidP="005D3BAF">
      <w:pPr>
        <w:pStyle w:val="Heading2"/>
        <w:jc w:val="both"/>
      </w:pPr>
      <w:r>
        <w:t>Proposed research framework for laboratory medicine</w:t>
      </w:r>
    </w:p>
    <w:p w14:paraId="23804896" w14:textId="77777777" w:rsidR="005860A8" w:rsidRDefault="00CA3585" w:rsidP="005D3BAF">
      <w:pPr>
        <w:jc w:val="both"/>
      </w:pPr>
      <w:r>
        <w:rPr>
          <w:highlight w:val="yellow"/>
        </w:rPr>
        <w:t>These are proposals rather than established practice</w:t>
      </w:r>
      <w:r>
        <w:t xml:space="preserve">. Each requires </w:t>
      </w:r>
      <w:r>
        <w:rPr>
          <w:highlight w:val="yellow"/>
        </w:rPr>
        <w:t>formal agreement from each participating institution</w:t>
      </w:r>
      <w:r>
        <w:t xml:space="preserve"> and access to individual patient-level data.</w:t>
      </w:r>
    </w:p>
    <w:p w14:paraId="0B6D658E" w14:textId="77777777" w:rsidR="005860A8" w:rsidRDefault="00CA3585" w:rsidP="005D3BAF">
      <w:pPr>
        <w:pStyle w:val="Heading3"/>
        <w:jc w:val="both"/>
      </w:pPr>
      <w:r>
        <w:t>Study A: diagnostic accuracy of molecular versus serological CHPV detection</w:t>
      </w:r>
    </w:p>
    <w:p w14:paraId="7EDDC1DD" w14:textId="77777777" w:rsidR="005860A8" w:rsidRDefault="00CA3585" w:rsidP="005D3BAF">
      <w:pPr>
        <w:jc w:val="both"/>
      </w:pPr>
      <w:r>
        <w:t xml:space="preserve">This would be a prospective, multicentre, </w:t>
      </w:r>
      <w:r>
        <w:rPr>
          <w:highlight w:val="yellow"/>
        </w:rPr>
        <w:t>diagnostic accuracy study with consecutive recruitment</w:t>
      </w:r>
      <w:r>
        <w:t xml:space="preserve"> conducted according to STARD 2015 </w:t>
      </w:r>
      <w:r>
        <w:rPr>
          <w:highlight w:val="yellow"/>
        </w:rPr>
        <w:t>(Bossuyt et al., 2015)</w:t>
      </w:r>
      <w:r>
        <w:t xml:space="preserve">. The population would be children aged under 15 years meeting the AES definition at participating tertiary care hospitals. The index tests would be RT-PCR on blood and CSF and IgM ELISA on serum and CSF. Because there is currently no single gold standard, a composite reference standard (positive RT-PCR in blood or CSF, or IgM seroconversion in paired sera) would be </w:t>
      </w:r>
      <w:r>
        <w:lastRenderedPageBreak/>
        <w:t xml:space="preserve">used </w:t>
      </w:r>
      <w:r>
        <w:rPr>
          <w:highlight w:val="yellow"/>
        </w:rPr>
        <w:t>(Hui &amp; Walter, 1980)</w:t>
      </w:r>
      <w:r>
        <w:t xml:space="preserve">, with latent class analysis as a sensitivity analysis. Outcomes would be sensitivity, specificity, positive and negative predictive values, positive and negative likelihood ratios, and turnaround time, analysed separately by days since symptom onset. Sample size would be determined from the expected sensitivity and the target precision once a pilot prevalence is available. </w:t>
      </w:r>
      <w:r>
        <w:rPr>
          <w:highlight w:val="yellow"/>
        </w:rPr>
        <w:t>Given an anticipated positivity of approximately 13–20%</w:t>
      </w:r>
      <w:r>
        <w:t>, several hundred suspected cases per participating hospital would be needed to estimate sensitivity precisely.</w:t>
      </w:r>
    </w:p>
    <w:p w14:paraId="1C632DDA" w14:textId="77777777" w:rsidR="005860A8" w:rsidRDefault="00CA3585" w:rsidP="005D3BAF">
      <w:pPr>
        <w:pStyle w:val="Heading3"/>
        <w:jc w:val="both"/>
      </w:pPr>
      <w:r>
        <w:t>Study B: explainable early-deterioration prediction model</w:t>
      </w:r>
    </w:p>
    <w:p w14:paraId="23E2D3B2" w14:textId="77777777" w:rsidR="005860A8" w:rsidRDefault="00CA3585" w:rsidP="005D3BAF">
      <w:pPr>
        <w:jc w:val="both"/>
      </w:pPr>
      <w:r>
        <w:rPr>
          <w:highlight w:val="yellow"/>
        </w:rPr>
        <w:t>This study would develop and externally validate a model to identify children</w:t>
      </w:r>
      <w:r>
        <w:t xml:space="preserve"> with suspected CHPV or AES at risk of deterioration, reported according to TRIPOD+AI </w:t>
      </w:r>
      <w:r>
        <w:rPr>
          <w:highlight w:val="yellow"/>
        </w:rPr>
        <w:t>(Collins et al., 2024)</w:t>
      </w:r>
      <w:r>
        <w:t xml:space="preserve"> and assessed for risk of bias with PROBAST </w:t>
      </w:r>
      <w:r>
        <w:rPr>
          <w:highlight w:val="yellow"/>
        </w:rPr>
        <w:t>(Wolff et al., 2019)</w:t>
      </w:r>
      <w:r>
        <w:t xml:space="preserve">. Sample size would be justified using formal criteria </w:t>
      </w:r>
      <w:r>
        <w:rPr>
          <w:highlight w:val="yellow"/>
        </w:rPr>
        <w:t>(Riley et al., 2020)</w:t>
      </w:r>
      <w:r>
        <w:t>. Candidate predictors would include baseline clinical characteristics (fever duration, Glasgow Coma Scale score, seizure history), routine laboratory results (</w:t>
      </w:r>
      <w:r>
        <w:rPr>
          <w:highlight w:val="yellow"/>
        </w:rPr>
        <w:t>for example, glucose</w:t>
      </w:r>
      <w:r>
        <w:t xml:space="preserve">, electrolytes, inflammatory markers and CSF parameters) and the RT-PCR cycle threshold where applicable. The primary outcome would be coma or death within a specified time frame. Penalised regression would be compared with gradient-boosted models, Shapley value attribution would be used as an exploratory method to explain the model </w:t>
      </w:r>
      <w:r>
        <w:rPr>
          <w:highlight w:val="yellow"/>
        </w:rPr>
        <w:t>(Lundberg &amp; Lee, 2017)</w:t>
      </w:r>
      <w:r>
        <w:t xml:space="preserve">, and temporal and geographic validation, calibration, decision curve analysis </w:t>
      </w:r>
      <w:r>
        <w:rPr>
          <w:highlight w:val="yellow"/>
        </w:rPr>
        <w:t>(Vickers &amp; Elkin, 2006)</w:t>
      </w:r>
      <w:r>
        <w:t xml:space="preserve"> and subgroup performance would be assessed. For transparency and reproducibility, the study would report complete case flow, handle missing data explicitly, prevent predictor leakage from tests performed after the outcome, and include prospective evaluation before clinical implementation.</w:t>
      </w:r>
    </w:p>
    <w:p w14:paraId="4FE022CA" w14:textId="77777777" w:rsidR="005860A8" w:rsidRDefault="00CA3585" w:rsidP="005D3BAF">
      <w:pPr>
        <w:pStyle w:val="Heading3"/>
        <w:jc w:val="both"/>
      </w:pPr>
      <w:r>
        <w:t>Study C: geospatial and laboratory early-warning system</w:t>
      </w:r>
    </w:p>
    <w:p w14:paraId="64A37207" w14:textId="77777777" w:rsidR="005860A8" w:rsidRDefault="00CA3585" w:rsidP="005D3BAF">
      <w:pPr>
        <w:jc w:val="both"/>
      </w:pPr>
      <w:r>
        <w:t xml:space="preserve">District-level AES counts, test positivity, laboratory turnaround times, climate and land-use covariates and entomological indices would be integrated into a Bayesian space-time model </w:t>
      </w:r>
      <w:r>
        <w:rPr>
          <w:highlight w:val="yellow"/>
        </w:rPr>
        <w:t>(Besag et al., 1991)</w:t>
      </w:r>
      <w:r>
        <w:t xml:space="preserve"> to identify districts at risk. </w:t>
      </w:r>
      <w:r>
        <w:rPr>
          <w:highlight w:val="yellow"/>
        </w:rPr>
        <w:t>Performance would be evaluated prospectively in terms of alert timeliness</w:t>
      </w:r>
      <w:r>
        <w:t>, false-alert rate and lead time compared with passive reporting.</w:t>
      </w:r>
    </w:p>
    <w:p w14:paraId="6D5A5DCB" w14:textId="77777777" w:rsidR="005860A8" w:rsidRDefault="00CA3585" w:rsidP="005D3BAF">
      <w:pPr>
        <w:pStyle w:val="Heading3"/>
        <w:jc w:val="both"/>
      </w:pPr>
      <w:r>
        <w:t>Study D: health-economic evaluation</w:t>
      </w:r>
    </w:p>
    <w:p w14:paraId="3ECD1A20" w14:textId="77777777" w:rsidR="005860A8" w:rsidRDefault="00CA3585" w:rsidP="005D3BAF">
      <w:pPr>
        <w:jc w:val="both"/>
      </w:pPr>
      <w:r>
        <w:t xml:space="preserve">This study would address the gap identified under health-system and societal effects by estimating </w:t>
      </w:r>
      <w:r>
        <w:rPr>
          <w:highlight w:val="yellow"/>
        </w:rPr>
        <w:t>household- and health-system-level costs</w:t>
      </w:r>
      <w:r>
        <w:t xml:space="preserve"> of CHPV-related AES from actual cost data.</w:t>
      </w:r>
    </w:p>
    <w:p w14:paraId="5D700E52" w14:textId="77777777" w:rsidR="005860A8" w:rsidRDefault="00CA3585" w:rsidP="005D3BAF">
      <w:pPr>
        <w:pStyle w:val="Heading2"/>
        <w:jc w:val="both"/>
      </w:pPr>
      <w:r>
        <w:lastRenderedPageBreak/>
        <w:t>Recommendations</w:t>
      </w:r>
    </w:p>
    <w:p w14:paraId="2EE251AE" w14:textId="77777777" w:rsidR="005860A8" w:rsidRDefault="00CA3585" w:rsidP="005D3BAF">
      <w:pPr>
        <w:tabs>
          <w:tab w:val="left" w:pos="504"/>
        </w:tabs>
        <w:ind w:left="504" w:hanging="504"/>
        <w:jc w:val="both"/>
      </w:pPr>
      <w:r>
        <w:t>1.</w:t>
      </w:r>
      <w:r>
        <w:tab/>
      </w:r>
      <w:r>
        <w:rPr>
          <w:b/>
        </w:rPr>
        <w:t>Improve surveillance transparency.</w:t>
      </w:r>
      <w:r>
        <w:t xml:space="preserve"> </w:t>
      </w:r>
      <w:r>
        <w:rPr>
          <w:highlight w:val="yellow"/>
        </w:rPr>
        <w:t>Publish de-identified, line-listed surveillance data</w:t>
      </w:r>
      <w:r>
        <w:t xml:space="preserve"> with a clearly defined case definition, a specific data cut-off date and the current status of pending diagnostic tests.</w:t>
      </w:r>
    </w:p>
    <w:p w14:paraId="3B645DA6" w14:textId="77777777" w:rsidR="005860A8" w:rsidRDefault="00CA3585" w:rsidP="005D3BAF">
      <w:pPr>
        <w:tabs>
          <w:tab w:val="left" w:pos="504"/>
        </w:tabs>
        <w:ind w:left="504" w:hanging="504"/>
        <w:jc w:val="both"/>
      </w:pPr>
      <w:r>
        <w:t>2.</w:t>
      </w:r>
      <w:r>
        <w:tab/>
      </w:r>
      <w:r>
        <w:rPr>
          <w:b/>
        </w:rPr>
        <w:t>Report results and clinical outcomes consistently.</w:t>
      </w:r>
      <w:r>
        <w:t xml:space="preserve"> Report laboratory-confirmed results and clinical outcomes with explicit denominator definitions, observation periods and data cut-off dates, and </w:t>
      </w:r>
      <w:r>
        <w:rPr>
          <w:highlight w:val="yellow"/>
        </w:rPr>
        <w:t>do not characterise the outbreak using cumulative headline figures alone</w:t>
      </w:r>
      <w:r>
        <w:t>.</w:t>
      </w:r>
    </w:p>
    <w:p w14:paraId="14697031" w14:textId="77777777" w:rsidR="005860A8" w:rsidRDefault="00CA3585" w:rsidP="005D3BAF">
      <w:pPr>
        <w:tabs>
          <w:tab w:val="left" w:pos="504"/>
        </w:tabs>
        <w:ind w:left="504" w:hanging="504"/>
        <w:jc w:val="both"/>
      </w:pPr>
      <w:r>
        <w:t>3.</w:t>
      </w:r>
      <w:r>
        <w:tab/>
      </w:r>
      <w:r>
        <w:rPr>
          <w:b/>
        </w:rPr>
        <w:t>Increase district-level diagnostic capability.</w:t>
      </w:r>
      <w:r>
        <w:t xml:space="preserve"> Improve the availability of high-quality RT-PCR testing </w:t>
      </w:r>
      <w:r>
        <w:rPr>
          <w:highlight w:val="yellow"/>
        </w:rPr>
        <w:t>at the district level</w:t>
      </w:r>
      <w:r>
        <w:t>, include multi-pathogen encephalitis panels, and establish standard practices for sample collection, transport, storage and processing.</w:t>
      </w:r>
    </w:p>
    <w:p w14:paraId="2C01B4D6" w14:textId="77777777" w:rsidR="005860A8" w:rsidRDefault="00CA3585" w:rsidP="005D3BAF">
      <w:pPr>
        <w:tabs>
          <w:tab w:val="left" w:pos="504"/>
        </w:tabs>
        <w:ind w:left="504" w:hanging="504"/>
        <w:jc w:val="both"/>
      </w:pPr>
      <w:r>
        <w:t>4.</w:t>
      </w:r>
      <w:r>
        <w:tab/>
      </w:r>
      <w:r>
        <w:rPr>
          <w:b/>
        </w:rPr>
        <w:t>Coordinate human-animal-vector surveillance.</w:t>
      </w:r>
      <w:r>
        <w:t xml:space="preserve"> Create a coordinated surveillance system across humans, animals and vectors, and report all </w:t>
      </w:r>
      <w:r>
        <w:rPr>
          <w:highlight w:val="yellow"/>
        </w:rPr>
        <w:t>positive and negative results together</w:t>
      </w:r>
      <w:r>
        <w:t xml:space="preserve"> with the sampling effort and level of testing.</w:t>
      </w:r>
    </w:p>
    <w:p w14:paraId="58832F96" w14:textId="77777777" w:rsidR="005860A8" w:rsidRDefault="00CA3585" w:rsidP="005D3BAF">
      <w:pPr>
        <w:tabs>
          <w:tab w:val="left" w:pos="504"/>
        </w:tabs>
        <w:ind w:left="504" w:hanging="504"/>
        <w:jc w:val="both"/>
      </w:pPr>
      <w:r>
        <w:t>5.</w:t>
      </w:r>
      <w:r>
        <w:tab/>
      </w:r>
      <w:r>
        <w:rPr>
          <w:b/>
        </w:rPr>
        <w:t>Strengthen seasonal referral preparedness.</w:t>
      </w:r>
      <w:r>
        <w:t xml:space="preserve"> Before each monsoon season, establish and test referral pathways for oxygen support and paediatric intensive care </w:t>
      </w:r>
      <w:r>
        <w:rPr>
          <w:highlight w:val="yellow"/>
        </w:rPr>
        <w:t>to facilitate prompt emergency treatment and smooth transfers</w:t>
      </w:r>
      <w:r>
        <w:t xml:space="preserve"> between levels of care.</w:t>
      </w:r>
    </w:p>
    <w:p w14:paraId="3BC57006" w14:textId="77777777" w:rsidR="005860A8" w:rsidRDefault="00CA3585" w:rsidP="005D3BAF">
      <w:pPr>
        <w:tabs>
          <w:tab w:val="left" w:pos="504"/>
        </w:tabs>
        <w:ind w:left="504" w:hanging="504"/>
        <w:jc w:val="both"/>
      </w:pPr>
      <w:r>
        <w:t>6.</w:t>
      </w:r>
      <w:r>
        <w:tab/>
      </w:r>
      <w:r>
        <w:rPr>
          <w:b/>
        </w:rPr>
        <w:t>Develop vaccines and antivirals.</w:t>
      </w:r>
      <w:r>
        <w:t xml:space="preserve"> Because no vaccine or antiviral is licensed for CHPV infection, continue to invest in the development of vaccine candidates and antiviral drugs.</w:t>
      </w:r>
    </w:p>
    <w:p w14:paraId="20676A8D" w14:textId="77777777" w:rsidR="005860A8" w:rsidRDefault="00CA3585" w:rsidP="005D3BAF">
      <w:pPr>
        <w:pStyle w:val="Heading1"/>
        <w:jc w:val="both"/>
      </w:pPr>
      <w:r>
        <w:t>Conclusions</w:t>
      </w:r>
    </w:p>
    <w:p w14:paraId="0B48F271" w14:textId="77777777" w:rsidR="005D3BAF" w:rsidRDefault="005D3BAF" w:rsidP="005D3BAF">
      <w:pPr>
        <w:jc w:val="both"/>
      </w:pPr>
      <w:r w:rsidRPr="005D3BAF">
        <w:t xml:space="preserve">The available surveillance data indicate a severe regional outbreak of </w:t>
      </w:r>
      <w:proofErr w:type="spellStart"/>
      <w:r w:rsidRPr="005D3BAF">
        <w:t>Chandipura</w:t>
      </w:r>
      <w:proofErr w:type="spellEnd"/>
      <w:r w:rsidRPr="005D3BAF">
        <w:t xml:space="preserve"> virus-associated encephalitis during 2026, affecting Gujarat and parts of Rajasthan. By 28 August 2026, 324 suspected cases and 42 laboratory-confirmed cases had been reported, with 28 deaths among confirmed cases. The corresponding crude case fatality proportion was 66.7%, but this measure reflects the reported confirmed-case denominator and should not be interpreted as the fatality risk among all infected individuals. Although suspected case counts continued to increase, cumulative and interval test positivity declined over the observation period. These findings require cautious interpretation because laboratory turnaround time, pending results, case definitions and ascertainment practices may influence the observed differences. The analysis supports the value of transparent, date-specific, line-listed </w:t>
      </w:r>
      <w:r w:rsidRPr="005D3BAF">
        <w:lastRenderedPageBreak/>
        <w:t xml:space="preserve">surveillance and timely, quality-assured molecular testing alongside differential investigation of CHPV-negative AES cases. Coordinated clinical, laboratory and vector surveillance may improve interpretation of future outbreaks. Prospective studies with individual-level diagnostic and outcome information are required before reliable assessments of assay performance, predictive models or national disease burden can be made. </w:t>
      </w:r>
    </w:p>
    <w:p w14:paraId="1E235CC3" w14:textId="77777777" w:rsidR="005D3BAF" w:rsidRDefault="005D3BAF" w:rsidP="005D3BAF">
      <w:pPr>
        <w:jc w:val="both"/>
      </w:pPr>
    </w:p>
    <w:p w14:paraId="5F65FFC8" w14:textId="088980EB" w:rsidR="005860A8" w:rsidRDefault="00CA3585" w:rsidP="005D3BAF">
      <w:pPr>
        <w:jc w:val="both"/>
      </w:pPr>
      <w:r>
        <w:rPr>
          <w:b/>
        </w:rPr>
        <w:t>Competing interests:</w:t>
      </w:r>
      <w:r>
        <w:t xml:space="preserve"> The authors declare no competing interests, financial or non-financial, directly or indirectly related to this work.</w:t>
      </w:r>
    </w:p>
    <w:p w14:paraId="671274E5" w14:textId="77777777" w:rsidR="005860A8" w:rsidRDefault="00CA3585" w:rsidP="005D3BAF">
      <w:pPr>
        <w:jc w:val="both"/>
      </w:pPr>
      <w:r>
        <w:rPr>
          <w:b/>
        </w:rPr>
        <w:t>Conflict of interest:</w:t>
      </w:r>
      <w:r>
        <w:t xml:space="preserve"> The authors declare no conflicts of interest.</w:t>
      </w:r>
    </w:p>
    <w:p w14:paraId="4A1B5BD8" w14:textId="77777777" w:rsidR="005860A8" w:rsidRDefault="00CA3585" w:rsidP="005D3BAF">
      <w:pPr>
        <w:jc w:val="both"/>
      </w:pPr>
      <w:r>
        <w:rPr>
          <w:b/>
        </w:rPr>
        <w:t>Ethics approval:</w:t>
      </w:r>
      <w:r>
        <w:t xml:space="preserve"> Ethics committee approval was not required, because the study used only publicly available, aggregated, non-identifiable data, involved no recruitment of or intervention in human participants, and collected no personal identifying information.</w:t>
      </w:r>
    </w:p>
    <w:p w14:paraId="169F4177" w14:textId="77777777" w:rsidR="005860A8" w:rsidRDefault="00CA3585" w:rsidP="005D3BAF">
      <w:pPr>
        <w:jc w:val="both"/>
      </w:pPr>
      <w:r>
        <w:rPr>
          <w:b/>
        </w:rPr>
        <w:t>Data availability:</w:t>
      </w:r>
      <w:r>
        <w:t xml:space="preserve"> The data were collected from the public sources cited in the manuscript. The derived results and their calculation are provided in Tables 1 and 2.</w:t>
      </w:r>
    </w:p>
    <w:p w14:paraId="769F3D75" w14:textId="77777777" w:rsidR="003F2CEE" w:rsidRPr="003F2CEE" w:rsidRDefault="003F2CEE" w:rsidP="005D3BAF">
      <w:pPr>
        <w:spacing w:after="0" w:line="240" w:lineRule="auto"/>
        <w:jc w:val="both"/>
        <w:rPr>
          <w:rFonts w:eastAsia="Calibri"/>
          <w:b/>
          <w:color w:val="auto"/>
          <w:sz w:val="22"/>
        </w:rPr>
      </w:pPr>
      <w:r w:rsidRPr="003F2CEE">
        <w:rPr>
          <w:rFonts w:eastAsia="Calibri"/>
          <w:b/>
          <w:color w:val="auto"/>
          <w:sz w:val="22"/>
        </w:rPr>
        <w:t>Declaration of AI Use</w:t>
      </w:r>
    </w:p>
    <w:p w14:paraId="5605996E" w14:textId="77777777" w:rsidR="003F2CEE" w:rsidRPr="003F2CEE" w:rsidRDefault="003F2CEE" w:rsidP="005D3BAF">
      <w:pPr>
        <w:spacing w:after="0" w:line="240" w:lineRule="auto"/>
        <w:jc w:val="both"/>
        <w:rPr>
          <w:rFonts w:eastAsia="Calibri"/>
          <w:b/>
          <w:color w:val="auto"/>
          <w:sz w:val="22"/>
        </w:rPr>
      </w:pPr>
    </w:p>
    <w:p w14:paraId="2FDBE867" w14:textId="77777777" w:rsidR="003F2CEE" w:rsidRPr="003F2CEE" w:rsidRDefault="003F2CEE" w:rsidP="005D3BAF">
      <w:pPr>
        <w:spacing w:after="0" w:line="240" w:lineRule="auto"/>
        <w:jc w:val="both"/>
        <w:rPr>
          <w:rFonts w:eastAsia="Calibri"/>
          <w:b/>
          <w:color w:val="auto"/>
          <w:sz w:val="22"/>
        </w:rPr>
      </w:pPr>
    </w:p>
    <w:p w14:paraId="226F9049" w14:textId="77777777" w:rsidR="003F2CEE" w:rsidRPr="003F2CEE" w:rsidRDefault="003F2CEE" w:rsidP="005D3BAF">
      <w:pPr>
        <w:spacing w:after="0" w:line="240" w:lineRule="auto"/>
        <w:jc w:val="both"/>
        <w:rPr>
          <w:rFonts w:eastAsia="Calibri"/>
          <w:b/>
          <w:color w:val="auto"/>
          <w:sz w:val="22"/>
        </w:rPr>
      </w:pPr>
    </w:p>
    <w:p w14:paraId="2CFF0455" w14:textId="77777777" w:rsidR="003F2CEE" w:rsidRPr="003F2CEE" w:rsidRDefault="003F2CEE" w:rsidP="005D3BAF">
      <w:pPr>
        <w:spacing w:after="0" w:line="240" w:lineRule="auto"/>
        <w:jc w:val="both"/>
        <w:rPr>
          <w:rFonts w:ascii="Arial" w:eastAsia="Calibri" w:hAnsi="Arial" w:cs="Arial"/>
          <w:color w:val="auto"/>
          <w:sz w:val="20"/>
          <w:szCs w:val="20"/>
        </w:rPr>
      </w:pPr>
      <w:r w:rsidRPr="003F2CEE">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55F31D" w14:textId="77777777" w:rsidR="003F2CEE" w:rsidRPr="003F2CEE" w:rsidRDefault="003F2CEE" w:rsidP="005D3BAF">
      <w:pPr>
        <w:spacing w:after="0" w:line="240" w:lineRule="auto"/>
        <w:jc w:val="both"/>
        <w:rPr>
          <w:rFonts w:eastAsia="Calibri"/>
          <w:b/>
          <w:color w:val="auto"/>
          <w:sz w:val="22"/>
        </w:rPr>
      </w:pPr>
    </w:p>
    <w:p w14:paraId="525C8F41" w14:textId="77777777" w:rsidR="003F2CEE" w:rsidRDefault="003F2CEE" w:rsidP="005D3BAF">
      <w:pPr>
        <w:jc w:val="both"/>
      </w:pPr>
    </w:p>
    <w:p w14:paraId="43F083C9" w14:textId="77777777" w:rsidR="003F2CEE" w:rsidRDefault="003F2CEE" w:rsidP="005D3BAF">
      <w:pPr>
        <w:pStyle w:val="Heading1"/>
        <w:jc w:val="both"/>
      </w:pPr>
    </w:p>
    <w:p w14:paraId="7CFC8152" w14:textId="77777777" w:rsidR="005860A8" w:rsidRDefault="00CA3585" w:rsidP="005D3BAF">
      <w:pPr>
        <w:pStyle w:val="Heading1"/>
        <w:jc w:val="both"/>
      </w:pPr>
      <w:r>
        <w:t>References</w:t>
      </w:r>
    </w:p>
    <w:p w14:paraId="65669FC0" w14:textId="77777777" w:rsidR="00FA1192" w:rsidRPr="00FA1192" w:rsidRDefault="00FA1192" w:rsidP="00FA1192">
      <w:pPr>
        <w:spacing w:before="100" w:beforeAutospacing="1" w:after="100" w:afterAutospacing="1" w:line="240" w:lineRule="auto"/>
        <w:rPr>
          <w:color w:val="auto"/>
          <w:szCs w:val="24"/>
        </w:rPr>
      </w:pPr>
      <w:proofErr w:type="spellStart"/>
      <w:r w:rsidRPr="00FA1192">
        <w:rPr>
          <w:color w:val="auto"/>
          <w:szCs w:val="24"/>
        </w:rPr>
        <w:t>Besag</w:t>
      </w:r>
      <w:proofErr w:type="spellEnd"/>
      <w:r w:rsidRPr="00FA1192">
        <w:rPr>
          <w:color w:val="auto"/>
          <w:szCs w:val="24"/>
        </w:rPr>
        <w:t xml:space="preserve">, J., York, J., &amp; </w:t>
      </w:r>
      <w:proofErr w:type="spellStart"/>
      <w:r w:rsidRPr="00FA1192">
        <w:rPr>
          <w:color w:val="auto"/>
          <w:szCs w:val="24"/>
        </w:rPr>
        <w:t>Mollié</w:t>
      </w:r>
      <w:proofErr w:type="spellEnd"/>
      <w:r w:rsidRPr="00FA1192">
        <w:rPr>
          <w:color w:val="auto"/>
          <w:szCs w:val="24"/>
        </w:rPr>
        <w:t xml:space="preserve">, A. (1991). Bayesian image restoration, with two applications in spatial statistics. </w:t>
      </w:r>
      <w:r w:rsidRPr="00FA1192">
        <w:rPr>
          <w:i/>
          <w:iCs/>
          <w:color w:val="auto"/>
          <w:szCs w:val="24"/>
        </w:rPr>
        <w:t>Annals of the Institute of Statistical Mathematics, 43</w:t>
      </w:r>
      <w:r w:rsidRPr="00FA1192">
        <w:rPr>
          <w:color w:val="auto"/>
          <w:szCs w:val="24"/>
        </w:rPr>
        <w:t xml:space="preserve">(1), 1–20. </w:t>
      </w:r>
      <w:hyperlink r:id="rId9" w:history="1">
        <w:r w:rsidRPr="00FA1192">
          <w:rPr>
            <w:color w:val="0000FF"/>
            <w:szCs w:val="24"/>
            <w:u w:val="single"/>
          </w:rPr>
          <w:t>https://doi.org/10.1007/BF00116466</w:t>
        </w:r>
      </w:hyperlink>
    </w:p>
    <w:p w14:paraId="2D0B8283"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Bhatt, P. N., &amp; Rodrigues, F. M. (1967). </w:t>
      </w:r>
      <w:proofErr w:type="spellStart"/>
      <w:r w:rsidRPr="00FA1192">
        <w:rPr>
          <w:color w:val="auto"/>
          <w:szCs w:val="24"/>
        </w:rPr>
        <w:t>Chandipura</w:t>
      </w:r>
      <w:proofErr w:type="spellEnd"/>
      <w:r w:rsidRPr="00FA1192">
        <w:rPr>
          <w:color w:val="auto"/>
          <w:szCs w:val="24"/>
        </w:rPr>
        <w:t xml:space="preserve">: A new arbovirus isolated in India from patients with febrile illness. </w:t>
      </w:r>
      <w:r w:rsidRPr="00FA1192">
        <w:rPr>
          <w:i/>
          <w:iCs/>
          <w:color w:val="auto"/>
          <w:szCs w:val="24"/>
        </w:rPr>
        <w:t>Indian Journal of Medical Research, 55</w:t>
      </w:r>
      <w:r w:rsidRPr="00FA1192">
        <w:rPr>
          <w:color w:val="auto"/>
          <w:szCs w:val="24"/>
        </w:rPr>
        <w:t xml:space="preserve">(12), 1295–1305. </w:t>
      </w:r>
      <w:hyperlink r:id="rId10" w:history="1">
        <w:r w:rsidRPr="00FA1192">
          <w:rPr>
            <w:color w:val="0000FF"/>
            <w:szCs w:val="24"/>
            <w:u w:val="single"/>
          </w:rPr>
          <w:t>https://pubmed.ncbi.nlm.nih.gov/4970067/</w:t>
        </w:r>
      </w:hyperlink>
    </w:p>
    <w:p w14:paraId="2D9A9570"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Bossuyt, P. M., Reitsma, J. B., Bruns, D. E., </w:t>
      </w:r>
      <w:proofErr w:type="spellStart"/>
      <w:r w:rsidRPr="00FA1192">
        <w:rPr>
          <w:color w:val="auto"/>
          <w:szCs w:val="24"/>
        </w:rPr>
        <w:t>Gatsonis</w:t>
      </w:r>
      <w:proofErr w:type="spellEnd"/>
      <w:r w:rsidRPr="00FA1192">
        <w:rPr>
          <w:color w:val="auto"/>
          <w:szCs w:val="24"/>
        </w:rPr>
        <w:t xml:space="preserve">, C. A., </w:t>
      </w:r>
      <w:proofErr w:type="spellStart"/>
      <w:r w:rsidRPr="00FA1192">
        <w:rPr>
          <w:color w:val="auto"/>
          <w:szCs w:val="24"/>
        </w:rPr>
        <w:t>Glasziou</w:t>
      </w:r>
      <w:proofErr w:type="spellEnd"/>
      <w:r w:rsidRPr="00FA1192">
        <w:rPr>
          <w:color w:val="auto"/>
          <w:szCs w:val="24"/>
        </w:rPr>
        <w:t xml:space="preserve">, P. P., </w:t>
      </w:r>
      <w:proofErr w:type="spellStart"/>
      <w:r w:rsidRPr="00FA1192">
        <w:rPr>
          <w:color w:val="auto"/>
          <w:szCs w:val="24"/>
        </w:rPr>
        <w:t>Irwig</w:t>
      </w:r>
      <w:proofErr w:type="spellEnd"/>
      <w:r w:rsidRPr="00FA1192">
        <w:rPr>
          <w:color w:val="auto"/>
          <w:szCs w:val="24"/>
        </w:rPr>
        <w:t xml:space="preserve">, L., </w:t>
      </w:r>
      <w:proofErr w:type="spellStart"/>
      <w:r w:rsidRPr="00FA1192">
        <w:rPr>
          <w:color w:val="auto"/>
          <w:szCs w:val="24"/>
        </w:rPr>
        <w:t>Lijmer</w:t>
      </w:r>
      <w:proofErr w:type="spellEnd"/>
      <w:r w:rsidRPr="00FA1192">
        <w:rPr>
          <w:color w:val="auto"/>
          <w:szCs w:val="24"/>
        </w:rPr>
        <w:t xml:space="preserve">, J. G., Moher, D., Rennie, D., de Vet, H. C. W., Kressel, H. Y., Rifai, N., Golub, R. </w:t>
      </w:r>
      <w:r w:rsidRPr="00FA1192">
        <w:rPr>
          <w:color w:val="auto"/>
          <w:szCs w:val="24"/>
        </w:rPr>
        <w:lastRenderedPageBreak/>
        <w:t xml:space="preserve">M., Altman, D. G., Hooft, L., </w:t>
      </w:r>
      <w:proofErr w:type="spellStart"/>
      <w:r w:rsidRPr="00FA1192">
        <w:rPr>
          <w:color w:val="auto"/>
          <w:szCs w:val="24"/>
        </w:rPr>
        <w:t>Korevaar</w:t>
      </w:r>
      <w:proofErr w:type="spellEnd"/>
      <w:r w:rsidRPr="00FA1192">
        <w:rPr>
          <w:color w:val="auto"/>
          <w:szCs w:val="24"/>
        </w:rPr>
        <w:t xml:space="preserve">, D. A., &amp; Cohen, J. F. (2015). STARD 2015: An updated list of essential items for reporting diagnostic accuracy studies. </w:t>
      </w:r>
      <w:r w:rsidRPr="00FA1192">
        <w:rPr>
          <w:i/>
          <w:iCs/>
          <w:color w:val="auto"/>
          <w:szCs w:val="24"/>
        </w:rPr>
        <w:t>BMJ, 351</w:t>
      </w:r>
      <w:r w:rsidRPr="00FA1192">
        <w:rPr>
          <w:color w:val="auto"/>
          <w:szCs w:val="24"/>
        </w:rPr>
        <w:t xml:space="preserve">, h5527. </w:t>
      </w:r>
      <w:hyperlink r:id="rId11" w:history="1">
        <w:r w:rsidRPr="00FA1192">
          <w:rPr>
            <w:color w:val="0000FF"/>
            <w:szCs w:val="24"/>
            <w:u w:val="single"/>
          </w:rPr>
          <w:t>https://doi.org/10.1136/bmj.h5527</w:t>
        </w:r>
      </w:hyperlink>
    </w:p>
    <w:p w14:paraId="1E63A5DB"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Chadha, M. S., </w:t>
      </w:r>
      <w:proofErr w:type="spellStart"/>
      <w:r w:rsidRPr="00FA1192">
        <w:rPr>
          <w:color w:val="auto"/>
          <w:szCs w:val="24"/>
        </w:rPr>
        <w:t>Arankalle</w:t>
      </w:r>
      <w:proofErr w:type="spellEnd"/>
      <w:r w:rsidRPr="00FA1192">
        <w:rPr>
          <w:color w:val="auto"/>
          <w:szCs w:val="24"/>
        </w:rPr>
        <w:t xml:space="preserve">, V. A., Jadi, R. S., Joshi, M. V., Thakare, J. P., Mahadev, P. V. M., &amp; Mishra, A. C. (2005). An outbreak of </w:t>
      </w:r>
      <w:proofErr w:type="spellStart"/>
      <w:r w:rsidRPr="00FA1192">
        <w:rPr>
          <w:color w:val="auto"/>
          <w:szCs w:val="24"/>
        </w:rPr>
        <w:t>Chandipura</w:t>
      </w:r>
      <w:proofErr w:type="spellEnd"/>
      <w:r w:rsidRPr="00FA1192">
        <w:rPr>
          <w:color w:val="auto"/>
          <w:szCs w:val="24"/>
        </w:rPr>
        <w:t xml:space="preserve"> virus encephalitis in the eastern districts of Gujarat state, India. </w:t>
      </w:r>
      <w:r w:rsidRPr="00FA1192">
        <w:rPr>
          <w:i/>
          <w:iCs/>
          <w:color w:val="auto"/>
          <w:szCs w:val="24"/>
        </w:rPr>
        <w:t>The American Journal of Tropical Medicine and Hygiene, 73</w:t>
      </w:r>
      <w:r w:rsidRPr="00FA1192">
        <w:rPr>
          <w:color w:val="auto"/>
          <w:szCs w:val="24"/>
        </w:rPr>
        <w:t xml:space="preserve">(3), 566–570. </w:t>
      </w:r>
      <w:hyperlink r:id="rId12" w:history="1">
        <w:r w:rsidRPr="00FA1192">
          <w:rPr>
            <w:color w:val="0000FF"/>
            <w:szCs w:val="24"/>
            <w:u w:val="single"/>
          </w:rPr>
          <w:t>https://doi.org/10.4269/ajtmh.2005.73.566</w:t>
        </w:r>
      </w:hyperlink>
    </w:p>
    <w:p w14:paraId="6FDE96ED"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Collins, G. S., Moons, K. G. M., Dhiman, P., Riley, R. D., Beam, A. L., Van </w:t>
      </w:r>
      <w:proofErr w:type="spellStart"/>
      <w:r w:rsidRPr="00FA1192">
        <w:rPr>
          <w:color w:val="auto"/>
          <w:szCs w:val="24"/>
        </w:rPr>
        <w:t>Calster</w:t>
      </w:r>
      <w:proofErr w:type="spellEnd"/>
      <w:r w:rsidRPr="00FA1192">
        <w:rPr>
          <w:color w:val="auto"/>
          <w:szCs w:val="24"/>
        </w:rPr>
        <w:t xml:space="preserve">, B., Ghassemi, M., Liu, X., Reitsma, J. B., van Smeden, M., Boulesteix, A.-L., </w:t>
      </w:r>
      <w:proofErr w:type="spellStart"/>
      <w:r w:rsidRPr="00FA1192">
        <w:rPr>
          <w:color w:val="auto"/>
          <w:szCs w:val="24"/>
        </w:rPr>
        <w:t>Camaradou</w:t>
      </w:r>
      <w:proofErr w:type="spellEnd"/>
      <w:r w:rsidRPr="00FA1192">
        <w:rPr>
          <w:color w:val="auto"/>
          <w:szCs w:val="24"/>
        </w:rPr>
        <w:t xml:space="preserve">, J. C., Celi, L. A., </w:t>
      </w:r>
      <w:proofErr w:type="spellStart"/>
      <w:r w:rsidRPr="00FA1192">
        <w:rPr>
          <w:color w:val="auto"/>
          <w:szCs w:val="24"/>
        </w:rPr>
        <w:t>Denaxas</w:t>
      </w:r>
      <w:proofErr w:type="spellEnd"/>
      <w:r w:rsidRPr="00FA1192">
        <w:rPr>
          <w:color w:val="auto"/>
          <w:szCs w:val="24"/>
        </w:rPr>
        <w:t xml:space="preserve">, S., Denniston, A. K., Glocker, B., Golub, R. M., Harvey, H., Heinze, G., . . . Logullo, P. (2024). TRIPOD+AI statement: Updated guidance for reporting clinical prediction models that use regression or machine learning methods. </w:t>
      </w:r>
      <w:r w:rsidRPr="00FA1192">
        <w:rPr>
          <w:i/>
          <w:iCs/>
          <w:color w:val="auto"/>
          <w:szCs w:val="24"/>
        </w:rPr>
        <w:t>BMJ, 385</w:t>
      </w:r>
      <w:r w:rsidRPr="00FA1192">
        <w:rPr>
          <w:color w:val="auto"/>
          <w:szCs w:val="24"/>
        </w:rPr>
        <w:t xml:space="preserve">, e078378. </w:t>
      </w:r>
      <w:hyperlink r:id="rId13" w:history="1">
        <w:r w:rsidRPr="00FA1192">
          <w:rPr>
            <w:color w:val="0000FF"/>
            <w:szCs w:val="24"/>
            <w:u w:val="single"/>
          </w:rPr>
          <w:t>https://doi.org/10.1136/bmj-2023-078378</w:t>
        </w:r>
      </w:hyperlink>
    </w:p>
    <w:p w14:paraId="4950F02B" w14:textId="340DD0CC"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De Sarkar, R. (2026, July 13). </w:t>
      </w:r>
      <w:proofErr w:type="spellStart"/>
      <w:r w:rsidRPr="00FA1192">
        <w:rPr>
          <w:color w:val="auto"/>
          <w:szCs w:val="24"/>
        </w:rPr>
        <w:t>Chandipura</w:t>
      </w:r>
      <w:proofErr w:type="spellEnd"/>
      <w:r w:rsidRPr="00FA1192">
        <w:rPr>
          <w:color w:val="auto"/>
          <w:szCs w:val="24"/>
        </w:rPr>
        <w:t xml:space="preserve"> virus resurfaces in Gujarat: 3 children dead, 6 infected amid monsoon. </w:t>
      </w:r>
      <w:r w:rsidRPr="00FA1192">
        <w:rPr>
          <w:i/>
          <w:iCs/>
          <w:color w:val="auto"/>
          <w:szCs w:val="24"/>
        </w:rPr>
        <w:t>Medical Dialogues</w:t>
      </w:r>
      <w:r w:rsidRPr="00FA1192">
        <w:rPr>
          <w:color w:val="auto"/>
          <w:szCs w:val="24"/>
        </w:rPr>
        <w:t xml:space="preserve">. </w:t>
      </w:r>
    </w:p>
    <w:p w14:paraId="2F07FAAA" w14:textId="77777777" w:rsidR="00FA1192" w:rsidRPr="00FA1192" w:rsidRDefault="00FA1192" w:rsidP="00FA1192">
      <w:pPr>
        <w:spacing w:before="100" w:beforeAutospacing="1" w:after="100" w:afterAutospacing="1" w:line="240" w:lineRule="auto"/>
        <w:rPr>
          <w:color w:val="auto"/>
          <w:szCs w:val="24"/>
        </w:rPr>
      </w:pPr>
      <w:proofErr w:type="spellStart"/>
      <w:r w:rsidRPr="00FA1192">
        <w:rPr>
          <w:color w:val="auto"/>
          <w:szCs w:val="24"/>
        </w:rPr>
        <w:t>Deshwali</w:t>
      </w:r>
      <w:proofErr w:type="spellEnd"/>
      <w:r w:rsidRPr="00FA1192">
        <w:rPr>
          <w:color w:val="auto"/>
          <w:szCs w:val="24"/>
        </w:rPr>
        <w:t xml:space="preserve">, Z. H., &amp; Sharma, V. (2025). A review on </w:t>
      </w:r>
      <w:proofErr w:type="spellStart"/>
      <w:r w:rsidRPr="00FA1192">
        <w:rPr>
          <w:color w:val="auto"/>
          <w:szCs w:val="24"/>
        </w:rPr>
        <w:t>Chandipura</w:t>
      </w:r>
      <w:proofErr w:type="spellEnd"/>
      <w:r w:rsidRPr="00FA1192">
        <w:rPr>
          <w:color w:val="auto"/>
          <w:szCs w:val="24"/>
        </w:rPr>
        <w:t xml:space="preserve"> virus: Outbreaks and emerging infectious disease for children in India. </w:t>
      </w:r>
      <w:r w:rsidRPr="00FA1192">
        <w:rPr>
          <w:i/>
          <w:iCs/>
          <w:color w:val="auto"/>
          <w:szCs w:val="24"/>
        </w:rPr>
        <w:t>Asian Journal of Research in Infectious Diseases, 16</w:t>
      </w:r>
      <w:r w:rsidRPr="00FA1192">
        <w:rPr>
          <w:color w:val="auto"/>
          <w:szCs w:val="24"/>
        </w:rPr>
        <w:t xml:space="preserve">(1), 1–12. </w:t>
      </w:r>
      <w:hyperlink r:id="rId14" w:history="1">
        <w:r w:rsidRPr="00FA1192">
          <w:rPr>
            <w:color w:val="0000FF"/>
            <w:szCs w:val="24"/>
            <w:u w:val="single"/>
          </w:rPr>
          <w:t>https://doi.org/10.9734/ajrid/2025/v16i1413</w:t>
        </w:r>
      </w:hyperlink>
    </w:p>
    <w:p w14:paraId="602807EC"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Garg, R., Prasad, A. K., &amp; Agarwala, P. (2024). </w:t>
      </w:r>
      <w:proofErr w:type="spellStart"/>
      <w:r w:rsidRPr="00FA1192">
        <w:rPr>
          <w:color w:val="auto"/>
          <w:szCs w:val="24"/>
        </w:rPr>
        <w:t>Chandipura</w:t>
      </w:r>
      <w:proofErr w:type="spellEnd"/>
      <w:r w:rsidRPr="00FA1192">
        <w:rPr>
          <w:color w:val="auto"/>
          <w:szCs w:val="24"/>
        </w:rPr>
        <w:t xml:space="preserve"> virus resurgence: Insights from Indian outbreaks and the path forward. </w:t>
      </w:r>
      <w:r w:rsidRPr="00FA1192">
        <w:rPr>
          <w:i/>
          <w:iCs/>
          <w:color w:val="auto"/>
          <w:szCs w:val="24"/>
        </w:rPr>
        <w:t>Indian Journal of Medical Microbiology, 52</w:t>
      </w:r>
      <w:r w:rsidRPr="00FA1192">
        <w:rPr>
          <w:color w:val="auto"/>
          <w:szCs w:val="24"/>
        </w:rPr>
        <w:t xml:space="preserve">, 100749. </w:t>
      </w:r>
      <w:hyperlink r:id="rId15" w:history="1">
        <w:r w:rsidRPr="00FA1192">
          <w:rPr>
            <w:color w:val="0000FF"/>
            <w:szCs w:val="24"/>
            <w:u w:val="single"/>
          </w:rPr>
          <w:t>https://doi.org/10.1016/j.ijmmb.2024.100749</w:t>
        </w:r>
      </w:hyperlink>
    </w:p>
    <w:p w14:paraId="7AC4E377"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Geevarghese, G., </w:t>
      </w:r>
      <w:proofErr w:type="spellStart"/>
      <w:r w:rsidRPr="00FA1192">
        <w:rPr>
          <w:color w:val="auto"/>
          <w:szCs w:val="24"/>
        </w:rPr>
        <w:t>Arankalle</w:t>
      </w:r>
      <w:proofErr w:type="spellEnd"/>
      <w:r w:rsidRPr="00FA1192">
        <w:rPr>
          <w:color w:val="auto"/>
          <w:szCs w:val="24"/>
        </w:rPr>
        <w:t xml:space="preserve">, V. A., Jadi, R., Kanojia, P. C., Joshi, M. V., &amp; Mishra, A. C. (2005). Detection of </w:t>
      </w:r>
      <w:proofErr w:type="spellStart"/>
      <w:r w:rsidRPr="00FA1192">
        <w:rPr>
          <w:color w:val="auto"/>
          <w:szCs w:val="24"/>
        </w:rPr>
        <w:t>Chandipura</w:t>
      </w:r>
      <w:proofErr w:type="spellEnd"/>
      <w:r w:rsidRPr="00FA1192">
        <w:rPr>
          <w:color w:val="auto"/>
          <w:szCs w:val="24"/>
        </w:rPr>
        <w:t xml:space="preserve"> virus from sand flies in the genus </w:t>
      </w:r>
      <w:proofErr w:type="spellStart"/>
      <w:r w:rsidRPr="00FA1192">
        <w:rPr>
          <w:i/>
          <w:iCs/>
          <w:color w:val="auto"/>
          <w:szCs w:val="24"/>
        </w:rPr>
        <w:t>Sergentomyia</w:t>
      </w:r>
      <w:proofErr w:type="spellEnd"/>
      <w:r w:rsidRPr="00FA1192">
        <w:rPr>
          <w:color w:val="auto"/>
          <w:szCs w:val="24"/>
        </w:rPr>
        <w:t xml:space="preserve"> (Diptera: </w:t>
      </w:r>
      <w:proofErr w:type="spellStart"/>
      <w:r w:rsidRPr="00FA1192">
        <w:rPr>
          <w:color w:val="auto"/>
          <w:szCs w:val="24"/>
        </w:rPr>
        <w:t>Phlebotomidae</w:t>
      </w:r>
      <w:proofErr w:type="spellEnd"/>
      <w:r w:rsidRPr="00FA1192">
        <w:rPr>
          <w:color w:val="auto"/>
          <w:szCs w:val="24"/>
        </w:rPr>
        <w:t xml:space="preserve">) at Karimnagar District, Andhra Pradesh, India. </w:t>
      </w:r>
      <w:r w:rsidRPr="00FA1192">
        <w:rPr>
          <w:i/>
          <w:iCs/>
          <w:color w:val="auto"/>
          <w:szCs w:val="24"/>
        </w:rPr>
        <w:t>Journal of Medical Entomology, 42</w:t>
      </w:r>
      <w:r w:rsidRPr="00FA1192">
        <w:rPr>
          <w:color w:val="auto"/>
          <w:szCs w:val="24"/>
        </w:rPr>
        <w:t xml:space="preserve">(3), 495–496. </w:t>
      </w:r>
      <w:hyperlink r:id="rId16" w:history="1">
        <w:r w:rsidRPr="00FA1192">
          <w:rPr>
            <w:color w:val="0000FF"/>
            <w:szCs w:val="24"/>
            <w:u w:val="single"/>
          </w:rPr>
          <w:t>https://doi.org/10.1093/jmedent/42.3.495</w:t>
        </w:r>
      </w:hyperlink>
    </w:p>
    <w:p w14:paraId="6E573A4C"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Ghani, A. C., Donnelly, C. A., Cox, D. R., Griffin, J. T., Fraser, C., Lam, T. H., Ho, L. M., Chan, W. S., Anderson, R. M., Hedley, A. J., &amp; Leung, G. M. (2005). Methods for estimating the case fatality ratio for a novel, emerging infectious disease. </w:t>
      </w:r>
      <w:r w:rsidRPr="00FA1192">
        <w:rPr>
          <w:i/>
          <w:iCs/>
          <w:color w:val="auto"/>
          <w:szCs w:val="24"/>
        </w:rPr>
        <w:t>American Journal of Epidemiology, 162</w:t>
      </w:r>
      <w:r w:rsidRPr="00FA1192">
        <w:rPr>
          <w:color w:val="auto"/>
          <w:szCs w:val="24"/>
        </w:rPr>
        <w:t xml:space="preserve">(5), 479–486. </w:t>
      </w:r>
      <w:hyperlink r:id="rId17" w:history="1">
        <w:r w:rsidRPr="00FA1192">
          <w:rPr>
            <w:color w:val="0000FF"/>
            <w:szCs w:val="24"/>
            <w:u w:val="single"/>
          </w:rPr>
          <w:t>https://doi.org/10.1093/aje/kwi230</w:t>
        </w:r>
      </w:hyperlink>
    </w:p>
    <w:p w14:paraId="23646F5F"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Gurav, Y. K., </w:t>
      </w:r>
      <w:proofErr w:type="spellStart"/>
      <w:r w:rsidRPr="00FA1192">
        <w:rPr>
          <w:color w:val="auto"/>
          <w:szCs w:val="24"/>
        </w:rPr>
        <w:t>Tandale</w:t>
      </w:r>
      <w:proofErr w:type="spellEnd"/>
      <w:r w:rsidRPr="00FA1192">
        <w:rPr>
          <w:color w:val="auto"/>
          <w:szCs w:val="24"/>
        </w:rPr>
        <w:t xml:space="preserve">, B. V., Jadi, R. S., </w:t>
      </w:r>
      <w:proofErr w:type="spellStart"/>
      <w:r w:rsidRPr="00FA1192">
        <w:rPr>
          <w:color w:val="auto"/>
          <w:szCs w:val="24"/>
        </w:rPr>
        <w:t>Gunjikar</w:t>
      </w:r>
      <w:proofErr w:type="spellEnd"/>
      <w:r w:rsidRPr="00FA1192">
        <w:rPr>
          <w:color w:val="auto"/>
          <w:szCs w:val="24"/>
        </w:rPr>
        <w:t xml:space="preserve">, R. S., </w:t>
      </w:r>
      <w:proofErr w:type="spellStart"/>
      <w:r w:rsidRPr="00FA1192">
        <w:rPr>
          <w:color w:val="auto"/>
          <w:szCs w:val="24"/>
        </w:rPr>
        <w:t>Tikute</w:t>
      </w:r>
      <w:proofErr w:type="spellEnd"/>
      <w:r w:rsidRPr="00FA1192">
        <w:rPr>
          <w:color w:val="auto"/>
          <w:szCs w:val="24"/>
        </w:rPr>
        <w:t xml:space="preserve">, S. S., </w:t>
      </w:r>
      <w:proofErr w:type="spellStart"/>
      <w:r w:rsidRPr="00FA1192">
        <w:rPr>
          <w:color w:val="auto"/>
          <w:szCs w:val="24"/>
        </w:rPr>
        <w:t>Jamgaonkar</w:t>
      </w:r>
      <w:proofErr w:type="spellEnd"/>
      <w:r w:rsidRPr="00FA1192">
        <w:rPr>
          <w:color w:val="auto"/>
          <w:szCs w:val="24"/>
        </w:rPr>
        <w:t xml:space="preserve">, A. V., Khadse, R. K., </w:t>
      </w:r>
      <w:proofErr w:type="spellStart"/>
      <w:r w:rsidRPr="00FA1192">
        <w:rPr>
          <w:color w:val="auto"/>
          <w:szCs w:val="24"/>
        </w:rPr>
        <w:t>Jalgaonkar</w:t>
      </w:r>
      <w:proofErr w:type="spellEnd"/>
      <w:r w:rsidRPr="00FA1192">
        <w:rPr>
          <w:color w:val="auto"/>
          <w:szCs w:val="24"/>
        </w:rPr>
        <w:t xml:space="preserve">, S. V., Arankalle, V. A., &amp; Mishra, A. C. (2010). </w:t>
      </w:r>
      <w:proofErr w:type="spellStart"/>
      <w:r w:rsidRPr="00FA1192">
        <w:rPr>
          <w:color w:val="auto"/>
          <w:szCs w:val="24"/>
        </w:rPr>
        <w:t>Chandipura</w:t>
      </w:r>
      <w:proofErr w:type="spellEnd"/>
      <w:r w:rsidRPr="00FA1192">
        <w:rPr>
          <w:color w:val="auto"/>
          <w:szCs w:val="24"/>
        </w:rPr>
        <w:t xml:space="preserve"> virus encephalitis outbreak among children in Nagpur division, Maharashtra, 2007. </w:t>
      </w:r>
      <w:r w:rsidRPr="00FA1192">
        <w:rPr>
          <w:i/>
          <w:iCs/>
          <w:color w:val="auto"/>
          <w:szCs w:val="24"/>
        </w:rPr>
        <w:t>Indian Journal of Medical Research, 132</w:t>
      </w:r>
      <w:r w:rsidRPr="00FA1192">
        <w:rPr>
          <w:color w:val="auto"/>
          <w:szCs w:val="24"/>
        </w:rPr>
        <w:t xml:space="preserve">(4), 395–399. </w:t>
      </w:r>
      <w:hyperlink r:id="rId18" w:history="1">
        <w:r w:rsidRPr="00FA1192">
          <w:rPr>
            <w:color w:val="0000FF"/>
            <w:szCs w:val="24"/>
            <w:u w:val="single"/>
          </w:rPr>
          <w:t>https://doi.org/10.25259/IJMR_20101324_395</w:t>
        </w:r>
      </w:hyperlink>
    </w:p>
    <w:p w14:paraId="5F11496E"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Hui, S. L., &amp; Walter, S. D. (1980). Estimating the error rates of diagnostic tests. </w:t>
      </w:r>
      <w:r w:rsidRPr="00FA1192">
        <w:rPr>
          <w:i/>
          <w:iCs/>
          <w:color w:val="auto"/>
          <w:szCs w:val="24"/>
        </w:rPr>
        <w:t>Biometrics, 36</w:t>
      </w:r>
      <w:r w:rsidRPr="00FA1192">
        <w:rPr>
          <w:color w:val="auto"/>
          <w:szCs w:val="24"/>
        </w:rPr>
        <w:t xml:space="preserve">(1), 167–171. </w:t>
      </w:r>
      <w:hyperlink r:id="rId19" w:history="1">
        <w:r w:rsidRPr="00FA1192">
          <w:rPr>
            <w:color w:val="0000FF"/>
            <w:szCs w:val="24"/>
            <w:u w:val="single"/>
          </w:rPr>
          <w:t>https://doi.org/10.2307/2530508</w:t>
        </w:r>
      </w:hyperlink>
    </w:p>
    <w:p w14:paraId="353AEA76"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IIHMR University. (2026). </w:t>
      </w:r>
      <w:proofErr w:type="spellStart"/>
      <w:r w:rsidRPr="00FA1192">
        <w:rPr>
          <w:i/>
          <w:iCs/>
          <w:color w:val="auto"/>
          <w:szCs w:val="24"/>
        </w:rPr>
        <w:t>Chandipura</w:t>
      </w:r>
      <w:proofErr w:type="spellEnd"/>
      <w:r w:rsidRPr="00FA1192">
        <w:rPr>
          <w:i/>
          <w:iCs/>
          <w:color w:val="auto"/>
          <w:szCs w:val="24"/>
        </w:rPr>
        <w:t xml:space="preserve"> virus outbreak</w:t>
      </w:r>
      <w:r w:rsidRPr="00FA1192">
        <w:rPr>
          <w:color w:val="auto"/>
          <w:szCs w:val="24"/>
        </w:rPr>
        <w:t xml:space="preserve">. </w:t>
      </w:r>
      <w:hyperlink r:id="rId20" w:history="1">
        <w:r w:rsidRPr="00FA1192">
          <w:rPr>
            <w:color w:val="0000FF"/>
            <w:szCs w:val="24"/>
            <w:u w:val="single"/>
          </w:rPr>
          <w:t>https://iihmr.edu.in/jaipur/chandipura-virus-outbreak</w:t>
        </w:r>
      </w:hyperlink>
    </w:p>
    <w:p w14:paraId="5C0323FA" w14:textId="28E54071"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Indo-Asian News Service. (2026a, August 3). Gujarat reports 22 child deaths linked to </w:t>
      </w:r>
      <w:proofErr w:type="spellStart"/>
      <w:r w:rsidRPr="00FA1192">
        <w:rPr>
          <w:color w:val="auto"/>
          <w:szCs w:val="24"/>
        </w:rPr>
        <w:t>Chandipura</w:t>
      </w:r>
      <w:proofErr w:type="spellEnd"/>
      <w:r w:rsidRPr="00FA1192">
        <w:rPr>
          <w:color w:val="auto"/>
          <w:szCs w:val="24"/>
        </w:rPr>
        <w:t xml:space="preserve"> virus. </w:t>
      </w:r>
      <w:r w:rsidRPr="00FA1192">
        <w:rPr>
          <w:i/>
          <w:iCs/>
          <w:color w:val="auto"/>
          <w:szCs w:val="24"/>
        </w:rPr>
        <w:t>Telangana Today</w:t>
      </w:r>
      <w:r w:rsidRPr="00FA1192">
        <w:rPr>
          <w:color w:val="auto"/>
          <w:szCs w:val="24"/>
        </w:rPr>
        <w:t xml:space="preserve">. </w:t>
      </w:r>
    </w:p>
    <w:p w14:paraId="7F8823FB" w14:textId="7DE608D0" w:rsidR="00FA1192" w:rsidRPr="00FA1192" w:rsidRDefault="00FA1192" w:rsidP="00FA1192">
      <w:pPr>
        <w:spacing w:before="100" w:beforeAutospacing="1" w:after="100" w:afterAutospacing="1" w:line="240" w:lineRule="auto"/>
        <w:rPr>
          <w:color w:val="auto"/>
          <w:szCs w:val="24"/>
        </w:rPr>
      </w:pPr>
      <w:r w:rsidRPr="00FA1192">
        <w:rPr>
          <w:color w:val="auto"/>
          <w:szCs w:val="24"/>
        </w:rPr>
        <w:lastRenderedPageBreak/>
        <w:t xml:space="preserve">Indo-Asian News Service. (2026b, August 10). 225 suspected </w:t>
      </w:r>
      <w:proofErr w:type="spellStart"/>
      <w:r w:rsidRPr="00FA1192">
        <w:rPr>
          <w:color w:val="auto"/>
          <w:szCs w:val="24"/>
        </w:rPr>
        <w:t>Chandipura</w:t>
      </w:r>
      <w:proofErr w:type="spellEnd"/>
      <w:r w:rsidRPr="00FA1192">
        <w:rPr>
          <w:color w:val="auto"/>
          <w:szCs w:val="24"/>
        </w:rPr>
        <w:t xml:space="preserve"> cases in Gujarat; total deaths 25. </w:t>
      </w:r>
      <w:proofErr w:type="spellStart"/>
      <w:r w:rsidRPr="00FA1192">
        <w:rPr>
          <w:i/>
          <w:iCs/>
          <w:color w:val="auto"/>
          <w:szCs w:val="24"/>
        </w:rPr>
        <w:t>Madhyamam</w:t>
      </w:r>
      <w:proofErr w:type="spellEnd"/>
      <w:r w:rsidRPr="00FA1192">
        <w:rPr>
          <w:color w:val="auto"/>
          <w:szCs w:val="24"/>
        </w:rPr>
        <w:t xml:space="preserve">. </w:t>
      </w:r>
    </w:p>
    <w:p w14:paraId="24D93F2F" w14:textId="7CED1BA1"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Indo-Asian News Service. (2026c, August 16). Gujarat: </w:t>
      </w:r>
      <w:proofErr w:type="spellStart"/>
      <w:r w:rsidRPr="00FA1192">
        <w:rPr>
          <w:color w:val="auto"/>
          <w:szCs w:val="24"/>
        </w:rPr>
        <w:t>Chandipura</w:t>
      </w:r>
      <w:proofErr w:type="spellEnd"/>
      <w:r w:rsidRPr="00FA1192">
        <w:rPr>
          <w:color w:val="auto"/>
          <w:szCs w:val="24"/>
        </w:rPr>
        <w:t xml:space="preserve"> virus claims 27 lives, 41 cases confirmed. </w:t>
      </w:r>
      <w:proofErr w:type="spellStart"/>
      <w:r w:rsidRPr="00FA1192">
        <w:rPr>
          <w:i/>
          <w:iCs/>
          <w:color w:val="auto"/>
          <w:szCs w:val="24"/>
        </w:rPr>
        <w:t>Madhyamam</w:t>
      </w:r>
      <w:proofErr w:type="spellEnd"/>
      <w:r w:rsidRPr="00FA1192">
        <w:rPr>
          <w:color w:val="auto"/>
          <w:szCs w:val="24"/>
        </w:rPr>
        <w:t xml:space="preserve">. </w:t>
      </w:r>
    </w:p>
    <w:p w14:paraId="3D59B03D" w14:textId="2F49EA4C"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Indo-Asian News Service. (2026d, August 28). Gujarat records 42 </w:t>
      </w:r>
      <w:proofErr w:type="spellStart"/>
      <w:r w:rsidRPr="00FA1192">
        <w:rPr>
          <w:color w:val="auto"/>
          <w:szCs w:val="24"/>
        </w:rPr>
        <w:t>Chandipura</w:t>
      </w:r>
      <w:proofErr w:type="spellEnd"/>
      <w:r w:rsidRPr="00FA1192">
        <w:rPr>
          <w:color w:val="auto"/>
          <w:szCs w:val="24"/>
        </w:rPr>
        <w:t xml:space="preserve"> virus cases, 28 deaths since June 30. </w:t>
      </w:r>
      <w:r w:rsidRPr="00FA1192">
        <w:rPr>
          <w:i/>
          <w:iCs/>
          <w:color w:val="auto"/>
          <w:szCs w:val="24"/>
        </w:rPr>
        <w:t>Telangana Today</w:t>
      </w:r>
      <w:r w:rsidRPr="00FA1192">
        <w:rPr>
          <w:color w:val="auto"/>
          <w:szCs w:val="24"/>
        </w:rPr>
        <w:t xml:space="preserve">. </w:t>
      </w:r>
    </w:p>
    <w:p w14:paraId="34CAD68C"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Joseph, S. A., </w:t>
      </w:r>
      <w:proofErr w:type="spellStart"/>
      <w:r w:rsidRPr="00FA1192">
        <w:rPr>
          <w:color w:val="auto"/>
          <w:szCs w:val="24"/>
        </w:rPr>
        <w:t>Owoicho</w:t>
      </w:r>
      <w:proofErr w:type="spellEnd"/>
      <w:r w:rsidRPr="00FA1192">
        <w:rPr>
          <w:color w:val="auto"/>
          <w:szCs w:val="24"/>
        </w:rPr>
        <w:t xml:space="preserve">, M. A. I. I., &amp; Singh, A. P. (2026). Temporal fusion of RT-qPCR and IgM/IgG serology for Nipah virus diagnosis: A critical narrative review and a proposed explainable artificial intelligence framework. </w:t>
      </w:r>
      <w:r w:rsidRPr="00FA1192">
        <w:rPr>
          <w:i/>
          <w:iCs/>
          <w:color w:val="auto"/>
          <w:szCs w:val="24"/>
        </w:rPr>
        <w:t>Asian Journal of Current Research, 11</w:t>
      </w:r>
      <w:r w:rsidRPr="00FA1192">
        <w:rPr>
          <w:color w:val="auto"/>
          <w:szCs w:val="24"/>
        </w:rPr>
        <w:t xml:space="preserve">(4), 111–135. </w:t>
      </w:r>
      <w:hyperlink r:id="rId21" w:history="1">
        <w:r w:rsidRPr="00FA1192">
          <w:rPr>
            <w:color w:val="0000FF"/>
            <w:szCs w:val="24"/>
            <w:u w:val="single"/>
          </w:rPr>
          <w:t>https://doi.org/10.56557/ajocr/2026/v11i411191</w:t>
        </w:r>
      </w:hyperlink>
    </w:p>
    <w:p w14:paraId="64959026"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Lundberg, S. M., &amp; Lee, S.-I. (2017). A unified approach to interpreting model predictions. </w:t>
      </w:r>
      <w:r w:rsidRPr="00FA1192">
        <w:rPr>
          <w:i/>
          <w:iCs/>
          <w:color w:val="auto"/>
          <w:szCs w:val="24"/>
        </w:rPr>
        <w:t>Advances in Neural Information Processing Systems, 30</w:t>
      </w:r>
      <w:r w:rsidRPr="00FA1192">
        <w:rPr>
          <w:color w:val="auto"/>
          <w:szCs w:val="24"/>
        </w:rPr>
        <w:t xml:space="preserve">, 4765–4774. </w:t>
      </w:r>
      <w:hyperlink r:id="rId22" w:history="1">
        <w:r w:rsidRPr="00FA1192">
          <w:rPr>
            <w:color w:val="0000FF"/>
            <w:szCs w:val="24"/>
            <w:u w:val="single"/>
          </w:rPr>
          <w:t>https://proceedings.neurips.cc/paper_files/paper/2017/hash/8a20a8621978632d76c43dfd28b67767-Abstract.html</w:t>
        </w:r>
      </w:hyperlink>
    </w:p>
    <w:p w14:paraId="58C7F318"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Mallick, D., Yadav, U., Gupta, M., Kumar, D., &amp; Kumar, R. (2025). The evolving landscape of </w:t>
      </w:r>
      <w:proofErr w:type="spellStart"/>
      <w:r w:rsidRPr="00FA1192">
        <w:rPr>
          <w:color w:val="auto"/>
          <w:szCs w:val="24"/>
        </w:rPr>
        <w:t>Chandipura</w:t>
      </w:r>
      <w:proofErr w:type="spellEnd"/>
      <w:r w:rsidRPr="00FA1192">
        <w:rPr>
          <w:color w:val="auto"/>
          <w:szCs w:val="24"/>
        </w:rPr>
        <w:t xml:space="preserve"> virus: A comprehensive account of outbreaks to recent advances. </w:t>
      </w:r>
      <w:r w:rsidRPr="00FA1192">
        <w:rPr>
          <w:i/>
          <w:iCs/>
          <w:color w:val="auto"/>
          <w:szCs w:val="24"/>
        </w:rPr>
        <w:t>Virology, 608</w:t>
      </w:r>
      <w:r w:rsidRPr="00FA1192">
        <w:rPr>
          <w:color w:val="auto"/>
          <w:szCs w:val="24"/>
        </w:rPr>
        <w:t xml:space="preserve">, 110541. </w:t>
      </w:r>
      <w:hyperlink r:id="rId23" w:history="1">
        <w:r w:rsidRPr="00FA1192">
          <w:rPr>
            <w:color w:val="0000FF"/>
            <w:szCs w:val="24"/>
            <w:u w:val="single"/>
          </w:rPr>
          <w:t>https://doi.org/10.1016/j.virol.2025.110541</w:t>
        </w:r>
      </w:hyperlink>
    </w:p>
    <w:p w14:paraId="09C5D223"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Menghani, S., </w:t>
      </w:r>
      <w:proofErr w:type="spellStart"/>
      <w:r w:rsidRPr="00FA1192">
        <w:rPr>
          <w:color w:val="auto"/>
          <w:szCs w:val="24"/>
        </w:rPr>
        <w:t>Chikhale</w:t>
      </w:r>
      <w:proofErr w:type="spellEnd"/>
      <w:r w:rsidRPr="00FA1192">
        <w:rPr>
          <w:color w:val="auto"/>
          <w:szCs w:val="24"/>
        </w:rPr>
        <w:t xml:space="preserve">, R., Raval, A., </w:t>
      </w:r>
      <w:proofErr w:type="spellStart"/>
      <w:r w:rsidRPr="00FA1192">
        <w:rPr>
          <w:color w:val="auto"/>
          <w:szCs w:val="24"/>
        </w:rPr>
        <w:t>Wadibhasme</w:t>
      </w:r>
      <w:proofErr w:type="spellEnd"/>
      <w:r w:rsidRPr="00FA1192">
        <w:rPr>
          <w:color w:val="auto"/>
          <w:szCs w:val="24"/>
        </w:rPr>
        <w:t xml:space="preserve">, P., &amp; Khedekar, P. (2012). </w:t>
      </w:r>
      <w:proofErr w:type="spellStart"/>
      <w:r w:rsidRPr="00FA1192">
        <w:rPr>
          <w:color w:val="auto"/>
          <w:szCs w:val="24"/>
        </w:rPr>
        <w:t>Chandipura</w:t>
      </w:r>
      <w:proofErr w:type="spellEnd"/>
      <w:r w:rsidRPr="00FA1192">
        <w:rPr>
          <w:color w:val="auto"/>
          <w:szCs w:val="24"/>
        </w:rPr>
        <w:t xml:space="preserve"> virus: An emerging tropical pathogen. </w:t>
      </w:r>
      <w:r w:rsidRPr="00FA1192">
        <w:rPr>
          <w:i/>
          <w:iCs/>
          <w:color w:val="auto"/>
          <w:szCs w:val="24"/>
        </w:rPr>
        <w:t>Acta Tropica, 124</w:t>
      </w:r>
      <w:r w:rsidRPr="00FA1192">
        <w:rPr>
          <w:color w:val="auto"/>
          <w:szCs w:val="24"/>
        </w:rPr>
        <w:t xml:space="preserve">(1), 1–14. </w:t>
      </w:r>
      <w:hyperlink r:id="rId24" w:history="1">
        <w:r w:rsidRPr="00FA1192">
          <w:rPr>
            <w:color w:val="0000FF"/>
            <w:szCs w:val="24"/>
            <w:u w:val="single"/>
          </w:rPr>
          <w:t>https://doi.org/10.1016/j.actatropica.2012.06.001</w:t>
        </w:r>
      </w:hyperlink>
    </w:p>
    <w:p w14:paraId="051B4A35"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Newcombe, R. G. (1998). Two-sided confidence intervals for the single proportion: Comparison of seven methods. </w:t>
      </w:r>
      <w:r w:rsidRPr="00FA1192">
        <w:rPr>
          <w:i/>
          <w:iCs/>
          <w:color w:val="auto"/>
          <w:szCs w:val="24"/>
        </w:rPr>
        <w:t>Statistics in Medicine, 17</w:t>
      </w:r>
      <w:r w:rsidRPr="00FA1192">
        <w:rPr>
          <w:color w:val="auto"/>
          <w:szCs w:val="24"/>
        </w:rPr>
        <w:t xml:space="preserve">(8), 857–872. </w:t>
      </w:r>
      <w:hyperlink r:id="rId25" w:history="1">
        <w:r w:rsidRPr="00FA1192">
          <w:rPr>
            <w:color w:val="0000FF"/>
            <w:szCs w:val="24"/>
            <w:u w:val="single"/>
          </w:rPr>
          <w:t>https://doi.org/10.1002/%28SICI%291097-0258%2819980430%2917%3A8%3C857%3A%3AAID-SIM777%3E3.0.CO%3B2-E</w:t>
        </w:r>
      </w:hyperlink>
    </w:p>
    <w:p w14:paraId="02FA7D4B" w14:textId="41AE345C"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News Arena Network. (2026, August 5). Centre deploys outbreak team as </w:t>
      </w:r>
      <w:proofErr w:type="spellStart"/>
      <w:r w:rsidRPr="00FA1192">
        <w:rPr>
          <w:color w:val="auto"/>
          <w:szCs w:val="24"/>
        </w:rPr>
        <w:t>Chandipura</w:t>
      </w:r>
      <w:proofErr w:type="spellEnd"/>
      <w:r w:rsidRPr="00FA1192">
        <w:rPr>
          <w:color w:val="auto"/>
          <w:szCs w:val="24"/>
        </w:rPr>
        <w:t xml:space="preserve"> virus probe expands. </w:t>
      </w:r>
      <w:r w:rsidRPr="00FA1192">
        <w:rPr>
          <w:i/>
          <w:iCs/>
          <w:color w:val="auto"/>
          <w:szCs w:val="24"/>
        </w:rPr>
        <w:t>News Arena India</w:t>
      </w:r>
      <w:r w:rsidRPr="00FA1192">
        <w:rPr>
          <w:color w:val="auto"/>
          <w:szCs w:val="24"/>
        </w:rPr>
        <w:t xml:space="preserve">. </w:t>
      </w:r>
    </w:p>
    <w:p w14:paraId="5EA555E6" w14:textId="531B839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Observer Online Report. (2026, August 13). 25 </w:t>
      </w:r>
      <w:proofErr w:type="gramStart"/>
      <w:r w:rsidRPr="00FA1192">
        <w:rPr>
          <w:color w:val="auto"/>
          <w:szCs w:val="24"/>
        </w:rPr>
        <w:t>die</w:t>
      </w:r>
      <w:proofErr w:type="gramEnd"/>
      <w:r w:rsidRPr="00FA1192">
        <w:rPr>
          <w:color w:val="auto"/>
          <w:szCs w:val="24"/>
        </w:rPr>
        <w:t xml:space="preserve"> in Gujarat in five weeks as source of deadly virus remains unknown. </w:t>
      </w:r>
      <w:r w:rsidRPr="00FA1192">
        <w:rPr>
          <w:i/>
          <w:iCs/>
          <w:color w:val="auto"/>
          <w:szCs w:val="24"/>
        </w:rPr>
        <w:t>The Daily Observer</w:t>
      </w:r>
      <w:r w:rsidRPr="00FA1192">
        <w:rPr>
          <w:color w:val="auto"/>
          <w:szCs w:val="24"/>
        </w:rPr>
        <w:t xml:space="preserve">. </w:t>
      </w:r>
    </w:p>
    <w:p w14:paraId="4EE592B5" w14:textId="5DF75C64"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Press Trust of India. (2026, July 13). Three children die of </w:t>
      </w:r>
      <w:proofErr w:type="spellStart"/>
      <w:r w:rsidRPr="00FA1192">
        <w:rPr>
          <w:color w:val="auto"/>
          <w:szCs w:val="24"/>
        </w:rPr>
        <w:t>Chandipura</w:t>
      </w:r>
      <w:proofErr w:type="spellEnd"/>
      <w:r w:rsidRPr="00FA1192">
        <w:rPr>
          <w:color w:val="auto"/>
          <w:szCs w:val="24"/>
        </w:rPr>
        <w:t xml:space="preserve"> virus in Gujarat in latest outbreak; 4 under treatment. </w:t>
      </w:r>
      <w:proofErr w:type="spellStart"/>
      <w:r w:rsidRPr="00FA1192">
        <w:rPr>
          <w:i/>
          <w:iCs/>
          <w:color w:val="auto"/>
          <w:szCs w:val="24"/>
        </w:rPr>
        <w:t>ThePrint</w:t>
      </w:r>
      <w:proofErr w:type="spellEnd"/>
      <w:r w:rsidRPr="00FA1192">
        <w:rPr>
          <w:color w:val="auto"/>
          <w:szCs w:val="24"/>
        </w:rPr>
        <w:t xml:space="preserve">. </w:t>
      </w:r>
    </w:p>
    <w:p w14:paraId="583A022B"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Rao, B. L., Basu, A., </w:t>
      </w:r>
      <w:proofErr w:type="spellStart"/>
      <w:r w:rsidRPr="00FA1192">
        <w:rPr>
          <w:color w:val="auto"/>
          <w:szCs w:val="24"/>
        </w:rPr>
        <w:t>Wairagkar</w:t>
      </w:r>
      <w:proofErr w:type="spellEnd"/>
      <w:r w:rsidRPr="00FA1192">
        <w:rPr>
          <w:color w:val="auto"/>
          <w:szCs w:val="24"/>
        </w:rPr>
        <w:t xml:space="preserve">, N. S., Gore, M. M., </w:t>
      </w:r>
      <w:proofErr w:type="spellStart"/>
      <w:r w:rsidRPr="00FA1192">
        <w:rPr>
          <w:color w:val="auto"/>
          <w:szCs w:val="24"/>
        </w:rPr>
        <w:t>Arankalle</w:t>
      </w:r>
      <w:proofErr w:type="spellEnd"/>
      <w:r w:rsidRPr="00FA1192">
        <w:rPr>
          <w:color w:val="auto"/>
          <w:szCs w:val="24"/>
        </w:rPr>
        <w:t xml:space="preserve">, V. A., Thakare, J. P., Jadi, R. S., Rao, K. A., &amp; Mishra, A. C. (2004). A large outbreak of acute encephalitis with high fatality rate in children in Andhra Pradesh, India, in 2003, associated with </w:t>
      </w:r>
      <w:proofErr w:type="spellStart"/>
      <w:r w:rsidRPr="00FA1192">
        <w:rPr>
          <w:color w:val="auto"/>
          <w:szCs w:val="24"/>
        </w:rPr>
        <w:t>Chandipura</w:t>
      </w:r>
      <w:proofErr w:type="spellEnd"/>
      <w:r w:rsidRPr="00FA1192">
        <w:rPr>
          <w:color w:val="auto"/>
          <w:szCs w:val="24"/>
        </w:rPr>
        <w:t xml:space="preserve"> virus. </w:t>
      </w:r>
      <w:r w:rsidRPr="00FA1192">
        <w:rPr>
          <w:i/>
          <w:iCs/>
          <w:color w:val="auto"/>
          <w:szCs w:val="24"/>
        </w:rPr>
        <w:t>The Lancet, 364</w:t>
      </w:r>
      <w:r w:rsidRPr="00FA1192">
        <w:rPr>
          <w:color w:val="auto"/>
          <w:szCs w:val="24"/>
        </w:rPr>
        <w:t xml:space="preserve">(9437), 869–874. </w:t>
      </w:r>
      <w:hyperlink r:id="rId26" w:history="1">
        <w:r w:rsidRPr="00FA1192">
          <w:rPr>
            <w:color w:val="0000FF"/>
            <w:szCs w:val="24"/>
            <w:u w:val="single"/>
          </w:rPr>
          <w:t>https://doi.org/10.1016/S0140-6736(04)16982-1</w:t>
        </w:r>
      </w:hyperlink>
    </w:p>
    <w:p w14:paraId="44721259"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Riley, R. D., Ensor, J., Snell, K. I. E., Harrell, F. E., Jr., Martin, G. P., Reitsma, J. B., Moons, K. G. M., Collins, G. S., &amp; van Smeden, M. (2020). Calculating the sample size required for developing a clinical prediction model. </w:t>
      </w:r>
      <w:r w:rsidRPr="00FA1192">
        <w:rPr>
          <w:i/>
          <w:iCs/>
          <w:color w:val="auto"/>
          <w:szCs w:val="24"/>
        </w:rPr>
        <w:t>BMJ, 368</w:t>
      </w:r>
      <w:r w:rsidRPr="00FA1192">
        <w:rPr>
          <w:color w:val="auto"/>
          <w:szCs w:val="24"/>
        </w:rPr>
        <w:t xml:space="preserve">, m441. </w:t>
      </w:r>
      <w:hyperlink r:id="rId27" w:history="1">
        <w:r w:rsidRPr="00FA1192">
          <w:rPr>
            <w:color w:val="0000FF"/>
            <w:szCs w:val="24"/>
            <w:u w:val="single"/>
          </w:rPr>
          <w:t>https://doi.org/10.1136/bmj.m441</w:t>
        </w:r>
      </w:hyperlink>
    </w:p>
    <w:p w14:paraId="6736BB4B" w14:textId="77777777" w:rsidR="00FA1192" w:rsidRPr="00FA1192" w:rsidRDefault="00FA1192" w:rsidP="00FA1192">
      <w:pPr>
        <w:spacing w:before="100" w:beforeAutospacing="1" w:after="100" w:afterAutospacing="1" w:line="240" w:lineRule="auto"/>
        <w:rPr>
          <w:color w:val="auto"/>
          <w:szCs w:val="24"/>
        </w:rPr>
      </w:pPr>
      <w:proofErr w:type="spellStart"/>
      <w:r w:rsidRPr="00FA1192">
        <w:rPr>
          <w:color w:val="auto"/>
          <w:szCs w:val="24"/>
        </w:rPr>
        <w:lastRenderedPageBreak/>
        <w:t>Sapkal</w:t>
      </w:r>
      <w:proofErr w:type="spellEnd"/>
      <w:r w:rsidRPr="00FA1192">
        <w:rPr>
          <w:color w:val="auto"/>
          <w:szCs w:val="24"/>
        </w:rPr>
        <w:t xml:space="preserve">, G. N., Sawant, P. M., &amp; Mourya, D. T. (2018). </w:t>
      </w:r>
      <w:proofErr w:type="spellStart"/>
      <w:r w:rsidRPr="00FA1192">
        <w:rPr>
          <w:color w:val="auto"/>
          <w:szCs w:val="24"/>
        </w:rPr>
        <w:t>Chandipura</w:t>
      </w:r>
      <w:proofErr w:type="spellEnd"/>
      <w:r w:rsidRPr="00FA1192">
        <w:rPr>
          <w:color w:val="auto"/>
          <w:szCs w:val="24"/>
        </w:rPr>
        <w:t xml:space="preserve"> viral encephalitis: A brief review. </w:t>
      </w:r>
      <w:r w:rsidRPr="00FA1192">
        <w:rPr>
          <w:i/>
          <w:iCs/>
          <w:color w:val="auto"/>
          <w:szCs w:val="24"/>
        </w:rPr>
        <w:t>The Open Virology Journal, 12</w:t>
      </w:r>
      <w:r w:rsidRPr="00FA1192">
        <w:rPr>
          <w:color w:val="auto"/>
          <w:szCs w:val="24"/>
        </w:rPr>
        <w:t xml:space="preserve">, 44–51. </w:t>
      </w:r>
      <w:hyperlink r:id="rId28" w:history="1">
        <w:r w:rsidRPr="00FA1192">
          <w:rPr>
            <w:color w:val="0000FF"/>
            <w:szCs w:val="24"/>
            <w:u w:val="single"/>
          </w:rPr>
          <w:t>https://doi.org/10.2174/1874357901812010044</w:t>
        </w:r>
      </w:hyperlink>
    </w:p>
    <w:p w14:paraId="39BC19B8"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Shukla, N., </w:t>
      </w:r>
      <w:proofErr w:type="spellStart"/>
      <w:r w:rsidRPr="00FA1192">
        <w:rPr>
          <w:color w:val="auto"/>
          <w:szCs w:val="24"/>
        </w:rPr>
        <w:t>Budhbhatti</w:t>
      </w:r>
      <w:proofErr w:type="spellEnd"/>
      <w:r w:rsidRPr="00FA1192">
        <w:rPr>
          <w:color w:val="auto"/>
          <w:szCs w:val="24"/>
        </w:rPr>
        <w:t xml:space="preserve">, U., </w:t>
      </w:r>
      <w:proofErr w:type="spellStart"/>
      <w:r w:rsidRPr="00FA1192">
        <w:rPr>
          <w:color w:val="auto"/>
          <w:szCs w:val="24"/>
        </w:rPr>
        <w:t>Puvar</w:t>
      </w:r>
      <w:proofErr w:type="spellEnd"/>
      <w:r w:rsidRPr="00FA1192">
        <w:rPr>
          <w:color w:val="auto"/>
          <w:szCs w:val="24"/>
        </w:rPr>
        <w:t xml:space="preserve">, A., Raval, I., Pandit, R., Chavda, P., Chauhan, A., Jhala, D., Shah, D., Shah, T., Raval, J., Prajapati, H., Patel, N., Upadhyay, K., Joshi, M., Patel, A. K., Bondre, V., Kumar, N., &amp; Joshi, C. (2026). Genomic and evolutionary characterization of </w:t>
      </w:r>
      <w:proofErr w:type="spellStart"/>
      <w:r w:rsidRPr="00FA1192">
        <w:rPr>
          <w:color w:val="auto"/>
          <w:szCs w:val="24"/>
        </w:rPr>
        <w:t>Chandipura</w:t>
      </w:r>
      <w:proofErr w:type="spellEnd"/>
      <w:r w:rsidRPr="00FA1192">
        <w:rPr>
          <w:color w:val="auto"/>
          <w:szCs w:val="24"/>
        </w:rPr>
        <w:t xml:space="preserve"> virus: A cause of the 2024 outbreak in Gujarat, India. </w:t>
      </w:r>
      <w:r w:rsidRPr="00FA1192">
        <w:rPr>
          <w:i/>
          <w:iCs/>
          <w:color w:val="auto"/>
          <w:szCs w:val="24"/>
        </w:rPr>
        <w:t>Microbiology Spectrum, 14</w:t>
      </w:r>
      <w:r w:rsidRPr="00FA1192">
        <w:rPr>
          <w:color w:val="auto"/>
          <w:szCs w:val="24"/>
        </w:rPr>
        <w:t xml:space="preserve">(5), e01578-25. </w:t>
      </w:r>
      <w:hyperlink r:id="rId29" w:history="1">
        <w:r w:rsidRPr="00FA1192">
          <w:rPr>
            <w:color w:val="0000FF"/>
            <w:szCs w:val="24"/>
            <w:u w:val="single"/>
          </w:rPr>
          <w:t>https://doi.org/10.1128/spectrum.01578-25</w:t>
        </w:r>
      </w:hyperlink>
    </w:p>
    <w:p w14:paraId="003369C9"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Sudeep, A. B., Gurav, Y. K., &amp; Bondre, V. P. (2016). Changing clinical scenario in </w:t>
      </w:r>
      <w:proofErr w:type="spellStart"/>
      <w:r w:rsidRPr="00FA1192">
        <w:rPr>
          <w:color w:val="auto"/>
          <w:szCs w:val="24"/>
        </w:rPr>
        <w:t>Chandipura</w:t>
      </w:r>
      <w:proofErr w:type="spellEnd"/>
      <w:r w:rsidRPr="00FA1192">
        <w:rPr>
          <w:color w:val="auto"/>
          <w:szCs w:val="24"/>
        </w:rPr>
        <w:t xml:space="preserve"> virus infection. </w:t>
      </w:r>
      <w:r w:rsidRPr="00FA1192">
        <w:rPr>
          <w:i/>
          <w:iCs/>
          <w:color w:val="auto"/>
          <w:szCs w:val="24"/>
        </w:rPr>
        <w:t>Indian Journal of Medical Research, 143</w:t>
      </w:r>
      <w:r w:rsidRPr="00FA1192">
        <w:rPr>
          <w:color w:val="auto"/>
          <w:szCs w:val="24"/>
        </w:rPr>
        <w:t xml:space="preserve">(6), 712–721. </w:t>
      </w:r>
      <w:hyperlink r:id="rId30" w:history="1">
        <w:r w:rsidRPr="00FA1192">
          <w:rPr>
            <w:color w:val="0000FF"/>
            <w:szCs w:val="24"/>
            <w:u w:val="single"/>
          </w:rPr>
          <w:t>https://doi.org/10.4103/0971-5916.191929</w:t>
        </w:r>
      </w:hyperlink>
    </w:p>
    <w:p w14:paraId="4F6DF180" w14:textId="75A06348"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Team </w:t>
      </w:r>
      <w:proofErr w:type="spellStart"/>
      <w:r w:rsidRPr="00FA1192">
        <w:rPr>
          <w:color w:val="auto"/>
          <w:szCs w:val="24"/>
        </w:rPr>
        <w:t>VoI</w:t>
      </w:r>
      <w:proofErr w:type="spellEnd"/>
      <w:r w:rsidRPr="00FA1192">
        <w:rPr>
          <w:color w:val="auto"/>
          <w:szCs w:val="24"/>
        </w:rPr>
        <w:t xml:space="preserve">. (2026, August 14). </w:t>
      </w:r>
      <w:proofErr w:type="spellStart"/>
      <w:r w:rsidRPr="00FA1192">
        <w:rPr>
          <w:color w:val="auto"/>
          <w:szCs w:val="24"/>
        </w:rPr>
        <w:t>Chandipura</w:t>
      </w:r>
      <w:proofErr w:type="spellEnd"/>
      <w:r w:rsidRPr="00FA1192">
        <w:rPr>
          <w:color w:val="auto"/>
          <w:szCs w:val="24"/>
        </w:rPr>
        <w:t xml:space="preserve"> outbreak grips Gujarat: 27 dead, 41 cases confirmed. </w:t>
      </w:r>
      <w:r w:rsidRPr="00FA1192">
        <w:rPr>
          <w:i/>
          <w:iCs/>
          <w:color w:val="auto"/>
          <w:szCs w:val="24"/>
        </w:rPr>
        <w:t>Vibes of India</w:t>
      </w:r>
      <w:r w:rsidRPr="00FA1192">
        <w:rPr>
          <w:color w:val="auto"/>
          <w:szCs w:val="24"/>
        </w:rPr>
        <w:t xml:space="preserve">. </w:t>
      </w:r>
    </w:p>
    <w:p w14:paraId="0FA499BA"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Vickers, A. J., &amp; Elkin, E. B. (2006). Decision curve analysis: A novel method for evaluating prediction models. </w:t>
      </w:r>
      <w:r w:rsidRPr="00FA1192">
        <w:rPr>
          <w:i/>
          <w:iCs/>
          <w:color w:val="auto"/>
          <w:szCs w:val="24"/>
        </w:rPr>
        <w:t>Medical Decision Making, 26</w:t>
      </w:r>
      <w:r w:rsidRPr="00FA1192">
        <w:rPr>
          <w:color w:val="auto"/>
          <w:szCs w:val="24"/>
        </w:rPr>
        <w:t xml:space="preserve">(6), 565–574. </w:t>
      </w:r>
      <w:hyperlink r:id="rId31" w:history="1">
        <w:r w:rsidRPr="00FA1192">
          <w:rPr>
            <w:color w:val="0000FF"/>
            <w:szCs w:val="24"/>
            <w:u w:val="single"/>
          </w:rPr>
          <w:t>https://doi.org/10.1177/0272989X06295361</w:t>
        </w:r>
      </w:hyperlink>
    </w:p>
    <w:p w14:paraId="38AA2008"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von Elm, E., Altman, D. G., Egger, M., Pocock, S. J., Gøtzsche, P. C., &amp; Vandenbroucke, J. P. (2007). The Strengthening the Reporting of Observational Studies in Epidemiology (STROBE) statement: Guidelines for reporting observational studies. </w:t>
      </w:r>
      <w:r w:rsidRPr="00FA1192">
        <w:rPr>
          <w:i/>
          <w:iCs/>
          <w:color w:val="auto"/>
          <w:szCs w:val="24"/>
        </w:rPr>
        <w:t>The Lancet, 370</w:t>
      </w:r>
      <w:r w:rsidRPr="00FA1192">
        <w:rPr>
          <w:color w:val="auto"/>
          <w:szCs w:val="24"/>
        </w:rPr>
        <w:t xml:space="preserve">(9596), 1453–1457. </w:t>
      </w:r>
      <w:hyperlink r:id="rId32" w:history="1">
        <w:r w:rsidRPr="00FA1192">
          <w:rPr>
            <w:color w:val="0000FF"/>
            <w:szCs w:val="24"/>
            <w:u w:val="single"/>
          </w:rPr>
          <w:t>https://doi.org/10.1016/S0140-6736(07)61602-X</w:t>
        </w:r>
      </w:hyperlink>
    </w:p>
    <w:p w14:paraId="719B93DE"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Wilson, E. B. (1927). Probable inference, the law of succession, and statistical inference. </w:t>
      </w:r>
      <w:r w:rsidRPr="00FA1192">
        <w:rPr>
          <w:i/>
          <w:iCs/>
          <w:color w:val="auto"/>
          <w:szCs w:val="24"/>
        </w:rPr>
        <w:t>Journal of the American Statistical Association, 22</w:t>
      </w:r>
      <w:r w:rsidRPr="00FA1192">
        <w:rPr>
          <w:color w:val="auto"/>
          <w:szCs w:val="24"/>
        </w:rPr>
        <w:t xml:space="preserve">(158), 209–212. </w:t>
      </w:r>
      <w:hyperlink r:id="rId33" w:history="1">
        <w:r w:rsidRPr="00FA1192">
          <w:rPr>
            <w:color w:val="0000FF"/>
            <w:szCs w:val="24"/>
            <w:u w:val="single"/>
          </w:rPr>
          <w:t>https://doi.org/10.1080/01621459.1927.10502953</w:t>
        </w:r>
      </w:hyperlink>
    </w:p>
    <w:p w14:paraId="788497FE"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Wolff, R. F., Moons, K. G. M., Riley, R. D., Whiting, P. F., Westwood, M., Collins, G. S., Reitsma, J. B., </w:t>
      </w:r>
      <w:proofErr w:type="spellStart"/>
      <w:r w:rsidRPr="00FA1192">
        <w:rPr>
          <w:color w:val="auto"/>
          <w:szCs w:val="24"/>
        </w:rPr>
        <w:t>Kleijnen</w:t>
      </w:r>
      <w:proofErr w:type="spellEnd"/>
      <w:r w:rsidRPr="00FA1192">
        <w:rPr>
          <w:color w:val="auto"/>
          <w:szCs w:val="24"/>
        </w:rPr>
        <w:t xml:space="preserve">, J., &amp; Mallett, S. (2019). PROBAST: A tool to assess the risk of bias and applicability of prediction model studies. </w:t>
      </w:r>
      <w:r w:rsidRPr="00FA1192">
        <w:rPr>
          <w:i/>
          <w:iCs/>
          <w:color w:val="auto"/>
          <w:szCs w:val="24"/>
        </w:rPr>
        <w:t>Annals of Internal Medicine, 170</w:t>
      </w:r>
      <w:r w:rsidRPr="00FA1192">
        <w:rPr>
          <w:color w:val="auto"/>
          <w:szCs w:val="24"/>
        </w:rPr>
        <w:t xml:space="preserve">(1), 51–58. </w:t>
      </w:r>
      <w:hyperlink r:id="rId34" w:history="1">
        <w:r w:rsidRPr="00FA1192">
          <w:rPr>
            <w:color w:val="0000FF"/>
            <w:szCs w:val="24"/>
            <w:u w:val="single"/>
          </w:rPr>
          <w:t>https://doi.org/10.7326/M18-1376</w:t>
        </w:r>
      </w:hyperlink>
    </w:p>
    <w:p w14:paraId="11C7DE4B" w14:textId="77777777" w:rsidR="00FA1192" w:rsidRPr="00FA1192" w:rsidRDefault="00FA1192" w:rsidP="00FA1192">
      <w:pPr>
        <w:spacing w:before="100" w:beforeAutospacing="1" w:after="100" w:afterAutospacing="1" w:line="240" w:lineRule="auto"/>
        <w:rPr>
          <w:color w:val="auto"/>
          <w:szCs w:val="24"/>
        </w:rPr>
      </w:pPr>
      <w:r w:rsidRPr="00FA1192">
        <w:rPr>
          <w:color w:val="auto"/>
          <w:szCs w:val="24"/>
        </w:rPr>
        <w:t xml:space="preserve">World Health Organization. (2024, August 23). </w:t>
      </w:r>
      <w:r w:rsidRPr="00FA1192">
        <w:rPr>
          <w:i/>
          <w:iCs/>
          <w:color w:val="auto"/>
          <w:szCs w:val="24"/>
        </w:rPr>
        <w:t xml:space="preserve">Acute encephalitis syndrome due to </w:t>
      </w:r>
      <w:proofErr w:type="spellStart"/>
      <w:r w:rsidRPr="00FA1192">
        <w:rPr>
          <w:i/>
          <w:iCs/>
          <w:color w:val="auto"/>
          <w:szCs w:val="24"/>
        </w:rPr>
        <w:t>Chandipura</w:t>
      </w:r>
      <w:proofErr w:type="spellEnd"/>
      <w:r w:rsidRPr="00FA1192">
        <w:rPr>
          <w:i/>
          <w:iCs/>
          <w:color w:val="auto"/>
          <w:szCs w:val="24"/>
        </w:rPr>
        <w:t xml:space="preserve"> virus – India</w:t>
      </w:r>
      <w:r w:rsidRPr="00FA1192">
        <w:rPr>
          <w:color w:val="auto"/>
          <w:szCs w:val="24"/>
        </w:rPr>
        <w:t xml:space="preserve">. Disease Outbreak News. </w:t>
      </w:r>
      <w:hyperlink r:id="rId35" w:history="1">
        <w:r w:rsidRPr="00FA1192">
          <w:rPr>
            <w:color w:val="0000FF"/>
            <w:szCs w:val="24"/>
            <w:u w:val="single"/>
          </w:rPr>
          <w:t>https://www.who.int/emergencies/disease-outbreak-news/item/2024-DON529</w:t>
        </w:r>
      </w:hyperlink>
    </w:p>
    <w:p w14:paraId="50DE0F04" w14:textId="77777777" w:rsidR="00FA1192" w:rsidRPr="00FA1192" w:rsidRDefault="00FA1192" w:rsidP="00FA1192"/>
    <w:sectPr w:rsidR="00FA1192" w:rsidRPr="00FA1192" w:rsidSect="00034616">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0F59" w14:textId="77777777" w:rsidR="00561489" w:rsidRDefault="00561489">
      <w:pPr>
        <w:spacing w:after="0" w:line="240" w:lineRule="auto"/>
      </w:pPr>
      <w:r>
        <w:separator/>
      </w:r>
    </w:p>
  </w:endnote>
  <w:endnote w:type="continuationSeparator" w:id="0">
    <w:p w14:paraId="6CCF9157" w14:textId="77777777" w:rsidR="00561489" w:rsidRDefault="00561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5689" w14:textId="77777777" w:rsidR="00E80818" w:rsidRDefault="00E80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52E4" w14:textId="77777777" w:rsidR="005860A8" w:rsidRDefault="00CA3585">
    <w:pPr>
      <w:pStyle w:val="Footer"/>
      <w:jc w:val="center"/>
    </w:pPr>
    <w:r>
      <w:fldChar w:fldCharType="begin"/>
    </w:r>
    <w:r>
      <w:instrText xml:space="preserve"> PAGE </w:instrText>
    </w:r>
    <w:r>
      <w:fldChar w:fldCharType="separate"/>
    </w:r>
    <w:r w:rsidR="00D9692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8FFC" w14:textId="77777777" w:rsidR="00E80818" w:rsidRDefault="00E80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0F950" w14:textId="77777777" w:rsidR="00561489" w:rsidRDefault="00561489">
      <w:pPr>
        <w:spacing w:after="0" w:line="240" w:lineRule="auto"/>
      </w:pPr>
      <w:r>
        <w:separator/>
      </w:r>
    </w:p>
  </w:footnote>
  <w:footnote w:type="continuationSeparator" w:id="0">
    <w:p w14:paraId="4F0BAA48" w14:textId="77777777" w:rsidR="00561489" w:rsidRDefault="00561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BEF6" w14:textId="77777777" w:rsidR="00E80818" w:rsidRDefault="00000000">
    <w:pPr>
      <w:pStyle w:val="Header"/>
    </w:pPr>
    <w:r>
      <w:rPr>
        <w:noProof/>
      </w:rPr>
      <w:pict w14:anchorId="67914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3429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5853" w14:textId="77777777" w:rsidR="00E80818" w:rsidRDefault="00000000">
    <w:pPr>
      <w:pStyle w:val="Header"/>
    </w:pPr>
    <w:r>
      <w:rPr>
        <w:noProof/>
      </w:rPr>
      <w:pict w14:anchorId="1E5463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3429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65DB" w14:textId="77777777" w:rsidR="00E80818" w:rsidRDefault="00000000">
    <w:pPr>
      <w:pStyle w:val="Header"/>
    </w:pPr>
    <w:r>
      <w:rPr>
        <w:noProof/>
      </w:rPr>
      <w:pict w14:anchorId="6C8AAC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3429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6640804">
    <w:abstractNumId w:val="8"/>
  </w:num>
  <w:num w:numId="2" w16cid:durableId="2047440678">
    <w:abstractNumId w:val="6"/>
  </w:num>
  <w:num w:numId="3" w16cid:durableId="614992766">
    <w:abstractNumId w:val="5"/>
  </w:num>
  <w:num w:numId="4" w16cid:durableId="1404181657">
    <w:abstractNumId w:val="4"/>
  </w:num>
  <w:num w:numId="5" w16cid:durableId="416829187">
    <w:abstractNumId w:val="7"/>
  </w:num>
  <w:num w:numId="6" w16cid:durableId="589772545">
    <w:abstractNumId w:val="3"/>
  </w:num>
  <w:num w:numId="7" w16cid:durableId="208492031">
    <w:abstractNumId w:val="2"/>
  </w:num>
  <w:num w:numId="8" w16cid:durableId="1014768558">
    <w:abstractNumId w:val="1"/>
  </w:num>
  <w:num w:numId="9" w16cid:durableId="6522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F35"/>
    <w:rsid w:val="0015074B"/>
    <w:rsid w:val="0029639D"/>
    <w:rsid w:val="00326F90"/>
    <w:rsid w:val="0034411D"/>
    <w:rsid w:val="003F2CEE"/>
    <w:rsid w:val="00515782"/>
    <w:rsid w:val="005322FA"/>
    <w:rsid w:val="00546C97"/>
    <w:rsid w:val="00557E34"/>
    <w:rsid w:val="00561489"/>
    <w:rsid w:val="005860A8"/>
    <w:rsid w:val="005D3BAF"/>
    <w:rsid w:val="007A366F"/>
    <w:rsid w:val="00823521"/>
    <w:rsid w:val="00AA1D8D"/>
    <w:rsid w:val="00B47730"/>
    <w:rsid w:val="00C26291"/>
    <w:rsid w:val="00CA3585"/>
    <w:rsid w:val="00CB0664"/>
    <w:rsid w:val="00D96923"/>
    <w:rsid w:val="00E80818"/>
    <w:rsid w:val="00EB7DD8"/>
    <w:rsid w:val="00F47D17"/>
    <w:rsid w:val="00F605A7"/>
    <w:rsid w:val="00FA11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8A3F8B"/>
  <w14:defaultImageDpi w14:val="300"/>
  <w15:docId w15:val="{88052063-8D02-4780-83A2-4A5D08A15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280" w:after="8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i/>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bCs/>
      <w:i/>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A366F"/>
    <w:rPr>
      <w:color w:val="0000FF" w:themeColor="hyperlink"/>
      <w:u w:val="single"/>
    </w:rPr>
  </w:style>
  <w:style w:type="character" w:styleId="UnresolvedMention">
    <w:name w:val="Unresolved Mention"/>
    <w:basedOn w:val="DefaultParagraphFont"/>
    <w:uiPriority w:val="99"/>
    <w:semiHidden/>
    <w:unhideWhenUsed/>
    <w:rsid w:val="007A36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36/bmj-2023-078378" TargetMode="External"/><Relationship Id="rId18" Type="http://schemas.openxmlformats.org/officeDocument/2006/relationships/hyperlink" Target="https://doi.org/10.25259/IJMR_20101324_395" TargetMode="External"/><Relationship Id="rId26" Type="http://schemas.openxmlformats.org/officeDocument/2006/relationships/hyperlink" Target="https://doi.org/10.1016/S0140-6736(04)16982-1" TargetMode="External"/><Relationship Id="rId39" Type="http://schemas.openxmlformats.org/officeDocument/2006/relationships/footer" Target="footer2.xml"/><Relationship Id="rId21" Type="http://schemas.openxmlformats.org/officeDocument/2006/relationships/hyperlink" Target="https://doi.org/10.56557/ajocr/2026/v11i411191" TargetMode="External"/><Relationship Id="rId34" Type="http://schemas.openxmlformats.org/officeDocument/2006/relationships/hyperlink" Target="https://doi.org/10.7326/M18-1376"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jmedent/42.3.495" TargetMode="External"/><Relationship Id="rId20" Type="http://schemas.openxmlformats.org/officeDocument/2006/relationships/hyperlink" Target="https://iihmr.edu.in/jaipur/chandipura-virus-outbreak" TargetMode="External"/><Relationship Id="rId29" Type="http://schemas.openxmlformats.org/officeDocument/2006/relationships/hyperlink" Target="https://doi.org/10.1128/spectrum.01578-25"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36/bmj.h5527" TargetMode="External"/><Relationship Id="rId24" Type="http://schemas.openxmlformats.org/officeDocument/2006/relationships/hyperlink" Target="https://doi.org/10.1016/j.actatropica.2012.06.001" TargetMode="External"/><Relationship Id="rId32" Type="http://schemas.openxmlformats.org/officeDocument/2006/relationships/hyperlink" Target="https://doi.org/10.1016/S0140-6736(07)61602-X"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16/j.ijmmb.2024.100749" TargetMode="External"/><Relationship Id="rId23" Type="http://schemas.openxmlformats.org/officeDocument/2006/relationships/hyperlink" Target="https://doi.org/10.1016/j.virol.2025.110541" TargetMode="External"/><Relationship Id="rId28" Type="http://schemas.openxmlformats.org/officeDocument/2006/relationships/hyperlink" Target="https://doi.org/10.2174/1874357901812010044" TargetMode="External"/><Relationship Id="rId36" Type="http://schemas.openxmlformats.org/officeDocument/2006/relationships/header" Target="header1.xml"/><Relationship Id="rId10" Type="http://schemas.openxmlformats.org/officeDocument/2006/relationships/hyperlink" Target="https://pubmed.ncbi.nlm.nih.gov/4970067/" TargetMode="External"/><Relationship Id="rId19" Type="http://schemas.openxmlformats.org/officeDocument/2006/relationships/hyperlink" Target="https://doi.org/10.2307/2530508" TargetMode="External"/><Relationship Id="rId31" Type="http://schemas.openxmlformats.org/officeDocument/2006/relationships/hyperlink" Target="https://doi.org/10.1177/0272989X06295361" TargetMode="External"/><Relationship Id="rId4" Type="http://schemas.openxmlformats.org/officeDocument/2006/relationships/settings" Target="settings.xml"/><Relationship Id="rId9" Type="http://schemas.openxmlformats.org/officeDocument/2006/relationships/hyperlink" Target="https://doi.org/10.1007/BF00116466" TargetMode="External"/><Relationship Id="rId14" Type="http://schemas.openxmlformats.org/officeDocument/2006/relationships/hyperlink" Target="https://doi.org/10.9734/ajrid/2025/v16i1413" TargetMode="External"/><Relationship Id="rId22" Type="http://schemas.openxmlformats.org/officeDocument/2006/relationships/hyperlink" Target="https://proceedings.neurips.cc/paper_files/paper/2017/hash/8a20a8621978632d76c43dfd28b67767-Abstract.html" TargetMode="External"/><Relationship Id="rId27" Type="http://schemas.openxmlformats.org/officeDocument/2006/relationships/hyperlink" Target="https://doi.org/10.1136/bmj.m441" TargetMode="External"/><Relationship Id="rId30" Type="http://schemas.openxmlformats.org/officeDocument/2006/relationships/hyperlink" Target="https://doi.org/10.4103/0971-5916.191929" TargetMode="External"/><Relationship Id="rId35" Type="http://schemas.openxmlformats.org/officeDocument/2006/relationships/hyperlink" Target="https://www.who.int/emergencies/disease-outbreak-news/item/2024-DON529"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4269/ajtmh.2005.73.566" TargetMode="External"/><Relationship Id="rId17" Type="http://schemas.openxmlformats.org/officeDocument/2006/relationships/hyperlink" Target="https://doi.org/10.1093/aje/kwi230" TargetMode="External"/><Relationship Id="rId25" Type="http://schemas.openxmlformats.org/officeDocument/2006/relationships/hyperlink" Target="https://doi.org/10.1002/%28SICI%291097-0258%2819980430%2917%3A8%3C857%3A%3AAID-SIM777%3E3.0.CO%3B2-E" TargetMode="External"/><Relationship Id="rId33" Type="http://schemas.openxmlformats.org/officeDocument/2006/relationships/hyperlink" Target="https://doi.org/10.1080/01621459.1927.10502953"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45205-DA7F-4039-9A03-D05AD3AE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6052</Words>
  <Characters>34498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Resurgence of Chandipura Virus Encephalitis in Western India, 2026: A Descriptive Surveillance Analysis of Test Positivity and Case Fatality, with Implications for Laboratory Diagnostics</dc:title>
  <dc:subject/>
  <dc:creator>Ajit Pal Singh et al.</dc:creator>
  <cp:keywords/>
  <dc:description>generated by python-docx</dc:description>
  <cp:lastModifiedBy>SDI 1087</cp:lastModifiedBy>
  <cp:revision>9</cp:revision>
  <dcterms:created xsi:type="dcterms:W3CDTF">2013-12-23T23:15:00Z</dcterms:created>
  <dcterms:modified xsi:type="dcterms:W3CDTF">2026-10-24T06:38:00Z</dcterms:modified>
  <cp:category/>
</cp:coreProperties>
</file>