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1BC1D" w14:textId="77777777" w:rsidR="008113D8" w:rsidRDefault="008113D8" w:rsidP="008113D8">
      <w:pPr>
        <w:jc w:val="center"/>
      </w:pPr>
      <w:r>
        <w:rPr>
          <w:b/>
        </w:rPr>
        <w:t>Review Article</w:t>
      </w:r>
    </w:p>
    <w:p w14:paraId="5FEA78E7" w14:textId="77777777" w:rsidR="008113D8" w:rsidRDefault="008113D8" w:rsidP="00196B4E">
      <w:pPr>
        <w:pStyle w:val="Title"/>
        <w:jc w:val="center"/>
        <w:rPr>
          <w:b/>
        </w:rPr>
      </w:pPr>
    </w:p>
    <w:p w14:paraId="412D23FD" w14:textId="77777777" w:rsidR="00F90A15" w:rsidRDefault="00000000" w:rsidP="00196B4E">
      <w:pPr>
        <w:pStyle w:val="Title"/>
        <w:jc w:val="center"/>
      </w:pPr>
      <w:r>
        <w:rPr>
          <w:b/>
        </w:rPr>
        <w:t>Sucking insect pests of mulberry and their integrated management for sustainable sericulture</w:t>
      </w:r>
    </w:p>
    <w:p w14:paraId="7BCA743A" w14:textId="77777777" w:rsidR="00F90A15" w:rsidRDefault="00000000">
      <w:pPr>
        <w:pStyle w:val="Heading1"/>
      </w:pPr>
      <w:r>
        <w:t>Abstract</w:t>
      </w:r>
    </w:p>
    <w:p w14:paraId="18CCC2EB" w14:textId="77777777" w:rsidR="00221C26" w:rsidRDefault="00221C26">
      <w:r w:rsidRPr="00221C26">
        <w:rPr>
          <w:highlight w:val="yellow"/>
        </w:rPr>
        <w:t>Mulberry leaf production is constrained by sap-feeding and cell-content-feeding insect pests, whose damage may reduce both the availability and suitability of foliage for silkworm rearing. This narrative review examines aphids, thrips, whiteflies, pink hibiscus mealybug and papaya mealybug, with particular attention to Indian sericulture and evidence available through 2026. Published taxonomic investigations, pest-management studies and institutional reports were assessed for pest identity, injury patterns, management outcomes and implications for silkworm safety. Recent surveys indicate that mulberry-associated thrips in southern India form a species complex, making species-level identification important when interpreting damage and selecting interventions. Evidence on papaya mealybug demonstrates the value of parasitoid-based biological control, although outcomes depend on local conditions and the time required for natural enemies to become established. Field studies of insecticides illustrate why reductions in pest populations must be considered alongside the effects of treated leaves on silkworm development. Hyperspectral measurements offer potential for detecting pest-associated leaf stress but cannot yet substitute for confirmed insect identification. An integrated approach should combine clean planting material, regular scouting, selective sanitation, appropriate crop nutrition and conservation of natural enemies. Chemical interventions require authorised use and locally validated intervals before harvested leaves are fed to silkworms. Further research should establish crop-specific action thresholds and assess usable leaf yield, pesticide residues and cocoon traits under replicated field conditions.</w:t>
      </w:r>
      <w:r w:rsidRPr="00221C26">
        <w:t xml:space="preserve"> </w:t>
      </w:r>
    </w:p>
    <w:p w14:paraId="5FC0B136" w14:textId="1B0137F7" w:rsidR="00F90A15" w:rsidRDefault="00000000">
      <w:r w:rsidRPr="00A37425">
        <w:rPr>
          <w:b/>
          <w:bCs/>
        </w:rPr>
        <w:t>Keywords:</w:t>
      </w:r>
      <w:r>
        <w:t xml:space="preserve"> Mulberry</w:t>
      </w:r>
      <w:r w:rsidR="00273EAF">
        <w:t>,</w:t>
      </w:r>
      <w:r>
        <w:t xml:space="preserve"> sucking insects</w:t>
      </w:r>
      <w:r w:rsidR="00273EAF">
        <w:t>,</w:t>
      </w:r>
      <w:r>
        <w:t xml:space="preserve"> thrips</w:t>
      </w:r>
      <w:r w:rsidR="00273EAF">
        <w:t>,</w:t>
      </w:r>
      <w:r>
        <w:t xml:space="preserve"> mealybugs</w:t>
      </w:r>
      <w:r w:rsidR="00273EAF">
        <w:t>,</w:t>
      </w:r>
      <w:r>
        <w:t xml:space="preserve"> biological control</w:t>
      </w:r>
      <w:r w:rsidR="00273EAF">
        <w:t>,</w:t>
      </w:r>
      <w:r>
        <w:t xml:space="preserve"> silkworm safety</w:t>
      </w:r>
      <w:r w:rsidR="00273EAF">
        <w:t xml:space="preserve"> and </w:t>
      </w:r>
      <w:r>
        <w:t>integrated pest management</w:t>
      </w:r>
    </w:p>
    <w:p w14:paraId="7E5B3F94" w14:textId="77777777" w:rsidR="00F90A15" w:rsidRDefault="00000000">
      <w:pPr>
        <w:pStyle w:val="Heading1"/>
      </w:pPr>
      <w:r>
        <w:t>1. Introduction</w:t>
      </w:r>
    </w:p>
    <w:p w14:paraId="0DA2FE3D" w14:textId="77777777" w:rsidR="00273EAF" w:rsidRPr="00221C26" w:rsidRDefault="00273EAF" w:rsidP="00273EAF">
      <w:pPr>
        <w:pStyle w:val="Heading1"/>
        <w:rPr>
          <w:b w:val="0"/>
          <w:bCs w:val="0"/>
          <w:szCs w:val="22"/>
        </w:rPr>
      </w:pPr>
      <w:r>
        <w:rPr>
          <w:b w:val="0"/>
          <w:bCs w:val="0"/>
          <w:szCs w:val="22"/>
        </w:rPr>
        <w:t xml:space="preserve">Mulberry is the primary cultivated source of leaves for feeding domestic silkworms. </w:t>
      </w:r>
      <w:r>
        <w:rPr>
          <w:b w:val="0"/>
          <w:bCs w:val="0"/>
          <w:szCs w:val="22"/>
          <w:highlight w:val="yellow"/>
        </w:rPr>
        <w:t>C</w:t>
      </w:r>
      <w:r>
        <w:rPr>
          <w:b w:val="0"/>
          <w:bCs w:val="0"/>
          <w:szCs w:val="22"/>
        </w:rPr>
        <w:t>rop protection in this production system has two related objectives</w:t>
      </w:r>
      <w:r>
        <w:rPr>
          <w:b w:val="0"/>
          <w:bCs w:val="0"/>
          <w:szCs w:val="22"/>
          <w:highlight w:val="yellow"/>
        </w:rPr>
        <w:t>:</w:t>
      </w:r>
      <w:r>
        <w:rPr>
          <w:b w:val="0"/>
          <w:bCs w:val="0"/>
          <w:szCs w:val="22"/>
        </w:rPr>
        <w:t xml:space="preserve"> to </w:t>
      </w:r>
      <w:r>
        <w:rPr>
          <w:b w:val="0"/>
          <w:bCs w:val="0"/>
          <w:szCs w:val="22"/>
          <w:highlight w:val="yellow"/>
        </w:rPr>
        <w:t>ens</w:t>
      </w:r>
      <w:r>
        <w:rPr>
          <w:b w:val="0"/>
          <w:bCs w:val="0"/>
          <w:szCs w:val="22"/>
        </w:rPr>
        <w:t>ur</w:t>
      </w:r>
      <w:r>
        <w:rPr>
          <w:b w:val="0"/>
          <w:bCs w:val="0"/>
          <w:szCs w:val="22"/>
          <w:highlight w:val="yellow"/>
        </w:rPr>
        <w:t>e</w:t>
      </w:r>
      <w:r>
        <w:rPr>
          <w:b w:val="0"/>
          <w:bCs w:val="0"/>
          <w:szCs w:val="22"/>
        </w:rPr>
        <w:t xml:space="preserve"> an adequate supply of usable leaves and to e</w:t>
      </w:r>
      <w:r>
        <w:rPr>
          <w:b w:val="0"/>
          <w:bCs w:val="0"/>
          <w:szCs w:val="22"/>
          <w:highlight w:val="yellow"/>
        </w:rPr>
        <w:t>n</w:t>
      </w:r>
      <w:r>
        <w:rPr>
          <w:b w:val="0"/>
          <w:bCs w:val="0"/>
          <w:szCs w:val="22"/>
        </w:rPr>
        <w:t xml:space="preserve">sure that harvested </w:t>
      </w:r>
      <w:r>
        <w:rPr>
          <w:b w:val="0"/>
          <w:bCs w:val="0"/>
          <w:szCs w:val="22"/>
          <w:highlight w:val="yellow"/>
        </w:rPr>
        <w:t>f</w:t>
      </w:r>
      <w:r>
        <w:rPr>
          <w:b w:val="0"/>
          <w:bCs w:val="0"/>
          <w:szCs w:val="22"/>
        </w:rPr>
        <w:t>o</w:t>
      </w:r>
      <w:r>
        <w:rPr>
          <w:b w:val="0"/>
          <w:bCs w:val="0"/>
          <w:szCs w:val="22"/>
          <w:highlight w:val="yellow"/>
        </w:rPr>
        <w:t>li</w:t>
      </w:r>
      <w:r>
        <w:rPr>
          <w:b w:val="0"/>
          <w:bCs w:val="0"/>
          <w:szCs w:val="22"/>
        </w:rPr>
        <w:t>age</w:t>
      </w:r>
      <w:r>
        <w:rPr>
          <w:b w:val="0"/>
          <w:bCs w:val="0"/>
          <w:szCs w:val="22"/>
          <w:highlight w:val="yellow"/>
        </w:rPr>
        <w:t xml:space="preserve"> support</w:t>
      </w:r>
      <w:r>
        <w:rPr>
          <w:b w:val="0"/>
          <w:bCs w:val="0"/>
          <w:szCs w:val="22"/>
        </w:rPr>
        <w:t xml:space="preserve">s healthy silkworm development. A </w:t>
      </w:r>
      <w:r w:rsidRPr="00221C26">
        <w:rPr>
          <w:b w:val="0"/>
          <w:bCs w:val="0"/>
          <w:szCs w:val="22"/>
        </w:rPr>
        <w:t xml:space="preserve">treatment </w:t>
      </w:r>
      <w:r w:rsidRPr="00221C26">
        <w:rPr>
          <w:b w:val="0"/>
          <w:bCs w:val="0"/>
          <w:szCs w:val="22"/>
          <w:highlight w:val="yellow"/>
        </w:rPr>
        <w:t>t</w:t>
      </w:r>
      <w:r w:rsidRPr="00221C26">
        <w:rPr>
          <w:b w:val="0"/>
          <w:bCs w:val="0"/>
          <w:szCs w:val="22"/>
        </w:rPr>
        <w:t>h</w:t>
      </w:r>
      <w:r w:rsidRPr="00221C26">
        <w:rPr>
          <w:b w:val="0"/>
          <w:bCs w:val="0"/>
          <w:szCs w:val="22"/>
          <w:highlight w:val="yellow"/>
        </w:rPr>
        <w:t>at</w:t>
      </w:r>
      <w:r w:rsidRPr="00221C26">
        <w:rPr>
          <w:b w:val="0"/>
          <w:bCs w:val="0"/>
          <w:szCs w:val="22"/>
        </w:rPr>
        <w:t xml:space="preserve"> reduces pest abundance but leaves hazardous residues can be counterproductive to leaf production. Decisions </w:t>
      </w:r>
      <w:r w:rsidRPr="00221C26">
        <w:rPr>
          <w:b w:val="0"/>
          <w:bCs w:val="0"/>
          <w:szCs w:val="22"/>
          <w:highlight w:val="yellow"/>
        </w:rPr>
        <w:t xml:space="preserve">must </w:t>
      </w:r>
      <w:r w:rsidRPr="00221C26">
        <w:rPr>
          <w:b w:val="0"/>
          <w:bCs w:val="0"/>
          <w:szCs w:val="22"/>
        </w:rPr>
        <w:t>the</w:t>
      </w:r>
      <w:r w:rsidRPr="00221C26">
        <w:rPr>
          <w:b w:val="0"/>
          <w:bCs w:val="0"/>
          <w:szCs w:val="22"/>
          <w:highlight w:val="yellow"/>
        </w:rPr>
        <w:t>ref</w:t>
      </w:r>
      <w:r w:rsidRPr="00221C26">
        <w:rPr>
          <w:b w:val="0"/>
          <w:bCs w:val="0"/>
          <w:szCs w:val="22"/>
        </w:rPr>
        <w:t>o</w:t>
      </w:r>
      <w:r w:rsidRPr="00221C26">
        <w:rPr>
          <w:b w:val="0"/>
          <w:bCs w:val="0"/>
          <w:szCs w:val="22"/>
          <w:highlight w:val="yellow"/>
        </w:rPr>
        <w:t>re</w:t>
      </w:r>
      <w:r w:rsidRPr="00221C26">
        <w:rPr>
          <w:b w:val="0"/>
          <w:bCs w:val="0"/>
          <w:szCs w:val="22"/>
        </w:rPr>
        <w:t xml:space="preserve"> relate observations in the mulberry garden to the timing of leaf harvest and rearing operations.</w:t>
      </w:r>
    </w:p>
    <w:p w14:paraId="41002C2C" w14:textId="77777777" w:rsidR="00A17BFB" w:rsidRPr="00221C26" w:rsidRDefault="00000000">
      <w:r w:rsidRPr="00221C26">
        <w:rPr>
          <w:highlight w:val="yellow"/>
        </w:rPr>
        <w:t>Recent assessments of insect pest management emphasise the value of comparing pest-control benefits with environmental risks (Peterson, 2025). A synthesis of pesticide effects on non-target organisms likewise supports caution when evaluating intervention safety, although these broader results do not establish silkworm-specific exposure limits (Wan et al., 2025).</w:t>
      </w:r>
    </w:p>
    <w:p w14:paraId="51C667A4" w14:textId="7BFED71A" w:rsidR="00A17BFB" w:rsidRPr="00221C26" w:rsidRDefault="00273EAF" w:rsidP="00221C26">
      <w:pPr>
        <w:pStyle w:val="Heading1"/>
        <w:rPr>
          <w:b w:val="0"/>
          <w:bCs w:val="0"/>
          <w:szCs w:val="22"/>
        </w:rPr>
      </w:pPr>
      <w:r w:rsidRPr="00221C26">
        <w:rPr>
          <w:b w:val="0"/>
          <w:bCs w:val="0"/>
          <w:szCs w:val="22"/>
          <w:highlight w:val="yellow"/>
        </w:rPr>
        <w:lastRenderedPageBreak/>
        <w:t>The term ‘s</w:t>
      </w:r>
      <w:r w:rsidRPr="00221C26">
        <w:rPr>
          <w:b w:val="0"/>
          <w:bCs w:val="0"/>
          <w:szCs w:val="22"/>
        </w:rPr>
        <w:t>ucking pests</w:t>
      </w:r>
      <w:r w:rsidRPr="00221C26">
        <w:rPr>
          <w:b w:val="0"/>
          <w:bCs w:val="0"/>
          <w:szCs w:val="22"/>
          <w:highlight w:val="yellow"/>
        </w:rPr>
        <w:t>’ encompasses</w:t>
      </w:r>
      <w:r w:rsidRPr="00221C26">
        <w:rPr>
          <w:b w:val="0"/>
          <w:bCs w:val="0"/>
          <w:szCs w:val="22"/>
        </w:rPr>
        <w:t xml:space="preserve"> i</w:t>
      </w:r>
      <w:r w:rsidRPr="00221C26">
        <w:rPr>
          <w:b w:val="0"/>
          <w:bCs w:val="0"/>
          <w:szCs w:val="22"/>
          <w:highlight w:val="yellow"/>
        </w:rPr>
        <w:t>n</w:t>
      </w:r>
      <w:r w:rsidRPr="00221C26">
        <w:rPr>
          <w:b w:val="0"/>
          <w:bCs w:val="0"/>
          <w:szCs w:val="22"/>
        </w:rPr>
        <w:t>se</w:t>
      </w:r>
      <w:r w:rsidRPr="00221C26">
        <w:rPr>
          <w:b w:val="0"/>
          <w:bCs w:val="0"/>
          <w:szCs w:val="22"/>
          <w:highlight w:val="yellow"/>
        </w:rPr>
        <w:t>c</w:t>
      </w:r>
      <w:r w:rsidRPr="00221C26">
        <w:rPr>
          <w:b w:val="0"/>
          <w:bCs w:val="0"/>
          <w:szCs w:val="22"/>
        </w:rPr>
        <w:t xml:space="preserve">ts </w:t>
      </w:r>
      <w:r w:rsidRPr="00221C26">
        <w:rPr>
          <w:b w:val="0"/>
          <w:bCs w:val="0"/>
          <w:szCs w:val="22"/>
          <w:highlight w:val="yellow"/>
        </w:rPr>
        <w:t>wi</w:t>
      </w:r>
      <w:r w:rsidRPr="00221C26">
        <w:rPr>
          <w:b w:val="0"/>
          <w:bCs w:val="0"/>
          <w:szCs w:val="22"/>
        </w:rPr>
        <w:t>th different</w:t>
      </w:r>
      <w:r w:rsidRPr="00221C26">
        <w:rPr>
          <w:b w:val="0"/>
          <w:bCs w:val="0"/>
          <w:szCs w:val="22"/>
          <w:highlight w:val="yellow"/>
        </w:rPr>
        <w:t xml:space="preserve"> feeding mechanisms</w:t>
      </w:r>
      <w:r w:rsidRPr="00221C26">
        <w:rPr>
          <w:b w:val="0"/>
          <w:bCs w:val="0"/>
          <w:szCs w:val="22"/>
        </w:rPr>
        <w:t xml:space="preserve">. Aphids, whiteflies and mealybugs are hemipterans that use piercing stylets to </w:t>
      </w:r>
      <w:r w:rsidRPr="00221C26">
        <w:rPr>
          <w:b w:val="0"/>
          <w:bCs w:val="0"/>
          <w:szCs w:val="22"/>
          <w:highlight w:val="yellow"/>
        </w:rPr>
        <w:t>ob</w:t>
      </w:r>
      <w:r w:rsidRPr="00221C26">
        <w:rPr>
          <w:b w:val="0"/>
          <w:bCs w:val="0"/>
          <w:szCs w:val="22"/>
        </w:rPr>
        <w:t>t</w:t>
      </w:r>
      <w:r w:rsidRPr="00221C26">
        <w:rPr>
          <w:b w:val="0"/>
          <w:bCs w:val="0"/>
          <w:szCs w:val="22"/>
          <w:highlight w:val="yellow"/>
        </w:rPr>
        <w:t>ain</w:t>
      </w:r>
      <w:r w:rsidRPr="00221C26">
        <w:rPr>
          <w:b w:val="0"/>
          <w:bCs w:val="0"/>
          <w:szCs w:val="22"/>
        </w:rPr>
        <w:t xml:space="preserve"> plant fluids</w:t>
      </w:r>
      <w:r w:rsidRPr="00221C26">
        <w:rPr>
          <w:b w:val="0"/>
          <w:bCs w:val="0"/>
          <w:szCs w:val="22"/>
          <w:highlight w:val="yellow"/>
        </w:rPr>
        <w:t>,</w:t>
      </w:r>
      <w:r w:rsidRPr="00221C26">
        <w:rPr>
          <w:b w:val="0"/>
          <w:bCs w:val="0"/>
          <w:szCs w:val="22"/>
        </w:rPr>
        <w:t xml:space="preserve"> </w:t>
      </w:r>
      <w:r w:rsidRPr="00221C26">
        <w:rPr>
          <w:b w:val="0"/>
          <w:bCs w:val="0"/>
          <w:szCs w:val="22"/>
          <w:highlight w:val="yellow"/>
        </w:rPr>
        <w:t>where</w:t>
      </w:r>
      <w:r w:rsidRPr="00221C26">
        <w:rPr>
          <w:b w:val="0"/>
          <w:bCs w:val="0"/>
          <w:szCs w:val="22"/>
        </w:rPr>
        <w:t>a</w:t>
      </w:r>
      <w:r w:rsidRPr="00221C26">
        <w:rPr>
          <w:b w:val="0"/>
          <w:bCs w:val="0"/>
          <w:szCs w:val="22"/>
          <w:highlight w:val="yellow"/>
        </w:rPr>
        <w:t>s</w:t>
      </w:r>
      <w:r w:rsidRPr="00221C26">
        <w:rPr>
          <w:b w:val="0"/>
          <w:bCs w:val="0"/>
          <w:szCs w:val="22"/>
        </w:rPr>
        <w:t xml:space="preserve"> thrips puncture tissues and extract cell contents. These differences influence symptoms and sampling. Honeydew and associated sooty mo</w:t>
      </w:r>
      <w:r w:rsidRPr="00221C26">
        <w:rPr>
          <w:b w:val="0"/>
          <w:bCs w:val="0"/>
          <w:szCs w:val="22"/>
          <w:highlight w:val="yellow"/>
        </w:rPr>
        <w:t>u</w:t>
      </w:r>
      <w:r w:rsidRPr="00221C26">
        <w:rPr>
          <w:b w:val="0"/>
          <w:bCs w:val="0"/>
          <w:szCs w:val="22"/>
        </w:rPr>
        <w:t>ld are prominent with many hemipterans</w:t>
      </w:r>
      <w:r w:rsidRPr="00221C26">
        <w:rPr>
          <w:b w:val="0"/>
          <w:bCs w:val="0"/>
          <w:szCs w:val="22"/>
          <w:highlight w:val="yellow"/>
        </w:rPr>
        <w:t>,</w:t>
      </w:r>
      <w:r w:rsidRPr="00221C26">
        <w:rPr>
          <w:b w:val="0"/>
          <w:bCs w:val="0"/>
          <w:szCs w:val="22"/>
        </w:rPr>
        <w:t xml:space="preserve"> wher</w:t>
      </w:r>
      <w:r w:rsidRPr="00221C26">
        <w:rPr>
          <w:b w:val="0"/>
          <w:bCs w:val="0"/>
          <w:szCs w:val="22"/>
          <w:highlight w:val="yellow"/>
        </w:rPr>
        <w:t>ea</w:t>
      </w:r>
      <w:r w:rsidRPr="00221C26">
        <w:rPr>
          <w:b w:val="0"/>
          <w:bCs w:val="0"/>
          <w:szCs w:val="22"/>
        </w:rPr>
        <w:t xml:space="preserve">s silvering, bronzing and distortion are common </w:t>
      </w:r>
      <w:r w:rsidRPr="00221C26">
        <w:rPr>
          <w:b w:val="0"/>
          <w:bCs w:val="0"/>
          <w:szCs w:val="22"/>
          <w:highlight w:val="yellow"/>
        </w:rPr>
        <w:t xml:space="preserve">with thrips injury </w:t>
      </w:r>
      <w:r w:rsidRPr="00221C26">
        <w:rPr>
          <w:b w:val="0"/>
          <w:bCs w:val="0"/>
          <w:szCs w:val="22"/>
        </w:rPr>
        <w:t>(Central Silk Board, n.d.</w:t>
      </w:r>
      <w:r w:rsidRPr="00221C26">
        <w:rPr>
          <w:b w:val="0"/>
          <w:bCs w:val="0"/>
          <w:szCs w:val="22"/>
          <w:highlight w:val="yellow"/>
        </w:rPr>
        <w:t>; Mound, 2005</w:t>
      </w:r>
      <w:r w:rsidRPr="00221C26">
        <w:rPr>
          <w:b w:val="0"/>
          <w:bCs w:val="0"/>
          <w:szCs w:val="22"/>
        </w:rPr>
        <w:t>).</w:t>
      </w:r>
      <w:r w:rsidR="00221C26">
        <w:rPr>
          <w:b w:val="0"/>
          <w:bCs w:val="0"/>
          <w:szCs w:val="22"/>
        </w:rPr>
        <w:t xml:space="preserve"> </w:t>
      </w:r>
      <w:r w:rsidRPr="00221C26">
        <w:rPr>
          <w:b w:val="0"/>
          <w:bCs w:val="0"/>
          <w:highlight w:val="yellow"/>
        </w:rPr>
        <w:t>A recent review of mulberry pest management identifies the selection and integration of biological control agents as an important practical consideration (Shruthi et al., 2024). A study of abamectin-treated mulberry foliage measured silkworm cocoon and filament traits at defined post-application intervals, illustrating the need to assess feeding outcomes under the conditions tested (Shwetha et al., 2025).</w:t>
      </w:r>
    </w:p>
    <w:p w14:paraId="0583CCC3" w14:textId="2FABBE2C" w:rsidR="00A17BFB" w:rsidRPr="00221C26" w:rsidRDefault="00273EAF" w:rsidP="00221C26">
      <w:pPr>
        <w:pStyle w:val="Heading1"/>
        <w:rPr>
          <w:b w:val="0"/>
          <w:bCs w:val="0"/>
          <w:szCs w:val="22"/>
        </w:rPr>
      </w:pPr>
      <w:r w:rsidRPr="00221C26">
        <w:rPr>
          <w:b w:val="0"/>
          <w:bCs w:val="0"/>
          <w:szCs w:val="22"/>
        </w:rPr>
        <w:t>New</w:t>
      </w:r>
      <w:r w:rsidRPr="00221C26">
        <w:rPr>
          <w:b w:val="0"/>
          <w:bCs w:val="0"/>
          <w:szCs w:val="22"/>
          <w:highlight w:val="yellow"/>
        </w:rPr>
        <w:t xml:space="preserve"> species</w:t>
      </w:r>
      <w:r w:rsidRPr="00221C26">
        <w:rPr>
          <w:b w:val="0"/>
          <w:bCs w:val="0"/>
          <w:szCs w:val="22"/>
        </w:rPr>
        <w:t xml:space="preserve"> identifications and invasive-pest records necessitate a </w:t>
      </w:r>
      <w:r w:rsidRPr="00221C26">
        <w:rPr>
          <w:b w:val="0"/>
          <w:bCs w:val="0"/>
          <w:szCs w:val="22"/>
          <w:highlight w:val="yellow"/>
        </w:rPr>
        <w:t xml:space="preserve">species-level </w:t>
      </w:r>
      <w:r w:rsidRPr="00221C26">
        <w:rPr>
          <w:b w:val="0"/>
          <w:bCs w:val="0"/>
          <w:szCs w:val="22"/>
        </w:rPr>
        <w:t>re-evaluation of mulberry-pest descriptions. Specifically, a southern Indian investigation challenged the assumption that one named thrips species accounts for the local pest complex (Sreerama Kumar et al., 2024). This review synthesi</w:t>
      </w:r>
      <w:r w:rsidRPr="00221C26">
        <w:rPr>
          <w:b w:val="0"/>
          <w:bCs w:val="0"/>
          <w:szCs w:val="22"/>
          <w:highlight w:val="yellow"/>
        </w:rPr>
        <w:t>s</w:t>
      </w:r>
      <w:r w:rsidRPr="00221C26">
        <w:rPr>
          <w:b w:val="0"/>
          <w:bCs w:val="0"/>
          <w:szCs w:val="22"/>
        </w:rPr>
        <w:t>es</w:t>
      </w:r>
      <w:r w:rsidRPr="00221C26">
        <w:rPr>
          <w:b w:val="0"/>
          <w:bCs w:val="0"/>
          <w:szCs w:val="22"/>
          <w:highlight w:val="yellow"/>
        </w:rPr>
        <w:t xml:space="preserve"> evidence on</w:t>
      </w:r>
      <w:r w:rsidRPr="00221C26">
        <w:rPr>
          <w:b w:val="0"/>
          <w:bCs w:val="0"/>
          <w:szCs w:val="22"/>
        </w:rPr>
        <w:t xml:space="preserve"> major </w:t>
      </w:r>
      <w:r w:rsidRPr="00221C26">
        <w:rPr>
          <w:b w:val="0"/>
          <w:bCs w:val="0"/>
          <w:szCs w:val="22"/>
          <w:highlight w:val="yellow"/>
        </w:rPr>
        <w:t xml:space="preserve">pest </w:t>
      </w:r>
      <w:r w:rsidRPr="00221C26">
        <w:rPr>
          <w:b w:val="0"/>
          <w:bCs w:val="0"/>
          <w:szCs w:val="22"/>
        </w:rPr>
        <w:t>groups</w:t>
      </w:r>
      <w:r w:rsidRPr="00221C26">
        <w:rPr>
          <w:b w:val="0"/>
          <w:bCs w:val="0"/>
          <w:szCs w:val="22"/>
          <w:highlight w:val="yellow"/>
        </w:rPr>
        <w:t>,</w:t>
      </w:r>
      <w:r w:rsidRPr="00221C26">
        <w:rPr>
          <w:b w:val="0"/>
          <w:bCs w:val="0"/>
          <w:szCs w:val="22"/>
        </w:rPr>
        <w:t xml:space="preserve"> evaluates recent </w:t>
      </w:r>
      <w:r w:rsidRPr="00221C26">
        <w:rPr>
          <w:b w:val="0"/>
          <w:bCs w:val="0"/>
          <w:szCs w:val="22"/>
          <w:highlight w:val="yellow"/>
        </w:rPr>
        <w:t>f</w:t>
      </w:r>
      <w:r w:rsidRPr="00221C26">
        <w:rPr>
          <w:b w:val="0"/>
          <w:bCs w:val="0"/>
          <w:szCs w:val="22"/>
        </w:rPr>
        <w:t>i</w:t>
      </w:r>
      <w:r w:rsidRPr="00221C26">
        <w:rPr>
          <w:b w:val="0"/>
          <w:bCs w:val="0"/>
          <w:szCs w:val="22"/>
          <w:highlight w:val="yellow"/>
        </w:rPr>
        <w:t>n</w:t>
      </w:r>
      <w:r w:rsidRPr="00221C26">
        <w:rPr>
          <w:b w:val="0"/>
          <w:bCs w:val="0"/>
          <w:szCs w:val="22"/>
        </w:rPr>
        <w:t>d</w:t>
      </w:r>
      <w:r w:rsidRPr="00221C26">
        <w:rPr>
          <w:b w:val="0"/>
          <w:bCs w:val="0"/>
          <w:szCs w:val="22"/>
          <w:highlight w:val="yellow"/>
        </w:rPr>
        <w:t>i</w:t>
      </w:r>
      <w:r w:rsidRPr="00221C26">
        <w:rPr>
          <w:b w:val="0"/>
          <w:bCs w:val="0"/>
          <w:szCs w:val="22"/>
        </w:rPr>
        <w:t>n</w:t>
      </w:r>
      <w:r w:rsidRPr="00221C26">
        <w:rPr>
          <w:b w:val="0"/>
          <w:bCs w:val="0"/>
          <w:szCs w:val="22"/>
          <w:highlight w:val="yellow"/>
        </w:rPr>
        <w:t>gs</w:t>
      </w:r>
      <w:r w:rsidRPr="00221C26">
        <w:rPr>
          <w:b w:val="0"/>
          <w:bCs w:val="0"/>
          <w:szCs w:val="22"/>
        </w:rPr>
        <w:t xml:space="preserve"> and develops practical </w:t>
      </w:r>
      <w:r w:rsidRPr="00221C26">
        <w:rPr>
          <w:b w:val="0"/>
          <w:bCs w:val="0"/>
          <w:szCs w:val="22"/>
          <w:highlight w:val="yellow"/>
        </w:rPr>
        <w:t xml:space="preserve">management </w:t>
      </w:r>
      <w:r w:rsidRPr="00221C26">
        <w:rPr>
          <w:b w:val="0"/>
          <w:bCs w:val="0"/>
          <w:szCs w:val="22"/>
        </w:rPr>
        <w:t>priorities. It does not present new experimental results or an estimate of a pooled yield-loss percentage.</w:t>
      </w:r>
      <w:r w:rsidR="00221C26">
        <w:rPr>
          <w:b w:val="0"/>
          <w:bCs w:val="0"/>
          <w:szCs w:val="22"/>
        </w:rPr>
        <w:t xml:space="preserve"> </w:t>
      </w:r>
      <w:r w:rsidRPr="00221C26">
        <w:rPr>
          <w:b w:val="0"/>
          <w:bCs w:val="0"/>
          <w:highlight w:val="yellow"/>
        </w:rPr>
        <w:t>A broader review of hyperspectral imaging in precision agriculture identifies field implementation and validation as challenges for translating crop-stress monitoring into practice (Ram et al., 2024).</w:t>
      </w:r>
      <w:r w:rsidR="00221C26" w:rsidRPr="00221C26">
        <w:rPr>
          <w:b w:val="0"/>
          <w:bCs w:val="0"/>
        </w:rPr>
        <w:t xml:space="preserve"> </w:t>
      </w:r>
      <w:r w:rsidRPr="00221C26">
        <w:rPr>
          <w:b w:val="0"/>
          <w:bCs w:val="0"/>
          <w:highlight w:val="yellow"/>
        </w:rPr>
        <w:t>Despite advances in pest identification, biological control and monitoring, the evidence considered in this review remains insufficient to establish broadly transferable, species-specific action thresholds and silkworm-safe intervention intervals for mulberry production.</w:t>
      </w:r>
    </w:p>
    <w:p w14:paraId="2C52FB21" w14:textId="77777777" w:rsidR="00A17BFB" w:rsidRPr="00221C26" w:rsidRDefault="00000000">
      <w:r w:rsidRPr="00221C26">
        <w:rPr>
          <w:highlight w:val="yellow"/>
        </w:rPr>
        <w:t>The objective of this review is to appraise evidence on sucking-pest identity, injury assessment and integrated management in mulberry while considering the safety of harvested foliage for silkworm rearing.</w:t>
      </w:r>
    </w:p>
    <w:p w14:paraId="0678F3DD" w14:textId="77777777" w:rsidR="00F90A15" w:rsidRDefault="00000000" w:rsidP="00273EAF">
      <w:pPr>
        <w:pStyle w:val="Heading1"/>
      </w:pPr>
      <w:r>
        <w:t>2. Review scope and evidence appraisal</w:t>
      </w:r>
    </w:p>
    <w:p w14:paraId="693014B6" w14:textId="77777777" w:rsidR="00F90A15" w:rsidRDefault="00000000">
      <w:pPr>
        <w:pStyle w:val="Heading2"/>
      </w:pPr>
      <w:r>
        <w:t>2.1 Review scope and literature selection</w:t>
      </w:r>
    </w:p>
    <w:p w14:paraId="7497897E" w14:textId="77777777" w:rsidR="00F90A15" w:rsidRDefault="00000000">
      <w:r>
        <w:t>This is a focused narrative review rather than a systematic review or meta-analysis. The manuscript was reassessed using targeted web searches and publisher or institutional sources accesse</w:t>
      </w:r>
      <w:r>
        <w:rPr>
          <w:highlight w:val="yellow"/>
        </w:rPr>
        <w:t>d</w:t>
      </w:r>
      <w:r>
        <w:t xml:space="preserve"> on 3 October 2026. Search terms combined mulberry or </w:t>
      </w:r>
      <w:r>
        <w:rPr>
          <w:i/>
        </w:rPr>
        <w:t>Morus</w:t>
      </w:r>
      <w:r>
        <w:t xml:space="preserve"> with sucking pests, thrips, whitefly, mealybug, biological control, silkworm safety and hyperspectral monitoring. Recent additions were selected from 2024–2026 publications and official pest reports; older sources were retained where they supported foundational biology or direct mulberry evidence.</w:t>
      </w:r>
    </w:p>
    <w:p w14:paraId="74829EE1" w14:textId="77777777" w:rsidR="00F90A15" w:rsidRDefault="00000000">
      <w:pPr>
        <w:pStyle w:val="Heading2"/>
      </w:pPr>
      <w:r>
        <w:t>2.2 Evidence appraisal and limitations</w:t>
      </w:r>
    </w:p>
    <w:p w14:paraId="52162489" w14:textId="77777777" w:rsidR="00F90A15" w:rsidRDefault="00000000">
      <w:r>
        <w:t>Sources were evaluated for pest identity, host crop, location, experimental setting and relevance to silkworm feeding. Taxonomic studies were used to qualify historical species records. Official pest reports were interpreted as geographically and temporally bounded assessments. Results from laboratory or limited field trials were not treated as proof of universal field performance, a legally approved pesticide use or a general</w:t>
      </w:r>
      <w:r>
        <w:rPr>
          <w:highlight w:val="yellow"/>
        </w:rPr>
        <w:t>ly</w:t>
      </w:r>
      <w:r>
        <w:t xml:space="preserve"> safe feeding interval. The selected evidence is summarized in Table 2. No exhaustive database search, formal risk-of-bias scoring or quantitative synthesis was undertaken.</w:t>
      </w:r>
    </w:p>
    <w:p w14:paraId="36846CEB" w14:textId="77777777" w:rsidR="00F90A15" w:rsidRDefault="00000000">
      <w:pPr>
        <w:pStyle w:val="Heading1"/>
      </w:pPr>
      <w:r>
        <w:lastRenderedPageBreak/>
        <w:t>3. Pest identity and biological characteristics</w:t>
      </w:r>
    </w:p>
    <w:p w14:paraId="11534259" w14:textId="77777777" w:rsidR="00F90A15" w:rsidRDefault="00000000">
      <w:r>
        <w:t>Table 1 summari</w:t>
      </w:r>
      <w:r>
        <w:rPr>
          <w:highlight w:val="yellow"/>
        </w:rPr>
        <w:t>s</w:t>
      </w:r>
      <w:r>
        <w:t>es the principal groups discussed here. It is a diagnostic guide for scouting, not an identification key. Similar symptoms can have different causes, and species confirmation may require mounted specimens and expert examination. The relative importance of each group varies among locations and pruning cycles.</w:t>
      </w:r>
    </w:p>
    <w:p w14:paraId="4225150B" w14:textId="77777777" w:rsidR="00F90A15" w:rsidRDefault="00000000">
      <w:pPr>
        <w:pStyle w:val="Heading2"/>
      </w:pPr>
      <w:r>
        <w:t>3.1 Aphids</w:t>
      </w:r>
    </w:p>
    <w:p w14:paraId="23A51021" w14:textId="77777777" w:rsidR="00F90A15" w:rsidRDefault="00000000">
      <w:r>
        <w:rPr>
          <w:i/>
        </w:rPr>
        <w:t>Aphis gossypii</w:t>
      </w:r>
      <w:r>
        <w:t xml:space="preserve"> is a widely distributed, polyphagous aphid relevant to crop surveillance. Colonies on tender growth should be identified rather than assigned to this species solely from their colour. Small, soft-bodied aphids typically occur as wingless coloni</w:t>
      </w:r>
      <w:r>
        <w:rPr>
          <w:highlight w:val="yellow"/>
        </w:rPr>
        <w:t>s</w:t>
      </w:r>
      <w:r>
        <w:t>ing forms and winged dispersal forms. Their paired abdominal cornicles are useful recognition characters; honeydew is excreted through the anus, not secreted by the cornicles or cauda (Cocuzza, 2024).</w:t>
      </w:r>
    </w:p>
    <w:p w14:paraId="0E688042" w14:textId="77777777" w:rsidR="00F90A15" w:rsidRDefault="00000000">
      <w:r>
        <w:t>Aphids develop through nymphal instars without a pupal stage. Viviparous parthenogenesis can enable rapid colony growth under suitable conditions, but reproductive rates depend on the host and environment. Feeding is associated with leaf curling, chlorosis and honeydew contamination. Their importance as vectors in other crops does not by itself establish transmission of a specific mulberry pathogen. Mulberry surveys should record aphid identity, abundance and symptoms before inferring either economic importance or a vector relationship.</w:t>
      </w:r>
    </w:p>
    <w:p w14:paraId="5A0D1547" w14:textId="77777777" w:rsidR="00F90A15" w:rsidRDefault="00000000">
      <w:r>
        <w:t xml:space="preserve">Aphid wing and reproductive polyphenisms are linked to environmental signals and maternal developmental regulation. Viviparity can connect maternal conditions with developing offspring, </w:t>
      </w:r>
      <w:r>
        <w:rPr>
          <w:highlight w:val="yellow"/>
        </w:rPr>
        <w:t xml:space="preserve">which </w:t>
      </w:r>
      <w:r>
        <w:t>provid</w:t>
      </w:r>
      <w:r>
        <w:rPr>
          <w:highlight w:val="yellow"/>
        </w:rPr>
        <w:t>es</w:t>
      </w:r>
      <w:r>
        <w:t xml:space="preserve"> a biological explanation for rapid changes in colony structure. These general aphid mechanisms should be distinguished from measured population-growth rates on mulberry (Ogawa &amp; Miura, 2014).</w:t>
      </w:r>
    </w:p>
    <w:p w14:paraId="42F63290" w14:textId="77777777" w:rsidR="00F90A15" w:rsidRDefault="00000000">
      <w:pPr>
        <w:pStyle w:val="Heading2"/>
      </w:pPr>
      <w:r>
        <w:t>3.2 Thrips and the changing species complex</w:t>
      </w:r>
    </w:p>
    <w:p w14:paraId="79FE9C1F" w14:textId="77777777" w:rsidR="00F90A15" w:rsidRDefault="00000000">
      <w:r>
        <w:t xml:space="preserve">Older mulberry literature frequently </w:t>
      </w:r>
      <w:r>
        <w:rPr>
          <w:highlight w:val="yellow"/>
        </w:rPr>
        <w:t>ide</w:t>
      </w:r>
      <w:r>
        <w:t>n</w:t>
      </w:r>
      <w:r>
        <w:rPr>
          <w:highlight w:val="yellow"/>
        </w:rPr>
        <w:t>tifi</w:t>
      </w:r>
      <w:r>
        <w:t xml:space="preserve">es </w:t>
      </w:r>
      <w:r>
        <w:rPr>
          <w:i/>
        </w:rPr>
        <w:t>Pseudodendrothrips mori</w:t>
      </w:r>
      <w:r>
        <w:t xml:space="preserve">. However, examination of specimens collected in Andhra Pradesh, Karnataka and Tamil Nadu during 2017–2023 identified </w:t>
      </w:r>
      <w:r>
        <w:rPr>
          <w:i/>
        </w:rPr>
        <w:t>Pseudodendrothrips darci</w:t>
      </w:r>
      <w:r>
        <w:t xml:space="preserve">, </w:t>
      </w:r>
      <w:r>
        <w:rPr>
          <w:i/>
        </w:rPr>
        <w:t>Bathrips melanicornis</w:t>
      </w:r>
      <w:r>
        <w:t xml:space="preserve">, </w:t>
      </w:r>
      <w:r>
        <w:rPr>
          <w:i/>
        </w:rPr>
        <w:t>Scirtothrips dorsalis</w:t>
      </w:r>
      <w:r>
        <w:t xml:space="preserve">, </w:t>
      </w:r>
      <w:r>
        <w:rPr>
          <w:i/>
        </w:rPr>
        <w:t>Thrips palmi</w:t>
      </w:r>
      <w:r>
        <w:t xml:space="preserve"> and </w:t>
      </w:r>
      <w:r>
        <w:rPr>
          <w:i/>
        </w:rPr>
        <w:t>Thrips parvispinus</w:t>
      </w:r>
      <w:r>
        <w:t xml:space="preserve">. </w:t>
      </w:r>
      <w:r>
        <w:rPr>
          <w:i/>
        </w:rPr>
        <w:t>Pseudodendrothrips darci</w:t>
      </w:r>
      <w:r>
        <w:t xml:space="preserve"> was the most common species </w:t>
      </w:r>
      <w:r>
        <w:rPr>
          <w:highlight w:val="yellow"/>
        </w:rPr>
        <w:t>in</w:t>
      </w:r>
      <w:r>
        <w:t xml:space="preserve"> the surveyed states. The same study discusses correction of an earlier </w:t>
      </w:r>
      <w:r>
        <w:rPr>
          <w:i/>
        </w:rPr>
        <w:t>Pseudodendrothrips bhattii</w:t>
      </w:r>
      <w:r>
        <w:t xml:space="preserve"> record and the danger of presumed identifications (Sreerama Kumar et al., 2024).</w:t>
      </w:r>
    </w:p>
    <w:p w14:paraId="37B83AFD" w14:textId="77777777" w:rsidR="00F90A15" w:rsidRDefault="00000000">
      <w:r>
        <w:t xml:space="preserve">Thrips have one pair of antennae and asymmetrical mouthparts, including a functional left mandible. Feeding larvae and adults damage leaf cells. Development includes eggs, two feeding larval instars and non-feeding prepupal and pupal stages before adulthood; it should not be described as simultaneous complete and incomplete metamorphosis. </w:t>
      </w:r>
      <w:r>
        <w:rPr>
          <w:highlight w:val="yellow"/>
        </w:rPr>
        <w:t>The duration of d</w:t>
      </w:r>
      <w:r>
        <w:t>evelopment and the location of resting stages depend on species and conditions (Mound, 2005).</w:t>
      </w:r>
    </w:p>
    <w:p w14:paraId="31BBBAC7" w14:textId="77777777" w:rsidR="00F90A15" w:rsidRDefault="00000000">
      <w:r>
        <w:t xml:space="preserve">Silvering, dark faecal specks, bronzing and distorted leaves are useful field indicators. In the recent southern Indian investigation, upward curling was associated with </w:t>
      </w:r>
      <w:r>
        <w:rPr>
          <w:i/>
        </w:rPr>
        <w:t>Pseudodendrothrips darci</w:t>
      </w:r>
      <w:r>
        <w:t xml:space="preserve"> and downward curling with </w:t>
      </w:r>
      <w:r>
        <w:rPr>
          <w:i/>
        </w:rPr>
        <w:t>Thrips parvispinus</w:t>
      </w:r>
      <w:r>
        <w:t xml:space="preserve"> at a mixed-infestation site. These associations guide specimen collection but do not replace identification. Management trials should preserve vouchers and state how identities were established (Sreerama Kumar et al., 2024).</w:t>
      </w:r>
    </w:p>
    <w:p w14:paraId="09F926FC" w14:textId="77777777" w:rsidR="00F90A15" w:rsidRDefault="00000000">
      <w:r>
        <w:lastRenderedPageBreak/>
        <w:t>Taxonomic revision direct</w:t>
      </w:r>
      <w:r>
        <w:rPr>
          <w:highlight w:val="yellow"/>
        </w:rPr>
        <w:t>ly</w:t>
      </w:r>
      <w:r>
        <w:t xml:space="preserve"> support</w:t>
      </w:r>
      <w:r>
        <w:rPr>
          <w:highlight w:val="yellow"/>
        </w:rPr>
        <w:t>s</w:t>
      </w:r>
      <w:r>
        <w:t xml:space="preserve"> for reassessing historical records: Rachana et al. (2022) supplied an identification key to Indian </w:t>
      </w:r>
      <w:r>
        <w:rPr>
          <w:i/>
        </w:rPr>
        <w:t>Pseudodendrothrips</w:t>
      </w:r>
      <w:r>
        <w:t xml:space="preserve"> and concluded that the Indian record of </w:t>
      </w:r>
      <w:r>
        <w:rPr>
          <w:i/>
        </w:rPr>
        <w:t>Pseudodendrothrips bhattii</w:t>
      </w:r>
      <w:r>
        <w:t xml:space="preserve"> represented </w:t>
      </w:r>
      <w:r>
        <w:rPr>
          <w:i/>
        </w:rPr>
        <w:t>Pseudodendrothrips darci</w:t>
      </w:r>
      <w:r>
        <w:t>. More broadly, the small size and concealed habits of thrips complicate early detection and facilitate movement with plants. Nursery inspection and accurate identification are therefore important components of invasive-thrips surveillance (Morse &amp; Hoddle, 2006).</w:t>
      </w:r>
    </w:p>
    <w:p w14:paraId="365937FC" w14:textId="77777777" w:rsidR="00F90A15" w:rsidRDefault="00000000">
      <w:pPr>
        <w:pStyle w:val="Heading2"/>
      </w:pPr>
      <w:r>
        <w:t>3.3 Whiteflies</w:t>
      </w:r>
    </w:p>
    <w:p w14:paraId="17C59F5B" w14:textId="77777777" w:rsidR="00F90A15" w:rsidRDefault="00000000">
      <w:r>
        <w:t xml:space="preserve">Mulberry whiteflies </w:t>
      </w:r>
      <w:r>
        <w:rPr>
          <w:highlight w:val="yellow"/>
        </w:rPr>
        <w:t>f</w:t>
      </w:r>
      <w:r>
        <w:t>o</w:t>
      </w:r>
      <w:r>
        <w:rPr>
          <w:highlight w:val="yellow"/>
        </w:rPr>
        <w:t>r</w:t>
      </w:r>
      <w:r>
        <w:t>m a local</w:t>
      </w:r>
      <w:r>
        <w:rPr>
          <w:highlight w:val="yellow"/>
        </w:rPr>
        <w:t>ly variable</w:t>
      </w:r>
      <w:r>
        <w:t xml:space="preserve"> species complex; </w:t>
      </w:r>
      <w:r>
        <w:rPr>
          <w:i/>
        </w:rPr>
        <w:t>Bemisia tabaci</w:t>
      </w:r>
      <w:r>
        <w:t xml:space="preserve"> should not be assumed to be the principal species everywhere. Central Silk Board guidance documents </w:t>
      </w:r>
      <w:r>
        <w:rPr>
          <w:i/>
        </w:rPr>
        <w:t>Dialeuropora decempuncta</w:t>
      </w:r>
      <w:r>
        <w:t xml:space="preserve"> on mulberry, and recent mulberry monitoring research includes </w:t>
      </w:r>
      <w:r>
        <w:rPr>
          <w:i/>
        </w:rPr>
        <w:t>Aleurodicus dispersus</w:t>
      </w:r>
      <w:r>
        <w:t>. Both adult identity and immature-stage characters matter when distinguishing taxa (Central Silk Board, n.d.; Kalpana et al., 2026).</w:t>
      </w:r>
    </w:p>
    <w:p w14:paraId="137F339D" w14:textId="77777777" w:rsidR="00F90A15" w:rsidRDefault="00000000">
      <w:r>
        <w:t>Adult whiteflies are small and wax-covered. Eggs and settled immature stages occur mainly on leaf undersides; the first-instar crawler disperses locally before later stages become relatively sedentary. Sap extraction, honeydew and sooty mould can reduce the suitability of leaves for rearing. Spiralling wax or egg arrangements are valuable clues for particular taxa but should not be generali</w:t>
      </w:r>
      <w:r>
        <w:rPr>
          <w:highlight w:val="yellow"/>
        </w:rPr>
        <w:t>s</w:t>
      </w:r>
      <w:r>
        <w:t>ed to every whitefly. Yellow sticky cards provide an adult-flight index and should be paired with direct counts on foliage.</w:t>
      </w:r>
    </w:p>
    <w:p w14:paraId="11EBC170" w14:textId="77777777" w:rsidR="00F90A15" w:rsidRDefault="00000000">
      <w:r>
        <w:t xml:space="preserve">Even when </w:t>
      </w:r>
      <w:r>
        <w:rPr>
          <w:i/>
        </w:rPr>
        <w:t>Bemisia tabaci</w:t>
      </w:r>
      <w:r>
        <w:t xml:space="preserve"> is confirmed, its name encompasses a complex of morphologically similar species rather than a biological</w:t>
      </w:r>
      <w:r>
        <w:rPr>
          <w:highlight w:val="yellow"/>
        </w:rPr>
        <w:t>ly uniform</w:t>
      </w:r>
      <w:r>
        <w:t xml:space="preserve"> entity. De Barro et al. (2011) explain why historical biotype terminology can obscure this diversity. Reports should state the basis of identification and avoid transferring insecticide susceptibility or vector competence between populations without supporting evidence.</w:t>
      </w:r>
    </w:p>
    <w:p w14:paraId="1C68B065" w14:textId="77777777" w:rsidR="00F90A15" w:rsidRDefault="00000000">
      <w:pPr>
        <w:pStyle w:val="Heading2"/>
      </w:pPr>
      <w:r>
        <w:t>3.4 Pink hibiscus mealybug</w:t>
      </w:r>
    </w:p>
    <w:p w14:paraId="7743C9D6" w14:textId="77777777" w:rsidR="00F90A15" w:rsidRDefault="00000000">
      <w:r>
        <w:rPr>
          <w:i/>
        </w:rPr>
        <w:t>Maconellicoccus hirsutus</w:t>
      </w:r>
      <w:r>
        <w:t xml:space="preserve"> is a polyphagous pseudococcid associated with distorted tender shoots and compact, bunchy growth in mulberry. Females and feeding immatures are covered with wax, which can obscure body characters. Females continue feeding; adult males have reduced mouthparts and do not feed (European and Mediterranean Plant Protection Organization [EPPO], 2026).</w:t>
      </w:r>
    </w:p>
    <w:p w14:paraId="7EA30AF4" w14:textId="77777777" w:rsidR="00F90A15" w:rsidRDefault="00000000">
      <w:r>
        <w:t xml:space="preserve">Eggs occur within waxy ovisacs. Crawlers are important for dispersal and colonization, whereas later female stages are less mobile. Reproduction and generation </w:t>
      </w:r>
      <w:r>
        <w:rPr>
          <w:highlight w:val="yellow"/>
        </w:rPr>
        <w:t>tim</w:t>
      </w:r>
      <w:r>
        <w:t>e vary with location and</w:t>
      </w:r>
      <w:r>
        <w:rPr>
          <w:highlight w:val="yellow"/>
        </w:rPr>
        <w:t xml:space="preserve"> environmental</w:t>
      </w:r>
      <w:r>
        <w:t xml:space="preserve"> conditions, so a single fecundity or lifespan value should not be transferred across studies. Planting material and nearby infested hosts can maintain infestations. Conservation or release of suitable natural enemies, including </w:t>
      </w:r>
      <w:r>
        <w:rPr>
          <w:i/>
        </w:rPr>
        <w:t>Cryptolaemus montrouzieri</w:t>
      </w:r>
      <w:r>
        <w:t xml:space="preserve"> and </w:t>
      </w:r>
      <w:r>
        <w:rPr>
          <w:i/>
        </w:rPr>
        <w:t>Anagyrus kamali</w:t>
      </w:r>
      <w:r>
        <w:t xml:space="preserve"> where available and appropriate, is preferable to repeated disruptive spraying (EPPO, 2026).</w:t>
      </w:r>
    </w:p>
    <w:p w14:paraId="4FE8285A" w14:textId="77777777" w:rsidR="00F90A15" w:rsidRDefault="00000000">
      <w:pPr>
        <w:pStyle w:val="Heading2"/>
      </w:pPr>
      <w:r>
        <w:t>3.5 Papaya mealybug</w:t>
      </w:r>
    </w:p>
    <w:p w14:paraId="1860EC53" w14:textId="77777777" w:rsidR="00F90A15" w:rsidRDefault="00000000">
      <w:r>
        <w:rPr>
          <w:i/>
        </w:rPr>
        <w:t>Paracoccus marginatus</w:t>
      </w:r>
      <w:r>
        <w:t xml:space="preserve"> is a separate species that must be distinguished from pink hibiscus mealybug. </w:t>
      </w:r>
      <w:r>
        <w:rPr>
          <w:highlight w:val="yellow"/>
        </w:rPr>
        <w:t>F</w:t>
      </w:r>
      <w:r>
        <w:t>emale</w:t>
      </w:r>
      <w:r>
        <w:rPr>
          <w:highlight w:val="yellow"/>
        </w:rPr>
        <w:t>s</w:t>
      </w:r>
      <w:r>
        <w:t xml:space="preserve"> </w:t>
      </w:r>
      <w:r>
        <w:rPr>
          <w:highlight w:val="yellow"/>
        </w:rPr>
        <w:t>are</w:t>
      </w:r>
      <w:r>
        <w:t xml:space="preserve"> typically yellowish beneath </w:t>
      </w:r>
      <w:r>
        <w:rPr>
          <w:highlight w:val="yellow"/>
        </w:rPr>
        <w:t>the</w:t>
      </w:r>
      <w:r>
        <w:t>i</w:t>
      </w:r>
      <w:r>
        <w:rPr>
          <w:highlight w:val="yellow"/>
        </w:rPr>
        <w:t>r</w:t>
      </w:r>
      <w:r>
        <w:t xml:space="preserve"> wax covering, but species confirmation requires diagnostic characters rather than body colour alone. Feeding females and nymphs occupy leaves and tender shoots; males do not feed. Mulberry is among the hosts listed in India’s official pest report (Government of India, 2024).</w:t>
      </w:r>
    </w:p>
    <w:p w14:paraId="5956E7A5" w14:textId="77777777" w:rsidR="00F90A15" w:rsidRDefault="00000000">
      <w:r>
        <w:t xml:space="preserve">The Indian report records initial detection on papaya in Coimbatore in 2008 and subsequent spread to other states. Its July 2024 assessment states that biological control had suppressed the pest below economic threshold levels in reported areas. This is evidence of successful </w:t>
      </w:r>
      <w:r>
        <w:lastRenderedPageBreak/>
        <w:t>suppression at the reporting scale, not assurance that an individual mulberry garden cannot experience renewed infestation. Continued scouting and conservation of established parasitoids remain necessary (Government of India, 2024).</w:t>
      </w:r>
    </w:p>
    <w:p w14:paraId="76018752" w14:textId="77777777" w:rsidR="00F90A15" w:rsidRDefault="00000000">
      <w:pPr>
        <w:keepNext/>
        <w:spacing w:line="480" w:lineRule="auto"/>
      </w:pPr>
      <w:r>
        <w:t>Table 1 Principal sucking insect groups and field recognition priorities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3168"/>
        <w:gridCol w:w="3024"/>
      </w:tblGrid>
      <w:tr w:rsidR="00F90A15" w14:paraId="022F300C" w14:textId="77777777" w:rsidTr="000F51C1">
        <w:trPr>
          <w:cantSplit/>
          <w:tblHeader/>
        </w:trPr>
        <w:tc>
          <w:tcPr>
            <w:tcW w:w="3168" w:type="dxa"/>
          </w:tcPr>
          <w:p w14:paraId="33B14196" w14:textId="77777777" w:rsidR="00F90A15" w:rsidRDefault="00000000">
            <w:pPr>
              <w:spacing w:after="60" w:line="480" w:lineRule="auto"/>
              <w:jc w:val="left"/>
            </w:pPr>
            <w:r>
              <w:rPr>
                <w:b/>
              </w:rPr>
              <w:t>Group and examples</w:t>
            </w:r>
          </w:p>
        </w:tc>
        <w:tc>
          <w:tcPr>
            <w:tcW w:w="3168" w:type="dxa"/>
          </w:tcPr>
          <w:p w14:paraId="322DE771" w14:textId="77777777" w:rsidR="00F90A15" w:rsidRDefault="00000000">
            <w:pPr>
              <w:spacing w:after="60" w:line="480" w:lineRule="auto"/>
              <w:jc w:val="left"/>
            </w:pPr>
            <w:r>
              <w:rPr>
                <w:b/>
              </w:rPr>
              <w:t>Main injury indicators</w:t>
            </w:r>
          </w:p>
        </w:tc>
        <w:tc>
          <w:tcPr>
            <w:tcW w:w="3024" w:type="dxa"/>
          </w:tcPr>
          <w:p w14:paraId="2614ACA0" w14:textId="77777777" w:rsidR="00F90A15" w:rsidRDefault="00000000">
            <w:pPr>
              <w:spacing w:after="60" w:line="480" w:lineRule="auto"/>
              <w:jc w:val="left"/>
            </w:pPr>
            <w:r>
              <w:rPr>
                <w:b/>
              </w:rPr>
              <w:t>Confirmation priority</w:t>
            </w:r>
          </w:p>
        </w:tc>
      </w:tr>
      <w:tr w:rsidR="00F90A15" w14:paraId="104D0D88" w14:textId="77777777" w:rsidTr="000F51C1">
        <w:trPr>
          <w:cantSplit/>
        </w:trPr>
        <w:tc>
          <w:tcPr>
            <w:tcW w:w="3168" w:type="dxa"/>
          </w:tcPr>
          <w:p w14:paraId="6752FF7E" w14:textId="77777777" w:rsidR="00F90A15" w:rsidRDefault="00000000">
            <w:pPr>
              <w:spacing w:after="60" w:line="480" w:lineRule="auto"/>
              <w:jc w:val="left"/>
            </w:pPr>
            <w:r>
              <w:t xml:space="preserve">Aphids such as </w:t>
            </w:r>
            <w:r>
              <w:rPr>
                <w:i/>
              </w:rPr>
              <w:t>Aphis gossypii</w:t>
            </w:r>
          </w:p>
        </w:tc>
        <w:tc>
          <w:tcPr>
            <w:tcW w:w="3168" w:type="dxa"/>
          </w:tcPr>
          <w:p w14:paraId="76207B62" w14:textId="77777777" w:rsidR="00F90A15" w:rsidRDefault="00000000">
            <w:pPr>
              <w:spacing w:after="60" w:line="480" w:lineRule="auto"/>
              <w:jc w:val="left"/>
            </w:pPr>
            <w:r>
              <w:t>Colonies on young growth; curling and honeydew</w:t>
            </w:r>
          </w:p>
        </w:tc>
        <w:tc>
          <w:tcPr>
            <w:tcW w:w="3024" w:type="dxa"/>
          </w:tcPr>
          <w:p w14:paraId="572A640C" w14:textId="77777777" w:rsidR="00F90A15" w:rsidRDefault="00000000">
            <w:pPr>
              <w:spacing w:after="60" w:line="480" w:lineRule="auto"/>
              <w:jc w:val="left"/>
            </w:pPr>
            <w:r>
              <w:t>Use aphid morphology; do not rely on colour</w:t>
            </w:r>
          </w:p>
        </w:tc>
      </w:tr>
      <w:tr w:rsidR="00F90A15" w14:paraId="3DD30468" w14:textId="77777777" w:rsidTr="000F51C1">
        <w:trPr>
          <w:cantSplit/>
        </w:trPr>
        <w:tc>
          <w:tcPr>
            <w:tcW w:w="3168" w:type="dxa"/>
          </w:tcPr>
          <w:p w14:paraId="770CE6D4" w14:textId="77777777" w:rsidR="00F90A15" w:rsidRDefault="00000000">
            <w:pPr>
              <w:spacing w:after="60" w:line="480" w:lineRule="auto"/>
              <w:jc w:val="left"/>
            </w:pPr>
            <w:r>
              <w:t xml:space="preserve">Thrips including </w:t>
            </w:r>
            <w:r>
              <w:rPr>
                <w:i/>
              </w:rPr>
              <w:t>Pseudodendrothrips darci</w:t>
            </w:r>
            <w:r>
              <w:t xml:space="preserve"> and </w:t>
            </w:r>
            <w:r>
              <w:rPr>
                <w:i/>
              </w:rPr>
              <w:t>Thrips parvispinus</w:t>
            </w:r>
          </w:p>
        </w:tc>
        <w:tc>
          <w:tcPr>
            <w:tcW w:w="3168" w:type="dxa"/>
          </w:tcPr>
          <w:p w14:paraId="45005DB5" w14:textId="77777777" w:rsidR="00F90A15" w:rsidRDefault="00000000">
            <w:pPr>
              <w:spacing w:after="60" w:line="480" w:lineRule="auto"/>
              <w:jc w:val="left"/>
            </w:pPr>
            <w:r>
              <w:t>Silvering, faecal specks and leaf distortion</w:t>
            </w:r>
          </w:p>
        </w:tc>
        <w:tc>
          <w:tcPr>
            <w:tcW w:w="3024" w:type="dxa"/>
          </w:tcPr>
          <w:p w14:paraId="3A17CAFC" w14:textId="77777777" w:rsidR="00F90A15" w:rsidRDefault="00000000">
            <w:pPr>
              <w:spacing w:after="60" w:line="480" w:lineRule="auto"/>
              <w:jc w:val="left"/>
            </w:pPr>
            <w:r>
              <w:t>Examine mounted specimens; retain vouchers</w:t>
            </w:r>
          </w:p>
        </w:tc>
      </w:tr>
      <w:tr w:rsidR="00F90A15" w14:paraId="20500152" w14:textId="77777777" w:rsidTr="000F51C1">
        <w:trPr>
          <w:cantSplit/>
        </w:trPr>
        <w:tc>
          <w:tcPr>
            <w:tcW w:w="3168" w:type="dxa"/>
          </w:tcPr>
          <w:p w14:paraId="635CE1F8" w14:textId="77777777" w:rsidR="00F90A15" w:rsidRDefault="00000000">
            <w:pPr>
              <w:spacing w:after="60" w:line="480" w:lineRule="auto"/>
              <w:jc w:val="left"/>
            </w:pPr>
            <w:r>
              <w:t xml:space="preserve">Whiteflies including </w:t>
            </w:r>
            <w:r>
              <w:rPr>
                <w:i/>
              </w:rPr>
              <w:t>Aleurodicus dispersus</w:t>
            </w:r>
            <w:r>
              <w:t xml:space="preserve"> and </w:t>
            </w:r>
            <w:r>
              <w:rPr>
                <w:i/>
              </w:rPr>
              <w:t>Dialeuropora decempuncta</w:t>
            </w:r>
          </w:p>
        </w:tc>
        <w:tc>
          <w:tcPr>
            <w:tcW w:w="3168" w:type="dxa"/>
          </w:tcPr>
          <w:p w14:paraId="7D55DF46" w14:textId="77777777" w:rsidR="00F90A15" w:rsidRDefault="00000000">
            <w:pPr>
              <w:spacing w:after="60" w:line="480" w:lineRule="auto"/>
              <w:jc w:val="left"/>
            </w:pPr>
            <w:r>
              <w:t>Leaf-underside colonies, wax and sooty mould</w:t>
            </w:r>
          </w:p>
        </w:tc>
        <w:tc>
          <w:tcPr>
            <w:tcW w:w="3024" w:type="dxa"/>
          </w:tcPr>
          <w:p w14:paraId="62638E1E" w14:textId="77777777" w:rsidR="00F90A15" w:rsidRDefault="00000000">
            <w:pPr>
              <w:spacing w:after="60" w:line="480" w:lineRule="auto"/>
              <w:jc w:val="left"/>
            </w:pPr>
            <w:r>
              <w:t>Identify adults and immature stages</w:t>
            </w:r>
          </w:p>
        </w:tc>
      </w:tr>
      <w:tr w:rsidR="00F90A15" w14:paraId="0494E583" w14:textId="77777777" w:rsidTr="000F51C1">
        <w:trPr>
          <w:cantSplit/>
        </w:trPr>
        <w:tc>
          <w:tcPr>
            <w:tcW w:w="3168" w:type="dxa"/>
          </w:tcPr>
          <w:p w14:paraId="384F7A43" w14:textId="77777777" w:rsidR="00F90A15" w:rsidRDefault="00000000">
            <w:pPr>
              <w:spacing w:after="60" w:line="480" w:lineRule="auto"/>
              <w:jc w:val="left"/>
            </w:pPr>
            <w:r>
              <w:rPr>
                <w:i/>
              </w:rPr>
              <w:t>Maconellicoccus hirsutus</w:t>
            </w:r>
          </w:p>
        </w:tc>
        <w:tc>
          <w:tcPr>
            <w:tcW w:w="3168" w:type="dxa"/>
          </w:tcPr>
          <w:p w14:paraId="5C121D27" w14:textId="77777777" w:rsidR="00F90A15" w:rsidRDefault="00000000">
            <w:pPr>
              <w:spacing w:after="60" w:line="480" w:lineRule="auto"/>
              <w:jc w:val="left"/>
            </w:pPr>
            <w:r>
              <w:t>Waxy colonies and bunchy shoots</w:t>
            </w:r>
          </w:p>
        </w:tc>
        <w:tc>
          <w:tcPr>
            <w:tcW w:w="3024" w:type="dxa"/>
          </w:tcPr>
          <w:p w14:paraId="3DF53F94" w14:textId="77777777" w:rsidR="00F90A15" w:rsidRDefault="00000000">
            <w:pPr>
              <w:spacing w:after="60" w:line="480" w:lineRule="auto"/>
              <w:jc w:val="left"/>
            </w:pPr>
            <w:r>
              <w:t>Distinguish from other mealybugs</w:t>
            </w:r>
          </w:p>
        </w:tc>
      </w:tr>
      <w:tr w:rsidR="00F90A15" w14:paraId="2E72FF27" w14:textId="77777777" w:rsidTr="000F51C1">
        <w:trPr>
          <w:cantSplit/>
        </w:trPr>
        <w:tc>
          <w:tcPr>
            <w:tcW w:w="3168" w:type="dxa"/>
          </w:tcPr>
          <w:p w14:paraId="5F3596C6" w14:textId="77777777" w:rsidR="00F90A15" w:rsidRDefault="00000000">
            <w:pPr>
              <w:spacing w:after="60" w:line="480" w:lineRule="auto"/>
              <w:jc w:val="left"/>
            </w:pPr>
            <w:r>
              <w:rPr>
                <w:i/>
              </w:rPr>
              <w:t>Paracoccus marginatus</w:t>
            </w:r>
          </w:p>
        </w:tc>
        <w:tc>
          <w:tcPr>
            <w:tcW w:w="3168" w:type="dxa"/>
          </w:tcPr>
          <w:p w14:paraId="25E60F03" w14:textId="77777777" w:rsidR="00F90A15" w:rsidRDefault="00000000">
            <w:pPr>
              <w:spacing w:after="60" w:line="480" w:lineRule="auto"/>
              <w:jc w:val="left"/>
            </w:pPr>
            <w:r>
              <w:t>Waxy colonies, chlorosis and distorted growth</w:t>
            </w:r>
          </w:p>
        </w:tc>
        <w:tc>
          <w:tcPr>
            <w:tcW w:w="3024" w:type="dxa"/>
          </w:tcPr>
          <w:p w14:paraId="05DA9AD8" w14:textId="77777777" w:rsidR="00F90A15" w:rsidRDefault="00000000">
            <w:pPr>
              <w:spacing w:after="60" w:line="480" w:lineRule="auto"/>
              <w:jc w:val="left"/>
            </w:pPr>
            <w:r>
              <w:t>Confirm identity before parasitoid selection</w:t>
            </w:r>
          </w:p>
        </w:tc>
      </w:tr>
    </w:tbl>
    <w:p w14:paraId="0CB334DE" w14:textId="77777777" w:rsidR="00F90A15" w:rsidRDefault="00000000">
      <w:r>
        <w:t>Sources: Cocuzza (2024), EPPO (2026) and Government of India (2024). Additional diagnostic evidence: Central Silk Board (n.d.), Sreerama Kumar et al. (2024) and Kalpana et al. (2026).</w:t>
      </w:r>
    </w:p>
    <w:p w14:paraId="51FFD6E1" w14:textId="77777777" w:rsidR="00F90A15" w:rsidRDefault="00000000">
      <w:pPr>
        <w:pStyle w:val="Heading1"/>
      </w:pPr>
      <w:r>
        <w:lastRenderedPageBreak/>
        <w:t>4. Injury assessment and monitoring</w:t>
      </w:r>
    </w:p>
    <w:p w14:paraId="5EE35259" w14:textId="77777777" w:rsidR="00394F4F" w:rsidRPr="00394F4F" w:rsidRDefault="00394F4F" w:rsidP="00394F4F">
      <w:pPr>
        <w:pStyle w:val="Heading1"/>
        <w:spacing w:line="360" w:lineRule="auto"/>
        <w:rPr>
          <w:b w:val="0"/>
          <w:bCs w:val="0"/>
          <w:szCs w:val="22"/>
        </w:rPr>
      </w:pPr>
      <w:r>
        <w:rPr>
          <w:b w:val="0"/>
          <w:bCs w:val="0"/>
          <w:szCs w:val="22"/>
        </w:rPr>
        <w:t>Mulberry injury i</w:t>
      </w:r>
      <w:r>
        <w:rPr>
          <w:b w:val="0"/>
          <w:bCs w:val="0"/>
          <w:szCs w:val="22"/>
          <w:highlight w:val="yellow"/>
        </w:rPr>
        <w:t>nvolve</w:t>
      </w:r>
      <w:r>
        <w:rPr>
          <w:b w:val="0"/>
          <w:bCs w:val="0"/>
          <w:szCs w:val="22"/>
        </w:rPr>
        <w:t xml:space="preserve">s </w:t>
      </w:r>
      <w:r>
        <w:rPr>
          <w:b w:val="0"/>
          <w:bCs w:val="0"/>
          <w:szCs w:val="22"/>
          <w:highlight w:val="yellow"/>
        </w:rPr>
        <w:t>m</w:t>
      </w:r>
      <w:r>
        <w:rPr>
          <w:b w:val="0"/>
          <w:bCs w:val="0"/>
          <w:szCs w:val="22"/>
        </w:rPr>
        <w:t>o</w:t>
      </w:r>
      <w:r>
        <w:rPr>
          <w:b w:val="0"/>
          <w:bCs w:val="0"/>
          <w:szCs w:val="22"/>
          <w:highlight w:val="yellow"/>
        </w:rPr>
        <w:t>re</w:t>
      </w:r>
      <w:r>
        <w:rPr>
          <w:b w:val="0"/>
          <w:bCs w:val="0"/>
          <w:szCs w:val="22"/>
        </w:rPr>
        <w:t xml:space="preserve"> th</w:t>
      </w:r>
      <w:r>
        <w:rPr>
          <w:b w:val="0"/>
          <w:bCs w:val="0"/>
          <w:szCs w:val="22"/>
          <w:highlight w:val="yellow"/>
        </w:rPr>
        <w:t>an p</w:t>
      </w:r>
      <w:r>
        <w:rPr>
          <w:b w:val="0"/>
          <w:bCs w:val="0"/>
          <w:szCs w:val="22"/>
        </w:rPr>
        <w:t>e</w:t>
      </w:r>
      <w:r>
        <w:rPr>
          <w:b w:val="0"/>
          <w:bCs w:val="0"/>
          <w:szCs w:val="22"/>
          <w:highlight w:val="yellow"/>
        </w:rPr>
        <w:t>st</w:t>
      </w:r>
      <w:r>
        <w:rPr>
          <w:b w:val="0"/>
          <w:bCs w:val="0"/>
          <w:szCs w:val="22"/>
        </w:rPr>
        <w:t xml:space="preserve"> presence</w:t>
      </w:r>
      <w:r>
        <w:rPr>
          <w:b w:val="0"/>
          <w:bCs w:val="0"/>
          <w:szCs w:val="22"/>
          <w:highlight w:val="yellow"/>
        </w:rPr>
        <w:t>;</w:t>
      </w:r>
      <w:r>
        <w:rPr>
          <w:b w:val="0"/>
          <w:bCs w:val="0"/>
          <w:szCs w:val="22"/>
        </w:rPr>
        <w:t xml:space="preserve"> </w:t>
      </w:r>
      <w:r>
        <w:rPr>
          <w:b w:val="0"/>
          <w:bCs w:val="0"/>
          <w:szCs w:val="22"/>
          <w:highlight w:val="yellow"/>
        </w:rPr>
        <w:t>i</w:t>
      </w:r>
      <w:r>
        <w:rPr>
          <w:b w:val="0"/>
          <w:bCs w:val="0"/>
          <w:szCs w:val="22"/>
        </w:rPr>
        <w:t>t a</w:t>
      </w:r>
      <w:r>
        <w:rPr>
          <w:b w:val="0"/>
          <w:bCs w:val="0"/>
          <w:szCs w:val="22"/>
          <w:highlight w:val="yellow"/>
        </w:rPr>
        <w:t>lso</w:t>
      </w:r>
      <w:r>
        <w:rPr>
          <w:b w:val="0"/>
          <w:bCs w:val="0"/>
          <w:szCs w:val="22"/>
        </w:rPr>
        <w:t xml:space="preserve"> </w:t>
      </w:r>
      <w:r>
        <w:rPr>
          <w:b w:val="0"/>
          <w:bCs w:val="0"/>
          <w:szCs w:val="22"/>
          <w:highlight w:val="yellow"/>
        </w:rPr>
        <w:t>affe</w:t>
      </w:r>
      <w:r>
        <w:rPr>
          <w:b w:val="0"/>
          <w:bCs w:val="0"/>
          <w:szCs w:val="22"/>
        </w:rPr>
        <w:t>c</w:t>
      </w:r>
      <w:r>
        <w:rPr>
          <w:b w:val="0"/>
          <w:bCs w:val="0"/>
          <w:szCs w:val="22"/>
          <w:highlight w:val="yellow"/>
        </w:rPr>
        <w:t>ts</w:t>
      </w:r>
      <w:r>
        <w:rPr>
          <w:b w:val="0"/>
          <w:bCs w:val="0"/>
          <w:szCs w:val="22"/>
        </w:rPr>
        <w:t xml:space="preserve"> the supply of usable lea</w:t>
      </w:r>
      <w:r>
        <w:rPr>
          <w:b w:val="0"/>
          <w:bCs w:val="0"/>
          <w:szCs w:val="22"/>
          <w:highlight w:val="yellow"/>
        </w:rPr>
        <w:t>ves</w:t>
      </w:r>
      <w:r>
        <w:rPr>
          <w:b w:val="0"/>
          <w:bCs w:val="0"/>
          <w:szCs w:val="22"/>
        </w:rPr>
        <w:t xml:space="preserve">. </w:t>
      </w:r>
      <w:r>
        <w:rPr>
          <w:b w:val="0"/>
          <w:bCs w:val="0"/>
          <w:szCs w:val="22"/>
          <w:highlight w:val="yellow"/>
        </w:rPr>
        <w:t>S</w:t>
      </w:r>
      <w:r>
        <w:rPr>
          <w:b w:val="0"/>
          <w:bCs w:val="0"/>
          <w:szCs w:val="22"/>
        </w:rPr>
        <w:t>couting records must di</w:t>
      </w:r>
      <w:r>
        <w:rPr>
          <w:b w:val="0"/>
          <w:bCs w:val="0"/>
          <w:szCs w:val="22"/>
          <w:highlight w:val="yellow"/>
        </w:rPr>
        <w:t>s</w:t>
      </w:r>
      <w:r>
        <w:rPr>
          <w:b w:val="0"/>
          <w:bCs w:val="0"/>
          <w:szCs w:val="22"/>
        </w:rPr>
        <w:t>ti</w:t>
      </w:r>
      <w:r>
        <w:rPr>
          <w:b w:val="0"/>
          <w:bCs w:val="0"/>
          <w:szCs w:val="22"/>
          <w:highlight w:val="yellow"/>
        </w:rPr>
        <w:t>nguish</w:t>
      </w:r>
      <w:r>
        <w:rPr>
          <w:b w:val="0"/>
          <w:bCs w:val="0"/>
          <w:szCs w:val="22"/>
        </w:rPr>
        <w:t xml:space="preserve"> live insects from wax residues, honeydew, dead colonies and old damage. Leaf position and age should be standardi</w:t>
      </w:r>
      <w:r>
        <w:rPr>
          <w:b w:val="0"/>
          <w:bCs w:val="0"/>
          <w:szCs w:val="22"/>
          <w:highlight w:val="yellow"/>
        </w:rPr>
        <w:t>s</w:t>
      </w:r>
      <w:r>
        <w:rPr>
          <w:b w:val="0"/>
          <w:bCs w:val="0"/>
          <w:szCs w:val="22"/>
        </w:rPr>
        <w:t xml:space="preserve">ed </w:t>
      </w:r>
      <w:r>
        <w:rPr>
          <w:b w:val="0"/>
          <w:bCs w:val="0"/>
          <w:szCs w:val="22"/>
          <w:highlight w:val="yellow"/>
        </w:rPr>
        <w:t>becau</w:t>
      </w:r>
      <w:r>
        <w:rPr>
          <w:b w:val="0"/>
          <w:bCs w:val="0"/>
          <w:szCs w:val="22"/>
        </w:rPr>
        <w:t xml:space="preserve">se a count from tender terminal foliage cannot be directly compared to a count from mature leaves. The monitoring approach presented below is a </w:t>
      </w:r>
      <w:r>
        <w:rPr>
          <w:b w:val="0"/>
          <w:bCs w:val="0"/>
          <w:szCs w:val="22"/>
          <w:highlight w:val="yellow"/>
        </w:rPr>
        <w:t>pr</w:t>
      </w:r>
      <w:r>
        <w:rPr>
          <w:b w:val="0"/>
          <w:bCs w:val="0"/>
          <w:szCs w:val="22"/>
        </w:rPr>
        <w:t>o</w:t>
      </w:r>
      <w:r>
        <w:rPr>
          <w:b w:val="0"/>
          <w:bCs w:val="0"/>
          <w:szCs w:val="22"/>
          <w:highlight w:val="yellow"/>
        </w:rPr>
        <w:t>pos</w:t>
      </w:r>
      <w:r>
        <w:rPr>
          <w:b w:val="0"/>
          <w:bCs w:val="0"/>
          <w:szCs w:val="22"/>
        </w:rPr>
        <w:t>e</w:t>
      </w:r>
      <w:r>
        <w:rPr>
          <w:b w:val="0"/>
          <w:bCs w:val="0"/>
          <w:szCs w:val="22"/>
          <w:highlight w:val="yellow"/>
        </w:rPr>
        <w:t>d</w:t>
      </w:r>
      <w:r>
        <w:rPr>
          <w:b w:val="0"/>
          <w:bCs w:val="0"/>
          <w:szCs w:val="22"/>
        </w:rPr>
        <w:t xml:space="preserve"> framework that requires local validation and is not a published global sampling standard.</w:t>
      </w:r>
    </w:p>
    <w:p w14:paraId="51DB0DA7" w14:textId="77777777" w:rsidR="00394F4F" w:rsidRPr="00394F4F" w:rsidRDefault="00394F4F" w:rsidP="00394F4F">
      <w:pPr>
        <w:pStyle w:val="Heading1"/>
        <w:spacing w:line="360" w:lineRule="auto"/>
        <w:rPr>
          <w:b w:val="0"/>
          <w:bCs w:val="0"/>
          <w:szCs w:val="22"/>
        </w:rPr>
      </w:pPr>
      <w:r>
        <w:rPr>
          <w:b w:val="0"/>
          <w:bCs w:val="0"/>
          <w:szCs w:val="22"/>
          <w:highlight w:val="yellow"/>
        </w:rPr>
        <w:t>A routin</w:t>
      </w:r>
      <w:r>
        <w:rPr>
          <w:b w:val="0"/>
          <w:bCs w:val="0"/>
          <w:szCs w:val="22"/>
        </w:rPr>
        <w:t xml:space="preserve">e </w:t>
      </w:r>
      <w:r>
        <w:rPr>
          <w:b w:val="0"/>
          <w:bCs w:val="0"/>
          <w:szCs w:val="22"/>
          <w:highlight w:val="yellow"/>
        </w:rPr>
        <w:t>sc</w:t>
      </w:r>
      <w:r>
        <w:rPr>
          <w:b w:val="0"/>
          <w:bCs w:val="0"/>
          <w:szCs w:val="22"/>
        </w:rPr>
        <w:t>o</w:t>
      </w:r>
      <w:r>
        <w:rPr>
          <w:b w:val="0"/>
          <w:bCs w:val="0"/>
          <w:szCs w:val="22"/>
          <w:highlight w:val="yellow"/>
        </w:rPr>
        <w:t>ut</w:t>
      </w:r>
      <w:r>
        <w:rPr>
          <w:b w:val="0"/>
          <w:bCs w:val="0"/>
          <w:szCs w:val="22"/>
        </w:rPr>
        <w:t xml:space="preserve">ing route should include the edges of fields and the interior. At each visit, observers </w:t>
      </w:r>
      <w:r>
        <w:rPr>
          <w:b w:val="0"/>
          <w:bCs w:val="0"/>
          <w:szCs w:val="22"/>
          <w:highlight w:val="yellow"/>
        </w:rPr>
        <w:t>m</w:t>
      </w:r>
      <w:r>
        <w:rPr>
          <w:b w:val="0"/>
          <w:bCs w:val="0"/>
          <w:szCs w:val="22"/>
        </w:rPr>
        <w:t>a</w:t>
      </w:r>
      <w:r>
        <w:rPr>
          <w:b w:val="0"/>
          <w:bCs w:val="0"/>
          <w:szCs w:val="22"/>
          <w:highlight w:val="yellow"/>
        </w:rPr>
        <w:t>y</w:t>
      </w:r>
      <w:r>
        <w:rPr>
          <w:b w:val="0"/>
          <w:bCs w:val="0"/>
          <w:szCs w:val="22"/>
        </w:rPr>
        <w:t xml:space="preserve"> inspect a fixed number of plants, recording insects per sampled leaf, proportion of infested shoots, fresh injury, natural enemies and days after pruning. Suspected new species should be collected separately and label</w:t>
      </w:r>
      <w:r>
        <w:rPr>
          <w:b w:val="0"/>
          <w:bCs w:val="0"/>
          <w:szCs w:val="22"/>
          <w:highlight w:val="yellow"/>
        </w:rPr>
        <w:t>l</w:t>
      </w:r>
      <w:r>
        <w:rPr>
          <w:b w:val="0"/>
          <w:bCs w:val="0"/>
          <w:szCs w:val="22"/>
        </w:rPr>
        <w:t xml:space="preserve">ed </w:t>
      </w:r>
      <w:r>
        <w:rPr>
          <w:b w:val="0"/>
          <w:bCs w:val="0"/>
          <w:szCs w:val="22"/>
          <w:highlight w:val="yellow"/>
        </w:rPr>
        <w:t>by</w:t>
      </w:r>
      <w:r>
        <w:rPr>
          <w:b w:val="0"/>
          <w:bCs w:val="0"/>
          <w:szCs w:val="22"/>
        </w:rPr>
        <w:t xml:space="preserve"> site, date, host variety and plant part. Sticky-card catches should be regarded as an index of relative flight activity and should not be used as a substitute for estimates of leaf infestation.</w:t>
      </w:r>
    </w:p>
    <w:p w14:paraId="5BA79A08" w14:textId="77777777" w:rsidR="00394F4F" w:rsidRDefault="00394F4F" w:rsidP="00394F4F">
      <w:pPr>
        <w:pStyle w:val="Heading1"/>
        <w:spacing w:line="360" w:lineRule="auto"/>
        <w:rPr>
          <w:b w:val="0"/>
          <w:bCs w:val="0"/>
          <w:szCs w:val="22"/>
        </w:rPr>
      </w:pPr>
      <w:r>
        <w:rPr>
          <w:b w:val="0"/>
          <w:bCs w:val="0"/>
          <w:szCs w:val="22"/>
        </w:rPr>
        <w:t>There is no universal weather rule that can be applied to this complex. Rainfall, irrigation, leaf flush and temperature can affect pest</w:t>
      </w:r>
      <w:r>
        <w:rPr>
          <w:b w:val="0"/>
          <w:bCs w:val="0"/>
          <w:szCs w:val="22"/>
          <w:highlight w:val="yellow"/>
        </w:rPr>
        <w:t>s</w:t>
      </w:r>
      <w:r>
        <w:rPr>
          <w:b w:val="0"/>
          <w:bCs w:val="0"/>
          <w:szCs w:val="22"/>
        </w:rPr>
        <w:t xml:space="preserve"> and natural enemies</w:t>
      </w:r>
      <w:r>
        <w:rPr>
          <w:b w:val="0"/>
          <w:bCs w:val="0"/>
          <w:szCs w:val="22"/>
          <w:highlight w:val="yellow"/>
        </w:rPr>
        <w:t xml:space="preserve"> differently</w:t>
      </w:r>
      <w:r>
        <w:rPr>
          <w:b w:val="0"/>
          <w:bCs w:val="0"/>
          <w:szCs w:val="22"/>
        </w:rPr>
        <w:t xml:space="preserve">. </w:t>
      </w:r>
      <w:r>
        <w:rPr>
          <w:b w:val="0"/>
          <w:bCs w:val="0"/>
          <w:szCs w:val="22"/>
          <w:highlight w:val="yellow"/>
        </w:rPr>
        <w:t>S</w:t>
      </w:r>
      <w:r>
        <w:rPr>
          <w:b w:val="0"/>
          <w:bCs w:val="0"/>
          <w:szCs w:val="22"/>
        </w:rPr>
        <w:t>ite records</w:t>
      </w:r>
      <w:r>
        <w:rPr>
          <w:b w:val="0"/>
          <w:bCs w:val="0"/>
          <w:szCs w:val="22"/>
          <w:highlight w:val="yellow"/>
        </w:rPr>
        <w:t xml:space="preserve"> should therefore</w:t>
      </w:r>
      <w:r>
        <w:rPr>
          <w:b w:val="0"/>
          <w:bCs w:val="0"/>
          <w:szCs w:val="22"/>
        </w:rPr>
        <w:t xml:space="preserve"> link repeated pest observations to measured weather and crop stage. Severe distortion can also be caused by mites or non</w:t>
      </w:r>
      <w:r>
        <w:rPr>
          <w:b w:val="0"/>
          <w:bCs w:val="0"/>
          <w:szCs w:val="22"/>
          <w:highlight w:val="yellow"/>
        </w:rPr>
        <w:t>-</w:t>
      </w:r>
      <w:r>
        <w:rPr>
          <w:b w:val="0"/>
          <w:bCs w:val="0"/>
          <w:szCs w:val="22"/>
        </w:rPr>
        <w:t>insect stresses, so diagnostic examination should precede treatment. Mites are beyond the taxonomic scope of this insect review but are an important differential diagnosis in mulberry fields.</w:t>
      </w:r>
    </w:p>
    <w:p w14:paraId="47CD00FE" w14:textId="77777777" w:rsidR="00F90A15" w:rsidRDefault="00000000" w:rsidP="00394F4F">
      <w:pPr>
        <w:pStyle w:val="Heading1"/>
      </w:pPr>
      <w:r>
        <w:t>5. Integrated management in sericulture</w:t>
      </w:r>
    </w:p>
    <w:p w14:paraId="1EABF32E" w14:textId="77777777" w:rsidR="00F90A15" w:rsidRDefault="00000000">
      <w:pPr>
        <w:pStyle w:val="Heading2"/>
      </w:pPr>
      <w:r>
        <w:t>5.1 Prevention and cultural management</w:t>
      </w:r>
    </w:p>
    <w:p w14:paraId="459CFC8F" w14:textId="77777777" w:rsidR="00B709EF" w:rsidRPr="00B709EF" w:rsidRDefault="00B709EF" w:rsidP="00B709EF">
      <w:pPr>
        <w:pStyle w:val="Heading2"/>
        <w:spacing w:line="360" w:lineRule="auto"/>
        <w:rPr>
          <w:b w:val="0"/>
          <w:bCs w:val="0"/>
          <w:szCs w:val="22"/>
        </w:rPr>
      </w:pPr>
      <w:r>
        <w:rPr>
          <w:b w:val="0"/>
          <w:bCs w:val="0"/>
          <w:szCs w:val="22"/>
        </w:rPr>
        <w:t xml:space="preserve">Integrated pest management employs compatible strategies selected from field observations and does not </w:t>
      </w:r>
      <w:r>
        <w:rPr>
          <w:b w:val="0"/>
          <w:bCs w:val="0"/>
          <w:szCs w:val="22"/>
          <w:highlight w:val="yellow"/>
        </w:rPr>
        <w:t>r</w:t>
      </w:r>
      <w:r>
        <w:rPr>
          <w:b w:val="0"/>
          <w:bCs w:val="0"/>
          <w:szCs w:val="22"/>
        </w:rPr>
        <w:t>el</w:t>
      </w:r>
      <w:r>
        <w:rPr>
          <w:b w:val="0"/>
          <w:bCs w:val="0"/>
          <w:szCs w:val="22"/>
          <w:highlight w:val="yellow"/>
        </w:rPr>
        <w:t xml:space="preserve">y </w:t>
      </w:r>
      <w:r>
        <w:rPr>
          <w:b w:val="0"/>
          <w:bCs w:val="0"/>
          <w:szCs w:val="22"/>
        </w:rPr>
        <w:t>o</w:t>
      </w:r>
      <w:r>
        <w:rPr>
          <w:b w:val="0"/>
          <w:bCs w:val="0"/>
          <w:szCs w:val="22"/>
          <w:highlight w:val="yellow"/>
        </w:rPr>
        <w:t>n</w:t>
      </w:r>
      <w:r>
        <w:rPr>
          <w:b w:val="0"/>
          <w:bCs w:val="0"/>
          <w:szCs w:val="22"/>
        </w:rPr>
        <w:t xml:space="preserve"> calendar</w:t>
      </w:r>
      <w:r>
        <w:rPr>
          <w:b w:val="0"/>
          <w:bCs w:val="0"/>
          <w:szCs w:val="22"/>
          <w:highlight w:val="yellow"/>
        </w:rPr>
        <w:t>-based</w:t>
      </w:r>
      <w:r>
        <w:rPr>
          <w:b w:val="0"/>
          <w:bCs w:val="0"/>
          <w:szCs w:val="22"/>
        </w:rPr>
        <w:t xml:space="preserve"> spraying. Its ecological basis </w:t>
      </w:r>
      <w:r>
        <w:rPr>
          <w:b w:val="0"/>
          <w:bCs w:val="0"/>
          <w:szCs w:val="22"/>
          <w:highlight w:val="yellow"/>
        </w:rPr>
        <w:t>empha</w:t>
      </w:r>
      <w:r>
        <w:rPr>
          <w:b w:val="0"/>
          <w:bCs w:val="0"/>
          <w:szCs w:val="22"/>
        </w:rPr>
        <w:t>s</w:t>
      </w:r>
      <w:r>
        <w:rPr>
          <w:b w:val="0"/>
          <w:bCs w:val="0"/>
          <w:szCs w:val="22"/>
          <w:highlight w:val="yellow"/>
        </w:rPr>
        <w:t>i</w:t>
      </w:r>
      <w:r>
        <w:rPr>
          <w:b w:val="0"/>
          <w:bCs w:val="0"/>
          <w:szCs w:val="22"/>
        </w:rPr>
        <w:t xml:space="preserve">ses the crop, pests, natural enemies and production objectives as an interacting system (Kogan, 1998). Clean planting material and </w:t>
      </w:r>
      <w:r>
        <w:rPr>
          <w:b w:val="0"/>
          <w:bCs w:val="0"/>
          <w:szCs w:val="22"/>
          <w:highlight w:val="yellow"/>
        </w:rPr>
        <w:t xml:space="preserve">the </w:t>
      </w:r>
      <w:r>
        <w:rPr>
          <w:b w:val="0"/>
          <w:bCs w:val="0"/>
          <w:szCs w:val="22"/>
        </w:rPr>
        <w:t>separation of infested nursery plants can minimi</w:t>
      </w:r>
      <w:r>
        <w:rPr>
          <w:b w:val="0"/>
          <w:bCs w:val="0"/>
          <w:szCs w:val="22"/>
          <w:highlight w:val="yellow"/>
        </w:rPr>
        <w:t>s</w:t>
      </w:r>
      <w:r>
        <w:rPr>
          <w:b w:val="0"/>
          <w:bCs w:val="0"/>
          <w:szCs w:val="22"/>
        </w:rPr>
        <w:t>e the introduction of pests in sericulture. Pruning residues with active colonies should be contained and removed rather than moved through uninfested rows.</w:t>
      </w:r>
    </w:p>
    <w:p w14:paraId="3291D36A" w14:textId="77777777" w:rsidR="00B709EF" w:rsidRPr="00B709EF" w:rsidRDefault="00B709EF" w:rsidP="00B709EF">
      <w:pPr>
        <w:pStyle w:val="Heading2"/>
        <w:spacing w:line="360" w:lineRule="auto"/>
        <w:rPr>
          <w:b w:val="0"/>
          <w:bCs w:val="0"/>
          <w:szCs w:val="22"/>
        </w:rPr>
      </w:pPr>
      <w:r>
        <w:rPr>
          <w:b w:val="0"/>
          <w:bCs w:val="0"/>
          <w:szCs w:val="22"/>
        </w:rPr>
        <w:lastRenderedPageBreak/>
        <w:t xml:space="preserve">Crop nutrition and irrigation should be aligned with agronomic needs. </w:t>
      </w:r>
      <w:r>
        <w:rPr>
          <w:b w:val="0"/>
          <w:bCs w:val="0"/>
          <w:szCs w:val="22"/>
          <w:highlight w:val="yellow"/>
        </w:rPr>
        <w:t>E</w:t>
      </w:r>
      <w:r>
        <w:rPr>
          <w:b w:val="0"/>
          <w:bCs w:val="0"/>
          <w:szCs w:val="22"/>
        </w:rPr>
        <w:t>xcessive tender growth induced by nitrogen may favo</w:t>
      </w:r>
      <w:r>
        <w:rPr>
          <w:b w:val="0"/>
          <w:bCs w:val="0"/>
          <w:szCs w:val="22"/>
          <w:highlight w:val="yellow"/>
        </w:rPr>
        <w:t>u</w:t>
      </w:r>
      <w:r>
        <w:rPr>
          <w:b w:val="0"/>
          <w:bCs w:val="0"/>
          <w:szCs w:val="22"/>
        </w:rPr>
        <w:t>r some sap feeders, but withholding fertili</w:t>
      </w:r>
      <w:r>
        <w:rPr>
          <w:b w:val="0"/>
          <w:bCs w:val="0"/>
          <w:szCs w:val="22"/>
          <w:highlight w:val="yellow"/>
        </w:rPr>
        <w:t>s</w:t>
      </w:r>
      <w:r>
        <w:rPr>
          <w:b w:val="0"/>
          <w:bCs w:val="0"/>
          <w:szCs w:val="22"/>
        </w:rPr>
        <w:t>er indiscriminately can reduce leaf production. Locali</w:t>
      </w:r>
      <w:r>
        <w:rPr>
          <w:b w:val="0"/>
          <w:bCs w:val="0"/>
          <w:szCs w:val="22"/>
          <w:highlight w:val="yellow"/>
        </w:rPr>
        <w:t>s</w:t>
      </w:r>
      <w:r>
        <w:rPr>
          <w:b w:val="0"/>
          <w:bCs w:val="0"/>
          <w:szCs w:val="22"/>
        </w:rPr>
        <w:t xml:space="preserve">ed populations may be reduced by selective removal of heavily infested shoots; however, uprooting of established mulberry plants is generally disproportionate for manageable foliar infestations. Before </w:t>
      </w:r>
      <w:r>
        <w:rPr>
          <w:b w:val="0"/>
          <w:bCs w:val="0"/>
          <w:szCs w:val="22"/>
          <w:highlight w:val="yellow"/>
        </w:rPr>
        <w:t>widespre</w:t>
      </w:r>
      <w:r>
        <w:rPr>
          <w:b w:val="0"/>
          <w:bCs w:val="0"/>
          <w:szCs w:val="22"/>
        </w:rPr>
        <w:t>a</w:t>
      </w:r>
      <w:r>
        <w:rPr>
          <w:b w:val="0"/>
          <w:bCs w:val="0"/>
          <w:szCs w:val="22"/>
          <w:highlight w:val="yellow"/>
        </w:rPr>
        <w:t>d</w:t>
      </w:r>
      <w:r>
        <w:rPr>
          <w:b w:val="0"/>
          <w:bCs w:val="0"/>
          <w:szCs w:val="22"/>
        </w:rPr>
        <w:t xml:space="preserve"> clear</w:t>
      </w:r>
      <w:r>
        <w:rPr>
          <w:b w:val="0"/>
          <w:bCs w:val="0"/>
          <w:szCs w:val="22"/>
          <w:highlight w:val="yellow"/>
        </w:rPr>
        <w:t>a</w:t>
      </w:r>
      <w:r>
        <w:rPr>
          <w:b w:val="0"/>
          <w:bCs w:val="0"/>
          <w:szCs w:val="22"/>
        </w:rPr>
        <w:t>n</w:t>
      </w:r>
      <w:r>
        <w:rPr>
          <w:b w:val="0"/>
          <w:bCs w:val="0"/>
          <w:szCs w:val="22"/>
          <w:highlight w:val="yellow"/>
        </w:rPr>
        <w:t>ce</w:t>
      </w:r>
      <w:r>
        <w:rPr>
          <w:b w:val="0"/>
          <w:bCs w:val="0"/>
          <w:szCs w:val="22"/>
        </w:rPr>
        <w:t>, surrounding vegetation should be examined for pest reservoirs and beneficial insects.</w:t>
      </w:r>
    </w:p>
    <w:p w14:paraId="1F685EB4" w14:textId="77777777" w:rsidR="00B709EF" w:rsidRDefault="00B709EF" w:rsidP="00B709EF">
      <w:pPr>
        <w:pStyle w:val="Heading2"/>
        <w:spacing w:line="360" w:lineRule="auto"/>
        <w:rPr>
          <w:b w:val="0"/>
          <w:bCs w:val="0"/>
          <w:szCs w:val="22"/>
        </w:rPr>
      </w:pPr>
      <w:r>
        <w:rPr>
          <w:b w:val="0"/>
          <w:bCs w:val="0"/>
          <w:szCs w:val="22"/>
        </w:rPr>
        <w:t>Vegetation management can help natural enemies by providing shelter, nectar, pollen and alternat</w:t>
      </w:r>
      <w:r>
        <w:rPr>
          <w:b w:val="0"/>
          <w:bCs w:val="0"/>
          <w:szCs w:val="22"/>
          <w:highlight w:val="yellow"/>
        </w:rPr>
        <w:t>iv</w:t>
      </w:r>
      <w:r>
        <w:rPr>
          <w:b w:val="0"/>
          <w:bCs w:val="0"/>
          <w:szCs w:val="22"/>
        </w:rPr>
        <w:t>e prey or hosts; Gurr et al. (2017) point out that these resources have to be chosen and evaluated within the farming system. For mulberry, the effect</w:t>
      </w:r>
      <w:r>
        <w:rPr>
          <w:b w:val="0"/>
          <w:bCs w:val="0"/>
          <w:szCs w:val="22"/>
          <w:highlight w:val="yellow"/>
        </w:rPr>
        <w:t>s</w:t>
      </w:r>
      <w:r>
        <w:rPr>
          <w:b w:val="0"/>
          <w:bCs w:val="0"/>
          <w:szCs w:val="22"/>
        </w:rPr>
        <w:t xml:space="preserve"> of flowering borders or retained vegetation on pests and beneficial</w:t>
      </w:r>
      <w:r>
        <w:rPr>
          <w:b w:val="0"/>
          <w:bCs w:val="0"/>
          <w:szCs w:val="22"/>
          <w:highlight w:val="yellow"/>
        </w:rPr>
        <w:t xml:space="preserve"> in</w:t>
      </w:r>
      <w:r>
        <w:rPr>
          <w:b w:val="0"/>
          <w:bCs w:val="0"/>
          <w:szCs w:val="22"/>
        </w:rPr>
        <w:t>s</w:t>
      </w:r>
      <w:r>
        <w:rPr>
          <w:b w:val="0"/>
          <w:bCs w:val="0"/>
          <w:szCs w:val="22"/>
          <w:highlight w:val="yellow"/>
        </w:rPr>
        <w:t>ects require testing</w:t>
      </w:r>
      <w:r>
        <w:rPr>
          <w:b w:val="0"/>
          <w:bCs w:val="0"/>
          <w:szCs w:val="22"/>
        </w:rPr>
        <w:t xml:space="preserve">. Habitat diversification is a management hypothesis requiring local testing and not a </w:t>
      </w:r>
      <w:r>
        <w:rPr>
          <w:b w:val="0"/>
          <w:bCs w:val="0"/>
          <w:szCs w:val="22"/>
          <w:highlight w:val="yellow"/>
        </w:rPr>
        <w:t>u</w:t>
      </w:r>
      <w:r>
        <w:rPr>
          <w:b w:val="0"/>
          <w:bCs w:val="0"/>
          <w:szCs w:val="22"/>
        </w:rPr>
        <w:t>n</w:t>
      </w:r>
      <w:r>
        <w:rPr>
          <w:b w:val="0"/>
          <w:bCs w:val="0"/>
          <w:szCs w:val="22"/>
          <w:highlight w:val="yellow"/>
        </w:rPr>
        <w:t>iv</w:t>
      </w:r>
      <w:r>
        <w:rPr>
          <w:b w:val="0"/>
          <w:bCs w:val="0"/>
          <w:szCs w:val="22"/>
        </w:rPr>
        <w:t>e</w:t>
      </w:r>
      <w:r>
        <w:rPr>
          <w:b w:val="0"/>
          <w:bCs w:val="0"/>
          <w:szCs w:val="22"/>
          <w:highlight w:val="yellow"/>
        </w:rPr>
        <w:t>r</w:t>
      </w:r>
      <w:r>
        <w:rPr>
          <w:b w:val="0"/>
          <w:bCs w:val="0"/>
          <w:szCs w:val="22"/>
        </w:rPr>
        <w:t>sall</w:t>
      </w:r>
      <w:r>
        <w:rPr>
          <w:b w:val="0"/>
          <w:bCs w:val="0"/>
          <w:szCs w:val="22"/>
          <w:highlight w:val="yellow"/>
        </w:rPr>
        <w:t>y applicable</w:t>
      </w:r>
      <w:r>
        <w:rPr>
          <w:b w:val="0"/>
          <w:bCs w:val="0"/>
          <w:szCs w:val="22"/>
        </w:rPr>
        <w:t xml:space="preserve"> prescription.</w:t>
      </w:r>
    </w:p>
    <w:p w14:paraId="0205E707" w14:textId="77777777" w:rsidR="00F90A15" w:rsidRDefault="00000000" w:rsidP="00B709EF">
      <w:pPr>
        <w:pStyle w:val="Heading2"/>
      </w:pPr>
      <w:r>
        <w:t>5.2 Mechanical methods and conservation of natural enemies</w:t>
      </w:r>
    </w:p>
    <w:p w14:paraId="377C9D88" w14:textId="77777777" w:rsidR="00B00E59" w:rsidRPr="00B00E59" w:rsidRDefault="00B00E59" w:rsidP="00B00E59">
      <w:pPr>
        <w:pStyle w:val="Heading2"/>
        <w:spacing w:line="360" w:lineRule="auto"/>
        <w:rPr>
          <w:b w:val="0"/>
          <w:bCs w:val="0"/>
          <w:szCs w:val="22"/>
        </w:rPr>
      </w:pPr>
      <w:r>
        <w:rPr>
          <w:b w:val="0"/>
          <w:bCs w:val="0"/>
          <w:szCs w:val="22"/>
        </w:rPr>
        <w:t>Where water quality and crop conditions permit, selective sanitation and careful</w:t>
      </w:r>
      <w:r>
        <w:rPr>
          <w:b w:val="0"/>
          <w:bCs w:val="0"/>
          <w:szCs w:val="22"/>
          <w:highlight w:val="yellow"/>
        </w:rPr>
        <w:t>ly</w:t>
      </w:r>
      <w:r>
        <w:rPr>
          <w:b w:val="0"/>
          <w:bCs w:val="0"/>
          <w:szCs w:val="22"/>
        </w:rPr>
        <w:t xml:space="preserve"> directed water sprays may reduce early localized infestations. Sticky traps are primarily monitoring aids. Trapping alone cannot be assumed to suppress an established leaf-underside population. Physical exclusion and inspection are particularly important for nursery plants. Subsequent counts </w:t>
      </w:r>
      <w:r>
        <w:rPr>
          <w:b w:val="0"/>
          <w:bCs w:val="0"/>
          <w:szCs w:val="22"/>
          <w:highlight w:val="yellow"/>
        </w:rPr>
        <w:t>shou</w:t>
      </w:r>
      <w:r>
        <w:rPr>
          <w:b w:val="0"/>
          <w:bCs w:val="0"/>
          <w:szCs w:val="22"/>
        </w:rPr>
        <w:t>l</w:t>
      </w:r>
      <w:r>
        <w:rPr>
          <w:b w:val="0"/>
          <w:bCs w:val="0"/>
          <w:szCs w:val="22"/>
          <w:highlight w:val="yellow"/>
        </w:rPr>
        <w:t>d</w:t>
      </w:r>
      <w:r>
        <w:rPr>
          <w:b w:val="0"/>
          <w:bCs w:val="0"/>
          <w:szCs w:val="22"/>
        </w:rPr>
        <w:t xml:space="preserve"> evaluate the effect</w:t>
      </w:r>
      <w:r>
        <w:rPr>
          <w:b w:val="0"/>
          <w:bCs w:val="0"/>
          <w:szCs w:val="22"/>
          <w:highlight w:val="yellow"/>
        </w:rPr>
        <w:t>s</w:t>
      </w:r>
      <w:r>
        <w:rPr>
          <w:b w:val="0"/>
          <w:bCs w:val="0"/>
          <w:szCs w:val="22"/>
        </w:rPr>
        <w:t xml:space="preserve"> of these measures rather than</w:t>
      </w:r>
      <w:r>
        <w:rPr>
          <w:b w:val="0"/>
          <w:bCs w:val="0"/>
          <w:szCs w:val="22"/>
          <w:highlight w:val="yellow"/>
        </w:rPr>
        <w:t xml:space="preserve"> only</w:t>
      </w:r>
      <w:r>
        <w:rPr>
          <w:b w:val="0"/>
          <w:bCs w:val="0"/>
          <w:szCs w:val="22"/>
        </w:rPr>
        <w:t xml:space="preserve"> the immediate removal of visible insects.</w:t>
      </w:r>
    </w:p>
    <w:p w14:paraId="42B447C5" w14:textId="77777777" w:rsidR="00B00E59" w:rsidRPr="00B00E59" w:rsidRDefault="00B00E59" w:rsidP="00B00E59">
      <w:pPr>
        <w:pStyle w:val="Heading2"/>
        <w:spacing w:line="360" w:lineRule="auto"/>
        <w:rPr>
          <w:b w:val="0"/>
          <w:bCs w:val="0"/>
          <w:szCs w:val="22"/>
        </w:rPr>
      </w:pPr>
      <w:r>
        <w:rPr>
          <w:b w:val="0"/>
          <w:bCs w:val="0"/>
          <w:szCs w:val="22"/>
        </w:rPr>
        <w:t>Scouting should include record</w:t>
      </w:r>
      <w:r>
        <w:rPr>
          <w:b w:val="0"/>
          <w:bCs w:val="0"/>
          <w:szCs w:val="22"/>
          <w:highlight w:val="yellow"/>
        </w:rPr>
        <w:t>s</w:t>
      </w:r>
      <w:r>
        <w:rPr>
          <w:b w:val="0"/>
          <w:bCs w:val="0"/>
          <w:szCs w:val="22"/>
        </w:rPr>
        <w:t xml:space="preserve"> of predators and parasitoids. Wax-covered colonies can also be a source of ladyb</w:t>
      </w:r>
      <w:r>
        <w:rPr>
          <w:b w:val="0"/>
          <w:bCs w:val="0"/>
          <w:szCs w:val="22"/>
          <w:highlight w:val="yellow"/>
        </w:rPr>
        <w:t>ird</w:t>
      </w:r>
      <w:r>
        <w:rPr>
          <w:b w:val="0"/>
          <w:bCs w:val="0"/>
          <w:szCs w:val="22"/>
        </w:rPr>
        <w:t xml:space="preserve"> larvae, lacewing larvae and other predators. Mummified hosts suggest parasitoid activity. The presence of a natural enemy does not </w:t>
      </w:r>
      <w:r>
        <w:rPr>
          <w:b w:val="0"/>
          <w:bCs w:val="0"/>
          <w:szCs w:val="22"/>
          <w:highlight w:val="yellow"/>
        </w:rPr>
        <w:t>in</w:t>
      </w:r>
      <w:r>
        <w:rPr>
          <w:b w:val="0"/>
          <w:bCs w:val="0"/>
          <w:szCs w:val="22"/>
        </w:rPr>
        <w:t xml:space="preserve"> </w:t>
      </w:r>
      <w:r>
        <w:rPr>
          <w:b w:val="0"/>
          <w:bCs w:val="0"/>
          <w:szCs w:val="22"/>
          <w:highlight w:val="yellow"/>
        </w:rPr>
        <w:t>it</w:t>
      </w:r>
      <w:r>
        <w:rPr>
          <w:b w:val="0"/>
          <w:bCs w:val="0"/>
          <w:szCs w:val="22"/>
        </w:rPr>
        <w:t>se</w:t>
      </w:r>
      <w:r>
        <w:rPr>
          <w:b w:val="0"/>
          <w:bCs w:val="0"/>
          <w:szCs w:val="22"/>
          <w:highlight w:val="yellow"/>
        </w:rPr>
        <w:t>lf</w:t>
      </w:r>
      <w:r>
        <w:rPr>
          <w:b w:val="0"/>
          <w:bCs w:val="0"/>
          <w:szCs w:val="22"/>
        </w:rPr>
        <w:t xml:space="preserve"> </w:t>
      </w:r>
      <w:r>
        <w:rPr>
          <w:b w:val="0"/>
          <w:bCs w:val="0"/>
          <w:szCs w:val="22"/>
          <w:highlight w:val="yellow"/>
        </w:rPr>
        <w:t>indicat</w:t>
      </w:r>
      <w:r>
        <w:rPr>
          <w:b w:val="0"/>
          <w:bCs w:val="0"/>
          <w:szCs w:val="22"/>
        </w:rPr>
        <w:t>e sufficient control, but an increase in parasitism in combination with decreasing live pest counts may justify postpon</w:t>
      </w:r>
      <w:r>
        <w:rPr>
          <w:b w:val="0"/>
          <w:bCs w:val="0"/>
          <w:szCs w:val="22"/>
          <w:highlight w:val="yellow"/>
        </w:rPr>
        <w:t>i</w:t>
      </w:r>
      <w:r>
        <w:rPr>
          <w:b w:val="0"/>
          <w:bCs w:val="0"/>
          <w:szCs w:val="22"/>
        </w:rPr>
        <w:t>n</w:t>
      </w:r>
      <w:r>
        <w:rPr>
          <w:b w:val="0"/>
          <w:bCs w:val="0"/>
          <w:szCs w:val="22"/>
          <w:highlight w:val="yellow"/>
        </w:rPr>
        <w:t>g</w:t>
      </w:r>
      <w:r>
        <w:rPr>
          <w:b w:val="0"/>
          <w:bCs w:val="0"/>
          <w:szCs w:val="22"/>
        </w:rPr>
        <w:t xml:space="preserve"> disruptive intervention. Parasitoid selection should be species-specific and agents used against pink hibiscus mealybug should not be automatically transferred to papaya mealybug.</w:t>
      </w:r>
    </w:p>
    <w:p w14:paraId="1932277C" w14:textId="77777777" w:rsidR="00B00E59" w:rsidRDefault="00B00E59" w:rsidP="00B00E59">
      <w:pPr>
        <w:pStyle w:val="Heading2"/>
        <w:spacing w:line="360" w:lineRule="auto"/>
        <w:rPr>
          <w:b w:val="0"/>
          <w:bCs w:val="0"/>
          <w:szCs w:val="22"/>
        </w:rPr>
      </w:pPr>
      <w:r>
        <w:rPr>
          <w:b w:val="0"/>
          <w:bCs w:val="0"/>
          <w:szCs w:val="22"/>
        </w:rPr>
        <w:lastRenderedPageBreak/>
        <w:t xml:space="preserve">There are three </w:t>
      </w:r>
      <w:r>
        <w:rPr>
          <w:b w:val="0"/>
          <w:bCs w:val="0"/>
          <w:szCs w:val="22"/>
          <w:highlight w:val="yellow"/>
        </w:rPr>
        <w:t>pr</w:t>
      </w:r>
      <w:r>
        <w:rPr>
          <w:b w:val="0"/>
          <w:bCs w:val="0"/>
          <w:szCs w:val="22"/>
        </w:rPr>
        <w:t>i</w:t>
      </w:r>
      <w:r>
        <w:rPr>
          <w:b w:val="0"/>
          <w:bCs w:val="0"/>
          <w:szCs w:val="22"/>
          <w:highlight w:val="yellow"/>
        </w:rPr>
        <w:t>ncipal approach</w:t>
      </w:r>
      <w:r>
        <w:rPr>
          <w:b w:val="0"/>
          <w:bCs w:val="0"/>
          <w:szCs w:val="22"/>
        </w:rPr>
        <w:t xml:space="preserve">es to biological control: conservation, augmentation and classical introduction. Conservation supports resident enemies, augmentation </w:t>
      </w:r>
      <w:r>
        <w:rPr>
          <w:b w:val="0"/>
          <w:bCs w:val="0"/>
          <w:szCs w:val="22"/>
          <w:highlight w:val="yellow"/>
        </w:rPr>
        <w:t>incre</w:t>
      </w:r>
      <w:r>
        <w:rPr>
          <w:b w:val="0"/>
          <w:bCs w:val="0"/>
          <w:szCs w:val="22"/>
        </w:rPr>
        <w:t>a</w:t>
      </w:r>
      <w:r>
        <w:rPr>
          <w:b w:val="0"/>
          <w:bCs w:val="0"/>
          <w:szCs w:val="22"/>
          <w:highlight w:val="yellow"/>
        </w:rPr>
        <w:t>se</w:t>
      </w:r>
      <w:r>
        <w:rPr>
          <w:b w:val="0"/>
          <w:bCs w:val="0"/>
          <w:szCs w:val="22"/>
        </w:rPr>
        <w:t xml:space="preserve">s </w:t>
      </w:r>
      <w:r>
        <w:rPr>
          <w:b w:val="0"/>
          <w:bCs w:val="0"/>
          <w:szCs w:val="22"/>
          <w:highlight w:val="yellow"/>
        </w:rPr>
        <w:t>na</w:t>
      </w:r>
      <w:r>
        <w:rPr>
          <w:b w:val="0"/>
          <w:bCs w:val="0"/>
          <w:szCs w:val="22"/>
        </w:rPr>
        <w:t>t</w:t>
      </w:r>
      <w:r>
        <w:rPr>
          <w:b w:val="0"/>
          <w:bCs w:val="0"/>
          <w:szCs w:val="22"/>
          <w:highlight w:val="yellow"/>
        </w:rPr>
        <w:t>ural-enemy</w:t>
      </w:r>
      <w:r>
        <w:rPr>
          <w:b w:val="0"/>
          <w:bCs w:val="0"/>
          <w:szCs w:val="22"/>
        </w:rPr>
        <w:t xml:space="preserve"> populations </w:t>
      </w:r>
      <w:r>
        <w:rPr>
          <w:b w:val="0"/>
          <w:bCs w:val="0"/>
          <w:szCs w:val="22"/>
          <w:highlight w:val="yellow"/>
        </w:rPr>
        <w:t>through</w:t>
      </w:r>
      <w:r>
        <w:rPr>
          <w:b w:val="0"/>
          <w:bCs w:val="0"/>
          <w:szCs w:val="22"/>
        </w:rPr>
        <w:t xml:space="preserve"> releases</w:t>
      </w:r>
      <w:r>
        <w:rPr>
          <w:b w:val="0"/>
          <w:bCs w:val="0"/>
          <w:szCs w:val="22"/>
          <w:highlight w:val="yellow"/>
        </w:rPr>
        <w:t>,</w:t>
      </w:r>
      <w:r>
        <w:rPr>
          <w:b w:val="0"/>
          <w:bCs w:val="0"/>
          <w:szCs w:val="22"/>
        </w:rPr>
        <w:t xml:space="preserve"> and classical control aims </w:t>
      </w:r>
      <w:r>
        <w:rPr>
          <w:b w:val="0"/>
          <w:bCs w:val="0"/>
          <w:szCs w:val="22"/>
          <w:highlight w:val="yellow"/>
        </w:rPr>
        <w:t>t</w:t>
      </w:r>
      <w:r>
        <w:rPr>
          <w:b w:val="0"/>
          <w:bCs w:val="0"/>
          <w:szCs w:val="22"/>
        </w:rPr>
        <w:t xml:space="preserve">o establish introduced enemies </w:t>
      </w:r>
      <w:r>
        <w:rPr>
          <w:b w:val="0"/>
          <w:bCs w:val="0"/>
          <w:szCs w:val="22"/>
          <w:highlight w:val="yellow"/>
        </w:rPr>
        <w:t>agains</w:t>
      </w:r>
      <w:r>
        <w:rPr>
          <w:b w:val="0"/>
          <w:bCs w:val="0"/>
          <w:szCs w:val="22"/>
        </w:rPr>
        <w:t xml:space="preserve">t an invasive pest. Their operational timescales and evidence requirements differ (Bale et al., 2008). The commercial availability of an agent is not sufficient </w:t>
      </w:r>
      <w:r>
        <w:rPr>
          <w:b w:val="0"/>
          <w:bCs w:val="0"/>
          <w:szCs w:val="22"/>
          <w:highlight w:val="yellow"/>
        </w:rPr>
        <w:t>t</w:t>
      </w:r>
      <w:r>
        <w:rPr>
          <w:b w:val="0"/>
          <w:bCs w:val="0"/>
          <w:szCs w:val="22"/>
        </w:rPr>
        <w:t>o</w:t>
      </w:r>
      <w:r>
        <w:rPr>
          <w:b w:val="0"/>
          <w:bCs w:val="0"/>
          <w:szCs w:val="22"/>
          <w:highlight w:val="yellow"/>
        </w:rPr>
        <w:t xml:space="preserve"> demonst</w:t>
      </w:r>
      <w:r>
        <w:rPr>
          <w:b w:val="0"/>
          <w:bCs w:val="0"/>
          <w:szCs w:val="22"/>
        </w:rPr>
        <w:t>r</w:t>
      </w:r>
      <w:r>
        <w:rPr>
          <w:b w:val="0"/>
          <w:bCs w:val="0"/>
          <w:szCs w:val="22"/>
          <w:highlight w:val="yellow"/>
        </w:rPr>
        <w:t>ate</w:t>
      </w:r>
      <w:r>
        <w:rPr>
          <w:b w:val="0"/>
          <w:bCs w:val="0"/>
          <w:szCs w:val="22"/>
        </w:rPr>
        <w:t xml:space="preserve"> its suitability; delivery, culture quality, crop conditions and identification influence its implementation (van Lenteren et al., 2018).</w:t>
      </w:r>
    </w:p>
    <w:p w14:paraId="34218E7F" w14:textId="77777777" w:rsidR="00F90A15" w:rsidRDefault="00000000" w:rsidP="00B00E59">
      <w:pPr>
        <w:pStyle w:val="Heading2"/>
      </w:pPr>
      <w:r>
        <w:t>5.3 Biological control of papaya mealybug</w:t>
      </w:r>
    </w:p>
    <w:p w14:paraId="06647ECC" w14:textId="77777777" w:rsidR="000E3D96" w:rsidRPr="000E3D96" w:rsidRDefault="000E3D96" w:rsidP="000E3D96">
      <w:pPr>
        <w:pStyle w:val="Heading2"/>
        <w:spacing w:line="360" w:lineRule="auto"/>
        <w:ind w:firstLine="720"/>
        <w:rPr>
          <w:b w:val="0"/>
          <w:bCs w:val="0"/>
          <w:szCs w:val="22"/>
        </w:rPr>
      </w:pPr>
      <w:r>
        <w:rPr>
          <w:b w:val="0"/>
          <w:bCs w:val="0"/>
          <w:szCs w:val="22"/>
          <w:highlight w:val="yellow"/>
        </w:rPr>
        <w:t>Ev</w:t>
      </w:r>
      <w:r>
        <w:rPr>
          <w:b w:val="0"/>
          <w:bCs w:val="0"/>
          <w:szCs w:val="22"/>
        </w:rPr>
        <w:t>i</w:t>
      </w:r>
      <w:r>
        <w:rPr>
          <w:b w:val="0"/>
          <w:bCs w:val="0"/>
          <w:szCs w:val="22"/>
          <w:highlight w:val="yellow"/>
        </w:rPr>
        <w:t>dence f</w:t>
      </w:r>
      <w:r>
        <w:rPr>
          <w:b w:val="0"/>
          <w:bCs w:val="0"/>
          <w:szCs w:val="22"/>
        </w:rPr>
        <w:t>r</w:t>
      </w:r>
      <w:r>
        <w:rPr>
          <w:b w:val="0"/>
          <w:bCs w:val="0"/>
          <w:szCs w:val="22"/>
          <w:highlight w:val="yellow"/>
        </w:rPr>
        <w:t>om</w:t>
      </w:r>
      <w:r>
        <w:rPr>
          <w:b w:val="0"/>
          <w:bCs w:val="0"/>
          <w:szCs w:val="22"/>
        </w:rPr>
        <w:t xml:space="preserve"> mulberry </w:t>
      </w:r>
      <w:r>
        <w:rPr>
          <w:b w:val="0"/>
          <w:bCs w:val="0"/>
          <w:szCs w:val="22"/>
          <w:highlight w:val="yellow"/>
        </w:rPr>
        <w:t>studi</w:t>
      </w:r>
      <w:r>
        <w:rPr>
          <w:b w:val="0"/>
          <w:bCs w:val="0"/>
          <w:szCs w:val="22"/>
        </w:rPr>
        <w:t>e</w:t>
      </w:r>
      <w:r>
        <w:rPr>
          <w:b w:val="0"/>
          <w:bCs w:val="0"/>
          <w:szCs w:val="22"/>
          <w:highlight w:val="yellow"/>
        </w:rPr>
        <w:t>s</w:t>
      </w:r>
      <w:r>
        <w:rPr>
          <w:b w:val="0"/>
          <w:bCs w:val="0"/>
          <w:szCs w:val="22"/>
        </w:rPr>
        <w:t xml:space="preserve"> in</w:t>
      </w:r>
      <w:r>
        <w:rPr>
          <w:b w:val="0"/>
          <w:bCs w:val="0"/>
          <w:szCs w:val="22"/>
          <w:highlight w:val="yellow"/>
        </w:rPr>
        <w:t>dica</w:t>
      </w:r>
      <w:r>
        <w:rPr>
          <w:b w:val="0"/>
          <w:bCs w:val="0"/>
          <w:szCs w:val="22"/>
        </w:rPr>
        <w:t>t</w:t>
      </w:r>
      <w:r>
        <w:rPr>
          <w:b w:val="0"/>
          <w:bCs w:val="0"/>
          <w:szCs w:val="22"/>
          <w:highlight w:val="yellow"/>
        </w:rPr>
        <w:t>e</w:t>
      </w:r>
      <w:r>
        <w:rPr>
          <w:b w:val="0"/>
          <w:bCs w:val="0"/>
          <w:szCs w:val="22"/>
        </w:rPr>
        <w:t xml:space="preserve">s the importance of </w:t>
      </w:r>
      <w:r>
        <w:rPr>
          <w:b w:val="0"/>
          <w:bCs w:val="0"/>
          <w:i/>
          <w:szCs w:val="22"/>
        </w:rPr>
        <w:t>Acerophagus papayae</w:t>
      </w:r>
      <w:r>
        <w:rPr>
          <w:b w:val="0"/>
          <w:bCs w:val="0"/>
          <w:szCs w:val="22"/>
        </w:rPr>
        <w:t>. In a study in Tamil Nadu, three introduced encyrtid parasitoids were released at six locations</w:t>
      </w:r>
      <w:r>
        <w:rPr>
          <w:b w:val="0"/>
          <w:bCs w:val="0"/>
          <w:szCs w:val="22"/>
          <w:highlight w:val="yellow"/>
        </w:rPr>
        <w:t>,</w:t>
      </w:r>
      <w:r>
        <w:rPr>
          <w:b w:val="0"/>
          <w:bCs w:val="0"/>
          <w:szCs w:val="22"/>
        </w:rPr>
        <w:t xml:space="preserve"> and</w:t>
      </w:r>
      <w:r>
        <w:rPr>
          <w:b w:val="0"/>
          <w:bCs w:val="0"/>
          <w:szCs w:val="22"/>
          <w:highlight w:val="yellow"/>
        </w:rPr>
        <w:t xml:space="preserve"> a</w:t>
      </w:r>
      <w:r>
        <w:rPr>
          <w:b w:val="0"/>
          <w:bCs w:val="0"/>
          <w:szCs w:val="22"/>
        </w:rPr>
        <w:t xml:space="preserve"> progressive decline in papaya mealybug populations w</w:t>
      </w:r>
      <w:r>
        <w:rPr>
          <w:b w:val="0"/>
          <w:bCs w:val="0"/>
          <w:szCs w:val="22"/>
          <w:highlight w:val="yellow"/>
        </w:rPr>
        <w:t>as</w:t>
      </w:r>
      <w:r>
        <w:rPr>
          <w:b w:val="0"/>
          <w:bCs w:val="0"/>
          <w:szCs w:val="22"/>
        </w:rPr>
        <w:t xml:space="preserve"> observed. By the sixth month, the population reduction was 96.6% and parasitism was 72.2%</w:t>
      </w:r>
      <w:r>
        <w:rPr>
          <w:b w:val="0"/>
          <w:bCs w:val="0"/>
          <w:szCs w:val="22"/>
          <w:highlight w:val="yellow"/>
        </w:rPr>
        <w:t>;</w:t>
      </w:r>
      <w:r>
        <w:rPr>
          <w:b w:val="0"/>
          <w:bCs w:val="0"/>
          <w:szCs w:val="22"/>
        </w:rPr>
        <w:t xml:space="preserve"> among the released species, </w:t>
      </w:r>
      <w:r>
        <w:rPr>
          <w:b w:val="0"/>
          <w:bCs w:val="0"/>
          <w:i/>
          <w:szCs w:val="22"/>
        </w:rPr>
        <w:t>Acerophagus papayae</w:t>
      </w:r>
      <w:r>
        <w:rPr>
          <w:b w:val="0"/>
          <w:bCs w:val="0"/>
          <w:szCs w:val="22"/>
        </w:rPr>
        <w:t xml:space="preserve"> was the most active in the field (Sakthivel, 2013). This delayed response highlights the need to allow parasitoid</w:t>
      </w:r>
      <w:r>
        <w:rPr>
          <w:b w:val="0"/>
          <w:bCs w:val="0"/>
          <w:szCs w:val="22"/>
          <w:highlight w:val="yellow"/>
        </w:rPr>
        <w:t>s to become</w:t>
      </w:r>
      <w:r>
        <w:rPr>
          <w:b w:val="0"/>
          <w:bCs w:val="0"/>
          <w:szCs w:val="22"/>
        </w:rPr>
        <w:t xml:space="preserve"> establishe</w:t>
      </w:r>
      <w:r>
        <w:rPr>
          <w:b w:val="0"/>
          <w:bCs w:val="0"/>
          <w:szCs w:val="22"/>
          <w:highlight w:val="yellow"/>
        </w:rPr>
        <w:t>d</w:t>
      </w:r>
      <w:r>
        <w:rPr>
          <w:b w:val="0"/>
          <w:bCs w:val="0"/>
          <w:szCs w:val="22"/>
        </w:rPr>
        <w:t xml:space="preserve"> rather than anticipate immediate elimination after release.</w:t>
      </w:r>
    </w:p>
    <w:p w14:paraId="586117B9" w14:textId="77777777" w:rsidR="000E3D96" w:rsidRPr="000E3D96" w:rsidRDefault="000E3D96" w:rsidP="000E3D96">
      <w:pPr>
        <w:pStyle w:val="Heading2"/>
        <w:spacing w:line="360" w:lineRule="auto"/>
        <w:rPr>
          <w:b w:val="0"/>
          <w:bCs w:val="0"/>
          <w:szCs w:val="22"/>
        </w:rPr>
      </w:pPr>
      <w:r>
        <w:rPr>
          <w:b w:val="0"/>
          <w:bCs w:val="0"/>
          <w:szCs w:val="22"/>
        </w:rPr>
        <w:t>Release program</w:t>
      </w:r>
      <w:r>
        <w:rPr>
          <w:b w:val="0"/>
          <w:bCs w:val="0"/>
          <w:szCs w:val="22"/>
          <w:highlight w:val="yellow"/>
        </w:rPr>
        <w:t>me</w:t>
      </w:r>
      <w:r>
        <w:rPr>
          <w:b w:val="0"/>
          <w:bCs w:val="0"/>
          <w:szCs w:val="22"/>
        </w:rPr>
        <w:t>s need correct host identification, healthy cultures of the parasitoids and coordination with local sericulture or biological control services. Frequent use of insecticides during establishment can undermine the intended program. Positive results from India give strong support for conservation, but the performance of an introduced parasitoid depends on host availability and the local environment. In Africa, model</w:t>
      </w:r>
      <w:r>
        <w:rPr>
          <w:b w:val="0"/>
          <w:bCs w:val="0"/>
          <w:szCs w:val="22"/>
          <w:highlight w:val="yellow"/>
        </w:rPr>
        <w:t>l</w:t>
      </w:r>
      <w:r>
        <w:rPr>
          <w:b w:val="0"/>
          <w:bCs w:val="0"/>
          <w:szCs w:val="22"/>
        </w:rPr>
        <w:t xml:space="preserve">ing showed that climatic suitability for </w:t>
      </w:r>
      <w:r>
        <w:rPr>
          <w:b w:val="0"/>
          <w:bCs w:val="0"/>
          <w:i/>
          <w:szCs w:val="22"/>
        </w:rPr>
        <w:t>Acerophagus papayae</w:t>
      </w:r>
      <w:r>
        <w:rPr>
          <w:b w:val="0"/>
          <w:bCs w:val="0"/>
          <w:szCs w:val="22"/>
        </w:rPr>
        <w:t xml:space="preserve"> does not always overlap with all areas suitable for its host, and </w:t>
      </w:r>
      <w:r>
        <w:rPr>
          <w:b w:val="0"/>
          <w:bCs w:val="0"/>
          <w:szCs w:val="22"/>
          <w:highlight w:val="yellow"/>
        </w:rPr>
        <w:t>illus</w:t>
      </w:r>
      <w:r>
        <w:rPr>
          <w:b w:val="0"/>
          <w:bCs w:val="0"/>
          <w:szCs w:val="22"/>
        </w:rPr>
        <w:t>t</w:t>
      </w:r>
      <w:r>
        <w:rPr>
          <w:b w:val="0"/>
          <w:bCs w:val="0"/>
          <w:szCs w:val="22"/>
          <w:highlight w:val="yellow"/>
        </w:rPr>
        <w:t>rat</w:t>
      </w:r>
      <w:r>
        <w:rPr>
          <w:b w:val="0"/>
          <w:bCs w:val="0"/>
          <w:szCs w:val="22"/>
        </w:rPr>
        <w:t>in</w:t>
      </w:r>
      <w:r>
        <w:rPr>
          <w:b w:val="0"/>
          <w:bCs w:val="0"/>
          <w:szCs w:val="22"/>
          <w:highlight w:val="yellow"/>
        </w:rPr>
        <w:t>g</w:t>
      </w:r>
      <w:r>
        <w:rPr>
          <w:b w:val="0"/>
          <w:bCs w:val="0"/>
          <w:szCs w:val="22"/>
        </w:rPr>
        <w:t xml:space="preserve"> why performance cannot be assumed across regions (Finch et al., 2024).</w:t>
      </w:r>
    </w:p>
    <w:p w14:paraId="1FD7F637" w14:textId="77777777" w:rsidR="000E3D96" w:rsidRDefault="000E3D96" w:rsidP="000E3D96">
      <w:pPr>
        <w:pStyle w:val="Heading2"/>
        <w:spacing w:line="360" w:lineRule="auto"/>
        <w:rPr>
          <w:b w:val="0"/>
          <w:bCs w:val="0"/>
          <w:szCs w:val="22"/>
        </w:rPr>
      </w:pPr>
      <w:r>
        <w:rPr>
          <w:b w:val="0"/>
          <w:bCs w:val="0"/>
          <w:szCs w:val="22"/>
        </w:rPr>
        <w:t>Introductions of exotic natural enemies should take into account host specificity and possible effects on non-target organisms. The risk assessment should be done using the appropriate regulatory process and expert judg</w:t>
      </w:r>
      <w:r>
        <w:rPr>
          <w:b w:val="0"/>
          <w:bCs w:val="0"/>
          <w:szCs w:val="22"/>
          <w:highlight w:val="yellow"/>
        </w:rPr>
        <w:t>e</w:t>
      </w:r>
      <w:r>
        <w:rPr>
          <w:b w:val="0"/>
          <w:bCs w:val="0"/>
          <w:szCs w:val="22"/>
        </w:rPr>
        <w:t xml:space="preserve">ment (van Lenteren et al., 2006) before introduction. The fact that there have been successful introductions in the past is no justification for growers to move or release unassessed organisms </w:t>
      </w:r>
      <w:r>
        <w:rPr>
          <w:b w:val="0"/>
          <w:bCs w:val="0"/>
          <w:szCs w:val="22"/>
          <w:highlight w:val="yellow"/>
        </w:rPr>
        <w:t>i</w:t>
      </w:r>
      <w:r>
        <w:rPr>
          <w:b w:val="0"/>
          <w:bCs w:val="0"/>
          <w:szCs w:val="22"/>
        </w:rPr>
        <w:t>n</w:t>
      </w:r>
      <w:r>
        <w:rPr>
          <w:b w:val="0"/>
          <w:bCs w:val="0"/>
          <w:szCs w:val="22"/>
          <w:highlight w:val="yellow"/>
        </w:rPr>
        <w:t>dependen</w:t>
      </w:r>
      <w:r>
        <w:rPr>
          <w:b w:val="0"/>
          <w:bCs w:val="0"/>
          <w:szCs w:val="22"/>
        </w:rPr>
        <w:t>t</w:t>
      </w:r>
      <w:r>
        <w:rPr>
          <w:b w:val="0"/>
          <w:bCs w:val="0"/>
          <w:szCs w:val="22"/>
          <w:highlight w:val="yellow"/>
        </w:rPr>
        <w:t>ly</w:t>
      </w:r>
      <w:r>
        <w:rPr>
          <w:b w:val="0"/>
          <w:bCs w:val="0"/>
          <w:szCs w:val="22"/>
        </w:rPr>
        <w:t>.</w:t>
      </w:r>
    </w:p>
    <w:p w14:paraId="3B0D65EF" w14:textId="77777777" w:rsidR="00F90A15" w:rsidRDefault="00000000" w:rsidP="000E3D96">
      <w:pPr>
        <w:pStyle w:val="Heading2"/>
      </w:pPr>
      <w:r>
        <w:t>5.4 Botanicals and microbial products</w:t>
      </w:r>
    </w:p>
    <w:p w14:paraId="0C0C6662" w14:textId="77777777" w:rsidR="003032B9" w:rsidRPr="003032B9" w:rsidRDefault="003032B9" w:rsidP="003032B9">
      <w:pPr>
        <w:pStyle w:val="Heading2"/>
        <w:spacing w:line="360" w:lineRule="auto"/>
        <w:ind w:firstLine="720"/>
        <w:rPr>
          <w:b w:val="0"/>
          <w:bCs w:val="0"/>
          <w:szCs w:val="22"/>
        </w:rPr>
      </w:pPr>
      <w:r>
        <w:rPr>
          <w:b w:val="0"/>
          <w:bCs w:val="0"/>
          <w:szCs w:val="22"/>
        </w:rPr>
        <w:lastRenderedPageBreak/>
        <w:t xml:space="preserve">Botanical and microbial insecticides could </w:t>
      </w:r>
      <w:r>
        <w:rPr>
          <w:b w:val="0"/>
          <w:bCs w:val="0"/>
          <w:szCs w:val="22"/>
          <w:highlight w:val="yellow"/>
        </w:rPr>
        <w:t>form</w:t>
      </w:r>
      <w:r>
        <w:rPr>
          <w:b w:val="0"/>
          <w:bCs w:val="0"/>
          <w:szCs w:val="22"/>
        </w:rPr>
        <w:t xml:space="preserve"> part of a diversified program</w:t>
      </w:r>
      <w:r>
        <w:rPr>
          <w:b w:val="0"/>
          <w:bCs w:val="0"/>
          <w:szCs w:val="22"/>
          <w:highlight w:val="yellow"/>
        </w:rPr>
        <w:t>me</w:t>
      </w:r>
      <w:r>
        <w:rPr>
          <w:b w:val="0"/>
          <w:bCs w:val="0"/>
          <w:szCs w:val="22"/>
        </w:rPr>
        <w:t xml:space="preserve">, but their origin does not </w:t>
      </w:r>
      <w:r>
        <w:rPr>
          <w:b w:val="0"/>
          <w:bCs w:val="0"/>
          <w:szCs w:val="22"/>
          <w:highlight w:val="yellow"/>
        </w:rPr>
        <w:t>guar</w:t>
      </w:r>
      <w:r>
        <w:rPr>
          <w:b w:val="0"/>
          <w:bCs w:val="0"/>
          <w:szCs w:val="22"/>
        </w:rPr>
        <w:t>an</w:t>
      </w:r>
      <w:r>
        <w:rPr>
          <w:b w:val="0"/>
          <w:bCs w:val="0"/>
          <w:szCs w:val="22"/>
          <w:highlight w:val="yellow"/>
        </w:rPr>
        <w:t>tee</w:t>
      </w:r>
      <w:r>
        <w:rPr>
          <w:b w:val="0"/>
          <w:bCs w:val="0"/>
          <w:szCs w:val="22"/>
        </w:rPr>
        <w:t xml:space="preserve"> safety </w:t>
      </w:r>
      <w:r>
        <w:rPr>
          <w:b w:val="0"/>
          <w:bCs w:val="0"/>
          <w:szCs w:val="22"/>
          <w:highlight w:val="yellow"/>
        </w:rPr>
        <w:t>f</w:t>
      </w:r>
      <w:r>
        <w:rPr>
          <w:b w:val="0"/>
          <w:bCs w:val="0"/>
          <w:szCs w:val="22"/>
        </w:rPr>
        <w:t>o</w:t>
      </w:r>
      <w:r>
        <w:rPr>
          <w:b w:val="0"/>
          <w:bCs w:val="0"/>
          <w:szCs w:val="22"/>
          <w:highlight w:val="yellow"/>
        </w:rPr>
        <w:t>r</w:t>
      </w:r>
      <w:r>
        <w:rPr>
          <w:b w:val="0"/>
          <w:bCs w:val="0"/>
          <w:szCs w:val="22"/>
        </w:rPr>
        <w:t xml:space="preserve"> </w:t>
      </w:r>
      <w:r>
        <w:rPr>
          <w:b w:val="0"/>
          <w:bCs w:val="0"/>
          <w:i/>
          <w:szCs w:val="22"/>
        </w:rPr>
        <w:t>Bombyx mori</w:t>
      </w:r>
      <w:r>
        <w:rPr>
          <w:b w:val="0"/>
          <w:bCs w:val="0"/>
          <w:szCs w:val="22"/>
        </w:rPr>
        <w:t xml:space="preserve">. </w:t>
      </w:r>
      <w:r>
        <w:rPr>
          <w:b w:val="0"/>
          <w:bCs w:val="0"/>
          <w:szCs w:val="22"/>
          <w:highlight w:val="yellow"/>
        </w:rPr>
        <w:t>Product</w:t>
      </w:r>
      <w:r>
        <w:rPr>
          <w:b w:val="0"/>
          <w:bCs w:val="0"/>
          <w:szCs w:val="22"/>
        </w:rPr>
        <w:t xml:space="preserve"> concentration, formulat</w:t>
      </w:r>
      <w:r>
        <w:rPr>
          <w:b w:val="0"/>
          <w:bCs w:val="0"/>
          <w:szCs w:val="22"/>
          <w:highlight w:val="yellow"/>
        </w:rPr>
        <w:t>ion</w:t>
      </w:r>
      <w:r>
        <w:rPr>
          <w:b w:val="0"/>
          <w:bCs w:val="0"/>
          <w:szCs w:val="22"/>
        </w:rPr>
        <w:t>, persisten</w:t>
      </w:r>
      <w:r>
        <w:rPr>
          <w:b w:val="0"/>
          <w:bCs w:val="0"/>
          <w:szCs w:val="22"/>
          <w:highlight w:val="yellow"/>
        </w:rPr>
        <w:t>ce</w:t>
      </w:r>
      <w:r>
        <w:rPr>
          <w:b w:val="0"/>
          <w:bCs w:val="0"/>
          <w:szCs w:val="22"/>
        </w:rPr>
        <w:t xml:space="preserve"> and appli</w:t>
      </w:r>
      <w:r>
        <w:rPr>
          <w:b w:val="0"/>
          <w:bCs w:val="0"/>
          <w:szCs w:val="22"/>
          <w:highlight w:val="yellow"/>
        </w:rPr>
        <w:t>cation timing</w:t>
      </w:r>
      <w:r>
        <w:rPr>
          <w:b w:val="0"/>
          <w:bCs w:val="0"/>
          <w:szCs w:val="22"/>
        </w:rPr>
        <w:t xml:space="preserve"> can influence </w:t>
      </w:r>
      <w:r>
        <w:rPr>
          <w:b w:val="0"/>
          <w:bCs w:val="0"/>
          <w:szCs w:val="22"/>
          <w:highlight w:val="yellow"/>
        </w:rPr>
        <w:t>pes</w:t>
      </w:r>
      <w:r>
        <w:rPr>
          <w:b w:val="0"/>
          <w:bCs w:val="0"/>
          <w:szCs w:val="22"/>
        </w:rPr>
        <w:t xml:space="preserve">t responses and exposure during feeding. </w:t>
      </w:r>
      <w:r>
        <w:rPr>
          <w:b w:val="0"/>
          <w:bCs w:val="0"/>
          <w:szCs w:val="22"/>
          <w:highlight w:val="yellow"/>
        </w:rPr>
        <w:t>R</w:t>
      </w:r>
      <w:r>
        <w:rPr>
          <w:b w:val="0"/>
          <w:bCs w:val="0"/>
          <w:szCs w:val="22"/>
        </w:rPr>
        <w:t>ecommendation</w:t>
      </w:r>
      <w:r>
        <w:rPr>
          <w:b w:val="0"/>
          <w:bCs w:val="0"/>
          <w:szCs w:val="22"/>
          <w:highlight w:val="yellow"/>
        </w:rPr>
        <w:t>s</w:t>
      </w:r>
      <w:r>
        <w:rPr>
          <w:b w:val="0"/>
          <w:bCs w:val="0"/>
          <w:szCs w:val="22"/>
        </w:rPr>
        <w:t xml:space="preserve"> for routine use on mulberry </w:t>
      </w:r>
      <w:r>
        <w:rPr>
          <w:b w:val="0"/>
          <w:bCs w:val="0"/>
          <w:szCs w:val="22"/>
          <w:highlight w:val="yellow"/>
        </w:rPr>
        <w:t>shou</w:t>
      </w:r>
      <w:r>
        <w:rPr>
          <w:b w:val="0"/>
          <w:bCs w:val="0"/>
          <w:szCs w:val="22"/>
        </w:rPr>
        <w:t>l</w:t>
      </w:r>
      <w:r>
        <w:rPr>
          <w:b w:val="0"/>
          <w:bCs w:val="0"/>
          <w:szCs w:val="22"/>
          <w:highlight w:val="yellow"/>
        </w:rPr>
        <w:t>d</w:t>
      </w:r>
      <w:r>
        <w:rPr>
          <w:b w:val="0"/>
          <w:bCs w:val="0"/>
          <w:szCs w:val="22"/>
        </w:rPr>
        <w:t xml:space="preserve"> be preceded by laboratory </w:t>
      </w:r>
      <w:r>
        <w:rPr>
          <w:b w:val="0"/>
          <w:bCs w:val="0"/>
          <w:szCs w:val="22"/>
          <w:highlight w:val="yellow"/>
        </w:rPr>
        <w:t>assess</w:t>
      </w:r>
      <w:r>
        <w:rPr>
          <w:b w:val="0"/>
          <w:bCs w:val="0"/>
          <w:szCs w:val="22"/>
        </w:rPr>
        <w:t>m</w:t>
      </w:r>
      <w:r>
        <w:rPr>
          <w:b w:val="0"/>
          <w:bCs w:val="0"/>
          <w:szCs w:val="22"/>
          <w:highlight w:val="yellow"/>
        </w:rPr>
        <w:t>en</w:t>
      </w:r>
      <w:r>
        <w:rPr>
          <w:b w:val="0"/>
          <w:bCs w:val="0"/>
          <w:szCs w:val="22"/>
        </w:rPr>
        <w:t>t</w:t>
      </w:r>
      <w:r>
        <w:rPr>
          <w:b w:val="0"/>
          <w:bCs w:val="0"/>
          <w:szCs w:val="22"/>
          <w:highlight w:val="yellow"/>
        </w:rPr>
        <w:t>s</w:t>
      </w:r>
      <w:r>
        <w:rPr>
          <w:b w:val="0"/>
          <w:bCs w:val="0"/>
          <w:szCs w:val="22"/>
        </w:rPr>
        <w:t xml:space="preserve"> of target</w:t>
      </w:r>
      <w:r>
        <w:rPr>
          <w:b w:val="0"/>
          <w:bCs w:val="0"/>
          <w:szCs w:val="22"/>
          <w:highlight w:val="yellow"/>
        </w:rPr>
        <w:t>-</w:t>
      </w:r>
      <w:r>
        <w:rPr>
          <w:b w:val="0"/>
          <w:bCs w:val="0"/>
          <w:szCs w:val="22"/>
        </w:rPr>
        <w:t>insect</w:t>
      </w:r>
      <w:r>
        <w:rPr>
          <w:b w:val="0"/>
          <w:bCs w:val="0"/>
          <w:szCs w:val="22"/>
          <w:highlight w:val="yellow"/>
        </w:rPr>
        <w:t xml:space="preserve"> mortality</w:t>
      </w:r>
      <w:r>
        <w:rPr>
          <w:b w:val="0"/>
          <w:bCs w:val="0"/>
          <w:szCs w:val="22"/>
        </w:rPr>
        <w:t>, field evaluation and assessment of silkworm feeding.</w:t>
      </w:r>
    </w:p>
    <w:p w14:paraId="52C067EF" w14:textId="77777777" w:rsidR="003032B9" w:rsidRPr="003032B9" w:rsidRDefault="003032B9" w:rsidP="003032B9">
      <w:pPr>
        <w:pStyle w:val="Heading2"/>
        <w:spacing w:line="360" w:lineRule="auto"/>
        <w:rPr>
          <w:b w:val="0"/>
          <w:bCs w:val="0"/>
          <w:szCs w:val="22"/>
        </w:rPr>
      </w:pPr>
      <w:r>
        <w:rPr>
          <w:b w:val="0"/>
          <w:bCs w:val="0"/>
          <w:szCs w:val="22"/>
          <w:highlight w:val="yellow"/>
        </w:rPr>
        <w:t>F</w:t>
      </w:r>
      <w:r>
        <w:rPr>
          <w:b w:val="0"/>
          <w:bCs w:val="0"/>
          <w:szCs w:val="22"/>
        </w:rPr>
        <w:t>o</w:t>
      </w:r>
      <w:r>
        <w:rPr>
          <w:b w:val="0"/>
          <w:bCs w:val="0"/>
          <w:szCs w:val="22"/>
          <w:highlight w:val="yellow"/>
        </w:rPr>
        <w:t>r</w:t>
      </w:r>
      <w:r>
        <w:rPr>
          <w:b w:val="0"/>
          <w:bCs w:val="0"/>
          <w:szCs w:val="22"/>
        </w:rPr>
        <w:t xml:space="preserve"> fungal bio</w:t>
      </w:r>
      <w:r>
        <w:rPr>
          <w:b w:val="0"/>
          <w:bCs w:val="0"/>
          <w:szCs w:val="22"/>
          <w:highlight w:val="yellow"/>
        </w:rPr>
        <w:t xml:space="preserve">logical </w:t>
      </w:r>
      <w:r>
        <w:rPr>
          <w:b w:val="0"/>
          <w:bCs w:val="0"/>
          <w:szCs w:val="22"/>
        </w:rPr>
        <w:t xml:space="preserve">control, strain-specific efficacy and compatibility need to be demonstrated. The risk assessment should address the exposure of insects in the rearing house and contamination of harvested foliage. Lists of fungal species, spray concentrations or untested </w:t>
      </w:r>
      <w:r>
        <w:rPr>
          <w:b w:val="0"/>
          <w:bCs w:val="0"/>
          <w:szCs w:val="22"/>
          <w:highlight w:val="yellow"/>
        </w:rPr>
        <w:t xml:space="preserve">neem application </w:t>
      </w:r>
      <w:r>
        <w:rPr>
          <w:b w:val="0"/>
          <w:bCs w:val="0"/>
          <w:szCs w:val="22"/>
        </w:rPr>
        <w:t>rates cannot replace validated, crop-specific programs. Trials should report pest identity, viable inoculum or active ingredient, untreated controls, environmental conditions and effects on beneficial arthropods.</w:t>
      </w:r>
    </w:p>
    <w:p w14:paraId="3A602DB7" w14:textId="77777777" w:rsidR="003032B9" w:rsidRPr="003032B9" w:rsidRDefault="003032B9" w:rsidP="003032B9">
      <w:pPr>
        <w:pStyle w:val="Heading2"/>
        <w:spacing w:line="360" w:lineRule="auto"/>
        <w:rPr>
          <w:b w:val="0"/>
          <w:bCs w:val="0"/>
          <w:szCs w:val="22"/>
        </w:rPr>
      </w:pPr>
      <w:r>
        <w:rPr>
          <w:b w:val="0"/>
          <w:bCs w:val="0"/>
          <w:szCs w:val="22"/>
        </w:rPr>
        <w:t>In the wider botanical-insecticide literature, promising laboratory activity is distinguished from products with reproducible formulations, regulatory authori</w:t>
      </w:r>
      <w:r>
        <w:rPr>
          <w:b w:val="0"/>
          <w:bCs w:val="0"/>
          <w:szCs w:val="22"/>
          <w:highlight w:val="yellow"/>
        </w:rPr>
        <w:t>s</w:t>
      </w:r>
      <w:r>
        <w:rPr>
          <w:b w:val="0"/>
          <w:bCs w:val="0"/>
          <w:szCs w:val="22"/>
        </w:rPr>
        <w:t>ation and practical field performance. Examples of established candidates include neem and pyrethrum, whereas many essential oil candidates face barriers to development and commerciali</w:t>
      </w:r>
      <w:r>
        <w:rPr>
          <w:b w:val="0"/>
          <w:bCs w:val="0"/>
          <w:szCs w:val="22"/>
          <w:highlight w:val="yellow"/>
        </w:rPr>
        <w:t>s</w:t>
      </w:r>
      <w:r>
        <w:rPr>
          <w:b w:val="0"/>
          <w:bCs w:val="0"/>
          <w:szCs w:val="22"/>
        </w:rPr>
        <w:t>ation (Isman, 2020). For the mulberry-specific evaluations, the composition and formulation should be reported so that an observed response can be reproduced.</w:t>
      </w:r>
    </w:p>
    <w:p w14:paraId="16C6A2EB" w14:textId="77777777" w:rsidR="003032B9" w:rsidRDefault="003032B9" w:rsidP="003032B9">
      <w:pPr>
        <w:pStyle w:val="Heading2"/>
        <w:spacing w:line="360" w:lineRule="auto"/>
        <w:rPr>
          <w:b w:val="0"/>
          <w:bCs w:val="0"/>
          <w:szCs w:val="22"/>
        </w:rPr>
      </w:pPr>
      <w:r>
        <w:rPr>
          <w:b w:val="0"/>
          <w:bCs w:val="0"/>
          <w:szCs w:val="22"/>
        </w:rPr>
        <w:t xml:space="preserve">Fungal pest-control products also </w:t>
      </w:r>
      <w:r>
        <w:rPr>
          <w:b w:val="0"/>
          <w:bCs w:val="0"/>
          <w:szCs w:val="22"/>
          <w:highlight w:val="yellow"/>
        </w:rPr>
        <w:t>co</w:t>
      </w:r>
      <w:r>
        <w:rPr>
          <w:b w:val="0"/>
          <w:bCs w:val="0"/>
          <w:szCs w:val="22"/>
        </w:rPr>
        <w:t>m</w:t>
      </w:r>
      <w:r>
        <w:rPr>
          <w:b w:val="0"/>
          <w:bCs w:val="0"/>
          <w:szCs w:val="22"/>
          <w:highlight w:val="yellow"/>
        </w:rPr>
        <w:t>pris</w:t>
      </w:r>
      <w:r>
        <w:rPr>
          <w:b w:val="0"/>
          <w:bCs w:val="0"/>
          <w:szCs w:val="22"/>
        </w:rPr>
        <w:t xml:space="preserve">e defined organisms and </w:t>
      </w:r>
      <w:r>
        <w:rPr>
          <w:b w:val="0"/>
          <w:bCs w:val="0"/>
          <w:szCs w:val="22"/>
          <w:highlight w:val="yellow"/>
        </w:rPr>
        <w:t xml:space="preserve">specific </w:t>
      </w:r>
      <w:r>
        <w:rPr>
          <w:b w:val="0"/>
          <w:bCs w:val="0"/>
          <w:szCs w:val="22"/>
        </w:rPr>
        <w:t>formulation types</w:t>
      </w:r>
      <w:r>
        <w:rPr>
          <w:b w:val="0"/>
          <w:bCs w:val="0"/>
          <w:szCs w:val="22"/>
          <w:highlight w:val="yellow"/>
        </w:rPr>
        <w:t>; they</w:t>
      </w:r>
      <w:r>
        <w:rPr>
          <w:b w:val="0"/>
          <w:bCs w:val="0"/>
          <w:szCs w:val="22"/>
        </w:rPr>
        <w:t xml:space="preserve"> a</w:t>
      </w:r>
      <w:r>
        <w:rPr>
          <w:b w:val="0"/>
          <w:bCs w:val="0"/>
          <w:szCs w:val="22"/>
          <w:highlight w:val="yellow"/>
        </w:rPr>
        <w:t>re</w:t>
      </w:r>
      <w:r>
        <w:rPr>
          <w:b w:val="0"/>
          <w:bCs w:val="0"/>
          <w:szCs w:val="22"/>
        </w:rPr>
        <w:t xml:space="preserve"> not interchangeable preparations. The diversity of active fungi and commercial formulations is illustrated by the international inventory compiled by de Faria and Wraight (2007). Their classification is useful for a careful description of the products, but their efficacy and compatibility with silkworm rearing still need to be directly tested.</w:t>
      </w:r>
    </w:p>
    <w:p w14:paraId="5D64D840" w14:textId="77777777" w:rsidR="00F90A15" w:rsidRDefault="00000000" w:rsidP="003032B9">
      <w:pPr>
        <w:pStyle w:val="Heading2"/>
      </w:pPr>
      <w:r>
        <w:t>5.5 Chemical intervention and silkworm safety</w:t>
      </w:r>
    </w:p>
    <w:p w14:paraId="00C90903" w14:textId="77777777" w:rsidR="00FB12FA" w:rsidRPr="00FB12FA" w:rsidRDefault="00FB12FA" w:rsidP="00FB12FA">
      <w:pPr>
        <w:pStyle w:val="Heading1"/>
        <w:spacing w:line="360" w:lineRule="auto"/>
        <w:rPr>
          <w:b w:val="0"/>
          <w:bCs w:val="0"/>
          <w:szCs w:val="22"/>
        </w:rPr>
      </w:pPr>
      <w:r>
        <w:rPr>
          <w:b w:val="0"/>
          <w:bCs w:val="0"/>
          <w:szCs w:val="22"/>
        </w:rPr>
        <w:t>Pesticide option</w:t>
      </w:r>
      <w:r>
        <w:rPr>
          <w:b w:val="0"/>
          <w:bCs w:val="0"/>
          <w:szCs w:val="22"/>
          <w:highlight w:val="yellow"/>
        </w:rPr>
        <w:t>s</w:t>
      </w:r>
      <w:r>
        <w:rPr>
          <w:b w:val="0"/>
          <w:bCs w:val="0"/>
          <w:szCs w:val="22"/>
        </w:rPr>
        <w:t xml:space="preserve"> should be considered only if pest identity, infestation trend, usable-leaf loss and non-chemical control warrant intervention. </w:t>
      </w:r>
      <w:r>
        <w:rPr>
          <w:b w:val="0"/>
          <w:bCs w:val="0"/>
          <w:szCs w:val="22"/>
          <w:highlight w:val="yellow"/>
        </w:rPr>
        <w:t>Authorisation for t</w:t>
      </w:r>
      <w:r>
        <w:rPr>
          <w:b w:val="0"/>
          <w:bCs w:val="0"/>
          <w:szCs w:val="22"/>
        </w:rPr>
        <w:t xml:space="preserve">he crop and target pest must be checked independently from the research publication. </w:t>
      </w:r>
      <w:r>
        <w:rPr>
          <w:b w:val="0"/>
          <w:bCs w:val="0"/>
          <w:szCs w:val="22"/>
          <w:highlight w:val="yellow"/>
        </w:rPr>
        <w:t>Effi</w:t>
      </w:r>
      <w:r>
        <w:rPr>
          <w:b w:val="0"/>
          <w:bCs w:val="0"/>
          <w:szCs w:val="22"/>
        </w:rPr>
        <w:t>ca</w:t>
      </w:r>
      <w:r>
        <w:rPr>
          <w:b w:val="0"/>
          <w:bCs w:val="0"/>
          <w:szCs w:val="22"/>
          <w:highlight w:val="yellow"/>
        </w:rPr>
        <w:t>cy</w:t>
      </w:r>
      <w:r>
        <w:rPr>
          <w:b w:val="0"/>
          <w:bCs w:val="0"/>
          <w:szCs w:val="22"/>
        </w:rPr>
        <w:t xml:space="preserve"> in an experiment does</w:t>
      </w:r>
      <w:r>
        <w:rPr>
          <w:b w:val="0"/>
          <w:bCs w:val="0"/>
          <w:szCs w:val="22"/>
          <w:highlight w:val="yellow"/>
        </w:rPr>
        <w:t xml:space="preserve"> </w:t>
      </w:r>
      <w:r>
        <w:rPr>
          <w:b w:val="0"/>
          <w:bCs w:val="0"/>
          <w:szCs w:val="22"/>
        </w:rPr>
        <w:t>n</w:t>
      </w:r>
      <w:r>
        <w:rPr>
          <w:b w:val="0"/>
          <w:bCs w:val="0"/>
          <w:szCs w:val="22"/>
          <w:highlight w:val="yellow"/>
        </w:rPr>
        <w:t>o</w:t>
      </w:r>
      <w:r>
        <w:rPr>
          <w:b w:val="0"/>
          <w:bCs w:val="0"/>
          <w:szCs w:val="22"/>
        </w:rPr>
        <w:t xml:space="preserve">t </w:t>
      </w:r>
      <w:r>
        <w:rPr>
          <w:b w:val="0"/>
          <w:bCs w:val="0"/>
          <w:szCs w:val="22"/>
          <w:highlight w:val="yellow"/>
        </w:rPr>
        <w:t>i</w:t>
      </w:r>
      <w:r>
        <w:rPr>
          <w:b w:val="0"/>
          <w:bCs w:val="0"/>
          <w:szCs w:val="22"/>
        </w:rPr>
        <w:t>m</w:t>
      </w:r>
      <w:r>
        <w:rPr>
          <w:b w:val="0"/>
          <w:bCs w:val="0"/>
          <w:szCs w:val="22"/>
          <w:highlight w:val="yellow"/>
        </w:rPr>
        <w:t>ply th</w:t>
      </w:r>
      <w:r>
        <w:rPr>
          <w:b w:val="0"/>
          <w:bCs w:val="0"/>
          <w:szCs w:val="22"/>
        </w:rPr>
        <w:t>a</w:t>
      </w:r>
      <w:r>
        <w:rPr>
          <w:b w:val="0"/>
          <w:bCs w:val="0"/>
          <w:szCs w:val="22"/>
          <w:highlight w:val="yellow"/>
        </w:rPr>
        <w:t>t a product</w:t>
      </w:r>
      <w:r>
        <w:rPr>
          <w:b w:val="0"/>
          <w:bCs w:val="0"/>
          <w:szCs w:val="22"/>
        </w:rPr>
        <w:t xml:space="preserve"> is approved </w:t>
      </w:r>
      <w:r>
        <w:rPr>
          <w:b w:val="0"/>
          <w:bCs w:val="0"/>
          <w:szCs w:val="22"/>
          <w:highlight w:val="yellow"/>
        </w:rPr>
        <w:t>fo</w:t>
      </w:r>
      <w:r>
        <w:rPr>
          <w:b w:val="0"/>
          <w:bCs w:val="0"/>
          <w:szCs w:val="22"/>
        </w:rPr>
        <w:t>r</w:t>
      </w:r>
      <w:r>
        <w:rPr>
          <w:b w:val="0"/>
          <w:bCs w:val="0"/>
          <w:szCs w:val="22"/>
          <w:highlight w:val="yellow"/>
        </w:rPr>
        <w:t xml:space="preserve"> us</w:t>
      </w:r>
      <w:r>
        <w:rPr>
          <w:b w:val="0"/>
          <w:bCs w:val="0"/>
          <w:szCs w:val="22"/>
        </w:rPr>
        <w:t xml:space="preserve">e. A generic list of concentrations cannot </w:t>
      </w:r>
      <w:r>
        <w:rPr>
          <w:b w:val="0"/>
          <w:bCs w:val="0"/>
          <w:szCs w:val="22"/>
          <w:highlight w:val="yellow"/>
        </w:rPr>
        <w:t>d</w:t>
      </w:r>
      <w:r>
        <w:rPr>
          <w:b w:val="0"/>
          <w:bCs w:val="0"/>
          <w:szCs w:val="22"/>
        </w:rPr>
        <w:t>et</w:t>
      </w:r>
      <w:r>
        <w:rPr>
          <w:b w:val="0"/>
          <w:bCs w:val="0"/>
          <w:szCs w:val="22"/>
          <w:highlight w:val="yellow"/>
        </w:rPr>
        <w:t>ermin</w:t>
      </w:r>
      <w:r>
        <w:rPr>
          <w:b w:val="0"/>
          <w:bCs w:val="0"/>
          <w:szCs w:val="22"/>
        </w:rPr>
        <w:t xml:space="preserve">e this </w:t>
      </w:r>
      <w:r>
        <w:rPr>
          <w:b w:val="0"/>
          <w:bCs w:val="0"/>
          <w:szCs w:val="22"/>
          <w:highlight w:val="yellow"/>
        </w:rPr>
        <w:t>choice. D</w:t>
      </w:r>
      <w:r>
        <w:rPr>
          <w:b w:val="0"/>
          <w:bCs w:val="0"/>
          <w:szCs w:val="22"/>
        </w:rPr>
        <w:t>ecision</w:t>
      </w:r>
      <w:r>
        <w:rPr>
          <w:b w:val="0"/>
          <w:bCs w:val="0"/>
          <w:szCs w:val="22"/>
          <w:highlight w:val="yellow"/>
        </w:rPr>
        <w:t>s</w:t>
      </w:r>
      <w:r>
        <w:rPr>
          <w:b w:val="0"/>
          <w:bCs w:val="0"/>
          <w:szCs w:val="22"/>
        </w:rPr>
        <w:t xml:space="preserve"> </w:t>
      </w:r>
      <w:r>
        <w:rPr>
          <w:b w:val="0"/>
          <w:bCs w:val="0"/>
          <w:szCs w:val="22"/>
          <w:highlight w:val="yellow"/>
        </w:rPr>
        <w:t>should</w:t>
      </w:r>
      <w:r>
        <w:rPr>
          <w:b w:val="0"/>
          <w:bCs w:val="0"/>
          <w:szCs w:val="22"/>
        </w:rPr>
        <w:t xml:space="preserve"> </w:t>
      </w:r>
      <w:r>
        <w:rPr>
          <w:b w:val="0"/>
          <w:bCs w:val="0"/>
          <w:szCs w:val="22"/>
          <w:highlight w:val="yellow"/>
        </w:rPr>
        <w:t>be</w:t>
      </w:r>
      <w:r>
        <w:rPr>
          <w:b w:val="0"/>
          <w:bCs w:val="0"/>
          <w:szCs w:val="22"/>
        </w:rPr>
        <w:t xml:space="preserve"> based on product</w:t>
      </w:r>
      <w:r>
        <w:rPr>
          <w:b w:val="0"/>
          <w:bCs w:val="0"/>
          <w:szCs w:val="22"/>
          <w:highlight w:val="yellow"/>
        </w:rPr>
        <w:t>-</w:t>
      </w:r>
      <w:r>
        <w:rPr>
          <w:b w:val="0"/>
          <w:bCs w:val="0"/>
          <w:szCs w:val="22"/>
        </w:rPr>
        <w:t>label instructions and relevant local requirements.</w:t>
      </w:r>
    </w:p>
    <w:p w14:paraId="3B6B71EF" w14:textId="77777777" w:rsidR="00FB12FA" w:rsidRPr="00FB12FA" w:rsidRDefault="00FB12FA" w:rsidP="00FB12FA">
      <w:pPr>
        <w:pStyle w:val="Heading1"/>
        <w:spacing w:line="360" w:lineRule="auto"/>
        <w:rPr>
          <w:b w:val="0"/>
          <w:bCs w:val="0"/>
          <w:szCs w:val="22"/>
        </w:rPr>
      </w:pPr>
      <w:r>
        <w:rPr>
          <w:b w:val="0"/>
          <w:bCs w:val="0"/>
          <w:szCs w:val="22"/>
        </w:rPr>
        <w:lastRenderedPageBreak/>
        <w:t>Recent diafenthiuron research illustrates the difference between efficacy and feed safety. A field study carried out in 2026 reported suppression of thrips and mites and better leaf production under its experimental conditions (Gagana Sindhu et al., 2026). A 2025 feeding study evaluated sprayed leaves at defined intervals after treatment and separately reported favo</w:t>
      </w:r>
      <w:r>
        <w:rPr>
          <w:b w:val="0"/>
          <w:bCs w:val="0"/>
          <w:szCs w:val="22"/>
          <w:highlight w:val="yellow"/>
        </w:rPr>
        <w:t>u</w:t>
      </w:r>
      <w:r>
        <w:rPr>
          <w:b w:val="0"/>
          <w:bCs w:val="0"/>
          <w:szCs w:val="22"/>
        </w:rPr>
        <w:t>rable rearing outcomes 20 days after application (Gagana Sindhu et al., 2025). These observations warrant further validation but do not establish a universal 20-day interval for different formulations, spray schedules, silkworm stages or environments.</w:t>
      </w:r>
    </w:p>
    <w:p w14:paraId="23FEC05C" w14:textId="77777777" w:rsidR="00FB12FA" w:rsidRPr="00FB12FA" w:rsidRDefault="00FB12FA" w:rsidP="00FB12FA">
      <w:pPr>
        <w:pStyle w:val="Heading1"/>
        <w:spacing w:line="360" w:lineRule="auto"/>
        <w:rPr>
          <w:b w:val="0"/>
          <w:bCs w:val="0"/>
          <w:szCs w:val="22"/>
        </w:rPr>
      </w:pPr>
      <w:r>
        <w:rPr>
          <w:b w:val="0"/>
          <w:bCs w:val="0"/>
          <w:szCs w:val="22"/>
        </w:rPr>
        <w:t>Where chemical treatment is necessary, resistance management should rotate truly different modes of action. Effective rotation is not achieved by simply changing a trade name without changing the mode of action. The Insecticide Resistance Action Committee classification can be used as a reference for this purpose, but it does not specify legal crop use or silkworm safety (Insecticide Resistance Action Committee [IRAC], 2026). Feeding decisions should also consider the availability of untreated foliage and spray drift from neighbo</w:t>
      </w:r>
      <w:r>
        <w:rPr>
          <w:b w:val="0"/>
          <w:bCs w:val="0"/>
          <w:szCs w:val="22"/>
          <w:highlight w:val="yellow"/>
        </w:rPr>
        <w:t>u</w:t>
      </w:r>
      <w:r>
        <w:rPr>
          <w:b w:val="0"/>
          <w:bCs w:val="0"/>
          <w:szCs w:val="22"/>
        </w:rPr>
        <w:t>ring crops.</w:t>
      </w:r>
    </w:p>
    <w:p w14:paraId="7F2642E3" w14:textId="77777777" w:rsidR="00FB12FA" w:rsidRDefault="00FB12FA" w:rsidP="00FB12FA">
      <w:pPr>
        <w:pStyle w:val="Heading1"/>
        <w:spacing w:line="360" w:lineRule="auto"/>
        <w:rPr>
          <w:b w:val="0"/>
          <w:bCs w:val="0"/>
          <w:szCs w:val="22"/>
        </w:rPr>
      </w:pPr>
      <w:r>
        <w:rPr>
          <w:b w:val="0"/>
          <w:bCs w:val="0"/>
          <w:szCs w:val="22"/>
        </w:rPr>
        <w:t>A mode</w:t>
      </w:r>
      <w:r>
        <w:rPr>
          <w:b w:val="0"/>
          <w:bCs w:val="0"/>
          <w:szCs w:val="22"/>
          <w:highlight w:val="yellow"/>
        </w:rPr>
        <w:t>-</w:t>
      </w:r>
      <w:r>
        <w:rPr>
          <w:b w:val="0"/>
          <w:bCs w:val="0"/>
          <w:szCs w:val="22"/>
        </w:rPr>
        <w:t>of</w:t>
      </w:r>
      <w:r>
        <w:rPr>
          <w:b w:val="0"/>
          <w:bCs w:val="0"/>
          <w:szCs w:val="22"/>
          <w:highlight w:val="yellow"/>
        </w:rPr>
        <w:t>-</w:t>
      </w:r>
      <w:r>
        <w:rPr>
          <w:b w:val="0"/>
          <w:bCs w:val="0"/>
          <w:szCs w:val="22"/>
        </w:rPr>
        <w:t>action program</w:t>
      </w:r>
      <w:r>
        <w:rPr>
          <w:b w:val="0"/>
          <w:bCs w:val="0"/>
          <w:szCs w:val="22"/>
          <w:highlight w:val="yellow"/>
        </w:rPr>
        <w:t>me</w:t>
      </w:r>
      <w:r>
        <w:rPr>
          <w:b w:val="0"/>
          <w:bCs w:val="0"/>
          <w:szCs w:val="22"/>
        </w:rPr>
        <w:t xml:space="preserve"> should be linked to standardi</w:t>
      </w:r>
      <w:r>
        <w:rPr>
          <w:b w:val="0"/>
          <w:bCs w:val="0"/>
          <w:szCs w:val="22"/>
          <w:highlight w:val="yellow"/>
        </w:rPr>
        <w:t>s</w:t>
      </w:r>
      <w:r>
        <w:rPr>
          <w:b w:val="0"/>
          <w:bCs w:val="0"/>
          <w:szCs w:val="22"/>
        </w:rPr>
        <w:t>ed susceptibility bioassays and field treatment histories. Sparks and Nauen (2015) describe classification as a basis for the selection of rotation options in resistance management. A reduction in field efficacy cannot be taken as proof of resistance inheritance because performance can also be affected by coverage, pest identity, timing of application and weather.</w:t>
      </w:r>
    </w:p>
    <w:p w14:paraId="79E10AE1" w14:textId="77777777" w:rsidR="00F90A15" w:rsidRDefault="00000000" w:rsidP="00FB12FA">
      <w:pPr>
        <w:pStyle w:val="Heading1"/>
      </w:pPr>
      <w:r>
        <w:t>6. Recent developments and critical interpretation</w:t>
      </w:r>
    </w:p>
    <w:p w14:paraId="496B42DD" w14:textId="77777777" w:rsidR="00F90A15" w:rsidRDefault="00000000">
      <w:r>
        <w:t>Table 2 separates recent findings from their practical limitations. Three developments are especially relevant: revised pest identities, official evidence of suppression</w:t>
      </w:r>
      <w:r>
        <w:rPr>
          <w:highlight w:val="yellow"/>
        </w:rPr>
        <w:t xml:space="preserve"> through biological control</w:t>
      </w:r>
      <w:r>
        <w:t>, and monitoring methods that detect stress before extensive visible injury. These advances strengthen management only when interpreted within the host, location and experimental conditions in which they were generated.</w:t>
      </w:r>
    </w:p>
    <w:p w14:paraId="32F0EC22" w14:textId="77777777" w:rsidR="00F90A15" w:rsidRDefault="00000000">
      <w:pPr>
        <w:keepNext/>
        <w:spacing w:line="480" w:lineRule="auto"/>
      </w:pPr>
      <w:r>
        <w:t>Table 2 Selected recent evidence and implications for mulberry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3528"/>
        <w:gridCol w:w="3528"/>
      </w:tblGrid>
      <w:tr w:rsidR="00F90A15" w14:paraId="6A318D4D" w14:textId="77777777" w:rsidTr="000F51C1">
        <w:trPr>
          <w:cantSplit/>
          <w:tblHeader/>
        </w:trPr>
        <w:tc>
          <w:tcPr>
            <w:tcW w:w="2304" w:type="dxa"/>
          </w:tcPr>
          <w:p w14:paraId="5F9F91A4" w14:textId="77777777" w:rsidR="00F90A15" w:rsidRDefault="00000000">
            <w:pPr>
              <w:spacing w:after="60" w:line="480" w:lineRule="auto"/>
              <w:jc w:val="left"/>
            </w:pPr>
            <w:r>
              <w:rPr>
                <w:b/>
              </w:rPr>
              <w:t>Source</w:t>
            </w:r>
          </w:p>
        </w:tc>
        <w:tc>
          <w:tcPr>
            <w:tcW w:w="3528" w:type="dxa"/>
          </w:tcPr>
          <w:p w14:paraId="07A330C0" w14:textId="77777777" w:rsidR="00F90A15" w:rsidRDefault="00000000">
            <w:pPr>
              <w:spacing w:after="60" w:line="480" w:lineRule="auto"/>
              <w:jc w:val="left"/>
            </w:pPr>
            <w:r>
              <w:rPr>
                <w:b/>
              </w:rPr>
              <w:t>Verified contribution</w:t>
            </w:r>
          </w:p>
        </w:tc>
        <w:tc>
          <w:tcPr>
            <w:tcW w:w="3528" w:type="dxa"/>
          </w:tcPr>
          <w:p w14:paraId="1A91E602" w14:textId="77777777" w:rsidR="00F90A15" w:rsidRDefault="00000000">
            <w:pPr>
              <w:spacing w:after="60" w:line="480" w:lineRule="auto"/>
              <w:jc w:val="left"/>
            </w:pPr>
            <w:r>
              <w:rPr>
                <w:b/>
              </w:rPr>
              <w:t>Interpretive limit</w:t>
            </w:r>
          </w:p>
        </w:tc>
      </w:tr>
      <w:tr w:rsidR="00F90A15" w14:paraId="33F63AB9" w14:textId="77777777" w:rsidTr="000F51C1">
        <w:trPr>
          <w:cantSplit/>
        </w:trPr>
        <w:tc>
          <w:tcPr>
            <w:tcW w:w="2304" w:type="dxa"/>
          </w:tcPr>
          <w:p w14:paraId="0A06B41E" w14:textId="77777777" w:rsidR="00F90A15" w:rsidRDefault="00000000">
            <w:pPr>
              <w:spacing w:after="60" w:line="480" w:lineRule="auto"/>
              <w:jc w:val="left"/>
            </w:pPr>
            <w:r>
              <w:t>Sreerama Kumar et al. (2024)</w:t>
            </w:r>
          </w:p>
        </w:tc>
        <w:tc>
          <w:tcPr>
            <w:tcW w:w="3528" w:type="dxa"/>
          </w:tcPr>
          <w:p w14:paraId="3E38A104" w14:textId="77777777" w:rsidR="00F90A15" w:rsidRDefault="00000000">
            <w:pPr>
              <w:spacing w:after="60" w:line="480" w:lineRule="auto"/>
              <w:jc w:val="left"/>
            </w:pPr>
            <w:r>
              <w:t>Documents a diverse southern Indian thrips complex</w:t>
            </w:r>
          </w:p>
        </w:tc>
        <w:tc>
          <w:tcPr>
            <w:tcW w:w="3528" w:type="dxa"/>
          </w:tcPr>
          <w:p w14:paraId="1D85E02F" w14:textId="77777777" w:rsidR="00F90A15" w:rsidRDefault="00000000">
            <w:pPr>
              <w:spacing w:after="60" w:line="480" w:lineRule="auto"/>
              <w:jc w:val="left"/>
            </w:pPr>
            <w:r>
              <w:t>Surveyed sites do not establish national dominance</w:t>
            </w:r>
          </w:p>
        </w:tc>
      </w:tr>
      <w:tr w:rsidR="00F90A15" w14:paraId="1EEA4D8E" w14:textId="77777777" w:rsidTr="000F51C1">
        <w:trPr>
          <w:cantSplit/>
        </w:trPr>
        <w:tc>
          <w:tcPr>
            <w:tcW w:w="2304" w:type="dxa"/>
          </w:tcPr>
          <w:p w14:paraId="0837A846" w14:textId="77777777" w:rsidR="00F90A15" w:rsidRDefault="00000000">
            <w:pPr>
              <w:spacing w:after="60" w:line="480" w:lineRule="auto"/>
              <w:jc w:val="left"/>
            </w:pPr>
            <w:r>
              <w:lastRenderedPageBreak/>
              <w:t>Government of India (2024)</w:t>
            </w:r>
          </w:p>
        </w:tc>
        <w:tc>
          <w:tcPr>
            <w:tcW w:w="3528" w:type="dxa"/>
          </w:tcPr>
          <w:p w14:paraId="5A3F2978" w14:textId="77777777" w:rsidR="00F90A15" w:rsidRDefault="00000000">
            <w:pPr>
              <w:spacing w:after="60" w:line="480" w:lineRule="auto"/>
              <w:jc w:val="left"/>
            </w:pPr>
            <w:r>
              <w:t>Reports papaya mealybug suppression through biological control</w:t>
            </w:r>
          </w:p>
        </w:tc>
        <w:tc>
          <w:tcPr>
            <w:tcW w:w="3528" w:type="dxa"/>
          </w:tcPr>
          <w:p w14:paraId="4426C898" w14:textId="77777777" w:rsidR="00F90A15" w:rsidRDefault="00000000">
            <w:pPr>
              <w:spacing w:after="60" w:line="480" w:lineRule="auto"/>
              <w:jc w:val="left"/>
            </w:pPr>
            <w:r>
              <w:t>Official status does not exclude local resurgence</w:t>
            </w:r>
          </w:p>
        </w:tc>
      </w:tr>
      <w:tr w:rsidR="00F90A15" w14:paraId="40117715" w14:textId="77777777" w:rsidTr="000F51C1">
        <w:trPr>
          <w:cantSplit/>
        </w:trPr>
        <w:tc>
          <w:tcPr>
            <w:tcW w:w="2304" w:type="dxa"/>
          </w:tcPr>
          <w:p w14:paraId="1DAE0E5D" w14:textId="77777777" w:rsidR="00F90A15" w:rsidRDefault="00000000">
            <w:pPr>
              <w:spacing w:after="60" w:line="480" w:lineRule="auto"/>
              <w:jc w:val="left"/>
            </w:pPr>
            <w:r>
              <w:t>Finch et al. (2024)</w:t>
            </w:r>
          </w:p>
        </w:tc>
        <w:tc>
          <w:tcPr>
            <w:tcW w:w="3528" w:type="dxa"/>
          </w:tcPr>
          <w:p w14:paraId="3969CE17" w14:textId="77777777" w:rsidR="00F90A15" w:rsidRDefault="00000000">
            <w:pPr>
              <w:spacing w:after="60" w:line="480" w:lineRule="auto"/>
              <w:jc w:val="left"/>
            </w:pPr>
            <w:r>
              <w:t>Models parasitoid and pest climatic suitability in Africa</w:t>
            </w:r>
          </w:p>
        </w:tc>
        <w:tc>
          <w:tcPr>
            <w:tcW w:w="3528" w:type="dxa"/>
          </w:tcPr>
          <w:p w14:paraId="2B142D10" w14:textId="77777777" w:rsidR="00F90A15" w:rsidRDefault="00000000">
            <w:pPr>
              <w:spacing w:after="60" w:line="480" w:lineRule="auto"/>
              <w:jc w:val="left"/>
            </w:pPr>
            <w:r>
              <w:t>Prediction is not a release trial in Indian mulberry</w:t>
            </w:r>
          </w:p>
        </w:tc>
      </w:tr>
      <w:tr w:rsidR="00F90A15" w14:paraId="7A071A98" w14:textId="77777777" w:rsidTr="000F51C1">
        <w:trPr>
          <w:cantSplit/>
        </w:trPr>
        <w:tc>
          <w:tcPr>
            <w:tcW w:w="2304" w:type="dxa"/>
          </w:tcPr>
          <w:p w14:paraId="79124A46" w14:textId="77777777" w:rsidR="00F90A15" w:rsidRDefault="00000000">
            <w:pPr>
              <w:spacing w:after="60" w:line="480" w:lineRule="auto"/>
              <w:jc w:val="left"/>
            </w:pPr>
            <w:r>
              <w:t>Gagana Sindhu et al. (2025, 2026)</w:t>
            </w:r>
          </w:p>
        </w:tc>
        <w:tc>
          <w:tcPr>
            <w:tcW w:w="3528" w:type="dxa"/>
          </w:tcPr>
          <w:p w14:paraId="4DB863FA" w14:textId="77777777" w:rsidR="00F90A15" w:rsidRDefault="00000000">
            <w:pPr>
              <w:spacing w:after="60" w:line="480" w:lineRule="auto"/>
              <w:jc w:val="left"/>
            </w:pPr>
            <w:r>
              <w:t>Provides pesticide feeding-safety and field-efficacy evidence</w:t>
            </w:r>
          </w:p>
        </w:tc>
        <w:tc>
          <w:tcPr>
            <w:tcW w:w="3528" w:type="dxa"/>
          </w:tcPr>
          <w:p w14:paraId="35E05419" w14:textId="77777777" w:rsidR="00F90A15" w:rsidRDefault="00000000">
            <w:pPr>
              <w:spacing w:after="60" w:line="480" w:lineRule="auto"/>
              <w:jc w:val="left"/>
            </w:pPr>
            <w:r>
              <w:t>Experimental results do not establish universal crop-use safety</w:t>
            </w:r>
          </w:p>
        </w:tc>
      </w:tr>
      <w:tr w:rsidR="00F90A15" w14:paraId="711514B1" w14:textId="77777777" w:rsidTr="000F51C1">
        <w:trPr>
          <w:cantSplit/>
        </w:trPr>
        <w:tc>
          <w:tcPr>
            <w:tcW w:w="2304" w:type="dxa"/>
          </w:tcPr>
          <w:p w14:paraId="7D943F69" w14:textId="77777777" w:rsidR="00F90A15" w:rsidRDefault="00000000">
            <w:pPr>
              <w:spacing w:after="60" w:line="480" w:lineRule="auto"/>
              <w:jc w:val="left"/>
            </w:pPr>
            <w:r>
              <w:t>Kalpana et al. (2026)</w:t>
            </w:r>
          </w:p>
        </w:tc>
        <w:tc>
          <w:tcPr>
            <w:tcW w:w="3528" w:type="dxa"/>
          </w:tcPr>
          <w:p w14:paraId="3B51ABA3" w14:textId="77777777" w:rsidR="00F90A15" w:rsidRDefault="00000000">
            <w:pPr>
              <w:spacing w:after="60" w:line="480" w:lineRule="auto"/>
              <w:jc w:val="left"/>
            </w:pPr>
            <w:r>
              <w:t>Reports hyperspectral red-edge shifts in infested V1 mulberry</w:t>
            </w:r>
          </w:p>
        </w:tc>
        <w:tc>
          <w:tcPr>
            <w:tcW w:w="3528" w:type="dxa"/>
          </w:tcPr>
          <w:p w14:paraId="473255DF" w14:textId="77777777" w:rsidR="00F90A15" w:rsidRDefault="00000000">
            <w:pPr>
              <w:spacing w:after="60" w:line="480" w:lineRule="auto"/>
              <w:jc w:val="left"/>
            </w:pPr>
            <w:r>
              <w:t>Stress detection needs independent and multi-stress validation</w:t>
            </w:r>
          </w:p>
        </w:tc>
      </w:tr>
    </w:tbl>
    <w:p w14:paraId="50C7AB7B" w14:textId="77777777" w:rsidR="00F90A15" w:rsidRDefault="00000000">
      <w:r>
        <w:t>This table summari</w:t>
      </w:r>
      <w:r>
        <w:rPr>
          <w:highlight w:val="yellow"/>
        </w:rPr>
        <w:t>s</w:t>
      </w:r>
      <w:r>
        <w:t>es selected evidence; it is not a meta-analysis or a comparison of treatment efficacy across studies.</w:t>
      </w:r>
    </w:p>
    <w:p w14:paraId="170A7E27" w14:textId="77777777" w:rsidR="00F90A15" w:rsidRDefault="00000000">
      <w:r>
        <w:t xml:space="preserve">Kalpana et al. (2026) used hyperspectral measurements on V1 mulberry and reported </w:t>
      </w:r>
      <w:r>
        <w:rPr>
          <w:highlight w:val="yellow"/>
        </w:rPr>
        <w:t>a shif</w:t>
      </w:r>
      <w:r>
        <w:t xml:space="preserve">t </w:t>
      </w:r>
      <w:r>
        <w:rPr>
          <w:highlight w:val="yellow"/>
        </w:rPr>
        <w:t>in</w:t>
      </w:r>
      <w:r>
        <w:t xml:space="preserve"> the red-edge position towards shorter wavelengths in pest-infested plants. Measurements at several post-pruning ages indicate potential for detecting physiological stress associated with whitefly, mealybug and thrips infestation. However, spectral stress signatures should not be equated with definitive insect identification. Nutrient deficiency, water stress and other leaf disorders require inclusion as competing explanations during validation.</w:t>
      </w:r>
    </w:p>
    <w:p w14:paraId="08966A4C" w14:textId="77777777" w:rsidR="00F90A15" w:rsidRDefault="00000000">
      <w:r>
        <w:t xml:space="preserve">A practical digital programme would combine images or spectral observations with confirmed pest counts and crop records. Algorithms should be assessed </w:t>
      </w:r>
      <w:r>
        <w:rPr>
          <w:highlight w:val="yellow"/>
        </w:rPr>
        <w:t>acr</w:t>
      </w:r>
      <w:r>
        <w:t>o</w:t>
      </w:r>
      <w:r>
        <w:rPr>
          <w:highlight w:val="yellow"/>
        </w:rPr>
        <w:t>ss</w:t>
      </w:r>
      <w:r>
        <w:t xml:space="preserve"> independent farms and seasons, with explicit reporting of false alarms and missed infestations. The value to sericulture would depend on whether earlier detection improves usable leaf availability while reducing hazardous interventions. These are proposed evaluation criteria, not established outcomes of the cited spectral study.</w:t>
      </w:r>
    </w:p>
    <w:p w14:paraId="0D78AE12" w14:textId="77777777" w:rsidR="00F90A15" w:rsidRDefault="00000000">
      <w:r>
        <w:t xml:space="preserve">Acute mortality is only one component of pesticide effects on beneficial arthropods. Changes in behaviour, physiology and reproductive performance can impair biological control even when many exposed individuals survive (Desneux et al., 2007). This </w:t>
      </w:r>
      <w:r>
        <w:rPr>
          <w:highlight w:val="yellow"/>
        </w:rPr>
        <w:t>broa</w:t>
      </w:r>
      <w:r>
        <w:t xml:space="preserve">der evidence supports </w:t>
      </w:r>
      <w:r>
        <w:rPr>
          <w:highlight w:val="yellow"/>
        </w:rPr>
        <w:t xml:space="preserve">the </w:t>
      </w:r>
      <w:r>
        <w:t>inclu</w:t>
      </w:r>
      <w:r>
        <w:rPr>
          <w:highlight w:val="yellow"/>
        </w:rPr>
        <w:t>s</w:t>
      </w:r>
      <w:r>
        <w:t>i</w:t>
      </w:r>
      <w:r>
        <w:rPr>
          <w:highlight w:val="yellow"/>
        </w:rPr>
        <w:t>o</w:t>
      </w:r>
      <w:r>
        <w:t>n</w:t>
      </w:r>
      <w:r>
        <w:rPr>
          <w:highlight w:val="yellow"/>
        </w:rPr>
        <w:t xml:space="preserve"> of</w:t>
      </w:r>
      <w:r>
        <w:t xml:space="preserve"> sublethal endpoints in mulberry natural-enemy studies; it should not be interpreted as a numerical toxicity estimate for </w:t>
      </w:r>
      <w:r>
        <w:rPr>
          <w:i/>
        </w:rPr>
        <w:t>Bombyx mori</w:t>
      </w:r>
      <w:r>
        <w:t>.</w:t>
      </w:r>
    </w:p>
    <w:p w14:paraId="69BA8E73" w14:textId="77777777" w:rsidR="00F90A15" w:rsidRDefault="00000000">
      <w:pPr>
        <w:pStyle w:val="Heading1"/>
      </w:pPr>
      <w:r>
        <w:lastRenderedPageBreak/>
        <w:t>7. Research gaps and priorities</w:t>
      </w:r>
    </w:p>
    <w:p w14:paraId="34F7CE89" w14:textId="77777777" w:rsidR="000E3D96" w:rsidRDefault="000E3D96" w:rsidP="000E3D96">
      <w:pPr>
        <w:pStyle w:val="Heading1"/>
        <w:spacing w:line="360" w:lineRule="auto"/>
        <w:ind w:firstLine="720"/>
        <w:rPr>
          <w:b w:val="0"/>
          <w:bCs w:val="0"/>
        </w:rPr>
      </w:pPr>
      <w:r>
        <w:rPr>
          <w:b w:val="0"/>
          <w:bCs w:val="0"/>
        </w:rPr>
        <w:t>Taxonomic uncertainty is a major limitation. Voucher specimens should be retained and the method of identification documented before ascribing species-specific biology, response to climate or control efficacy. Molecular tools are useful to complement morphological diagnosis, if reliable reference sequences are available. Local species composition may change and should be carefully re</w:t>
      </w:r>
      <w:r>
        <w:rPr>
          <w:b w:val="0"/>
          <w:bCs w:val="0"/>
          <w:highlight w:val="yellow"/>
        </w:rPr>
        <w:t>-</w:t>
      </w:r>
      <w:r>
        <w:rPr>
          <w:b w:val="0"/>
          <w:bCs w:val="0"/>
        </w:rPr>
        <w:t>examined in historical records, but this should not be a reason to erase all older records from another region.</w:t>
      </w:r>
      <w:r>
        <w:rPr>
          <w:b w:val="0"/>
          <w:bCs w:val="0"/>
        </w:rPr>
        <w:br/>
        <w:t>Action thresholds should relate pest density to the actual production objective. Replicated studies should quantify harvestable leaf biomass, proportion suitable for feeding, leaf nutritional traits and cocoon performance. Economic comparisons should take account of the cost of the intervention, the loss of leaf due to contamination and the time taken to obtain replacement foliage. A threshold based on cotton, vegetable or fruit crops cannot be assumed to be applicable to mulberry. Safety studies should evaluate the exposure pathway from treated foliage to larvae, including different instars, repeated feeding and sublethal effects. Suitable end-points include survival, development time, larval weight, cocoon weight, shell weight and reproductive performance where appropriate. Using residue measurements and standardi</w:t>
      </w:r>
      <w:r>
        <w:rPr>
          <w:b w:val="0"/>
          <w:bCs w:val="0"/>
          <w:highlight w:val="yellow"/>
        </w:rPr>
        <w:t>s</w:t>
      </w:r>
      <w:r>
        <w:rPr>
          <w:b w:val="0"/>
          <w:bCs w:val="0"/>
        </w:rPr>
        <w:t>ed feeding bioassays would increase the transferability of the results compared to mortality observations alone. Target pest efficacy should be considered along with natural enemy compatibility. Finally, integrated program</w:t>
      </w:r>
      <w:r>
        <w:rPr>
          <w:b w:val="0"/>
          <w:bCs w:val="0"/>
          <w:highlight w:val="yellow"/>
        </w:rPr>
        <w:t>me</w:t>
      </w:r>
      <w:r>
        <w:rPr>
          <w:b w:val="0"/>
          <w:bCs w:val="0"/>
        </w:rPr>
        <w:t>s need to be compared with routine farm practice over several seasons. Evaluations should include the pest complex, pruning schedule, weather, natural-enemy status, and availability of untreated feed. Such studies can test whether scouting, biological control and selective intervention continue to work when outbreaks involve multiple species simultaneously. I</w:t>
      </w:r>
      <w:r>
        <w:rPr>
          <w:b w:val="0"/>
          <w:bCs w:val="0"/>
          <w:highlight w:val="yellow"/>
        </w:rPr>
        <w:t>nvolving</w:t>
      </w:r>
      <w:r>
        <w:rPr>
          <w:b w:val="0"/>
          <w:bCs w:val="0"/>
        </w:rPr>
        <w:t xml:space="preserve"> farmers would </w:t>
      </w:r>
      <w:r>
        <w:rPr>
          <w:b w:val="0"/>
          <w:bCs w:val="0"/>
          <w:highlight w:val="yellow"/>
        </w:rPr>
        <w:t>h</w:t>
      </w:r>
      <w:r>
        <w:rPr>
          <w:b w:val="0"/>
          <w:bCs w:val="0"/>
        </w:rPr>
        <w:t>e</w:t>
      </w:r>
      <w:r>
        <w:rPr>
          <w:b w:val="0"/>
          <w:bCs w:val="0"/>
          <w:highlight w:val="yellow"/>
        </w:rPr>
        <w:t>l</w:t>
      </w:r>
      <w:r>
        <w:rPr>
          <w:b w:val="0"/>
          <w:bCs w:val="0"/>
        </w:rPr>
        <w:t>p determine the</w:t>
      </w:r>
      <w:r>
        <w:rPr>
          <w:b w:val="0"/>
          <w:bCs w:val="0"/>
          <w:highlight w:val="yellow"/>
        </w:rPr>
        <w:t xml:space="preserve"> feasibility of</w:t>
      </w:r>
      <w:r>
        <w:rPr>
          <w:b w:val="0"/>
          <w:bCs w:val="0"/>
        </w:rPr>
        <w:t xml:space="preserve"> the proposed monitoring and record-keeping requirements.</w:t>
      </w:r>
    </w:p>
    <w:p w14:paraId="21BB21CE" w14:textId="77777777" w:rsidR="00F90A15" w:rsidRDefault="00000000" w:rsidP="000E3D96">
      <w:pPr>
        <w:pStyle w:val="Heading1"/>
      </w:pPr>
      <w:r>
        <w:t>8. Conclusion</w:t>
      </w:r>
    </w:p>
    <w:p w14:paraId="1144C748" w14:textId="77777777" w:rsidR="00221C26" w:rsidRDefault="00221C26">
      <w:pPr>
        <w:pStyle w:val="Heading1"/>
        <w:rPr>
          <w:b w:val="0"/>
          <w:bCs w:val="0"/>
        </w:rPr>
      </w:pPr>
      <w:r w:rsidRPr="00221C26">
        <w:rPr>
          <w:b w:val="0"/>
          <w:bCs w:val="0"/>
          <w:highlight w:val="yellow"/>
        </w:rPr>
        <w:lastRenderedPageBreak/>
        <w:t>Integrated management of sucking insect pests in mulberry must protect both leaf production and the silkworms that depend on harvested foliage. Evidence reviewed here indicates that pest identification is a prerequisite for interpreting field symptoms and choosing suitable interventions, particularly where several thrips species coexist. Published findings also support the role of natural enemies in suppressing papaya mealybug, while demonstrating that biological control requires suitable establishment conditions and continued surveillance. Preventive practices, clean planting material, routine scouting, selective removal of infested shoots and balanced crop management provide a practical foundation for integrated management. Monitoring should distinguish active infestations from residual damage and record crop stage, pest abundance and natural-enemy activity. Botanical, microbial and chemical products should not be regarded as intrinsically safe for silkworms; their use requires species-specific efficacy data and appropriate exposure assessment. In particular, chemical treatment decisions must comply with current authorisations and validated feeding intervals. Further replicated studies should link confirmed pest identities and population levels with harvestable leaf yield, residue exposure and cocoon performance across pruning cycles and seasons. Such evidence would help refine locally applicable, silkworm-compatible management recommendations.</w:t>
      </w:r>
      <w:r w:rsidRPr="00221C26">
        <w:rPr>
          <w:b w:val="0"/>
          <w:bCs w:val="0"/>
        </w:rPr>
        <w:t xml:space="preserve"> </w:t>
      </w:r>
    </w:p>
    <w:p w14:paraId="308902FF" w14:textId="77777777" w:rsidR="00221C26" w:rsidRDefault="00221C26" w:rsidP="00221C26"/>
    <w:p w14:paraId="4E441C95" w14:textId="716EDD4C" w:rsidR="00221C26" w:rsidRPr="00221C26" w:rsidRDefault="00221C26" w:rsidP="00221C26">
      <w:pPr>
        <w:rPr>
          <w:b/>
          <w:bCs/>
        </w:rPr>
      </w:pPr>
      <w:r w:rsidRPr="00221C26">
        <w:rPr>
          <w:b/>
          <w:bCs/>
        </w:rPr>
        <w:t xml:space="preserve">Limitations </w:t>
      </w:r>
    </w:p>
    <w:p w14:paraId="5CD4C5FB" w14:textId="6198697B" w:rsidR="00221C26" w:rsidRPr="00221C26" w:rsidRDefault="00221C26" w:rsidP="00221C26">
      <w:r w:rsidRPr="00221C26">
        <w:t>This article is a focused narrative review rather than a systematic review or meta-analysis. Its conclusions draw on taxonomic studies, institutional reports and pest-management investigations conducted under differing locations and experimental conditions. These differences limit the transferability of pest rankings, biological-control outcomes and pesticide feeding intervals. Available findings also provide an incomplete basis for establishing species-specific action thresholds or for distinguishing pest-induced spectral stress from other sources of leaf stress. Consequently, the proposed monitoring and management priorities require locally replicated evaluation before they can be treated as broadly applicable recommendations.</w:t>
      </w:r>
    </w:p>
    <w:p w14:paraId="393B042D" w14:textId="4A649F6C" w:rsidR="00F90A15" w:rsidRDefault="00000000">
      <w:pPr>
        <w:pStyle w:val="Heading1"/>
      </w:pPr>
      <w:r>
        <w:t>Competing interests</w:t>
      </w:r>
    </w:p>
    <w:p w14:paraId="281C06A5" w14:textId="77777777" w:rsidR="00F90A15" w:rsidRDefault="00000000">
      <w:r>
        <w:t>The authors declare that no competing interests exist.</w:t>
      </w:r>
    </w:p>
    <w:p w14:paraId="5FBFC988" w14:textId="169DCEDB" w:rsidR="00F2665A" w:rsidRDefault="00F2665A" w:rsidP="00F2665A">
      <w:pPr>
        <w:spacing w:after="0"/>
        <w:rPr>
          <w:b/>
        </w:rPr>
      </w:pPr>
      <w:r w:rsidRPr="000839CE">
        <w:rPr>
          <w:b/>
        </w:rPr>
        <w:t>Declaration of AI Use</w:t>
      </w:r>
    </w:p>
    <w:p w14:paraId="5BA35094" w14:textId="77777777" w:rsidR="00F2665A" w:rsidRDefault="00F2665A" w:rsidP="00F2665A">
      <w:pPr>
        <w:spacing w:after="0"/>
        <w:rPr>
          <w:b/>
        </w:rPr>
      </w:pPr>
    </w:p>
    <w:p w14:paraId="2357265E" w14:textId="77777777" w:rsidR="00F2665A" w:rsidRPr="002D08AC" w:rsidRDefault="00F2665A" w:rsidP="00F2665A">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167AD80" w14:textId="77777777" w:rsidR="00F2665A" w:rsidRDefault="00F2665A"/>
    <w:p w14:paraId="61780108" w14:textId="77777777" w:rsidR="00F90A15" w:rsidRDefault="00000000">
      <w:pPr>
        <w:pStyle w:val="Heading1"/>
      </w:pPr>
      <w:r>
        <w:t>References</w:t>
      </w:r>
    </w:p>
    <w:p w14:paraId="6E4CC522" w14:textId="77777777" w:rsidR="00E67301" w:rsidRDefault="00E67301" w:rsidP="00E67301">
      <w:pPr>
        <w:spacing w:before="100" w:beforeAutospacing="1" w:after="100" w:afterAutospacing="1"/>
        <w:jc w:val="left"/>
        <w:rPr>
          <w:color w:val="auto"/>
          <w:szCs w:val="24"/>
        </w:rPr>
      </w:pPr>
    </w:p>
    <w:p w14:paraId="3B2D85BD" w14:textId="19BFCDF4" w:rsidR="00E67301" w:rsidRPr="00E67301" w:rsidRDefault="00E67301" w:rsidP="00E67301">
      <w:pPr>
        <w:spacing w:before="100" w:beforeAutospacing="1" w:after="100" w:afterAutospacing="1"/>
        <w:jc w:val="left"/>
        <w:rPr>
          <w:color w:val="auto"/>
          <w:szCs w:val="24"/>
        </w:rPr>
      </w:pPr>
      <w:r w:rsidRPr="00E67301">
        <w:rPr>
          <w:color w:val="auto"/>
          <w:szCs w:val="24"/>
        </w:rPr>
        <w:t xml:space="preserve">Bale, J. S., van Lenteren, J. C., &amp; Bigler, F. (2008). Biological control and sustainable food production. </w:t>
      </w:r>
      <w:r w:rsidRPr="00E67301">
        <w:rPr>
          <w:i/>
          <w:iCs/>
          <w:color w:val="auto"/>
          <w:szCs w:val="24"/>
        </w:rPr>
        <w:t>Philosophical Transactions of the Royal Society B: Biological Sciences, 363</w:t>
      </w:r>
      <w:r w:rsidRPr="00E67301">
        <w:rPr>
          <w:color w:val="auto"/>
          <w:szCs w:val="24"/>
        </w:rPr>
        <w:t xml:space="preserve">(1492), 761–776. </w:t>
      </w:r>
      <w:hyperlink r:id="rId8" w:history="1">
        <w:r w:rsidRPr="00E67301">
          <w:rPr>
            <w:color w:val="0000FF"/>
            <w:szCs w:val="24"/>
            <w:u w:val="single"/>
          </w:rPr>
          <w:t>https://doi.org/10.1098/rstb.2007.2182</w:t>
        </w:r>
      </w:hyperlink>
    </w:p>
    <w:p w14:paraId="5C7089F0" w14:textId="77777777" w:rsidR="00E67301" w:rsidRPr="00E67301" w:rsidRDefault="00E67301" w:rsidP="00E67301">
      <w:pPr>
        <w:spacing w:before="100" w:beforeAutospacing="1" w:after="100" w:afterAutospacing="1"/>
        <w:jc w:val="left"/>
        <w:rPr>
          <w:color w:val="auto"/>
          <w:szCs w:val="24"/>
        </w:rPr>
      </w:pPr>
      <w:r w:rsidRPr="00E67301">
        <w:rPr>
          <w:color w:val="auto"/>
          <w:szCs w:val="24"/>
        </w:rPr>
        <w:lastRenderedPageBreak/>
        <w:t xml:space="preserve">Central Silk Board. (n.d.). </w:t>
      </w:r>
      <w:r w:rsidRPr="00E67301">
        <w:rPr>
          <w:i/>
          <w:iCs/>
          <w:color w:val="auto"/>
          <w:szCs w:val="24"/>
        </w:rPr>
        <w:t>Diseases and pests of food plants</w:t>
      </w:r>
      <w:r w:rsidRPr="00E67301">
        <w:rPr>
          <w:color w:val="auto"/>
          <w:szCs w:val="24"/>
        </w:rPr>
        <w:t xml:space="preserve">. Sericulture Information Linkages and Knowledge System (SILKS). Retrieved October 14, 2026, from </w:t>
      </w:r>
      <w:hyperlink r:id="rId9" w:history="1">
        <w:r w:rsidRPr="00E67301">
          <w:rPr>
            <w:color w:val="0000FF"/>
            <w:szCs w:val="24"/>
            <w:u w:val="single"/>
          </w:rPr>
          <w:t>https://silks.csb.gov.in/medak/diseases-and-pests-of-food-plants/</w:t>
        </w:r>
      </w:hyperlink>
    </w:p>
    <w:p w14:paraId="646893B4"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Cocuzza, G. (2024). </w:t>
      </w:r>
      <w:r w:rsidRPr="00E67301">
        <w:rPr>
          <w:i/>
          <w:iCs/>
          <w:color w:val="auto"/>
          <w:szCs w:val="24"/>
        </w:rPr>
        <w:t>Aphis gossypii</w:t>
      </w:r>
      <w:r w:rsidRPr="00E67301">
        <w:rPr>
          <w:color w:val="auto"/>
          <w:szCs w:val="24"/>
        </w:rPr>
        <w:t xml:space="preserve"> (cotton aphid). In </w:t>
      </w:r>
      <w:r w:rsidRPr="00E67301">
        <w:rPr>
          <w:i/>
          <w:iCs/>
          <w:color w:val="auto"/>
          <w:szCs w:val="24"/>
        </w:rPr>
        <w:t>CABI Compendium</w:t>
      </w:r>
      <w:r w:rsidRPr="00E67301">
        <w:rPr>
          <w:color w:val="auto"/>
          <w:szCs w:val="24"/>
        </w:rPr>
        <w:t xml:space="preserve">. CABI. </w:t>
      </w:r>
      <w:hyperlink r:id="rId10" w:history="1">
        <w:r w:rsidRPr="00E67301">
          <w:rPr>
            <w:color w:val="0000FF"/>
            <w:szCs w:val="24"/>
            <w:u w:val="single"/>
          </w:rPr>
          <w:t>https://doi.org/10.1079/cabicompendium.6204</w:t>
        </w:r>
      </w:hyperlink>
    </w:p>
    <w:p w14:paraId="1AF7403A"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De Barro, P. J., Liu, S. S., Boykin, L. M., &amp; Dinsdale, A. B. (2011). </w:t>
      </w:r>
      <w:r w:rsidRPr="00E67301">
        <w:rPr>
          <w:i/>
          <w:iCs/>
          <w:color w:val="auto"/>
          <w:szCs w:val="24"/>
        </w:rPr>
        <w:t>Bemisia tabaci</w:t>
      </w:r>
      <w:r w:rsidRPr="00E67301">
        <w:rPr>
          <w:color w:val="auto"/>
          <w:szCs w:val="24"/>
        </w:rPr>
        <w:t xml:space="preserve">: A statement of species status. </w:t>
      </w:r>
      <w:r w:rsidRPr="00E67301">
        <w:rPr>
          <w:i/>
          <w:iCs/>
          <w:color w:val="auto"/>
          <w:szCs w:val="24"/>
        </w:rPr>
        <w:t>Annual Review of Entomology, 56</w:t>
      </w:r>
      <w:r w:rsidRPr="00E67301">
        <w:rPr>
          <w:color w:val="auto"/>
          <w:szCs w:val="24"/>
        </w:rPr>
        <w:t xml:space="preserve">, 1–19. </w:t>
      </w:r>
      <w:hyperlink r:id="rId11" w:history="1">
        <w:r w:rsidRPr="00E67301">
          <w:rPr>
            <w:color w:val="0000FF"/>
            <w:szCs w:val="24"/>
            <w:u w:val="single"/>
          </w:rPr>
          <w:t>https://doi.org/10.1146/annurev-ento-112408-085504</w:t>
        </w:r>
      </w:hyperlink>
    </w:p>
    <w:p w14:paraId="1A67B0C3"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de Faria, M. R., &amp; Wraight, S. P. (2007). Mycoinsecticides and mycoacaricides: A comprehensive list with worldwide coverage and international classification of formulation types. </w:t>
      </w:r>
      <w:r w:rsidRPr="00E67301">
        <w:rPr>
          <w:i/>
          <w:iCs/>
          <w:color w:val="auto"/>
          <w:szCs w:val="24"/>
        </w:rPr>
        <w:t>Biological Control, 43</w:t>
      </w:r>
      <w:r w:rsidRPr="00E67301">
        <w:rPr>
          <w:color w:val="auto"/>
          <w:szCs w:val="24"/>
        </w:rPr>
        <w:t xml:space="preserve">(3), 237–256. </w:t>
      </w:r>
      <w:hyperlink r:id="rId12" w:history="1">
        <w:r w:rsidRPr="00E67301">
          <w:rPr>
            <w:color w:val="0000FF"/>
            <w:szCs w:val="24"/>
            <w:u w:val="single"/>
          </w:rPr>
          <w:t>https://doi.org/10.1016/j.biocontrol.2007.08.001</w:t>
        </w:r>
      </w:hyperlink>
    </w:p>
    <w:p w14:paraId="16F4EB74"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Desneux, N., Decourtye, A., &amp; Delpuech, J. M. (2007). The sublethal effects of pesticides on beneficial arthropods. </w:t>
      </w:r>
      <w:r w:rsidRPr="00E67301">
        <w:rPr>
          <w:i/>
          <w:iCs/>
          <w:color w:val="auto"/>
          <w:szCs w:val="24"/>
        </w:rPr>
        <w:t>Annual Review of Entomology, 52</w:t>
      </w:r>
      <w:r w:rsidRPr="00E67301">
        <w:rPr>
          <w:color w:val="auto"/>
          <w:szCs w:val="24"/>
        </w:rPr>
        <w:t xml:space="preserve">, 81–106. </w:t>
      </w:r>
      <w:hyperlink r:id="rId13" w:history="1">
        <w:r w:rsidRPr="00E67301">
          <w:rPr>
            <w:color w:val="0000FF"/>
            <w:szCs w:val="24"/>
            <w:u w:val="single"/>
          </w:rPr>
          <w:t>https://doi.org/10.1146/annurev.ento.52.110405.091440</w:t>
        </w:r>
      </w:hyperlink>
    </w:p>
    <w:p w14:paraId="4CF986F9"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European and Mediterranean Plant Protection Organization. (2026). </w:t>
      </w:r>
      <w:r w:rsidRPr="00E67301">
        <w:rPr>
          <w:i/>
          <w:iCs/>
          <w:color w:val="auto"/>
          <w:szCs w:val="24"/>
        </w:rPr>
        <w:t>Maconellicoccus hirsutus</w:t>
      </w:r>
      <w:r w:rsidRPr="00E67301">
        <w:rPr>
          <w:color w:val="auto"/>
          <w:szCs w:val="24"/>
        </w:rPr>
        <w:t xml:space="preserve">. EPPO datasheets on pests recommended for regulation. Retrieved October 14, 2026, from </w:t>
      </w:r>
      <w:hyperlink r:id="rId14" w:history="1">
        <w:r w:rsidRPr="00E67301">
          <w:rPr>
            <w:color w:val="0000FF"/>
            <w:szCs w:val="24"/>
            <w:u w:val="single"/>
          </w:rPr>
          <w:t>https://gd.eppo.int/taxon/PHENHI/datasheet</w:t>
        </w:r>
      </w:hyperlink>
    </w:p>
    <w:p w14:paraId="1BBBE363"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Finch, E. A., Wyckhuys, K. A. G., &amp; Rwomushana, I. (2024). Potential distribution of </w:t>
      </w:r>
      <w:r w:rsidRPr="00E67301">
        <w:rPr>
          <w:i/>
          <w:iCs/>
          <w:color w:val="auto"/>
          <w:szCs w:val="24"/>
        </w:rPr>
        <w:t>Acerophagus papayae</w:t>
      </w:r>
      <w:r w:rsidRPr="00E67301">
        <w:rPr>
          <w:color w:val="auto"/>
          <w:szCs w:val="24"/>
        </w:rPr>
        <w:t>, a parasitoid of the papaya mealybug (</w:t>
      </w:r>
      <w:r w:rsidRPr="00E67301">
        <w:rPr>
          <w:i/>
          <w:iCs/>
          <w:color w:val="auto"/>
          <w:szCs w:val="24"/>
        </w:rPr>
        <w:t>Paracoccus marginatus</w:t>
      </w:r>
      <w:r w:rsidRPr="00E67301">
        <w:rPr>
          <w:color w:val="auto"/>
          <w:szCs w:val="24"/>
        </w:rPr>
        <w:t xml:space="preserve">), across Africa. </w:t>
      </w:r>
      <w:r w:rsidRPr="00E67301">
        <w:rPr>
          <w:i/>
          <w:iCs/>
          <w:color w:val="auto"/>
          <w:szCs w:val="24"/>
        </w:rPr>
        <w:t>Biological Control, 198</w:t>
      </w:r>
      <w:r w:rsidRPr="00E67301">
        <w:rPr>
          <w:color w:val="auto"/>
          <w:szCs w:val="24"/>
        </w:rPr>
        <w:t xml:space="preserve">, Article 105628. </w:t>
      </w:r>
      <w:hyperlink r:id="rId15" w:history="1">
        <w:r w:rsidRPr="00E67301">
          <w:rPr>
            <w:color w:val="0000FF"/>
            <w:szCs w:val="24"/>
            <w:u w:val="single"/>
          </w:rPr>
          <w:t>https://doi.org/10.1016/j.biocontrol.2024.105628</w:t>
        </w:r>
      </w:hyperlink>
    </w:p>
    <w:p w14:paraId="120F1A25"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Gagana Sindhu, S., Narayana Reddy, R., Vinoda, K. S., Banuprakash, K. G., &amp; Murali Mohan, K. (2026). Evaluation of diafenthiuron 50% WP for the management of thrips and mites in mulberry. </w:t>
      </w:r>
      <w:r w:rsidRPr="00E67301">
        <w:rPr>
          <w:i/>
          <w:iCs/>
          <w:color w:val="auto"/>
          <w:szCs w:val="24"/>
        </w:rPr>
        <w:t>Journal of Biology and Nature, 18</w:t>
      </w:r>
      <w:r w:rsidRPr="00E67301">
        <w:rPr>
          <w:color w:val="auto"/>
          <w:szCs w:val="24"/>
        </w:rPr>
        <w:t xml:space="preserve">(1), 259–266. </w:t>
      </w:r>
      <w:hyperlink r:id="rId16" w:history="1">
        <w:r w:rsidRPr="00E67301">
          <w:rPr>
            <w:color w:val="0000FF"/>
            <w:szCs w:val="24"/>
            <w:u w:val="single"/>
          </w:rPr>
          <w:t>https://doi.org/10.56557/joban/2026/v18i110298</w:t>
        </w:r>
      </w:hyperlink>
    </w:p>
    <w:p w14:paraId="686AB45D"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Gagana Sindhu, S., Narayana Reddy, R., Vinoda, K. S., Shwetha, G. V., Banuprakash, K. G., &amp; Aramani, K. (2025). Effect of feeding diafenthiuron 50% WP sprayed mulberry leaves on growth and development of silkworm (</w:t>
      </w:r>
      <w:r w:rsidRPr="00E67301">
        <w:rPr>
          <w:i/>
          <w:iCs/>
          <w:color w:val="auto"/>
          <w:szCs w:val="24"/>
        </w:rPr>
        <w:t>Bombyx mori</w:t>
      </w:r>
      <w:r w:rsidRPr="00E67301">
        <w:rPr>
          <w:color w:val="auto"/>
          <w:szCs w:val="24"/>
        </w:rPr>
        <w:t xml:space="preserve"> L.). </w:t>
      </w:r>
      <w:r w:rsidRPr="00E67301">
        <w:rPr>
          <w:i/>
          <w:iCs/>
          <w:color w:val="auto"/>
          <w:szCs w:val="24"/>
        </w:rPr>
        <w:t>Journal of Experimental Agriculture International, 47</w:t>
      </w:r>
      <w:r w:rsidRPr="00E67301">
        <w:rPr>
          <w:color w:val="auto"/>
          <w:szCs w:val="24"/>
        </w:rPr>
        <w:t xml:space="preserve">(7), 754–761. </w:t>
      </w:r>
      <w:hyperlink r:id="rId17" w:history="1">
        <w:r w:rsidRPr="00E67301">
          <w:rPr>
            <w:color w:val="0000FF"/>
            <w:szCs w:val="24"/>
            <w:u w:val="single"/>
          </w:rPr>
          <w:t>https://doi.org/10.9734/jeai/2025/v47i73616</w:t>
        </w:r>
      </w:hyperlink>
    </w:p>
    <w:p w14:paraId="60963318"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Government of India. (2024, July 11). </w:t>
      </w:r>
      <w:r w:rsidRPr="00E67301">
        <w:rPr>
          <w:i/>
          <w:iCs/>
          <w:color w:val="auto"/>
          <w:szCs w:val="24"/>
        </w:rPr>
        <w:t>Outbreak and control of papaya mealy bug (Paracoccus marginatus)</w:t>
      </w:r>
      <w:r w:rsidRPr="00E67301">
        <w:rPr>
          <w:color w:val="auto"/>
          <w:szCs w:val="24"/>
        </w:rPr>
        <w:t xml:space="preserve"> (Report No. IND-01/2). International Plant Protection Convention. </w:t>
      </w:r>
      <w:hyperlink r:id="rId18" w:history="1">
        <w:r w:rsidRPr="00E67301">
          <w:rPr>
            <w:color w:val="0000FF"/>
            <w:szCs w:val="24"/>
            <w:u w:val="single"/>
          </w:rPr>
          <w:t>https://www.ippc.int/en/countries/india/pestreports/2024/07/outbreak-and-control-of-papaya-mealy-bug-paracoccus-marginatus--1/</w:t>
        </w:r>
      </w:hyperlink>
    </w:p>
    <w:p w14:paraId="7D32FB5A"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Gurr, G. M., Wratten, S. D., Landis, D. A., &amp; You, M. (2017). Habitat management to suppress pest populations: Progress and prospects. </w:t>
      </w:r>
      <w:r w:rsidRPr="00E67301">
        <w:rPr>
          <w:i/>
          <w:iCs/>
          <w:color w:val="auto"/>
          <w:szCs w:val="24"/>
        </w:rPr>
        <w:t>Annual Review of Entomology, 62</w:t>
      </w:r>
      <w:r w:rsidRPr="00E67301">
        <w:rPr>
          <w:color w:val="auto"/>
          <w:szCs w:val="24"/>
        </w:rPr>
        <w:t xml:space="preserve">, 91–109. </w:t>
      </w:r>
      <w:hyperlink r:id="rId19" w:history="1">
        <w:r w:rsidRPr="00E67301">
          <w:rPr>
            <w:color w:val="0000FF"/>
            <w:szCs w:val="24"/>
            <w:u w:val="single"/>
          </w:rPr>
          <w:t>https://doi.org/10.1146/annurev-ento-031616-035050</w:t>
        </w:r>
      </w:hyperlink>
    </w:p>
    <w:p w14:paraId="27E1B185"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Insecticide Resistance Action Committee. (2026). </w:t>
      </w:r>
      <w:r w:rsidRPr="00E67301">
        <w:rPr>
          <w:i/>
          <w:iCs/>
          <w:color w:val="auto"/>
          <w:szCs w:val="24"/>
        </w:rPr>
        <w:t>Mode of action classification scheme</w:t>
      </w:r>
      <w:r w:rsidRPr="00E67301">
        <w:rPr>
          <w:color w:val="auto"/>
          <w:szCs w:val="24"/>
        </w:rPr>
        <w:t xml:space="preserve"> (Version 11.5). </w:t>
      </w:r>
      <w:hyperlink r:id="rId20" w:history="1">
        <w:r w:rsidRPr="00E67301">
          <w:rPr>
            <w:color w:val="0000FF"/>
            <w:szCs w:val="24"/>
            <w:u w:val="single"/>
          </w:rPr>
          <w:t>https://irac-online.org/documents/moa-classification/</w:t>
        </w:r>
      </w:hyperlink>
    </w:p>
    <w:p w14:paraId="1863FEAE" w14:textId="77777777" w:rsidR="00E67301" w:rsidRPr="00E67301" w:rsidRDefault="00E67301" w:rsidP="00E67301">
      <w:pPr>
        <w:spacing w:before="100" w:beforeAutospacing="1" w:after="100" w:afterAutospacing="1"/>
        <w:jc w:val="left"/>
        <w:rPr>
          <w:color w:val="auto"/>
          <w:szCs w:val="24"/>
        </w:rPr>
      </w:pPr>
      <w:r w:rsidRPr="00E67301">
        <w:rPr>
          <w:color w:val="auto"/>
          <w:szCs w:val="24"/>
        </w:rPr>
        <w:lastRenderedPageBreak/>
        <w:t xml:space="preserve">Isman, M. B. (2020). Botanical insecticides in the twenty-first century—Fulfilling their promise? </w:t>
      </w:r>
      <w:r w:rsidRPr="00E67301">
        <w:rPr>
          <w:i/>
          <w:iCs/>
          <w:color w:val="auto"/>
          <w:szCs w:val="24"/>
        </w:rPr>
        <w:t>Annual Review of Entomology, 65</w:t>
      </w:r>
      <w:r w:rsidRPr="00E67301">
        <w:rPr>
          <w:color w:val="auto"/>
          <w:szCs w:val="24"/>
        </w:rPr>
        <w:t xml:space="preserve">, 233–249. </w:t>
      </w:r>
      <w:hyperlink r:id="rId21" w:history="1">
        <w:r w:rsidRPr="00E67301">
          <w:rPr>
            <w:color w:val="0000FF"/>
            <w:szCs w:val="24"/>
            <w:u w:val="single"/>
          </w:rPr>
          <w:t>https://doi.org/10.1146/annurev-ento-011019-025010</w:t>
        </w:r>
      </w:hyperlink>
    </w:p>
    <w:p w14:paraId="4F2E1800"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Kalpana, R., Sabarish, M., Menaka, S., Bhuvaneshwari, T., Nandha Kumar, R., Moulidharshan, R., Murugesh, K. A., &amp; Kumara Perumal, M. (2026). Early detection of mulberry sucking pest infestation using red edge position from hyperspectral data. </w:t>
      </w:r>
      <w:r w:rsidRPr="00E67301">
        <w:rPr>
          <w:i/>
          <w:iCs/>
          <w:color w:val="auto"/>
          <w:szCs w:val="24"/>
        </w:rPr>
        <w:t>Archives of Current Research International, 26</w:t>
      </w:r>
      <w:r w:rsidRPr="00E67301">
        <w:rPr>
          <w:color w:val="auto"/>
          <w:szCs w:val="24"/>
        </w:rPr>
        <w:t xml:space="preserve">(4), 517–525. </w:t>
      </w:r>
      <w:hyperlink r:id="rId22" w:history="1">
        <w:r w:rsidRPr="00E67301">
          <w:rPr>
            <w:color w:val="0000FF"/>
            <w:szCs w:val="24"/>
            <w:u w:val="single"/>
          </w:rPr>
          <w:t>https://doi.org/10.9734/acri/2026/v26i41842</w:t>
        </w:r>
      </w:hyperlink>
    </w:p>
    <w:p w14:paraId="365B9A15"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Kogan, M. (1998). Integrated pest management: Historical perspectives and contemporary developments. </w:t>
      </w:r>
      <w:r w:rsidRPr="00E67301">
        <w:rPr>
          <w:i/>
          <w:iCs/>
          <w:color w:val="auto"/>
          <w:szCs w:val="24"/>
        </w:rPr>
        <w:t>Annual Review of Entomology, 43</w:t>
      </w:r>
      <w:r w:rsidRPr="00E67301">
        <w:rPr>
          <w:color w:val="auto"/>
          <w:szCs w:val="24"/>
        </w:rPr>
        <w:t xml:space="preserve">, 243–270. </w:t>
      </w:r>
      <w:hyperlink r:id="rId23" w:history="1">
        <w:r w:rsidRPr="00E67301">
          <w:rPr>
            <w:color w:val="0000FF"/>
            <w:szCs w:val="24"/>
            <w:u w:val="single"/>
          </w:rPr>
          <w:t>https://doi.org/10.1146/annurev.ento.43.1.243</w:t>
        </w:r>
      </w:hyperlink>
    </w:p>
    <w:p w14:paraId="7332E88C"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Morse, J. G., &amp; Hoddle, M. S. (2006). Invasion biology of thrips. </w:t>
      </w:r>
      <w:r w:rsidRPr="00E67301">
        <w:rPr>
          <w:i/>
          <w:iCs/>
          <w:color w:val="auto"/>
          <w:szCs w:val="24"/>
        </w:rPr>
        <w:t>Annual Review of Entomology, 51</w:t>
      </w:r>
      <w:r w:rsidRPr="00E67301">
        <w:rPr>
          <w:color w:val="auto"/>
          <w:szCs w:val="24"/>
        </w:rPr>
        <w:t xml:space="preserve">, 67–89. </w:t>
      </w:r>
      <w:hyperlink r:id="rId24" w:history="1">
        <w:r w:rsidRPr="00E67301">
          <w:rPr>
            <w:color w:val="0000FF"/>
            <w:szCs w:val="24"/>
            <w:u w:val="single"/>
          </w:rPr>
          <w:t>https://doi.org/10.1146/annurev.ento.51.110104.151044</w:t>
        </w:r>
      </w:hyperlink>
    </w:p>
    <w:p w14:paraId="031049A9"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Mound, L. A. (2005). Thysanoptera: Diversity and interactions. </w:t>
      </w:r>
      <w:r w:rsidRPr="00E67301">
        <w:rPr>
          <w:i/>
          <w:iCs/>
          <w:color w:val="auto"/>
          <w:szCs w:val="24"/>
        </w:rPr>
        <w:t>Annual Review of Entomology, 50</w:t>
      </w:r>
      <w:r w:rsidRPr="00E67301">
        <w:rPr>
          <w:color w:val="auto"/>
          <w:szCs w:val="24"/>
        </w:rPr>
        <w:t xml:space="preserve">, 247–269. </w:t>
      </w:r>
      <w:hyperlink r:id="rId25" w:history="1">
        <w:r w:rsidRPr="00E67301">
          <w:rPr>
            <w:color w:val="0000FF"/>
            <w:szCs w:val="24"/>
            <w:u w:val="single"/>
          </w:rPr>
          <w:t>https://doi.org/10.1146/annurev.ento.49.061802.123318</w:t>
        </w:r>
      </w:hyperlink>
    </w:p>
    <w:p w14:paraId="22E6832E"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Ogawa, K., &amp; Miura, T. (2014). Aphid polyphenisms: Trans-generational developmental regulation through viviparity. </w:t>
      </w:r>
      <w:r w:rsidRPr="00E67301">
        <w:rPr>
          <w:i/>
          <w:iCs/>
          <w:color w:val="auto"/>
          <w:szCs w:val="24"/>
        </w:rPr>
        <w:t>Frontiers in Physiology, 5</w:t>
      </w:r>
      <w:r w:rsidRPr="00E67301">
        <w:rPr>
          <w:color w:val="auto"/>
          <w:szCs w:val="24"/>
        </w:rPr>
        <w:t xml:space="preserve">, Article 1. </w:t>
      </w:r>
      <w:hyperlink r:id="rId26" w:history="1">
        <w:r w:rsidRPr="00E67301">
          <w:rPr>
            <w:color w:val="0000FF"/>
            <w:szCs w:val="24"/>
            <w:u w:val="single"/>
          </w:rPr>
          <w:t>https://doi.org/10.3389/fphys.2014.00001</w:t>
        </w:r>
      </w:hyperlink>
    </w:p>
    <w:p w14:paraId="00434AB1"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Peterson, R. K. D. (2025). Insect pest management and environmental risk. </w:t>
      </w:r>
      <w:r w:rsidRPr="00E67301">
        <w:rPr>
          <w:i/>
          <w:iCs/>
          <w:color w:val="auto"/>
          <w:szCs w:val="24"/>
        </w:rPr>
        <w:t>Annual Review of Entomology, 70</w:t>
      </w:r>
      <w:r w:rsidRPr="00E67301">
        <w:rPr>
          <w:color w:val="auto"/>
          <w:szCs w:val="24"/>
        </w:rPr>
        <w:t xml:space="preserve">, 103–121. </w:t>
      </w:r>
      <w:hyperlink r:id="rId27" w:history="1">
        <w:r w:rsidRPr="00E67301">
          <w:rPr>
            <w:color w:val="0000FF"/>
            <w:szCs w:val="24"/>
            <w:u w:val="single"/>
          </w:rPr>
          <w:t>https://doi.org/10.1146/annurev-ento-121123-021252</w:t>
        </w:r>
      </w:hyperlink>
    </w:p>
    <w:p w14:paraId="30951DA7"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Rachana, R. R., Amarendra, B., &amp; Gracy, R. G. (2022). Studies on </w:t>
      </w:r>
      <w:r w:rsidRPr="00E67301">
        <w:rPr>
          <w:i/>
          <w:iCs/>
          <w:color w:val="auto"/>
          <w:szCs w:val="24"/>
        </w:rPr>
        <w:t>Pseudodendrothrips</w:t>
      </w:r>
      <w:r w:rsidRPr="00E67301">
        <w:rPr>
          <w:color w:val="auto"/>
          <w:szCs w:val="24"/>
        </w:rPr>
        <w:t xml:space="preserve"> (Thysanoptera, Thripidae) from India, with one new species. </w:t>
      </w:r>
      <w:r w:rsidRPr="00E67301">
        <w:rPr>
          <w:i/>
          <w:iCs/>
          <w:color w:val="auto"/>
          <w:szCs w:val="24"/>
        </w:rPr>
        <w:t>Zootaxa, 5209</w:t>
      </w:r>
      <w:r w:rsidRPr="00E67301">
        <w:rPr>
          <w:color w:val="auto"/>
          <w:szCs w:val="24"/>
        </w:rPr>
        <w:t xml:space="preserve">(3), 365–372. </w:t>
      </w:r>
      <w:hyperlink r:id="rId28" w:history="1">
        <w:r w:rsidRPr="00E67301">
          <w:rPr>
            <w:color w:val="0000FF"/>
            <w:szCs w:val="24"/>
            <w:u w:val="single"/>
          </w:rPr>
          <w:t>https://doi.org/10.11646/zootaxa.5209.3.5</w:t>
        </w:r>
      </w:hyperlink>
    </w:p>
    <w:p w14:paraId="639F4FBB"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Ram, B. G., Oduor, P., Igathinathane, C., Howatt, K., &amp; Sun, X. (2024). A systematic review of hyperspectral imaging in precision agriculture: Analysis of its current state and future prospects. </w:t>
      </w:r>
      <w:r w:rsidRPr="00E67301">
        <w:rPr>
          <w:i/>
          <w:iCs/>
          <w:color w:val="auto"/>
          <w:szCs w:val="24"/>
        </w:rPr>
        <w:t>Computers and Electronics in Agriculture, 222</w:t>
      </w:r>
      <w:r w:rsidRPr="00E67301">
        <w:rPr>
          <w:color w:val="auto"/>
          <w:szCs w:val="24"/>
        </w:rPr>
        <w:t xml:space="preserve">, Article 109037. </w:t>
      </w:r>
      <w:hyperlink r:id="rId29" w:history="1">
        <w:r w:rsidRPr="00E67301">
          <w:rPr>
            <w:color w:val="0000FF"/>
            <w:szCs w:val="24"/>
            <w:u w:val="single"/>
          </w:rPr>
          <w:t>https://doi.org/10.1016/j.compag.2024.109037</w:t>
        </w:r>
      </w:hyperlink>
    </w:p>
    <w:p w14:paraId="71C2ACC5"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Sakthivel, N. (2013). Effectiveness of three introduced encyrtid parasitic wasps (</w:t>
      </w:r>
      <w:r w:rsidRPr="00E67301">
        <w:rPr>
          <w:i/>
          <w:iCs/>
          <w:color w:val="auto"/>
          <w:szCs w:val="24"/>
        </w:rPr>
        <w:t>Acerophagus papayae</w:t>
      </w:r>
      <w:r w:rsidRPr="00E67301">
        <w:rPr>
          <w:color w:val="auto"/>
          <w:szCs w:val="24"/>
        </w:rPr>
        <w:t xml:space="preserve">, </w:t>
      </w:r>
      <w:r w:rsidRPr="00E67301">
        <w:rPr>
          <w:i/>
          <w:iCs/>
          <w:color w:val="auto"/>
          <w:szCs w:val="24"/>
        </w:rPr>
        <w:t>Anagyrus loecki</w:t>
      </w:r>
      <w:r w:rsidRPr="00E67301">
        <w:rPr>
          <w:color w:val="auto"/>
          <w:szCs w:val="24"/>
        </w:rPr>
        <w:t xml:space="preserve"> and </w:t>
      </w:r>
      <w:r w:rsidRPr="00E67301">
        <w:rPr>
          <w:i/>
          <w:iCs/>
          <w:color w:val="auto"/>
          <w:szCs w:val="24"/>
        </w:rPr>
        <w:t>Pseudleptomastix mexicana</w:t>
      </w:r>
      <w:r w:rsidRPr="00E67301">
        <w:rPr>
          <w:color w:val="auto"/>
          <w:szCs w:val="24"/>
        </w:rPr>
        <w:t xml:space="preserve">) against papaya mealybug, </w:t>
      </w:r>
      <w:r w:rsidRPr="00E67301">
        <w:rPr>
          <w:i/>
          <w:iCs/>
          <w:color w:val="auto"/>
          <w:szCs w:val="24"/>
        </w:rPr>
        <w:t>Paracoccus marginatus</w:t>
      </w:r>
      <w:r w:rsidRPr="00E67301">
        <w:rPr>
          <w:color w:val="auto"/>
          <w:szCs w:val="24"/>
        </w:rPr>
        <w:t xml:space="preserve">, infesting mulberry in Tamil Nadu. </w:t>
      </w:r>
      <w:r w:rsidRPr="00E67301">
        <w:rPr>
          <w:i/>
          <w:iCs/>
          <w:color w:val="auto"/>
          <w:szCs w:val="24"/>
        </w:rPr>
        <w:t>Journal of Biopesticides, 6</w:t>
      </w:r>
      <w:r w:rsidRPr="00E67301">
        <w:rPr>
          <w:color w:val="auto"/>
          <w:szCs w:val="24"/>
        </w:rPr>
        <w:t xml:space="preserve">(1), 71–76. </w:t>
      </w:r>
      <w:hyperlink r:id="rId30" w:history="1">
        <w:r w:rsidRPr="00E67301">
          <w:rPr>
            <w:color w:val="0000FF"/>
            <w:szCs w:val="24"/>
            <w:u w:val="single"/>
          </w:rPr>
          <w:t>https://doi.org/10.57182/jbiopestic.6.1.71-76</w:t>
        </w:r>
      </w:hyperlink>
    </w:p>
    <w:p w14:paraId="546AFAB9"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Shruthi, G. H., Karthik, V. C., Karthick Mani Bharathi, B., Dodmani, B. A., Samreen, Harika, R. K., &amp; Kumar, K. R. (2024). Role of bio-control agents in mulberry pest management: Effective strategies and key challenges. </w:t>
      </w:r>
      <w:r w:rsidRPr="00E67301">
        <w:rPr>
          <w:i/>
          <w:iCs/>
          <w:color w:val="auto"/>
          <w:szCs w:val="24"/>
        </w:rPr>
        <w:t>International Journal of Environment and Climate Change, 14</w:t>
      </w:r>
      <w:r w:rsidRPr="00E67301">
        <w:rPr>
          <w:color w:val="auto"/>
          <w:szCs w:val="24"/>
        </w:rPr>
        <w:t xml:space="preserve">(9), 454–460. </w:t>
      </w:r>
      <w:hyperlink r:id="rId31" w:history="1">
        <w:r w:rsidRPr="00E67301">
          <w:rPr>
            <w:color w:val="0000FF"/>
            <w:szCs w:val="24"/>
            <w:u w:val="single"/>
          </w:rPr>
          <w:t>https://doi.org/10.9734/ijecc/2024/v14i94429</w:t>
        </w:r>
      </w:hyperlink>
    </w:p>
    <w:p w14:paraId="27218079"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Shwetha, G. V., Vinoda, K. S., Gagana Sindhu, S., Banuprakash, K. G., Shravanilakshmi, V., &amp; Aramani, K. (2025). Impact of feeding abamectin 1.9% EC sprayed mulberry leaves on cocoon and filament traits in silkworm (</w:t>
      </w:r>
      <w:r w:rsidRPr="00E67301">
        <w:rPr>
          <w:i/>
          <w:iCs/>
          <w:color w:val="auto"/>
          <w:szCs w:val="24"/>
        </w:rPr>
        <w:t>Bombyx mori</w:t>
      </w:r>
      <w:r w:rsidRPr="00E67301">
        <w:rPr>
          <w:color w:val="auto"/>
          <w:szCs w:val="24"/>
        </w:rPr>
        <w:t xml:space="preserve"> L.). </w:t>
      </w:r>
      <w:r w:rsidRPr="00E67301">
        <w:rPr>
          <w:i/>
          <w:iCs/>
          <w:color w:val="auto"/>
          <w:szCs w:val="24"/>
        </w:rPr>
        <w:t>Uttar Pradesh Journal of Zoology, 46</w:t>
      </w:r>
      <w:r w:rsidRPr="00E67301">
        <w:rPr>
          <w:color w:val="auto"/>
          <w:szCs w:val="24"/>
        </w:rPr>
        <w:t xml:space="preserve">(14), 252–262. </w:t>
      </w:r>
      <w:hyperlink r:id="rId32" w:history="1">
        <w:r w:rsidRPr="00E67301">
          <w:rPr>
            <w:color w:val="0000FF"/>
            <w:szCs w:val="24"/>
            <w:u w:val="single"/>
          </w:rPr>
          <w:t>https://doi.org/10.56557/upjoz/2025/v46i145132</w:t>
        </w:r>
      </w:hyperlink>
    </w:p>
    <w:p w14:paraId="4B4A5FB3" w14:textId="77777777" w:rsidR="00E67301" w:rsidRPr="00E67301" w:rsidRDefault="00E67301" w:rsidP="00E67301">
      <w:pPr>
        <w:spacing w:before="100" w:beforeAutospacing="1" w:after="100" w:afterAutospacing="1"/>
        <w:jc w:val="left"/>
        <w:rPr>
          <w:color w:val="auto"/>
          <w:szCs w:val="24"/>
        </w:rPr>
      </w:pPr>
      <w:r w:rsidRPr="00E67301">
        <w:rPr>
          <w:color w:val="auto"/>
          <w:szCs w:val="24"/>
        </w:rPr>
        <w:lastRenderedPageBreak/>
        <w:t xml:space="preserve">Sparks, T. C., &amp; Nauen, R. (2015). IRAC: Mode of action classification and insecticide resistance management. </w:t>
      </w:r>
      <w:r w:rsidRPr="00E67301">
        <w:rPr>
          <w:i/>
          <w:iCs/>
          <w:color w:val="auto"/>
          <w:szCs w:val="24"/>
        </w:rPr>
        <w:t>Pesticide Biochemistry and Physiology, 121</w:t>
      </w:r>
      <w:r w:rsidRPr="00E67301">
        <w:rPr>
          <w:color w:val="auto"/>
          <w:szCs w:val="24"/>
        </w:rPr>
        <w:t xml:space="preserve">, 122–128. </w:t>
      </w:r>
      <w:hyperlink r:id="rId33" w:history="1">
        <w:r w:rsidRPr="00E67301">
          <w:rPr>
            <w:color w:val="0000FF"/>
            <w:szCs w:val="24"/>
            <w:u w:val="single"/>
          </w:rPr>
          <w:t>https://doi.org/10.1016/j.pestbp.2014.11.014</w:t>
        </w:r>
      </w:hyperlink>
    </w:p>
    <w:p w14:paraId="7F462346"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Sreerama Kumar, P., Rachana, R. R., Amarendra, B., &amp; Sheela, N. (2024). Transient composition of the thrips species (Thysanoptera: Thripidae) infesting mulberry in southern India: First report of two, including the dominating invasive pest </w:t>
      </w:r>
      <w:r w:rsidRPr="00E67301">
        <w:rPr>
          <w:i/>
          <w:iCs/>
          <w:color w:val="auto"/>
          <w:szCs w:val="24"/>
        </w:rPr>
        <w:t>Thrips parvispinus</w:t>
      </w:r>
      <w:r w:rsidRPr="00E67301">
        <w:rPr>
          <w:color w:val="auto"/>
          <w:szCs w:val="24"/>
        </w:rPr>
        <w:t xml:space="preserve">. </w:t>
      </w:r>
      <w:r w:rsidRPr="00E67301">
        <w:rPr>
          <w:i/>
          <w:iCs/>
          <w:color w:val="auto"/>
          <w:szCs w:val="24"/>
        </w:rPr>
        <w:t>Journal of Integrated Pest Management, 15</w:t>
      </w:r>
      <w:r w:rsidRPr="00E67301">
        <w:rPr>
          <w:color w:val="auto"/>
          <w:szCs w:val="24"/>
        </w:rPr>
        <w:t xml:space="preserve">(1), Article 32. </w:t>
      </w:r>
      <w:hyperlink r:id="rId34" w:history="1">
        <w:r w:rsidRPr="00E67301">
          <w:rPr>
            <w:color w:val="0000FF"/>
            <w:szCs w:val="24"/>
            <w:u w:val="single"/>
          </w:rPr>
          <w:t>https://doi.org/10.1093/jipm/pmae024</w:t>
        </w:r>
      </w:hyperlink>
    </w:p>
    <w:p w14:paraId="40C43F0C"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van Lenteren, J. C., Bale, J., Bigler, F., Hokkanen, H. M. T., &amp; Loomans, A. J. M. (2006). Assessing risks of releasing exotic biological control agents of arthropod pests. </w:t>
      </w:r>
      <w:r w:rsidRPr="00E67301">
        <w:rPr>
          <w:i/>
          <w:iCs/>
          <w:color w:val="auto"/>
          <w:szCs w:val="24"/>
        </w:rPr>
        <w:t>Annual Review of Entomology, 51</w:t>
      </w:r>
      <w:r w:rsidRPr="00E67301">
        <w:rPr>
          <w:color w:val="auto"/>
          <w:szCs w:val="24"/>
        </w:rPr>
        <w:t xml:space="preserve">, 609–634. </w:t>
      </w:r>
      <w:hyperlink r:id="rId35" w:history="1">
        <w:r w:rsidRPr="00E67301">
          <w:rPr>
            <w:color w:val="0000FF"/>
            <w:szCs w:val="24"/>
            <w:u w:val="single"/>
          </w:rPr>
          <w:t>https://doi.org/10.1146/annurev.ento.51.110104.151129</w:t>
        </w:r>
      </w:hyperlink>
    </w:p>
    <w:p w14:paraId="43B38AB2"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van Lenteren, J. C., Bolckmans, K., Köhl, J., Ravensberg, W. J., &amp; Urbaneja, A. (2018). Biological control using invertebrates and microorganisms: Plenty of new opportunities. </w:t>
      </w:r>
      <w:r w:rsidRPr="00E67301">
        <w:rPr>
          <w:i/>
          <w:iCs/>
          <w:color w:val="auto"/>
          <w:szCs w:val="24"/>
        </w:rPr>
        <w:t>BioControl, 63</w:t>
      </w:r>
      <w:r w:rsidRPr="00E67301">
        <w:rPr>
          <w:color w:val="auto"/>
          <w:szCs w:val="24"/>
        </w:rPr>
        <w:t xml:space="preserve">, 39–59. </w:t>
      </w:r>
      <w:hyperlink r:id="rId36" w:history="1">
        <w:r w:rsidRPr="00E67301">
          <w:rPr>
            <w:color w:val="0000FF"/>
            <w:szCs w:val="24"/>
            <w:u w:val="single"/>
          </w:rPr>
          <w:t>https://doi.org/10.1007/s10526-017-9801-4</w:t>
        </w:r>
      </w:hyperlink>
    </w:p>
    <w:p w14:paraId="59DCB89D" w14:textId="77777777" w:rsidR="00E67301" w:rsidRPr="00E67301" w:rsidRDefault="00E67301" w:rsidP="00E67301">
      <w:pPr>
        <w:spacing w:before="100" w:beforeAutospacing="1" w:after="100" w:afterAutospacing="1"/>
        <w:jc w:val="left"/>
        <w:rPr>
          <w:color w:val="auto"/>
          <w:szCs w:val="24"/>
        </w:rPr>
      </w:pPr>
      <w:r w:rsidRPr="00E67301">
        <w:rPr>
          <w:color w:val="auto"/>
          <w:szCs w:val="24"/>
        </w:rPr>
        <w:t xml:space="preserve">Wan, N.-F., Fu, L., Dainese, M., Kiær, L. P., Hu, Y.-Q., Xin, F., Goulson, D., Woodcock, B. A., Vanbergen, A. J., Spurgeon, D. J., Shen, S., &amp; Scherber, C. (2025). Pesticides have negative effects on non-target organisms. </w:t>
      </w:r>
      <w:r w:rsidRPr="00E67301">
        <w:rPr>
          <w:i/>
          <w:iCs/>
          <w:color w:val="auto"/>
          <w:szCs w:val="24"/>
        </w:rPr>
        <w:t>Nature Communications, 16</w:t>
      </w:r>
      <w:r w:rsidRPr="00E67301">
        <w:rPr>
          <w:color w:val="auto"/>
          <w:szCs w:val="24"/>
        </w:rPr>
        <w:t xml:space="preserve">, Article 1360. </w:t>
      </w:r>
      <w:hyperlink r:id="rId37" w:history="1">
        <w:r w:rsidRPr="00E67301">
          <w:rPr>
            <w:color w:val="0000FF"/>
            <w:szCs w:val="24"/>
            <w:u w:val="single"/>
          </w:rPr>
          <w:t>https://doi.org/10.1038/s41467-025-56732-x</w:t>
        </w:r>
      </w:hyperlink>
    </w:p>
    <w:p w14:paraId="0D05FBDA" w14:textId="77777777" w:rsidR="00E67301" w:rsidRPr="00E67301" w:rsidRDefault="00E67301" w:rsidP="00E67301"/>
    <w:sectPr w:rsidR="00E67301" w:rsidRPr="00E67301" w:rsidSect="00034616">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6C66" w14:textId="77777777" w:rsidR="00B403AB" w:rsidRDefault="00B403AB">
      <w:pPr>
        <w:spacing w:after="0"/>
      </w:pPr>
      <w:r>
        <w:separator/>
      </w:r>
    </w:p>
  </w:endnote>
  <w:endnote w:type="continuationSeparator" w:id="0">
    <w:p w14:paraId="230311DD" w14:textId="77777777" w:rsidR="00B403AB" w:rsidRDefault="00B403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7E12" w14:textId="77777777" w:rsidR="00212C84" w:rsidRDefault="00212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E7B4" w14:textId="77777777" w:rsidR="00F90A15" w:rsidRDefault="00000000">
    <w:pPr>
      <w:pStyle w:val="Footer"/>
      <w:jc w:val="center"/>
    </w:pPr>
    <w:r>
      <w:fldChar w:fldCharType="begin"/>
    </w:r>
    <w:r>
      <w:instrText>PAGE</w:instrText>
    </w:r>
    <w:r>
      <w:fldChar w:fldCharType="separate"/>
    </w:r>
    <w:r w:rsidR="000F51C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772C" w14:textId="77777777" w:rsidR="00212C84" w:rsidRDefault="00212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D5672" w14:textId="77777777" w:rsidR="00B403AB" w:rsidRDefault="00B403AB">
      <w:pPr>
        <w:spacing w:after="0"/>
      </w:pPr>
      <w:r>
        <w:separator/>
      </w:r>
    </w:p>
  </w:footnote>
  <w:footnote w:type="continuationSeparator" w:id="0">
    <w:p w14:paraId="6DECB894" w14:textId="77777777" w:rsidR="00B403AB" w:rsidRDefault="00B403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5318" w14:textId="77777777" w:rsidR="00212C84" w:rsidRDefault="00000000">
    <w:pPr>
      <w:pStyle w:val="Header"/>
    </w:pPr>
    <w:r>
      <w:rPr>
        <w:noProof/>
      </w:rPr>
      <w:pict w14:anchorId="0DCA9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235907"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381C" w14:textId="77777777" w:rsidR="00F90A15" w:rsidRDefault="00000000">
    <w:pPr>
      <w:pStyle w:val="Header"/>
    </w:pPr>
    <w:r>
      <w:rPr>
        <w:noProof/>
      </w:rPr>
      <w:pict w14:anchorId="159845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235908"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38D2" w14:textId="77777777" w:rsidR="00212C84" w:rsidRDefault="00000000">
    <w:pPr>
      <w:pStyle w:val="Header"/>
    </w:pPr>
    <w:r>
      <w:rPr>
        <w:noProof/>
      </w:rPr>
      <w:pict w14:anchorId="0D30D7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235906"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9545076">
    <w:abstractNumId w:val="8"/>
  </w:num>
  <w:num w:numId="2" w16cid:durableId="1019039162">
    <w:abstractNumId w:val="6"/>
  </w:num>
  <w:num w:numId="3" w16cid:durableId="1110123823">
    <w:abstractNumId w:val="5"/>
  </w:num>
  <w:num w:numId="4" w16cid:durableId="1257788609">
    <w:abstractNumId w:val="4"/>
  </w:num>
  <w:num w:numId="5" w16cid:durableId="121535880">
    <w:abstractNumId w:val="7"/>
  </w:num>
  <w:num w:numId="6" w16cid:durableId="1053582748">
    <w:abstractNumId w:val="3"/>
  </w:num>
  <w:num w:numId="7" w16cid:durableId="1708798119">
    <w:abstractNumId w:val="2"/>
  </w:num>
  <w:num w:numId="8" w16cid:durableId="1635595763">
    <w:abstractNumId w:val="1"/>
  </w:num>
  <w:num w:numId="9" w16cid:durableId="1018237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2MTUytzAyMzS3NDRV0lEKTi0uzszPAykwrAUAs1IlmSwAAAA="/>
  </w:docVars>
  <w:rsids>
    <w:rsidRoot w:val="00B47730"/>
    <w:rsid w:val="00034616"/>
    <w:rsid w:val="0006063C"/>
    <w:rsid w:val="000E3D96"/>
    <w:rsid w:val="000F38EC"/>
    <w:rsid w:val="000F51C1"/>
    <w:rsid w:val="00117423"/>
    <w:rsid w:val="0015074B"/>
    <w:rsid w:val="00196B4E"/>
    <w:rsid w:val="00212C84"/>
    <w:rsid w:val="00221C26"/>
    <w:rsid w:val="00273EAF"/>
    <w:rsid w:val="0029639D"/>
    <w:rsid w:val="002F191B"/>
    <w:rsid w:val="003032B9"/>
    <w:rsid w:val="00326F90"/>
    <w:rsid w:val="00394F4F"/>
    <w:rsid w:val="0042351D"/>
    <w:rsid w:val="004D5BA0"/>
    <w:rsid w:val="0061601F"/>
    <w:rsid w:val="00745AAC"/>
    <w:rsid w:val="008113D8"/>
    <w:rsid w:val="008C593B"/>
    <w:rsid w:val="008C5B32"/>
    <w:rsid w:val="00A17BFB"/>
    <w:rsid w:val="00A37425"/>
    <w:rsid w:val="00A45044"/>
    <w:rsid w:val="00AA1D8D"/>
    <w:rsid w:val="00B00E59"/>
    <w:rsid w:val="00B403AB"/>
    <w:rsid w:val="00B47730"/>
    <w:rsid w:val="00B709EF"/>
    <w:rsid w:val="00B85C6D"/>
    <w:rsid w:val="00BE438B"/>
    <w:rsid w:val="00CB0664"/>
    <w:rsid w:val="00CB5258"/>
    <w:rsid w:val="00CC5DA6"/>
    <w:rsid w:val="00DE3F8C"/>
    <w:rsid w:val="00DE760E"/>
    <w:rsid w:val="00E05E78"/>
    <w:rsid w:val="00E67301"/>
    <w:rsid w:val="00F2665A"/>
    <w:rsid w:val="00F90A15"/>
    <w:rsid w:val="00FB12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12CFDF"/>
  <w14:defaultImageDpi w14:val="300"/>
  <w15:docId w15:val="{2790F864-5B8C-4D1F-B72F-F6882AC79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rFonts w:ascii="Times New Roman" w:hAnsi="Times New Roman"/>
      <w:color w:val="000000"/>
      <w:sz w:val="24"/>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rFonts w:ascii="Times New Roman" w:hAnsi="Times New Roman"/>
      <w:color w:val="000000"/>
      <w:sz w:val="24"/>
    </w:rPr>
  </w:style>
  <w:style w:type="paragraph" w:styleId="NoSpacing">
    <w:name w:val="No Spacing"/>
    <w:uiPriority w:val="1"/>
    <w:qFormat/>
    <w:rsid w:val="00FC693F"/>
    <w:pPr>
      <w:spacing w:after="0" w:line="240" w:lineRule="auto"/>
    </w:pPr>
    <w:rPr>
      <w:rFonts w:ascii="Times New Roman" w:eastAsia="Times New Roman" w:hAnsi="Times New Roman" w:cs="Times New Roman"/>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sz w:val="24"/>
    </w:rPr>
  </w:style>
  <w:style w:type="paragraph" w:styleId="Title">
    <w:name w:val="Title"/>
    <w:basedOn w:val="Normal"/>
    <w:next w:val="Normal"/>
    <w:link w:val="TitleChar"/>
    <w:uiPriority w:val="10"/>
    <w:qFormat/>
    <w:rsid w:val="00FC693F"/>
    <w:pPr>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24"/>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Times New Roman" w:hAnsi="Times New Roman"/>
      <w:color w:val="000000"/>
      <w:sz w:val="24"/>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Times New Roman" w:hAnsi="Times New Roman"/>
      <w:color w:val="000000"/>
      <w:sz w:val="24"/>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Times New Roman" w:hAnsi="Times New Roman"/>
      <w:color w:val="000000"/>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color w:val="000000"/>
      <w:sz w:val="24"/>
      <w:szCs w:val="20"/>
    </w:rPr>
  </w:style>
  <w:style w:type="character" w:customStyle="1" w:styleId="MacroTextChar">
    <w:name w:val="Macro Text Char"/>
    <w:basedOn w:val="DefaultParagraphFont"/>
    <w:link w:val="MacroText"/>
    <w:uiPriority w:val="99"/>
    <w:rsid w:val="0029639D"/>
    <w:rPr>
      <w:rFonts w:ascii="Times New Roman" w:hAnsi="Times New Roman"/>
      <w:color w:val="000000"/>
      <w:sz w:val="24"/>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Times New Roman" w:hAnsi="Times New Roman"/>
      <w:i/>
      <w:iCs/>
      <w:color w:val="000000"/>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4"/>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rFonts w:ascii="Times New Roman" w:hAnsi="Times New Roman"/>
      <w:b/>
      <w:bCs/>
      <w:color w:val="000000"/>
      <w:sz w:val="24"/>
    </w:rPr>
  </w:style>
  <w:style w:type="character" w:styleId="Emphasis">
    <w:name w:val="Emphasis"/>
    <w:basedOn w:val="DefaultParagraphFont"/>
    <w:uiPriority w:val="20"/>
    <w:qFormat/>
    <w:rsid w:val="00FC693F"/>
    <w:rPr>
      <w:rFonts w:ascii="Times New Roman" w:hAnsi="Times New Roman"/>
      <w:i/>
      <w:iCs/>
      <w:color w:val="000000"/>
      <w:sz w:val="24"/>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Times New Roman" w:hAnsi="Times New Roman"/>
      <w:b/>
      <w:bCs/>
      <w:i/>
      <w:iCs/>
      <w:color w:val="000000"/>
      <w:sz w:val="24"/>
    </w:rPr>
  </w:style>
  <w:style w:type="character" w:styleId="SubtleEmphasis">
    <w:name w:val="Subtle Emphasis"/>
    <w:basedOn w:val="DefaultParagraphFont"/>
    <w:uiPriority w:val="19"/>
    <w:qFormat/>
    <w:rsid w:val="00FC693F"/>
    <w:rPr>
      <w:rFonts w:ascii="Times New Roman" w:hAnsi="Times New Roman"/>
      <w:i/>
      <w:iCs/>
      <w:color w:val="000000"/>
      <w:sz w:val="24"/>
    </w:rPr>
  </w:style>
  <w:style w:type="character" w:styleId="IntenseEmphasis">
    <w:name w:val="Intense Emphasis"/>
    <w:basedOn w:val="DefaultParagraphFont"/>
    <w:uiPriority w:val="21"/>
    <w:qFormat/>
    <w:rsid w:val="00FC693F"/>
    <w:rPr>
      <w:rFonts w:ascii="Times New Roman" w:hAnsi="Times New Roman"/>
      <w:b/>
      <w:bCs/>
      <w:i/>
      <w:iCs/>
      <w:color w:val="000000"/>
      <w:sz w:val="24"/>
    </w:rPr>
  </w:style>
  <w:style w:type="character" w:styleId="SubtleReference">
    <w:name w:val="Subtle Reference"/>
    <w:basedOn w:val="DefaultParagraphFont"/>
    <w:uiPriority w:val="31"/>
    <w:qFormat/>
    <w:rsid w:val="00FC693F"/>
    <w:rPr>
      <w:rFonts w:ascii="Times New Roman" w:hAnsi="Times New Roman"/>
      <w:smallCaps/>
      <w:color w:val="000000"/>
      <w:sz w:val="24"/>
      <w:u w:val="single"/>
    </w:rPr>
  </w:style>
  <w:style w:type="character" w:styleId="IntenseReference">
    <w:name w:val="Intense Reference"/>
    <w:basedOn w:val="DefaultParagraphFont"/>
    <w:uiPriority w:val="32"/>
    <w:qFormat/>
    <w:rsid w:val="00FC693F"/>
    <w:rPr>
      <w:rFonts w:ascii="Times New Roman" w:hAnsi="Times New Roman"/>
      <w:b/>
      <w:bCs/>
      <w:smallCaps/>
      <w:color w:val="000000"/>
      <w:spacing w:val="5"/>
      <w:sz w:val="24"/>
      <w:u w:val="single"/>
    </w:rPr>
  </w:style>
  <w:style w:type="character" w:styleId="BookTitle">
    <w:name w:val="Book Title"/>
    <w:basedOn w:val="DefaultParagraphFont"/>
    <w:uiPriority w:val="33"/>
    <w:qFormat/>
    <w:rsid w:val="00FC693F"/>
    <w:rPr>
      <w:rFonts w:ascii="Times New Roman" w:hAnsi="Times New Roman"/>
      <w:b/>
      <w:bCs/>
      <w:smallCaps/>
      <w:color w:val="000000"/>
      <w:spacing w:val="5"/>
      <w:sz w:val="24"/>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46/annurev.ento.52.110405.091440" TargetMode="External"/><Relationship Id="rId18" Type="http://schemas.openxmlformats.org/officeDocument/2006/relationships/hyperlink" Target="https://www.ippc.int/en/countries/india/pestreports/2024/07/outbreak-and-control-of-papaya-mealy-bug-paracoccus-marginatus--1/" TargetMode="External"/><Relationship Id="rId26" Type="http://schemas.openxmlformats.org/officeDocument/2006/relationships/hyperlink" Target="https://doi.org/10.3389/fphys.2014.00001" TargetMode="External"/><Relationship Id="rId39" Type="http://schemas.openxmlformats.org/officeDocument/2006/relationships/header" Target="header2.xml"/><Relationship Id="rId21" Type="http://schemas.openxmlformats.org/officeDocument/2006/relationships/hyperlink" Target="https://doi.org/10.1146/annurev-ento-011019-025010" TargetMode="External"/><Relationship Id="rId34" Type="http://schemas.openxmlformats.org/officeDocument/2006/relationships/hyperlink" Target="https://doi.org/10.1093/jipm/pmae024"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6557/joban/2026/v18i110298" TargetMode="External"/><Relationship Id="rId29" Type="http://schemas.openxmlformats.org/officeDocument/2006/relationships/hyperlink" Target="https://doi.org/10.1016/j.compag.2024.1090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46/annurev-ento-112408-085504" TargetMode="External"/><Relationship Id="rId24" Type="http://schemas.openxmlformats.org/officeDocument/2006/relationships/hyperlink" Target="https://doi.org/10.1146/annurev.ento.51.110104.151044" TargetMode="External"/><Relationship Id="rId32" Type="http://schemas.openxmlformats.org/officeDocument/2006/relationships/hyperlink" Target="https://doi.org/10.56557/upjoz/2025/v46i145132" TargetMode="External"/><Relationship Id="rId37" Type="http://schemas.openxmlformats.org/officeDocument/2006/relationships/hyperlink" Target="https://doi.org/10.1038/s41467-025-56732-x"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biocontrol.2024.105628" TargetMode="External"/><Relationship Id="rId23" Type="http://schemas.openxmlformats.org/officeDocument/2006/relationships/hyperlink" Target="https://doi.org/10.1146/annurev.ento.43.1.243" TargetMode="External"/><Relationship Id="rId28" Type="http://schemas.openxmlformats.org/officeDocument/2006/relationships/hyperlink" Target="https://doi.org/10.11646/zootaxa.5209.3.5" TargetMode="External"/><Relationship Id="rId36" Type="http://schemas.openxmlformats.org/officeDocument/2006/relationships/hyperlink" Target="https://doi.org/10.1007/s10526-017-9801-4" TargetMode="External"/><Relationship Id="rId10" Type="http://schemas.openxmlformats.org/officeDocument/2006/relationships/hyperlink" Target="https://doi.org/10.1079/cabicompendium.6204" TargetMode="External"/><Relationship Id="rId19" Type="http://schemas.openxmlformats.org/officeDocument/2006/relationships/hyperlink" Target="https://doi.org/10.1146/annurev-ento-031616-035050" TargetMode="External"/><Relationship Id="rId31" Type="http://schemas.openxmlformats.org/officeDocument/2006/relationships/hyperlink" Target="https://doi.org/10.9734/ijecc/2024/v14i9442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lks.csb.gov.in/medak/diseases-and-pests-of-food-plants/" TargetMode="External"/><Relationship Id="rId14" Type="http://schemas.openxmlformats.org/officeDocument/2006/relationships/hyperlink" Target="https://gd.eppo.int/taxon/PHENHI/datasheet" TargetMode="External"/><Relationship Id="rId22" Type="http://schemas.openxmlformats.org/officeDocument/2006/relationships/hyperlink" Target="https://doi.org/10.9734/acri/2026/v26i41842" TargetMode="External"/><Relationship Id="rId27" Type="http://schemas.openxmlformats.org/officeDocument/2006/relationships/hyperlink" Target="https://doi.org/10.1146/annurev-ento-121123-021252" TargetMode="External"/><Relationship Id="rId30" Type="http://schemas.openxmlformats.org/officeDocument/2006/relationships/hyperlink" Target="https://doi.org/10.57182/jbiopestic.6.1.71-76" TargetMode="External"/><Relationship Id="rId35" Type="http://schemas.openxmlformats.org/officeDocument/2006/relationships/hyperlink" Target="https://doi.org/10.1146/annurev.ento.51.110104.151129" TargetMode="External"/><Relationship Id="rId43" Type="http://schemas.openxmlformats.org/officeDocument/2006/relationships/footer" Target="footer3.xml"/><Relationship Id="rId8" Type="http://schemas.openxmlformats.org/officeDocument/2006/relationships/hyperlink" Target="https://doi.org/10.1098/rstb.2007.2182" TargetMode="External"/><Relationship Id="rId3" Type="http://schemas.openxmlformats.org/officeDocument/2006/relationships/styles" Target="styles.xml"/><Relationship Id="rId12" Type="http://schemas.openxmlformats.org/officeDocument/2006/relationships/hyperlink" Target="https://doi.org/10.1016/j.biocontrol.2007.08.001" TargetMode="External"/><Relationship Id="rId17" Type="http://schemas.openxmlformats.org/officeDocument/2006/relationships/hyperlink" Target="https://doi.org/10.9734/jeai/2025/v47i73616" TargetMode="External"/><Relationship Id="rId25" Type="http://schemas.openxmlformats.org/officeDocument/2006/relationships/hyperlink" Target="https://doi.org/10.1146/annurev.ento.49.061802.123318" TargetMode="External"/><Relationship Id="rId33" Type="http://schemas.openxmlformats.org/officeDocument/2006/relationships/hyperlink" Target="https://doi.org/10.1016/j.pestbp.2014.11.014" TargetMode="External"/><Relationship Id="rId38" Type="http://schemas.openxmlformats.org/officeDocument/2006/relationships/header" Target="header1.xml"/><Relationship Id="rId20" Type="http://schemas.openxmlformats.org/officeDocument/2006/relationships/hyperlink" Target="https://irac-online.org/documents/moa-classification/"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6249</Words>
  <Characters>35622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23</cp:revision>
  <dcterms:created xsi:type="dcterms:W3CDTF">2013-12-23T23:15:00Z</dcterms:created>
  <dcterms:modified xsi:type="dcterms:W3CDTF">2026-10-14T09:47:00Z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996e587581bb16f98869118ad9b299d618601429c775341e8866e96d324f272a</vt:lpwstr>
  </property>
</Properties>
</file>