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A85DA" w14:textId="77777777" w:rsidR="000A5C14" w:rsidRDefault="000A5C14" w:rsidP="000A5C14">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3E9DA9E7" w14:textId="77777777" w:rsidR="000A5C14" w:rsidRPr="006D641C" w:rsidRDefault="000A5C14" w:rsidP="000A5C14">
      <w:pPr>
        <w:pStyle w:val="Author"/>
        <w:spacing w:line="240" w:lineRule="auto"/>
        <w:outlineLvl w:val="0"/>
        <w:rPr>
          <w:rFonts w:ascii="Arial" w:hAnsi="Arial" w:cs="Arial"/>
          <w:bCs/>
          <w:i/>
          <w:iCs/>
          <w:kern w:val="28"/>
          <w:sz w:val="36"/>
          <w:u w:val="single"/>
        </w:rPr>
      </w:pPr>
    </w:p>
    <w:p w14:paraId="418BD51D" w14:textId="77777777" w:rsidR="00A258C3" w:rsidRPr="00790ADA" w:rsidRDefault="0024208D" w:rsidP="00441B6F">
      <w:pPr>
        <w:pStyle w:val="Author"/>
        <w:spacing w:line="240" w:lineRule="auto"/>
        <w:jc w:val="both"/>
        <w:rPr>
          <w:rFonts w:ascii="Arial" w:hAnsi="Arial" w:cs="Arial"/>
          <w:sz w:val="36"/>
        </w:rPr>
      </w:pPr>
      <w:r w:rsidRPr="0024208D">
        <w:rPr>
          <w:rFonts w:ascii="Arial" w:hAnsi="Arial" w:cs="Arial"/>
          <w:bCs/>
          <w:iCs/>
          <w:kern w:val="28"/>
          <w:sz w:val="36"/>
        </w:rPr>
        <w:t>RADIOGRAPHIC ASSESSMENT OF SKELETAL MATURATION USING SHOULDER-REGION OSSIFICATION CENTE</w:t>
      </w:r>
      <w:r w:rsidR="00BA5939">
        <w:rPr>
          <w:rFonts w:ascii="Arial" w:hAnsi="Arial" w:cs="Arial"/>
          <w:bCs/>
          <w:iCs/>
          <w:kern w:val="28"/>
          <w:sz w:val="36"/>
        </w:rPr>
        <w:t>R</w:t>
      </w:r>
      <w:r w:rsidRPr="0024208D">
        <w:rPr>
          <w:rFonts w:ascii="Arial" w:hAnsi="Arial" w:cs="Arial"/>
          <w:bCs/>
          <w:iCs/>
          <w:kern w:val="28"/>
          <w:sz w:val="36"/>
        </w:rPr>
        <w:t>S IN NIGERIAN CHILDREN</w:t>
      </w:r>
    </w:p>
    <w:p w14:paraId="2C7B9D57" w14:textId="77777777" w:rsidR="0024208D" w:rsidRDefault="0024208D" w:rsidP="00441B6F">
      <w:pPr>
        <w:pStyle w:val="Author"/>
        <w:spacing w:line="240" w:lineRule="auto"/>
        <w:rPr>
          <w:rFonts w:ascii="Arial" w:hAnsi="Arial" w:cs="Arial"/>
        </w:rPr>
      </w:pPr>
    </w:p>
    <w:p w14:paraId="1D4FEA59" w14:textId="77777777" w:rsidR="00790ADA" w:rsidRDefault="00790ADA" w:rsidP="00441B6F">
      <w:pPr>
        <w:pStyle w:val="Affiliation"/>
        <w:spacing w:after="0" w:line="240" w:lineRule="auto"/>
        <w:jc w:val="both"/>
        <w:rPr>
          <w:rFonts w:ascii="Arial" w:hAnsi="Arial" w:cs="Arial"/>
        </w:rPr>
      </w:pPr>
    </w:p>
    <w:p w14:paraId="1DDE26B6" w14:textId="77777777" w:rsidR="002C57D2" w:rsidRPr="00FB3A86" w:rsidRDefault="002C57D2" w:rsidP="00441B6F">
      <w:pPr>
        <w:pStyle w:val="Affiliation"/>
        <w:spacing w:after="0" w:line="240" w:lineRule="auto"/>
        <w:jc w:val="both"/>
        <w:rPr>
          <w:rFonts w:ascii="Arial" w:hAnsi="Arial" w:cs="Arial"/>
        </w:rPr>
      </w:pPr>
    </w:p>
    <w:p w14:paraId="6E7FC771" w14:textId="77777777" w:rsidR="00B01FCD" w:rsidRPr="00FB3A86" w:rsidRDefault="00000000" w:rsidP="00441B6F">
      <w:pPr>
        <w:pStyle w:val="Copyright"/>
        <w:spacing w:after="0" w:line="240" w:lineRule="auto"/>
        <w:jc w:val="both"/>
        <w:rPr>
          <w:rFonts w:ascii="Arial" w:hAnsi="Arial" w:cs="Arial"/>
        </w:rPr>
        <w:sectPr w:rsidR="00B01FCD" w:rsidRPr="00FB3A86" w:rsidSect="00D0549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37132426"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745EA76F" w14:textId="77777777" w:rsidR="0024208D" w:rsidRPr="0024208D" w:rsidRDefault="00D36784" w:rsidP="0024208D">
      <w:pPr>
        <w:pStyle w:val="Body"/>
        <w:spacing w:after="0"/>
        <w:rPr>
          <w:rFonts w:ascii="Arial" w:eastAsia="Calibri" w:hAnsi="Arial" w:cs="Arial"/>
          <w:szCs w:val="22"/>
        </w:rPr>
      </w:pPr>
      <w:r>
        <w:rPr>
          <w:rFonts w:ascii="Arial" w:hAnsi="Arial" w:cs="Arial"/>
        </w:rPr>
        <w:br/>
      </w:r>
      <w:r>
        <w:rPr>
          <w:rFonts w:ascii="Arial" w:eastAsia="Calibri" w:hAnsi="Arial" w:cs="Arial"/>
          <w:b/>
          <w:szCs w:val="22"/>
        </w:rPr>
        <w:t xml:space="preserve">Background: </w:t>
      </w:r>
      <w:r>
        <w:rPr>
          <w:rFonts w:ascii="Arial" w:eastAsia="Calibri" w:hAnsi="Arial" w:cs="Arial"/>
          <w:szCs w:val="22"/>
        </w:rPr>
        <w:t xml:space="preserve">Skeletal maturation is influenced by population, sex and environmental factors. Therefore, reference standards may not accurately reflect developmental patterns. Assessment of shoulder ossification centres may provide indicators of skeletal maturity. The aim of the study was to </w:t>
      </w:r>
      <w:r>
        <w:rPr>
          <w:rFonts w:ascii="Arial" w:eastAsia="Calibri" w:hAnsi="Arial" w:cs="Arial"/>
          <w:szCs w:val="22"/>
          <w:highlight w:val="yellow"/>
        </w:rPr>
        <w:t>assess</w:t>
      </w:r>
      <w:r>
        <w:rPr>
          <w:rFonts w:ascii="Arial" w:eastAsia="Calibri" w:hAnsi="Arial" w:cs="Arial"/>
          <w:szCs w:val="22"/>
        </w:rPr>
        <w:t xml:space="preserve"> the chronological appearance of ossification centres in the shoulder region among Nigerian children and </w:t>
      </w:r>
      <w:r>
        <w:rPr>
          <w:rFonts w:ascii="Arial" w:eastAsia="Calibri" w:hAnsi="Arial" w:cs="Arial"/>
          <w:szCs w:val="22"/>
          <w:highlight w:val="yellow"/>
        </w:rPr>
        <w:t>compare the</w:t>
      </w:r>
      <w:r>
        <w:rPr>
          <w:rFonts w:ascii="Arial" w:eastAsia="Calibri" w:hAnsi="Arial" w:cs="Arial"/>
          <w:szCs w:val="22"/>
        </w:rPr>
        <w:t xml:space="preserve"> observed ages with established reference standards.</w:t>
      </w:r>
    </w:p>
    <w:p w14:paraId="6E4A4129" w14:textId="77777777" w:rsidR="0024208D" w:rsidRDefault="00D36784" w:rsidP="0024208D">
      <w:pPr>
        <w:pStyle w:val="Body"/>
        <w:spacing w:after="0"/>
        <w:rPr>
          <w:rFonts w:ascii="Arial" w:eastAsia="Calibri" w:hAnsi="Arial" w:cs="Arial"/>
          <w:szCs w:val="22"/>
        </w:rPr>
      </w:pPr>
      <w:r>
        <w:rPr>
          <w:rFonts w:ascii="Arial" w:eastAsia="Calibri" w:hAnsi="Arial" w:cs="Arial"/>
          <w:b/>
          <w:bCs/>
          <w:szCs w:val="22"/>
        </w:rPr>
        <w:t>Methodology:</w:t>
      </w:r>
      <w:r>
        <w:rPr>
          <w:rFonts w:ascii="Arial" w:eastAsia="Calibri" w:hAnsi="Arial" w:cs="Arial"/>
          <w:szCs w:val="22"/>
        </w:rPr>
        <w:t xml:space="preserve"> A radiographic study was conducted using shoulder and upper-arm radiographs of Nigerian children aged 1 </w:t>
      </w:r>
      <w:r>
        <w:rPr>
          <w:rFonts w:ascii="Arial" w:eastAsia="Calibri" w:hAnsi="Arial" w:cs="Arial"/>
          <w:szCs w:val="22"/>
          <w:highlight w:val="yellow"/>
        </w:rPr>
        <w:t>month–15</w:t>
      </w:r>
      <w:r>
        <w:rPr>
          <w:rFonts w:ascii="Arial" w:eastAsia="Calibri" w:hAnsi="Arial" w:cs="Arial"/>
          <w:szCs w:val="22"/>
        </w:rPr>
        <w:t xml:space="preserve"> years. The ossification status of nine </w:t>
      </w:r>
      <w:r>
        <w:rPr>
          <w:rFonts w:ascii="Arial" w:eastAsia="Calibri" w:hAnsi="Arial" w:cs="Arial"/>
          <w:szCs w:val="22"/>
          <w:highlight w:val="yellow"/>
        </w:rPr>
        <w:t>centres: the</w:t>
      </w:r>
      <w:r>
        <w:rPr>
          <w:rFonts w:ascii="Arial" w:eastAsia="Calibri" w:hAnsi="Arial" w:cs="Arial"/>
          <w:szCs w:val="22"/>
        </w:rPr>
        <w:t xml:space="preserve"> medial end of the clavicle, coracoid process, glenoid cavity, inferior angle and medial border of the scapula, acromion process, and </w:t>
      </w:r>
      <w:r>
        <w:rPr>
          <w:rFonts w:ascii="Arial" w:eastAsia="Calibri" w:hAnsi="Arial" w:cs="Arial"/>
          <w:szCs w:val="22"/>
          <w:highlight w:val="yellow"/>
        </w:rPr>
        <w:t xml:space="preserve">the </w:t>
      </w:r>
      <w:r>
        <w:rPr>
          <w:rFonts w:ascii="Arial" w:eastAsia="Calibri" w:hAnsi="Arial" w:cs="Arial"/>
          <w:szCs w:val="22"/>
        </w:rPr>
        <w:t xml:space="preserve">head, greater </w:t>
      </w:r>
      <w:r>
        <w:rPr>
          <w:rFonts w:ascii="Arial" w:eastAsia="Calibri" w:hAnsi="Arial" w:cs="Arial"/>
          <w:szCs w:val="22"/>
          <w:highlight w:val="yellow"/>
        </w:rPr>
        <w:t>tubercle,</w:t>
      </w:r>
      <w:r>
        <w:rPr>
          <w:rFonts w:ascii="Arial" w:eastAsia="Calibri" w:hAnsi="Arial" w:cs="Arial"/>
          <w:szCs w:val="22"/>
        </w:rPr>
        <w:t xml:space="preserve"> and lesser tubercle of the </w:t>
      </w:r>
      <w:r>
        <w:rPr>
          <w:rFonts w:ascii="Arial" w:eastAsia="Calibri" w:hAnsi="Arial" w:cs="Arial"/>
          <w:szCs w:val="22"/>
          <w:highlight w:val="yellow"/>
        </w:rPr>
        <w:t>humerus</w:t>
      </w:r>
      <w:r>
        <w:rPr>
          <w:rFonts w:ascii="Arial" w:eastAsia="Calibri" w:hAnsi="Arial" w:cs="Arial"/>
          <w:szCs w:val="22"/>
        </w:rPr>
        <w:t xml:space="preserve"> was assessed by age and sex. Observed ages were compared descriptively with established standards.</w:t>
      </w:r>
    </w:p>
    <w:p w14:paraId="31B2BB34" w14:textId="77777777" w:rsidR="00D36784" w:rsidRPr="0024208D" w:rsidRDefault="00D36784" w:rsidP="0024208D">
      <w:pPr>
        <w:pStyle w:val="Body"/>
        <w:spacing w:after="0"/>
        <w:rPr>
          <w:rFonts w:ascii="Arial" w:eastAsia="Calibri" w:hAnsi="Arial" w:cs="Arial"/>
          <w:szCs w:val="22"/>
        </w:rPr>
      </w:pPr>
      <w:r>
        <w:rPr>
          <w:rFonts w:ascii="Arial" w:eastAsia="Calibri" w:hAnsi="Arial" w:cs="Arial"/>
          <w:b/>
          <w:bCs/>
          <w:szCs w:val="22"/>
        </w:rPr>
        <w:t>Results:</w:t>
      </w:r>
      <w:r>
        <w:rPr>
          <w:rFonts w:ascii="Arial" w:eastAsia="Calibri" w:hAnsi="Arial" w:cs="Arial"/>
          <w:szCs w:val="22"/>
        </w:rPr>
        <w:t xml:space="preserve"> In males, the ages of appearance were 2 months for the coracoid process and head of the humerus, 2 years for the greater tubercle, 3 years for the lesser tubercle, 12 years for the glenoid cavity, 13 years for the inferior angle, acromion process and medial border of the scapula, and 14 years for the medial end of the clavicle. In females, corresponding ages were 1 month, 1 month, 1 year, 4 years, 10 years, 10 years, 12 years, 10 years and 14 years, respectively. Several </w:t>
      </w:r>
      <w:r>
        <w:rPr>
          <w:rFonts w:ascii="Arial" w:eastAsia="Calibri" w:hAnsi="Arial" w:cs="Arial"/>
          <w:szCs w:val="22"/>
          <w:highlight w:val="yellow"/>
        </w:rPr>
        <w:t>centres</w:t>
      </w:r>
      <w:r>
        <w:rPr>
          <w:rFonts w:ascii="Arial" w:eastAsia="Calibri" w:hAnsi="Arial" w:cs="Arial"/>
          <w:szCs w:val="22"/>
        </w:rPr>
        <w:t xml:space="preserve"> appeared earlier than reference standards.</w:t>
      </w:r>
    </w:p>
    <w:p w14:paraId="30C496BA" w14:textId="77777777" w:rsidR="0024208D" w:rsidRDefault="00D36784" w:rsidP="00C93CAA">
      <w:pPr>
        <w:pStyle w:val="Body"/>
        <w:spacing w:after="0"/>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r w:rsidR="0024208D" w:rsidRPr="0024208D">
        <w:rPr>
          <w:rFonts w:ascii="Arial" w:eastAsia="Calibri" w:hAnsi="Arial" w:cs="Arial"/>
          <w:szCs w:val="22"/>
        </w:rPr>
        <w:t>The findings demonstrate a sequential pattern of shoulder-region ossification and sex-related differences in observed timing among Nigerian children. Larger studies with evenly distributed samples are needed to establish population-specific reference values for skeletal maturation assessment.</w:t>
      </w:r>
    </w:p>
    <w:p w14:paraId="00D73970" w14:textId="77777777" w:rsidR="00636EB2" w:rsidRDefault="00636EB2" w:rsidP="00441B6F">
      <w:pPr>
        <w:pStyle w:val="Body"/>
        <w:spacing w:after="0"/>
        <w:rPr>
          <w:rFonts w:ascii="Arial" w:hAnsi="Arial" w:cs="Arial"/>
          <w:i/>
        </w:rPr>
      </w:pPr>
    </w:p>
    <w:p w14:paraId="5BC32553" w14:textId="77777777" w:rsidR="00B52896" w:rsidRDefault="00A24E7E" w:rsidP="00981788">
      <w:pPr>
        <w:pStyle w:val="Body"/>
        <w:rPr>
          <w:rFonts w:ascii="Arial" w:hAnsi="Arial" w:cs="Arial"/>
          <w:i/>
          <w:sz w:val="18"/>
        </w:rPr>
      </w:pPr>
      <w:r>
        <w:rPr>
          <w:rFonts w:ascii="Arial" w:hAnsi="Arial" w:cs="Arial"/>
          <w:i/>
        </w:rPr>
        <w:t xml:space="preserve">Keywords: </w:t>
      </w:r>
      <w:r w:rsidR="00981788" w:rsidRPr="00981788">
        <w:rPr>
          <w:rFonts w:ascii="Arial" w:hAnsi="Arial" w:cs="Arial"/>
          <w:i/>
        </w:rPr>
        <w:t>Skeletal maturation; Ossification centres; Bone age; Shoulder region; Nigerian children.</w:t>
      </w:r>
    </w:p>
    <w:p w14:paraId="687BBE5D" w14:textId="77777777" w:rsidR="0024282C" w:rsidRDefault="0024282C" w:rsidP="00441B6F">
      <w:pPr>
        <w:pStyle w:val="Body"/>
        <w:spacing w:after="0"/>
        <w:rPr>
          <w:rFonts w:ascii="Arial" w:hAnsi="Arial" w:cs="Arial"/>
          <w:i/>
          <w:sz w:val="18"/>
        </w:rPr>
      </w:pPr>
    </w:p>
    <w:p w14:paraId="6E42D996" w14:textId="77777777" w:rsidR="00505F06" w:rsidRPr="00A24E7E" w:rsidRDefault="00505F06" w:rsidP="00441B6F">
      <w:pPr>
        <w:pStyle w:val="Body"/>
        <w:spacing w:after="0"/>
        <w:rPr>
          <w:rFonts w:ascii="Arial" w:hAnsi="Arial" w:cs="Arial"/>
          <w:i/>
        </w:rPr>
      </w:pPr>
    </w:p>
    <w:p w14:paraId="15A24D99"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0E87B509" w14:textId="77777777" w:rsidR="00790ADA" w:rsidRPr="00FB3A86" w:rsidRDefault="00790ADA" w:rsidP="00441B6F">
      <w:pPr>
        <w:pStyle w:val="AbstHead"/>
        <w:spacing w:after="0"/>
        <w:jc w:val="both"/>
        <w:rPr>
          <w:rFonts w:ascii="Arial" w:hAnsi="Arial" w:cs="Arial"/>
        </w:rPr>
      </w:pPr>
    </w:p>
    <w:p w14:paraId="0738D491" w14:textId="77777777" w:rsidR="00981788" w:rsidRPr="001A210F" w:rsidRDefault="00D52159" w:rsidP="00981788">
      <w:pPr>
        <w:pStyle w:val="Body"/>
        <w:spacing w:after="0"/>
        <w:rPr>
          <w:rFonts w:ascii="Arial" w:hAnsi="Arial" w:cs="Arial"/>
          <w:bCs/>
        </w:rPr>
      </w:pPr>
      <w:r>
        <w:rPr>
          <w:rFonts w:ascii="Arial" w:hAnsi="Arial" w:cs="Arial"/>
        </w:rPr>
        <w:t xml:space="preserve">Skeletal age is an established indicator of biological maturation that reflects the developmental status of the skeleton relative to chronological age. Whereas chronological age is determined from the date of birth, skeletal age is estimated from radiographic features of skeletal development, particularly the appearance, growth, morphological transformation, and eventual fusion of ossification centres. The assessment of skeletal maturity is important in paediatric growth evaluation, paediatric endocrinology, orthopaedics, growth prediction, and selected forensic and anthropological applications (Acheson et al., 1966; Roche, 1989; Tanner et al., 1975; Satoh, 2015; Malina et al., 2021). The two most widely </w:t>
      </w:r>
      <w:r>
        <w:rPr>
          <w:rFonts w:ascii="Arial" w:hAnsi="Arial" w:cs="Arial"/>
          <w:highlight w:val="yellow"/>
        </w:rPr>
        <w:t>recognised</w:t>
      </w:r>
      <w:r>
        <w:rPr>
          <w:rFonts w:ascii="Arial" w:hAnsi="Arial" w:cs="Arial"/>
        </w:rPr>
        <w:t xml:space="preserve"> approaches are the Greulich–Pyle atlas method and the Tanner–Whitehouse scoring system. The Greulich–Pyle method uses an overall comparison of the radiograph with age- and sex-specific reference images, whereas the Tanner–Whitehouse approach evaluates individual bones according to defined stages of maturation and converts the resulting maturity score into skeletal age (Milner et al., 1986; Bull et al., 1999; Satoh, 2015; Pinchi et al., 2014). Although these methods remain widely used, skeletal age is not an exact measure of chronological age and is subject to biological variation as well as methodological and observer-related differences (Acheson et al., 1966; Bull et al., 1999; Gertych et al., </w:t>
      </w:r>
      <w:r>
        <w:rPr>
          <w:rFonts w:ascii="Arial" w:hAnsi="Arial" w:cs="Arial"/>
          <w:highlight w:val="yellow"/>
        </w:rPr>
        <w:t>2007).</w:t>
      </w:r>
      <w:r>
        <w:rPr>
          <w:b/>
          <w:highlight w:val="yellow"/>
        </w:rPr>
        <w:t xml:space="preserve"> </w:t>
      </w:r>
      <w:r w:rsidRPr="001A210F">
        <w:rPr>
          <w:bCs/>
          <w:highlight w:val="yellow"/>
        </w:rPr>
        <w:t>Recent comparative evidence also indicates that both the Greulich-Pyle and Tanner-</w:t>
      </w:r>
      <w:r w:rsidRPr="001A210F">
        <w:rPr>
          <w:bCs/>
          <w:highlight w:val="yellow"/>
        </w:rPr>
        <w:lastRenderedPageBreak/>
        <w:t>Whitehouse 3 methods can achieve excellent inter-observer agreement, although method-specific differences in interpretation and workflow remain relevant (Tewattanarat et al., 2026).</w:t>
      </w:r>
    </w:p>
    <w:p w14:paraId="2A3F7E4B" w14:textId="77777777" w:rsidR="00981788" w:rsidRPr="001A210F" w:rsidRDefault="00981788" w:rsidP="00981788">
      <w:pPr>
        <w:pStyle w:val="Body"/>
        <w:spacing w:after="0"/>
        <w:rPr>
          <w:rFonts w:ascii="Arial" w:hAnsi="Arial" w:cs="Arial"/>
          <w:bCs/>
        </w:rPr>
      </w:pPr>
      <w:r w:rsidRPr="001A210F">
        <w:rPr>
          <w:rFonts w:ascii="Arial" w:hAnsi="Arial" w:cs="Arial"/>
          <w:bCs/>
        </w:rPr>
        <w:t>An important consideration in skeletal-age assessment is the reference population from which a standard was derived. The original Greulich–Pyle standards were developed from radiographs collected in the United States during the first half of the twentieth century, principally involving children from the Cleveland area, and the reference sample was predominantly composed of White children from relatively advantaged socioeconomic backgrounds. Consequently, the applicability of these standards to children from different populations and to contemporary populations has been investigated extensively (Loder et al., 1993; Ontell et al., 1996; Mora et al., 2001; Alshamrani et al., 2019). Loder et al. (1993), in a study of 841 Black and White children, demonstrated differences between skeletal and chronological age across sex and age groups, suggesting that the Greulich–Pyle standards did not perform uniformly across the populations studied. Ontell et al. (1996) similarly reported differences in the relationship between skeletal and chronological age among children of diverse ethnic backgrounds. Mora et al. (2001), using hand and wrist radiographs from 534 healthy American children of European and African descent, also demonstrated population-related differences in the performance of the Greulich–Pyle method. More recently, Alshamrani et al. (2019), in a systematic review and meta-analysis involving 49 studies and more than 21,000 children, found that the applicability of the Greulich–Pyle standard varied among population groups, with significant differences between bone age and chronological age reported particularly in some African and Asian subgroups. These findings indicate that a skeletal-age standard should be evaluated within the population in which it is applied rather than assumed to have identical accuracy across all populations (Schmeling et al., 2000; Mora et al., 2001; Alshamrani et al., 2019).</w:t>
      </w:r>
      <w:r w:rsidRPr="001A210F">
        <w:rPr>
          <w:rFonts w:ascii="Arial" w:hAnsi="Arial" w:cs="Arial"/>
          <w:bCs/>
          <w:highlight w:val="yellow"/>
        </w:rPr>
        <w:t xml:space="preserve"> </w:t>
      </w:r>
      <w:r w:rsidRPr="001A210F">
        <w:rPr>
          <w:bCs/>
          <w:highlight w:val="yellow"/>
        </w:rPr>
        <w:t>Population-specific validation has also been reported in Saudi children, where Greulich-Pyle bone age showed a significant correlation with chronological age (Albaker et al., 2021). A more recent systematic review similarly concluded that the accuracy of radiological bone-age methods can vary across ethnic groups, supporting evaluation of such methods in the populations where they are applied (Martín Pérez et al., 2023).</w:t>
      </w:r>
    </w:p>
    <w:p w14:paraId="60DCBEE3" w14:textId="77777777" w:rsidR="00981788" w:rsidRPr="00981788" w:rsidRDefault="00981788" w:rsidP="00981788">
      <w:pPr>
        <w:pStyle w:val="Body"/>
        <w:spacing w:after="0"/>
        <w:rPr>
          <w:rFonts w:ascii="Arial" w:hAnsi="Arial" w:cs="Arial"/>
        </w:rPr>
      </w:pPr>
      <w:r w:rsidRPr="001A210F">
        <w:rPr>
          <w:rFonts w:ascii="Arial" w:hAnsi="Arial" w:cs="Arial"/>
          <w:bCs/>
        </w:rPr>
        <w:t>Variation in skeletal maturation is, however, more complex than a simple difference between ethnic groups. Skeletal development is influenced by sex, nutrition, health status,</w:t>
      </w:r>
      <w:r>
        <w:rPr>
          <w:rFonts w:ascii="Arial" w:hAnsi="Arial" w:cs="Arial"/>
        </w:rPr>
        <w:t xml:space="preserve"> socioeconomic circumstances, environmental conditions, pubertal development, genetic background, and secular changes in growth and maturation (Schmeling et al., 2000; Hawley et al., 2012; Cole et al., 2015). Historical investigations in African populations have demonstrated that the sequence and tempo of skeletal maturation may differ from reference populations used to construct commonly applied standards. MacKay (1952), for example, investigated skeletal maturation in 1,360 East African children and demonstrated sex differences in maturation and differences in maturation rates compared with American reference data. Masse and Hunt (1963) similarly examined skeletal maturation of the hand and wrist in West African children, providing early evidence that skeletal development should be evaluated in relation to the characteristics of the population being studied. In contemporary South Africa, Hawley et al. (2012) demonstrated that relative skeletal maturity was associated with environmental and socioeconomic factors, while Cole et al. (2015), using longitudinal data from the Birth to Twenty cohort, demonstrated sex-related differences in skeletal maturation and a difference in maturation timing between Black and White boys. More recently, Grgic et al. (2020), using data from the Generation R cohort, reported differences in skeletal age according to geographic and genetic ancestry in a large multiethnic European population. </w:t>
      </w:r>
      <w:r>
        <w:rPr>
          <w:rFonts w:ascii="Arial" w:hAnsi="Arial" w:cs="Arial"/>
          <w:highlight w:val="yellow"/>
        </w:rPr>
        <w:t>The</w:t>
      </w:r>
      <w:r>
        <w:rPr>
          <w:rFonts w:ascii="Arial" w:hAnsi="Arial" w:cs="Arial"/>
        </w:rPr>
        <w:t xml:space="preserve"> authors </w:t>
      </w:r>
      <w:r>
        <w:rPr>
          <w:rFonts w:ascii="Arial" w:hAnsi="Arial" w:cs="Arial"/>
          <w:highlight w:val="yellow"/>
        </w:rPr>
        <w:t>emphasised</w:t>
      </w:r>
      <w:r>
        <w:rPr>
          <w:rFonts w:ascii="Arial" w:hAnsi="Arial" w:cs="Arial"/>
        </w:rPr>
        <w:t xml:space="preserve"> that the mechanisms underlying such differences involve both genetic and environmental contributions. Thus, population variation in skeletal maturation should be interpreted within the broader biological and environmental context rather than attributed exclusively to ethnicity (MacKay, 1952; Masse &amp; Hunt, 1963; Hawley et al., 2012; Cole et al., 2015; Grgic et al., 2020).</w:t>
      </w:r>
    </w:p>
    <w:p w14:paraId="0F93FAC9" w14:textId="77777777" w:rsidR="00981788" w:rsidRPr="001A210F" w:rsidRDefault="00981788" w:rsidP="00981788">
      <w:pPr>
        <w:pStyle w:val="Body"/>
        <w:spacing w:after="0"/>
        <w:rPr>
          <w:rFonts w:ascii="Arial" w:hAnsi="Arial" w:cs="Arial"/>
        </w:rPr>
      </w:pPr>
      <w:r>
        <w:rPr>
          <w:rFonts w:ascii="Arial" w:hAnsi="Arial" w:cs="Arial"/>
        </w:rPr>
        <w:t xml:space="preserve">Studies of normal paediatric shoulder development have demonstrated that the humeral head, greater and lesser tuberosities, glenoid region, </w:t>
      </w:r>
      <w:r w:rsidRPr="001A210F">
        <w:rPr>
          <w:rFonts w:ascii="Arial" w:hAnsi="Arial" w:cs="Arial"/>
        </w:rPr>
        <w:t>coracoid process, acromion, inferior angle of the scapula, medial border of the scapula, and medial and lateral aspects of the clavicle undergo progressive and, in several instances, relatively predictable changes with age (Kim, 1998; Kwong et al., 2014; Kothary et al., 2014; Li et al., 2018). Kim (1998), in a large radiographic study of infants, demonstrated regular age-related maturation of the proximal humeral epiphyseal ossification centre during the first two years of life. Similarly, Kwong et al. (2014) described the developmental characteristics of the proximal humerus in the paediatric population, while Kothary et al. (2014) documented the sequential development of the glenoid and glenoid-coracoid interface.</w:t>
      </w:r>
      <w:r w:rsidRPr="001A210F">
        <w:rPr>
          <w:rFonts w:ascii="Arial" w:hAnsi="Arial" w:cs="Arial"/>
          <w:highlight w:val="yellow"/>
        </w:rPr>
        <w:t xml:space="preserve"> </w:t>
      </w:r>
      <w:r w:rsidRPr="001A210F">
        <w:rPr>
          <w:highlight w:val="yellow"/>
        </w:rPr>
        <w:t>More recently, quantitative assessment of the humeral head ossification centre on routine radiographs has shown a strong association with chronological age in children younger than three years, further supporting the proximal humerus as a skeletal maturation marker in early childhood (Tsuru et al., 2026).</w:t>
      </w:r>
    </w:p>
    <w:p w14:paraId="3B08AF36" w14:textId="77777777" w:rsidR="00981788" w:rsidRPr="00981788" w:rsidRDefault="00981788" w:rsidP="00981788">
      <w:pPr>
        <w:pStyle w:val="Body"/>
        <w:spacing w:after="0"/>
        <w:rPr>
          <w:rFonts w:ascii="Arial" w:hAnsi="Arial" w:cs="Arial"/>
        </w:rPr>
      </w:pPr>
      <w:r w:rsidRPr="001A210F">
        <w:rPr>
          <w:rFonts w:ascii="Arial" w:hAnsi="Arial" w:cs="Arial"/>
        </w:rPr>
        <w:t xml:space="preserve">Li et </w:t>
      </w:r>
      <w:r w:rsidRPr="001A210F">
        <w:rPr>
          <w:rFonts w:ascii="Arial" w:hAnsi="Arial" w:cs="Arial"/>
          <w:highlight w:val="yellow"/>
        </w:rPr>
        <w:t>al.</w:t>
      </w:r>
      <w:r w:rsidRPr="001A210F">
        <w:rPr>
          <w:rFonts w:ascii="Arial" w:hAnsi="Arial" w:cs="Arial"/>
        </w:rPr>
        <w:t xml:space="preserve"> (2018) demonstrated that humeral-head ossification patterns could be used to </w:t>
      </w:r>
      <w:r w:rsidRPr="001A210F">
        <w:rPr>
          <w:rFonts w:ascii="Arial" w:hAnsi="Arial" w:cs="Arial"/>
          <w:highlight w:val="yellow"/>
        </w:rPr>
        <w:t>characterise</w:t>
      </w:r>
      <w:r w:rsidRPr="001A210F">
        <w:rPr>
          <w:rFonts w:ascii="Arial" w:hAnsi="Arial" w:cs="Arial"/>
        </w:rPr>
        <w:t xml:space="preserve"> skeletal maturity and predict the timing of peak height velocity and the amount of growth remaining. Similarly, a study of shoulder radiographs by Schaefer et al. (2015) documented the appearance and union of the proximal humerus, acromial process, and coracoid angle/apex and proposed developmental phases that could assist</w:t>
      </w:r>
      <w:r w:rsidRPr="001A210F">
        <w:rPr>
          <w:rFonts w:ascii="Arial" w:hAnsi="Arial" w:cs="Arial"/>
          <w:highlight w:val="yellow"/>
        </w:rPr>
        <w:t xml:space="preserve"> with</w:t>
      </w:r>
      <w:r w:rsidRPr="001A210F">
        <w:rPr>
          <w:rFonts w:ascii="Arial" w:hAnsi="Arial" w:cs="Arial"/>
        </w:rPr>
        <w:t xml:space="preserve"> age assessment in adolescents and young adults. Research on the acromioclavicular region has also demonstrated age-related development of the acromion and coracoid process, with differences in the</w:t>
      </w:r>
      <w:r>
        <w:rPr>
          <w:rFonts w:ascii="Arial" w:hAnsi="Arial" w:cs="Arial"/>
        </w:rPr>
        <w:t xml:space="preserve"> timing of ossification between males and females (Lee et al., 2014). Studies of the medial clavicular epiphysis have further demonstrated that its progressive ossification and fusion are associated with chronological age and can provide useful developmental information, particularly during adolescence (Schulze et al., 2006; Wittschieber et al., 2017; Engler et al., 2025). </w:t>
      </w:r>
    </w:p>
    <w:p w14:paraId="57367B50" w14:textId="77777777" w:rsidR="00981788" w:rsidRPr="00981788" w:rsidRDefault="00981788" w:rsidP="00981788">
      <w:pPr>
        <w:pStyle w:val="Body"/>
        <w:spacing w:after="0"/>
        <w:rPr>
          <w:rFonts w:ascii="Arial" w:hAnsi="Arial" w:cs="Arial"/>
        </w:rPr>
      </w:pPr>
      <w:r>
        <w:rPr>
          <w:rFonts w:ascii="Arial" w:hAnsi="Arial" w:cs="Arial"/>
        </w:rPr>
        <w:lastRenderedPageBreak/>
        <w:t xml:space="preserve">The need for locally relevant skeletal maturation data is particularly important in Nigeria, where published radiological data describing the age-related development of shoulder ossification centres in children remain limited. Udoaka et al. (2016) assessed the applicability of the Greulich–Pyle atlas to Nigerian children using 78 normal hand and wrist radiographs and reported that the mean skeletal age was approximately two months greater than the atlas standard, although the difference was not statistically significant. Furthermore, the existence of evidence from other African populations demonstrating variation in skeletal maturation </w:t>
      </w:r>
      <w:r>
        <w:rPr>
          <w:rFonts w:ascii="Arial" w:hAnsi="Arial" w:cs="Arial"/>
          <w:highlight w:val="yellow"/>
        </w:rPr>
        <w:t>emphasises</w:t>
      </w:r>
      <w:r>
        <w:rPr>
          <w:rFonts w:ascii="Arial" w:hAnsi="Arial" w:cs="Arial"/>
        </w:rPr>
        <w:t xml:space="preserve"> the need for additional data derived directly from Nigerian children (MacKay, 1952; Masse &amp; Hunt, 1963; Mora et al., 2001; Cole et al., 2015; Udoaka et al., 2016). </w:t>
      </w:r>
    </w:p>
    <w:p w14:paraId="60259DF4" w14:textId="77777777" w:rsidR="00981788" w:rsidRPr="00981788" w:rsidRDefault="00981788" w:rsidP="00981788">
      <w:pPr>
        <w:pStyle w:val="Body"/>
        <w:spacing w:after="0"/>
        <w:rPr>
          <w:rFonts w:ascii="Arial" w:hAnsi="Arial" w:cs="Arial"/>
        </w:rPr>
      </w:pPr>
      <w:r w:rsidRPr="00981788">
        <w:rPr>
          <w:rFonts w:ascii="Arial" w:hAnsi="Arial" w:cs="Arial"/>
        </w:rPr>
        <w:t>Establishing the relationship between chronological age and the appearance of ossification centres in the shoulder could provide useful population-specific reference information for Nigerian children. The present study consequently assessed archived normal anteroposterior shoulder radiographs of Nigerian children and examined the appearance of ossification centres involving the clavicle, scapula, and proximal humerus in relation to chronological age and sex. The aim of this study was to determine age based on the appearance of ossification centres in the shoulder region of normal Nigerian children.</w:t>
      </w:r>
    </w:p>
    <w:p w14:paraId="1E297714" w14:textId="77777777" w:rsidR="00790ADA" w:rsidRPr="00FB3A86" w:rsidRDefault="00790ADA" w:rsidP="00441B6F">
      <w:pPr>
        <w:pStyle w:val="Body"/>
        <w:spacing w:after="0"/>
        <w:rPr>
          <w:rFonts w:ascii="Arial" w:hAnsi="Arial" w:cs="Arial"/>
        </w:rPr>
      </w:pPr>
    </w:p>
    <w:p w14:paraId="37CA0126"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s</w:t>
      </w:r>
    </w:p>
    <w:p w14:paraId="5B9AE233" w14:textId="77777777" w:rsidR="00790ADA" w:rsidRPr="00FB3A86" w:rsidRDefault="00790ADA" w:rsidP="00441B6F">
      <w:pPr>
        <w:pStyle w:val="Body"/>
        <w:spacing w:after="0"/>
        <w:rPr>
          <w:rFonts w:ascii="Arial" w:hAnsi="Arial" w:cs="Arial"/>
        </w:rPr>
      </w:pPr>
    </w:p>
    <w:p w14:paraId="5FE49EBC" w14:textId="77777777" w:rsidR="00981788" w:rsidRPr="00981788" w:rsidRDefault="00AA74E0" w:rsidP="00981788">
      <w:pPr>
        <w:pStyle w:val="Body"/>
        <w:rPr>
          <w:rFonts w:ascii="Arial" w:hAnsi="Arial" w:cs="Arial"/>
          <w:b/>
          <w:bCs/>
          <w:caps/>
          <w:sz w:val="22"/>
        </w:rPr>
      </w:pPr>
      <w:r w:rsidRPr="00C30A0F">
        <w:rPr>
          <w:rFonts w:ascii="Arial" w:hAnsi="Arial" w:cs="Arial"/>
          <w:b/>
          <w:caps/>
          <w:sz w:val="22"/>
        </w:rPr>
        <w:t xml:space="preserve">2.1 </w:t>
      </w:r>
      <w:r w:rsidR="00981788" w:rsidRPr="00981788">
        <w:rPr>
          <w:rFonts w:ascii="Arial" w:hAnsi="Arial" w:cs="Arial"/>
          <w:b/>
          <w:bCs/>
          <w:sz w:val="22"/>
        </w:rPr>
        <w:t xml:space="preserve">Study Design </w:t>
      </w:r>
      <w:r w:rsidR="00981788">
        <w:rPr>
          <w:rFonts w:ascii="Arial" w:hAnsi="Arial" w:cs="Arial"/>
          <w:b/>
          <w:bCs/>
          <w:sz w:val="22"/>
        </w:rPr>
        <w:t>a</w:t>
      </w:r>
      <w:r w:rsidR="00981788" w:rsidRPr="00981788">
        <w:rPr>
          <w:rFonts w:ascii="Arial" w:hAnsi="Arial" w:cs="Arial"/>
          <w:b/>
          <w:bCs/>
          <w:sz w:val="22"/>
        </w:rPr>
        <w:t>nd Setting</w:t>
      </w:r>
    </w:p>
    <w:p w14:paraId="60AA74D3" w14:textId="77777777" w:rsidR="00981788" w:rsidRDefault="00981788" w:rsidP="00981788">
      <w:pPr>
        <w:pStyle w:val="Body"/>
        <w:spacing w:after="0"/>
        <w:rPr>
          <w:rFonts w:ascii="Arial" w:hAnsi="Arial" w:cs="Arial"/>
        </w:rPr>
      </w:pPr>
      <w:r>
        <w:rPr>
          <w:rFonts w:ascii="Arial" w:hAnsi="Arial" w:cs="Arial"/>
        </w:rPr>
        <w:t xml:space="preserve">A retrospective descriptive study was conducted to assess the skeletal age of Nigerian children based on the radiographic appearance of ossification centres of the shoulder region. The study </w:t>
      </w:r>
      <w:r>
        <w:rPr>
          <w:rFonts w:ascii="Arial" w:hAnsi="Arial" w:cs="Arial"/>
          <w:highlight w:val="yellow"/>
        </w:rPr>
        <w:t>utilised</w:t>
      </w:r>
      <w:r>
        <w:rPr>
          <w:rFonts w:ascii="Arial" w:hAnsi="Arial" w:cs="Arial"/>
        </w:rPr>
        <w:t xml:space="preserve"> archived shoulder radiographs obtained from the Radiology Departments of the University of Port Harcourt Teaching Hospital, Braithwaite Memorial Specialist Hospital, Pix Diagnostic Centre, Ebony Hospital, Port Harcourt, Federal Medical Centre, Bayelsa, Federal Medical Centre, Asaba, Delta State University Teaching Hospital, Oghara, University of Uyo Teaching Hospital, Uyo, and University of Nigeria Teaching Hospital, Enugu.</w:t>
      </w:r>
    </w:p>
    <w:p w14:paraId="0650BD64" w14:textId="77777777" w:rsidR="00981788" w:rsidRPr="00981788" w:rsidRDefault="00981788" w:rsidP="00981788">
      <w:pPr>
        <w:pStyle w:val="Body"/>
        <w:rPr>
          <w:rFonts w:ascii="Arial" w:hAnsi="Arial" w:cs="Arial"/>
          <w:b/>
          <w:bCs/>
          <w:sz w:val="22"/>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sidRPr="00981788">
        <w:rPr>
          <w:rFonts w:ascii="Arial" w:hAnsi="Arial" w:cs="Arial"/>
          <w:b/>
          <w:bCs/>
          <w:sz w:val="22"/>
        </w:rPr>
        <w:t>Study Population and Sample</w:t>
      </w:r>
    </w:p>
    <w:p w14:paraId="627E46AB" w14:textId="77777777" w:rsidR="00981788" w:rsidRPr="00981788" w:rsidRDefault="00981788" w:rsidP="00981788">
      <w:pPr>
        <w:pStyle w:val="Body"/>
        <w:spacing w:after="0"/>
        <w:rPr>
          <w:rFonts w:ascii="Arial" w:hAnsi="Arial" w:cs="Arial"/>
        </w:rPr>
      </w:pPr>
      <w:r w:rsidRPr="00981788">
        <w:rPr>
          <w:rFonts w:ascii="Arial" w:hAnsi="Arial" w:cs="Arial"/>
        </w:rPr>
        <w:t>A total of 104 shoulder radiographs of Nigerian children were included in the study, comprising 57 males and 47 females. The children ranged in age from 1 day to 15 years. The radiographs were retrieved from the archives of the participating hospitals and diagnostic centres.</w:t>
      </w:r>
    </w:p>
    <w:p w14:paraId="216A07CF" w14:textId="77777777" w:rsidR="00981788" w:rsidRPr="00981788" w:rsidRDefault="00981788" w:rsidP="00981788">
      <w:pPr>
        <w:pStyle w:val="Body"/>
        <w:spacing w:after="0"/>
        <w:rPr>
          <w:rFonts w:ascii="Arial" w:hAnsi="Arial" w:cs="Arial"/>
        </w:rPr>
      </w:pPr>
      <w:r w:rsidRPr="00981788">
        <w:rPr>
          <w:rFonts w:ascii="Arial" w:hAnsi="Arial" w:cs="Arial"/>
        </w:rPr>
        <w:t>The radiographs assessed were anteroposterior (AP) views of the shoulder joint. The radiographs demonstrated relevant anatomical structures and ossification centres of the shoulder region, including the lateral and medial ends of the clavicle, coracoid process, glenoid cavity, inferior angle of the scapula, acromion, medial border of the scapula, head of the humerus, greater tuberosity, and lesser tuberosity.</w:t>
      </w:r>
    </w:p>
    <w:p w14:paraId="7BBA4312" w14:textId="77777777" w:rsidR="00981788" w:rsidRPr="00981788" w:rsidRDefault="00981788" w:rsidP="00981788">
      <w:pPr>
        <w:pStyle w:val="Body"/>
        <w:rPr>
          <w:rFonts w:ascii="Arial" w:hAnsi="Arial" w:cs="Arial"/>
          <w:b/>
          <w:bCs/>
          <w:caps/>
          <w:sz w:val="22"/>
        </w:rPr>
      </w:pPr>
      <w:r w:rsidRPr="00C30A0F">
        <w:rPr>
          <w:rFonts w:ascii="Arial" w:hAnsi="Arial" w:cs="Arial"/>
          <w:b/>
          <w:caps/>
          <w:sz w:val="22"/>
        </w:rPr>
        <w:t>2.</w:t>
      </w:r>
      <w:r>
        <w:rPr>
          <w:rFonts w:ascii="Arial" w:hAnsi="Arial" w:cs="Arial"/>
          <w:b/>
          <w:caps/>
          <w:sz w:val="22"/>
        </w:rPr>
        <w:t>3</w:t>
      </w:r>
      <w:r w:rsidRPr="00C30A0F">
        <w:rPr>
          <w:rFonts w:ascii="Arial" w:hAnsi="Arial" w:cs="Arial"/>
          <w:b/>
          <w:caps/>
          <w:sz w:val="22"/>
        </w:rPr>
        <w:t xml:space="preserve"> </w:t>
      </w:r>
      <w:r w:rsidRPr="00981788">
        <w:rPr>
          <w:rFonts w:ascii="Arial" w:hAnsi="Arial" w:cs="Arial"/>
          <w:b/>
          <w:bCs/>
          <w:sz w:val="22"/>
        </w:rPr>
        <w:t>Selection Criteria</w:t>
      </w:r>
    </w:p>
    <w:p w14:paraId="33AC168E" w14:textId="77777777" w:rsidR="00981788" w:rsidRPr="00981788" w:rsidRDefault="00981788" w:rsidP="00981788">
      <w:pPr>
        <w:pStyle w:val="Body"/>
        <w:rPr>
          <w:rFonts w:ascii="Arial" w:hAnsi="Arial" w:cs="Arial"/>
        </w:rPr>
      </w:pPr>
      <w:r>
        <w:rPr>
          <w:rFonts w:ascii="Arial" w:hAnsi="Arial" w:cs="Arial"/>
        </w:rPr>
        <w:t xml:space="preserve">The inclusion criteria comprised radiographs that had been reported as normal by a radiologist, were obtained from children with documented age and sex, and adequately </w:t>
      </w:r>
      <w:r>
        <w:rPr>
          <w:rFonts w:ascii="Arial" w:hAnsi="Arial" w:cs="Arial"/>
          <w:highlight w:val="yellow"/>
        </w:rPr>
        <w:t>visualised</w:t>
      </w:r>
      <w:r>
        <w:rPr>
          <w:rFonts w:ascii="Arial" w:hAnsi="Arial" w:cs="Arial"/>
        </w:rPr>
        <w:t xml:space="preserve"> the shoulder region to permit reliable assessment of the relevant ossification centres. Radiographs were excluded if they showed excessive radiation exposure resulting in inadequate image quality, poor image clarity that prevented reliable identification of anatomical structures or ossification centres, lacked documented age or sex, demonstrated traumatic, infective, or neoplastic abnormalities involving the bones of the shoulder region, or showed dislocation or other abnormalities involving the diaphyseal–epiphyseal region that could interfere with the assessment of skeletal maturation.</w:t>
      </w:r>
    </w:p>
    <w:p w14:paraId="6BEA19BA" w14:textId="77777777" w:rsidR="00981788" w:rsidRPr="00981788" w:rsidRDefault="00981788" w:rsidP="00981788">
      <w:pPr>
        <w:pStyle w:val="Body"/>
        <w:rPr>
          <w:rFonts w:ascii="Arial" w:hAnsi="Arial" w:cs="Arial"/>
          <w:b/>
          <w:bCs/>
          <w:sz w:val="22"/>
        </w:rPr>
      </w:pPr>
      <w:r w:rsidRPr="00C30A0F">
        <w:rPr>
          <w:rFonts w:ascii="Arial" w:hAnsi="Arial" w:cs="Arial"/>
          <w:b/>
          <w:caps/>
          <w:sz w:val="22"/>
        </w:rPr>
        <w:t>2.</w:t>
      </w:r>
      <w:r>
        <w:rPr>
          <w:rFonts w:ascii="Arial" w:hAnsi="Arial" w:cs="Arial"/>
          <w:b/>
          <w:caps/>
          <w:sz w:val="22"/>
        </w:rPr>
        <w:t>4</w:t>
      </w:r>
      <w:r w:rsidRPr="00C30A0F">
        <w:rPr>
          <w:rFonts w:ascii="Arial" w:hAnsi="Arial" w:cs="Arial"/>
          <w:b/>
          <w:caps/>
          <w:sz w:val="22"/>
        </w:rPr>
        <w:t xml:space="preserve"> </w:t>
      </w:r>
      <w:r w:rsidRPr="00981788">
        <w:rPr>
          <w:rFonts w:ascii="Arial" w:hAnsi="Arial" w:cs="Arial"/>
          <w:b/>
          <w:bCs/>
          <w:sz w:val="22"/>
        </w:rPr>
        <w:t>Sampling Technique</w:t>
      </w:r>
    </w:p>
    <w:p w14:paraId="0EE9F41A" w14:textId="77777777" w:rsidR="00981788" w:rsidRDefault="00981788" w:rsidP="00981788">
      <w:pPr>
        <w:pStyle w:val="Body"/>
        <w:spacing w:after="0"/>
        <w:rPr>
          <w:rFonts w:ascii="Arial" w:hAnsi="Arial" w:cs="Arial"/>
        </w:rPr>
      </w:pPr>
      <w:r w:rsidRPr="00981788">
        <w:rPr>
          <w:rFonts w:ascii="Arial" w:hAnsi="Arial" w:cs="Arial"/>
        </w:rPr>
        <w:t>Simple random sampling was used to select eligible radiographs from the available archived records. Only radiographs that satisfied the predefined inclusion and exclusion criteria were selected for analysis.</w:t>
      </w:r>
    </w:p>
    <w:p w14:paraId="404642EA" w14:textId="77777777" w:rsidR="00981788" w:rsidRPr="00981788" w:rsidRDefault="00981788" w:rsidP="00981788">
      <w:pPr>
        <w:pStyle w:val="Body"/>
        <w:rPr>
          <w:rFonts w:ascii="Arial" w:hAnsi="Arial" w:cs="Arial"/>
          <w:b/>
          <w:bCs/>
          <w:sz w:val="22"/>
        </w:rPr>
      </w:pPr>
      <w:r w:rsidRPr="00C30A0F">
        <w:rPr>
          <w:rFonts w:ascii="Arial" w:hAnsi="Arial" w:cs="Arial"/>
          <w:b/>
          <w:caps/>
          <w:sz w:val="22"/>
        </w:rPr>
        <w:t>2.</w:t>
      </w:r>
      <w:r>
        <w:rPr>
          <w:rFonts w:ascii="Arial" w:hAnsi="Arial" w:cs="Arial"/>
          <w:b/>
          <w:caps/>
          <w:sz w:val="22"/>
        </w:rPr>
        <w:t>4</w:t>
      </w:r>
      <w:r w:rsidRPr="00C30A0F">
        <w:rPr>
          <w:rFonts w:ascii="Arial" w:hAnsi="Arial" w:cs="Arial"/>
          <w:b/>
          <w:caps/>
          <w:sz w:val="22"/>
        </w:rPr>
        <w:t xml:space="preserve"> </w:t>
      </w:r>
      <w:r w:rsidRPr="00981788">
        <w:rPr>
          <w:rFonts w:ascii="Arial" w:hAnsi="Arial" w:cs="Arial"/>
          <w:b/>
          <w:bCs/>
          <w:sz w:val="22"/>
        </w:rPr>
        <w:t>Radiographic Assessment</w:t>
      </w:r>
    </w:p>
    <w:p w14:paraId="6281F10F" w14:textId="77777777" w:rsidR="00981788" w:rsidRPr="00981788" w:rsidRDefault="00981788" w:rsidP="00981788">
      <w:pPr>
        <w:pStyle w:val="Body"/>
        <w:rPr>
          <w:rFonts w:ascii="Arial" w:hAnsi="Arial" w:cs="Arial"/>
        </w:rPr>
      </w:pPr>
      <w:r w:rsidRPr="00981788">
        <w:rPr>
          <w:rFonts w:ascii="Arial" w:hAnsi="Arial" w:cs="Arial"/>
        </w:rPr>
        <w:t>The chronological age and sex of each child were obtained from the documented date of birth or recorded age and sex in the hospital records. Chronological age was determined based on the documented age at the time the radiograph was obtained.</w:t>
      </w:r>
    </w:p>
    <w:p w14:paraId="2E09B56D" w14:textId="77777777" w:rsidR="00981788" w:rsidRPr="00981788" w:rsidRDefault="00981788" w:rsidP="00981788">
      <w:pPr>
        <w:pStyle w:val="Body"/>
        <w:rPr>
          <w:rFonts w:ascii="Arial" w:hAnsi="Arial" w:cs="Arial"/>
        </w:rPr>
      </w:pPr>
      <w:r w:rsidRPr="00981788">
        <w:rPr>
          <w:rFonts w:ascii="Arial" w:hAnsi="Arial" w:cs="Arial"/>
        </w:rPr>
        <w:t>The radiographs were examined on an illuminated viewing box under adequate illumination. The radiographic appearance of the ossification centres was assessed based on their radiodensity. Ossified structures appeared radiopaque (white) on the radiographs, whereas regions in which ossification had not occurred appeared relatively radiolucent (dark).</w:t>
      </w:r>
    </w:p>
    <w:p w14:paraId="4581DC6E" w14:textId="77777777" w:rsidR="00981788" w:rsidRDefault="00981788" w:rsidP="00981788">
      <w:pPr>
        <w:pStyle w:val="Body"/>
        <w:spacing w:after="0"/>
        <w:rPr>
          <w:rFonts w:ascii="Arial" w:hAnsi="Arial" w:cs="Arial"/>
        </w:rPr>
      </w:pPr>
      <w:r w:rsidRPr="00981788">
        <w:rPr>
          <w:rFonts w:ascii="Arial" w:hAnsi="Arial" w:cs="Arial"/>
        </w:rPr>
        <w:lastRenderedPageBreak/>
        <w:t>The radiographs were systematically examined for the presence and development of the selected ossification centres of the clavicle, scapula, and humerus. Each ossification centre was carefully identified and its presence or absence was recorded in relation to the documented chronological age and sex of the child.</w:t>
      </w:r>
    </w:p>
    <w:p w14:paraId="21F24CE4" w14:textId="77777777" w:rsidR="00981788" w:rsidRDefault="00981788" w:rsidP="00981788">
      <w:pPr>
        <w:jc w:val="both"/>
        <w:rPr>
          <w:rFonts w:ascii="Times New Roman" w:hAnsi="Times New Roman"/>
        </w:rPr>
      </w:pPr>
      <w:r>
        <w:rPr>
          <w:rFonts w:ascii="Times New Roman" w:hAnsi="Times New Roman"/>
          <w:noProof/>
        </w:rPr>
        <w:drawing>
          <wp:inline distT="0" distB="0" distL="0" distR="0" wp14:anchorId="55560CB6" wp14:editId="61327FDA">
            <wp:extent cx="5943600" cy="4124960"/>
            <wp:effectExtent l="0" t="0" r="0" b="8890"/>
            <wp:docPr id="556351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51794" name="Picture 55635179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124960"/>
                    </a:xfrm>
                    <a:prstGeom prst="rect">
                      <a:avLst/>
                    </a:prstGeom>
                  </pic:spPr>
                </pic:pic>
              </a:graphicData>
            </a:graphic>
          </wp:inline>
        </w:drawing>
      </w:r>
    </w:p>
    <w:p w14:paraId="677C9401" w14:textId="77777777" w:rsidR="00981788" w:rsidRDefault="00981788" w:rsidP="00981788">
      <w:pPr>
        <w:jc w:val="both"/>
        <w:rPr>
          <w:rFonts w:ascii="Times New Roman" w:hAnsi="Times New Roman"/>
        </w:rPr>
      </w:pPr>
      <w:r w:rsidRPr="00CF4F33">
        <w:rPr>
          <w:rFonts w:ascii="Times New Roman" w:hAnsi="Times New Roman"/>
          <w:b/>
          <w:bCs/>
        </w:rPr>
        <w:t>Figure 1:</w:t>
      </w:r>
      <w:r>
        <w:rPr>
          <w:rFonts w:ascii="Times New Roman" w:hAnsi="Times New Roman"/>
        </w:rPr>
        <w:t xml:space="preserve"> Radiograph of a 3 months old male.</w:t>
      </w:r>
    </w:p>
    <w:p w14:paraId="3146C7A6" w14:textId="77777777" w:rsidR="00981788" w:rsidRPr="00AF5053" w:rsidRDefault="00981788" w:rsidP="00981788">
      <w:pPr>
        <w:jc w:val="both"/>
        <w:rPr>
          <w:rFonts w:ascii="Times New Roman" w:hAnsi="Times New Roman"/>
        </w:rPr>
      </w:pPr>
      <w:r w:rsidRPr="007B1206">
        <w:rPr>
          <w:rFonts w:ascii="Times New Roman" w:hAnsi="Times New Roman"/>
          <w:i/>
          <w:iCs/>
          <w:sz w:val="22"/>
          <w:szCs w:val="22"/>
        </w:rPr>
        <w:t>ME= Medial End of Clavicle; CP= Coracoid Process; G= Glenoid Cavity; IA= Inferior Angle of Scapula; A= Acromion Process; MB= Medial Border of Scapula; HH= Head of Humerus; GT= Greater Tubercle; LT= Lesser Tubercle</w:t>
      </w:r>
    </w:p>
    <w:p w14:paraId="03660A9E" w14:textId="77777777" w:rsidR="00981788" w:rsidRDefault="00981788" w:rsidP="00981788">
      <w:pPr>
        <w:pStyle w:val="Body"/>
        <w:spacing w:after="0"/>
        <w:rPr>
          <w:rFonts w:ascii="Arial" w:hAnsi="Arial" w:cs="Arial"/>
        </w:rPr>
      </w:pPr>
    </w:p>
    <w:p w14:paraId="7CB204AB" w14:textId="77777777" w:rsidR="00981788" w:rsidRPr="00981788" w:rsidRDefault="00981788" w:rsidP="00981788">
      <w:pPr>
        <w:pStyle w:val="Body"/>
        <w:spacing w:after="0"/>
        <w:rPr>
          <w:rFonts w:ascii="Arial" w:hAnsi="Arial" w:cs="Arial"/>
        </w:rPr>
      </w:pPr>
    </w:p>
    <w:p w14:paraId="546A19F1"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05721C47" w14:textId="77777777" w:rsidR="00790ADA" w:rsidRPr="00FB3A86" w:rsidRDefault="00790ADA" w:rsidP="00441B6F">
      <w:pPr>
        <w:pStyle w:val="Head1"/>
        <w:spacing w:after="0"/>
        <w:jc w:val="both"/>
        <w:rPr>
          <w:rFonts w:ascii="Arial" w:hAnsi="Arial" w:cs="Arial"/>
        </w:rPr>
      </w:pPr>
    </w:p>
    <w:p w14:paraId="05B38E96" w14:textId="77777777" w:rsidR="00EA63F6" w:rsidRPr="00EA63F6" w:rsidRDefault="00EA63F6" w:rsidP="00EA63F6">
      <w:pPr>
        <w:pStyle w:val="Body"/>
        <w:spacing w:after="0"/>
        <w:rPr>
          <w:rFonts w:ascii="Arial" w:hAnsi="Arial" w:cs="Arial"/>
        </w:rPr>
      </w:pPr>
      <w:r>
        <w:rPr>
          <w:rFonts w:ascii="Arial" w:hAnsi="Arial" w:cs="Arial"/>
        </w:rPr>
        <w:t xml:space="preserve">The results of the study </w:t>
      </w:r>
      <w:r>
        <w:rPr>
          <w:rFonts w:ascii="Arial" w:hAnsi="Arial" w:cs="Arial"/>
          <w:highlight w:val="yellow"/>
        </w:rPr>
        <w:t>are</w:t>
      </w:r>
      <w:r>
        <w:rPr>
          <w:rFonts w:ascii="Arial" w:hAnsi="Arial" w:cs="Arial"/>
        </w:rPr>
        <w:t xml:space="preserve"> presented in figures and tables.</w:t>
      </w:r>
    </w:p>
    <w:p w14:paraId="5471CC36" w14:textId="77777777" w:rsidR="00EA63F6" w:rsidRPr="00EA63F6" w:rsidRDefault="00EA63F6" w:rsidP="00EA63F6">
      <w:pPr>
        <w:pStyle w:val="Body"/>
        <w:spacing w:after="0"/>
        <w:rPr>
          <w:rFonts w:ascii="Arial" w:hAnsi="Arial" w:cs="Arial"/>
        </w:rPr>
      </w:pPr>
      <w:r w:rsidRPr="00EA63F6">
        <w:rPr>
          <w:rFonts w:ascii="Arial" w:hAnsi="Arial" w:cs="Arial"/>
          <w:noProof/>
        </w:rPr>
        <w:drawing>
          <wp:inline distT="0" distB="0" distL="0" distR="0" wp14:anchorId="20B68B96" wp14:editId="1615D01D">
            <wp:extent cx="4572000" cy="2743200"/>
            <wp:effectExtent l="0" t="0" r="0" b="0"/>
            <wp:docPr id="1897212067" name="Chart 1">
              <a:extLst xmlns:a="http://schemas.openxmlformats.org/drawingml/2006/main">
                <a:ext uri="{FF2B5EF4-FFF2-40B4-BE49-F238E27FC236}">
                  <a16:creationId xmlns:a16="http://schemas.microsoft.com/office/drawing/2014/main" id="{F052C81A-E176-38A6-BC94-4D6F193902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CB4048B" w14:textId="77777777" w:rsidR="00EA63F6" w:rsidRDefault="00EA63F6" w:rsidP="00EA63F6">
      <w:pPr>
        <w:pStyle w:val="Body"/>
        <w:spacing w:after="0"/>
        <w:rPr>
          <w:rFonts w:ascii="Arial" w:hAnsi="Arial" w:cs="Arial"/>
        </w:rPr>
      </w:pPr>
      <w:r w:rsidRPr="00EA63F6">
        <w:rPr>
          <w:rFonts w:ascii="Arial" w:hAnsi="Arial" w:cs="Arial"/>
          <w:b/>
          <w:bCs/>
        </w:rPr>
        <w:t>Figure 2:</w:t>
      </w:r>
      <w:r w:rsidRPr="00EA63F6">
        <w:rPr>
          <w:rFonts w:ascii="Arial" w:hAnsi="Arial" w:cs="Arial"/>
        </w:rPr>
        <w:t xml:space="preserve"> Sample size distribution</w:t>
      </w:r>
    </w:p>
    <w:p w14:paraId="111F0292" w14:textId="77777777" w:rsidR="00EA63F6" w:rsidRPr="00EA63F6" w:rsidRDefault="00EA63F6" w:rsidP="00EA63F6">
      <w:pPr>
        <w:pStyle w:val="Body"/>
        <w:spacing w:after="0"/>
        <w:rPr>
          <w:rFonts w:ascii="Arial" w:hAnsi="Arial" w:cs="Arial"/>
        </w:rPr>
      </w:pPr>
    </w:p>
    <w:p w14:paraId="6DB245BF" w14:textId="77777777" w:rsidR="00EA63F6" w:rsidRPr="00EA63F6" w:rsidRDefault="00EA63F6" w:rsidP="00EA63F6">
      <w:pPr>
        <w:pStyle w:val="Body"/>
        <w:spacing w:after="0"/>
        <w:rPr>
          <w:rFonts w:ascii="Arial" w:hAnsi="Arial" w:cs="Arial"/>
        </w:rPr>
      </w:pPr>
      <w:r w:rsidRPr="00EA63F6">
        <w:rPr>
          <w:rFonts w:ascii="Arial" w:hAnsi="Arial" w:cs="Arial"/>
          <w:b/>
          <w:bCs/>
        </w:rPr>
        <w:lastRenderedPageBreak/>
        <w:t>Table 1:</w:t>
      </w:r>
      <w:r w:rsidRPr="00EA63F6">
        <w:rPr>
          <w:rFonts w:ascii="Arial" w:hAnsi="Arial" w:cs="Arial"/>
        </w:rPr>
        <w:t xml:space="preserve"> Distribution of male radiographs of the shoulder region by age and ossification status.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10"/>
        <w:gridCol w:w="831"/>
        <w:gridCol w:w="827"/>
        <w:gridCol w:w="824"/>
        <w:gridCol w:w="825"/>
        <w:gridCol w:w="818"/>
        <w:gridCol w:w="832"/>
        <w:gridCol w:w="830"/>
        <w:gridCol w:w="828"/>
        <w:gridCol w:w="807"/>
      </w:tblGrid>
      <w:tr w:rsidR="00EA63F6" w:rsidRPr="00EA63F6" w14:paraId="64C82A25" w14:textId="77777777" w:rsidTr="000125BE">
        <w:tc>
          <w:tcPr>
            <w:tcW w:w="1418" w:type="dxa"/>
            <w:tcBorders>
              <w:bottom w:val="single" w:sz="4" w:space="0" w:color="auto"/>
            </w:tcBorders>
            <w:vAlign w:val="bottom"/>
          </w:tcPr>
          <w:p w14:paraId="6B2A9EC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Age (years)</w:t>
            </w:r>
          </w:p>
        </w:tc>
        <w:tc>
          <w:tcPr>
            <w:tcW w:w="510" w:type="dxa"/>
            <w:tcBorders>
              <w:bottom w:val="single" w:sz="4" w:space="0" w:color="auto"/>
            </w:tcBorders>
            <w:vAlign w:val="bottom"/>
          </w:tcPr>
          <w:p w14:paraId="5D19416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n</w:t>
            </w:r>
          </w:p>
        </w:tc>
        <w:tc>
          <w:tcPr>
            <w:tcW w:w="831" w:type="dxa"/>
            <w:tcBorders>
              <w:bottom w:val="single" w:sz="4" w:space="0" w:color="auto"/>
            </w:tcBorders>
            <w:vAlign w:val="bottom"/>
          </w:tcPr>
          <w:p w14:paraId="2CEE1C67"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ME</w:t>
            </w:r>
          </w:p>
        </w:tc>
        <w:tc>
          <w:tcPr>
            <w:tcW w:w="827" w:type="dxa"/>
            <w:tcBorders>
              <w:bottom w:val="single" w:sz="4" w:space="0" w:color="auto"/>
            </w:tcBorders>
            <w:vAlign w:val="bottom"/>
          </w:tcPr>
          <w:p w14:paraId="45C4600D"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CP</w:t>
            </w:r>
          </w:p>
        </w:tc>
        <w:tc>
          <w:tcPr>
            <w:tcW w:w="824" w:type="dxa"/>
            <w:tcBorders>
              <w:bottom w:val="single" w:sz="4" w:space="0" w:color="auto"/>
            </w:tcBorders>
            <w:vAlign w:val="bottom"/>
          </w:tcPr>
          <w:p w14:paraId="19A5BB40"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GC</w:t>
            </w:r>
          </w:p>
        </w:tc>
        <w:tc>
          <w:tcPr>
            <w:tcW w:w="825" w:type="dxa"/>
            <w:tcBorders>
              <w:bottom w:val="single" w:sz="4" w:space="0" w:color="auto"/>
            </w:tcBorders>
            <w:vAlign w:val="bottom"/>
          </w:tcPr>
          <w:p w14:paraId="060D48A4"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IA</w:t>
            </w:r>
          </w:p>
        </w:tc>
        <w:tc>
          <w:tcPr>
            <w:tcW w:w="818" w:type="dxa"/>
            <w:tcBorders>
              <w:bottom w:val="single" w:sz="4" w:space="0" w:color="auto"/>
            </w:tcBorders>
            <w:vAlign w:val="bottom"/>
          </w:tcPr>
          <w:p w14:paraId="46A86C82"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AP</w:t>
            </w:r>
          </w:p>
        </w:tc>
        <w:tc>
          <w:tcPr>
            <w:tcW w:w="832" w:type="dxa"/>
            <w:tcBorders>
              <w:bottom w:val="single" w:sz="4" w:space="0" w:color="auto"/>
            </w:tcBorders>
            <w:vAlign w:val="bottom"/>
          </w:tcPr>
          <w:p w14:paraId="46578228"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MB</w:t>
            </w:r>
          </w:p>
        </w:tc>
        <w:tc>
          <w:tcPr>
            <w:tcW w:w="830" w:type="dxa"/>
            <w:tcBorders>
              <w:bottom w:val="single" w:sz="4" w:space="0" w:color="auto"/>
            </w:tcBorders>
            <w:vAlign w:val="bottom"/>
          </w:tcPr>
          <w:p w14:paraId="26290496"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HH</w:t>
            </w:r>
          </w:p>
        </w:tc>
        <w:tc>
          <w:tcPr>
            <w:tcW w:w="828" w:type="dxa"/>
            <w:tcBorders>
              <w:bottom w:val="single" w:sz="4" w:space="0" w:color="auto"/>
            </w:tcBorders>
            <w:vAlign w:val="bottom"/>
          </w:tcPr>
          <w:p w14:paraId="0EA1AFFC"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GT</w:t>
            </w:r>
          </w:p>
        </w:tc>
        <w:tc>
          <w:tcPr>
            <w:tcW w:w="807" w:type="dxa"/>
            <w:tcBorders>
              <w:bottom w:val="single" w:sz="4" w:space="0" w:color="auto"/>
            </w:tcBorders>
            <w:vAlign w:val="bottom"/>
          </w:tcPr>
          <w:p w14:paraId="6BE90094"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LT</w:t>
            </w:r>
          </w:p>
        </w:tc>
      </w:tr>
      <w:tr w:rsidR="00EA63F6" w:rsidRPr="00EA63F6" w14:paraId="6BE74C50" w14:textId="77777777" w:rsidTr="000125BE">
        <w:tc>
          <w:tcPr>
            <w:tcW w:w="1418" w:type="dxa"/>
            <w:tcBorders>
              <w:top w:val="single" w:sz="4" w:space="0" w:color="auto"/>
              <w:bottom w:val="nil"/>
            </w:tcBorders>
          </w:tcPr>
          <w:p w14:paraId="6E05BB5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0-5m</w:t>
            </w:r>
          </w:p>
        </w:tc>
        <w:tc>
          <w:tcPr>
            <w:tcW w:w="510" w:type="dxa"/>
            <w:tcBorders>
              <w:top w:val="single" w:sz="4" w:space="0" w:color="auto"/>
              <w:bottom w:val="nil"/>
            </w:tcBorders>
          </w:tcPr>
          <w:p w14:paraId="6CF1A42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Borders>
              <w:top w:val="single" w:sz="4" w:space="0" w:color="auto"/>
              <w:bottom w:val="nil"/>
            </w:tcBorders>
          </w:tcPr>
          <w:p w14:paraId="0D33E74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Borders>
              <w:top w:val="single" w:sz="4" w:space="0" w:color="auto"/>
              <w:bottom w:val="nil"/>
            </w:tcBorders>
          </w:tcPr>
          <w:p w14:paraId="1B3B762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Borders>
              <w:top w:val="single" w:sz="4" w:space="0" w:color="auto"/>
              <w:bottom w:val="nil"/>
            </w:tcBorders>
          </w:tcPr>
          <w:p w14:paraId="533103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Borders>
              <w:top w:val="single" w:sz="4" w:space="0" w:color="auto"/>
              <w:bottom w:val="nil"/>
            </w:tcBorders>
          </w:tcPr>
          <w:p w14:paraId="1A4DC7E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Borders>
              <w:top w:val="single" w:sz="4" w:space="0" w:color="auto"/>
              <w:bottom w:val="nil"/>
            </w:tcBorders>
          </w:tcPr>
          <w:p w14:paraId="34FA069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Borders>
              <w:top w:val="single" w:sz="4" w:space="0" w:color="auto"/>
              <w:bottom w:val="nil"/>
            </w:tcBorders>
          </w:tcPr>
          <w:p w14:paraId="76DC82E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Borders>
              <w:top w:val="single" w:sz="4" w:space="0" w:color="auto"/>
              <w:bottom w:val="nil"/>
            </w:tcBorders>
          </w:tcPr>
          <w:p w14:paraId="04960DB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Borders>
              <w:top w:val="single" w:sz="4" w:space="0" w:color="auto"/>
              <w:bottom w:val="nil"/>
            </w:tcBorders>
          </w:tcPr>
          <w:p w14:paraId="0B99EC6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Borders>
              <w:top w:val="single" w:sz="4" w:space="0" w:color="auto"/>
              <w:bottom w:val="nil"/>
            </w:tcBorders>
          </w:tcPr>
          <w:p w14:paraId="2B0EA54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662255F" w14:textId="77777777" w:rsidTr="000125BE">
        <w:tc>
          <w:tcPr>
            <w:tcW w:w="1418" w:type="dxa"/>
            <w:tcBorders>
              <w:top w:val="nil"/>
            </w:tcBorders>
          </w:tcPr>
          <w:p w14:paraId="236789C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6-11m</w:t>
            </w:r>
          </w:p>
        </w:tc>
        <w:tc>
          <w:tcPr>
            <w:tcW w:w="510" w:type="dxa"/>
            <w:tcBorders>
              <w:top w:val="nil"/>
            </w:tcBorders>
          </w:tcPr>
          <w:p w14:paraId="561C922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w:t>
            </w:r>
          </w:p>
        </w:tc>
        <w:tc>
          <w:tcPr>
            <w:tcW w:w="831" w:type="dxa"/>
            <w:tcBorders>
              <w:top w:val="nil"/>
            </w:tcBorders>
          </w:tcPr>
          <w:p w14:paraId="211F77E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Borders>
              <w:top w:val="nil"/>
            </w:tcBorders>
          </w:tcPr>
          <w:p w14:paraId="4F477FF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Borders>
              <w:top w:val="nil"/>
            </w:tcBorders>
          </w:tcPr>
          <w:p w14:paraId="0504A5D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Borders>
              <w:top w:val="nil"/>
            </w:tcBorders>
          </w:tcPr>
          <w:p w14:paraId="1E5AAF5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Borders>
              <w:top w:val="nil"/>
            </w:tcBorders>
          </w:tcPr>
          <w:p w14:paraId="1804DFE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Borders>
              <w:top w:val="nil"/>
            </w:tcBorders>
          </w:tcPr>
          <w:p w14:paraId="0E0EE8E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Borders>
              <w:top w:val="nil"/>
            </w:tcBorders>
          </w:tcPr>
          <w:p w14:paraId="6D09B80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Borders>
              <w:top w:val="nil"/>
            </w:tcBorders>
          </w:tcPr>
          <w:p w14:paraId="28E6347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Borders>
              <w:top w:val="nil"/>
            </w:tcBorders>
          </w:tcPr>
          <w:p w14:paraId="2277BB8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56DFF96C" w14:textId="77777777" w:rsidTr="000125BE">
        <w:tc>
          <w:tcPr>
            <w:tcW w:w="1418" w:type="dxa"/>
          </w:tcPr>
          <w:p w14:paraId="5E40ACF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510" w:type="dxa"/>
          </w:tcPr>
          <w:p w14:paraId="7238587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Pr>
          <w:p w14:paraId="76A5E9A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5601763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121385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427BD81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241EE7A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50AA4CC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04F8CD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6D9D55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1DDA32E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1D39229" w14:textId="77777777" w:rsidTr="000125BE">
        <w:tc>
          <w:tcPr>
            <w:tcW w:w="1418" w:type="dxa"/>
          </w:tcPr>
          <w:p w14:paraId="697089D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510" w:type="dxa"/>
          </w:tcPr>
          <w:p w14:paraId="1D64BC4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831" w:type="dxa"/>
          </w:tcPr>
          <w:p w14:paraId="3C9781A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1B54B9C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C68F62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01B7A8E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7DD7A05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542F6EE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ABE1BA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2A370AE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8+,3-</w:t>
            </w:r>
          </w:p>
        </w:tc>
        <w:tc>
          <w:tcPr>
            <w:tcW w:w="807" w:type="dxa"/>
          </w:tcPr>
          <w:p w14:paraId="1CA99C0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641F138" w14:textId="77777777" w:rsidTr="000125BE">
        <w:tc>
          <w:tcPr>
            <w:tcW w:w="1418" w:type="dxa"/>
          </w:tcPr>
          <w:p w14:paraId="1C9AEBA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510" w:type="dxa"/>
          </w:tcPr>
          <w:p w14:paraId="7E4F982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Pr>
          <w:p w14:paraId="4E8CB6E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751B8A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52688E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125E1D3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3F94B6E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4738AA0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63DFDC0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1E08102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36611A7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r>
      <w:tr w:rsidR="00EA63F6" w:rsidRPr="00EA63F6" w14:paraId="0B237820" w14:textId="77777777" w:rsidTr="000125BE">
        <w:tc>
          <w:tcPr>
            <w:tcW w:w="1418" w:type="dxa"/>
          </w:tcPr>
          <w:p w14:paraId="6ACFD9F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w:t>
            </w:r>
          </w:p>
        </w:tc>
        <w:tc>
          <w:tcPr>
            <w:tcW w:w="510" w:type="dxa"/>
          </w:tcPr>
          <w:p w14:paraId="42E8E24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7B3D444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7872835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5C253EC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1BE7201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0CC7794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5B84B85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0D9FCA4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461ED66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2813655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r>
      <w:tr w:rsidR="00EA63F6" w:rsidRPr="00EA63F6" w14:paraId="5DB9B9FA" w14:textId="77777777" w:rsidTr="000125BE">
        <w:tc>
          <w:tcPr>
            <w:tcW w:w="1418" w:type="dxa"/>
          </w:tcPr>
          <w:p w14:paraId="6AC41BF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510" w:type="dxa"/>
          </w:tcPr>
          <w:p w14:paraId="0071E9B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2D1FC54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36DF3C2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2D13C54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6A84F96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0A5FF95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1EED8F8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1AA7A00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2BB32E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13F94AD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ECE0602" w14:textId="77777777" w:rsidTr="000125BE">
        <w:tc>
          <w:tcPr>
            <w:tcW w:w="1418" w:type="dxa"/>
          </w:tcPr>
          <w:p w14:paraId="3920A6C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w:t>
            </w:r>
          </w:p>
        </w:tc>
        <w:tc>
          <w:tcPr>
            <w:tcW w:w="510" w:type="dxa"/>
          </w:tcPr>
          <w:p w14:paraId="34AAFCE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1EB5173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449598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2CFC45C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650D531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B3A2A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116ADB4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4B6B2E5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69DDFA5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03D934D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5295510B" w14:textId="77777777" w:rsidTr="000125BE">
        <w:tc>
          <w:tcPr>
            <w:tcW w:w="1418" w:type="dxa"/>
          </w:tcPr>
          <w:p w14:paraId="00C9610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7</w:t>
            </w:r>
          </w:p>
        </w:tc>
        <w:tc>
          <w:tcPr>
            <w:tcW w:w="510" w:type="dxa"/>
          </w:tcPr>
          <w:p w14:paraId="489B3AE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w:t>
            </w:r>
          </w:p>
        </w:tc>
        <w:tc>
          <w:tcPr>
            <w:tcW w:w="831" w:type="dxa"/>
          </w:tcPr>
          <w:p w14:paraId="062EA99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472C378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065C238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17CC66F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1797A31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F57B4F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2C74AB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428B260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6F3EAD9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62D7235" w14:textId="77777777" w:rsidTr="000125BE">
        <w:tc>
          <w:tcPr>
            <w:tcW w:w="1418" w:type="dxa"/>
          </w:tcPr>
          <w:p w14:paraId="4552E3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8</w:t>
            </w:r>
          </w:p>
        </w:tc>
        <w:tc>
          <w:tcPr>
            <w:tcW w:w="510" w:type="dxa"/>
          </w:tcPr>
          <w:p w14:paraId="17FBAEF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2D72DC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A6F737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0ACCF2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5093025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32CDF69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27A963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3E08F4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68E5301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3B73D7E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2D7DDF16" w14:textId="77777777" w:rsidTr="000125BE">
        <w:tc>
          <w:tcPr>
            <w:tcW w:w="1418" w:type="dxa"/>
          </w:tcPr>
          <w:p w14:paraId="7883402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9</w:t>
            </w:r>
          </w:p>
        </w:tc>
        <w:tc>
          <w:tcPr>
            <w:tcW w:w="510" w:type="dxa"/>
          </w:tcPr>
          <w:p w14:paraId="5E42184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28A92CB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7D2422D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E58A5A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59D90AD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76825D2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023BB89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48247D0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3ADC392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2D8A4B7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234DDC20" w14:textId="77777777" w:rsidTr="000125BE">
        <w:tc>
          <w:tcPr>
            <w:tcW w:w="1418" w:type="dxa"/>
          </w:tcPr>
          <w:p w14:paraId="50E4141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w:t>
            </w:r>
          </w:p>
        </w:tc>
        <w:tc>
          <w:tcPr>
            <w:tcW w:w="510" w:type="dxa"/>
          </w:tcPr>
          <w:p w14:paraId="58E308D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18D8496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3C84A79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481E4E6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4DB1C91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387D2A4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4CB262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7084846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26D77CF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33E2EA9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5F4B9B5B" w14:textId="77777777" w:rsidTr="000125BE">
        <w:tc>
          <w:tcPr>
            <w:tcW w:w="1418" w:type="dxa"/>
          </w:tcPr>
          <w:p w14:paraId="7D027F7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510" w:type="dxa"/>
          </w:tcPr>
          <w:p w14:paraId="63E172F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5B0358B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A6E9A0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7016DD1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382BEB0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07E4768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62A43D6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1D5B91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0F2AAB8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730343C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1CCE2A15" w14:textId="77777777" w:rsidTr="000125BE">
        <w:tc>
          <w:tcPr>
            <w:tcW w:w="1418" w:type="dxa"/>
          </w:tcPr>
          <w:p w14:paraId="7293D44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c>
          <w:tcPr>
            <w:tcW w:w="510" w:type="dxa"/>
          </w:tcPr>
          <w:p w14:paraId="2C43F9B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Pr>
          <w:p w14:paraId="46D0C65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5256BD8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4B25C9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1-</w:t>
            </w:r>
          </w:p>
        </w:tc>
        <w:tc>
          <w:tcPr>
            <w:tcW w:w="825" w:type="dxa"/>
          </w:tcPr>
          <w:p w14:paraId="299686D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0EC091B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0CA40E7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0CCC19B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0D04431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778DFA7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E511EA7" w14:textId="77777777" w:rsidTr="000125BE">
        <w:tc>
          <w:tcPr>
            <w:tcW w:w="1418" w:type="dxa"/>
          </w:tcPr>
          <w:p w14:paraId="2C31178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510" w:type="dxa"/>
          </w:tcPr>
          <w:p w14:paraId="725FB2A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Pr>
          <w:p w14:paraId="5C56E95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D41D17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310DCAE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92DBF6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6B13E6A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1-</w:t>
            </w:r>
          </w:p>
        </w:tc>
        <w:tc>
          <w:tcPr>
            <w:tcW w:w="832" w:type="dxa"/>
          </w:tcPr>
          <w:p w14:paraId="758526D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1-</w:t>
            </w:r>
          </w:p>
        </w:tc>
        <w:tc>
          <w:tcPr>
            <w:tcW w:w="830" w:type="dxa"/>
          </w:tcPr>
          <w:p w14:paraId="102F84D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0A07B5E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64DAF0B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14667B88" w14:textId="77777777" w:rsidTr="000125BE">
        <w:tc>
          <w:tcPr>
            <w:tcW w:w="1418" w:type="dxa"/>
          </w:tcPr>
          <w:p w14:paraId="4911D0C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510" w:type="dxa"/>
          </w:tcPr>
          <w:p w14:paraId="4B83092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7D040DF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1F9897E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3C08EE7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3DB0E16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5C449F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16576EB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3401DD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3DC6223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751A7E2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59A2960" w14:textId="77777777" w:rsidTr="000125BE">
        <w:tc>
          <w:tcPr>
            <w:tcW w:w="1418" w:type="dxa"/>
          </w:tcPr>
          <w:p w14:paraId="3A9DD07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15</w:t>
            </w:r>
          </w:p>
        </w:tc>
        <w:tc>
          <w:tcPr>
            <w:tcW w:w="510" w:type="dxa"/>
          </w:tcPr>
          <w:p w14:paraId="5353710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4324B0F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71A5411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BBE7E3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05FC2D9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366DC33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BE6C1C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4EA52DA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31D6817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0D31AB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bl>
    <w:p w14:paraId="463232A6" w14:textId="77777777" w:rsidR="00EA63F6" w:rsidRPr="00EA63F6" w:rsidRDefault="00EA63F6" w:rsidP="00EA63F6">
      <w:pPr>
        <w:pStyle w:val="Body"/>
        <w:rPr>
          <w:rFonts w:ascii="Arial" w:hAnsi="Arial" w:cs="Arial"/>
          <w:i/>
          <w:iCs/>
        </w:rPr>
      </w:pPr>
      <w:bookmarkStart w:id="0" w:name="_Hlk241131843"/>
      <w:r w:rsidRPr="00EA63F6">
        <w:rPr>
          <w:rFonts w:ascii="Arial" w:hAnsi="Arial" w:cs="Arial"/>
          <w:i/>
          <w:iCs/>
        </w:rPr>
        <w:t xml:space="preserve">ME= Medial End of Clavicle; CP= Coracoid Process; GC= Glenoid Cavity; IA= Inferior Angle of Scapula; AP= Acromion Process; MB= Medial Border of Scapula; HH= Head of Humerus; GT= Greater Tubercle; LT= Lesser Tubercle; </w:t>
      </w:r>
      <w:bookmarkEnd w:id="0"/>
      <w:r w:rsidRPr="00EA63F6">
        <w:rPr>
          <w:rFonts w:ascii="Arial" w:hAnsi="Arial" w:cs="Arial"/>
          <w:i/>
          <w:iCs/>
        </w:rPr>
        <w:t>n= Number of Radiographs; m= Months; += Ossification present in bone; -= Bone not ossified.</w:t>
      </w:r>
    </w:p>
    <w:p w14:paraId="0ECDDDEE" w14:textId="77777777" w:rsidR="00EA63F6" w:rsidRPr="00EA63F6" w:rsidRDefault="00EA63F6" w:rsidP="00EA63F6">
      <w:pPr>
        <w:pStyle w:val="Body"/>
        <w:spacing w:after="0"/>
        <w:rPr>
          <w:rFonts w:ascii="Arial" w:hAnsi="Arial" w:cs="Arial"/>
        </w:rPr>
      </w:pPr>
    </w:p>
    <w:p w14:paraId="0AC79BDA" w14:textId="77777777" w:rsidR="00EA63F6" w:rsidRPr="00EA63F6" w:rsidRDefault="00EA63F6" w:rsidP="00EA63F6">
      <w:pPr>
        <w:pStyle w:val="Body"/>
        <w:spacing w:after="0"/>
        <w:rPr>
          <w:rFonts w:ascii="Arial" w:hAnsi="Arial" w:cs="Arial"/>
        </w:rPr>
      </w:pPr>
      <w:r>
        <w:rPr>
          <w:rFonts w:ascii="Arial" w:hAnsi="Arial" w:cs="Arial"/>
          <w:highlight w:val="yellow"/>
        </w:rPr>
        <w:t>The earliest</w:t>
      </w:r>
      <w:r>
        <w:rPr>
          <w:rFonts w:ascii="Arial" w:hAnsi="Arial" w:cs="Arial"/>
        </w:rPr>
        <w:t xml:space="preserve"> observed </w:t>
      </w:r>
      <w:r>
        <w:rPr>
          <w:rFonts w:ascii="Arial" w:hAnsi="Arial" w:cs="Arial"/>
          <w:highlight w:val="yellow"/>
        </w:rPr>
        <w:t>ages</w:t>
      </w:r>
      <w:r>
        <w:rPr>
          <w:rFonts w:ascii="Arial" w:hAnsi="Arial" w:cs="Arial"/>
        </w:rPr>
        <w:t xml:space="preserve"> of appearance of the ossification </w:t>
      </w:r>
      <w:r>
        <w:rPr>
          <w:rFonts w:ascii="Arial" w:hAnsi="Arial" w:cs="Arial"/>
          <w:highlight w:val="yellow"/>
        </w:rPr>
        <w:t>centres</w:t>
      </w:r>
      <w:r>
        <w:rPr>
          <w:rFonts w:ascii="Arial" w:hAnsi="Arial" w:cs="Arial"/>
        </w:rPr>
        <w:t xml:space="preserve"> in </w:t>
      </w:r>
      <w:r>
        <w:rPr>
          <w:rFonts w:ascii="Arial" w:hAnsi="Arial" w:cs="Arial"/>
          <w:highlight w:val="yellow"/>
        </w:rPr>
        <w:t>males</w:t>
      </w:r>
      <w:r>
        <w:rPr>
          <w:rFonts w:ascii="Arial" w:hAnsi="Arial" w:cs="Arial"/>
        </w:rPr>
        <w:t xml:space="preserve"> </w:t>
      </w:r>
      <w:r>
        <w:rPr>
          <w:rFonts w:ascii="Arial" w:hAnsi="Arial" w:cs="Arial"/>
          <w:highlight w:val="yellow"/>
        </w:rPr>
        <w:t>were</w:t>
      </w:r>
      <w:r>
        <w:rPr>
          <w:rFonts w:ascii="Arial" w:hAnsi="Arial" w:cs="Arial"/>
        </w:rPr>
        <w:t xml:space="preserve"> </w:t>
      </w:r>
      <w:r>
        <w:rPr>
          <w:rFonts w:ascii="Arial" w:hAnsi="Arial" w:cs="Arial"/>
          <w:highlight w:val="yellow"/>
        </w:rPr>
        <w:t>as follows: medial end</w:t>
      </w:r>
      <w:r>
        <w:rPr>
          <w:rFonts w:ascii="Arial" w:hAnsi="Arial" w:cs="Arial"/>
        </w:rPr>
        <w:t xml:space="preserve"> of </w:t>
      </w:r>
      <w:r>
        <w:rPr>
          <w:rFonts w:ascii="Arial" w:hAnsi="Arial" w:cs="Arial"/>
          <w:highlight w:val="yellow"/>
        </w:rPr>
        <w:t>the</w:t>
      </w:r>
      <w:r>
        <w:rPr>
          <w:rFonts w:ascii="Arial" w:hAnsi="Arial" w:cs="Arial"/>
        </w:rPr>
        <w:t xml:space="preserve"> </w:t>
      </w:r>
      <w:r>
        <w:rPr>
          <w:rFonts w:ascii="Arial" w:hAnsi="Arial" w:cs="Arial"/>
          <w:highlight w:val="yellow"/>
        </w:rPr>
        <w:t>clavicle,</w:t>
      </w:r>
      <w:r>
        <w:rPr>
          <w:rFonts w:ascii="Arial" w:hAnsi="Arial" w:cs="Arial"/>
        </w:rPr>
        <w:t xml:space="preserve"> 14 </w:t>
      </w:r>
      <w:r>
        <w:rPr>
          <w:rFonts w:ascii="Arial" w:hAnsi="Arial" w:cs="Arial"/>
          <w:highlight w:val="yellow"/>
        </w:rPr>
        <w:t>years;</w:t>
      </w:r>
      <w:r>
        <w:rPr>
          <w:rFonts w:ascii="Arial" w:hAnsi="Arial" w:cs="Arial"/>
        </w:rPr>
        <w:t xml:space="preserve"> </w:t>
      </w:r>
      <w:r>
        <w:rPr>
          <w:rFonts w:ascii="Arial" w:hAnsi="Arial" w:cs="Arial"/>
          <w:highlight w:val="yellow"/>
        </w:rPr>
        <w:t>coracoid</w:t>
      </w:r>
      <w:r>
        <w:rPr>
          <w:rFonts w:ascii="Arial" w:hAnsi="Arial" w:cs="Arial"/>
        </w:rPr>
        <w:t xml:space="preserve"> </w:t>
      </w:r>
      <w:r>
        <w:rPr>
          <w:rFonts w:ascii="Arial" w:hAnsi="Arial" w:cs="Arial"/>
          <w:highlight w:val="yellow"/>
        </w:rPr>
        <w:t>process,</w:t>
      </w:r>
      <w:r>
        <w:rPr>
          <w:rFonts w:ascii="Arial" w:hAnsi="Arial" w:cs="Arial"/>
        </w:rPr>
        <w:t xml:space="preserve"> 2 </w:t>
      </w:r>
      <w:r>
        <w:rPr>
          <w:rFonts w:ascii="Arial" w:hAnsi="Arial" w:cs="Arial"/>
          <w:highlight w:val="yellow"/>
        </w:rPr>
        <w:t>months;</w:t>
      </w:r>
      <w:r>
        <w:rPr>
          <w:rFonts w:ascii="Arial" w:hAnsi="Arial" w:cs="Arial"/>
        </w:rPr>
        <w:t xml:space="preserve"> </w:t>
      </w:r>
      <w:r>
        <w:rPr>
          <w:rFonts w:ascii="Arial" w:hAnsi="Arial" w:cs="Arial"/>
          <w:highlight w:val="yellow"/>
        </w:rPr>
        <w:t>glenoid</w:t>
      </w:r>
      <w:r>
        <w:rPr>
          <w:rFonts w:ascii="Arial" w:hAnsi="Arial" w:cs="Arial"/>
        </w:rPr>
        <w:t xml:space="preserve"> </w:t>
      </w:r>
      <w:r>
        <w:rPr>
          <w:rFonts w:ascii="Arial" w:hAnsi="Arial" w:cs="Arial"/>
          <w:highlight w:val="yellow"/>
        </w:rPr>
        <w:t>cavity,</w:t>
      </w:r>
      <w:r>
        <w:rPr>
          <w:rFonts w:ascii="Arial" w:hAnsi="Arial" w:cs="Arial"/>
        </w:rPr>
        <w:t xml:space="preserve"> 12 </w:t>
      </w:r>
      <w:r>
        <w:rPr>
          <w:rFonts w:ascii="Arial" w:hAnsi="Arial" w:cs="Arial"/>
          <w:highlight w:val="yellow"/>
        </w:rPr>
        <w:t>years;</w:t>
      </w:r>
      <w:r>
        <w:rPr>
          <w:rFonts w:ascii="Arial" w:hAnsi="Arial" w:cs="Arial"/>
        </w:rPr>
        <w:t xml:space="preserve"> </w:t>
      </w:r>
      <w:r>
        <w:rPr>
          <w:rFonts w:ascii="Arial" w:hAnsi="Arial" w:cs="Arial"/>
          <w:highlight w:val="yellow"/>
        </w:rPr>
        <w:t>inferior</w:t>
      </w:r>
      <w:r>
        <w:rPr>
          <w:rFonts w:ascii="Arial" w:hAnsi="Arial" w:cs="Arial"/>
        </w:rPr>
        <w:t xml:space="preserve"> </w:t>
      </w:r>
      <w:r>
        <w:rPr>
          <w:rFonts w:ascii="Arial" w:hAnsi="Arial" w:cs="Arial"/>
          <w:highlight w:val="yellow"/>
        </w:rPr>
        <w:t>angle</w:t>
      </w:r>
      <w:r>
        <w:rPr>
          <w:rFonts w:ascii="Arial" w:hAnsi="Arial" w:cs="Arial"/>
        </w:rPr>
        <w:t xml:space="preserve"> of </w:t>
      </w:r>
      <w:r>
        <w:rPr>
          <w:rFonts w:ascii="Arial" w:hAnsi="Arial" w:cs="Arial"/>
          <w:highlight w:val="yellow"/>
        </w:rPr>
        <w:t>the</w:t>
      </w:r>
      <w:r>
        <w:rPr>
          <w:rFonts w:ascii="Arial" w:hAnsi="Arial" w:cs="Arial"/>
        </w:rPr>
        <w:t xml:space="preserve"> </w:t>
      </w:r>
      <w:r>
        <w:rPr>
          <w:rFonts w:ascii="Arial" w:hAnsi="Arial" w:cs="Arial"/>
          <w:highlight w:val="yellow"/>
        </w:rPr>
        <w:t>scapula,</w:t>
      </w:r>
      <w:r>
        <w:rPr>
          <w:rFonts w:ascii="Arial" w:hAnsi="Arial" w:cs="Arial"/>
        </w:rPr>
        <w:t xml:space="preserve"> 13 years; </w:t>
      </w:r>
      <w:r>
        <w:rPr>
          <w:rFonts w:ascii="Arial" w:hAnsi="Arial" w:cs="Arial"/>
          <w:highlight w:val="yellow"/>
        </w:rPr>
        <w:t>acromion</w:t>
      </w:r>
      <w:r>
        <w:rPr>
          <w:rFonts w:ascii="Arial" w:hAnsi="Arial" w:cs="Arial"/>
        </w:rPr>
        <w:t xml:space="preserve"> </w:t>
      </w:r>
      <w:r>
        <w:rPr>
          <w:rFonts w:ascii="Arial" w:hAnsi="Arial" w:cs="Arial"/>
          <w:highlight w:val="yellow"/>
        </w:rPr>
        <w:t>process,</w:t>
      </w:r>
      <w:r>
        <w:rPr>
          <w:rFonts w:ascii="Arial" w:hAnsi="Arial" w:cs="Arial"/>
        </w:rPr>
        <w:t xml:space="preserve"> 13 </w:t>
      </w:r>
      <w:r>
        <w:rPr>
          <w:rFonts w:ascii="Arial" w:hAnsi="Arial" w:cs="Arial"/>
          <w:highlight w:val="yellow"/>
        </w:rPr>
        <w:t>years;</w:t>
      </w:r>
      <w:r>
        <w:rPr>
          <w:rFonts w:ascii="Arial" w:hAnsi="Arial" w:cs="Arial"/>
        </w:rPr>
        <w:t xml:space="preserve"> </w:t>
      </w:r>
      <w:r>
        <w:rPr>
          <w:rFonts w:ascii="Arial" w:hAnsi="Arial" w:cs="Arial"/>
          <w:highlight w:val="yellow"/>
        </w:rPr>
        <w:t>medial</w:t>
      </w:r>
      <w:r>
        <w:rPr>
          <w:rFonts w:ascii="Arial" w:hAnsi="Arial" w:cs="Arial"/>
        </w:rPr>
        <w:t xml:space="preserve"> </w:t>
      </w:r>
      <w:r>
        <w:rPr>
          <w:rFonts w:ascii="Arial" w:hAnsi="Arial" w:cs="Arial"/>
          <w:highlight w:val="yellow"/>
        </w:rPr>
        <w:t>border</w:t>
      </w:r>
      <w:r>
        <w:rPr>
          <w:rFonts w:ascii="Arial" w:hAnsi="Arial" w:cs="Arial"/>
        </w:rPr>
        <w:t xml:space="preserve"> of </w:t>
      </w:r>
      <w:r>
        <w:rPr>
          <w:rFonts w:ascii="Arial" w:hAnsi="Arial" w:cs="Arial"/>
          <w:highlight w:val="yellow"/>
        </w:rPr>
        <w:t>the</w:t>
      </w:r>
      <w:r>
        <w:rPr>
          <w:rFonts w:ascii="Arial" w:hAnsi="Arial" w:cs="Arial"/>
        </w:rPr>
        <w:t xml:space="preserve"> </w:t>
      </w:r>
      <w:r>
        <w:rPr>
          <w:rFonts w:ascii="Arial" w:hAnsi="Arial" w:cs="Arial"/>
          <w:highlight w:val="yellow"/>
        </w:rPr>
        <w:t>scapula,</w:t>
      </w:r>
      <w:r>
        <w:rPr>
          <w:rFonts w:ascii="Arial" w:hAnsi="Arial" w:cs="Arial"/>
        </w:rPr>
        <w:t xml:space="preserve"> 13 </w:t>
      </w:r>
      <w:r>
        <w:rPr>
          <w:rFonts w:ascii="Arial" w:hAnsi="Arial" w:cs="Arial"/>
          <w:highlight w:val="yellow"/>
        </w:rPr>
        <w:t>years;</w:t>
      </w:r>
      <w:r>
        <w:rPr>
          <w:rFonts w:ascii="Arial" w:hAnsi="Arial" w:cs="Arial"/>
        </w:rPr>
        <w:t xml:space="preserve"> </w:t>
      </w:r>
      <w:r>
        <w:rPr>
          <w:rFonts w:ascii="Arial" w:hAnsi="Arial" w:cs="Arial"/>
          <w:highlight w:val="yellow"/>
        </w:rPr>
        <w:t>head</w:t>
      </w:r>
      <w:r>
        <w:rPr>
          <w:rFonts w:ascii="Arial" w:hAnsi="Arial" w:cs="Arial"/>
        </w:rPr>
        <w:t xml:space="preserve"> of </w:t>
      </w:r>
      <w:r>
        <w:rPr>
          <w:rFonts w:ascii="Arial" w:hAnsi="Arial" w:cs="Arial"/>
          <w:highlight w:val="yellow"/>
        </w:rPr>
        <w:t>the</w:t>
      </w:r>
      <w:r>
        <w:rPr>
          <w:rFonts w:ascii="Arial" w:hAnsi="Arial" w:cs="Arial"/>
        </w:rPr>
        <w:t xml:space="preserve"> </w:t>
      </w:r>
      <w:r>
        <w:rPr>
          <w:rFonts w:ascii="Arial" w:hAnsi="Arial" w:cs="Arial"/>
          <w:highlight w:val="yellow"/>
        </w:rPr>
        <w:t>humerus,</w:t>
      </w:r>
      <w:r>
        <w:rPr>
          <w:rFonts w:ascii="Arial" w:hAnsi="Arial" w:cs="Arial"/>
        </w:rPr>
        <w:t xml:space="preserve"> 2 </w:t>
      </w:r>
      <w:r>
        <w:rPr>
          <w:rFonts w:ascii="Arial" w:hAnsi="Arial" w:cs="Arial"/>
          <w:highlight w:val="yellow"/>
        </w:rPr>
        <w:t>months;</w:t>
      </w:r>
      <w:r>
        <w:rPr>
          <w:rFonts w:ascii="Arial" w:hAnsi="Arial" w:cs="Arial"/>
        </w:rPr>
        <w:t xml:space="preserve"> </w:t>
      </w:r>
      <w:r>
        <w:rPr>
          <w:rFonts w:ascii="Arial" w:hAnsi="Arial" w:cs="Arial"/>
          <w:highlight w:val="yellow"/>
        </w:rPr>
        <w:t>greater</w:t>
      </w:r>
      <w:r>
        <w:rPr>
          <w:rFonts w:ascii="Arial" w:hAnsi="Arial" w:cs="Arial"/>
        </w:rPr>
        <w:t xml:space="preserve"> </w:t>
      </w:r>
      <w:r>
        <w:rPr>
          <w:rFonts w:ascii="Arial" w:hAnsi="Arial" w:cs="Arial"/>
          <w:highlight w:val="yellow"/>
        </w:rPr>
        <w:t>tubercle,</w:t>
      </w:r>
      <w:r>
        <w:rPr>
          <w:rFonts w:ascii="Arial" w:hAnsi="Arial" w:cs="Arial"/>
        </w:rPr>
        <w:t xml:space="preserve"> 2 </w:t>
      </w:r>
      <w:r>
        <w:rPr>
          <w:rFonts w:ascii="Arial" w:hAnsi="Arial" w:cs="Arial"/>
          <w:highlight w:val="yellow"/>
        </w:rPr>
        <w:t>years;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lesser</w:t>
      </w:r>
      <w:r>
        <w:rPr>
          <w:rFonts w:ascii="Arial" w:hAnsi="Arial" w:cs="Arial"/>
        </w:rPr>
        <w:t xml:space="preserve"> </w:t>
      </w:r>
      <w:r>
        <w:rPr>
          <w:rFonts w:ascii="Arial" w:hAnsi="Arial" w:cs="Arial"/>
          <w:highlight w:val="yellow"/>
        </w:rPr>
        <w:t>tubercle,</w:t>
      </w:r>
      <w:r>
        <w:rPr>
          <w:rFonts w:ascii="Arial" w:hAnsi="Arial" w:cs="Arial"/>
        </w:rPr>
        <w:t xml:space="preserve"> 3 years (Table 1).</w:t>
      </w:r>
    </w:p>
    <w:p w14:paraId="26B2AA00" w14:textId="77777777" w:rsidR="00EA63F6" w:rsidRPr="00EA63F6" w:rsidRDefault="00EA63F6" w:rsidP="00EA63F6">
      <w:pPr>
        <w:pStyle w:val="Body"/>
        <w:spacing w:after="0"/>
        <w:rPr>
          <w:rFonts w:ascii="Arial" w:hAnsi="Arial" w:cs="Arial"/>
        </w:rPr>
      </w:pPr>
      <w:r w:rsidRPr="00EA63F6">
        <w:rPr>
          <w:rFonts w:ascii="Arial" w:hAnsi="Arial" w:cs="Arial"/>
          <w:b/>
          <w:bCs/>
        </w:rPr>
        <w:t>Table 2:</w:t>
      </w:r>
      <w:r w:rsidRPr="00EA63F6">
        <w:rPr>
          <w:rFonts w:ascii="Arial" w:hAnsi="Arial" w:cs="Arial"/>
        </w:rPr>
        <w:t xml:space="preserve"> Distribution of female radiographs of the shoulder region by age and ossification status.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22"/>
        <w:gridCol w:w="831"/>
        <w:gridCol w:w="827"/>
        <w:gridCol w:w="824"/>
        <w:gridCol w:w="825"/>
        <w:gridCol w:w="818"/>
        <w:gridCol w:w="832"/>
        <w:gridCol w:w="830"/>
        <w:gridCol w:w="828"/>
        <w:gridCol w:w="807"/>
      </w:tblGrid>
      <w:tr w:rsidR="00EA63F6" w:rsidRPr="00EA63F6" w14:paraId="499F1419" w14:textId="77777777" w:rsidTr="000125BE">
        <w:tc>
          <w:tcPr>
            <w:tcW w:w="1418" w:type="dxa"/>
            <w:tcBorders>
              <w:bottom w:val="single" w:sz="4" w:space="0" w:color="auto"/>
            </w:tcBorders>
            <w:vAlign w:val="bottom"/>
          </w:tcPr>
          <w:p w14:paraId="2F30977F"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Age (years)</w:t>
            </w:r>
          </w:p>
        </w:tc>
        <w:tc>
          <w:tcPr>
            <w:tcW w:w="510" w:type="dxa"/>
            <w:tcBorders>
              <w:bottom w:val="single" w:sz="4" w:space="0" w:color="auto"/>
            </w:tcBorders>
            <w:vAlign w:val="bottom"/>
          </w:tcPr>
          <w:p w14:paraId="7630A046"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n</w:t>
            </w:r>
          </w:p>
        </w:tc>
        <w:tc>
          <w:tcPr>
            <w:tcW w:w="831" w:type="dxa"/>
            <w:tcBorders>
              <w:bottom w:val="single" w:sz="4" w:space="0" w:color="auto"/>
            </w:tcBorders>
            <w:vAlign w:val="bottom"/>
          </w:tcPr>
          <w:p w14:paraId="4281A606"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ME</w:t>
            </w:r>
          </w:p>
        </w:tc>
        <w:tc>
          <w:tcPr>
            <w:tcW w:w="827" w:type="dxa"/>
            <w:tcBorders>
              <w:bottom w:val="single" w:sz="4" w:space="0" w:color="auto"/>
            </w:tcBorders>
            <w:vAlign w:val="bottom"/>
          </w:tcPr>
          <w:p w14:paraId="02CB131E"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CP</w:t>
            </w:r>
          </w:p>
        </w:tc>
        <w:tc>
          <w:tcPr>
            <w:tcW w:w="824" w:type="dxa"/>
            <w:tcBorders>
              <w:bottom w:val="single" w:sz="4" w:space="0" w:color="auto"/>
            </w:tcBorders>
            <w:vAlign w:val="bottom"/>
          </w:tcPr>
          <w:p w14:paraId="43A91EB2"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GC</w:t>
            </w:r>
          </w:p>
        </w:tc>
        <w:tc>
          <w:tcPr>
            <w:tcW w:w="825" w:type="dxa"/>
            <w:tcBorders>
              <w:bottom w:val="single" w:sz="4" w:space="0" w:color="auto"/>
            </w:tcBorders>
            <w:vAlign w:val="bottom"/>
          </w:tcPr>
          <w:p w14:paraId="4A0B605E"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IA</w:t>
            </w:r>
          </w:p>
        </w:tc>
        <w:tc>
          <w:tcPr>
            <w:tcW w:w="818" w:type="dxa"/>
            <w:tcBorders>
              <w:bottom w:val="single" w:sz="4" w:space="0" w:color="auto"/>
            </w:tcBorders>
            <w:vAlign w:val="bottom"/>
          </w:tcPr>
          <w:p w14:paraId="317CCE7D"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AP</w:t>
            </w:r>
          </w:p>
        </w:tc>
        <w:tc>
          <w:tcPr>
            <w:tcW w:w="832" w:type="dxa"/>
            <w:tcBorders>
              <w:bottom w:val="single" w:sz="4" w:space="0" w:color="auto"/>
            </w:tcBorders>
            <w:vAlign w:val="bottom"/>
          </w:tcPr>
          <w:p w14:paraId="1C0A712C"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MB</w:t>
            </w:r>
          </w:p>
        </w:tc>
        <w:tc>
          <w:tcPr>
            <w:tcW w:w="830" w:type="dxa"/>
            <w:tcBorders>
              <w:bottom w:val="single" w:sz="4" w:space="0" w:color="auto"/>
            </w:tcBorders>
            <w:vAlign w:val="bottom"/>
          </w:tcPr>
          <w:p w14:paraId="57A45DB4"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HH</w:t>
            </w:r>
          </w:p>
        </w:tc>
        <w:tc>
          <w:tcPr>
            <w:tcW w:w="828" w:type="dxa"/>
            <w:tcBorders>
              <w:bottom w:val="single" w:sz="4" w:space="0" w:color="auto"/>
            </w:tcBorders>
            <w:vAlign w:val="bottom"/>
          </w:tcPr>
          <w:p w14:paraId="57ABAF7C"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GT</w:t>
            </w:r>
          </w:p>
        </w:tc>
        <w:tc>
          <w:tcPr>
            <w:tcW w:w="807" w:type="dxa"/>
            <w:tcBorders>
              <w:bottom w:val="single" w:sz="4" w:space="0" w:color="auto"/>
            </w:tcBorders>
            <w:vAlign w:val="bottom"/>
          </w:tcPr>
          <w:p w14:paraId="707813DE"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LT</w:t>
            </w:r>
          </w:p>
        </w:tc>
      </w:tr>
      <w:tr w:rsidR="00EA63F6" w:rsidRPr="00EA63F6" w14:paraId="38E92CD5" w14:textId="77777777" w:rsidTr="000125BE">
        <w:tc>
          <w:tcPr>
            <w:tcW w:w="1418" w:type="dxa"/>
            <w:tcBorders>
              <w:top w:val="single" w:sz="4" w:space="0" w:color="auto"/>
              <w:bottom w:val="nil"/>
            </w:tcBorders>
          </w:tcPr>
          <w:p w14:paraId="76D2E50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0-5m</w:t>
            </w:r>
          </w:p>
        </w:tc>
        <w:tc>
          <w:tcPr>
            <w:tcW w:w="510" w:type="dxa"/>
            <w:tcBorders>
              <w:top w:val="single" w:sz="4" w:space="0" w:color="auto"/>
              <w:bottom w:val="nil"/>
            </w:tcBorders>
          </w:tcPr>
          <w:p w14:paraId="13A88D7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w:t>
            </w:r>
          </w:p>
        </w:tc>
        <w:tc>
          <w:tcPr>
            <w:tcW w:w="831" w:type="dxa"/>
            <w:tcBorders>
              <w:top w:val="single" w:sz="4" w:space="0" w:color="auto"/>
              <w:bottom w:val="nil"/>
            </w:tcBorders>
          </w:tcPr>
          <w:p w14:paraId="4446EA8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Borders>
              <w:top w:val="single" w:sz="4" w:space="0" w:color="auto"/>
              <w:bottom w:val="nil"/>
            </w:tcBorders>
          </w:tcPr>
          <w:p w14:paraId="6F9F81D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Borders>
              <w:top w:val="single" w:sz="4" w:space="0" w:color="auto"/>
              <w:bottom w:val="nil"/>
            </w:tcBorders>
          </w:tcPr>
          <w:p w14:paraId="55454F0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Borders>
              <w:top w:val="single" w:sz="4" w:space="0" w:color="auto"/>
              <w:bottom w:val="nil"/>
            </w:tcBorders>
          </w:tcPr>
          <w:p w14:paraId="5EF4A5D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Borders>
              <w:top w:val="single" w:sz="4" w:space="0" w:color="auto"/>
              <w:bottom w:val="nil"/>
            </w:tcBorders>
          </w:tcPr>
          <w:p w14:paraId="6A8BFA9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Borders>
              <w:top w:val="single" w:sz="4" w:space="0" w:color="auto"/>
              <w:bottom w:val="nil"/>
            </w:tcBorders>
          </w:tcPr>
          <w:p w14:paraId="1719042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Borders>
              <w:top w:val="single" w:sz="4" w:space="0" w:color="auto"/>
              <w:bottom w:val="nil"/>
            </w:tcBorders>
          </w:tcPr>
          <w:p w14:paraId="35C1978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Borders>
              <w:top w:val="single" w:sz="4" w:space="0" w:color="auto"/>
              <w:bottom w:val="nil"/>
            </w:tcBorders>
          </w:tcPr>
          <w:p w14:paraId="5EDEC87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Borders>
              <w:top w:val="single" w:sz="4" w:space="0" w:color="auto"/>
              <w:bottom w:val="nil"/>
            </w:tcBorders>
          </w:tcPr>
          <w:p w14:paraId="23BD86C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A3AB00F" w14:textId="77777777" w:rsidTr="000125BE">
        <w:tc>
          <w:tcPr>
            <w:tcW w:w="1418" w:type="dxa"/>
            <w:tcBorders>
              <w:top w:val="nil"/>
            </w:tcBorders>
          </w:tcPr>
          <w:p w14:paraId="6469B05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6-11m</w:t>
            </w:r>
          </w:p>
        </w:tc>
        <w:tc>
          <w:tcPr>
            <w:tcW w:w="510" w:type="dxa"/>
            <w:tcBorders>
              <w:top w:val="nil"/>
            </w:tcBorders>
          </w:tcPr>
          <w:p w14:paraId="459F901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Borders>
              <w:top w:val="nil"/>
            </w:tcBorders>
          </w:tcPr>
          <w:p w14:paraId="1568887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Borders>
              <w:top w:val="nil"/>
            </w:tcBorders>
          </w:tcPr>
          <w:p w14:paraId="6647441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Borders>
              <w:top w:val="nil"/>
            </w:tcBorders>
          </w:tcPr>
          <w:p w14:paraId="570B4B6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Borders>
              <w:top w:val="nil"/>
            </w:tcBorders>
          </w:tcPr>
          <w:p w14:paraId="675827E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Borders>
              <w:top w:val="nil"/>
            </w:tcBorders>
          </w:tcPr>
          <w:p w14:paraId="3BFF83F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Borders>
              <w:top w:val="nil"/>
            </w:tcBorders>
          </w:tcPr>
          <w:p w14:paraId="5476534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Borders>
              <w:top w:val="nil"/>
            </w:tcBorders>
          </w:tcPr>
          <w:p w14:paraId="5A66902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Borders>
              <w:top w:val="nil"/>
            </w:tcBorders>
          </w:tcPr>
          <w:p w14:paraId="2BB4360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Borders>
              <w:top w:val="nil"/>
            </w:tcBorders>
          </w:tcPr>
          <w:p w14:paraId="3B8A786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CBC945B" w14:textId="77777777" w:rsidTr="000125BE">
        <w:tc>
          <w:tcPr>
            <w:tcW w:w="1418" w:type="dxa"/>
          </w:tcPr>
          <w:p w14:paraId="48810DB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510" w:type="dxa"/>
          </w:tcPr>
          <w:p w14:paraId="19F7C5E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7</w:t>
            </w:r>
          </w:p>
        </w:tc>
        <w:tc>
          <w:tcPr>
            <w:tcW w:w="831" w:type="dxa"/>
          </w:tcPr>
          <w:p w14:paraId="5170E18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7288B60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01BB4CE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0981522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4139195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468D8BB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F35BEB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0BE2B7D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4+,2-</w:t>
            </w:r>
          </w:p>
        </w:tc>
        <w:tc>
          <w:tcPr>
            <w:tcW w:w="807" w:type="dxa"/>
          </w:tcPr>
          <w:p w14:paraId="13B39DE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18DAFAE3" w14:textId="77777777" w:rsidTr="000125BE">
        <w:tc>
          <w:tcPr>
            <w:tcW w:w="1418" w:type="dxa"/>
          </w:tcPr>
          <w:p w14:paraId="19945C2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510" w:type="dxa"/>
          </w:tcPr>
          <w:p w14:paraId="6BA0DA3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Pr>
          <w:p w14:paraId="14E0BF8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D20A3F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383E1EB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422DBF0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70065A3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EC0C92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04F2964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697C980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2+,3-</w:t>
            </w:r>
          </w:p>
        </w:tc>
        <w:tc>
          <w:tcPr>
            <w:tcW w:w="807" w:type="dxa"/>
          </w:tcPr>
          <w:p w14:paraId="6BE0599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9EB4DEF" w14:textId="77777777" w:rsidTr="000125BE">
        <w:tc>
          <w:tcPr>
            <w:tcW w:w="1418" w:type="dxa"/>
          </w:tcPr>
          <w:p w14:paraId="23D78CF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510" w:type="dxa"/>
          </w:tcPr>
          <w:p w14:paraId="1F46AF0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831" w:type="dxa"/>
          </w:tcPr>
          <w:p w14:paraId="75B653B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6EB6BD6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738D8A3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17FC197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3D6936E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086C2BD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38DB7EF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57A3E1F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451FA43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7C56305F" w14:textId="77777777" w:rsidTr="000125BE">
        <w:tc>
          <w:tcPr>
            <w:tcW w:w="1418" w:type="dxa"/>
          </w:tcPr>
          <w:p w14:paraId="0319AB0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w:t>
            </w:r>
          </w:p>
        </w:tc>
        <w:tc>
          <w:tcPr>
            <w:tcW w:w="510" w:type="dxa"/>
          </w:tcPr>
          <w:p w14:paraId="0AC235C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579518A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0DDF08C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4060E0E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5FA2097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6651EF7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705DD01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A053DA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161BF39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495C7DE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DEC37DA" w14:textId="77777777" w:rsidTr="000125BE">
        <w:tc>
          <w:tcPr>
            <w:tcW w:w="1418" w:type="dxa"/>
          </w:tcPr>
          <w:p w14:paraId="118AB49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510" w:type="dxa"/>
          </w:tcPr>
          <w:p w14:paraId="113E8C9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Pr>
          <w:p w14:paraId="27A3B21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4DF3787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06146D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EE7AF9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1948665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098ABE7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2ABACC0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5B3203B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28C5F8F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49921652" w14:textId="77777777" w:rsidTr="000125BE">
        <w:tc>
          <w:tcPr>
            <w:tcW w:w="1418" w:type="dxa"/>
          </w:tcPr>
          <w:p w14:paraId="7A277B2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6</w:t>
            </w:r>
          </w:p>
        </w:tc>
        <w:tc>
          <w:tcPr>
            <w:tcW w:w="510" w:type="dxa"/>
          </w:tcPr>
          <w:p w14:paraId="57ACD35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1C34D62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3207467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5C272FF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66676C9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28BEE67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E9BD00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7A89496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FD0F31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0E0AA61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790585CC" w14:textId="77777777" w:rsidTr="000125BE">
        <w:tc>
          <w:tcPr>
            <w:tcW w:w="1418" w:type="dxa"/>
          </w:tcPr>
          <w:p w14:paraId="046F257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7</w:t>
            </w:r>
          </w:p>
        </w:tc>
        <w:tc>
          <w:tcPr>
            <w:tcW w:w="510" w:type="dxa"/>
          </w:tcPr>
          <w:p w14:paraId="36FC889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110FE9B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A85A61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644171F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3DBDA74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2FC768D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100E11B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06C98A5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CCE148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08F6A43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6B5B826C" w14:textId="77777777" w:rsidTr="000125BE">
        <w:tc>
          <w:tcPr>
            <w:tcW w:w="1418" w:type="dxa"/>
          </w:tcPr>
          <w:p w14:paraId="63EAE46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8</w:t>
            </w:r>
          </w:p>
        </w:tc>
        <w:tc>
          <w:tcPr>
            <w:tcW w:w="510" w:type="dxa"/>
          </w:tcPr>
          <w:p w14:paraId="454A63F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51E90AC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744FB2F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309251F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85EC06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6608033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5C6F254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2EF5CA4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265E6D4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0F91E71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747CF518" w14:textId="77777777" w:rsidTr="000125BE">
        <w:tc>
          <w:tcPr>
            <w:tcW w:w="1418" w:type="dxa"/>
          </w:tcPr>
          <w:p w14:paraId="30A748F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9</w:t>
            </w:r>
          </w:p>
        </w:tc>
        <w:tc>
          <w:tcPr>
            <w:tcW w:w="510" w:type="dxa"/>
          </w:tcPr>
          <w:p w14:paraId="1CA8178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NA</w:t>
            </w:r>
          </w:p>
        </w:tc>
        <w:tc>
          <w:tcPr>
            <w:tcW w:w="831" w:type="dxa"/>
          </w:tcPr>
          <w:p w14:paraId="779AAAE4" w14:textId="77777777" w:rsidR="00EA63F6" w:rsidRPr="00EA63F6" w:rsidRDefault="00EA63F6" w:rsidP="00EA63F6">
            <w:pPr>
              <w:pStyle w:val="Body"/>
              <w:spacing w:after="0"/>
              <w:rPr>
                <w:rFonts w:ascii="Arial" w:eastAsia="Times New Roman" w:hAnsi="Arial" w:cs="Arial"/>
              </w:rPr>
            </w:pPr>
          </w:p>
        </w:tc>
        <w:tc>
          <w:tcPr>
            <w:tcW w:w="827" w:type="dxa"/>
          </w:tcPr>
          <w:p w14:paraId="039AF6C6" w14:textId="77777777" w:rsidR="00EA63F6" w:rsidRPr="00EA63F6" w:rsidRDefault="00EA63F6" w:rsidP="00EA63F6">
            <w:pPr>
              <w:pStyle w:val="Body"/>
              <w:spacing w:after="0"/>
              <w:rPr>
                <w:rFonts w:ascii="Arial" w:eastAsia="Times New Roman" w:hAnsi="Arial" w:cs="Arial"/>
              </w:rPr>
            </w:pPr>
          </w:p>
        </w:tc>
        <w:tc>
          <w:tcPr>
            <w:tcW w:w="824" w:type="dxa"/>
          </w:tcPr>
          <w:p w14:paraId="6AF9CCD7" w14:textId="77777777" w:rsidR="00EA63F6" w:rsidRPr="00EA63F6" w:rsidRDefault="00EA63F6" w:rsidP="00EA63F6">
            <w:pPr>
              <w:pStyle w:val="Body"/>
              <w:spacing w:after="0"/>
              <w:rPr>
                <w:rFonts w:ascii="Arial" w:eastAsia="Times New Roman" w:hAnsi="Arial" w:cs="Arial"/>
              </w:rPr>
            </w:pPr>
          </w:p>
        </w:tc>
        <w:tc>
          <w:tcPr>
            <w:tcW w:w="825" w:type="dxa"/>
          </w:tcPr>
          <w:p w14:paraId="0C3435D1" w14:textId="77777777" w:rsidR="00EA63F6" w:rsidRPr="00EA63F6" w:rsidRDefault="00EA63F6" w:rsidP="00EA63F6">
            <w:pPr>
              <w:pStyle w:val="Body"/>
              <w:spacing w:after="0"/>
              <w:rPr>
                <w:rFonts w:ascii="Arial" w:eastAsia="Times New Roman" w:hAnsi="Arial" w:cs="Arial"/>
              </w:rPr>
            </w:pPr>
          </w:p>
        </w:tc>
        <w:tc>
          <w:tcPr>
            <w:tcW w:w="818" w:type="dxa"/>
          </w:tcPr>
          <w:p w14:paraId="4A014102" w14:textId="77777777" w:rsidR="00EA63F6" w:rsidRPr="00EA63F6" w:rsidRDefault="00EA63F6" w:rsidP="00EA63F6">
            <w:pPr>
              <w:pStyle w:val="Body"/>
              <w:spacing w:after="0"/>
              <w:rPr>
                <w:rFonts w:ascii="Arial" w:eastAsia="Times New Roman" w:hAnsi="Arial" w:cs="Arial"/>
              </w:rPr>
            </w:pPr>
          </w:p>
        </w:tc>
        <w:tc>
          <w:tcPr>
            <w:tcW w:w="832" w:type="dxa"/>
          </w:tcPr>
          <w:p w14:paraId="2D27B867" w14:textId="77777777" w:rsidR="00EA63F6" w:rsidRPr="00EA63F6" w:rsidRDefault="00EA63F6" w:rsidP="00EA63F6">
            <w:pPr>
              <w:pStyle w:val="Body"/>
              <w:spacing w:after="0"/>
              <w:rPr>
                <w:rFonts w:ascii="Arial" w:eastAsia="Times New Roman" w:hAnsi="Arial" w:cs="Arial"/>
              </w:rPr>
            </w:pPr>
          </w:p>
        </w:tc>
        <w:tc>
          <w:tcPr>
            <w:tcW w:w="830" w:type="dxa"/>
          </w:tcPr>
          <w:p w14:paraId="67DA169D" w14:textId="77777777" w:rsidR="00EA63F6" w:rsidRPr="00EA63F6" w:rsidRDefault="00EA63F6" w:rsidP="00EA63F6">
            <w:pPr>
              <w:pStyle w:val="Body"/>
              <w:spacing w:after="0"/>
              <w:rPr>
                <w:rFonts w:ascii="Arial" w:eastAsia="Times New Roman" w:hAnsi="Arial" w:cs="Arial"/>
              </w:rPr>
            </w:pPr>
          </w:p>
        </w:tc>
        <w:tc>
          <w:tcPr>
            <w:tcW w:w="828" w:type="dxa"/>
          </w:tcPr>
          <w:p w14:paraId="34A28504" w14:textId="77777777" w:rsidR="00EA63F6" w:rsidRPr="00EA63F6" w:rsidRDefault="00EA63F6" w:rsidP="00EA63F6">
            <w:pPr>
              <w:pStyle w:val="Body"/>
              <w:spacing w:after="0"/>
              <w:rPr>
                <w:rFonts w:ascii="Arial" w:eastAsia="Times New Roman" w:hAnsi="Arial" w:cs="Arial"/>
              </w:rPr>
            </w:pPr>
          </w:p>
        </w:tc>
        <w:tc>
          <w:tcPr>
            <w:tcW w:w="807" w:type="dxa"/>
          </w:tcPr>
          <w:p w14:paraId="59D5A738" w14:textId="77777777" w:rsidR="00EA63F6" w:rsidRPr="00EA63F6" w:rsidRDefault="00EA63F6" w:rsidP="00EA63F6">
            <w:pPr>
              <w:pStyle w:val="Body"/>
              <w:spacing w:after="0"/>
              <w:rPr>
                <w:rFonts w:ascii="Arial" w:eastAsia="Times New Roman" w:hAnsi="Arial" w:cs="Arial"/>
              </w:rPr>
            </w:pPr>
          </w:p>
        </w:tc>
      </w:tr>
      <w:tr w:rsidR="00EA63F6" w:rsidRPr="00EA63F6" w14:paraId="53B1E716" w14:textId="77777777" w:rsidTr="000125BE">
        <w:tc>
          <w:tcPr>
            <w:tcW w:w="1418" w:type="dxa"/>
          </w:tcPr>
          <w:p w14:paraId="78D38D2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w:t>
            </w:r>
          </w:p>
        </w:tc>
        <w:tc>
          <w:tcPr>
            <w:tcW w:w="510" w:type="dxa"/>
          </w:tcPr>
          <w:p w14:paraId="66DC1A7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831" w:type="dxa"/>
          </w:tcPr>
          <w:p w14:paraId="24F031B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DAFA48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4646A1B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2+,1-</w:t>
            </w:r>
          </w:p>
        </w:tc>
        <w:tc>
          <w:tcPr>
            <w:tcW w:w="825" w:type="dxa"/>
          </w:tcPr>
          <w:p w14:paraId="1EB77DF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2+,1-</w:t>
            </w:r>
          </w:p>
        </w:tc>
        <w:tc>
          <w:tcPr>
            <w:tcW w:w="818" w:type="dxa"/>
          </w:tcPr>
          <w:p w14:paraId="0068505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3CDDCFE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c>
          <w:tcPr>
            <w:tcW w:w="830" w:type="dxa"/>
          </w:tcPr>
          <w:p w14:paraId="247D854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E6F753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14EFEF0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5411417A" w14:textId="77777777" w:rsidTr="000125BE">
        <w:tc>
          <w:tcPr>
            <w:tcW w:w="1418" w:type="dxa"/>
          </w:tcPr>
          <w:p w14:paraId="6AFB276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510" w:type="dxa"/>
          </w:tcPr>
          <w:p w14:paraId="4022C62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1117864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4E8724A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3196638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7175F13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54B482E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C0EDEB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5182E38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2560869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03183E0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36B3C310" w14:textId="77777777" w:rsidTr="000125BE">
        <w:tc>
          <w:tcPr>
            <w:tcW w:w="1418" w:type="dxa"/>
          </w:tcPr>
          <w:p w14:paraId="3509CD7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c>
          <w:tcPr>
            <w:tcW w:w="510" w:type="dxa"/>
          </w:tcPr>
          <w:p w14:paraId="541C77D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831" w:type="dxa"/>
          </w:tcPr>
          <w:p w14:paraId="632F627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BE1D29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1157BBE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6DD03B5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818" w:type="dxa"/>
          </w:tcPr>
          <w:p w14:paraId="68829D0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w:t>
            </w:r>
          </w:p>
        </w:tc>
        <w:tc>
          <w:tcPr>
            <w:tcW w:w="832" w:type="dxa"/>
          </w:tcPr>
          <w:p w14:paraId="75CEF69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1FD647D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7A8F907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70A64BB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170E1A2A" w14:textId="77777777" w:rsidTr="000125BE">
        <w:tc>
          <w:tcPr>
            <w:tcW w:w="1418" w:type="dxa"/>
          </w:tcPr>
          <w:p w14:paraId="294F01F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510" w:type="dxa"/>
          </w:tcPr>
          <w:p w14:paraId="570B7A0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NA</w:t>
            </w:r>
          </w:p>
        </w:tc>
        <w:tc>
          <w:tcPr>
            <w:tcW w:w="831" w:type="dxa"/>
          </w:tcPr>
          <w:p w14:paraId="6E55772B" w14:textId="77777777" w:rsidR="00EA63F6" w:rsidRPr="00EA63F6" w:rsidRDefault="00EA63F6" w:rsidP="00EA63F6">
            <w:pPr>
              <w:pStyle w:val="Body"/>
              <w:spacing w:after="0"/>
              <w:rPr>
                <w:rFonts w:ascii="Arial" w:eastAsia="Times New Roman" w:hAnsi="Arial" w:cs="Arial"/>
              </w:rPr>
            </w:pPr>
          </w:p>
        </w:tc>
        <w:tc>
          <w:tcPr>
            <w:tcW w:w="827" w:type="dxa"/>
          </w:tcPr>
          <w:p w14:paraId="5FC9ACE6" w14:textId="77777777" w:rsidR="00EA63F6" w:rsidRPr="00EA63F6" w:rsidRDefault="00EA63F6" w:rsidP="00EA63F6">
            <w:pPr>
              <w:pStyle w:val="Body"/>
              <w:spacing w:after="0"/>
              <w:rPr>
                <w:rFonts w:ascii="Arial" w:eastAsia="Times New Roman" w:hAnsi="Arial" w:cs="Arial"/>
              </w:rPr>
            </w:pPr>
          </w:p>
        </w:tc>
        <w:tc>
          <w:tcPr>
            <w:tcW w:w="824" w:type="dxa"/>
          </w:tcPr>
          <w:p w14:paraId="56FACC32" w14:textId="77777777" w:rsidR="00EA63F6" w:rsidRPr="00EA63F6" w:rsidRDefault="00EA63F6" w:rsidP="00EA63F6">
            <w:pPr>
              <w:pStyle w:val="Body"/>
              <w:spacing w:after="0"/>
              <w:rPr>
                <w:rFonts w:ascii="Arial" w:eastAsia="Times New Roman" w:hAnsi="Arial" w:cs="Arial"/>
              </w:rPr>
            </w:pPr>
          </w:p>
        </w:tc>
        <w:tc>
          <w:tcPr>
            <w:tcW w:w="825" w:type="dxa"/>
          </w:tcPr>
          <w:p w14:paraId="6E786F6E" w14:textId="77777777" w:rsidR="00EA63F6" w:rsidRPr="00EA63F6" w:rsidRDefault="00EA63F6" w:rsidP="00EA63F6">
            <w:pPr>
              <w:pStyle w:val="Body"/>
              <w:spacing w:after="0"/>
              <w:rPr>
                <w:rFonts w:ascii="Arial" w:eastAsia="Times New Roman" w:hAnsi="Arial" w:cs="Arial"/>
              </w:rPr>
            </w:pPr>
          </w:p>
        </w:tc>
        <w:tc>
          <w:tcPr>
            <w:tcW w:w="818" w:type="dxa"/>
          </w:tcPr>
          <w:p w14:paraId="1D57C3ED" w14:textId="77777777" w:rsidR="00EA63F6" w:rsidRPr="00EA63F6" w:rsidRDefault="00EA63F6" w:rsidP="00EA63F6">
            <w:pPr>
              <w:pStyle w:val="Body"/>
              <w:spacing w:after="0"/>
              <w:rPr>
                <w:rFonts w:ascii="Arial" w:eastAsia="Times New Roman" w:hAnsi="Arial" w:cs="Arial"/>
              </w:rPr>
            </w:pPr>
          </w:p>
        </w:tc>
        <w:tc>
          <w:tcPr>
            <w:tcW w:w="832" w:type="dxa"/>
          </w:tcPr>
          <w:p w14:paraId="4B042367" w14:textId="77777777" w:rsidR="00EA63F6" w:rsidRPr="00EA63F6" w:rsidRDefault="00EA63F6" w:rsidP="00EA63F6">
            <w:pPr>
              <w:pStyle w:val="Body"/>
              <w:spacing w:after="0"/>
              <w:rPr>
                <w:rFonts w:ascii="Arial" w:eastAsia="Times New Roman" w:hAnsi="Arial" w:cs="Arial"/>
              </w:rPr>
            </w:pPr>
          </w:p>
        </w:tc>
        <w:tc>
          <w:tcPr>
            <w:tcW w:w="830" w:type="dxa"/>
          </w:tcPr>
          <w:p w14:paraId="78CF0B1E" w14:textId="77777777" w:rsidR="00EA63F6" w:rsidRPr="00EA63F6" w:rsidRDefault="00EA63F6" w:rsidP="00EA63F6">
            <w:pPr>
              <w:pStyle w:val="Body"/>
              <w:spacing w:after="0"/>
              <w:rPr>
                <w:rFonts w:ascii="Arial" w:eastAsia="Times New Roman" w:hAnsi="Arial" w:cs="Arial"/>
              </w:rPr>
            </w:pPr>
          </w:p>
        </w:tc>
        <w:tc>
          <w:tcPr>
            <w:tcW w:w="828" w:type="dxa"/>
          </w:tcPr>
          <w:p w14:paraId="39EA82E6" w14:textId="77777777" w:rsidR="00EA63F6" w:rsidRPr="00EA63F6" w:rsidRDefault="00EA63F6" w:rsidP="00EA63F6">
            <w:pPr>
              <w:pStyle w:val="Body"/>
              <w:spacing w:after="0"/>
              <w:rPr>
                <w:rFonts w:ascii="Arial" w:eastAsia="Times New Roman" w:hAnsi="Arial" w:cs="Arial"/>
              </w:rPr>
            </w:pPr>
          </w:p>
        </w:tc>
        <w:tc>
          <w:tcPr>
            <w:tcW w:w="807" w:type="dxa"/>
          </w:tcPr>
          <w:p w14:paraId="74AC74EA" w14:textId="77777777" w:rsidR="00EA63F6" w:rsidRPr="00EA63F6" w:rsidRDefault="00EA63F6" w:rsidP="00EA63F6">
            <w:pPr>
              <w:pStyle w:val="Body"/>
              <w:spacing w:after="0"/>
              <w:rPr>
                <w:rFonts w:ascii="Arial" w:eastAsia="Times New Roman" w:hAnsi="Arial" w:cs="Arial"/>
              </w:rPr>
            </w:pPr>
          </w:p>
        </w:tc>
      </w:tr>
      <w:tr w:rsidR="00EA63F6" w:rsidRPr="00EA63F6" w14:paraId="6EF00C46" w14:textId="77777777" w:rsidTr="000125BE">
        <w:tc>
          <w:tcPr>
            <w:tcW w:w="1418" w:type="dxa"/>
          </w:tcPr>
          <w:p w14:paraId="130E792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510" w:type="dxa"/>
          </w:tcPr>
          <w:p w14:paraId="2D499F7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c>
          <w:tcPr>
            <w:tcW w:w="831" w:type="dxa"/>
          </w:tcPr>
          <w:p w14:paraId="7C78303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7" w:type="dxa"/>
          </w:tcPr>
          <w:p w14:paraId="29DF65F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4" w:type="dxa"/>
          </w:tcPr>
          <w:p w14:paraId="7A58358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5" w:type="dxa"/>
          </w:tcPr>
          <w:p w14:paraId="2509A89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18" w:type="dxa"/>
          </w:tcPr>
          <w:p w14:paraId="7E94DC0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2" w:type="dxa"/>
          </w:tcPr>
          <w:p w14:paraId="2FCAD7F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30" w:type="dxa"/>
          </w:tcPr>
          <w:p w14:paraId="13CBA7F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28" w:type="dxa"/>
          </w:tcPr>
          <w:p w14:paraId="06F6D5D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c>
          <w:tcPr>
            <w:tcW w:w="807" w:type="dxa"/>
          </w:tcPr>
          <w:p w14:paraId="46776F2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w:t>
            </w:r>
          </w:p>
        </w:tc>
      </w:tr>
      <w:tr w:rsidR="00EA63F6" w:rsidRPr="00EA63F6" w14:paraId="2E8FAD8B" w14:textId="77777777" w:rsidTr="000125BE">
        <w:tc>
          <w:tcPr>
            <w:tcW w:w="1418" w:type="dxa"/>
          </w:tcPr>
          <w:p w14:paraId="0A13C2D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15</w:t>
            </w:r>
          </w:p>
        </w:tc>
        <w:tc>
          <w:tcPr>
            <w:tcW w:w="510" w:type="dxa"/>
          </w:tcPr>
          <w:p w14:paraId="332714E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NA</w:t>
            </w:r>
          </w:p>
        </w:tc>
        <w:tc>
          <w:tcPr>
            <w:tcW w:w="831" w:type="dxa"/>
          </w:tcPr>
          <w:p w14:paraId="7D5A282D" w14:textId="77777777" w:rsidR="00EA63F6" w:rsidRPr="00EA63F6" w:rsidRDefault="00EA63F6" w:rsidP="00EA63F6">
            <w:pPr>
              <w:pStyle w:val="Body"/>
              <w:spacing w:after="0"/>
              <w:rPr>
                <w:rFonts w:ascii="Arial" w:eastAsia="Times New Roman" w:hAnsi="Arial" w:cs="Arial"/>
              </w:rPr>
            </w:pPr>
          </w:p>
        </w:tc>
        <w:tc>
          <w:tcPr>
            <w:tcW w:w="827" w:type="dxa"/>
          </w:tcPr>
          <w:p w14:paraId="06C43805" w14:textId="77777777" w:rsidR="00EA63F6" w:rsidRPr="00EA63F6" w:rsidRDefault="00EA63F6" w:rsidP="00EA63F6">
            <w:pPr>
              <w:pStyle w:val="Body"/>
              <w:spacing w:after="0"/>
              <w:rPr>
                <w:rFonts w:ascii="Arial" w:eastAsia="Times New Roman" w:hAnsi="Arial" w:cs="Arial"/>
              </w:rPr>
            </w:pPr>
          </w:p>
        </w:tc>
        <w:tc>
          <w:tcPr>
            <w:tcW w:w="824" w:type="dxa"/>
          </w:tcPr>
          <w:p w14:paraId="30A5BA0F" w14:textId="77777777" w:rsidR="00EA63F6" w:rsidRPr="00EA63F6" w:rsidRDefault="00EA63F6" w:rsidP="00EA63F6">
            <w:pPr>
              <w:pStyle w:val="Body"/>
              <w:spacing w:after="0"/>
              <w:rPr>
                <w:rFonts w:ascii="Arial" w:eastAsia="Times New Roman" w:hAnsi="Arial" w:cs="Arial"/>
              </w:rPr>
            </w:pPr>
          </w:p>
        </w:tc>
        <w:tc>
          <w:tcPr>
            <w:tcW w:w="825" w:type="dxa"/>
          </w:tcPr>
          <w:p w14:paraId="60DFABA9" w14:textId="77777777" w:rsidR="00EA63F6" w:rsidRPr="00EA63F6" w:rsidRDefault="00EA63F6" w:rsidP="00EA63F6">
            <w:pPr>
              <w:pStyle w:val="Body"/>
              <w:spacing w:after="0"/>
              <w:rPr>
                <w:rFonts w:ascii="Arial" w:eastAsia="Times New Roman" w:hAnsi="Arial" w:cs="Arial"/>
              </w:rPr>
            </w:pPr>
          </w:p>
        </w:tc>
        <w:tc>
          <w:tcPr>
            <w:tcW w:w="818" w:type="dxa"/>
          </w:tcPr>
          <w:p w14:paraId="7FC966E8" w14:textId="77777777" w:rsidR="00EA63F6" w:rsidRPr="00EA63F6" w:rsidRDefault="00EA63F6" w:rsidP="00EA63F6">
            <w:pPr>
              <w:pStyle w:val="Body"/>
              <w:spacing w:after="0"/>
              <w:rPr>
                <w:rFonts w:ascii="Arial" w:eastAsia="Times New Roman" w:hAnsi="Arial" w:cs="Arial"/>
              </w:rPr>
            </w:pPr>
          </w:p>
        </w:tc>
        <w:tc>
          <w:tcPr>
            <w:tcW w:w="832" w:type="dxa"/>
          </w:tcPr>
          <w:p w14:paraId="6C7DBD6D" w14:textId="77777777" w:rsidR="00EA63F6" w:rsidRPr="00EA63F6" w:rsidRDefault="00EA63F6" w:rsidP="00EA63F6">
            <w:pPr>
              <w:pStyle w:val="Body"/>
              <w:spacing w:after="0"/>
              <w:rPr>
                <w:rFonts w:ascii="Arial" w:eastAsia="Times New Roman" w:hAnsi="Arial" w:cs="Arial"/>
              </w:rPr>
            </w:pPr>
          </w:p>
        </w:tc>
        <w:tc>
          <w:tcPr>
            <w:tcW w:w="830" w:type="dxa"/>
          </w:tcPr>
          <w:p w14:paraId="2ED8F536" w14:textId="77777777" w:rsidR="00EA63F6" w:rsidRPr="00EA63F6" w:rsidRDefault="00EA63F6" w:rsidP="00EA63F6">
            <w:pPr>
              <w:pStyle w:val="Body"/>
              <w:spacing w:after="0"/>
              <w:rPr>
                <w:rFonts w:ascii="Arial" w:eastAsia="Times New Roman" w:hAnsi="Arial" w:cs="Arial"/>
              </w:rPr>
            </w:pPr>
          </w:p>
        </w:tc>
        <w:tc>
          <w:tcPr>
            <w:tcW w:w="828" w:type="dxa"/>
          </w:tcPr>
          <w:p w14:paraId="5443E0C6" w14:textId="77777777" w:rsidR="00EA63F6" w:rsidRPr="00EA63F6" w:rsidRDefault="00EA63F6" w:rsidP="00EA63F6">
            <w:pPr>
              <w:pStyle w:val="Body"/>
              <w:spacing w:after="0"/>
              <w:rPr>
                <w:rFonts w:ascii="Arial" w:eastAsia="Times New Roman" w:hAnsi="Arial" w:cs="Arial"/>
              </w:rPr>
            </w:pPr>
          </w:p>
        </w:tc>
        <w:tc>
          <w:tcPr>
            <w:tcW w:w="807" w:type="dxa"/>
          </w:tcPr>
          <w:p w14:paraId="4B12E2B2" w14:textId="77777777" w:rsidR="00EA63F6" w:rsidRPr="00EA63F6" w:rsidRDefault="00EA63F6" w:rsidP="00EA63F6">
            <w:pPr>
              <w:pStyle w:val="Body"/>
              <w:spacing w:after="0"/>
              <w:rPr>
                <w:rFonts w:ascii="Arial" w:eastAsia="Times New Roman" w:hAnsi="Arial" w:cs="Arial"/>
              </w:rPr>
            </w:pPr>
          </w:p>
        </w:tc>
      </w:tr>
    </w:tbl>
    <w:p w14:paraId="59017008" w14:textId="77777777" w:rsidR="00EA63F6" w:rsidRPr="00EA63F6" w:rsidRDefault="00EA63F6" w:rsidP="00EA63F6">
      <w:pPr>
        <w:pStyle w:val="Body"/>
        <w:spacing w:after="0"/>
        <w:rPr>
          <w:rFonts w:ascii="Arial" w:hAnsi="Arial" w:cs="Arial"/>
        </w:rPr>
      </w:pPr>
      <w:r w:rsidRPr="00EA63F6">
        <w:rPr>
          <w:rFonts w:ascii="Arial" w:hAnsi="Arial" w:cs="Arial"/>
          <w:i/>
          <w:iCs/>
        </w:rPr>
        <w:t>ME= Medial End of Clavicle; CP= Coracoid Process; GC= Glenoid Cavity; IA= Inferior Angle of Scapula; AP= Acromion Process; MB= Medial Border of Scapula; HH= Head of Humerus; GT= Greater Tubercle; LT= Lesser Tubercle; n= Number of Radiographs; m= Months; += Ossification present in bone; -= Bone not ossified; NA= Radiograph not available</w:t>
      </w:r>
    </w:p>
    <w:p w14:paraId="2733C823" w14:textId="77777777" w:rsidR="00EA63F6" w:rsidRPr="00EA63F6" w:rsidRDefault="00EA63F6" w:rsidP="00EA63F6">
      <w:pPr>
        <w:pStyle w:val="Body"/>
        <w:spacing w:after="0"/>
        <w:rPr>
          <w:rFonts w:ascii="Arial" w:hAnsi="Arial" w:cs="Arial"/>
        </w:rPr>
      </w:pPr>
      <w:r>
        <w:rPr>
          <w:rFonts w:ascii="Arial" w:hAnsi="Arial" w:cs="Arial"/>
          <w:highlight w:val="yellow"/>
        </w:rPr>
        <w:t>The earliest</w:t>
      </w:r>
      <w:r>
        <w:rPr>
          <w:rFonts w:ascii="Arial" w:hAnsi="Arial" w:cs="Arial"/>
        </w:rPr>
        <w:t xml:space="preserve"> observed </w:t>
      </w:r>
      <w:r>
        <w:rPr>
          <w:rFonts w:ascii="Arial" w:hAnsi="Arial" w:cs="Arial"/>
          <w:highlight w:val="yellow"/>
        </w:rPr>
        <w:t>ages</w:t>
      </w:r>
      <w:r>
        <w:rPr>
          <w:rFonts w:ascii="Arial" w:hAnsi="Arial" w:cs="Arial"/>
        </w:rPr>
        <w:t xml:space="preserve"> of appearance of the ossification </w:t>
      </w:r>
      <w:r>
        <w:rPr>
          <w:rFonts w:ascii="Arial" w:hAnsi="Arial" w:cs="Arial"/>
          <w:highlight w:val="yellow"/>
        </w:rPr>
        <w:t>centres</w:t>
      </w:r>
      <w:r>
        <w:rPr>
          <w:rFonts w:ascii="Arial" w:hAnsi="Arial" w:cs="Arial"/>
        </w:rPr>
        <w:t xml:space="preserve"> in </w:t>
      </w:r>
      <w:r>
        <w:rPr>
          <w:rFonts w:ascii="Arial" w:hAnsi="Arial" w:cs="Arial"/>
          <w:highlight w:val="yellow"/>
        </w:rPr>
        <w:t>females</w:t>
      </w:r>
      <w:r>
        <w:rPr>
          <w:rFonts w:ascii="Arial" w:hAnsi="Arial" w:cs="Arial"/>
        </w:rPr>
        <w:t xml:space="preserve"> </w:t>
      </w:r>
      <w:r>
        <w:rPr>
          <w:rFonts w:ascii="Arial" w:hAnsi="Arial" w:cs="Arial"/>
          <w:highlight w:val="yellow"/>
        </w:rPr>
        <w:t>were</w:t>
      </w:r>
      <w:r>
        <w:rPr>
          <w:rFonts w:ascii="Arial" w:hAnsi="Arial" w:cs="Arial"/>
        </w:rPr>
        <w:t xml:space="preserve"> </w:t>
      </w:r>
      <w:r>
        <w:rPr>
          <w:rFonts w:ascii="Arial" w:hAnsi="Arial" w:cs="Arial"/>
          <w:highlight w:val="yellow"/>
        </w:rPr>
        <w:t>as follows: medial end</w:t>
      </w:r>
      <w:r>
        <w:rPr>
          <w:rFonts w:ascii="Arial" w:hAnsi="Arial" w:cs="Arial"/>
        </w:rPr>
        <w:t xml:space="preserve"> of </w:t>
      </w:r>
      <w:r>
        <w:rPr>
          <w:rFonts w:ascii="Arial" w:hAnsi="Arial" w:cs="Arial"/>
          <w:highlight w:val="yellow"/>
        </w:rPr>
        <w:t>the</w:t>
      </w:r>
      <w:r>
        <w:rPr>
          <w:rFonts w:ascii="Arial" w:hAnsi="Arial" w:cs="Arial"/>
        </w:rPr>
        <w:t xml:space="preserve"> </w:t>
      </w:r>
      <w:r>
        <w:rPr>
          <w:rFonts w:ascii="Arial" w:hAnsi="Arial" w:cs="Arial"/>
          <w:highlight w:val="yellow"/>
        </w:rPr>
        <w:t>clavicle,</w:t>
      </w:r>
      <w:r>
        <w:rPr>
          <w:rFonts w:ascii="Arial" w:hAnsi="Arial" w:cs="Arial"/>
        </w:rPr>
        <w:t xml:space="preserve"> 14 </w:t>
      </w:r>
      <w:r>
        <w:rPr>
          <w:rFonts w:ascii="Arial" w:hAnsi="Arial" w:cs="Arial"/>
          <w:highlight w:val="yellow"/>
        </w:rPr>
        <w:t>years;</w:t>
      </w:r>
      <w:r>
        <w:rPr>
          <w:rFonts w:ascii="Arial" w:hAnsi="Arial" w:cs="Arial"/>
        </w:rPr>
        <w:t xml:space="preserve"> </w:t>
      </w:r>
      <w:r>
        <w:rPr>
          <w:rFonts w:ascii="Arial" w:hAnsi="Arial" w:cs="Arial"/>
          <w:highlight w:val="yellow"/>
        </w:rPr>
        <w:t>coracoid</w:t>
      </w:r>
      <w:r>
        <w:rPr>
          <w:rFonts w:ascii="Arial" w:hAnsi="Arial" w:cs="Arial"/>
        </w:rPr>
        <w:t xml:space="preserve"> </w:t>
      </w:r>
      <w:r>
        <w:rPr>
          <w:rFonts w:ascii="Arial" w:hAnsi="Arial" w:cs="Arial"/>
          <w:highlight w:val="yellow"/>
        </w:rPr>
        <w:t>process,</w:t>
      </w:r>
      <w:r>
        <w:rPr>
          <w:rFonts w:ascii="Arial" w:hAnsi="Arial" w:cs="Arial"/>
        </w:rPr>
        <w:t xml:space="preserve"> </w:t>
      </w:r>
      <w:r>
        <w:rPr>
          <w:rFonts w:ascii="Arial" w:hAnsi="Arial" w:cs="Arial"/>
          <w:highlight w:val="yellow"/>
        </w:rPr>
        <w:t>1</w:t>
      </w:r>
      <w:r>
        <w:rPr>
          <w:rFonts w:ascii="Arial" w:hAnsi="Arial" w:cs="Arial"/>
        </w:rPr>
        <w:t xml:space="preserve"> </w:t>
      </w:r>
      <w:r>
        <w:rPr>
          <w:rFonts w:ascii="Arial" w:hAnsi="Arial" w:cs="Arial"/>
          <w:highlight w:val="yellow"/>
        </w:rPr>
        <w:t>month;</w:t>
      </w:r>
      <w:r>
        <w:rPr>
          <w:rFonts w:ascii="Arial" w:hAnsi="Arial" w:cs="Arial"/>
        </w:rPr>
        <w:t xml:space="preserve"> </w:t>
      </w:r>
      <w:r>
        <w:rPr>
          <w:rFonts w:ascii="Arial" w:hAnsi="Arial" w:cs="Arial"/>
          <w:highlight w:val="yellow"/>
        </w:rPr>
        <w:t>glenoid</w:t>
      </w:r>
      <w:r>
        <w:rPr>
          <w:rFonts w:ascii="Arial" w:hAnsi="Arial" w:cs="Arial"/>
        </w:rPr>
        <w:t xml:space="preserve"> </w:t>
      </w:r>
      <w:r>
        <w:rPr>
          <w:rFonts w:ascii="Arial" w:hAnsi="Arial" w:cs="Arial"/>
          <w:highlight w:val="yellow"/>
        </w:rPr>
        <w:t>cavity,</w:t>
      </w:r>
      <w:r>
        <w:rPr>
          <w:rFonts w:ascii="Arial" w:hAnsi="Arial" w:cs="Arial"/>
        </w:rPr>
        <w:t xml:space="preserve"> 10 years; </w:t>
      </w:r>
      <w:r>
        <w:rPr>
          <w:rFonts w:ascii="Arial" w:hAnsi="Arial" w:cs="Arial"/>
          <w:highlight w:val="yellow"/>
        </w:rPr>
        <w:t>inferior</w:t>
      </w:r>
      <w:r>
        <w:rPr>
          <w:rFonts w:ascii="Arial" w:hAnsi="Arial" w:cs="Arial"/>
        </w:rPr>
        <w:t xml:space="preserve"> </w:t>
      </w:r>
      <w:r>
        <w:rPr>
          <w:rFonts w:ascii="Arial" w:hAnsi="Arial" w:cs="Arial"/>
          <w:highlight w:val="yellow"/>
        </w:rPr>
        <w:t>angle</w:t>
      </w:r>
      <w:r>
        <w:rPr>
          <w:rFonts w:ascii="Arial" w:hAnsi="Arial" w:cs="Arial"/>
        </w:rPr>
        <w:t xml:space="preserve"> </w:t>
      </w:r>
      <w:r>
        <w:rPr>
          <w:rFonts w:ascii="Arial" w:hAnsi="Arial" w:cs="Arial"/>
          <w:highlight w:val="yellow"/>
        </w:rPr>
        <w:t>of the scapula, 10 years; acromion process,</w:t>
      </w:r>
      <w:r>
        <w:rPr>
          <w:rFonts w:ascii="Arial" w:hAnsi="Arial" w:cs="Arial"/>
        </w:rPr>
        <w:t xml:space="preserve"> 12 </w:t>
      </w:r>
      <w:r>
        <w:rPr>
          <w:rFonts w:ascii="Arial" w:hAnsi="Arial" w:cs="Arial"/>
          <w:highlight w:val="yellow"/>
        </w:rPr>
        <w:t>years;</w:t>
      </w:r>
      <w:r>
        <w:rPr>
          <w:rFonts w:ascii="Arial" w:hAnsi="Arial" w:cs="Arial"/>
        </w:rPr>
        <w:t xml:space="preserve"> </w:t>
      </w:r>
      <w:r>
        <w:rPr>
          <w:rFonts w:ascii="Arial" w:hAnsi="Arial" w:cs="Arial"/>
          <w:highlight w:val="yellow"/>
        </w:rPr>
        <w:t>medial</w:t>
      </w:r>
      <w:r>
        <w:rPr>
          <w:rFonts w:ascii="Arial" w:hAnsi="Arial" w:cs="Arial"/>
        </w:rPr>
        <w:t xml:space="preserve"> </w:t>
      </w:r>
      <w:r>
        <w:rPr>
          <w:rFonts w:ascii="Arial" w:hAnsi="Arial" w:cs="Arial"/>
          <w:highlight w:val="yellow"/>
        </w:rPr>
        <w:t>border</w:t>
      </w:r>
      <w:r>
        <w:rPr>
          <w:rFonts w:ascii="Arial" w:hAnsi="Arial" w:cs="Arial"/>
        </w:rPr>
        <w:t xml:space="preserve"> of </w:t>
      </w:r>
      <w:r>
        <w:rPr>
          <w:rFonts w:ascii="Arial" w:hAnsi="Arial" w:cs="Arial"/>
          <w:highlight w:val="yellow"/>
        </w:rPr>
        <w:t>the</w:t>
      </w:r>
      <w:r>
        <w:rPr>
          <w:rFonts w:ascii="Arial" w:hAnsi="Arial" w:cs="Arial"/>
        </w:rPr>
        <w:t xml:space="preserve"> </w:t>
      </w:r>
      <w:r>
        <w:rPr>
          <w:rFonts w:ascii="Arial" w:hAnsi="Arial" w:cs="Arial"/>
          <w:highlight w:val="yellow"/>
        </w:rPr>
        <w:t>scapula,</w:t>
      </w:r>
      <w:r>
        <w:rPr>
          <w:rFonts w:ascii="Arial" w:hAnsi="Arial" w:cs="Arial"/>
        </w:rPr>
        <w:t xml:space="preserve"> 10 </w:t>
      </w:r>
      <w:r>
        <w:rPr>
          <w:rFonts w:ascii="Arial" w:hAnsi="Arial" w:cs="Arial"/>
          <w:highlight w:val="yellow"/>
        </w:rPr>
        <w:t>years;</w:t>
      </w:r>
      <w:r>
        <w:rPr>
          <w:rFonts w:ascii="Arial" w:hAnsi="Arial" w:cs="Arial"/>
        </w:rPr>
        <w:t xml:space="preserve"> </w:t>
      </w:r>
      <w:r>
        <w:rPr>
          <w:rFonts w:ascii="Arial" w:hAnsi="Arial" w:cs="Arial"/>
          <w:highlight w:val="yellow"/>
        </w:rPr>
        <w:t>head</w:t>
      </w:r>
      <w:r>
        <w:rPr>
          <w:rFonts w:ascii="Arial" w:hAnsi="Arial" w:cs="Arial"/>
        </w:rPr>
        <w:t xml:space="preserve"> of </w:t>
      </w:r>
      <w:r>
        <w:rPr>
          <w:rFonts w:ascii="Arial" w:hAnsi="Arial" w:cs="Arial"/>
          <w:highlight w:val="yellow"/>
        </w:rPr>
        <w:t>the</w:t>
      </w:r>
      <w:r>
        <w:rPr>
          <w:rFonts w:ascii="Arial" w:hAnsi="Arial" w:cs="Arial"/>
        </w:rPr>
        <w:t xml:space="preserve"> </w:t>
      </w:r>
      <w:r>
        <w:rPr>
          <w:rFonts w:ascii="Arial" w:hAnsi="Arial" w:cs="Arial"/>
          <w:highlight w:val="yellow"/>
        </w:rPr>
        <w:t>humerus,</w:t>
      </w:r>
      <w:r>
        <w:rPr>
          <w:rFonts w:ascii="Arial" w:hAnsi="Arial" w:cs="Arial"/>
        </w:rPr>
        <w:t xml:space="preserve"> 1 </w:t>
      </w:r>
      <w:r>
        <w:rPr>
          <w:rFonts w:ascii="Arial" w:hAnsi="Arial" w:cs="Arial"/>
          <w:highlight w:val="yellow"/>
        </w:rPr>
        <w:t>month;</w:t>
      </w:r>
      <w:r>
        <w:rPr>
          <w:rFonts w:ascii="Arial" w:hAnsi="Arial" w:cs="Arial"/>
        </w:rPr>
        <w:t xml:space="preserve"> </w:t>
      </w:r>
      <w:r>
        <w:rPr>
          <w:rFonts w:ascii="Arial" w:hAnsi="Arial" w:cs="Arial"/>
          <w:highlight w:val="yellow"/>
        </w:rPr>
        <w:t>greater</w:t>
      </w:r>
      <w:r>
        <w:rPr>
          <w:rFonts w:ascii="Arial" w:hAnsi="Arial" w:cs="Arial"/>
        </w:rPr>
        <w:t xml:space="preserve"> </w:t>
      </w:r>
      <w:r>
        <w:rPr>
          <w:rFonts w:ascii="Arial" w:hAnsi="Arial" w:cs="Arial"/>
          <w:highlight w:val="yellow"/>
        </w:rPr>
        <w:t>tubercle,</w:t>
      </w:r>
      <w:r>
        <w:rPr>
          <w:rFonts w:ascii="Arial" w:hAnsi="Arial" w:cs="Arial"/>
        </w:rPr>
        <w:t xml:space="preserve"> </w:t>
      </w:r>
      <w:r>
        <w:rPr>
          <w:rFonts w:ascii="Arial" w:hAnsi="Arial" w:cs="Arial"/>
          <w:highlight w:val="yellow"/>
        </w:rPr>
        <w:t>1 year; and lesser tubercle,</w:t>
      </w:r>
      <w:r>
        <w:rPr>
          <w:rFonts w:ascii="Arial" w:hAnsi="Arial" w:cs="Arial"/>
        </w:rPr>
        <w:t xml:space="preserve"> 4 years (Table 2).</w:t>
      </w:r>
    </w:p>
    <w:p w14:paraId="0891A968" w14:textId="77777777" w:rsidR="00EA63F6" w:rsidRPr="00EA63F6" w:rsidRDefault="00EA63F6" w:rsidP="00EA63F6">
      <w:pPr>
        <w:pStyle w:val="Body"/>
        <w:spacing w:after="0"/>
        <w:rPr>
          <w:rFonts w:ascii="Arial" w:hAnsi="Arial" w:cs="Arial"/>
        </w:rPr>
      </w:pPr>
      <w:r w:rsidRPr="00EA63F6">
        <w:rPr>
          <w:rFonts w:ascii="Arial" w:hAnsi="Arial" w:cs="Arial"/>
          <w:b/>
          <w:bCs/>
        </w:rPr>
        <w:t>Table 3:</w:t>
      </w:r>
      <w:r w:rsidRPr="00EA63F6">
        <w:rPr>
          <w:rFonts w:ascii="Arial" w:hAnsi="Arial" w:cs="Arial"/>
        </w:rPr>
        <w:t xml:space="preserve"> Earliest observed age of appearance of each ossification centre by sex.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5"/>
        <w:gridCol w:w="1985"/>
        <w:gridCol w:w="1276"/>
      </w:tblGrid>
      <w:tr w:rsidR="00EA63F6" w:rsidRPr="00EA63F6" w14:paraId="6C67AF9B" w14:textId="77777777" w:rsidTr="000125BE">
        <w:trPr>
          <w:tblHeader/>
          <w:tblCellSpacing w:w="15" w:type="dxa"/>
        </w:trPr>
        <w:tc>
          <w:tcPr>
            <w:tcW w:w="2790" w:type="dxa"/>
            <w:tcBorders>
              <w:top w:val="single" w:sz="4" w:space="0" w:color="auto"/>
              <w:bottom w:val="single" w:sz="4" w:space="0" w:color="auto"/>
            </w:tcBorders>
            <w:vAlign w:val="center"/>
            <w:hideMark/>
          </w:tcPr>
          <w:p w14:paraId="571CA138" w14:textId="77777777" w:rsidR="00EA63F6" w:rsidRPr="00EA63F6" w:rsidRDefault="00EA63F6" w:rsidP="00EA63F6">
            <w:pPr>
              <w:pStyle w:val="Body"/>
              <w:rPr>
                <w:rFonts w:ascii="Arial" w:hAnsi="Arial" w:cs="Arial"/>
                <w:b/>
                <w:bCs/>
              </w:rPr>
            </w:pPr>
            <w:r w:rsidRPr="00EA63F6">
              <w:rPr>
                <w:rFonts w:ascii="Arial" w:hAnsi="Arial" w:cs="Arial"/>
                <w:b/>
                <w:bCs/>
              </w:rPr>
              <w:lastRenderedPageBreak/>
              <w:t>Ossification centre</w:t>
            </w:r>
          </w:p>
        </w:tc>
        <w:tc>
          <w:tcPr>
            <w:tcW w:w="1955" w:type="dxa"/>
            <w:tcBorders>
              <w:top w:val="single" w:sz="4" w:space="0" w:color="auto"/>
              <w:bottom w:val="single" w:sz="4" w:space="0" w:color="auto"/>
            </w:tcBorders>
            <w:vAlign w:val="center"/>
            <w:hideMark/>
          </w:tcPr>
          <w:p w14:paraId="0061C228" w14:textId="77777777" w:rsidR="00EA63F6" w:rsidRPr="00EA63F6" w:rsidRDefault="00EA63F6" w:rsidP="00EA63F6">
            <w:pPr>
              <w:pStyle w:val="Body"/>
              <w:rPr>
                <w:rFonts w:ascii="Arial" w:hAnsi="Arial" w:cs="Arial"/>
                <w:b/>
                <w:bCs/>
              </w:rPr>
            </w:pPr>
            <w:r w:rsidRPr="00EA63F6">
              <w:rPr>
                <w:rFonts w:ascii="Arial" w:hAnsi="Arial" w:cs="Arial"/>
                <w:b/>
                <w:bCs/>
              </w:rPr>
              <w:t>Male</w:t>
            </w:r>
          </w:p>
        </w:tc>
        <w:tc>
          <w:tcPr>
            <w:tcW w:w="1231" w:type="dxa"/>
            <w:tcBorders>
              <w:top w:val="single" w:sz="4" w:space="0" w:color="auto"/>
              <w:bottom w:val="single" w:sz="4" w:space="0" w:color="auto"/>
            </w:tcBorders>
            <w:vAlign w:val="center"/>
            <w:hideMark/>
          </w:tcPr>
          <w:p w14:paraId="41621FB8" w14:textId="77777777" w:rsidR="00EA63F6" w:rsidRPr="00EA63F6" w:rsidRDefault="00EA63F6" w:rsidP="00EA63F6">
            <w:pPr>
              <w:pStyle w:val="Body"/>
              <w:rPr>
                <w:rFonts w:ascii="Arial" w:hAnsi="Arial" w:cs="Arial"/>
                <w:b/>
                <w:bCs/>
              </w:rPr>
            </w:pPr>
            <w:r w:rsidRPr="00EA63F6">
              <w:rPr>
                <w:rFonts w:ascii="Arial" w:hAnsi="Arial" w:cs="Arial"/>
                <w:b/>
                <w:bCs/>
              </w:rPr>
              <w:t>Female</w:t>
            </w:r>
          </w:p>
        </w:tc>
      </w:tr>
      <w:tr w:rsidR="00EA63F6" w:rsidRPr="00EA63F6" w14:paraId="6EEBDF05" w14:textId="77777777" w:rsidTr="000125BE">
        <w:trPr>
          <w:tblCellSpacing w:w="15" w:type="dxa"/>
        </w:trPr>
        <w:tc>
          <w:tcPr>
            <w:tcW w:w="2790" w:type="dxa"/>
            <w:vAlign w:val="center"/>
            <w:hideMark/>
          </w:tcPr>
          <w:p w14:paraId="60C8CCC3" w14:textId="77777777" w:rsidR="00EA63F6" w:rsidRPr="00EA63F6" w:rsidRDefault="00EA63F6" w:rsidP="00EA63F6">
            <w:pPr>
              <w:pStyle w:val="Body"/>
              <w:rPr>
                <w:rFonts w:ascii="Arial" w:hAnsi="Arial" w:cs="Arial"/>
              </w:rPr>
            </w:pPr>
            <w:r w:rsidRPr="00EA63F6">
              <w:rPr>
                <w:rFonts w:ascii="Arial" w:hAnsi="Arial" w:cs="Arial"/>
              </w:rPr>
              <w:t>Medial end of clavicle</w:t>
            </w:r>
          </w:p>
        </w:tc>
        <w:tc>
          <w:tcPr>
            <w:tcW w:w="1955" w:type="dxa"/>
            <w:vAlign w:val="center"/>
            <w:hideMark/>
          </w:tcPr>
          <w:p w14:paraId="12642DA2" w14:textId="77777777" w:rsidR="00EA63F6" w:rsidRPr="00EA63F6" w:rsidRDefault="00EA63F6" w:rsidP="00EA63F6">
            <w:pPr>
              <w:pStyle w:val="Body"/>
              <w:rPr>
                <w:rFonts w:ascii="Arial" w:hAnsi="Arial" w:cs="Arial"/>
              </w:rPr>
            </w:pPr>
            <w:r w:rsidRPr="00EA63F6">
              <w:rPr>
                <w:rFonts w:ascii="Arial" w:hAnsi="Arial" w:cs="Arial"/>
              </w:rPr>
              <w:t>14 years</w:t>
            </w:r>
          </w:p>
        </w:tc>
        <w:tc>
          <w:tcPr>
            <w:tcW w:w="1231" w:type="dxa"/>
            <w:vAlign w:val="center"/>
            <w:hideMark/>
          </w:tcPr>
          <w:p w14:paraId="28375CB2" w14:textId="77777777" w:rsidR="00EA63F6" w:rsidRPr="00EA63F6" w:rsidRDefault="00EA63F6" w:rsidP="00EA63F6">
            <w:pPr>
              <w:pStyle w:val="Body"/>
              <w:rPr>
                <w:rFonts w:ascii="Arial" w:hAnsi="Arial" w:cs="Arial"/>
              </w:rPr>
            </w:pPr>
            <w:r w:rsidRPr="00EA63F6">
              <w:rPr>
                <w:rFonts w:ascii="Arial" w:hAnsi="Arial" w:cs="Arial"/>
              </w:rPr>
              <w:t>14 years</w:t>
            </w:r>
          </w:p>
        </w:tc>
      </w:tr>
      <w:tr w:rsidR="00EA63F6" w:rsidRPr="00EA63F6" w14:paraId="675948DB" w14:textId="77777777" w:rsidTr="000125BE">
        <w:trPr>
          <w:tblCellSpacing w:w="15" w:type="dxa"/>
        </w:trPr>
        <w:tc>
          <w:tcPr>
            <w:tcW w:w="2790" w:type="dxa"/>
            <w:vAlign w:val="center"/>
            <w:hideMark/>
          </w:tcPr>
          <w:p w14:paraId="69D7B228" w14:textId="77777777" w:rsidR="00EA63F6" w:rsidRPr="00EA63F6" w:rsidRDefault="00EA63F6" w:rsidP="00EA63F6">
            <w:pPr>
              <w:pStyle w:val="Body"/>
              <w:rPr>
                <w:rFonts w:ascii="Arial" w:hAnsi="Arial" w:cs="Arial"/>
              </w:rPr>
            </w:pPr>
            <w:r w:rsidRPr="00EA63F6">
              <w:rPr>
                <w:rFonts w:ascii="Arial" w:hAnsi="Arial" w:cs="Arial"/>
              </w:rPr>
              <w:t>Coracoid process</w:t>
            </w:r>
          </w:p>
        </w:tc>
        <w:tc>
          <w:tcPr>
            <w:tcW w:w="1955" w:type="dxa"/>
            <w:vAlign w:val="center"/>
            <w:hideMark/>
          </w:tcPr>
          <w:p w14:paraId="12DAA5BD" w14:textId="77777777" w:rsidR="00EA63F6" w:rsidRPr="00EA63F6" w:rsidRDefault="00EA63F6" w:rsidP="00EA63F6">
            <w:pPr>
              <w:pStyle w:val="Body"/>
              <w:rPr>
                <w:rFonts w:ascii="Arial" w:hAnsi="Arial" w:cs="Arial"/>
              </w:rPr>
            </w:pPr>
            <w:r w:rsidRPr="00EA63F6">
              <w:rPr>
                <w:rFonts w:ascii="Arial" w:hAnsi="Arial" w:cs="Arial"/>
              </w:rPr>
              <w:t>2 months</w:t>
            </w:r>
          </w:p>
        </w:tc>
        <w:tc>
          <w:tcPr>
            <w:tcW w:w="1231" w:type="dxa"/>
            <w:vAlign w:val="center"/>
            <w:hideMark/>
          </w:tcPr>
          <w:p w14:paraId="69150B24" w14:textId="77777777" w:rsidR="00EA63F6" w:rsidRPr="00EA63F6" w:rsidRDefault="00EA63F6" w:rsidP="00EA63F6">
            <w:pPr>
              <w:pStyle w:val="Body"/>
              <w:rPr>
                <w:rFonts w:ascii="Arial" w:hAnsi="Arial" w:cs="Arial"/>
              </w:rPr>
            </w:pPr>
            <w:r w:rsidRPr="00EA63F6">
              <w:rPr>
                <w:rFonts w:ascii="Arial" w:hAnsi="Arial" w:cs="Arial"/>
              </w:rPr>
              <w:t>1 month</w:t>
            </w:r>
          </w:p>
        </w:tc>
      </w:tr>
      <w:tr w:rsidR="00EA63F6" w:rsidRPr="00EA63F6" w14:paraId="6AB43C6D" w14:textId="77777777" w:rsidTr="000125BE">
        <w:trPr>
          <w:tblCellSpacing w:w="15" w:type="dxa"/>
        </w:trPr>
        <w:tc>
          <w:tcPr>
            <w:tcW w:w="2790" w:type="dxa"/>
            <w:vAlign w:val="center"/>
            <w:hideMark/>
          </w:tcPr>
          <w:p w14:paraId="674CDF29" w14:textId="77777777" w:rsidR="00EA63F6" w:rsidRPr="00EA63F6" w:rsidRDefault="00EA63F6" w:rsidP="00EA63F6">
            <w:pPr>
              <w:pStyle w:val="Body"/>
              <w:rPr>
                <w:rFonts w:ascii="Arial" w:hAnsi="Arial" w:cs="Arial"/>
              </w:rPr>
            </w:pPr>
            <w:r w:rsidRPr="00EA63F6">
              <w:rPr>
                <w:rFonts w:ascii="Arial" w:hAnsi="Arial" w:cs="Arial"/>
              </w:rPr>
              <w:t>Glenoid cavity</w:t>
            </w:r>
          </w:p>
        </w:tc>
        <w:tc>
          <w:tcPr>
            <w:tcW w:w="1955" w:type="dxa"/>
            <w:vAlign w:val="center"/>
            <w:hideMark/>
          </w:tcPr>
          <w:p w14:paraId="0B1A0D6D" w14:textId="77777777" w:rsidR="00EA63F6" w:rsidRPr="00EA63F6" w:rsidRDefault="00EA63F6" w:rsidP="00EA63F6">
            <w:pPr>
              <w:pStyle w:val="Body"/>
              <w:rPr>
                <w:rFonts w:ascii="Arial" w:hAnsi="Arial" w:cs="Arial"/>
              </w:rPr>
            </w:pPr>
            <w:r w:rsidRPr="00EA63F6">
              <w:rPr>
                <w:rFonts w:ascii="Arial" w:hAnsi="Arial" w:cs="Arial"/>
              </w:rPr>
              <w:t>12 years</w:t>
            </w:r>
          </w:p>
        </w:tc>
        <w:tc>
          <w:tcPr>
            <w:tcW w:w="1231" w:type="dxa"/>
            <w:vAlign w:val="center"/>
            <w:hideMark/>
          </w:tcPr>
          <w:p w14:paraId="0181C6CC" w14:textId="77777777" w:rsidR="00EA63F6" w:rsidRPr="00EA63F6" w:rsidRDefault="00EA63F6" w:rsidP="00EA63F6">
            <w:pPr>
              <w:pStyle w:val="Body"/>
              <w:rPr>
                <w:rFonts w:ascii="Arial" w:hAnsi="Arial" w:cs="Arial"/>
              </w:rPr>
            </w:pPr>
            <w:r w:rsidRPr="00EA63F6">
              <w:rPr>
                <w:rFonts w:ascii="Arial" w:hAnsi="Arial" w:cs="Arial"/>
              </w:rPr>
              <w:t>10 years</w:t>
            </w:r>
          </w:p>
        </w:tc>
      </w:tr>
      <w:tr w:rsidR="00EA63F6" w:rsidRPr="00EA63F6" w14:paraId="022C54FA" w14:textId="77777777" w:rsidTr="000125BE">
        <w:trPr>
          <w:tblCellSpacing w:w="15" w:type="dxa"/>
        </w:trPr>
        <w:tc>
          <w:tcPr>
            <w:tcW w:w="2790" w:type="dxa"/>
            <w:vAlign w:val="center"/>
            <w:hideMark/>
          </w:tcPr>
          <w:p w14:paraId="1F7F03E8" w14:textId="77777777" w:rsidR="00EA63F6" w:rsidRPr="00EA63F6" w:rsidRDefault="00EA63F6" w:rsidP="00EA63F6">
            <w:pPr>
              <w:pStyle w:val="Body"/>
              <w:rPr>
                <w:rFonts w:ascii="Arial" w:hAnsi="Arial" w:cs="Arial"/>
              </w:rPr>
            </w:pPr>
            <w:r w:rsidRPr="00EA63F6">
              <w:rPr>
                <w:rFonts w:ascii="Arial" w:hAnsi="Arial" w:cs="Arial"/>
              </w:rPr>
              <w:t>Inferior angle</w:t>
            </w:r>
          </w:p>
        </w:tc>
        <w:tc>
          <w:tcPr>
            <w:tcW w:w="1955" w:type="dxa"/>
            <w:vAlign w:val="center"/>
            <w:hideMark/>
          </w:tcPr>
          <w:p w14:paraId="66C5A635" w14:textId="77777777" w:rsidR="00EA63F6" w:rsidRPr="00EA63F6" w:rsidRDefault="00EA63F6" w:rsidP="00EA63F6">
            <w:pPr>
              <w:pStyle w:val="Body"/>
              <w:rPr>
                <w:rFonts w:ascii="Arial" w:hAnsi="Arial" w:cs="Arial"/>
              </w:rPr>
            </w:pPr>
            <w:r w:rsidRPr="00EA63F6">
              <w:rPr>
                <w:rFonts w:ascii="Arial" w:hAnsi="Arial" w:cs="Arial"/>
              </w:rPr>
              <w:t>13 years</w:t>
            </w:r>
          </w:p>
        </w:tc>
        <w:tc>
          <w:tcPr>
            <w:tcW w:w="1231" w:type="dxa"/>
            <w:vAlign w:val="center"/>
            <w:hideMark/>
          </w:tcPr>
          <w:p w14:paraId="478631AB" w14:textId="77777777" w:rsidR="00EA63F6" w:rsidRPr="00EA63F6" w:rsidRDefault="00EA63F6" w:rsidP="00EA63F6">
            <w:pPr>
              <w:pStyle w:val="Body"/>
              <w:rPr>
                <w:rFonts w:ascii="Arial" w:hAnsi="Arial" w:cs="Arial"/>
              </w:rPr>
            </w:pPr>
            <w:r w:rsidRPr="00EA63F6">
              <w:rPr>
                <w:rFonts w:ascii="Arial" w:hAnsi="Arial" w:cs="Arial"/>
              </w:rPr>
              <w:t>10 years</w:t>
            </w:r>
          </w:p>
        </w:tc>
      </w:tr>
      <w:tr w:rsidR="00EA63F6" w:rsidRPr="00EA63F6" w14:paraId="7BB9E1B3" w14:textId="77777777" w:rsidTr="000125BE">
        <w:trPr>
          <w:tblCellSpacing w:w="15" w:type="dxa"/>
        </w:trPr>
        <w:tc>
          <w:tcPr>
            <w:tcW w:w="2790" w:type="dxa"/>
            <w:vAlign w:val="center"/>
            <w:hideMark/>
          </w:tcPr>
          <w:p w14:paraId="79C4A4DA" w14:textId="77777777" w:rsidR="00EA63F6" w:rsidRPr="00EA63F6" w:rsidRDefault="00EA63F6" w:rsidP="00EA63F6">
            <w:pPr>
              <w:pStyle w:val="Body"/>
              <w:rPr>
                <w:rFonts w:ascii="Arial" w:hAnsi="Arial" w:cs="Arial"/>
              </w:rPr>
            </w:pPr>
            <w:r w:rsidRPr="00EA63F6">
              <w:rPr>
                <w:rFonts w:ascii="Arial" w:hAnsi="Arial" w:cs="Arial"/>
              </w:rPr>
              <w:t>Acromion</w:t>
            </w:r>
          </w:p>
        </w:tc>
        <w:tc>
          <w:tcPr>
            <w:tcW w:w="1955" w:type="dxa"/>
            <w:vAlign w:val="center"/>
            <w:hideMark/>
          </w:tcPr>
          <w:p w14:paraId="07F53B95" w14:textId="77777777" w:rsidR="00EA63F6" w:rsidRPr="00EA63F6" w:rsidRDefault="00EA63F6" w:rsidP="00EA63F6">
            <w:pPr>
              <w:pStyle w:val="Body"/>
              <w:rPr>
                <w:rFonts w:ascii="Arial" w:hAnsi="Arial" w:cs="Arial"/>
              </w:rPr>
            </w:pPr>
            <w:r w:rsidRPr="00EA63F6">
              <w:rPr>
                <w:rFonts w:ascii="Arial" w:hAnsi="Arial" w:cs="Arial"/>
              </w:rPr>
              <w:t>13 years</w:t>
            </w:r>
          </w:p>
        </w:tc>
        <w:tc>
          <w:tcPr>
            <w:tcW w:w="1231" w:type="dxa"/>
            <w:vAlign w:val="center"/>
            <w:hideMark/>
          </w:tcPr>
          <w:p w14:paraId="65FB7B66" w14:textId="77777777" w:rsidR="00EA63F6" w:rsidRPr="00EA63F6" w:rsidRDefault="00EA63F6" w:rsidP="00EA63F6">
            <w:pPr>
              <w:pStyle w:val="Body"/>
              <w:rPr>
                <w:rFonts w:ascii="Arial" w:hAnsi="Arial" w:cs="Arial"/>
              </w:rPr>
            </w:pPr>
            <w:r w:rsidRPr="00EA63F6">
              <w:rPr>
                <w:rFonts w:ascii="Arial" w:hAnsi="Arial" w:cs="Arial"/>
              </w:rPr>
              <w:t>12 years</w:t>
            </w:r>
          </w:p>
        </w:tc>
      </w:tr>
      <w:tr w:rsidR="00EA63F6" w:rsidRPr="00EA63F6" w14:paraId="7273BA67" w14:textId="77777777" w:rsidTr="000125BE">
        <w:trPr>
          <w:tblCellSpacing w:w="15" w:type="dxa"/>
        </w:trPr>
        <w:tc>
          <w:tcPr>
            <w:tcW w:w="2790" w:type="dxa"/>
            <w:vAlign w:val="center"/>
            <w:hideMark/>
          </w:tcPr>
          <w:p w14:paraId="25149494" w14:textId="77777777" w:rsidR="00EA63F6" w:rsidRPr="00EA63F6" w:rsidRDefault="00EA63F6" w:rsidP="00EA63F6">
            <w:pPr>
              <w:pStyle w:val="Body"/>
              <w:rPr>
                <w:rFonts w:ascii="Arial" w:hAnsi="Arial" w:cs="Arial"/>
              </w:rPr>
            </w:pPr>
            <w:r w:rsidRPr="00EA63F6">
              <w:rPr>
                <w:rFonts w:ascii="Arial" w:hAnsi="Arial" w:cs="Arial"/>
              </w:rPr>
              <w:t>Medial border</w:t>
            </w:r>
          </w:p>
        </w:tc>
        <w:tc>
          <w:tcPr>
            <w:tcW w:w="1955" w:type="dxa"/>
            <w:vAlign w:val="center"/>
            <w:hideMark/>
          </w:tcPr>
          <w:p w14:paraId="2194B1AF" w14:textId="77777777" w:rsidR="00EA63F6" w:rsidRPr="00EA63F6" w:rsidRDefault="00EA63F6" w:rsidP="00EA63F6">
            <w:pPr>
              <w:pStyle w:val="Body"/>
              <w:rPr>
                <w:rFonts w:ascii="Arial" w:hAnsi="Arial" w:cs="Arial"/>
              </w:rPr>
            </w:pPr>
            <w:r w:rsidRPr="00EA63F6">
              <w:rPr>
                <w:rFonts w:ascii="Arial" w:hAnsi="Arial" w:cs="Arial"/>
              </w:rPr>
              <w:t>13 years</w:t>
            </w:r>
          </w:p>
        </w:tc>
        <w:tc>
          <w:tcPr>
            <w:tcW w:w="1231" w:type="dxa"/>
            <w:vAlign w:val="center"/>
            <w:hideMark/>
          </w:tcPr>
          <w:p w14:paraId="607137BA" w14:textId="77777777" w:rsidR="00EA63F6" w:rsidRPr="00EA63F6" w:rsidRDefault="00EA63F6" w:rsidP="00EA63F6">
            <w:pPr>
              <w:pStyle w:val="Body"/>
              <w:rPr>
                <w:rFonts w:ascii="Arial" w:hAnsi="Arial" w:cs="Arial"/>
              </w:rPr>
            </w:pPr>
            <w:r w:rsidRPr="00EA63F6">
              <w:rPr>
                <w:rFonts w:ascii="Arial" w:hAnsi="Arial" w:cs="Arial"/>
              </w:rPr>
              <w:t>10 years</w:t>
            </w:r>
          </w:p>
        </w:tc>
      </w:tr>
      <w:tr w:rsidR="00EA63F6" w:rsidRPr="00EA63F6" w14:paraId="26D0F8B9" w14:textId="77777777" w:rsidTr="000125BE">
        <w:trPr>
          <w:tblCellSpacing w:w="15" w:type="dxa"/>
        </w:trPr>
        <w:tc>
          <w:tcPr>
            <w:tcW w:w="2790" w:type="dxa"/>
            <w:vAlign w:val="center"/>
            <w:hideMark/>
          </w:tcPr>
          <w:p w14:paraId="5CC2E778" w14:textId="77777777" w:rsidR="00EA63F6" w:rsidRPr="00EA63F6" w:rsidRDefault="00EA63F6" w:rsidP="00EA63F6">
            <w:pPr>
              <w:pStyle w:val="Body"/>
              <w:rPr>
                <w:rFonts w:ascii="Arial" w:hAnsi="Arial" w:cs="Arial"/>
              </w:rPr>
            </w:pPr>
            <w:r w:rsidRPr="00EA63F6">
              <w:rPr>
                <w:rFonts w:ascii="Arial" w:hAnsi="Arial" w:cs="Arial"/>
              </w:rPr>
              <w:t>Head of humerus</w:t>
            </w:r>
          </w:p>
        </w:tc>
        <w:tc>
          <w:tcPr>
            <w:tcW w:w="1955" w:type="dxa"/>
            <w:vAlign w:val="center"/>
            <w:hideMark/>
          </w:tcPr>
          <w:p w14:paraId="3C36CFB8" w14:textId="77777777" w:rsidR="00EA63F6" w:rsidRPr="00EA63F6" w:rsidRDefault="00EA63F6" w:rsidP="00EA63F6">
            <w:pPr>
              <w:pStyle w:val="Body"/>
              <w:rPr>
                <w:rFonts w:ascii="Arial" w:hAnsi="Arial" w:cs="Arial"/>
              </w:rPr>
            </w:pPr>
            <w:r w:rsidRPr="00EA63F6">
              <w:rPr>
                <w:rFonts w:ascii="Arial" w:hAnsi="Arial" w:cs="Arial"/>
              </w:rPr>
              <w:t>2 months</w:t>
            </w:r>
          </w:p>
        </w:tc>
        <w:tc>
          <w:tcPr>
            <w:tcW w:w="1231" w:type="dxa"/>
            <w:vAlign w:val="center"/>
            <w:hideMark/>
          </w:tcPr>
          <w:p w14:paraId="1DCB999E" w14:textId="77777777" w:rsidR="00EA63F6" w:rsidRPr="00EA63F6" w:rsidRDefault="00EA63F6" w:rsidP="00EA63F6">
            <w:pPr>
              <w:pStyle w:val="Body"/>
              <w:rPr>
                <w:rFonts w:ascii="Arial" w:hAnsi="Arial" w:cs="Arial"/>
              </w:rPr>
            </w:pPr>
            <w:r w:rsidRPr="00EA63F6">
              <w:rPr>
                <w:rFonts w:ascii="Arial" w:hAnsi="Arial" w:cs="Arial"/>
              </w:rPr>
              <w:t>1 month</w:t>
            </w:r>
          </w:p>
        </w:tc>
      </w:tr>
      <w:tr w:rsidR="00EA63F6" w:rsidRPr="00EA63F6" w14:paraId="0BBA2299" w14:textId="77777777" w:rsidTr="000125BE">
        <w:trPr>
          <w:tblCellSpacing w:w="15" w:type="dxa"/>
        </w:trPr>
        <w:tc>
          <w:tcPr>
            <w:tcW w:w="2790" w:type="dxa"/>
            <w:vAlign w:val="center"/>
            <w:hideMark/>
          </w:tcPr>
          <w:p w14:paraId="39E29F22" w14:textId="77777777" w:rsidR="00EA63F6" w:rsidRPr="00EA63F6" w:rsidRDefault="00EA63F6" w:rsidP="00EA63F6">
            <w:pPr>
              <w:pStyle w:val="Body"/>
              <w:rPr>
                <w:rFonts w:ascii="Arial" w:hAnsi="Arial" w:cs="Arial"/>
              </w:rPr>
            </w:pPr>
            <w:r w:rsidRPr="00EA63F6">
              <w:rPr>
                <w:rFonts w:ascii="Arial" w:hAnsi="Arial" w:cs="Arial"/>
              </w:rPr>
              <w:t>Greater tubercle</w:t>
            </w:r>
          </w:p>
        </w:tc>
        <w:tc>
          <w:tcPr>
            <w:tcW w:w="1955" w:type="dxa"/>
            <w:vAlign w:val="center"/>
            <w:hideMark/>
          </w:tcPr>
          <w:p w14:paraId="45FFB198" w14:textId="77777777" w:rsidR="00EA63F6" w:rsidRPr="00EA63F6" w:rsidRDefault="00EA63F6" w:rsidP="00EA63F6">
            <w:pPr>
              <w:pStyle w:val="Body"/>
              <w:rPr>
                <w:rFonts w:ascii="Arial" w:hAnsi="Arial" w:cs="Arial"/>
              </w:rPr>
            </w:pPr>
            <w:r w:rsidRPr="00EA63F6">
              <w:rPr>
                <w:rFonts w:ascii="Arial" w:hAnsi="Arial" w:cs="Arial"/>
              </w:rPr>
              <w:t>2 years</w:t>
            </w:r>
          </w:p>
        </w:tc>
        <w:tc>
          <w:tcPr>
            <w:tcW w:w="1231" w:type="dxa"/>
            <w:vAlign w:val="center"/>
            <w:hideMark/>
          </w:tcPr>
          <w:p w14:paraId="7D4CF0AD" w14:textId="77777777" w:rsidR="00EA63F6" w:rsidRPr="00EA63F6" w:rsidRDefault="00EA63F6" w:rsidP="00EA63F6">
            <w:pPr>
              <w:pStyle w:val="Body"/>
              <w:rPr>
                <w:rFonts w:ascii="Arial" w:hAnsi="Arial" w:cs="Arial"/>
              </w:rPr>
            </w:pPr>
            <w:r w:rsidRPr="00EA63F6">
              <w:rPr>
                <w:rFonts w:ascii="Arial" w:hAnsi="Arial" w:cs="Arial"/>
              </w:rPr>
              <w:t>1 year</w:t>
            </w:r>
          </w:p>
        </w:tc>
      </w:tr>
      <w:tr w:rsidR="00EA63F6" w:rsidRPr="00EA63F6" w14:paraId="62E0D2D1" w14:textId="77777777" w:rsidTr="000125BE">
        <w:trPr>
          <w:tblCellSpacing w:w="15" w:type="dxa"/>
        </w:trPr>
        <w:tc>
          <w:tcPr>
            <w:tcW w:w="2790" w:type="dxa"/>
            <w:tcBorders>
              <w:bottom w:val="single" w:sz="4" w:space="0" w:color="auto"/>
            </w:tcBorders>
            <w:vAlign w:val="center"/>
            <w:hideMark/>
          </w:tcPr>
          <w:p w14:paraId="7ECE03E5" w14:textId="77777777" w:rsidR="00EA63F6" w:rsidRPr="00EA63F6" w:rsidRDefault="00EA63F6" w:rsidP="00EA63F6">
            <w:pPr>
              <w:pStyle w:val="Body"/>
              <w:rPr>
                <w:rFonts w:ascii="Arial" w:hAnsi="Arial" w:cs="Arial"/>
              </w:rPr>
            </w:pPr>
            <w:r w:rsidRPr="00EA63F6">
              <w:rPr>
                <w:rFonts w:ascii="Arial" w:hAnsi="Arial" w:cs="Arial"/>
              </w:rPr>
              <w:t>Lesser tubercle</w:t>
            </w:r>
          </w:p>
        </w:tc>
        <w:tc>
          <w:tcPr>
            <w:tcW w:w="1955" w:type="dxa"/>
            <w:tcBorders>
              <w:bottom w:val="single" w:sz="4" w:space="0" w:color="auto"/>
            </w:tcBorders>
            <w:vAlign w:val="center"/>
            <w:hideMark/>
          </w:tcPr>
          <w:p w14:paraId="407870DC" w14:textId="77777777" w:rsidR="00EA63F6" w:rsidRPr="00EA63F6" w:rsidRDefault="00EA63F6" w:rsidP="00EA63F6">
            <w:pPr>
              <w:pStyle w:val="Body"/>
              <w:rPr>
                <w:rFonts w:ascii="Arial" w:hAnsi="Arial" w:cs="Arial"/>
              </w:rPr>
            </w:pPr>
            <w:r w:rsidRPr="00EA63F6">
              <w:rPr>
                <w:rFonts w:ascii="Arial" w:hAnsi="Arial" w:cs="Arial"/>
              </w:rPr>
              <w:t>3 years</w:t>
            </w:r>
          </w:p>
        </w:tc>
        <w:tc>
          <w:tcPr>
            <w:tcW w:w="1231" w:type="dxa"/>
            <w:tcBorders>
              <w:bottom w:val="single" w:sz="4" w:space="0" w:color="auto"/>
            </w:tcBorders>
            <w:vAlign w:val="center"/>
            <w:hideMark/>
          </w:tcPr>
          <w:p w14:paraId="678E8DBF" w14:textId="77777777" w:rsidR="00EA63F6" w:rsidRPr="00EA63F6" w:rsidRDefault="00EA63F6" w:rsidP="00EA63F6">
            <w:pPr>
              <w:pStyle w:val="Body"/>
              <w:rPr>
                <w:rFonts w:ascii="Arial" w:hAnsi="Arial" w:cs="Arial"/>
              </w:rPr>
            </w:pPr>
            <w:r w:rsidRPr="00EA63F6">
              <w:rPr>
                <w:rFonts w:ascii="Arial" w:hAnsi="Arial" w:cs="Arial"/>
              </w:rPr>
              <w:t>4 years</w:t>
            </w:r>
          </w:p>
        </w:tc>
      </w:tr>
    </w:tbl>
    <w:p w14:paraId="6604947C" w14:textId="77777777" w:rsidR="00EA63F6" w:rsidRPr="00EA63F6" w:rsidRDefault="00EA63F6" w:rsidP="00EA63F6">
      <w:pPr>
        <w:pStyle w:val="Body"/>
        <w:spacing w:after="0"/>
        <w:rPr>
          <w:rFonts w:ascii="Arial" w:hAnsi="Arial" w:cs="Arial"/>
        </w:rPr>
      </w:pPr>
    </w:p>
    <w:p w14:paraId="58C13CDA" w14:textId="77777777" w:rsidR="00EA63F6" w:rsidRPr="00EA63F6" w:rsidRDefault="00EA63F6" w:rsidP="00EA63F6">
      <w:pPr>
        <w:pStyle w:val="Body"/>
        <w:spacing w:after="0"/>
        <w:rPr>
          <w:rFonts w:ascii="Arial" w:hAnsi="Arial" w:cs="Arial"/>
        </w:rPr>
      </w:pPr>
      <w:r w:rsidRPr="00EA63F6">
        <w:rPr>
          <w:rFonts w:ascii="Arial" w:hAnsi="Arial" w:cs="Arial"/>
          <w:b/>
          <w:bCs/>
        </w:rPr>
        <w:t>Table 4:</w:t>
      </w:r>
      <w:r w:rsidRPr="00EA63F6">
        <w:rPr>
          <w:rFonts w:ascii="Arial" w:hAnsi="Arial" w:cs="Arial"/>
        </w:rPr>
        <w:t xml:space="preserve"> Comparison of Nigerian observations with published reference standards in males.</w:t>
      </w:r>
    </w:p>
    <w:tbl>
      <w:tblPr>
        <w:tblStyle w:val="TableGrid"/>
        <w:tblW w:w="949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892"/>
        <w:gridCol w:w="3211"/>
        <w:gridCol w:w="1701"/>
      </w:tblGrid>
      <w:tr w:rsidR="00EA63F6" w:rsidRPr="00EA63F6" w14:paraId="15C044F6" w14:textId="77777777" w:rsidTr="000125BE">
        <w:tc>
          <w:tcPr>
            <w:tcW w:w="2689" w:type="dxa"/>
            <w:tcBorders>
              <w:bottom w:val="single" w:sz="4" w:space="0" w:color="auto"/>
            </w:tcBorders>
          </w:tcPr>
          <w:p w14:paraId="08484EF1"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Ossification Centre</w:t>
            </w:r>
          </w:p>
        </w:tc>
        <w:tc>
          <w:tcPr>
            <w:tcW w:w="1892" w:type="dxa"/>
            <w:tcBorders>
              <w:bottom w:val="single" w:sz="4" w:space="0" w:color="auto"/>
            </w:tcBorders>
          </w:tcPr>
          <w:p w14:paraId="59091B90"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Nigerians</w:t>
            </w:r>
          </w:p>
          <w:p w14:paraId="4D733D00"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Present Study</w:t>
            </w:r>
          </w:p>
        </w:tc>
        <w:tc>
          <w:tcPr>
            <w:tcW w:w="3211" w:type="dxa"/>
            <w:tcBorders>
              <w:bottom w:val="single" w:sz="4" w:space="0" w:color="auto"/>
            </w:tcBorders>
          </w:tcPr>
          <w:p w14:paraId="58F81319"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Standard (McMinn, 1994)</w:t>
            </w:r>
          </w:p>
        </w:tc>
        <w:tc>
          <w:tcPr>
            <w:tcW w:w="1701" w:type="dxa"/>
            <w:tcBorders>
              <w:bottom w:val="single" w:sz="4" w:space="0" w:color="auto"/>
            </w:tcBorders>
          </w:tcPr>
          <w:p w14:paraId="400187B7"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Differences</w:t>
            </w:r>
          </w:p>
        </w:tc>
      </w:tr>
      <w:tr w:rsidR="00EA63F6" w:rsidRPr="00EA63F6" w14:paraId="29F2565C" w14:textId="77777777" w:rsidTr="000125BE">
        <w:tc>
          <w:tcPr>
            <w:tcW w:w="2689" w:type="dxa"/>
            <w:tcBorders>
              <w:top w:val="single" w:sz="4" w:space="0" w:color="auto"/>
              <w:bottom w:val="nil"/>
            </w:tcBorders>
          </w:tcPr>
          <w:p w14:paraId="0C223DC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Medial End of Clavicle</w:t>
            </w:r>
          </w:p>
        </w:tc>
        <w:tc>
          <w:tcPr>
            <w:tcW w:w="1892" w:type="dxa"/>
            <w:tcBorders>
              <w:top w:val="single" w:sz="4" w:space="0" w:color="auto"/>
              <w:bottom w:val="nil"/>
            </w:tcBorders>
          </w:tcPr>
          <w:p w14:paraId="18A9B04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3211" w:type="dxa"/>
            <w:tcBorders>
              <w:top w:val="single" w:sz="4" w:space="0" w:color="auto"/>
              <w:bottom w:val="nil"/>
            </w:tcBorders>
          </w:tcPr>
          <w:p w14:paraId="40DD30B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15</w:t>
            </w:r>
          </w:p>
        </w:tc>
        <w:tc>
          <w:tcPr>
            <w:tcW w:w="1701" w:type="dxa"/>
            <w:tcBorders>
              <w:top w:val="single" w:sz="4" w:space="0" w:color="auto"/>
              <w:bottom w:val="nil"/>
            </w:tcBorders>
          </w:tcPr>
          <w:p w14:paraId="00A3E0C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69B26986" w14:textId="77777777" w:rsidTr="000125BE">
        <w:tc>
          <w:tcPr>
            <w:tcW w:w="2689" w:type="dxa"/>
            <w:tcBorders>
              <w:top w:val="nil"/>
            </w:tcBorders>
          </w:tcPr>
          <w:p w14:paraId="50E7BFC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Coracoid Process</w:t>
            </w:r>
          </w:p>
        </w:tc>
        <w:tc>
          <w:tcPr>
            <w:tcW w:w="1892" w:type="dxa"/>
            <w:tcBorders>
              <w:top w:val="nil"/>
            </w:tcBorders>
          </w:tcPr>
          <w:p w14:paraId="65B4BE5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months</w:t>
            </w:r>
          </w:p>
        </w:tc>
        <w:tc>
          <w:tcPr>
            <w:tcW w:w="3211" w:type="dxa"/>
            <w:tcBorders>
              <w:top w:val="nil"/>
            </w:tcBorders>
          </w:tcPr>
          <w:p w14:paraId="61F6388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12-18 months</w:t>
            </w:r>
          </w:p>
        </w:tc>
        <w:tc>
          <w:tcPr>
            <w:tcW w:w="1701" w:type="dxa"/>
            <w:tcBorders>
              <w:top w:val="nil"/>
            </w:tcBorders>
          </w:tcPr>
          <w:p w14:paraId="3DE3DD6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10-16 months</w:t>
            </w:r>
          </w:p>
        </w:tc>
      </w:tr>
      <w:tr w:rsidR="00EA63F6" w:rsidRPr="00EA63F6" w14:paraId="29368618" w14:textId="77777777" w:rsidTr="000125BE">
        <w:tc>
          <w:tcPr>
            <w:tcW w:w="2689" w:type="dxa"/>
          </w:tcPr>
          <w:p w14:paraId="7C872C1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Acromion Process</w:t>
            </w:r>
          </w:p>
        </w:tc>
        <w:tc>
          <w:tcPr>
            <w:tcW w:w="1892" w:type="dxa"/>
          </w:tcPr>
          <w:p w14:paraId="68B37C9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3211" w:type="dxa"/>
          </w:tcPr>
          <w:p w14:paraId="48BEBD9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1701" w:type="dxa"/>
          </w:tcPr>
          <w:p w14:paraId="587C077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4EE3EA24" w14:textId="77777777" w:rsidTr="000125BE">
        <w:tc>
          <w:tcPr>
            <w:tcW w:w="2689" w:type="dxa"/>
          </w:tcPr>
          <w:p w14:paraId="2BC30CD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Inferior Angle of Scapula</w:t>
            </w:r>
          </w:p>
        </w:tc>
        <w:tc>
          <w:tcPr>
            <w:tcW w:w="1892" w:type="dxa"/>
          </w:tcPr>
          <w:p w14:paraId="74D0E1A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3211" w:type="dxa"/>
          </w:tcPr>
          <w:p w14:paraId="0C6CE6E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1701" w:type="dxa"/>
          </w:tcPr>
          <w:p w14:paraId="48E3313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2F7C71A6" w14:textId="77777777" w:rsidTr="000125BE">
        <w:tc>
          <w:tcPr>
            <w:tcW w:w="2689" w:type="dxa"/>
          </w:tcPr>
          <w:p w14:paraId="189A34C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Medial Border of Scapula</w:t>
            </w:r>
          </w:p>
        </w:tc>
        <w:tc>
          <w:tcPr>
            <w:tcW w:w="1892" w:type="dxa"/>
          </w:tcPr>
          <w:p w14:paraId="6EE79DF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13</w:t>
            </w:r>
          </w:p>
        </w:tc>
        <w:tc>
          <w:tcPr>
            <w:tcW w:w="3211" w:type="dxa"/>
          </w:tcPr>
          <w:p w14:paraId="46A5021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w:t>
            </w:r>
          </w:p>
        </w:tc>
        <w:tc>
          <w:tcPr>
            <w:tcW w:w="1701" w:type="dxa"/>
          </w:tcPr>
          <w:p w14:paraId="434E576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5F51EA8F" w14:textId="77777777" w:rsidTr="000125BE">
        <w:tc>
          <w:tcPr>
            <w:tcW w:w="2689" w:type="dxa"/>
          </w:tcPr>
          <w:p w14:paraId="5420B59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Glenoid Cavity</w:t>
            </w:r>
          </w:p>
        </w:tc>
        <w:tc>
          <w:tcPr>
            <w:tcW w:w="1892" w:type="dxa"/>
          </w:tcPr>
          <w:p w14:paraId="05E4066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c>
          <w:tcPr>
            <w:tcW w:w="3211" w:type="dxa"/>
          </w:tcPr>
          <w:p w14:paraId="17D56F8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10-11</w:t>
            </w:r>
          </w:p>
        </w:tc>
        <w:tc>
          <w:tcPr>
            <w:tcW w:w="1701" w:type="dxa"/>
          </w:tcPr>
          <w:p w14:paraId="7223B7D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w:t>
            </w:r>
          </w:p>
        </w:tc>
      </w:tr>
      <w:tr w:rsidR="00EA63F6" w:rsidRPr="00EA63F6" w14:paraId="1F6F59BD" w14:textId="77777777" w:rsidTr="000125BE">
        <w:tc>
          <w:tcPr>
            <w:tcW w:w="2689" w:type="dxa"/>
          </w:tcPr>
          <w:p w14:paraId="64A0563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Head of Humerus</w:t>
            </w:r>
          </w:p>
        </w:tc>
        <w:tc>
          <w:tcPr>
            <w:tcW w:w="1892" w:type="dxa"/>
          </w:tcPr>
          <w:p w14:paraId="7618C69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 months</w:t>
            </w:r>
          </w:p>
        </w:tc>
        <w:tc>
          <w:tcPr>
            <w:tcW w:w="3211" w:type="dxa"/>
          </w:tcPr>
          <w:p w14:paraId="2F87485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 months</w:t>
            </w:r>
          </w:p>
        </w:tc>
        <w:tc>
          <w:tcPr>
            <w:tcW w:w="1701" w:type="dxa"/>
          </w:tcPr>
          <w:p w14:paraId="73EE7E4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 months</w:t>
            </w:r>
          </w:p>
        </w:tc>
      </w:tr>
      <w:tr w:rsidR="00EA63F6" w:rsidRPr="00EA63F6" w14:paraId="423D521F" w14:textId="77777777" w:rsidTr="000125BE">
        <w:tc>
          <w:tcPr>
            <w:tcW w:w="2689" w:type="dxa"/>
          </w:tcPr>
          <w:p w14:paraId="0DD2698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Greater Tubercle</w:t>
            </w:r>
          </w:p>
        </w:tc>
        <w:tc>
          <w:tcPr>
            <w:tcW w:w="1892" w:type="dxa"/>
          </w:tcPr>
          <w:p w14:paraId="5C27068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c>
          <w:tcPr>
            <w:tcW w:w="3211" w:type="dxa"/>
          </w:tcPr>
          <w:p w14:paraId="60335D5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1701" w:type="dxa"/>
          </w:tcPr>
          <w:p w14:paraId="2D91823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w:t>
            </w:r>
          </w:p>
        </w:tc>
      </w:tr>
      <w:tr w:rsidR="00EA63F6" w:rsidRPr="00EA63F6" w14:paraId="488BF80B" w14:textId="77777777" w:rsidTr="000125BE">
        <w:tc>
          <w:tcPr>
            <w:tcW w:w="2689" w:type="dxa"/>
          </w:tcPr>
          <w:p w14:paraId="4584367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Lesser Tubercle</w:t>
            </w:r>
          </w:p>
        </w:tc>
        <w:tc>
          <w:tcPr>
            <w:tcW w:w="1892" w:type="dxa"/>
          </w:tcPr>
          <w:p w14:paraId="7C297C5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w:t>
            </w:r>
          </w:p>
        </w:tc>
        <w:tc>
          <w:tcPr>
            <w:tcW w:w="3211" w:type="dxa"/>
          </w:tcPr>
          <w:p w14:paraId="5E93258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w:t>
            </w:r>
          </w:p>
        </w:tc>
        <w:tc>
          <w:tcPr>
            <w:tcW w:w="1701" w:type="dxa"/>
          </w:tcPr>
          <w:p w14:paraId="4E12F69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w:t>
            </w:r>
          </w:p>
        </w:tc>
      </w:tr>
    </w:tbl>
    <w:p w14:paraId="3CB7A65F" w14:textId="77777777" w:rsidR="00EA63F6" w:rsidRPr="00EA63F6" w:rsidRDefault="00EA63F6" w:rsidP="00EA63F6">
      <w:pPr>
        <w:pStyle w:val="Body"/>
        <w:spacing w:after="0"/>
        <w:rPr>
          <w:rFonts w:ascii="Arial" w:hAnsi="Arial" w:cs="Arial"/>
        </w:rPr>
      </w:pPr>
    </w:p>
    <w:p w14:paraId="6C766553" w14:textId="77777777" w:rsidR="00EA63F6" w:rsidRPr="00EA63F6" w:rsidRDefault="00EA63F6" w:rsidP="00EA63F6">
      <w:pPr>
        <w:pStyle w:val="Body"/>
        <w:spacing w:after="0"/>
        <w:rPr>
          <w:rFonts w:ascii="Arial" w:hAnsi="Arial" w:cs="Arial"/>
        </w:rPr>
      </w:pPr>
      <w:r w:rsidRPr="00EA63F6">
        <w:rPr>
          <w:rFonts w:ascii="Arial" w:hAnsi="Arial" w:cs="Arial"/>
          <w:b/>
          <w:bCs/>
        </w:rPr>
        <w:t>Table 5:</w:t>
      </w:r>
      <w:r w:rsidRPr="00EA63F6">
        <w:rPr>
          <w:rFonts w:ascii="Arial" w:hAnsi="Arial" w:cs="Arial"/>
        </w:rPr>
        <w:t xml:space="preserve"> Comparison of Nigerian observations with published reference standard in females.</w:t>
      </w:r>
    </w:p>
    <w:tbl>
      <w:tblPr>
        <w:tblStyle w:val="TableGrid"/>
        <w:tblW w:w="90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714"/>
        <w:gridCol w:w="3105"/>
        <w:gridCol w:w="1559"/>
      </w:tblGrid>
      <w:tr w:rsidR="00EA63F6" w:rsidRPr="00EA63F6" w14:paraId="165C8E6A" w14:textId="77777777" w:rsidTr="000125BE">
        <w:tc>
          <w:tcPr>
            <w:tcW w:w="2694" w:type="dxa"/>
            <w:tcBorders>
              <w:bottom w:val="single" w:sz="4" w:space="0" w:color="auto"/>
            </w:tcBorders>
          </w:tcPr>
          <w:p w14:paraId="151A00B0"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Ossification Centre</w:t>
            </w:r>
          </w:p>
        </w:tc>
        <w:tc>
          <w:tcPr>
            <w:tcW w:w="1714" w:type="dxa"/>
            <w:tcBorders>
              <w:bottom w:val="single" w:sz="4" w:space="0" w:color="auto"/>
            </w:tcBorders>
          </w:tcPr>
          <w:p w14:paraId="21992A32"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Nigerians</w:t>
            </w:r>
          </w:p>
          <w:p w14:paraId="0BF473DE"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 xml:space="preserve">Present Study </w:t>
            </w:r>
          </w:p>
        </w:tc>
        <w:tc>
          <w:tcPr>
            <w:tcW w:w="3105" w:type="dxa"/>
            <w:tcBorders>
              <w:bottom w:val="single" w:sz="4" w:space="0" w:color="auto"/>
            </w:tcBorders>
          </w:tcPr>
          <w:p w14:paraId="3C0DCBDD"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Standard (McMinn, 1994)</w:t>
            </w:r>
          </w:p>
        </w:tc>
        <w:tc>
          <w:tcPr>
            <w:tcW w:w="1559" w:type="dxa"/>
            <w:tcBorders>
              <w:bottom w:val="single" w:sz="4" w:space="0" w:color="auto"/>
            </w:tcBorders>
          </w:tcPr>
          <w:p w14:paraId="7852AA4F" w14:textId="77777777" w:rsidR="00EA63F6" w:rsidRPr="00EA63F6" w:rsidRDefault="00EA63F6" w:rsidP="00EA63F6">
            <w:pPr>
              <w:pStyle w:val="Body"/>
              <w:spacing w:after="0"/>
              <w:rPr>
                <w:rFonts w:ascii="Arial" w:eastAsia="Times New Roman" w:hAnsi="Arial" w:cs="Arial"/>
                <w:b/>
                <w:bCs/>
              </w:rPr>
            </w:pPr>
            <w:r w:rsidRPr="00EA63F6">
              <w:rPr>
                <w:rFonts w:ascii="Arial" w:eastAsia="Times New Roman" w:hAnsi="Arial" w:cs="Arial"/>
                <w:b/>
                <w:bCs/>
              </w:rPr>
              <w:t>Differences</w:t>
            </w:r>
          </w:p>
        </w:tc>
      </w:tr>
      <w:tr w:rsidR="00EA63F6" w:rsidRPr="00EA63F6" w14:paraId="70A23B1B" w14:textId="77777777" w:rsidTr="000125BE">
        <w:tc>
          <w:tcPr>
            <w:tcW w:w="2694" w:type="dxa"/>
            <w:tcBorders>
              <w:top w:val="single" w:sz="4" w:space="0" w:color="auto"/>
              <w:bottom w:val="nil"/>
            </w:tcBorders>
          </w:tcPr>
          <w:p w14:paraId="77D039C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Medial End of Clavicle</w:t>
            </w:r>
          </w:p>
        </w:tc>
        <w:tc>
          <w:tcPr>
            <w:tcW w:w="1714" w:type="dxa"/>
            <w:tcBorders>
              <w:top w:val="single" w:sz="4" w:space="0" w:color="auto"/>
              <w:bottom w:val="nil"/>
            </w:tcBorders>
          </w:tcPr>
          <w:p w14:paraId="0A451C6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14yrs</w:t>
            </w:r>
          </w:p>
        </w:tc>
        <w:tc>
          <w:tcPr>
            <w:tcW w:w="3105" w:type="dxa"/>
            <w:tcBorders>
              <w:top w:val="single" w:sz="4" w:space="0" w:color="auto"/>
              <w:bottom w:val="nil"/>
            </w:tcBorders>
          </w:tcPr>
          <w:p w14:paraId="18603DC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15yrs</w:t>
            </w:r>
          </w:p>
        </w:tc>
        <w:tc>
          <w:tcPr>
            <w:tcW w:w="1559" w:type="dxa"/>
            <w:tcBorders>
              <w:top w:val="single" w:sz="4" w:space="0" w:color="auto"/>
              <w:bottom w:val="nil"/>
            </w:tcBorders>
          </w:tcPr>
          <w:p w14:paraId="3F2E5C9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1yr</w:t>
            </w:r>
          </w:p>
        </w:tc>
      </w:tr>
      <w:tr w:rsidR="00EA63F6" w:rsidRPr="00EA63F6" w14:paraId="21CFC00C" w14:textId="77777777" w:rsidTr="000125BE">
        <w:tc>
          <w:tcPr>
            <w:tcW w:w="2694" w:type="dxa"/>
            <w:tcBorders>
              <w:top w:val="nil"/>
            </w:tcBorders>
          </w:tcPr>
          <w:p w14:paraId="1AC2747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Coracoid Process</w:t>
            </w:r>
          </w:p>
        </w:tc>
        <w:tc>
          <w:tcPr>
            <w:tcW w:w="1714" w:type="dxa"/>
            <w:tcBorders>
              <w:top w:val="nil"/>
            </w:tcBorders>
          </w:tcPr>
          <w:p w14:paraId="30FBDF0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 month</w:t>
            </w:r>
          </w:p>
        </w:tc>
        <w:tc>
          <w:tcPr>
            <w:tcW w:w="3105" w:type="dxa"/>
            <w:tcBorders>
              <w:top w:val="nil"/>
            </w:tcBorders>
          </w:tcPr>
          <w:p w14:paraId="49A75CB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12-18 months</w:t>
            </w:r>
          </w:p>
        </w:tc>
        <w:tc>
          <w:tcPr>
            <w:tcW w:w="1559" w:type="dxa"/>
            <w:tcBorders>
              <w:top w:val="nil"/>
            </w:tcBorders>
          </w:tcPr>
          <w:p w14:paraId="349DB905"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11-17 months</w:t>
            </w:r>
          </w:p>
        </w:tc>
      </w:tr>
      <w:tr w:rsidR="00EA63F6" w:rsidRPr="00EA63F6" w14:paraId="3ECCAFC8" w14:textId="77777777" w:rsidTr="000125BE">
        <w:tc>
          <w:tcPr>
            <w:tcW w:w="2694" w:type="dxa"/>
          </w:tcPr>
          <w:p w14:paraId="3A074DE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Acromion Process</w:t>
            </w:r>
          </w:p>
        </w:tc>
        <w:tc>
          <w:tcPr>
            <w:tcW w:w="1714" w:type="dxa"/>
          </w:tcPr>
          <w:p w14:paraId="45452E1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12yrs</w:t>
            </w:r>
          </w:p>
        </w:tc>
        <w:tc>
          <w:tcPr>
            <w:tcW w:w="3105" w:type="dxa"/>
          </w:tcPr>
          <w:p w14:paraId="0A066D5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14yrs</w:t>
            </w:r>
          </w:p>
        </w:tc>
        <w:tc>
          <w:tcPr>
            <w:tcW w:w="1559" w:type="dxa"/>
          </w:tcPr>
          <w:p w14:paraId="339D90E7"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2yrs</w:t>
            </w:r>
          </w:p>
        </w:tc>
      </w:tr>
      <w:tr w:rsidR="00EA63F6" w:rsidRPr="00EA63F6" w14:paraId="6BABB98B" w14:textId="77777777" w:rsidTr="000125BE">
        <w:tc>
          <w:tcPr>
            <w:tcW w:w="2694" w:type="dxa"/>
          </w:tcPr>
          <w:p w14:paraId="4D80588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Inferior Angle of Scapula</w:t>
            </w:r>
          </w:p>
        </w:tc>
        <w:tc>
          <w:tcPr>
            <w:tcW w:w="1714" w:type="dxa"/>
          </w:tcPr>
          <w:p w14:paraId="4FD1412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10yrs</w:t>
            </w:r>
          </w:p>
        </w:tc>
        <w:tc>
          <w:tcPr>
            <w:tcW w:w="3105" w:type="dxa"/>
          </w:tcPr>
          <w:p w14:paraId="29BE718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14yrs</w:t>
            </w:r>
          </w:p>
        </w:tc>
        <w:tc>
          <w:tcPr>
            <w:tcW w:w="1559" w:type="dxa"/>
          </w:tcPr>
          <w:p w14:paraId="0A153C01"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4yrs</w:t>
            </w:r>
          </w:p>
        </w:tc>
      </w:tr>
      <w:tr w:rsidR="00EA63F6" w:rsidRPr="00EA63F6" w14:paraId="4C8B6DA5" w14:textId="77777777" w:rsidTr="000125BE">
        <w:tc>
          <w:tcPr>
            <w:tcW w:w="2694" w:type="dxa"/>
          </w:tcPr>
          <w:p w14:paraId="35F9F8C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Medial Border of Scapula</w:t>
            </w:r>
          </w:p>
        </w:tc>
        <w:tc>
          <w:tcPr>
            <w:tcW w:w="1714" w:type="dxa"/>
          </w:tcPr>
          <w:p w14:paraId="51C9470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10yrs</w:t>
            </w:r>
          </w:p>
        </w:tc>
        <w:tc>
          <w:tcPr>
            <w:tcW w:w="3105" w:type="dxa"/>
          </w:tcPr>
          <w:p w14:paraId="31B5B60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14yrs</w:t>
            </w:r>
          </w:p>
        </w:tc>
        <w:tc>
          <w:tcPr>
            <w:tcW w:w="1559" w:type="dxa"/>
          </w:tcPr>
          <w:p w14:paraId="2313E02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4yrs</w:t>
            </w:r>
          </w:p>
        </w:tc>
      </w:tr>
      <w:tr w:rsidR="00EA63F6" w:rsidRPr="00EA63F6" w14:paraId="7B3ABB6E" w14:textId="77777777" w:rsidTr="000125BE">
        <w:tc>
          <w:tcPr>
            <w:tcW w:w="2694" w:type="dxa"/>
          </w:tcPr>
          <w:p w14:paraId="1BFA2A3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Glenoid Cavity</w:t>
            </w:r>
          </w:p>
        </w:tc>
        <w:tc>
          <w:tcPr>
            <w:tcW w:w="1714" w:type="dxa"/>
          </w:tcPr>
          <w:p w14:paraId="67330AB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10yrs</w:t>
            </w:r>
          </w:p>
        </w:tc>
        <w:tc>
          <w:tcPr>
            <w:tcW w:w="3105" w:type="dxa"/>
          </w:tcPr>
          <w:p w14:paraId="2C2F4DA0"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10-11yrs</w:t>
            </w:r>
          </w:p>
        </w:tc>
        <w:tc>
          <w:tcPr>
            <w:tcW w:w="1559" w:type="dxa"/>
          </w:tcPr>
          <w:p w14:paraId="2DC1B49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0-1yr</w:t>
            </w:r>
          </w:p>
        </w:tc>
      </w:tr>
      <w:tr w:rsidR="00EA63F6" w:rsidRPr="00EA63F6" w14:paraId="294989E9" w14:textId="77777777" w:rsidTr="000125BE">
        <w:tc>
          <w:tcPr>
            <w:tcW w:w="2694" w:type="dxa"/>
          </w:tcPr>
          <w:p w14:paraId="17356758"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Head of Humerus</w:t>
            </w:r>
          </w:p>
        </w:tc>
        <w:tc>
          <w:tcPr>
            <w:tcW w:w="1714" w:type="dxa"/>
          </w:tcPr>
          <w:p w14:paraId="76CA6286"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 month</w:t>
            </w:r>
          </w:p>
        </w:tc>
        <w:tc>
          <w:tcPr>
            <w:tcW w:w="3105" w:type="dxa"/>
          </w:tcPr>
          <w:p w14:paraId="4D329A6D"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12 months</w:t>
            </w:r>
          </w:p>
        </w:tc>
        <w:tc>
          <w:tcPr>
            <w:tcW w:w="1559" w:type="dxa"/>
          </w:tcPr>
          <w:p w14:paraId="295B293B"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11 months</w:t>
            </w:r>
          </w:p>
        </w:tc>
      </w:tr>
      <w:tr w:rsidR="00EA63F6" w:rsidRPr="00EA63F6" w14:paraId="60853C1E" w14:textId="77777777" w:rsidTr="000125BE">
        <w:tc>
          <w:tcPr>
            <w:tcW w:w="2694" w:type="dxa"/>
          </w:tcPr>
          <w:p w14:paraId="053C8272"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Greater Tubercle</w:t>
            </w:r>
          </w:p>
        </w:tc>
        <w:tc>
          <w:tcPr>
            <w:tcW w:w="1714" w:type="dxa"/>
          </w:tcPr>
          <w:p w14:paraId="7D64F7DF"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1yr</w:t>
            </w:r>
          </w:p>
        </w:tc>
        <w:tc>
          <w:tcPr>
            <w:tcW w:w="3105" w:type="dxa"/>
          </w:tcPr>
          <w:p w14:paraId="25862983"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3yrs</w:t>
            </w:r>
          </w:p>
        </w:tc>
        <w:tc>
          <w:tcPr>
            <w:tcW w:w="1559" w:type="dxa"/>
          </w:tcPr>
          <w:p w14:paraId="26F3580A"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2yrs</w:t>
            </w:r>
          </w:p>
        </w:tc>
      </w:tr>
      <w:tr w:rsidR="00EA63F6" w:rsidRPr="00EA63F6" w14:paraId="2005A190" w14:textId="77777777" w:rsidTr="000125BE">
        <w:tc>
          <w:tcPr>
            <w:tcW w:w="2694" w:type="dxa"/>
          </w:tcPr>
          <w:p w14:paraId="7260257C"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Lesser Tubercle</w:t>
            </w:r>
          </w:p>
        </w:tc>
        <w:tc>
          <w:tcPr>
            <w:tcW w:w="1714" w:type="dxa"/>
          </w:tcPr>
          <w:p w14:paraId="6D8AF709"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4yrs</w:t>
            </w:r>
          </w:p>
        </w:tc>
        <w:tc>
          <w:tcPr>
            <w:tcW w:w="3105" w:type="dxa"/>
          </w:tcPr>
          <w:p w14:paraId="0734112E"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5yrs</w:t>
            </w:r>
          </w:p>
        </w:tc>
        <w:tc>
          <w:tcPr>
            <w:tcW w:w="1559" w:type="dxa"/>
          </w:tcPr>
          <w:p w14:paraId="7383BD64" w14:textId="77777777" w:rsidR="00EA63F6" w:rsidRPr="00EA63F6" w:rsidRDefault="00EA63F6" w:rsidP="00EA63F6">
            <w:pPr>
              <w:pStyle w:val="Body"/>
              <w:spacing w:after="0"/>
              <w:rPr>
                <w:rFonts w:ascii="Arial" w:eastAsia="Times New Roman" w:hAnsi="Arial" w:cs="Arial"/>
              </w:rPr>
            </w:pPr>
            <w:r w:rsidRPr="00EA63F6">
              <w:rPr>
                <w:rFonts w:ascii="Arial" w:eastAsia="Times New Roman" w:hAnsi="Arial" w:cs="Arial"/>
              </w:rPr>
              <w:t>1yr</w:t>
            </w:r>
          </w:p>
        </w:tc>
      </w:tr>
    </w:tbl>
    <w:p w14:paraId="1313CB16" w14:textId="77777777" w:rsidR="00EA63F6" w:rsidRPr="00EA63F6" w:rsidRDefault="00EA63F6" w:rsidP="00EA63F6">
      <w:pPr>
        <w:pStyle w:val="Body"/>
        <w:spacing w:after="0"/>
        <w:rPr>
          <w:rFonts w:ascii="Arial" w:hAnsi="Arial" w:cs="Arial"/>
        </w:rPr>
      </w:pPr>
    </w:p>
    <w:p w14:paraId="7962C030" w14:textId="77777777" w:rsidR="00EA63F6" w:rsidRPr="00EA63F6" w:rsidRDefault="00EA63F6" w:rsidP="00EA63F6">
      <w:pPr>
        <w:pStyle w:val="Body"/>
        <w:spacing w:after="0"/>
        <w:rPr>
          <w:rFonts w:ascii="Arial" w:hAnsi="Arial" w:cs="Arial"/>
        </w:rPr>
      </w:pPr>
      <w:r>
        <w:rPr>
          <w:rFonts w:ascii="Arial" w:hAnsi="Arial" w:cs="Arial"/>
        </w:rPr>
        <w:t xml:space="preserve">The present study demonstrated a sequential pattern </w:t>
      </w:r>
      <w:r>
        <w:rPr>
          <w:rFonts w:ascii="Arial" w:hAnsi="Arial" w:cs="Arial"/>
          <w:highlight w:val="yellow"/>
        </w:rPr>
        <w:t>in the</w:t>
      </w:r>
      <w:r>
        <w:rPr>
          <w:rFonts w:ascii="Arial" w:hAnsi="Arial" w:cs="Arial"/>
        </w:rPr>
        <w:t xml:space="preserve"> appearance of ossification centres in the upper arm and shoulder region of Nigerian children, with substantial variation in the timing of appearance among the individual centres. In both males and females, the head of the humerus and coracoid process were among the earliest centres identified, being demonstrable during infancy, whereas the greater and lesser tubercles appeared during early childhood and the glenoid cavity, inferior angle of the scapula, acromion process, medial border of the scapula, and medial end of the clavicle appeared later. In males, the reported ages of appearance were approximately 2 months for the head of the humerus and </w:t>
      </w:r>
      <w:r>
        <w:rPr>
          <w:rFonts w:ascii="Arial" w:hAnsi="Arial" w:cs="Arial"/>
        </w:rPr>
        <w:lastRenderedPageBreak/>
        <w:t xml:space="preserve">coracoid process, 2 years for the greater tubercle, 3 years for the lesser tubercle, 12 years for the glenoid cavity, 13 years for the inferior angle, acromion </w:t>
      </w:r>
      <w:r>
        <w:rPr>
          <w:rFonts w:ascii="Arial" w:hAnsi="Arial" w:cs="Arial"/>
          <w:highlight w:val="yellow"/>
        </w:rPr>
        <w:t>process,</w:t>
      </w:r>
      <w:r>
        <w:rPr>
          <w:rFonts w:ascii="Arial" w:hAnsi="Arial" w:cs="Arial"/>
        </w:rPr>
        <w:t xml:space="preserve"> and medial border, and 14 years for the medial end of the clavicle. In females, the corresponding ages were approximately 1 month for the head of the humerus and coracoid process, 1 year for the greater tubercle, 4 years for the lesser tubercle, 10 years for the glenoid cavity, inferior </w:t>
      </w:r>
      <w:r>
        <w:rPr>
          <w:rFonts w:ascii="Arial" w:hAnsi="Arial" w:cs="Arial"/>
          <w:highlight w:val="yellow"/>
        </w:rPr>
        <w:t>angle,</w:t>
      </w:r>
      <w:r>
        <w:rPr>
          <w:rFonts w:ascii="Arial" w:hAnsi="Arial" w:cs="Arial"/>
        </w:rPr>
        <w:t xml:space="preserve"> and medial border, 12 years for the acromion process, and 14 years for the medial end of the clavicle. The early appearance of the proximal humeral ossification centre is consistent with the findings of Kim (1998), who documented progressive development of the proximal humeral epiphyseal ossification centre during the first two years of life, with developmental changes identifiable during the first months after birth. Similarly, magnetic resonance imaging findings reported by Kwong et al. (2014) demonstrated progressive development of the proximal humerus from infancy through adolescence. These findings support the present observation that the humeral head represents an early and developmentally useful ossification centre in the shoulder region. However, because the youngest age category in the present study encompasses 0–5 months, the precise month of appearance should be interpreted in relation to the individual chronological ages from which the reported values were derived rather than as evidence that all Nigerian children develop the centre at exactly one or two months.</w:t>
      </w:r>
    </w:p>
    <w:p w14:paraId="5C73F04A" w14:textId="77777777" w:rsidR="00EA63F6" w:rsidRPr="00EA63F6" w:rsidRDefault="00EA63F6" w:rsidP="00EA63F6">
      <w:pPr>
        <w:pStyle w:val="Body"/>
        <w:spacing w:after="0"/>
        <w:rPr>
          <w:rFonts w:ascii="Arial" w:hAnsi="Arial" w:cs="Arial"/>
        </w:rPr>
      </w:pPr>
      <w:r w:rsidRPr="00EA63F6">
        <w:rPr>
          <w:rFonts w:ascii="Arial" w:hAnsi="Arial" w:cs="Arial"/>
        </w:rPr>
        <w:t>The findings further demonstrate that the different ossification centres do not appear simultaneously but follow distinct developmental patterns. The greater tubercle, for example, was present in 8 of 11 male radiographs at 2 years, while the lesser tubercle was present in only 1 of 5 male radiographs at 3 years. In females, the greater tubercle was already present in 4 of 6 radiographs in the 6–11-month group and in 2 of 5 radiographs at 1 year, while the lesser tubercle was not consistently identified until later childhood. These observations indicate that ossification occurs over a developmental interval rather than necessarily at one fixed chronological age in every child. This pattern is compatible with the detailed magnetic resonance imaging study by Kwong et al. (2014), which demonstrated progressive development of several proximal humeral ossification centres during childhood and adolescence. The development of the glenoid and scapular components also occurs progressively. Kothary et al. (2014), in their assessment of normal glenoid and glenoid-coracoid development in children, demonstrated age-related changes in the morphology and development of these structures, reinforcing the usefulness of the shoulder as a region containing multiple skeletal maturity indicators. The later appearance of the medial end of the clavicle in the present study, at approximately 14 years in both sexes, is also consistent with the general developmental pattern whereby clavicular maturation extends into later childhood and adolescence. The sequence observed in the present study therefore demonstrates that the shoulder region provides skeletal markers across a broad chronological period, beginning in infancy with the proximal humerus and coracoid process and extending into adolescence with the later-developing scapular and clavicular centres.</w:t>
      </w:r>
    </w:p>
    <w:p w14:paraId="66D634A7" w14:textId="77777777" w:rsidR="00EA63F6" w:rsidRPr="00EA63F6" w:rsidRDefault="00EA63F6" w:rsidP="00EA63F6">
      <w:pPr>
        <w:pStyle w:val="Body"/>
        <w:spacing w:after="0"/>
        <w:rPr>
          <w:rFonts w:ascii="Arial" w:hAnsi="Arial" w:cs="Arial"/>
        </w:rPr>
      </w:pPr>
      <w:r>
        <w:rPr>
          <w:rFonts w:ascii="Arial" w:hAnsi="Arial" w:cs="Arial"/>
        </w:rPr>
        <w:t xml:space="preserve">A notable finding was the difference in the observed timing of several ossification centres between males and females. Females </w:t>
      </w:r>
      <w:r>
        <w:rPr>
          <w:rFonts w:ascii="Arial" w:hAnsi="Arial" w:cs="Arial"/>
          <w:highlight w:val="yellow"/>
        </w:rPr>
        <w:t>showed</w:t>
      </w:r>
      <w:r>
        <w:rPr>
          <w:rFonts w:ascii="Arial" w:hAnsi="Arial" w:cs="Arial"/>
        </w:rPr>
        <w:t xml:space="preserve"> earlier </w:t>
      </w:r>
      <w:r>
        <w:rPr>
          <w:rFonts w:ascii="Arial" w:hAnsi="Arial" w:cs="Arial"/>
          <w:highlight w:val="yellow"/>
        </w:rPr>
        <w:t>observed</w:t>
      </w:r>
      <w:r>
        <w:rPr>
          <w:rFonts w:ascii="Arial" w:hAnsi="Arial" w:cs="Arial"/>
        </w:rPr>
        <w:t xml:space="preserve"> appearance of the coracoid process and humeral head, greater tubercle, glenoid cavity, inferior angle, medial </w:t>
      </w:r>
      <w:r>
        <w:rPr>
          <w:rFonts w:ascii="Arial" w:hAnsi="Arial" w:cs="Arial"/>
          <w:highlight w:val="yellow"/>
        </w:rPr>
        <w:t>border,</w:t>
      </w:r>
      <w:r>
        <w:rPr>
          <w:rFonts w:ascii="Arial" w:hAnsi="Arial" w:cs="Arial"/>
        </w:rPr>
        <w:t xml:space="preserve"> and acromion </w:t>
      </w:r>
      <w:r>
        <w:rPr>
          <w:rFonts w:ascii="Arial" w:hAnsi="Arial" w:cs="Arial"/>
          <w:highlight w:val="yellow"/>
        </w:rPr>
        <w:t>process than males,</w:t>
      </w:r>
      <w:r>
        <w:rPr>
          <w:rFonts w:ascii="Arial" w:hAnsi="Arial" w:cs="Arial"/>
        </w:rPr>
        <w:t xml:space="preserve"> whereas the medial end of the clavicle appeared at approximately the same age in both sexes. The lesser tubercle represented an exception, with an observed age of approximately 4 years in females compared with 3 years in males. The general tendency </w:t>
      </w:r>
      <w:r>
        <w:rPr>
          <w:rFonts w:ascii="Arial" w:hAnsi="Arial" w:cs="Arial"/>
          <w:highlight w:val="yellow"/>
        </w:rPr>
        <w:t>towards</w:t>
      </w:r>
      <w:r>
        <w:rPr>
          <w:rFonts w:ascii="Arial" w:hAnsi="Arial" w:cs="Arial"/>
        </w:rPr>
        <w:t xml:space="preserve"> earlier skeletal maturation among females is consistent with previous research. MacKay (1952), in a study of East African children, demonstrated sex-related differences in skeletal maturation and reported more rapid skeletal maturation among girls. Cole et al. (2015), using longitudinal data from the Birth to Twenty cohort in South Africa, also demonstrated that girls reached skeletal maturity earlier than boys. In addition, Lee et al. (2014), in a radiographic study of 485 children aged 8–18 years, found sex-related differences in the development of the immature acromioclavicular joint and reported earlier ossification-related changes in females for several shoulder structures. The female advancement observed in several centres in the present Nigerian sample is therefore consistent with the broader evidence that skeletal maturation generally occurs earlier in females. Nevertheless, the present results do not demonstrate a uniform sex difference across all ossification centres. The later observed appearance of the lesser tubercle in females illustrates the importance of considering each anatomical centre separately. Moreover, the relatively small number of radiographs in several age groups means that apparent differences between males and females should be interpreted as descriptive findings unless they are supported by appropriate statistical testing of individual-level data.</w:t>
      </w:r>
    </w:p>
    <w:p w14:paraId="42AEC87A" w14:textId="77777777" w:rsidR="00EA63F6" w:rsidRPr="00EA63F6" w:rsidRDefault="00EA63F6" w:rsidP="00EA63F6">
      <w:pPr>
        <w:pStyle w:val="Body"/>
        <w:spacing w:after="0"/>
        <w:rPr>
          <w:rFonts w:ascii="Arial" w:hAnsi="Arial" w:cs="Arial"/>
        </w:rPr>
      </w:pPr>
      <w:r>
        <w:rPr>
          <w:rFonts w:ascii="Arial" w:hAnsi="Arial" w:cs="Arial"/>
        </w:rPr>
        <w:t xml:space="preserve">Comparison of the present findings with the reference standards used in Tables 4 and 5 demonstrated considerable differences in the observed timing of ossification. In males, the Nigerian observations were earlier than the reference values for the medial end of the clavicle, coracoid process, acromion process, inferior angle, medial border, head of </w:t>
      </w:r>
      <w:r>
        <w:rPr>
          <w:rFonts w:ascii="Arial" w:hAnsi="Arial" w:cs="Arial"/>
          <w:highlight w:val="yellow"/>
        </w:rPr>
        <w:t xml:space="preserve">the </w:t>
      </w:r>
      <w:r>
        <w:rPr>
          <w:rFonts w:ascii="Arial" w:hAnsi="Arial" w:cs="Arial"/>
        </w:rPr>
        <w:t xml:space="preserve">humerus, greater tubercle and lesser tubercle, while the glenoid cavity was observed approximately 1–2 years later than the reference range. In females, the Nigerian observations were earlier for the medial end of the clavicle, coracoid process, acromion process, inferior angle, medial border, head of </w:t>
      </w:r>
      <w:r>
        <w:rPr>
          <w:rFonts w:ascii="Arial" w:hAnsi="Arial" w:cs="Arial"/>
          <w:highlight w:val="yellow"/>
        </w:rPr>
        <w:t xml:space="preserve">the </w:t>
      </w:r>
      <w:r>
        <w:rPr>
          <w:rFonts w:ascii="Arial" w:hAnsi="Arial" w:cs="Arial"/>
        </w:rPr>
        <w:t xml:space="preserve">humerus, greater tubercle and lesser tubercle, whereas the glenoid cavity was within or slightly earlier than the reference range. The largest differences were observed for the early-developing centres: the coracoid process was observed approximately 10–16 months earlier than the male reference range and 11–17 months earlier than the female reference range, while the head of the humerus was observed approximately 10 months earlier in males and 11 months earlier in females than the reference value of 12 months. Among the later-developing structures, the inferior angle and medial border showed particularly large differences in females, being observed approximately four years earlier than the reference age used in the study. These findings are consistent with previous evidence that skeletal-age standards derived from one population may not correspond precisely to developmental patterns in another population. Loder et al. (1993) demonstrated differences in the applicability of the </w:t>
      </w:r>
      <w:r>
        <w:rPr>
          <w:rFonts w:ascii="Arial" w:hAnsi="Arial" w:cs="Arial"/>
        </w:rPr>
        <w:lastRenderedPageBreak/>
        <w:t>Greulich and Pyle standards among contemporary Black and White American children, while Mora et al. (2001) reported differences in skeletal maturation between children of African and European descent. Ontell et al. (1996) likewise reported variation in bone age among children from different ethnic backgrounds. More recently, Alshamrani et al. (2019), in a systematic review and meta-analysis of studies evaluating the applicability of the Greulich and Pyle atlas across populations, demonstrated that the agreement between skeletal age and chronological age varies among populations. These studies support the interpretation that reference standards should be evaluated against the population in which they are intended to be applied rather than assumed to be universally applicable.</w:t>
      </w:r>
    </w:p>
    <w:p w14:paraId="464DDA0B" w14:textId="77777777" w:rsidR="00EA63F6" w:rsidRPr="00EA63F6" w:rsidRDefault="00EA63F6" w:rsidP="00EA63F6">
      <w:pPr>
        <w:pStyle w:val="Body"/>
        <w:spacing w:after="0"/>
        <w:rPr>
          <w:rFonts w:ascii="Arial" w:hAnsi="Arial" w:cs="Arial"/>
        </w:rPr>
      </w:pPr>
      <w:r>
        <w:rPr>
          <w:rFonts w:ascii="Arial" w:hAnsi="Arial" w:cs="Arial"/>
        </w:rPr>
        <w:t xml:space="preserve">The differences observed in the present Nigerian sample </w:t>
      </w:r>
      <w:r>
        <w:rPr>
          <w:rFonts w:ascii="Arial" w:hAnsi="Arial" w:cs="Arial"/>
          <w:highlight w:val="yellow"/>
        </w:rPr>
        <w:t>should not,</w:t>
      </w:r>
      <w:r>
        <w:rPr>
          <w:rFonts w:ascii="Arial" w:hAnsi="Arial" w:cs="Arial"/>
        </w:rPr>
        <w:t xml:space="preserve"> however, be interpreted as evidence that ethnicity alone determines the rate of skeletal maturation. Skeletal development is a multifactorial process influenced by sex, growth, nutritional status, socioeconomic circumstances, health, body composition, pubertal </w:t>
      </w:r>
      <w:r>
        <w:rPr>
          <w:rFonts w:ascii="Arial" w:hAnsi="Arial" w:cs="Arial"/>
          <w:highlight w:val="yellow"/>
        </w:rPr>
        <w:t>development,</w:t>
      </w:r>
      <w:r>
        <w:rPr>
          <w:rFonts w:ascii="Arial" w:hAnsi="Arial" w:cs="Arial"/>
        </w:rPr>
        <w:t xml:space="preserve"> and potentially genetic ancestry. Hawley et al. (2012), for example, demonstrated that relative skeletal maturity among Black South African children was associated with growth and developmental factors, illustrating that population differences cannot simply be reduced to ethnic classification. Grgic et al. (2020), using data from the Generation R Study, also demonstrated differences in skeletal maturation in relation to ethnic and genetic background, but their findings illustrate the importance of considering other biological and developmental variables when interpreting such differences. The Nigerian results should therefore be understood as demonstrating differences between the observed developmental pattern in the study sample and the adopted reference values rather than establishing a universal Nigerian maturation pattern. This interpretation is particularly important because some age groups in the present study contained very few radiographs, and some female age groups had no available radiograph. The absence of a female radiograph at 9, 13 and 15 years, for example, should not be interpreted as absence of ossification. Similarly, the presence of an ossification centre in only part of an age group demonstrates biological variation and should not be interpreted as a definitive population threshold. The findings nonetheless add useful population-specific information to the relatively limited literature on shoulder ossification in Nigerian children and complement earlier Nigerian research such as Udoaka et al. (2016), who investigated the applicability of the Greulich and Pyle atlas to Nigerian children using hand and wrist radiographs. The anatomical region differs between that study and the present investigation, but both contribute to the broader question of the applicability of established skeletal-age standards to Nigerian children.</w:t>
      </w:r>
    </w:p>
    <w:p w14:paraId="33B2BD26" w14:textId="77777777" w:rsidR="00EA63F6" w:rsidRPr="00EA63F6" w:rsidRDefault="00EA63F6" w:rsidP="00EA63F6">
      <w:pPr>
        <w:pStyle w:val="Body"/>
        <w:spacing w:after="0"/>
        <w:rPr>
          <w:rFonts w:ascii="Arial" w:hAnsi="Arial" w:cs="Arial"/>
        </w:rPr>
      </w:pPr>
      <w:r>
        <w:rPr>
          <w:rFonts w:ascii="Arial" w:hAnsi="Arial" w:cs="Arial"/>
        </w:rPr>
        <w:t xml:space="preserve">Overall, the findings demonstrate that the ossification centres of the upper arm and shoulder region provide developmental markers across infancy, childhood and adolescence, but their timing varies considerably according to the anatomical centre and sex. The early appearance of the humeral head and coracoid process, followed by the tubercular centres and subsequently the later-developing scapular and clavicular centres, indicates a broad developmental sequence that may be useful for assessing skeletal maturation. The earlier observed appearance of several centres in females </w:t>
      </w:r>
      <w:r>
        <w:rPr>
          <w:rFonts w:ascii="Arial" w:hAnsi="Arial" w:cs="Arial"/>
          <w:highlight w:val="yellow"/>
        </w:rPr>
        <w:t>is</w:t>
      </w:r>
      <w:r>
        <w:rPr>
          <w:rFonts w:ascii="Arial" w:hAnsi="Arial" w:cs="Arial"/>
        </w:rPr>
        <w:t xml:space="preserve"> generally</w:t>
      </w:r>
      <w:r>
        <w:rPr>
          <w:rFonts w:ascii="Arial" w:hAnsi="Arial" w:cs="Arial"/>
          <w:highlight w:val="yellow"/>
        </w:rPr>
        <w:t xml:space="preserve"> consistent</w:t>
      </w:r>
      <w:r>
        <w:rPr>
          <w:rFonts w:ascii="Arial" w:hAnsi="Arial" w:cs="Arial"/>
        </w:rPr>
        <w:t xml:space="preserve"> with established evidence of earlier skeletal maturation in girls, although the pattern was not uniform for every centre. The differences between the Nigerian observations and the reference standards further demonstrate that established standards should be applied cautiously when assessing children from populations different from those from which the standards were derived. Nevertheless, the present findings should be regarded as descriptive evidence from the study sample rather than as a definitive Nigerian skeletal-age standard.</w:t>
      </w:r>
    </w:p>
    <w:p w14:paraId="6B0F3CE2" w14:textId="77777777" w:rsidR="00EA63F6" w:rsidRDefault="00EA63F6" w:rsidP="00441B6F">
      <w:pPr>
        <w:pStyle w:val="Body"/>
        <w:spacing w:after="0"/>
        <w:rPr>
          <w:rFonts w:ascii="Arial" w:hAnsi="Arial" w:cs="Arial"/>
        </w:rPr>
      </w:pPr>
    </w:p>
    <w:p w14:paraId="429FA163"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00FF3367" w14:textId="77777777" w:rsidR="00790ADA" w:rsidRPr="00FB3A86" w:rsidRDefault="00790ADA" w:rsidP="00441B6F">
      <w:pPr>
        <w:pStyle w:val="ConcHead"/>
        <w:spacing w:after="0"/>
        <w:jc w:val="both"/>
        <w:rPr>
          <w:rFonts w:ascii="Arial" w:hAnsi="Arial" w:cs="Arial"/>
        </w:rPr>
      </w:pPr>
    </w:p>
    <w:p w14:paraId="0A806B40" w14:textId="77777777" w:rsidR="001A210F" w:rsidRDefault="001A210F" w:rsidP="001A210F">
      <w:pPr>
        <w:pStyle w:val="NormalWeb"/>
        <w:jc w:val="both"/>
      </w:pPr>
      <w:r>
        <w:t xml:space="preserve">The study demonstrated a sequential pattern in the appearance of shoulder-region ossification </w:t>
      </w:r>
      <w:proofErr w:type="spellStart"/>
      <w:r>
        <w:t>centres</w:t>
      </w:r>
      <w:proofErr w:type="spellEnd"/>
      <w:r>
        <w:t xml:space="preserve"> among Nigerian children. The head of the humerus and coracoid process were observed during infancy, followed by the greater and lesser tubercles in early childhood, while the glenoid cavity, inferior angle, acromion process, medial border of the scapula, and medial end of the clavicle appeared at later ages. Females generally showed earlier observed ossification of several </w:t>
      </w:r>
      <w:proofErr w:type="spellStart"/>
      <w:r>
        <w:t>centres</w:t>
      </w:r>
      <w:proofErr w:type="spellEnd"/>
      <w:r>
        <w:t xml:space="preserve"> than males, although this pattern was not uniform across all </w:t>
      </w:r>
      <w:proofErr w:type="spellStart"/>
      <w:r>
        <w:t>centres</w:t>
      </w:r>
      <w:proofErr w:type="spellEnd"/>
      <w:r>
        <w:t xml:space="preserve">, with the lesser tubercle appearing later in females in the study sample. The observed ages also differed from the reference standards used for comparison, with several </w:t>
      </w:r>
      <w:proofErr w:type="spellStart"/>
      <w:r>
        <w:t>centres</w:t>
      </w:r>
      <w:proofErr w:type="spellEnd"/>
      <w:r>
        <w:t xml:space="preserve"> appearing earlier and the male glenoid cavity appearing later than the stated reference range. These findings provide descriptive baseline information on shoulder-region skeletal maturation in the study sample. However, the small and uneven distribution of radiographs across some age groups requires cautious interpretation. Larger, more evenly distributed studies are needed before population-specific reference standards can be established.</w:t>
      </w:r>
    </w:p>
    <w:p w14:paraId="51A7162B" w14:textId="4E892C8C" w:rsidR="001A210F" w:rsidRPr="001A210F" w:rsidRDefault="001A210F" w:rsidP="001A210F">
      <w:pPr>
        <w:pStyle w:val="NormalWeb"/>
        <w:jc w:val="both"/>
        <w:rPr>
          <w:b/>
          <w:bCs/>
        </w:rPr>
      </w:pPr>
      <w:r w:rsidRPr="001A210F">
        <w:rPr>
          <w:b/>
          <w:bCs/>
        </w:rPr>
        <w:t xml:space="preserve">Limitations </w:t>
      </w:r>
    </w:p>
    <w:p w14:paraId="003DB903" w14:textId="77777777" w:rsidR="001A210F" w:rsidRDefault="001A210F" w:rsidP="00F235B9">
      <w:pPr>
        <w:pStyle w:val="NormalWeb"/>
        <w:jc w:val="both"/>
      </w:pPr>
      <w:r>
        <w:t xml:space="preserve">This study was based on 104 archived radiographs with an uneven age and sex distribution, and some age groups contained very few radiographs. Female radiographs were unavailable at 9, 13, and 15 years. </w:t>
      </w:r>
      <w:r>
        <w:lastRenderedPageBreak/>
        <w:t>Consequently, the earliest observed ages should be interpreted as descriptive observations from the study sample rather than definitive population thresholds. The findings therefore do not establish a Nigerian skeletal-age standard, and larger studies with more evenly distributed samples are required.</w:t>
      </w:r>
    </w:p>
    <w:p w14:paraId="3E9ABA64" w14:textId="77777777" w:rsidR="001A210F" w:rsidRDefault="001A210F" w:rsidP="001A210F">
      <w:pPr>
        <w:pStyle w:val="NormalWeb"/>
        <w:jc w:val="both"/>
      </w:pPr>
    </w:p>
    <w:p w14:paraId="5E2936FE" w14:textId="77777777" w:rsidR="00790ADA" w:rsidRPr="00FB3A86" w:rsidRDefault="00790ADA" w:rsidP="00441B6F">
      <w:pPr>
        <w:pStyle w:val="Body"/>
        <w:spacing w:after="0"/>
        <w:rPr>
          <w:rFonts w:ascii="Arial" w:hAnsi="Arial" w:cs="Arial"/>
        </w:rPr>
      </w:pPr>
    </w:p>
    <w:p w14:paraId="6E2FA8EE"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35709990" w14:textId="77777777" w:rsidR="008740E2" w:rsidRDefault="001A7240" w:rsidP="00441B6F">
      <w:pPr>
        <w:pStyle w:val="ReferHead"/>
        <w:spacing w:after="0"/>
        <w:jc w:val="both"/>
        <w:rPr>
          <w:rFonts w:ascii="Arial" w:hAnsi="Arial" w:cs="Arial"/>
          <w:b w:val="0"/>
          <w:bCs/>
          <w:caps w:val="0"/>
          <w:sz w:val="20"/>
        </w:rPr>
      </w:pPr>
      <w:r w:rsidRPr="001A7240">
        <w:rPr>
          <w:rFonts w:ascii="Arial" w:hAnsi="Arial" w:cs="Arial"/>
          <w:b w:val="0"/>
          <w:caps w:val="0"/>
          <w:sz w:val="20"/>
        </w:rPr>
        <w:t>The authors declare that there is no co</w:t>
      </w:r>
      <w:r w:rsidR="008740E2">
        <w:rPr>
          <w:rFonts w:ascii="Arial" w:hAnsi="Arial" w:cs="Arial"/>
          <w:b w:val="0"/>
          <w:caps w:val="0"/>
          <w:sz w:val="20"/>
        </w:rPr>
        <w:t xml:space="preserve">mpeting </w:t>
      </w:r>
      <w:r w:rsidRPr="001A7240">
        <w:rPr>
          <w:rFonts w:ascii="Arial" w:hAnsi="Arial" w:cs="Arial"/>
          <w:b w:val="0"/>
          <w:caps w:val="0"/>
          <w:sz w:val="20"/>
        </w:rPr>
        <w:t>interest associated with this study</w:t>
      </w:r>
      <w:r w:rsidRPr="001A7240">
        <w:rPr>
          <w:rFonts w:ascii="Arial" w:hAnsi="Arial" w:cs="Arial"/>
          <w:b w:val="0"/>
          <w:bCs/>
          <w:caps w:val="0"/>
          <w:sz w:val="20"/>
        </w:rPr>
        <w:t xml:space="preserve"> </w:t>
      </w:r>
    </w:p>
    <w:p w14:paraId="3BC000C1" w14:textId="77777777" w:rsidR="008740E2" w:rsidRDefault="008740E2" w:rsidP="00441B6F">
      <w:pPr>
        <w:pStyle w:val="ReferHead"/>
        <w:spacing w:after="0"/>
        <w:jc w:val="both"/>
        <w:rPr>
          <w:rFonts w:ascii="Arial" w:hAnsi="Arial" w:cs="Arial"/>
          <w:b w:val="0"/>
          <w:bCs/>
          <w:caps w:val="0"/>
          <w:sz w:val="20"/>
        </w:rPr>
      </w:pPr>
    </w:p>
    <w:p w14:paraId="4FE9C4FA" w14:textId="77777777" w:rsidR="002B685A" w:rsidRDefault="002B685A" w:rsidP="00441B6F">
      <w:pPr>
        <w:pStyle w:val="ReferHead"/>
        <w:spacing w:after="0"/>
        <w:jc w:val="both"/>
        <w:rPr>
          <w:rFonts w:ascii="Arial" w:hAnsi="Arial" w:cs="Arial"/>
          <w:b w:val="0"/>
          <w:caps w:val="0"/>
          <w:sz w:val="20"/>
        </w:rPr>
      </w:pPr>
    </w:p>
    <w:p w14:paraId="563694FE" w14:textId="77777777" w:rsidR="005C784C" w:rsidRDefault="005C784C" w:rsidP="00441B6F">
      <w:pPr>
        <w:pStyle w:val="ReferHead"/>
        <w:spacing w:after="0"/>
        <w:jc w:val="both"/>
        <w:rPr>
          <w:rFonts w:ascii="Arial" w:hAnsi="Arial" w:cs="Arial"/>
          <w:bCs/>
        </w:rPr>
      </w:pPr>
      <w:r>
        <w:rPr>
          <w:rFonts w:ascii="Arial" w:hAnsi="Arial" w:cs="Arial"/>
          <w:bCs/>
        </w:rPr>
        <w:t>Ethical approval</w:t>
      </w:r>
    </w:p>
    <w:p w14:paraId="06FEBCE1" w14:textId="77777777" w:rsidR="00860000" w:rsidRDefault="00825B01" w:rsidP="00441B6F">
      <w:pPr>
        <w:pStyle w:val="ReferHead"/>
        <w:spacing w:after="0"/>
        <w:jc w:val="both"/>
        <w:rPr>
          <w:rFonts w:ascii="Arial" w:hAnsi="Arial" w:cs="Arial"/>
          <w:b w:val="0"/>
          <w:caps w:val="0"/>
          <w:sz w:val="20"/>
        </w:rPr>
      </w:pPr>
      <w:r w:rsidRPr="00825B01">
        <w:rPr>
          <w:rFonts w:ascii="Arial" w:hAnsi="Arial" w:cs="Arial"/>
          <w:b w:val="0"/>
          <w:caps w:val="0"/>
          <w:sz w:val="20"/>
        </w:rPr>
        <w:t>This study was approved by the Research Ethics Committee of the University of Port Harcourt, with the reference number: UPH/R&amp;D/REC/04</w:t>
      </w:r>
    </w:p>
    <w:p w14:paraId="2293ADDC" w14:textId="77777777" w:rsidR="00950995" w:rsidRDefault="00950995" w:rsidP="00441B6F">
      <w:pPr>
        <w:pStyle w:val="ReferHead"/>
        <w:spacing w:after="0"/>
        <w:jc w:val="both"/>
        <w:rPr>
          <w:rFonts w:ascii="Arial" w:hAnsi="Arial" w:cs="Arial"/>
          <w:b w:val="0"/>
          <w:caps w:val="0"/>
          <w:sz w:val="20"/>
        </w:rPr>
      </w:pPr>
    </w:p>
    <w:p w14:paraId="22DEEF09" w14:textId="77777777" w:rsidR="00950995" w:rsidRPr="00950995" w:rsidRDefault="00950995" w:rsidP="00950995">
      <w:pPr>
        <w:pStyle w:val="ReferHead"/>
        <w:jc w:val="both"/>
        <w:rPr>
          <w:rFonts w:ascii="Arial" w:hAnsi="Arial" w:cs="Arial"/>
          <w:bCs/>
          <w:caps w:val="0"/>
          <w:sz w:val="20"/>
        </w:rPr>
      </w:pPr>
      <w:r w:rsidRPr="00950995">
        <w:rPr>
          <w:rFonts w:ascii="Arial" w:hAnsi="Arial" w:cs="Arial"/>
          <w:bCs/>
          <w:caps w:val="0"/>
          <w:sz w:val="20"/>
        </w:rPr>
        <w:t xml:space="preserve">Consent </w:t>
      </w:r>
    </w:p>
    <w:p w14:paraId="03817A8E" w14:textId="5D8503B6" w:rsidR="00950995" w:rsidRDefault="00950995" w:rsidP="00950995">
      <w:pPr>
        <w:pStyle w:val="ReferHead"/>
        <w:spacing w:after="0"/>
        <w:jc w:val="both"/>
        <w:rPr>
          <w:rFonts w:ascii="Arial" w:hAnsi="Arial" w:cs="Arial"/>
          <w:b w:val="0"/>
          <w:caps w:val="0"/>
          <w:sz w:val="20"/>
        </w:rPr>
      </w:pPr>
      <w:r w:rsidRPr="00950995">
        <w:rPr>
          <w:rFonts w:ascii="Arial" w:hAnsi="Arial" w:cs="Arial"/>
          <w:b w:val="0"/>
          <w:caps w:val="0"/>
          <w:sz w:val="20"/>
        </w:rPr>
        <w:t>As per international standards, parental written consent has been collected and preserved by the author(s).</w:t>
      </w:r>
    </w:p>
    <w:p w14:paraId="75A0A6BA" w14:textId="77777777" w:rsidR="00061F38" w:rsidRDefault="00061F38" w:rsidP="00D85FE1">
      <w:pPr>
        <w:rPr>
          <w:rFonts w:ascii="Times New Roman" w:hAnsi="Times New Roman"/>
          <w:b/>
        </w:rPr>
      </w:pPr>
    </w:p>
    <w:p w14:paraId="2F29271B" w14:textId="77777777" w:rsidR="00D85FE1" w:rsidRDefault="00D85FE1" w:rsidP="00D85FE1">
      <w:pPr>
        <w:rPr>
          <w:rFonts w:ascii="Times New Roman" w:hAnsi="Times New Roman"/>
          <w:b/>
        </w:rPr>
      </w:pPr>
      <w:r w:rsidRPr="000839CE">
        <w:rPr>
          <w:rFonts w:ascii="Times New Roman" w:hAnsi="Times New Roman"/>
          <w:b/>
        </w:rPr>
        <w:t>Declaration of AI Use</w:t>
      </w:r>
    </w:p>
    <w:p w14:paraId="58CE0243" w14:textId="77777777" w:rsidR="00D85FE1" w:rsidRDefault="00D85FE1" w:rsidP="00D85FE1">
      <w:pPr>
        <w:rPr>
          <w:rFonts w:ascii="Times New Roman" w:hAnsi="Times New Roman"/>
          <w:b/>
        </w:rPr>
      </w:pPr>
    </w:p>
    <w:p w14:paraId="72399ACE" w14:textId="77777777" w:rsidR="00D85FE1" w:rsidRDefault="00D85FE1" w:rsidP="00D85FE1">
      <w:pPr>
        <w:rPr>
          <w:rFonts w:ascii="Times New Roman" w:hAnsi="Times New Roman"/>
          <w:b/>
        </w:rPr>
      </w:pPr>
    </w:p>
    <w:p w14:paraId="26F4C234" w14:textId="77777777" w:rsidR="00D85FE1" w:rsidRDefault="00D85FE1" w:rsidP="00D85FE1">
      <w:pPr>
        <w:rPr>
          <w:rFonts w:ascii="Times New Roman" w:hAnsi="Times New Roman"/>
          <w:b/>
        </w:rPr>
      </w:pPr>
    </w:p>
    <w:p w14:paraId="16CB17FD" w14:textId="77777777" w:rsidR="00D85FE1" w:rsidRPr="002D08AC" w:rsidRDefault="00D85FE1" w:rsidP="00D85FE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8640940" w14:textId="77777777" w:rsidR="00D85FE1" w:rsidRDefault="00D85FE1" w:rsidP="00441B6F">
      <w:pPr>
        <w:pStyle w:val="ReferHead"/>
        <w:spacing w:after="0"/>
        <w:jc w:val="both"/>
        <w:rPr>
          <w:rFonts w:ascii="Arial" w:hAnsi="Arial" w:cs="Arial"/>
          <w:b w:val="0"/>
          <w:caps w:val="0"/>
          <w:sz w:val="20"/>
        </w:rPr>
      </w:pPr>
    </w:p>
    <w:p w14:paraId="00C3828B" w14:textId="77777777" w:rsidR="00825B01" w:rsidRDefault="00825B01" w:rsidP="00441B6F">
      <w:pPr>
        <w:pStyle w:val="ReferHead"/>
        <w:spacing w:after="0"/>
        <w:jc w:val="both"/>
        <w:rPr>
          <w:rFonts w:ascii="Arial" w:hAnsi="Arial" w:cs="Arial"/>
        </w:rPr>
      </w:pPr>
    </w:p>
    <w:p w14:paraId="6773BB00"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2008234" w14:textId="257CDC1C"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Acheson, R. M., Vicinus, J. H., &amp; Fowler, G. B. (1966). Studies in the reliability of assessing skeletal maturity from X-rays. Part III: Greulich-Pyle atlas and Tanner-Whitehouse method contrasted. </w:t>
      </w:r>
      <w:r w:rsidRPr="0004591D">
        <w:rPr>
          <w:rFonts w:ascii="Times New Roman" w:hAnsi="Times New Roman"/>
          <w:i/>
          <w:iCs/>
          <w:sz w:val="24"/>
          <w:szCs w:val="24"/>
        </w:rPr>
        <w:t>Human Biology, 38</w:t>
      </w:r>
      <w:r w:rsidRPr="0004591D">
        <w:rPr>
          <w:rFonts w:ascii="Times New Roman" w:hAnsi="Times New Roman"/>
          <w:sz w:val="24"/>
          <w:szCs w:val="24"/>
        </w:rPr>
        <w:t xml:space="preserve">(3), 204–218. </w:t>
      </w:r>
      <w:hyperlink r:id="rId16" w:history="1">
        <w:r w:rsidRPr="0004591D">
          <w:rPr>
            <w:rFonts w:ascii="Times New Roman" w:hAnsi="Times New Roman"/>
            <w:color w:val="0000FF"/>
            <w:sz w:val="24"/>
            <w:szCs w:val="24"/>
            <w:u w:val="single"/>
          </w:rPr>
          <w:t>https://pubmed.ncbi.nlm.nih.gov/4292293/</w:t>
        </w:r>
      </w:hyperlink>
    </w:p>
    <w:p w14:paraId="088FD8E4" w14:textId="3D09C3EC" w:rsidR="0004591D" w:rsidRPr="0004591D" w:rsidRDefault="0004591D" w:rsidP="0004591D">
      <w:pPr>
        <w:spacing w:before="100" w:beforeAutospacing="1" w:after="100" w:afterAutospacing="1"/>
        <w:ind w:left="540" w:hanging="540"/>
        <w:jc w:val="both"/>
        <w:rPr>
          <w:rFonts w:ascii="Times New Roman" w:hAnsi="Times New Roman"/>
          <w:sz w:val="24"/>
          <w:szCs w:val="24"/>
        </w:rPr>
      </w:pPr>
      <w:proofErr w:type="spellStart"/>
      <w:r w:rsidRPr="0004591D">
        <w:rPr>
          <w:rFonts w:ascii="Times New Roman" w:hAnsi="Times New Roman"/>
          <w:sz w:val="24"/>
          <w:szCs w:val="24"/>
        </w:rPr>
        <w:t>Albaker</w:t>
      </w:r>
      <w:proofErr w:type="spellEnd"/>
      <w:r w:rsidRPr="0004591D">
        <w:rPr>
          <w:rFonts w:ascii="Times New Roman" w:hAnsi="Times New Roman"/>
          <w:sz w:val="24"/>
          <w:szCs w:val="24"/>
        </w:rPr>
        <w:t xml:space="preserve">, A. B., </w:t>
      </w:r>
      <w:proofErr w:type="spellStart"/>
      <w:r w:rsidRPr="0004591D">
        <w:rPr>
          <w:rFonts w:ascii="Times New Roman" w:hAnsi="Times New Roman"/>
          <w:sz w:val="24"/>
          <w:szCs w:val="24"/>
        </w:rPr>
        <w:t>Aldhilan</w:t>
      </w:r>
      <w:proofErr w:type="spellEnd"/>
      <w:r w:rsidRPr="0004591D">
        <w:rPr>
          <w:rFonts w:ascii="Times New Roman" w:hAnsi="Times New Roman"/>
          <w:sz w:val="24"/>
          <w:szCs w:val="24"/>
        </w:rPr>
        <w:t xml:space="preserve">, A. S., </w:t>
      </w:r>
      <w:proofErr w:type="spellStart"/>
      <w:r w:rsidRPr="0004591D">
        <w:rPr>
          <w:rFonts w:ascii="Times New Roman" w:hAnsi="Times New Roman"/>
          <w:sz w:val="24"/>
          <w:szCs w:val="24"/>
        </w:rPr>
        <w:t>Alrabai</w:t>
      </w:r>
      <w:proofErr w:type="spellEnd"/>
      <w:r w:rsidRPr="0004591D">
        <w:rPr>
          <w:rFonts w:ascii="Times New Roman" w:hAnsi="Times New Roman"/>
          <w:sz w:val="24"/>
          <w:szCs w:val="24"/>
        </w:rPr>
        <w:t xml:space="preserve">, H. M., AlHumaid, S., </w:t>
      </w:r>
      <w:proofErr w:type="spellStart"/>
      <w:r w:rsidRPr="0004591D">
        <w:rPr>
          <w:rFonts w:ascii="Times New Roman" w:hAnsi="Times New Roman"/>
          <w:sz w:val="24"/>
          <w:szCs w:val="24"/>
        </w:rPr>
        <w:t>AlMogbil</w:t>
      </w:r>
      <w:proofErr w:type="spellEnd"/>
      <w:r w:rsidRPr="0004591D">
        <w:rPr>
          <w:rFonts w:ascii="Times New Roman" w:hAnsi="Times New Roman"/>
          <w:sz w:val="24"/>
          <w:szCs w:val="24"/>
        </w:rPr>
        <w:t xml:space="preserve">, I. H., </w:t>
      </w:r>
      <w:proofErr w:type="spellStart"/>
      <w:r w:rsidRPr="0004591D">
        <w:rPr>
          <w:rFonts w:ascii="Times New Roman" w:hAnsi="Times New Roman"/>
          <w:sz w:val="24"/>
          <w:szCs w:val="24"/>
        </w:rPr>
        <w:t>Alzaidy</w:t>
      </w:r>
      <w:proofErr w:type="spellEnd"/>
      <w:r w:rsidRPr="0004591D">
        <w:rPr>
          <w:rFonts w:ascii="Times New Roman" w:hAnsi="Times New Roman"/>
          <w:sz w:val="24"/>
          <w:szCs w:val="24"/>
        </w:rPr>
        <w:t xml:space="preserve">, N. F. A., </w:t>
      </w:r>
      <w:proofErr w:type="spellStart"/>
      <w:r w:rsidRPr="0004591D">
        <w:rPr>
          <w:rFonts w:ascii="Times New Roman" w:hAnsi="Times New Roman"/>
          <w:sz w:val="24"/>
          <w:szCs w:val="24"/>
        </w:rPr>
        <w:t>Alsaadoon</w:t>
      </w:r>
      <w:proofErr w:type="spellEnd"/>
      <w:r w:rsidRPr="0004591D">
        <w:rPr>
          <w:rFonts w:ascii="Times New Roman" w:hAnsi="Times New Roman"/>
          <w:sz w:val="24"/>
          <w:szCs w:val="24"/>
        </w:rPr>
        <w:t xml:space="preserve">, S. A. H., </w:t>
      </w:r>
      <w:proofErr w:type="spellStart"/>
      <w:r w:rsidRPr="0004591D">
        <w:rPr>
          <w:rFonts w:ascii="Times New Roman" w:hAnsi="Times New Roman"/>
          <w:sz w:val="24"/>
          <w:szCs w:val="24"/>
        </w:rPr>
        <w:t>Alobaid</w:t>
      </w:r>
      <w:proofErr w:type="spellEnd"/>
      <w:r w:rsidRPr="0004591D">
        <w:rPr>
          <w:rFonts w:ascii="Times New Roman" w:hAnsi="Times New Roman"/>
          <w:sz w:val="24"/>
          <w:szCs w:val="24"/>
        </w:rPr>
        <w:t xml:space="preserve">, O. A., &amp; </w:t>
      </w:r>
      <w:proofErr w:type="spellStart"/>
      <w:r w:rsidRPr="0004591D">
        <w:rPr>
          <w:rFonts w:ascii="Times New Roman" w:hAnsi="Times New Roman"/>
          <w:sz w:val="24"/>
          <w:szCs w:val="24"/>
        </w:rPr>
        <w:t>Alshammary</w:t>
      </w:r>
      <w:proofErr w:type="spellEnd"/>
      <w:r w:rsidRPr="0004591D">
        <w:rPr>
          <w:rFonts w:ascii="Times New Roman" w:hAnsi="Times New Roman"/>
          <w:sz w:val="24"/>
          <w:szCs w:val="24"/>
        </w:rPr>
        <w:t xml:space="preserve">, F. H. (2021). Determination of bone age and its correlation to the chronological age based on the Greulich and Pyle method in Saudi Arabia. </w:t>
      </w:r>
      <w:r w:rsidRPr="0004591D">
        <w:rPr>
          <w:rFonts w:ascii="Times New Roman" w:hAnsi="Times New Roman"/>
          <w:i/>
          <w:iCs/>
          <w:sz w:val="24"/>
          <w:szCs w:val="24"/>
        </w:rPr>
        <w:t>Journal of Pharmaceutical Research International, 33</w:t>
      </w:r>
      <w:r w:rsidRPr="0004591D">
        <w:rPr>
          <w:rFonts w:ascii="Times New Roman" w:hAnsi="Times New Roman"/>
          <w:sz w:val="24"/>
          <w:szCs w:val="24"/>
        </w:rPr>
        <w:t xml:space="preserve">(60B), 1186–1195. </w:t>
      </w:r>
      <w:hyperlink r:id="rId17" w:history="1">
        <w:r w:rsidRPr="0004591D">
          <w:rPr>
            <w:rFonts w:ascii="Times New Roman" w:hAnsi="Times New Roman"/>
            <w:color w:val="0000FF"/>
            <w:sz w:val="24"/>
            <w:szCs w:val="24"/>
            <w:u w:val="single"/>
          </w:rPr>
          <w:t>https://doi.org/10.9734/jpri/2021/v33i60B34731</w:t>
        </w:r>
      </w:hyperlink>
    </w:p>
    <w:p w14:paraId="118047B2" w14:textId="5191547E" w:rsidR="0004591D" w:rsidRPr="0004591D" w:rsidRDefault="0004591D" w:rsidP="0004591D">
      <w:pPr>
        <w:spacing w:before="100" w:beforeAutospacing="1" w:after="100" w:afterAutospacing="1"/>
        <w:ind w:left="540" w:hanging="540"/>
        <w:jc w:val="both"/>
        <w:rPr>
          <w:rFonts w:ascii="Times New Roman" w:hAnsi="Times New Roman"/>
          <w:sz w:val="24"/>
          <w:szCs w:val="24"/>
        </w:rPr>
      </w:pPr>
      <w:proofErr w:type="spellStart"/>
      <w:r w:rsidRPr="0004591D">
        <w:rPr>
          <w:rFonts w:ascii="Times New Roman" w:hAnsi="Times New Roman"/>
          <w:sz w:val="24"/>
          <w:szCs w:val="24"/>
        </w:rPr>
        <w:t>Alshamrani</w:t>
      </w:r>
      <w:proofErr w:type="spellEnd"/>
      <w:r w:rsidRPr="0004591D">
        <w:rPr>
          <w:rFonts w:ascii="Times New Roman" w:hAnsi="Times New Roman"/>
          <w:sz w:val="24"/>
          <w:szCs w:val="24"/>
        </w:rPr>
        <w:t xml:space="preserve">, K., Messina, F., &amp; Offiah, A. C. (2019). Is the Greulich and Pyle atlas applicable to all ethnicities? A systematic review and meta-analysis. </w:t>
      </w:r>
      <w:r w:rsidRPr="0004591D">
        <w:rPr>
          <w:rFonts w:ascii="Times New Roman" w:hAnsi="Times New Roman"/>
          <w:i/>
          <w:iCs/>
          <w:sz w:val="24"/>
          <w:szCs w:val="24"/>
        </w:rPr>
        <w:t>European Radiology, 29</w:t>
      </w:r>
      <w:r w:rsidRPr="0004591D">
        <w:rPr>
          <w:rFonts w:ascii="Times New Roman" w:hAnsi="Times New Roman"/>
          <w:sz w:val="24"/>
          <w:szCs w:val="24"/>
        </w:rPr>
        <w:t xml:space="preserve">(6), 2910–2923. </w:t>
      </w:r>
      <w:hyperlink r:id="rId18" w:history="1">
        <w:r w:rsidRPr="0004591D">
          <w:rPr>
            <w:rFonts w:ascii="Times New Roman" w:hAnsi="Times New Roman"/>
            <w:color w:val="0000FF"/>
            <w:sz w:val="24"/>
            <w:szCs w:val="24"/>
            <w:u w:val="single"/>
          </w:rPr>
          <w:t>https://doi.org/10.1007/s00330-018-5792-5</w:t>
        </w:r>
      </w:hyperlink>
    </w:p>
    <w:p w14:paraId="014B393B" w14:textId="7D61F5F5"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Bull, R. K., Edwards, P. D., Kemp, P. M., Fry, S., &amp; Hughes, I. A. (1999). Bone age assessment: A large-scale comparison of the Greulich and Pyle and Tanner and Whitehouse (TW2) methods. </w:t>
      </w:r>
      <w:r w:rsidRPr="0004591D">
        <w:rPr>
          <w:rFonts w:ascii="Times New Roman" w:hAnsi="Times New Roman"/>
          <w:i/>
          <w:iCs/>
          <w:sz w:val="24"/>
          <w:szCs w:val="24"/>
        </w:rPr>
        <w:t>Archives of Disease in Childhood, 81</w:t>
      </w:r>
      <w:r w:rsidRPr="0004591D">
        <w:rPr>
          <w:rFonts w:ascii="Times New Roman" w:hAnsi="Times New Roman"/>
          <w:sz w:val="24"/>
          <w:szCs w:val="24"/>
        </w:rPr>
        <w:t xml:space="preserve">(2), 172–173. </w:t>
      </w:r>
      <w:hyperlink r:id="rId19" w:history="1">
        <w:r w:rsidRPr="0004591D">
          <w:rPr>
            <w:rFonts w:ascii="Times New Roman" w:hAnsi="Times New Roman"/>
            <w:color w:val="0000FF"/>
            <w:sz w:val="24"/>
            <w:szCs w:val="24"/>
            <w:u w:val="single"/>
          </w:rPr>
          <w:t>https://doi.org/10.1136/adc.81.2.172</w:t>
        </w:r>
      </w:hyperlink>
    </w:p>
    <w:p w14:paraId="3DDF3D70" w14:textId="5947C693"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Cole, T. J., </w:t>
      </w:r>
      <w:proofErr w:type="spellStart"/>
      <w:r w:rsidRPr="0004591D">
        <w:rPr>
          <w:rFonts w:ascii="Times New Roman" w:hAnsi="Times New Roman"/>
          <w:sz w:val="24"/>
          <w:szCs w:val="24"/>
        </w:rPr>
        <w:t>Rousham</w:t>
      </w:r>
      <w:proofErr w:type="spellEnd"/>
      <w:r w:rsidRPr="0004591D">
        <w:rPr>
          <w:rFonts w:ascii="Times New Roman" w:hAnsi="Times New Roman"/>
          <w:sz w:val="24"/>
          <w:szCs w:val="24"/>
        </w:rPr>
        <w:t xml:space="preserve">, E. K., Hawley, N. L., Cameron, N., Norris, S. A., &amp; </w:t>
      </w:r>
      <w:proofErr w:type="spellStart"/>
      <w:r w:rsidRPr="0004591D">
        <w:rPr>
          <w:rFonts w:ascii="Times New Roman" w:hAnsi="Times New Roman"/>
          <w:sz w:val="24"/>
          <w:szCs w:val="24"/>
        </w:rPr>
        <w:t>Pettifor</w:t>
      </w:r>
      <w:proofErr w:type="spellEnd"/>
      <w:r w:rsidRPr="0004591D">
        <w:rPr>
          <w:rFonts w:ascii="Times New Roman" w:hAnsi="Times New Roman"/>
          <w:sz w:val="24"/>
          <w:szCs w:val="24"/>
        </w:rPr>
        <w:t xml:space="preserve">, J. M. (2015). Ethnic and sex differences in skeletal maturation among the Birth to Twenty cohort in South Africa. </w:t>
      </w:r>
      <w:r w:rsidRPr="0004591D">
        <w:rPr>
          <w:rFonts w:ascii="Times New Roman" w:hAnsi="Times New Roman"/>
          <w:i/>
          <w:iCs/>
          <w:sz w:val="24"/>
          <w:szCs w:val="24"/>
        </w:rPr>
        <w:t>Archives of Disease in Childhood, 100</w:t>
      </w:r>
      <w:r w:rsidRPr="0004591D">
        <w:rPr>
          <w:rFonts w:ascii="Times New Roman" w:hAnsi="Times New Roman"/>
          <w:sz w:val="24"/>
          <w:szCs w:val="24"/>
        </w:rPr>
        <w:t xml:space="preserve">(2), 138–143. </w:t>
      </w:r>
      <w:hyperlink r:id="rId20" w:history="1">
        <w:r w:rsidRPr="0004591D">
          <w:rPr>
            <w:rFonts w:ascii="Times New Roman" w:hAnsi="Times New Roman"/>
            <w:color w:val="0000FF"/>
            <w:sz w:val="24"/>
            <w:szCs w:val="24"/>
            <w:u w:val="single"/>
          </w:rPr>
          <w:t>https://doi.org/10.1136/archdischild-2014-306399</w:t>
        </w:r>
      </w:hyperlink>
    </w:p>
    <w:p w14:paraId="3844C396" w14:textId="49911B85"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lastRenderedPageBreak/>
        <w:t xml:space="preserve">Engler, P., Kruk, K., Graf, N., Stinn, B., Wildermuth, S., </w:t>
      </w:r>
      <w:proofErr w:type="spellStart"/>
      <w:r w:rsidRPr="0004591D">
        <w:rPr>
          <w:rFonts w:ascii="Times New Roman" w:hAnsi="Times New Roman"/>
          <w:sz w:val="24"/>
          <w:szCs w:val="24"/>
        </w:rPr>
        <w:t>Leschka</w:t>
      </w:r>
      <w:proofErr w:type="spellEnd"/>
      <w:r w:rsidRPr="0004591D">
        <w:rPr>
          <w:rFonts w:ascii="Times New Roman" w:hAnsi="Times New Roman"/>
          <w:sz w:val="24"/>
          <w:szCs w:val="24"/>
        </w:rPr>
        <w:t xml:space="preserve">, S., Falkowski, A. L., Waelti, S., Dietrich, T. J., &amp; Fischer, T. S. (2025). Ossification variation of the medial clavicular epiphysis in children, adolescents and young adults. </w:t>
      </w:r>
      <w:r w:rsidRPr="0004591D">
        <w:rPr>
          <w:rFonts w:ascii="Times New Roman" w:hAnsi="Times New Roman"/>
          <w:i/>
          <w:iCs/>
          <w:sz w:val="24"/>
          <w:szCs w:val="24"/>
        </w:rPr>
        <w:t>Radiography, 31</w:t>
      </w:r>
      <w:r w:rsidRPr="0004591D">
        <w:rPr>
          <w:rFonts w:ascii="Times New Roman" w:hAnsi="Times New Roman"/>
          <w:sz w:val="24"/>
          <w:szCs w:val="24"/>
        </w:rPr>
        <w:t xml:space="preserve">(5), 103106. </w:t>
      </w:r>
      <w:hyperlink r:id="rId21" w:history="1">
        <w:r w:rsidRPr="0004591D">
          <w:rPr>
            <w:rFonts w:ascii="Times New Roman" w:hAnsi="Times New Roman"/>
            <w:color w:val="0000FF"/>
            <w:sz w:val="24"/>
            <w:szCs w:val="24"/>
            <w:u w:val="single"/>
          </w:rPr>
          <w:t>https://doi.org/10.1016/j.radi.2025.103106</w:t>
        </w:r>
      </w:hyperlink>
    </w:p>
    <w:p w14:paraId="411024E3" w14:textId="3C93105F"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Gertych, A., Zhang, A., Sayre, J., Pospiech-Kurkowska, S., &amp; Huang, H. K. (2007). Bone age assessment of children using a digital hand atlas. </w:t>
      </w:r>
      <w:r w:rsidRPr="0004591D">
        <w:rPr>
          <w:rFonts w:ascii="Times New Roman" w:hAnsi="Times New Roman"/>
          <w:i/>
          <w:iCs/>
          <w:sz w:val="24"/>
          <w:szCs w:val="24"/>
        </w:rPr>
        <w:t>Computerized Medical Imaging and Graphics, 31</w:t>
      </w:r>
      <w:r w:rsidRPr="0004591D">
        <w:rPr>
          <w:rFonts w:ascii="Times New Roman" w:hAnsi="Times New Roman"/>
          <w:sz w:val="24"/>
          <w:szCs w:val="24"/>
        </w:rPr>
        <w:t xml:space="preserve">(4–5), 322–331. </w:t>
      </w:r>
      <w:hyperlink r:id="rId22" w:history="1">
        <w:r w:rsidRPr="0004591D">
          <w:rPr>
            <w:rFonts w:ascii="Times New Roman" w:hAnsi="Times New Roman"/>
            <w:color w:val="0000FF"/>
            <w:sz w:val="24"/>
            <w:szCs w:val="24"/>
            <w:u w:val="single"/>
          </w:rPr>
          <w:t>https://doi.org/10.1016/j.compmedimag.2007.02.012</w:t>
        </w:r>
      </w:hyperlink>
    </w:p>
    <w:p w14:paraId="2363F8AD" w14:textId="3823D5AD"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Grgic, O., </w:t>
      </w:r>
      <w:proofErr w:type="spellStart"/>
      <w:r w:rsidRPr="0004591D">
        <w:rPr>
          <w:rFonts w:ascii="Times New Roman" w:hAnsi="Times New Roman"/>
          <w:sz w:val="24"/>
          <w:szCs w:val="24"/>
        </w:rPr>
        <w:t>Shevroja</w:t>
      </w:r>
      <w:proofErr w:type="spellEnd"/>
      <w:r w:rsidRPr="0004591D">
        <w:rPr>
          <w:rFonts w:ascii="Times New Roman" w:hAnsi="Times New Roman"/>
          <w:sz w:val="24"/>
          <w:szCs w:val="24"/>
        </w:rPr>
        <w:t xml:space="preserve">, E., Dhamo, B., </w:t>
      </w:r>
      <w:proofErr w:type="spellStart"/>
      <w:r w:rsidRPr="0004591D">
        <w:rPr>
          <w:rFonts w:ascii="Times New Roman" w:hAnsi="Times New Roman"/>
          <w:sz w:val="24"/>
          <w:szCs w:val="24"/>
        </w:rPr>
        <w:t>Uitterlinden</w:t>
      </w:r>
      <w:proofErr w:type="spellEnd"/>
      <w:r w:rsidRPr="0004591D">
        <w:rPr>
          <w:rFonts w:ascii="Times New Roman" w:hAnsi="Times New Roman"/>
          <w:sz w:val="24"/>
          <w:szCs w:val="24"/>
        </w:rPr>
        <w:t xml:space="preserve">, A. G., Wolvius, E. B., Rivadeneira, F., &amp; Medina-Gomez, C. (2020). Skeletal maturation in relation to ethnic background in children of school age: The Generation R Study. </w:t>
      </w:r>
      <w:r w:rsidRPr="0004591D">
        <w:rPr>
          <w:rFonts w:ascii="Times New Roman" w:hAnsi="Times New Roman"/>
          <w:i/>
          <w:iCs/>
          <w:sz w:val="24"/>
          <w:szCs w:val="24"/>
        </w:rPr>
        <w:t>Bone, 132</w:t>
      </w:r>
      <w:r w:rsidRPr="0004591D">
        <w:rPr>
          <w:rFonts w:ascii="Times New Roman" w:hAnsi="Times New Roman"/>
          <w:sz w:val="24"/>
          <w:szCs w:val="24"/>
        </w:rPr>
        <w:t xml:space="preserve">, 115180. </w:t>
      </w:r>
      <w:hyperlink r:id="rId23" w:history="1">
        <w:r w:rsidRPr="0004591D">
          <w:rPr>
            <w:rFonts w:ascii="Times New Roman" w:hAnsi="Times New Roman"/>
            <w:color w:val="0000FF"/>
            <w:sz w:val="24"/>
            <w:szCs w:val="24"/>
            <w:u w:val="single"/>
          </w:rPr>
          <w:t>https://doi.org/10.1016/j.bone.2019.115180</w:t>
        </w:r>
      </w:hyperlink>
    </w:p>
    <w:p w14:paraId="4D47C104" w14:textId="0351B0AA"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Hawley, N. L., </w:t>
      </w:r>
      <w:proofErr w:type="spellStart"/>
      <w:r w:rsidRPr="0004591D">
        <w:rPr>
          <w:rFonts w:ascii="Times New Roman" w:hAnsi="Times New Roman"/>
          <w:sz w:val="24"/>
          <w:szCs w:val="24"/>
        </w:rPr>
        <w:t>Rousham</w:t>
      </w:r>
      <w:proofErr w:type="spellEnd"/>
      <w:r w:rsidRPr="0004591D">
        <w:rPr>
          <w:rFonts w:ascii="Times New Roman" w:hAnsi="Times New Roman"/>
          <w:sz w:val="24"/>
          <w:szCs w:val="24"/>
        </w:rPr>
        <w:t xml:space="preserve">, E. K., Johnson, W., Norris, S. A., </w:t>
      </w:r>
      <w:proofErr w:type="spellStart"/>
      <w:r w:rsidRPr="0004591D">
        <w:rPr>
          <w:rFonts w:ascii="Times New Roman" w:hAnsi="Times New Roman"/>
          <w:sz w:val="24"/>
          <w:szCs w:val="24"/>
        </w:rPr>
        <w:t>Pettifor</w:t>
      </w:r>
      <w:proofErr w:type="spellEnd"/>
      <w:r w:rsidRPr="0004591D">
        <w:rPr>
          <w:rFonts w:ascii="Times New Roman" w:hAnsi="Times New Roman"/>
          <w:sz w:val="24"/>
          <w:szCs w:val="24"/>
        </w:rPr>
        <w:t xml:space="preserve">, J. M., &amp; Cameron, N. (2012). Determinants of relative skeletal maturity in South African children. </w:t>
      </w:r>
      <w:r w:rsidRPr="0004591D">
        <w:rPr>
          <w:rFonts w:ascii="Times New Roman" w:hAnsi="Times New Roman"/>
          <w:i/>
          <w:iCs/>
          <w:sz w:val="24"/>
          <w:szCs w:val="24"/>
        </w:rPr>
        <w:t>Bone, 50</w:t>
      </w:r>
      <w:r w:rsidRPr="0004591D">
        <w:rPr>
          <w:rFonts w:ascii="Times New Roman" w:hAnsi="Times New Roman"/>
          <w:sz w:val="24"/>
          <w:szCs w:val="24"/>
        </w:rPr>
        <w:t xml:space="preserve">(1), 259–264. </w:t>
      </w:r>
      <w:hyperlink r:id="rId24" w:history="1">
        <w:r w:rsidRPr="0004591D">
          <w:rPr>
            <w:rFonts w:ascii="Times New Roman" w:hAnsi="Times New Roman"/>
            <w:color w:val="0000FF"/>
            <w:sz w:val="24"/>
            <w:szCs w:val="24"/>
            <w:u w:val="single"/>
          </w:rPr>
          <w:t>https://doi.org/10.1016/j.bone.2011.10.029</w:t>
        </w:r>
      </w:hyperlink>
    </w:p>
    <w:p w14:paraId="54C48AD2" w14:textId="094B117F"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Kim, S. C. (1998). The normal development of proximal humeral epiphyseal ossification center in the first 2 years of life. </w:t>
      </w:r>
      <w:r w:rsidRPr="0004591D">
        <w:rPr>
          <w:rFonts w:ascii="Times New Roman" w:hAnsi="Times New Roman"/>
          <w:i/>
          <w:iCs/>
          <w:sz w:val="24"/>
          <w:szCs w:val="24"/>
        </w:rPr>
        <w:t>Journal of the Korean Radiological Society, 38</w:t>
      </w:r>
      <w:r w:rsidRPr="0004591D">
        <w:rPr>
          <w:rFonts w:ascii="Times New Roman" w:hAnsi="Times New Roman"/>
          <w:sz w:val="24"/>
          <w:szCs w:val="24"/>
        </w:rPr>
        <w:t xml:space="preserve">(5), 927–931. </w:t>
      </w:r>
      <w:hyperlink r:id="rId25" w:history="1">
        <w:r w:rsidRPr="0004591D">
          <w:rPr>
            <w:rFonts w:ascii="Times New Roman" w:hAnsi="Times New Roman"/>
            <w:color w:val="0000FF"/>
            <w:sz w:val="24"/>
            <w:szCs w:val="24"/>
            <w:u w:val="single"/>
          </w:rPr>
          <w:t>https://doi.org/10.3348/jkrs.1998.38.5.927</w:t>
        </w:r>
      </w:hyperlink>
    </w:p>
    <w:p w14:paraId="130E885D" w14:textId="70A7151F" w:rsidR="0004591D" w:rsidRPr="0004591D" w:rsidRDefault="0004591D" w:rsidP="0004591D">
      <w:pPr>
        <w:spacing w:before="100" w:beforeAutospacing="1" w:after="100" w:afterAutospacing="1"/>
        <w:ind w:left="540" w:hanging="540"/>
        <w:jc w:val="both"/>
        <w:rPr>
          <w:rFonts w:ascii="Times New Roman" w:hAnsi="Times New Roman"/>
          <w:sz w:val="24"/>
          <w:szCs w:val="24"/>
        </w:rPr>
      </w:pPr>
      <w:proofErr w:type="spellStart"/>
      <w:r w:rsidRPr="0004591D">
        <w:rPr>
          <w:rFonts w:ascii="Times New Roman" w:hAnsi="Times New Roman"/>
          <w:sz w:val="24"/>
          <w:szCs w:val="24"/>
        </w:rPr>
        <w:t>Kothary</w:t>
      </w:r>
      <w:proofErr w:type="spellEnd"/>
      <w:r w:rsidRPr="0004591D">
        <w:rPr>
          <w:rFonts w:ascii="Times New Roman" w:hAnsi="Times New Roman"/>
          <w:sz w:val="24"/>
          <w:szCs w:val="24"/>
        </w:rPr>
        <w:t xml:space="preserve">, S., Rosenberg, Z. S., </w:t>
      </w:r>
      <w:proofErr w:type="spellStart"/>
      <w:r w:rsidRPr="0004591D">
        <w:rPr>
          <w:rFonts w:ascii="Times New Roman" w:hAnsi="Times New Roman"/>
          <w:sz w:val="24"/>
          <w:szCs w:val="24"/>
        </w:rPr>
        <w:t>Poncinelli</w:t>
      </w:r>
      <w:proofErr w:type="spellEnd"/>
      <w:r w:rsidRPr="0004591D">
        <w:rPr>
          <w:rFonts w:ascii="Times New Roman" w:hAnsi="Times New Roman"/>
          <w:sz w:val="24"/>
          <w:szCs w:val="24"/>
        </w:rPr>
        <w:t xml:space="preserve">, L. L., &amp; Kwong, S. (2014). Skeletal development of the glenoid and glenoid–coracoid interface in the pediatric population: MRI features. </w:t>
      </w:r>
      <w:r w:rsidRPr="0004591D">
        <w:rPr>
          <w:rFonts w:ascii="Times New Roman" w:hAnsi="Times New Roman"/>
          <w:i/>
          <w:iCs/>
          <w:sz w:val="24"/>
          <w:szCs w:val="24"/>
        </w:rPr>
        <w:t>Skeletal Radiology, 43</w:t>
      </w:r>
      <w:r w:rsidRPr="0004591D">
        <w:rPr>
          <w:rFonts w:ascii="Times New Roman" w:hAnsi="Times New Roman"/>
          <w:sz w:val="24"/>
          <w:szCs w:val="24"/>
        </w:rPr>
        <w:t xml:space="preserve">(9), 1281–1288. </w:t>
      </w:r>
      <w:hyperlink r:id="rId26" w:history="1">
        <w:r w:rsidRPr="0004591D">
          <w:rPr>
            <w:rFonts w:ascii="Times New Roman" w:hAnsi="Times New Roman"/>
            <w:color w:val="0000FF"/>
            <w:sz w:val="24"/>
            <w:szCs w:val="24"/>
            <w:u w:val="single"/>
          </w:rPr>
          <w:t>https://doi.org/10.1007/s00256-014-1936-0</w:t>
        </w:r>
      </w:hyperlink>
    </w:p>
    <w:p w14:paraId="2F9204BE" w14:textId="4D6EBAFD"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Kwong, S., </w:t>
      </w:r>
      <w:proofErr w:type="spellStart"/>
      <w:r w:rsidRPr="0004591D">
        <w:rPr>
          <w:rFonts w:ascii="Times New Roman" w:hAnsi="Times New Roman"/>
          <w:sz w:val="24"/>
          <w:szCs w:val="24"/>
        </w:rPr>
        <w:t>Kothary</w:t>
      </w:r>
      <w:proofErr w:type="spellEnd"/>
      <w:r w:rsidRPr="0004591D">
        <w:rPr>
          <w:rFonts w:ascii="Times New Roman" w:hAnsi="Times New Roman"/>
          <w:sz w:val="24"/>
          <w:szCs w:val="24"/>
        </w:rPr>
        <w:t xml:space="preserve">, S., &amp; </w:t>
      </w:r>
      <w:proofErr w:type="spellStart"/>
      <w:r w:rsidRPr="0004591D">
        <w:rPr>
          <w:rFonts w:ascii="Times New Roman" w:hAnsi="Times New Roman"/>
          <w:sz w:val="24"/>
          <w:szCs w:val="24"/>
        </w:rPr>
        <w:t>Poncinelli</w:t>
      </w:r>
      <w:proofErr w:type="spellEnd"/>
      <w:r w:rsidRPr="0004591D">
        <w:rPr>
          <w:rFonts w:ascii="Times New Roman" w:hAnsi="Times New Roman"/>
          <w:sz w:val="24"/>
          <w:szCs w:val="24"/>
        </w:rPr>
        <w:t xml:space="preserve">, L. L. (2014). Skeletal development of the proximal humerus in the pediatric population: MRI features. </w:t>
      </w:r>
      <w:r w:rsidRPr="0004591D">
        <w:rPr>
          <w:rFonts w:ascii="Times New Roman" w:hAnsi="Times New Roman"/>
          <w:i/>
          <w:iCs/>
          <w:sz w:val="24"/>
          <w:szCs w:val="24"/>
        </w:rPr>
        <w:t>American Journal of Roentgenology, 202</w:t>
      </w:r>
      <w:r w:rsidRPr="0004591D">
        <w:rPr>
          <w:rFonts w:ascii="Times New Roman" w:hAnsi="Times New Roman"/>
          <w:sz w:val="24"/>
          <w:szCs w:val="24"/>
        </w:rPr>
        <w:t xml:space="preserve">(2), 418–425. </w:t>
      </w:r>
      <w:hyperlink r:id="rId27" w:history="1">
        <w:r w:rsidRPr="0004591D">
          <w:rPr>
            <w:rFonts w:ascii="Times New Roman" w:hAnsi="Times New Roman"/>
            <w:color w:val="0000FF"/>
            <w:sz w:val="24"/>
            <w:szCs w:val="24"/>
            <w:u w:val="single"/>
          </w:rPr>
          <w:t>https://doi.org/10.2214/AJR.13.10711</w:t>
        </w:r>
      </w:hyperlink>
    </w:p>
    <w:p w14:paraId="0FCCC644" w14:textId="324BCA7B"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Lee, S. Y., Kwon, S. S., Chung, C. Y., Lee, K. M., &amp; Park, M. S. (2014). What role do plain radiographs have in assessing the skeletally immature acromioclavicular joint? </w:t>
      </w:r>
      <w:r w:rsidRPr="0004591D">
        <w:rPr>
          <w:rFonts w:ascii="Times New Roman" w:hAnsi="Times New Roman"/>
          <w:i/>
          <w:iCs/>
          <w:sz w:val="24"/>
          <w:szCs w:val="24"/>
        </w:rPr>
        <w:t xml:space="preserve">Clinical </w:t>
      </w:r>
      <w:proofErr w:type="spellStart"/>
      <w:r w:rsidRPr="0004591D">
        <w:rPr>
          <w:rFonts w:ascii="Times New Roman" w:hAnsi="Times New Roman"/>
          <w:i/>
          <w:iCs/>
          <w:sz w:val="24"/>
          <w:szCs w:val="24"/>
        </w:rPr>
        <w:t>Orthopaedics</w:t>
      </w:r>
      <w:proofErr w:type="spellEnd"/>
      <w:r w:rsidRPr="0004591D">
        <w:rPr>
          <w:rFonts w:ascii="Times New Roman" w:hAnsi="Times New Roman"/>
          <w:i/>
          <w:iCs/>
          <w:sz w:val="24"/>
          <w:szCs w:val="24"/>
        </w:rPr>
        <w:t xml:space="preserve"> and Related Research, 472</w:t>
      </w:r>
      <w:r w:rsidRPr="0004591D">
        <w:rPr>
          <w:rFonts w:ascii="Times New Roman" w:hAnsi="Times New Roman"/>
          <w:sz w:val="24"/>
          <w:szCs w:val="24"/>
        </w:rPr>
        <w:t xml:space="preserve">(1), 284–293. </w:t>
      </w:r>
      <w:hyperlink r:id="rId28" w:history="1">
        <w:r w:rsidRPr="0004591D">
          <w:rPr>
            <w:rFonts w:ascii="Times New Roman" w:hAnsi="Times New Roman"/>
            <w:color w:val="0000FF"/>
            <w:sz w:val="24"/>
            <w:szCs w:val="24"/>
            <w:u w:val="single"/>
          </w:rPr>
          <w:t>https://doi.org/10.1007/s11999-013-3242-x</w:t>
        </w:r>
      </w:hyperlink>
    </w:p>
    <w:p w14:paraId="3DDEDEFE" w14:textId="3010FBCB"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Li, D. T., Cui, J. J., DeVries, S., Nicholson, A. D., Li, E., Petit, L., Kahan, J. B., Sanders, J. O., Liu, R. W., Cooperman, D. R., &amp; Smith, B. G. (2018). Humeral head ossification predicts peak height velocity timing and percentage of growth remaining in children. </w:t>
      </w:r>
      <w:r w:rsidRPr="0004591D">
        <w:rPr>
          <w:rFonts w:ascii="Times New Roman" w:hAnsi="Times New Roman"/>
          <w:i/>
          <w:iCs/>
          <w:sz w:val="24"/>
          <w:szCs w:val="24"/>
        </w:rPr>
        <w:t xml:space="preserve">Journal of Pediatric </w:t>
      </w:r>
      <w:proofErr w:type="spellStart"/>
      <w:r w:rsidRPr="0004591D">
        <w:rPr>
          <w:rFonts w:ascii="Times New Roman" w:hAnsi="Times New Roman"/>
          <w:i/>
          <w:iCs/>
          <w:sz w:val="24"/>
          <w:szCs w:val="24"/>
        </w:rPr>
        <w:t>Orthopaedics</w:t>
      </w:r>
      <w:proofErr w:type="spellEnd"/>
      <w:r w:rsidRPr="0004591D">
        <w:rPr>
          <w:rFonts w:ascii="Times New Roman" w:hAnsi="Times New Roman"/>
          <w:i/>
          <w:iCs/>
          <w:sz w:val="24"/>
          <w:szCs w:val="24"/>
        </w:rPr>
        <w:t>, 38</w:t>
      </w:r>
      <w:r w:rsidRPr="0004591D">
        <w:rPr>
          <w:rFonts w:ascii="Times New Roman" w:hAnsi="Times New Roman"/>
          <w:sz w:val="24"/>
          <w:szCs w:val="24"/>
        </w:rPr>
        <w:t xml:space="preserve">(9), e546–e550. </w:t>
      </w:r>
      <w:hyperlink r:id="rId29" w:history="1">
        <w:r w:rsidRPr="0004591D">
          <w:rPr>
            <w:rFonts w:ascii="Times New Roman" w:hAnsi="Times New Roman"/>
            <w:color w:val="0000FF"/>
            <w:sz w:val="24"/>
            <w:szCs w:val="24"/>
            <w:u w:val="single"/>
          </w:rPr>
          <w:t>https://doi.org/10.1097/BPO.0000000000001232</w:t>
        </w:r>
      </w:hyperlink>
    </w:p>
    <w:p w14:paraId="2A1D8A45" w14:textId="7D059CD4"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Loder, R. T., Estle, D. T., Morrison, K., Eggleston, D., Fish, D. N., Greenfield, M. L., &amp; Guire, K. E. (1993). Applicability of the Greulich and Pyle skeletal age standards to black and white children of today. </w:t>
      </w:r>
      <w:r w:rsidRPr="0004591D">
        <w:rPr>
          <w:rFonts w:ascii="Times New Roman" w:hAnsi="Times New Roman"/>
          <w:i/>
          <w:iCs/>
          <w:sz w:val="24"/>
          <w:szCs w:val="24"/>
        </w:rPr>
        <w:t>American Journal of Diseases of Children, 147</w:t>
      </w:r>
      <w:r w:rsidRPr="0004591D">
        <w:rPr>
          <w:rFonts w:ascii="Times New Roman" w:hAnsi="Times New Roman"/>
          <w:sz w:val="24"/>
          <w:szCs w:val="24"/>
        </w:rPr>
        <w:t xml:space="preserve">(12), 1329–1333. </w:t>
      </w:r>
      <w:hyperlink r:id="rId30" w:history="1">
        <w:r w:rsidRPr="0004591D">
          <w:rPr>
            <w:rFonts w:ascii="Times New Roman" w:hAnsi="Times New Roman"/>
            <w:color w:val="0000FF"/>
            <w:sz w:val="24"/>
            <w:szCs w:val="24"/>
            <w:u w:val="single"/>
          </w:rPr>
          <w:t>https://doi.org/10.1001/archpedi.1993.02160360071022</w:t>
        </w:r>
      </w:hyperlink>
    </w:p>
    <w:p w14:paraId="4A4E444B" w14:textId="08EDD396"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Mackay, D. H. (1952). Skeletal maturation in the hand: A study of development in East African children. </w:t>
      </w:r>
      <w:r w:rsidRPr="0004591D">
        <w:rPr>
          <w:rFonts w:ascii="Times New Roman" w:hAnsi="Times New Roman"/>
          <w:i/>
          <w:iCs/>
          <w:sz w:val="24"/>
          <w:szCs w:val="24"/>
        </w:rPr>
        <w:t>Transactions of the Royal Society of Tropical Medicine and Hygiene, 46</w:t>
      </w:r>
      <w:r w:rsidRPr="0004591D">
        <w:rPr>
          <w:rFonts w:ascii="Times New Roman" w:hAnsi="Times New Roman"/>
          <w:sz w:val="24"/>
          <w:szCs w:val="24"/>
        </w:rPr>
        <w:t xml:space="preserve">(2), 135–150. </w:t>
      </w:r>
      <w:hyperlink r:id="rId31" w:history="1">
        <w:r w:rsidRPr="0004591D">
          <w:rPr>
            <w:rFonts w:ascii="Times New Roman" w:hAnsi="Times New Roman"/>
            <w:color w:val="0000FF"/>
            <w:sz w:val="24"/>
            <w:szCs w:val="24"/>
            <w:u w:val="single"/>
          </w:rPr>
          <w:t>https://doi.org/10.1016/0035-9203(52)90086-2</w:t>
        </w:r>
      </w:hyperlink>
    </w:p>
    <w:p w14:paraId="379ED92C" w14:textId="30085C06"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Malina, R. M., Kozieł, S. M., Králik, M., Chrzanowska, M., &amp; Suder, A. (2021). Prediction of maturity offset and age at peak height velocity in a longitudinal series of boys and girls. </w:t>
      </w:r>
      <w:r w:rsidRPr="0004591D">
        <w:rPr>
          <w:rFonts w:ascii="Times New Roman" w:hAnsi="Times New Roman"/>
          <w:i/>
          <w:iCs/>
          <w:sz w:val="24"/>
          <w:szCs w:val="24"/>
        </w:rPr>
        <w:t>American Journal of Human Biology, 33</w:t>
      </w:r>
      <w:r w:rsidRPr="0004591D">
        <w:rPr>
          <w:rFonts w:ascii="Times New Roman" w:hAnsi="Times New Roman"/>
          <w:sz w:val="24"/>
          <w:szCs w:val="24"/>
        </w:rPr>
        <w:t xml:space="preserve">(6), e23551. </w:t>
      </w:r>
      <w:hyperlink r:id="rId32" w:history="1">
        <w:r w:rsidRPr="0004591D">
          <w:rPr>
            <w:rFonts w:ascii="Times New Roman" w:hAnsi="Times New Roman"/>
            <w:color w:val="0000FF"/>
            <w:sz w:val="24"/>
            <w:szCs w:val="24"/>
            <w:u w:val="single"/>
          </w:rPr>
          <w:t>https://doi.org/10.1002/ajhb.23551</w:t>
        </w:r>
      </w:hyperlink>
    </w:p>
    <w:p w14:paraId="63FE4459" w14:textId="33827273" w:rsidR="0004591D" w:rsidRPr="0004591D" w:rsidRDefault="0004591D" w:rsidP="0004591D">
      <w:pPr>
        <w:spacing w:before="100" w:beforeAutospacing="1" w:after="100" w:afterAutospacing="1"/>
        <w:ind w:left="540" w:hanging="540"/>
        <w:jc w:val="both"/>
        <w:rPr>
          <w:rFonts w:ascii="Times New Roman" w:hAnsi="Times New Roman"/>
          <w:sz w:val="24"/>
          <w:szCs w:val="24"/>
          <w:lang w:val="nl-BE"/>
        </w:rPr>
      </w:pPr>
      <w:r w:rsidRPr="0004591D">
        <w:rPr>
          <w:rFonts w:ascii="Times New Roman" w:hAnsi="Times New Roman"/>
          <w:sz w:val="24"/>
          <w:szCs w:val="24"/>
        </w:rPr>
        <w:lastRenderedPageBreak/>
        <w:t xml:space="preserve">Martín Pérez, S. E., Martín Pérez, I. M., Vega González, J. M., Molina Suárez, R., León Hernández, C., Rodríguez Hernández, F., &amp; Herrera Perez, M. (2023). Precision and accuracy of radiological bone age assessment in children among different ethnic groups: A systematic review. </w:t>
      </w:r>
      <w:r w:rsidRPr="0004591D">
        <w:rPr>
          <w:rFonts w:ascii="Times New Roman" w:hAnsi="Times New Roman"/>
          <w:i/>
          <w:iCs/>
          <w:sz w:val="24"/>
          <w:szCs w:val="24"/>
          <w:lang w:val="nl-BE"/>
        </w:rPr>
        <w:t>Diagnostics, 13</w:t>
      </w:r>
      <w:r w:rsidRPr="0004591D">
        <w:rPr>
          <w:rFonts w:ascii="Times New Roman" w:hAnsi="Times New Roman"/>
          <w:sz w:val="24"/>
          <w:szCs w:val="24"/>
          <w:lang w:val="nl-BE"/>
        </w:rPr>
        <w:t xml:space="preserve">(19), 3124. </w:t>
      </w:r>
      <w:hyperlink r:id="rId33" w:history="1">
        <w:r w:rsidRPr="0004591D">
          <w:rPr>
            <w:rFonts w:ascii="Times New Roman" w:hAnsi="Times New Roman"/>
            <w:color w:val="0000FF"/>
            <w:sz w:val="24"/>
            <w:szCs w:val="24"/>
            <w:u w:val="single"/>
            <w:lang w:val="nl-BE"/>
          </w:rPr>
          <w:t>https://doi.org/10.3390/diagnostics13193124</w:t>
        </w:r>
      </w:hyperlink>
    </w:p>
    <w:p w14:paraId="2C910298" w14:textId="676F6714"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lang w:val="nl-BE"/>
        </w:rPr>
        <w:t xml:space="preserve">Massé, G., &amp; Hunt, E. E., Jr. </w:t>
      </w:r>
      <w:r w:rsidRPr="0004591D">
        <w:rPr>
          <w:rFonts w:ascii="Times New Roman" w:hAnsi="Times New Roman"/>
          <w:sz w:val="24"/>
          <w:szCs w:val="24"/>
        </w:rPr>
        <w:t xml:space="preserve">(1963). Skeletal maturation of the hand and wrist in West African children. </w:t>
      </w:r>
      <w:r w:rsidRPr="0004591D">
        <w:rPr>
          <w:rFonts w:ascii="Times New Roman" w:hAnsi="Times New Roman"/>
          <w:i/>
          <w:iCs/>
          <w:sz w:val="24"/>
          <w:szCs w:val="24"/>
        </w:rPr>
        <w:t>Human Biology, 35</w:t>
      </w:r>
      <w:r w:rsidRPr="0004591D">
        <w:rPr>
          <w:rFonts w:ascii="Times New Roman" w:hAnsi="Times New Roman"/>
          <w:sz w:val="24"/>
          <w:szCs w:val="24"/>
        </w:rPr>
        <w:t xml:space="preserve">, 3–25. </w:t>
      </w:r>
      <w:hyperlink r:id="rId34" w:history="1">
        <w:r w:rsidRPr="0004591D">
          <w:rPr>
            <w:rFonts w:ascii="Times New Roman" w:hAnsi="Times New Roman"/>
            <w:color w:val="0000FF"/>
            <w:sz w:val="24"/>
            <w:szCs w:val="24"/>
            <w:u w:val="single"/>
          </w:rPr>
          <w:t>https://pubmed.ncbi.nlm.nih.gov/13933394/</w:t>
        </w:r>
      </w:hyperlink>
    </w:p>
    <w:p w14:paraId="521D4926" w14:textId="2B6B0145"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McMinn, R. M. H. (Ed.). (1994). </w:t>
      </w:r>
      <w:r w:rsidRPr="0004591D">
        <w:rPr>
          <w:rFonts w:ascii="Times New Roman" w:hAnsi="Times New Roman"/>
          <w:i/>
          <w:iCs/>
          <w:sz w:val="24"/>
          <w:szCs w:val="24"/>
        </w:rPr>
        <w:t>Last's anatomy: Regional and applied</w:t>
      </w:r>
      <w:r w:rsidRPr="0004591D">
        <w:rPr>
          <w:rFonts w:ascii="Times New Roman" w:hAnsi="Times New Roman"/>
          <w:sz w:val="24"/>
          <w:szCs w:val="24"/>
        </w:rPr>
        <w:t xml:space="preserve"> (9th ed.). Churchill Livingstone. </w:t>
      </w:r>
      <w:hyperlink r:id="rId35" w:history="1">
        <w:r w:rsidRPr="0004591D">
          <w:rPr>
            <w:rFonts w:ascii="Times New Roman" w:hAnsi="Times New Roman"/>
            <w:color w:val="0000FF"/>
            <w:sz w:val="24"/>
            <w:szCs w:val="24"/>
            <w:u w:val="single"/>
          </w:rPr>
          <w:t>https://opaclibrary.uol.edu.pk/cgi-bin/koha/opac-detail.pl?biblionumber=137</w:t>
        </w:r>
      </w:hyperlink>
    </w:p>
    <w:p w14:paraId="488C1F08" w14:textId="34FB2299"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Milner, G. R., Levick, R. K., &amp; Kay, R. (1986). Assessment of bone age: A comparison of the Greulich and Pyle and the Tanner and Whitehouse methods. </w:t>
      </w:r>
      <w:r w:rsidRPr="0004591D">
        <w:rPr>
          <w:rFonts w:ascii="Times New Roman" w:hAnsi="Times New Roman"/>
          <w:i/>
          <w:iCs/>
          <w:sz w:val="24"/>
          <w:szCs w:val="24"/>
        </w:rPr>
        <w:t>Clinical Radiology, 37</w:t>
      </w:r>
      <w:r w:rsidRPr="0004591D">
        <w:rPr>
          <w:rFonts w:ascii="Times New Roman" w:hAnsi="Times New Roman"/>
          <w:sz w:val="24"/>
          <w:szCs w:val="24"/>
        </w:rPr>
        <w:t xml:space="preserve">(2), 119–121. </w:t>
      </w:r>
      <w:hyperlink r:id="rId36" w:history="1">
        <w:r w:rsidRPr="0004591D">
          <w:rPr>
            <w:rFonts w:ascii="Times New Roman" w:hAnsi="Times New Roman"/>
            <w:color w:val="0000FF"/>
            <w:sz w:val="24"/>
            <w:szCs w:val="24"/>
            <w:u w:val="single"/>
          </w:rPr>
          <w:t>https://doi.org/10.1016/S0009-9260(86)80376-2</w:t>
        </w:r>
      </w:hyperlink>
    </w:p>
    <w:p w14:paraId="428F42C8" w14:textId="67A79D68"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lang w:val="nl-BE"/>
        </w:rPr>
        <w:t xml:space="preserve">Mora, S., Boechat, M. I., Pietka, E., Huang, H. K., &amp; Gilsanz, V. (2001). </w:t>
      </w:r>
      <w:r w:rsidRPr="0004591D">
        <w:rPr>
          <w:rFonts w:ascii="Times New Roman" w:hAnsi="Times New Roman"/>
          <w:sz w:val="24"/>
          <w:szCs w:val="24"/>
        </w:rPr>
        <w:t xml:space="preserve">Skeletal age determinations in children of European and African descent: Applicability of the Greulich and Pyle standards. </w:t>
      </w:r>
      <w:r w:rsidRPr="0004591D">
        <w:rPr>
          <w:rFonts w:ascii="Times New Roman" w:hAnsi="Times New Roman"/>
          <w:i/>
          <w:iCs/>
          <w:sz w:val="24"/>
          <w:szCs w:val="24"/>
        </w:rPr>
        <w:t>Pediatric Research, 50</w:t>
      </w:r>
      <w:r w:rsidRPr="0004591D">
        <w:rPr>
          <w:rFonts w:ascii="Times New Roman" w:hAnsi="Times New Roman"/>
          <w:sz w:val="24"/>
          <w:szCs w:val="24"/>
        </w:rPr>
        <w:t xml:space="preserve">(5), 624–628. </w:t>
      </w:r>
      <w:hyperlink r:id="rId37" w:history="1">
        <w:r w:rsidRPr="0004591D">
          <w:rPr>
            <w:rFonts w:ascii="Times New Roman" w:hAnsi="Times New Roman"/>
            <w:color w:val="0000FF"/>
            <w:sz w:val="24"/>
            <w:szCs w:val="24"/>
            <w:u w:val="single"/>
          </w:rPr>
          <w:t>https://doi.org/10.1203/00006450-200111000-00015</w:t>
        </w:r>
      </w:hyperlink>
    </w:p>
    <w:p w14:paraId="0D01DA6F" w14:textId="12CF5D9B" w:rsidR="0004591D" w:rsidRPr="0004591D" w:rsidRDefault="0004591D" w:rsidP="0004591D">
      <w:pPr>
        <w:spacing w:before="100" w:beforeAutospacing="1" w:after="100" w:afterAutospacing="1"/>
        <w:ind w:left="540" w:hanging="540"/>
        <w:jc w:val="both"/>
        <w:rPr>
          <w:rFonts w:ascii="Times New Roman" w:hAnsi="Times New Roman"/>
          <w:sz w:val="24"/>
          <w:szCs w:val="24"/>
        </w:rPr>
      </w:pPr>
      <w:proofErr w:type="spellStart"/>
      <w:r w:rsidRPr="0004591D">
        <w:rPr>
          <w:rFonts w:ascii="Times New Roman" w:hAnsi="Times New Roman"/>
          <w:sz w:val="24"/>
          <w:szCs w:val="24"/>
        </w:rPr>
        <w:t>Ontell</w:t>
      </w:r>
      <w:proofErr w:type="spellEnd"/>
      <w:r w:rsidRPr="0004591D">
        <w:rPr>
          <w:rFonts w:ascii="Times New Roman" w:hAnsi="Times New Roman"/>
          <w:sz w:val="24"/>
          <w:szCs w:val="24"/>
        </w:rPr>
        <w:t xml:space="preserve">, F. K., Ivanovic, M., Ablin, D. S., &amp; Barlow, T. W. (1996). Bone age in children of diverse ethnicity. </w:t>
      </w:r>
      <w:r w:rsidRPr="0004591D">
        <w:rPr>
          <w:rFonts w:ascii="Times New Roman" w:hAnsi="Times New Roman"/>
          <w:i/>
          <w:iCs/>
          <w:sz w:val="24"/>
          <w:szCs w:val="24"/>
        </w:rPr>
        <w:t>American Journal of Roentgenology, 167</w:t>
      </w:r>
      <w:r w:rsidRPr="0004591D">
        <w:rPr>
          <w:rFonts w:ascii="Times New Roman" w:hAnsi="Times New Roman"/>
          <w:sz w:val="24"/>
          <w:szCs w:val="24"/>
        </w:rPr>
        <w:t xml:space="preserve">(6), 1395–1398. </w:t>
      </w:r>
      <w:hyperlink r:id="rId38" w:history="1">
        <w:r w:rsidRPr="0004591D">
          <w:rPr>
            <w:rFonts w:ascii="Times New Roman" w:hAnsi="Times New Roman"/>
            <w:color w:val="0000FF"/>
            <w:sz w:val="24"/>
            <w:szCs w:val="24"/>
            <w:u w:val="single"/>
          </w:rPr>
          <w:t>https://doi.org/10.2214/ajr.167.6.8956565</w:t>
        </w:r>
      </w:hyperlink>
    </w:p>
    <w:p w14:paraId="1B259DC2" w14:textId="6392088A" w:rsidR="0004591D" w:rsidRPr="0004591D" w:rsidRDefault="0004591D" w:rsidP="0004591D">
      <w:pPr>
        <w:spacing w:before="100" w:beforeAutospacing="1" w:after="100" w:afterAutospacing="1"/>
        <w:ind w:left="540" w:hanging="540"/>
        <w:jc w:val="both"/>
        <w:rPr>
          <w:rFonts w:ascii="Times New Roman" w:hAnsi="Times New Roman"/>
          <w:sz w:val="24"/>
          <w:szCs w:val="24"/>
        </w:rPr>
      </w:pPr>
      <w:proofErr w:type="spellStart"/>
      <w:r w:rsidRPr="0004591D">
        <w:rPr>
          <w:rFonts w:ascii="Times New Roman" w:hAnsi="Times New Roman"/>
          <w:sz w:val="24"/>
          <w:szCs w:val="24"/>
        </w:rPr>
        <w:t>Pinchi</w:t>
      </w:r>
      <w:proofErr w:type="spellEnd"/>
      <w:r w:rsidRPr="0004591D">
        <w:rPr>
          <w:rFonts w:ascii="Times New Roman" w:hAnsi="Times New Roman"/>
          <w:sz w:val="24"/>
          <w:szCs w:val="24"/>
        </w:rPr>
        <w:t xml:space="preserve">, V., De Luca, F., Ricciardi, F., Focardi, M., </w:t>
      </w:r>
      <w:proofErr w:type="spellStart"/>
      <w:r w:rsidRPr="0004591D">
        <w:rPr>
          <w:rFonts w:ascii="Times New Roman" w:hAnsi="Times New Roman"/>
          <w:sz w:val="24"/>
          <w:szCs w:val="24"/>
        </w:rPr>
        <w:t>Piredda</w:t>
      </w:r>
      <w:proofErr w:type="spellEnd"/>
      <w:r w:rsidRPr="0004591D">
        <w:rPr>
          <w:rFonts w:ascii="Times New Roman" w:hAnsi="Times New Roman"/>
          <w:sz w:val="24"/>
          <w:szCs w:val="24"/>
        </w:rPr>
        <w:t xml:space="preserve">, V., Mazzeo, E., &amp; Norelli, G. A. (2014). Skeletal age estimation for forensic purposes: A comparison of GP, TW2 and TW3 methods on an Italian sample. </w:t>
      </w:r>
      <w:r w:rsidRPr="0004591D">
        <w:rPr>
          <w:rFonts w:ascii="Times New Roman" w:hAnsi="Times New Roman"/>
          <w:i/>
          <w:iCs/>
          <w:sz w:val="24"/>
          <w:szCs w:val="24"/>
        </w:rPr>
        <w:t>Forensic Science International, 238</w:t>
      </w:r>
      <w:r w:rsidRPr="0004591D">
        <w:rPr>
          <w:rFonts w:ascii="Times New Roman" w:hAnsi="Times New Roman"/>
          <w:sz w:val="24"/>
          <w:szCs w:val="24"/>
        </w:rPr>
        <w:t xml:space="preserve">, 83–90. </w:t>
      </w:r>
      <w:hyperlink r:id="rId39" w:history="1">
        <w:r w:rsidRPr="0004591D">
          <w:rPr>
            <w:rFonts w:ascii="Times New Roman" w:hAnsi="Times New Roman"/>
            <w:color w:val="0000FF"/>
            <w:sz w:val="24"/>
            <w:szCs w:val="24"/>
            <w:u w:val="single"/>
          </w:rPr>
          <w:t>https://doi.org/10.1016/j.forsciint.2014.02.030</w:t>
        </w:r>
      </w:hyperlink>
    </w:p>
    <w:p w14:paraId="0D21CF41" w14:textId="7EF86A50"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Roche, A. F. (1989). Relative utility of carpal skeletal ages. </w:t>
      </w:r>
      <w:r w:rsidRPr="0004591D">
        <w:rPr>
          <w:rFonts w:ascii="Times New Roman" w:hAnsi="Times New Roman"/>
          <w:i/>
          <w:iCs/>
          <w:sz w:val="24"/>
          <w:szCs w:val="24"/>
        </w:rPr>
        <w:t>American Journal of Human Biology, 1</w:t>
      </w:r>
      <w:r w:rsidRPr="0004591D">
        <w:rPr>
          <w:rFonts w:ascii="Times New Roman" w:hAnsi="Times New Roman"/>
          <w:sz w:val="24"/>
          <w:szCs w:val="24"/>
        </w:rPr>
        <w:t xml:space="preserve">(4), 479–482. </w:t>
      </w:r>
      <w:hyperlink r:id="rId40" w:history="1">
        <w:r w:rsidRPr="0004591D">
          <w:rPr>
            <w:rFonts w:ascii="Times New Roman" w:hAnsi="Times New Roman"/>
            <w:color w:val="0000FF"/>
            <w:sz w:val="24"/>
            <w:szCs w:val="24"/>
            <w:u w:val="single"/>
          </w:rPr>
          <w:t>https://doi.org/10.1002/ajhb.1310010411</w:t>
        </w:r>
      </w:hyperlink>
    </w:p>
    <w:p w14:paraId="6518B7CB" w14:textId="4B06A00F"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Satoh, M. (2015). Bone age: Assessment methods and clinical applications. </w:t>
      </w:r>
      <w:r w:rsidRPr="0004591D">
        <w:rPr>
          <w:rFonts w:ascii="Times New Roman" w:hAnsi="Times New Roman"/>
          <w:i/>
          <w:iCs/>
          <w:sz w:val="24"/>
          <w:szCs w:val="24"/>
        </w:rPr>
        <w:t>Clinical Pediatric Endocrinology, 24</w:t>
      </w:r>
      <w:r w:rsidRPr="0004591D">
        <w:rPr>
          <w:rFonts w:ascii="Times New Roman" w:hAnsi="Times New Roman"/>
          <w:sz w:val="24"/>
          <w:szCs w:val="24"/>
        </w:rPr>
        <w:t xml:space="preserve">(4), 143–152. </w:t>
      </w:r>
      <w:hyperlink r:id="rId41" w:history="1">
        <w:r w:rsidRPr="0004591D">
          <w:rPr>
            <w:rFonts w:ascii="Times New Roman" w:hAnsi="Times New Roman"/>
            <w:color w:val="0000FF"/>
            <w:sz w:val="24"/>
            <w:szCs w:val="24"/>
            <w:u w:val="single"/>
          </w:rPr>
          <w:t>https://doi.org/10.1297/cpe.24.143</w:t>
        </w:r>
      </w:hyperlink>
    </w:p>
    <w:p w14:paraId="004FD605" w14:textId="01586F82"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lang w:val="nl-BE"/>
        </w:rPr>
        <w:t xml:space="preserve">Schaefer, M., Aben, G., &amp; Vogelsberg, C. (2015). </w:t>
      </w:r>
      <w:r w:rsidRPr="0004591D">
        <w:rPr>
          <w:rFonts w:ascii="Times New Roman" w:hAnsi="Times New Roman"/>
          <w:sz w:val="24"/>
          <w:szCs w:val="24"/>
        </w:rPr>
        <w:t xml:space="preserve">A demonstration of appearance and union times of three shoulder ossification centers in adolescent and post-adolescent children. </w:t>
      </w:r>
      <w:r w:rsidRPr="0004591D">
        <w:rPr>
          <w:rFonts w:ascii="Times New Roman" w:hAnsi="Times New Roman"/>
          <w:i/>
          <w:iCs/>
          <w:sz w:val="24"/>
          <w:szCs w:val="24"/>
        </w:rPr>
        <w:t>Journal of Forensic Radiology and Imaging, 3</w:t>
      </w:r>
      <w:r w:rsidRPr="0004591D">
        <w:rPr>
          <w:rFonts w:ascii="Times New Roman" w:hAnsi="Times New Roman"/>
          <w:sz w:val="24"/>
          <w:szCs w:val="24"/>
        </w:rPr>
        <w:t xml:space="preserve">(1), 49–56. </w:t>
      </w:r>
      <w:hyperlink r:id="rId42" w:history="1">
        <w:r w:rsidRPr="0004591D">
          <w:rPr>
            <w:rFonts w:ascii="Times New Roman" w:hAnsi="Times New Roman"/>
            <w:color w:val="0000FF"/>
            <w:sz w:val="24"/>
            <w:szCs w:val="24"/>
            <w:u w:val="single"/>
          </w:rPr>
          <w:t>https://doi.org/10.1016/j.jofri.2014.12.006</w:t>
        </w:r>
      </w:hyperlink>
    </w:p>
    <w:p w14:paraId="11D2272E" w14:textId="6D6AA8BE"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Schmeling, A., Reisinger, W., </w:t>
      </w:r>
      <w:proofErr w:type="spellStart"/>
      <w:r w:rsidRPr="0004591D">
        <w:rPr>
          <w:rFonts w:ascii="Times New Roman" w:hAnsi="Times New Roman"/>
          <w:sz w:val="24"/>
          <w:szCs w:val="24"/>
        </w:rPr>
        <w:t>Loreck</w:t>
      </w:r>
      <w:proofErr w:type="spellEnd"/>
      <w:r w:rsidRPr="0004591D">
        <w:rPr>
          <w:rFonts w:ascii="Times New Roman" w:hAnsi="Times New Roman"/>
          <w:sz w:val="24"/>
          <w:szCs w:val="24"/>
        </w:rPr>
        <w:t xml:space="preserve">, D., </w:t>
      </w:r>
      <w:proofErr w:type="spellStart"/>
      <w:r w:rsidRPr="0004591D">
        <w:rPr>
          <w:rFonts w:ascii="Times New Roman" w:hAnsi="Times New Roman"/>
          <w:sz w:val="24"/>
          <w:szCs w:val="24"/>
        </w:rPr>
        <w:t>Vendura</w:t>
      </w:r>
      <w:proofErr w:type="spellEnd"/>
      <w:r w:rsidRPr="0004591D">
        <w:rPr>
          <w:rFonts w:ascii="Times New Roman" w:hAnsi="Times New Roman"/>
          <w:sz w:val="24"/>
          <w:szCs w:val="24"/>
        </w:rPr>
        <w:t xml:space="preserve">, K., Markus, W., &amp; Geserick, G. (2000). Effects of ethnicity on skeletal maturation: Consequences for forensic age estimations. </w:t>
      </w:r>
      <w:r w:rsidRPr="0004591D">
        <w:rPr>
          <w:rFonts w:ascii="Times New Roman" w:hAnsi="Times New Roman"/>
          <w:i/>
          <w:iCs/>
          <w:sz w:val="24"/>
          <w:szCs w:val="24"/>
        </w:rPr>
        <w:t>International Journal of Legal Medicine, 113</w:t>
      </w:r>
      <w:r w:rsidRPr="0004591D">
        <w:rPr>
          <w:rFonts w:ascii="Times New Roman" w:hAnsi="Times New Roman"/>
          <w:sz w:val="24"/>
          <w:szCs w:val="24"/>
        </w:rPr>
        <w:t xml:space="preserve">(5), 253–258. </w:t>
      </w:r>
      <w:hyperlink r:id="rId43" w:history="1">
        <w:r w:rsidRPr="0004591D">
          <w:rPr>
            <w:rFonts w:ascii="Times New Roman" w:hAnsi="Times New Roman"/>
            <w:color w:val="0000FF"/>
            <w:sz w:val="24"/>
            <w:szCs w:val="24"/>
            <w:u w:val="single"/>
          </w:rPr>
          <w:t>https://doi.org/10.1007/s004149900102</w:t>
        </w:r>
      </w:hyperlink>
    </w:p>
    <w:p w14:paraId="4635CD61" w14:textId="44C06FCD"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Schulze, D., Rother, U., Fuhrmann, A., Richel, S., Faulmann, G., &amp; Heiland, M. (2006). Correlation of age and ossification of the medial clavicular epiphysis using computed tomography. </w:t>
      </w:r>
      <w:r w:rsidRPr="0004591D">
        <w:rPr>
          <w:rFonts w:ascii="Times New Roman" w:hAnsi="Times New Roman"/>
          <w:i/>
          <w:iCs/>
          <w:sz w:val="24"/>
          <w:szCs w:val="24"/>
        </w:rPr>
        <w:t>Forensic Science International, 158</w:t>
      </w:r>
      <w:r w:rsidRPr="0004591D">
        <w:rPr>
          <w:rFonts w:ascii="Times New Roman" w:hAnsi="Times New Roman"/>
          <w:sz w:val="24"/>
          <w:szCs w:val="24"/>
        </w:rPr>
        <w:t xml:space="preserve">(2–3), 184–189. </w:t>
      </w:r>
      <w:hyperlink r:id="rId44" w:history="1">
        <w:r w:rsidRPr="0004591D">
          <w:rPr>
            <w:rFonts w:ascii="Times New Roman" w:hAnsi="Times New Roman"/>
            <w:color w:val="0000FF"/>
            <w:sz w:val="24"/>
            <w:szCs w:val="24"/>
            <w:u w:val="single"/>
          </w:rPr>
          <w:t>https://doi.org/10.1016/j.forsciint.2005.05.033</w:t>
        </w:r>
      </w:hyperlink>
    </w:p>
    <w:p w14:paraId="1914D6E4" w14:textId="2F615FC2"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Tanner, J. M., Whitehouse, R. H., Marshall, W. A., &amp; Carter, B. S. (1975). Prediction of adult height from height, bone age, and occurrence of menarche, at ages 4 to 16 with allowance for midparent height. </w:t>
      </w:r>
      <w:r w:rsidRPr="0004591D">
        <w:rPr>
          <w:rFonts w:ascii="Times New Roman" w:hAnsi="Times New Roman"/>
          <w:i/>
          <w:iCs/>
          <w:sz w:val="24"/>
          <w:szCs w:val="24"/>
        </w:rPr>
        <w:t>Archives of Disease in Childhood, 50</w:t>
      </w:r>
      <w:r w:rsidRPr="0004591D">
        <w:rPr>
          <w:rFonts w:ascii="Times New Roman" w:hAnsi="Times New Roman"/>
          <w:sz w:val="24"/>
          <w:szCs w:val="24"/>
        </w:rPr>
        <w:t xml:space="preserve">(1), 14–26. </w:t>
      </w:r>
      <w:hyperlink r:id="rId45" w:history="1">
        <w:r w:rsidRPr="0004591D">
          <w:rPr>
            <w:rFonts w:ascii="Times New Roman" w:hAnsi="Times New Roman"/>
            <w:color w:val="0000FF"/>
            <w:sz w:val="24"/>
            <w:szCs w:val="24"/>
            <w:u w:val="single"/>
          </w:rPr>
          <w:t>https://doi.org/10.1136/adc.50.1.14</w:t>
        </w:r>
      </w:hyperlink>
    </w:p>
    <w:p w14:paraId="4F84ADE9" w14:textId="4C2EE791" w:rsidR="0004591D" w:rsidRPr="0004591D" w:rsidRDefault="0004591D" w:rsidP="0004591D">
      <w:pPr>
        <w:spacing w:before="100" w:beforeAutospacing="1" w:after="100" w:afterAutospacing="1"/>
        <w:ind w:left="540" w:hanging="540"/>
        <w:jc w:val="both"/>
        <w:rPr>
          <w:rFonts w:ascii="Times New Roman" w:hAnsi="Times New Roman"/>
          <w:sz w:val="24"/>
          <w:szCs w:val="24"/>
        </w:rPr>
      </w:pPr>
      <w:proofErr w:type="spellStart"/>
      <w:r w:rsidRPr="0004591D">
        <w:rPr>
          <w:rFonts w:ascii="Times New Roman" w:hAnsi="Times New Roman"/>
          <w:sz w:val="24"/>
          <w:szCs w:val="24"/>
        </w:rPr>
        <w:t>Tewattanarat</w:t>
      </w:r>
      <w:proofErr w:type="spellEnd"/>
      <w:r w:rsidRPr="0004591D">
        <w:rPr>
          <w:rFonts w:ascii="Times New Roman" w:hAnsi="Times New Roman"/>
          <w:sz w:val="24"/>
          <w:szCs w:val="24"/>
        </w:rPr>
        <w:t xml:space="preserve">, N., </w:t>
      </w:r>
      <w:proofErr w:type="spellStart"/>
      <w:r w:rsidRPr="0004591D">
        <w:rPr>
          <w:rFonts w:ascii="Times New Roman" w:hAnsi="Times New Roman"/>
          <w:sz w:val="24"/>
          <w:szCs w:val="24"/>
        </w:rPr>
        <w:t>Chaisiwamongkol</w:t>
      </w:r>
      <w:proofErr w:type="spellEnd"/>
      <w:r w:rsidRPr="0004591D">
        <w:rPr>
          <w:rFonts w:ascii="Times New Roman" w:hAnsi="Times New Roman"/>
          <w:sz w:val="24"/>
          <w:szCs w:val="24"/>
        </w:rPr>
        <w:t xml:space="preserve">, W., </w:t>
      </w:r>
      <w:proofErr w:type="spellStart"/>
      <w:r w:rsidRPr="0004591D">
        <w:rPr>
          <w:rFonts w:ascii="Times New Roman" w:hAnsi="Times New Roman"/>
          <w:sz w:val="24"/>
          <w:szCs w:val="24"/>
        </w:rPr>
        <w:t>Wiratchotisatian</w:t>
      </w:r>
      <w:proofErr w:type="spellEnd"/>
      <w:r w:rsidRPr="0004591D">
        <w:rPr>
          <w:rFonts w:ascii="Times New Roman" w:hAnsi="Times New Roman"/>
          <w:sz w:val="24"/>
          <w:szCs w:val="24"/>
        </w:rPr>
        <w:t xml:space="preserve">, P., </w:t>
      </w:r>
      <w:proofErr w:type="spellStart"/>
      <w:r w:rsidRPr="0004591D">
        <w:rPr>
          <w:rFonts w:ascii="Times New Roman" w:hAnsi="Times New Roman"/>
          <w:sz w:val="24"/>
          <w:szCs w:val="24"/>
        </w:rPr>
        <w:t>Paisarnsrisomsuk</w:t>
      </w:r>
      <w:proofErr w:type="spellEnd"/>
      <w:r w:rsidRPr="0004591D">
        <w:rPr>
          <w:rFonts w:ascii="Times New Roman" w:hAnsi="Times New Roman"/>
          <w:sz w:val="24"/>
          <w:szCs w:val="24"/>
        </w:rPr>
        <w:t xml:space="preserve">, S., </w:t>
      </w:r>
      <w:proofErr w:type="spellStart"/>
      <w:r w:rsidRPr="0004591D">
        <w:rPr>
          <w:rFonts w:ascii="Times New Roman" w:hAnsi="Times New Roman"/>
          <w:sz w:val="24"/>
          <w:szCs w:val="24"/>
        </w:rPr>
        <w:t>Hanpinitsak</w:t>
      </w:r>
      <w:proofErr w:type="spellEnd"/>
      <w:r w:rsidRPr="0004591D">
        <w:rPr>
          <w:rFonts w:ascii="Times New Roman" w:hAnsi="Times New Roman"/>
          <w:sz w:val="24"/>
          <w:szCs w:val="24"/>
        </w:rPr>
        <w:t xml:space="preserve">, P., Tangprasert, K., </w:t>
      </w:r>
      <w:proofErr w:type="spellStart"/>
      <w:r w:rsidRPr="0004591D">
        <w:rPr>
          <w:rFonts w:ascii="Times New Roman" w:hAnsi="Times New Roman"/>
          <w:sz w:val="24"/>
          <w:szCs w:val="24"/>
        </w:rPr>
        <w:t>Poonpol</w:t>
      </w:r>
      <w:proofErr w:type="spellEnd"/>
      <w:r w:rsidRPr="0004591D">
        <w:rPr>
          <w:rFonts w:ascii="Times New Roman" w:hAnsi="Times New Roman"/>
          <w:sz w:val="24"/>
          <w:szCs w:val="24"/>
        </w:rPr>
        <w:t xml:space="preserve">, C., </w:t>
      </w:r>
      <w:proofErr w:type="spellStart"/>
      <w:r w:rsidRPr="0004591D">
        <w:rPr>
          <w:rFonts w:ascii="Times New Roman" w:hAnsi="Times New Roman"/>
          <w:sz w:val="24"/>
          <w:szCs w:val="24"/>
        </w:rPr>
        <w:t>Pansukrada</w:t>
      </w:r>
      <w:proofErr w:type="spellEnd"/>
      <w:r w:rsidRPr="0004591D">
        <w:rPr>
          <w:rFonts w:ascii="Times New Roman" w:hAnsi="Times New Roman"/>
          <w:sz w:val="24"/>
          <w:szCs w:val="24"/>
        </w:rPr>
        <w:t xml:space="preserve">, C., </w:t>
      </w:r>
      <w:proofErr w:type="spellStart"/>
      <w:r w:rsidRPr="0004591D">
        <w:rPr>
          <w:rFonts w:ascii="Times New Roman" w:hAnsi="Times New Roman"/>
          <w:sz w:val="24"/>
          <w:szCs w:val="24"/>
        </w:rPr>
        <w:t>Thaowandee</w:t>
      </w:r>
      <w:proofErr w:type="spellEnd"/>
      <w:r w:rsidRPr="0004591D">
        <w:rPr>
          <w:rFonts w:ascii="Times New Roman" w:hAnsi="Times New Roman"/>
          <w:sz w:val="24"/>
          <w:szCs w:val="24"/>
        </w:rPr>
        <w:t xml:space="preserve">, W., &amp; </w:t>
      </w:r>
      <w:proofErr w:type="spellStart"/>
      <w:r w:rsidRPr="0004591D">
        <w:rPr>
          <w:rFonts w:ascii="Times New Roman" w:hAnsi="Times New Roman"/>
          <w:sz w:val="24"/>
          <w:szCs w:val="24"/>
        </w:rPr>
        <w:t>Chaisiwamongkol</w:t>
      </w:r>
      <w:proofErr w:type="spellEnd"/>
      <w:r w:rsidRPr="0004591D">
        <w:rPr>
          <w:rFonts w:ascii="Times New Roman" w:hAnsi="Times New Roman"/>
          <w:sz w:val="24"/>
          <w:szCs w:val="24"/>
        </w:rPr>
        <w:t xml:space="preserve">, R. (2026). Bone age </w:t>
      </w:r>
      <w:r w:rsidRPr="0004591D">
        <w:rPr>
          <w:rFonts w:ascii="Times New Roman" w:hAnsi="Times New Roman"/>
          <w:sz w:val="24"/>
          <w:szCs w:val="24"/>
        </w:rPr>
        <w:lastRenderedPageBreak/>
        <w:t xml:space="preserve">assessment: Comparative analysis of Greulich-Pyle and Tanner-Whitehouse 3 by pediatric radiologists and endocrinologists. </w:t>
      </w:r>
      <w:r w:rsidRPr="0004591D">
        <w:rPr>
          <w:rFonts w:ascii="Times New Roman" w:hAnsi="Times New Roman"/>
          <w:i/>
          <w:iCs/>
          <w:sz w:val="24"/>
          <w:szCs w:val="24"/>
        </w:rPr>
        <w:t>BMC Medical Imaging, 26</w:t>
      </w:r>
      <w:r w:rsidRPr="0004591D">
        <w:rPr>
          <w:rFonts w:ascii="Times New Roman" w:hAnsi="Times New Roman"/>
          <w:sz w:val="24"/>
          <w:szCs w:val="24"/>
        </w:rPr>
        <w:t xml:space="preserve">, 210. </w:t>
      </w:r>
      <w:hyperlink r:id="rId46" w:history="1">
        <w:r w:rsidRPr="0004591D">
          <w:rPr>
            <w:rFonts w:ascii="Times New Roman" w:hAnsi="Times New Roman"/>
            <w:color w:val="0000FF"/>
            <w:sz w:val="24"/>
            <w:szCs w:val="24"/>
            <w:u w:val="single"/>
          </w:rPr>
          <w:t>https://doi.org/10.1186/s12880-026-02350-y</w:t>
        </w:r>
      </w:hyperlink>
    </w:p>
    <w:p w14:paraId="3010AF9E" w14:textId="01DA1EDA"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rPr>
        <w:t xml:space="preserve">Tsuru, T., Inoue, S., Edo, H., Suzuki, S., Imai, K., Nozaki, T., &amp; </w:t>
      </w:r>
      <w:proofErr w:type="spellStart"/>
      <w:r w:rsidRPr="0004591D">
        <w:rPr>
          <w:rFonts w:ascii="Times New Roman" w:hAnsi="Times New Roman"/>
          <w:sz w:val="24"/>
          <w:szCs w:val="24"/>
        </w:rPr>
        <w:t>Shinmoto</w:t>
      </w:r>
      <w:proofErr w:type="spellEnd"/>
      <w:r w:rsidRPr="0004591D">
        <w:rPr>
          <w:rFonts w:ascii="Times New Roman" w:hAnsi="Times New Roman"/>
          <w:sz w:val="24"/>
          <w:szCs w:val="24"/>
        </w:rPr>
        <w:t xml:space="preserve">, H. (2026). A practical tip for estimating skeletal maturation in children aged &lt;3 years using humeral ossification on chest radiographs: A retrospective study. </w:t>
      </w:r>
      <w:r w:rsidRPr="0004591D">
        <w:rPr>
          <w:rFonts w:ascii="Times New Roman" w:hAnsi="Times New Roman"/>
          <w:i/>
          <w:iCs/>
          <w:sz w:val="24"/>
          <w:szCs w:val="24"/>
        </w:rPr>
        <w:t>European Journal of Pediatrics, 185</w:t>
      </w:r>
      <w:r w:rsidRPr="0004591D">
        <w:rPr>
          <w:rFonts w:ascii="Times New Roman" w:hAnsi="Times New Roman"/>
          <w:sz w:val="24"/>
          <w:szCs w:val="24"/>
        </w:rPr>
        <w:t xml:space="preserve">, 111. </w:t>
      </w:r>
      <w:hyperlink r:id="rId47" w:history="1">
        <w:r w:rsidRPr="0004591D">
          <w:rPr>
            <w:rFonts w:ascii="Times New Roman" w:hAnsi="Times New Roman"/>
            <w:color w:val="0000FF"/>
            <w:sz w:val="24"/>
            <w:szCs w:val="24"/>
            <w:u w:val="single"/>
          </w:rPr>
          <w:t>https://doi.org/10.1007/s00431-026-06760-6</w:t>
        </w:r>
      </w:hyperlink>
    </w:p>
    <w:p w14:paraId="0B2E106D" w14:textId="35E4489E" w:rsidR="0004591D" w:rsidRPr="0004591D" w:rsidRDefault="0004591D" w:rsidP="0004591D">
      <w:pPr>
        <w:spacing w:before="100" w:beforeAutospacing="1" w:after="100" w:afterAutospacing="1"/>
        <w:ind w:left="540" w:hanging="540"/>
        <w:jc w:val="both"/>
        <w:rPr>
          <w:rFonts w:ascii="Times New Roman" w:hAnsi="Times New Roman"/>
          <w:sz w:val="24"/>
          <w:szCs w:val="24"/>
        </w:rPr>
      </w:pPr>
      <w:proofErr w:type="spellStart"/>
      <w:r w:rsidRPr="0004591D">
        <w:rPr>
          <w:rFonts w:ascii="Times New Roman" w:hAnsi="Times New Roman"/>
          <w:sz w:val="24"/>
          <w:szCs w:val="24"/>
        </w:rPr>
        <w:t>Udoaka</w:t>
      </w:r>
      <w:proofErr w:type="spellEnd"/>
      <w:r w:rsidRPr="0004591D">
        <w:rPr>
          <w:rFonts w:ascii="Times New Roman" w:hAnsi="Times New Roman"/>
          <w:sz w:val="24"/>
          <w:szCs w:val="24"/>
        </w:rPr>
        <w:t xml:space="preserve">, A. I., Didia, B. C., &amp; Madueke, S. C. (2016). Determination of skeletal age in Nigerian children: </w:t>
      </w:r>
      <w:proofErr w:type="spellStart"/>
      <w:r w:rsidRPr="0004591D">
        <w:rPr>
          <w:rFonts w:ascii="Times New Roman" w:hAnsi="Times New Roman"/>
          <w:sz w:val="24"/>
          <w:szCs w:val="24"/>
        </w:rPr>
        <w:t>Applicalibility</w:t>
      </w:r>
      <w:proofErr w:type="spellEnd"/>
      <w:r w:rsidRPr="0004591D">
        <w:rPr>
          <w:rFonts w:ascii="Times New Roman" w:hAnsi="Times New Roman"/>
          <w:sz w:val="24"/>
          <w:szCs w:val="24"/>
        </w:rPr>
        <w:t xml:space="preserve"> of the Greulich and Pyle atlas. </w:t>
      </w:r>
      <w:r w:rsidRPr="0004591D">
        <w:rPr>
          <w:rFonts w:ascii="Times New Roman" w:hAnsi="Times New Roman"/>
          <w:i/>
          <w:iCs/>
          <w:sz w:val="24"/>
          <w:szCs w:val="24"/>
        </w:rPr>
        <w:t>ARC Journal of Forensic Science, 1</w:t>
      </w:r>
      <w:r w:rsidRPr="0004591D">
        <w:rPr>
          <w:rFonts w:ascii="Times New Roman" w:hAnsi="Times New Roman"/>
          <w:sz w:val="24"/>
          <w:szCs w:val="24"/>
        </w:rPr>
        <w:t xml:space="preserve">(1), 13–16. </w:t>
      </w:r>
      <w:hyperlink r:id="rId48" w:history="1">
        <w:r w:rsidRPr="0004591D">
          <w:rPr>
            <w:rFonts w:ascii="Times New Roman" w:hAnsi="Times New Roman"/>
            <w:color w:val="0000FF"/>
            <w:sz w:val="24"/>
            <w:szCs w:val="24"/>
            <w:u w:val="single"/>
          </w:rPr>
          <w:t>https://doi.org/10.20431/2456-0049.0101003</w:t>
        </w:r>
      </w:hyperlink>
    </w:p>
    <w:p w14:paraId="0138D8C7" w14:textId="5AD3AE4A" w:rsidR="0004591D" w:rsidRPr="0004591D" w:rsidRDefault="0004591D" w:rsidP="0004591D">
      <w:pPr>
        <w:spacing w:before="100" w:beforeAutospacing="1" w:after="100" w:afterAutospacing="1"/>
        <w:ind w:left="540" w:hanging="540"/>
        <w:jc w:val="both"/>
        <w:rPr>
          <w:rFonts w:ascii="Times New Roman" w:hAnsi="Times New Roman"/>
          <w:sz w:val="24"/>
          <w:szCs w:val="24"/>
        </w:rPr>
      </w:pPr>
      <w:r w:rsidRPr="0004591D">
        <w:rPr>
          <w:rFonts w:ascii="Times New Roman" w:hAnsi="Times New Roman"/>
          <w:sz w:val="24"/>
          <w:szCs w:val="24"/>
          <w:lang w:val="nl-BE"/>
        </w:rPr>
        <w:t xml:space="preserve">Wittschieber, D., Schulz, R., Pfeiffer, H., Schmeling, A., &amp; Schmidt, S. (2017). </w:t>
      </w:r>
      <w:r w:rsidRPr="0004591D">
        <w:rPr>
          <w:rFonts w:ascii="Times New Roman" w:hAnsi="Times New Roman"/>
          <w:sz w:val="24"/>
          <w:szCs w:val="24"/>
        </w:rPr>
        <w:t xml:space="preserve">Systematic procedure for identifying the five main ossification stages of the medial clavicular epiphysis using computed tomography: A practical proposal for forensic age diagnostics. </w:t>
      </w:r>
      <w:r w:rsidRPr="0004591D">
        <w:rPr>
          <w:rFonts w:ascii="Times New Roman" w:hAnsi="Times New Roman"/>
          <w:i/>
          <w:iCs/>
          <w:sz w:val="24"/>
          <w:szCs w:val="24"/>
        </w:rPr>
        <w:t>International Journal of Legal Medicine, 131</w:t>
      </w:r>
      <w:r w:rsidRPr="0004591D">
        <w:rPr>
          <w:rFonts w:ascii="Times New Roman" w:hAnsi="Times New Roman"/>
          <w:sz w:val="24"/>
          <w:szCs w:val="24"/>
        </w:rPr>
        <w:t xml:space="preserve">(1), 217–224. </w:t>
      </w:r>
      <w:hyperlink r:id="rId49" w:history="1">
        <w:r w:rsidRPr="0004591D">
          <w:rPr>
            <w:rFonts w:ascii="Times New Roman" w:hAnsi="Times New Roman"/>
            <w:color w:val="0000FF"/>
            <w:sz w:val="24"/>
            <w:szCs w:val="24"/>
            <w:u w:val="single"/>
          </w:rPr>
          <w:t>https://doi.org/10.1007/s00414-016-1444-y</w:t>
        </w:r>
      </w:hyperlink>
    </w:p>
    <w:p w14:paraId="0E5C40D5" w14:textId="77777777" w:rsidR="00B01FCD" w:rsidRPr="00FB3A86" w:rsidRDefault="00B01FCD" w:rsidP="00441B6F">
      <w:pPr>
        <w:pStyle w:val="Appendix"/>
        <w:spacing w:after="0"/>
        <w:jc w:val="both"/>
        <w:rPr>
          <w:rFonts w:ascii="Arial" w:hAnsi="Arial" w:cs="Arial"/>
          <w:b w:val="0"/>
        </w:rPr>
      </w:pPr>
    </w:p>
    <w:sectPr w:rsidR="00B01FCD" w:rsidRPr="00FB3A86" w:rsidSect="00D0549B">
      <w:headerReference w:type="even" r:id="rId50"/>
      <w:headerReference w:type="default" r:id="rId51"/>
      <w:footerReference w:type="default" r:id="rId52"/>
      <w:headerReference w:type="first" r:id="rId5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0625E" w14:textId="77777777" w:rsidR="0066311E" w:rsidRDefault="0066311E" w:rsidP="00C37E61">
      <w:r>
        <w:separator/>
      </w:r>
    </w:p>
  </w:endnote>
  <w:endnote w:type="continuationSeparator" w:id="0">
    <w:p w14:paraId="38DCF8B6" w14:textId="77777777" w:rsidR="0066311E" w:rsidRDefault="0066311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953C" w14:textId="77777777" w:rsidR="00061F38" w:rsidRDefault="00061F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F339" w14:textId="77777777" w:rsidR="00061F38" w:rsidRDefault="00061F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A34B5" w14:textId="77777777" w:rsidR="00754C9A" w:rsidRPr="00061F38" w:rsidRDefault="00754C9A" w:rsidP="00061F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B9ED"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BC1BF" w14:textId="77777777" w:rsidR="0066311E" w:rsidRDefault="0066311E" w:rsidP="00C37E61">
      <w:r>
        <w:separator/>
      </w:r>
    </w:p>
  </w:footnote>
  <w:footnote w:type="continuationSeparator" w:id="0">
    <w:p w14:paraId="1574E4B3" w14:textId="77777777" w:rsidR="0066311E" w:rsidRDefault="0066311E"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F5E60" w14:textId="77777777" w:rsidR="00061F38" w:rsidRDefault="00000000">
    <w:pPr>
      <w:pStyle w:val="Header"/>
    </w:pPr>
    <w:r>
      <w:rPr>
        <w:noProof/>
      </w:rPr>
      <w:pict w14:anchorId="0913C9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29"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BDE4D" w14:textId="77777777" w:rsidR="00061F38" w:rsidRDefault="00000000">
    <w:pPr>
      <w:pStyle w:val="Header"/>
    </w:pPr>
    <w:r>
      <w:rPr>
        <w:noProof/>
      </w:rPr>
      <w:pict w14:anchorId="49914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30"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3675" w14:textId="77777777" w:rsidR="00296529" w:rsidRPr="00296529" w:rsidRDefault="00000000" w:rsidP="00296529">
    <w:pPr>
      <w:ind w:left="2160"/>
      <w:jc w:val="center"/>
      <w:rPr>
        <w:rFonts w:ascii="Times New Roman" w:eastAsia="Calibri" w:hAnsi="Times New Roman"/>
        <w:i/>
        <w:sz w:val="18"/>
        <w:szCs w:val="22"/>
      </w:rPr>
    </w:pPr>
    <w:r>
      <w:rPr>
        <w:noProof/>
      </w:rPr>
      <w:pict w14:anchorId="57826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28"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8F4EF7D"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7943EBD"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D37B891"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DB07FB2"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71FB48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65D18A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B76A" w14:textId="77777777" w:rsidR="00061F38" w:rsidRDefault="00000000">
    <w:pPr>
      <w:pStyle w:val="Header"/>
    </w:pPr>
    <w:r>
      <w:rPr>
        <w:noProof/>
      </w:rPr>
      <w:pict w14:anchorId="3536CA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32"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84F7E6C">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B024" w14:textId="77777777" w:rsidR="00061F38" w:rsidRDefault="00000000">
    <w:pPr>
      <w:pStyle w:val="Header"/>
    </w:pPr>
    <w:r>
      <w:rPr>
        <w:noProof/>
      </w:rPr>
      <w:pict w14:anchorId="689ECE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33"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22FCFFB">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FA862" w14:textId="77777777" w:rsidR="00061F38" w:rsidRPr="00296529" w:rsidRDefault="00000000" w:rsidP="00296529">
    <w:pPr>
      <w:ind w:left="2160"/>
      <w:jc w:val="center"/>
      <w:rPr>
        <w:rFonts w:ascii="Times New Roman" w:eastAsia="Calibri" w:hAnsi="Times New Roman"/>
        <w:i/>
        <w:sz w:val="18"/>
        <w:szCs w:val="22"/>
      </w:rPr>
    </w:pPr>
    <w:r>
      <w:rPr>
        <w:noProof/>
      </w:rPr>
      <w:pict w14:anchorId="163842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68831"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4C69005">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60B9C74" w14:textId="77777777" w:rsidR="00061F38" w:rsidRPr="00296529" w:rsidRDefault="00061F38"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67DFADC" w14:textId="77777777" w:rsidR="00061F38" w:rsidRPr="00296529" w:rsidRDefault="00061F38"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A0DB945" w14:textId="77777777" w:rsidR="00061F38" w:rsidRPr="00296529" w:rsidRDefault="00061F38"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B893C65" w14:textId="77777777" w:rsidR="00061F38" w:rsidRDefault="00061F38"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ADECE99" w14:textId="77777777" w:rsidR="00061F38" w:rsidRDefault="00061F38"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0A8B09B" w14:textId="77777777" w:rsidR="00061F38" w:rsidRDefault="00061F38">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1A17227"/>
    <w:multiLevelType w:val="hybridMultilevel"/>
    <w:tmpl w:val="547EC77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88318EA"/>
    <w:multiLevelType w:val="hybridMultilevel"/>
    <w:tmpl w:val="E3C49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6"/>
  </w:num>
  <w:num w:numId="3" w16cid:durableId="270210722">
    <w:abstractNumId w:val="24"/>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6"/>
  </w:num>
  <w:num w:numId="10" w16cid:durableId="1967344970">
    <w:abstractNumId w:val="2"/>
  </w:num>
  <w:num w:numId="11" w16cid:durableId="412317892">
    <w:abstractNumId w:val="19"/>
  </w:num>
  <w:num w:numId="12" w16cid:durableId="1162699396">
    <w:abstractNumId w:val="3"/>
  </w:num>
  <w:num w:numId="13" w16cid:durableId="1799378455">
    <w:abstractNumId w:val="18"/>
  </w:num>
  <w:num w:numId="14" w16cid:durableId="1847285408">
    <w:abstractNumId w:val="8"/>
  </w:num>
  <w:num w:numId="15" w16cid:durableId="302076680">
    <w:abstractNumId w:val="22"/>
  </w:num>
  <w:num w:numId="16" w16cid:durableId="2101171267">
    <w:abstractNumId w:val="5"/>
  </w:num>
  <w:num w:numId="17" w16cid:durableId="2095474162">
    <w:abstractNumId w:val="23"/>
  </w:num>
  <w:num w:numId="18" w16cid:durableId="726026076">
    <w:abstractNumId w:val="14"/>
  </w:num>
  <w:num w:numId="19" w16cid:durableId="1507742585">
    <w:abstractNumId w:val="30"/>
  </w:num>
  <w:num w:numId="20" w16cid:durableId="1414359059">
    <w:abstractNumId w:val="11"/>
  </w:num>
  <w:num w:numId="21" w16cid:durableId="780808669">
    <w:abstractNumId w:val="9"/>
  </w:num>
  <w:num w:numId="22" w16cid:durableId="85656562">
    <w:abstractNumId w:val="13"/>
  </w:num>
  <w:num w:numId="23" w16cid:durableId="1114595123">
    <w:abstractNumId w:val="20"/>
  </w:num>
  <w:num w:numId="24" w16cid:durableId="1717074228">
    <w:abstractNumId w:val="28"/>
  </w:num>
  <w:num w:numId="25" w16cid:durableId="1206672560">
    <w:abstractNumId w:val="4"/>
  </w:num>
  <w:num w:numId="26" w16cid:durableId="121193178">
    <w:abstractNumId w:val="17"/>
  </w:num>
  <w:num w:numId="27" w16cid:durableId="1448308770">
    <w:abstractNumId w:val="21"/>
  </w:num>
  <w:num w:numId="28" w16cid:durableId="2027902646">
    <w:abstractNumId w:val="29"/>
  </w:num>
  <w:num w:numId="29" w16cid:durableId="452793216">
    <w:abstractNumId w:val="25"/>
  </w:num>
  <w:num w:numId="30" w16cid:durableId="511115286">
    <w:abstractNumId w:val="10"/>
  </w:num>
  <w:num w:numId="31" w16cid:durableId="1424835054">
    <w:abstractNumId w:val="27"/>
  </w:num>
  <w:num w:numId="32" w16cid:durableId="20697172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UzMzY3NTI0MTAzNTNW0lEKTi0uzszPAykwrAUAaGjdBCwAAAA="/>
  </w:docVars>
  <w:rsids>
    <w:rsidRoot w:val="00AA6219"/>
    <w:rsid w:val="00000F8F"/>
    <w:rsid w:val="00004603"/>
    <w:rsid w:val="00030174"/>
    <w:rsid w:val="00031FE6"/>
    <w:rsid w:val="0004579C"/>
    <w:rsid w:val="0004591D"/>
    <w:rsid w:val="000554F4"/>
    <w:rsid w:val="00061F38"/>
    <w:rsid w:val="00093B73"/>
    <w:rsid w:val="000A47FA"/>
    <w:rsid w:val="000A5C14"/>
    <w:rsid w:val="000A65D3"/>
    <w:rsid w:val="000B1E33"/>
    <w:rsid w:val="000D689F"/>
    <w:rsid w:val="000E7B7B"/>
    <w:rsid w:val="000E7D62"/>
    <w:rsid w:val="00103357"/>
    <w:rsid w:val="001130CB"/>
    <w:rsid w:val="00123C9F"/>
    <w:rsid w:val="00126190"/>
    <w:rsid w:val="00130F17"/>
    <w:rsid w:val="001320BF"/>
    <w:rsid w:val="00163BC4"/>
    <w:rsid w:val="00191062"/>
    <w:rsid w:val="00192B72"/>
    <w:rsid w:val="001A210F"/>
    <w:rsid w:val="001A29D8"/>
    <w:rsid w:val="001A5CAA"/>
    <w:rsid w:val="001A7240"/>
    <w:rsid w:val="001B0427"/>
    <w:rsid w:val="001D3A51"/>
    <w:rsid w:val="001E10D2"/>
    <w:rsid w:val="001E25B4"/>
    <w:rsid w:val="001E44FE"/>
    <w:rsid w:val="00200595"/>
    <w:rsid w:val="00204281"/>
    <w:rsid w:val="00204835"/>
    <w:rsid w:val="00231920"/>
    <w:rsid w:val="0023195C"/>
    <w:rsid w:val="0024208D"/>
    <w:rsid w:val="0024282C"/>
    <w:rsid w:val="002460DC"/>
    <w:rsid w:val="00250985"/>
    <w:rsid w:val="002556F6"/>
    <w:rsid w:val="00283105"/>
    <w:rsid w:val="00284C4C"/>
    <w:rsid w:val="00287E68"/>
    <w:rsid w:val="00296529"/>
    <w:rsid w:val="00297885"/>
    <w:rsid w:val="002B27FB"/>
    <w:rsid w:val="002B685A"/>
    <w:rsid w:val="002C57D2"/>
    <w:rsid w:val="002E0D56"/>
    <w:rsid w:val="0031007D"/>
    <w:rsid w:val="00315186"/>
    <w:rsid w:val="0033343E"/>
    <w:rsid w:val="003512C2"/>
    <w:rsid w:val="00371FB6"/>
    <w:rsid w:val="003755E0"/>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84DA0"/>
    <w:rsid w:val="004D305E"/>
    <w:rsid w:val="004D4277"/>
    <w:rsid w:val="00502516"/>
    <w:rsid w:val="00505F06"/>
    <w:rsid w:val="00506828"/>
    <w:rsid w:val="0053056E"/>
    <w:rsid w:val="00534BAA"/>
    <w:rsid w:val="005372B8"/>
    <w:rsid w:val="00554FDA"/>
    <w:rsid w:val="005C784C"/>
    <w:rsid w:val="005D17F6"/>
    <w:rsid w:val="005E5539"/>
    <w:rsid w:val="00602BF5"/>
    <w:rsid w:val="00617FDD"/>
    <w:rsid w:val="00633614"/>
    <w:rsid w:val="00633F68"/>
    <w:rsid w:val="00636EB2"/>
    <w:rsid w:val="006375B8"/>
    <w:rsid w:val="0066311E"/>
    <w:rsid w:val="0066510A"/>
    <w:rsid w:val="00673F9F"/>
    <w:rsid w:val="00686953"/>
    <w:rsid w:val="00687DEA"/>
    <w:rsid w:val="00687E67"/>
    <w:rsid w:val="006967F7"/>
    <w:rsid w:val="006A250C"/>
    <w:rsid w:val="006B21D3"/>
    <w:rsid w:val="006B57D0"/>
    <w:rsid w:val="006D30FF"/>
    <w:rsid w:val="006D5E3F"/>
    <w:rsid w:val="006D6940"/>
    <w:rsid w:val="006E2353"/>
    <w:rsid w:val="006F11EC"/>
    <w:rsid w:val="0070082C"/>
    <w:rsid w:val="00730544"/>
    <w:rsid w:val="007369E6"/>
    <w:rsid w:val="00746E59"/>
    <w:rsid w:val="00754C9A"/>
    <w:rsid w:val="0075599A"/>
    <w:rsid w:val="00761D52"/>
    <w:rsid w:val="0077749E"/>
    <w:rsid w:val="00790ADA"/>
    <w:rsid w:val="007D2288"/>
    <w:rsid w:val="007E088F"/>
    <w:rsid w:val="007F7B32"/>
    <w:rsid w:val="00804BC2"/>
    <w:rsid w:val="0081431A"/>
    <w:rsid w:val="00825B01"/>
    <w:rsid w:val="0083216F"/>
    <w:rsid w:val="00860000"/>
    <w:rsid w:val="00863BD3"/>
    <w:rsid w:val="008641ED"/>
    <w:rsid w:val="00866D66"/>
    <w:rsid w:val="008671C6"/>
    <w:rsid w:val="008740E2"/>
    <w:rsid w:val="00875803"/>
    <w:rsid w:val="008B459E"/>
    <w:rsid w:val="008E13AE"/>
    <w:rsid w:val="008E1506"/>
    <w:rsid w:val="008E710C"/>
    <w:rsid w:val="008F015E"/>
    <w:rsid w:val="008F69D6"/>
    <w:rsid w:val="00902823"/>
    <w:rsid w:val="009068FB"/>
    <w:rsid w:val="00915CA6"/>
    <w:rsid w:val="00927834"/>
    <w:rsid w:val="009500A6"/>
    <w:rsid w:val="00950995"/>
    <w:rsid w:val="00957C18"/>
    <w:rsid w:val="009659BA"/>
    <w:rsid w:val="00981788"/>
    <w:rsid w:val="00983040"/>
    <w:rsid w:val="009B3FB9"/>
    <w:rsid w:val="009B48C7"/>
    <w:rsid w:val="009C2465"/>
    <w:rsid w:val="009D35A0"/>
    <w:rsid w:val="009D7EB7"/>
    <w:rsid w:val="009E048A"/>
    <w:rsid w:val="009E08E9"/>
    <w:rsid w:val="009E3DB9"/>
    <w:rsid w:val="009E6E35"/>
    <w:rsid w:val="009F0EDA"/>
    <w:rsid w:val="009F6DFF"/>
    <w:rsid w:val="00A03B96"/>
    <w:rsid w:val="00A05B19"/>
    <w:rsid w:val="00A1134E"/>
    <w:rsid w:val="00A24E7E"/>
    <w:rsid w:val="00A258C3"/>
    <w:rsid w:val="00A347C0"/>
    <w:rsid w:val="00A51431"/>
    <w:rsid w:val="00A539AD"/>
    <w:rsid w:val="00A94063"/>
    <w:rsid w:val="00AA6219"/>
    <w:rsid w:val="00AA74E0"/>
    <w:rsid w:val="00AB703F"/>
    <w:rsid w:val="00AC601A"/>
    <w:rsid w:val="00AC6BB8"/>
    <w:rsid w:val="00AE008F"/>
    <w:rsid w:val="00B01FCD"/>
    <w:rsid w:val="00B1776C"/>
    <w:rsid w:val="00B52583"/>
    <w:rsid w:val="00B52896"/>
    <w:rsid w:val="00B95236"/>
    <w:rsid w:val="00B96BD9"/>
    <w:rsid w:val="00BA1B01"/>
    <w:rsid w:val="00BA2641"/>
    <w:rsid w:val="00BA5939"/>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2ACB"/>
    <w:rsid w:val="00C93CAA"/>
    <w:rsid w:val="00CD6755"/>
    <w:rsid w:val="00CD6856"/>
    <w:rsid w:val="00CD7760"/>
    <w:rsid w:val="00CE0089"/>
    <w:rsid w:val="00CE793C"/>
    <w:rsid w:val="00CF193C"/>
    <w:rsid w:val="00D0549B"/>
    <w:rsid w:val="00D173F1"/>
    <w:rsid w:val="00D36784"/>
    <w:rsid w:val="00D46B07"/>
    <w:rsid w:val="00D52159"/>
    <w:rsid w:val="00D74CB0"/>
    <w:rsid w:val="00D8295D"/>
    <w:rsid w:val="00D85FE1"/>
    <w:rsid w:val="00DC2A65"/>
    <w:rsid w:val="00DE15F0"/>
    <w:rsid w:val="00DE5663"/>
    <w:rsid w:val="00DE78AA"/>
    <w:rsid w:val="00E053D0"/>
    <w:rsid w:val="00E05D65"/>
    <w:rsid w:val="00E15994"/>
    <w:rsid w:val="00E30B17"/>
    <w:rsid w:val="00E3114E"/>
    <w:rsid w:val="00E31A70"/>
    <w:rsid w:val="00E35B02"/>
    <w:rsid w:val="00E66496"/>
    <w:rsid w:val="00E66B35"/>
    <w:rsid w:val="00E66E10"/>
    <w:rsid w:val="00E769F6"/>
    <w:rsid w:val="00E8407C"/>
    <w:rsid w:val="00E84F3C"/>
    <w:rsid w:val="00EA012C"/>
    <w:rsid w:val="00EA1644"/>
    <w:rsid w:val="00EA63F6"/>
    <w:rsid w:val="00EC6A55"/>
    <w:rsid w:val="00ED0288"/>
    <w:rsid w:val="00EE1421"/>
    <w:rsid w:val="00EE17F9"/>
    <w:rsid w:val="00EE52CB"/>
    <w:rsid w:val="00EF581D"/>
    <w:rsid w:val="00EF61D9"/>
    <w:rsid w:val="00EF7FD8"/>
    <w:rsid w:val="00F06F59"/>
    <w:rsid w:val="00F17988"/>
    <w:rsid w:val="00F235B9"/>
    <w:rsid w:val="00F469F0"/>
    <w:rsid w:val="00F53273"/>
    <w:rsid w:val="00F755E4"/>
    <w:rsid w:val="00F77D02"/>
    <w:rsid w:val="00FB3A86"/>
    <w:rsid w:val="00FD0D32"/>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B10814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semiHidden/>
    <w:unhideWhenUsed/>
    <w:rsid w:val="001A210F"/>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045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07/s00330-018-5792-5?utm_source=chatgpt.com" TargetMode="External"/><Relationship Id="rId26" Type="http://schemas.openxmlformats.org/officeDocument/2006/relationships/hyperlink" Target="https://doi.org/10.1007/s00256-014-1936-0?utm_source=chatgpt.com" TargetMode="External"/><Relationship Id="rId39" Type="http://schemas.openxmlformats.org/officeDocument/2006/relationships/hyperlink" Target="https://doi.org/10.1016/j.forsciint.2014.02.030?utm_source=chatgpt.com" TargetMode="External"/><Relationship Id="rId21" Type="http://schemas.openxmlformats.org/officeDocument/2006/relationships/hyperlink" Target="https://doi.org/10.1016/j.radi.2025.103106?utm_source=chatgpt.com" TargetMode="External"/><Relationship Id="rId34" Type="http://schemas.openxmlformats.org/officeDocument/2006/relationships/hyperlink" Target="https://pubmed.ncbi.nlm.nih.gov/13933394/?utm_source=chatgpt.com" TargetMode="External"/><Relationship Id="rId42" Type="http://schemas.openxmlformats.org/officeDocument/2006/relationships/hyperlink" Target="https://doi.org/10.1016/j.jofri.2014.12.006?utm_source=chatgpt.com" TargetMode="External"/><Relationship Id="rId47" Type="http://schemas.openxmlformats.org/officeDocument/2006/relationships/hyperlink" Target="https://doi.org/10.1007/s00431-026-06760-6?utm_source=chatgpt.com" TargetMode="External"/><Relationship Id="rId50" Type="http://schemas.openxmlformats.org/officeDocument/2006/relationships/header" Target="header4.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ubmed.ncbi.nlm.nih.gov/4292293/?utm_source=chatgpt.com" TargetMode="External"/><Relationship Id="rId29" Type="http://schemas.openxmlformats.org/officeDocument/2006/relationships/hyperlink" Target="https://doi.org/10.1097/BPO.0000000000001232?utm_source=chatgpt.com" TargetMode="External"/><Relationship Id="rId11" Type="http://schemas.openxmlformats.org/officeDocument/2006/relationships/footer" Target="footer2.xml"/><Relationship Id="rId24" Type="http://schemas.openxmlformats.org/officeDocument/2006/relationships/hyperlink" Target="https://doi.org/10.1016/j.bone.2011.10.029?utm_source=chatgpt.com" TargetMode="External"/><Relationship Id="rId32" Type="http://schemas.openxmlformats.org/officeDocument/2006/relationships/hyperlink" Target="https://doi.org/10.1002/ajhb.23551?utm_source=chatgpt.com" TargetMode="External"/><Relationship Id="rId37" Type="http://schemas.openxmlformats.org/officeDocument/2006/relationships/hyperlink" Target="https://doi.org/10.1203/00006450-200111000-00015?utm_source=chatgpt.com" TargetMode="External"/><Relationship Id="rId40" Type="http://schemas.openxmlformats.org/officeDocument/2006/relationships/hyperlink" Target="https://doi.org/10.1002/ajhb.1310010411?utm_source=chatgpt.com" TargetMode="External"/><Relationship Id="rId45" Type="http://schemas.openxmlformats.org/officeDocument/2006/relationships/hyperlink" Target="https://doi.org/10.1136/adc.50.1.14?utm_source=chatgpt.com" TargetMode="External"/><Relationship Id="rId53" Type="http://schemas.openxmlformats.org/officeDocument/2006/relationships/header" Target="header6.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doi.org/10.1136/adc.81.2.172?utm_source=chatgpt.com" TargetMode="External"/><Relationship Id="rId31" Type="http://schemas.openxmlformats.org/officeDocument/2006/relationships/hyperlink" Target="https://doi.org/10.1016/0035-9203(52)90086-2?utm_source=chatgpt.com" TargetMode="External"/><Relationship Id="rId44" Type="http://schemas.openxmlformats.org/officeDocument/2006/relationships/hyperlink" Target="https://doi.org/10.1016/j.forsciint.2005.05.033?utm_source=chatgpt.com" TargetMode="External"/><Relationship Id="rId5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16/j.compmedimag.2007.02.012?utm_source=chatgpt.com" TargetMode="External"/><Relationship Id="rId27" Type="http://schemas.openxmlformats.org/officeDocument/2006/relationships/hyperlink" Target="https://doi.org/10.2214/AJR.13.10711?utm_source=chatgpt.com" TargetMode="External"/><Relationship Id="rId30" Type="http://schemas.openxmlformats.org/officeDocument/2006/relationships/hyperlink" Target="https://doi.org/10.1001/archpedi.1993.02160360071022?utm_source=chatgpt.com" TargetMode="External"/><Relationship Id="rId35" Type="http://schemas.openxmlformats.org/officeDocument/2006/relationships/hyperlink" Target="https://opaclibrary.uol.edu.pk/cgi-bin/koha/opac-detail.pl?biblionumber=137&amp;shelfbrowse_itemnumber=379&amp;utm_source=chatgpt.com" TargetMode="External"/><Relationship Id="rId43" Type="http://schemas.openxmlformats.org/officeDocument/2006/relationships/hyperlink" Target="https://doi.org/10.1007/s004149900102?utm_source=chatgpt.com" TargetMode="External"/><Relationship Id="rId48" Type="http://schemas.openxmlformats.org/officeDocument/2006/relationships/hyperlink" Target="https://doi.org/10.20431/2456-0049.0101003?utm_source=chatgpt.com" TargetMode="External"/><Relationship Id="rId8" Type="http://schemas.openxmlformats.org/officeDocument/2006/relationships/header" Target="header1.xml"/><Relationship Id="rId51" Type="http://schemas.openxmlformats.org/officeDocument/2006/relationships/header" Target="header5.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9734/jpri/2021/v33i60B34731?utm_source=chatgpt.com" TargetMode="External"/><Relationship Id="rId25" Type="http://schemas.openxmlformats.org/officeDocument/2006/relationships/hyperlink" Target="https://doi.org/10.3348/jkrs.1998.38.5.927?utm_source=chatgpt.com" TargetMode="External"/><Relationship Id="rId33" Type="http://schemas.openxmlformats.org/officeDocument/2006/relationships/hyperlink" Target="https://doi.org/10.3390/diagnostics13193124?utm_source=chatgpt.com" TargetMode="External"/><Relationship Id="rId38" Type="http://schemas.openxmlformats.org/officeDocument/2006/relationships/hyperlink" Target="https://doi.org/10.2214/ajr.167.6.8956565?utm_source=chatgpt.com" TargetMode="External"/><Relationship Id="rId46" Type="http://schemas.openxmlformats.org/officeDocument/2006/relationships/hyperlink" Target="https://doi.org/10.1186/s12880-026-02350-y?utm_source=chatgpt.com" TargetMode="External"/><Relationship Id="rId20" Type="http://schemas.openxmlformats.org/officeDocument/2006/relationships/hyperlink" Target="https://doi.org/10.1136/archdischild-2014-306399?utm_source=chatgpt.com" TargetMode="External"/><Relationship Id="rId41" Type="http://schemas.openxmlformats.org/officeDocument/2006/relationships/hyperlink" Target="https://doi.org/10.1297/cpe.24.143?utm_source=chatgpt.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s://doi.org/10.1016/j.bone.2019.115180?utm_source=chatgpt.com" TargetMode="External"/><Relationship Id="rId28" Type="http://schemas.openxmlformats.org/officeDocument/2006/relationships/hyperlink" Target="https://doi.org/10.1007/s11999-013-3242-x?utm_source=chatgpt.com" TargetMode="External"/><Relationship Id="rId36" Type="http://schemas.openxmlformats.org/officeDocument/2006/relationships/hyperlink" Target="https://doi.org/10.1016/S0009-9260(86)80376-2?utm_source=chatgpt.com" TargetMode="External"/><Relationship Id="rId49" Type="http://schemas.openxmlformats.org/officeDocument/2006/relationships/hyperlink" Target="https://doi.org/10.1007/s00414-016-1444-y?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02C-4044-93BA-3296ED2856E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02C-4044-93BA-3296ED2856E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NG"/>
              </a:p>
            </c:txPr>
            <c:dLblPos val="ctr"/>
            <c:showLegendKey val="0"/>
            <c:showVal val="1"/>
            <c:showCatName val="0"/>
            <c:showSerName val="0"/>
            <c:showPercent val="1"/>
            <c:showBubbleSize val="0"/>
            <c:separator>
</c:separator>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Sheet1!$E$6:$F$6</c:f>
              <c:strCache>
                <c:ptCount val="2"/>
                <c:pt idx="0">
                  <c:v>Males</c:v>
                </c:pt>
                <c:pt idx="1">
                  <c:v>Females</c:v>
                </c:pt>
              </c:strCache>
            </c:strRef>
          </c:cat>
          <c:val>
            <c:numRef>
              <c:f>Sheet1!$E$7:$F$7</c:f>
              <c:numCache>
                <c:formatCode>General</c:formatCode>
                <c:ptCount val="2"/>
                <c:pt idx="0">
                  <c:v>57</c:v>
                </c:pt>
                <c:pt idx="1">
                  <c:v>47</c:v>
                </c:pt>
              </c:numCache>
            </c:numRef>
          </c:val>
          <c:extLst>
            <c:ext xmlns:c16="http://schemas.microsoft.com/office/drawing/2014/chart" uri="{C3380CC4-5D6E-409C-BE32-E72D297353CC}">
              <c16:uniqueId val="{00000004-102C-4044-93BA-3296ED2856E2}"/>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126</TotalTime>
  <Pages>12</Pages>
  <Words>6861</Words>
  <Characters>39113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45883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52</cp:revision>
  <cp:lastPrinted>1999-07-06T11:00:00Z</cp:lastPrinted>
  <dcterms:created xsi:type="dcterms:W3CDTF">2014-10-25T14:34:00Z</dcterms:created>
  <dcterms:modified xsi:type="dcterms:W3CDTF">2026-10-07T07:33:00Z</dcterms:modified>
</cp:coreProperties>
</file>