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F8592" w14:textId="7E4D05EB" w:rsidR="008E216E" w:rsidRDefault="00000000" w:rsidP="00AB2403">
      <w:pPr>
        <w:spacing w:after="0"/>
        <w:jc w:val="center"/>
        <w:rPr>
          <w:rFonts w:ascii="Times New Roman" w:hAnsi="Times New Roman"/>
          <w:b/>
          <w:bCs/>
          <w:sz w:val="24"/>
          <w:szCs w:val="24"/>
        </w:rPr>
      </w:pPr>
      <w:r w:rsidRPr="00AB2403">
        <w:rPr>
          <w:rFonts w:ascii="Times New Roman" w:hAnsi="Times New Roman"/>
          <w:b/>
          <w:bCs/>
          <w:sz w:val="24"/>
          <w:szCs w:val="24"/>
        </w:rPr>
        <w:t xml:space="preserve">Effect of Nutritional Supplementation and Nutrition Education on Micronutrient Status and Dietary </w:t>
      </w:r>
      <w:proofErr w:type="spellStart"/>
      <w:r w:rsidRPr="00AB2403">
        <w:rPr>
          <w:rFonts w:ascii="Times New Roman" w:hAnsi="Times New Roman"/>
          <w:b/>
          <w:bCs/>
          <w:sz w:val="24"/>
          <w:szCs w:val="24"/>
        </w:rPr>
        <w:t>Behaviour</w:t>
      </w:r>
      <w:proofErr w:type="spellEnd"/>
      <w:r w:rsidRPr="00AB2403">
        <w:rPr>
          <w:rFonts w:ascii="Times New Roman" w:hAnsi="Times New Roman"/>
          <w:b/>
          <w:bCs/>
          <w:sz w:val="24"/>
          <w:szCs w:val="24"/>
        </w:rPr>
        <w:t xml:space="preserve"> among Staff and Students of Federal Polytechnic Kabo, Kano State, Nigeria</w:t>
      </w:r>
    </w:p>
    <w:p w14:paraId="2A941240" w14:textId="77777777" w:rsidR="00FD7581" w:rsidRPr="00AB2403" w:rsidRDefault="00FD7581" w:rsidP="00AB2403">
      <w:pPr>
        <w:spacing w:after="0"/>
        <w:jc w:val="center"/>
        <w:rPr>
          <w:rFonts w:ascii="Times New Roman" w:hAnsi="Times New Roman"/>
          <w:b/>
          <w:bCs/>
          <w:sz w:val="24"/>
          <w:szCs w:val="24"/>
        </w:rPr>
      </w:pPr>
    </w:p>
    <w:p w14:paraId="0D8CDD6C" w14:textId="77777777" w:rsidR="00FD7581" w:rsidRDefault="00FD7581" w:rsidP="00AB2403">
      <w:pPr>
        <w:spacing w:after="0"/>
        <w:jc w:val="both"/>
        <w:rPr>
          <w:rFonts w:ascii="Times New Roman" w:hAnsi="Times New Roman"/>
          <w:sz w:val="24"/>
          <w:szCs w:val="24"/>
        </w:rPr>
      </w:pPr>
    </w:p>
    <w:p w14:paraId="7017263D" w14:textId="77777777" w:rsidR="00632735" w:rsidRPr="00FD7581" w:rsidRDefault="00632735" w:rsidP="00AB2403">
      <w:pPr>
        <w:spacing w:after="0"/>
        <w:jc w:val="both"/>
        <w:rPr>
          <w:rFonts w:ascii="Times New Roman" w:hAnsi="Times New Roman"/>
          <w:sz w:val="24"/>
          <w:szCs w:val="24"/>
        </w:rPr>
      </w:pPr>
    </w:p>
    <w:p w14:paraId="4322E03B"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Abstract</w:t>
      </w:r>
    </w:p>
    <w:p w14:paraId="2C010AD5" w14:textId="77777777" w:rsidR="008E216E" w:rsidRPr="00CC4996" w:rsidRDefault="00000000" w:rsidP="00AB2403">
      <w:pPr>
        <w:spacing w:after="0"/>
        <w:jc w:val="both"/>
        <w:rPr>
          <w:rFonts w:ascii="Times New Roman" w:hAnsi="Times New Roman"/>
          <w:b/>
          <w:bCs/>
          <w:sz w:val="24"/>
          <w:szCs w:val="24"/>
        </w:rPr>
      </w:pPr>
      <w:r w:rsidRPr="00AB2403">
        <w:rPr>
          <w:rFonts w:ascii="Times New Roman" w:hAnsi="Times New Roman"/>
          <w:sz w:val="24"/>
          <w:szCs w:val="24"/>
        </w:rPr>
        <w:t xml:space="preserve">Micronutrient deficiencies remain a significant public health concern in low- and middle-income countries, including Nigeria, where inadequate dietary intake and poor nutritional knowledge contribute to adverse health outcomes. This study evaluated the effect of nutritional supplementation combined with nutrition education on micronutrient status and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among staff and students of Federal Polytechnic Kabo, Kano State, Nigeria.</w:t>
      </w:r>
      <w:r w:rsidR="008D1618">
        <w:rPr>
          <w:rFonts w:ascii="Times New Roman" w:hAnsi="Times New Roman"/>
          <w:sz w:val="24"/>
          <w:szCs w:val="24"/>
        </w:rPr>
        <w:t xml:space="preserve"> </w:t>
      </w:r>
      <w:r w:rsidRPr="00AB2403">
        <w:rPr>
          <w:rFonts w:ascii="Times New Roman" w:hAnsi="Times New Roman"/>
          <w:sz w:val="24"/>
          <w:szCs w:val="24"/>
        </w:rPr>
        <w:t xml:space="preserve">A quasi-experimental study involving 200 participants was conducted over a 12-week intervention period. Participants were selected through stratified random sampling and assigned to intervention (n = 100) and control (n = 100) groups. Data were collected using a structured questionnaire, multiple-pass 24-hour dietary recall, Food Frequency Questionnaire (FFQ), anthropometric measurements, and biochemical assessments of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serum vitamin A, serum iron, and serum zinc. Nutrition education sessions and daily micronutrient supplementation were administered to the intervention group, while the control group </w:t>
      </w:r>
      <w:r>
        <w:rPr>
          <w:rFonts w:ascii="Times New Roman" w:hAnsi="Times New Roman"/>
          <w:sz w:val="24"/>
          <w:szCs w:val="24"/>
          <w:highlight w:val="yellow"/>
        </w:rPr>
        <w:t>continued its routine dietary practices</w:t>
      </w:r>
      <w:r>
        <w:rPr>
          <w:rFonts w:ascii="Times New Roman" w:hAnsi="Times New Roman"/>
          <w:sz w:val="24"/>
          <w:szCs w:val="24"/>
        </w:rPr>
        <w:t xml:space="preserve">. Data were </w:t>
      </w:r>
      <w:proofErr w:type="spellStart"/>
      <w:r w:rsidRPr="00AB2403">
        <w:rPr>
          <w:rFonts w:ascii="Times New Roman" w:hAnsi="Times New Roman"/>
          <w:sz w:val="24"/>
          <w:szCs w:val="24"/>
        </w:rPr>
        <w:t>analysed</w:t>
      </w:r>
      <w:proofErr w:type="spellEnd"/>
      <w:r w:rsidRPr="00AB2403">
        <w:rPr>
          <w:rFonts w:ascii="Times New Roman" w:hAnsi="Times New Roman"/>
          <w:sz w:val="24"/>
          <w:szCs w:val="24"/>
        </w:rPr>
        <w:t xml:space="preserve"> using descriptive statistics, paired and independent t-tests, Chi-square tests, Pearson's correlation, and multiple regression </w:t>
      </w:r>
      <w:r>
        <w:rPr>
          <w:rFonts w:ascii="Times New Roman" w:hAnsi="Times New Roman"/>
          <w:sz w:val="24"/>
          <w:szCs w:val="24"/>
          <w:highlight w:val="yellow"/>
        </w:rPr>
        <w:t xml:space="preserve">at a 5% level of significance. </w:t>
      </w:r>
      <w:r w:rsidR="008D1618">
        <w:rPr>
          <w:rFonts w:ascii="Times New Roman" w:hAnsi="Times New Roman"/>
          <w:sz w:val="24"/>
          <w:szCs w:val="24"/>
          <w:highlight w:val="yellow"/>
        </w:rPr>
        <w:t>T</w:t>
      </w:r>
      <w:r w:rsidRPr="00AB2403">
        <w:rPr>
          <w:rFonts w:ascii="Times New Roman" w:hAnsi="Times New Roman"/>
          <w:sz w:val="24"/>
          <w:szCs w:val="24"/>
        </w:rPr>
        <w:t xml:space="preserve">he findings showed that mean nutrition knowledge scores increased significantly from 46.8 ± 11.2 to 82.4 ± 7.8 following the intervention (p &lt; 0.001). The proportion of participants consuming fruits and vegetables at least five times weekly increased from 35.0% to 74.0%. Mean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improved from 11.7 ± 1.4 g/dL to 13.2 ± 1.1 g/dL, while serum vitamin A increased from 27.4 ± 5.3 </w:t>
      </w:r>
      <w:proofErr w:type="spellStart"/>
      <w:r w:rsidRPr="00AB2403">
        <w:rPr>
          <w:rFonts w:ascii="Times New Roman" w:hAnsi="Times New Roman"/>
          <w:sz w:val="24"/>
          <w:szCs w:val="24"/>
        </w:rPr>
        <w:t>μg</w:t>
      </w:r>
      <w:proofErr w:type="spellEnd"/>
      <w:r w:rsidRPr="00AB2403">
        <w:rPr>
          <w:rFonts w:ascii="Times New Roman" w:hAnsi="Times New Roman"/>
          <w:sz w:val="24"/>
          <w:szCs w:val="24"/>
        </w:rPr>
        <w:t xml:space="preserve">/dL to 35.6 ± 4.8 </w:t>
      </w:r>
      <w:proofErr w:type="spellStart"/>
      <w:r w:rsidRPr="00AB2403">
        <w:rPr>
          <w:rFonts w:ascii="Times New Roman" w:hAnsi="Times New Roman"/>
          <w:sz w:val="24"/>
          <w:szCs w:val="24"/>
        </w:rPr>
        <w:t>μg</w:t>
      </w:r>
      <w:proofErr w:type="spellEnd"/>
      <w:r w:rsidRPr="00AB2403">
        <w:rPr>
          <w:rFonts w:ascii="Times New Roman" w:hAnsi="Times New Roman"/>
          <w:sz w:val="24"/>
          <w:szCs w:val="24"/>
        </w:rPr>
        <w:t>/dL (p &lt; 0.001). Body mass index remained within the normal range, with a modest reduction in overweight prevalence. Multiple regression analysis indicated that nutrition education, supplementation compliance, and dietary diversity significantly predicted improvements in micronutrient status (R² = 0.62, p &lt; 0.001).</w:t>
      </w:r>
      <w:r w:rsidR="008D1618">
        <w:rPr>
          <w:rFonts w:ascii="Times New Roman" w:hAnsi="Times New Roman"/>
          <w:sz w:val="24"/>
          <w:szCs w:val="24"/>
        </w:rPr>
        <w:t xml:space="preserve"> </w:t>
      </w:r>
      <w:r w:rsidRPr="00AB2403">
        <w:rPr>
          <w:rFonts w:ascii="Times New Roman" w:hAnsi="Times New Roman"/>
          <w:sz w:val="24"/>
          <w:szCs w:val="24"/>
        </w:rPr>
        <w:t xml:space="preserve">The findings suggest that combining nutritional supplementation with structured nutrition education can substantially improve nutrition knowledge,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and micronutrient status among staff and students in tertiary institutions. Institutional nutrition promotion </w:t>
      </w:r>
      <w:proofErr w:type="spellStart"/>
      <w:r w:rsidRPr="00AB2403">
        <w:rPr>
          <w:rFonts w:ascii="Times New Roman" w:hAnsi="Times New Roman"/>
          <w:sz w:val="24"/>
          <w:szCs w:val="24"/>
        </w:rPr>
        <w:t>programmes</w:t>
      </w:r>
      <w:proofErr w:type="spellEnd"/>
      <w:r w:rsidRPr="00AB2403">
        <w:rPr>
          <w:rFonts w:ascii="Times New Roman" w:hAnsi="Times New Roman"/>
          <w:sz w:val="24"/>
          <w:szCs w:val="24"/>
        </w:rPr>
        <w:t xml:space="preserve"> should therefore integrate both educational and supplementation strategies to </w:t>
      </w:r>
      <w:r w:rsidRPr="008D1618">
        <w:rPr>
          <w:rFonts w:ascii="Times New Roman" w:hAnsi="Times New Roman"/>
          <w:sz w:val="24"/>
          <w:szCs w:val="24"/>
        </w:rPr>
        <w:t>enhance health and</w:t>
      </w:r>
      <w:r w:rsidRPr="00AB2403">
        <w:rPr>
          <w:rFonts w:ascii="Times New Roman" w:hAnsi="Times New Roman"/>
          <w:sz w:val="24"/>
          <w:szCs w:val="24"/>
          <w:u w:val="single"/>
        </w:rPr>
        <w:t xml:space="preserve"> </w:t>
      </w:r>
      <w:r w:rsidRPr="008D1618">
        <w:rPr>
          <w:rFonts w:ascii="Times New Roman" w:hAnsi="Times New Roman"/>
          <w:sz w:val="24"/>
          <w:szCs w:val="24"/>
        </w:rPr>
        <w:t>productivity.</w:t>
      </w:r>
      <w:r w:rsidR="00AB2403" w:rsidRPr="008D1618">
        <w:rPr>
          <w:rFonts w:ascii="Times New Roman" w:hAnsi="Times New Roman"/>
          <w:b/>
          <w:bCs/>
          <w:sz w:val="24"/>
          <w:szCs w:val="24"/>
        </w:rPr>
        <w:tab/>
      </w:r>
    </w:p>
    <w:p w14:paraId="3F094739" w14:textId="77777777" w:rsidR="00AB2403" w:rsidRDefault="00AB2403" w:rsidP="00AB2403">
      <w:pPr>
        <w:spacing w:after="0"/>
        <w:jc w:val="both"/>
        <w:rPr>
          <w:rFonts w:ascii="Times New Roman" w:hAnsi="Times New Roman"/>
          <w:sz w:val="24"/>
          <w:szCs w:val="24"/>
        </w:rPr>
      </w:pPr>
    </w:p>
    <w:p w14:paraId="4B953E7F" w14:textId="56C1096B" w:rsidR="005B5381" w:rsidRDefault="00000000" w:rsidP="005B5381">
      <w:pPr>
        <w:pStyle w:val="NormalWeb"/>
      </w:pPr>
      <w:r w:rsidRPr="00AB2403">
        <w:rPr>
          <w:b/>
          <w:bCs/>
        </w:rPr>
        <w:t>Keywords:</w:t>
      </w:r>
      <w:r w:rsidR="00AB2403">
        <w:t xml:space="preserve"> </w:t>
      </w:r>
      <w:r w:rsidR="005B5381">
        <w:rPr>
          <w:rStyle w:val="Strong"/>
        </w:rPr>
        <w:t xml:space="preserve">Micronutrient status; Nutrition education; Micronutrient supplementation; Dietary </w:t>
      </w:r>
      <w:proofErr w:type="spellStart"/>
      <w:r w:rsidR="005B5381">
        <w:rPr>
          <w:rStyle w:val="Strong"/>
        </w:rPr>
        <w:t>behaviour</w:t>
      </w:r>
      <w:proofErr w:type="spellEnd"/>
      <w:r w:rsidR="005B5381">
        <w:rPr>
          <w:rStyle w:val="Strong"/>
        </w:rPr>
        <w:t xml:space="preserve">; Dietary diversity; </w:t>
      </w:r>
      <w:proofErr w:type="spellStart"/>
      <w:r w:rsidR="005B5381">
        <w:rPr>
          <w:rStyle w:val="Strong"/>
        </w:rPr>
        <w:t>Haemoglobin</w:t>
      </w:r>
      <w:proofErr w:type="spellEnd"/>
      <w:r w:rsidR="005B5381">
        <w:rPr>
          <w:rStyle w:val="Strong"/>
        </w:rPr>
        <w:t>; Vitamin A; Iron; Zinc</w:t>
      </w:r>
    </w:p>
    <w:p w14:paraId="61FE383C" w14:textId="378B6009" w:rsidR="008E216E" w:rsidRPr="00AB2403" w:rsidRDefault="008E216E" w:rsidP="00AB2403">
      <w:pPr>
        <w:spacing w:after="0"/>
        <w:jc w:val="both"/>
        <w:rPr>
          <w:rFonts w:ascii="Times New Roman" w:hAnsi="Times New Roman"/>
          <w:sz w:val="24"/>
          <w:szCs w:val="24"/>
        </w:rPr>
      </w:pPr>
    </w:p>
    <w:p w14:paraId="70C05087" w14:textId="77777777" w:rsidR="00AB2403" w:rsidRDefault="00AB2403" w:rsidP="00AB2403">
      <w:pPr>
        <w:spacing w:after="0"/>
        <w:jc w:val="both"/>
        <w:rPr>
          <w:rFonts w:ascii="Times New Roman" w:hAnsi="Times New Roman"/>
          <w:sz w:val="24"/>
          <w:szCs w:val="24"/>
        </w:rPr>
      </w:pPr>
    </w:p>
    <w:p w14:paraId="1CDE391D"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lastRenderedPageBreak/>
        <w:t>Introduction</w:t>
      </w:r>
    </w:p>
    <w:p w14:paraId="1441E0EF" w14:textId="74BBEC05"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Micronutrients are vitamins and minerals required in small quantities for normal physiological functioning, growth, immune competence, cognitive development, reproduction, and disease prevention (W</w:t>
      </w:r>
      <w:r w:rsidR="00C60FCD">
        <w:rPr>
          <w:rFonts w:ascii="Times New Roman" w:hAnsi="Times New Roman"/>
          <w:sz w:val="24"/>
          <w:szCs w:val="24"/>
        </w:rPr>
        <w:t xml:space="preserve">HO, </w:t>
      </w:r>
      <w:r w:rsidR="001D653F">
        <w:rPr>
          <w:rFonts w:ascii="Times New Roman" w:hAnsi="Times New Roman"/>
          <w:sz w:val="24"/>
          <w:szCs w:val="24"/>
        </w:rPr>
        <w:t>n.d.</w:t>
      </w:r>
      <w:r w:rsidRPr="00AB2403">
        <w:rPr>
          <w:rFonts w:ascii="Times New Roman" w:hAnsi="Times New Roman"/>
          <w:sz w:val="24"/>
          <w:szCs w:val="24"/>
        </w:rPr>
        <w:t>). Although required in minute amounts, these nutrients play indispensable roles in enzyme activity, cellular metabolism, tissue repair, and maintenance of physiological homeostasis (Gibson, 2005</w:t>
      </w:r>
      <w:r w:rsidR="0005423B">
        <w:rPr>
          <w:rFonts w:ascii="Times New Roman" w:hAnsi="Times New Roman"/>
          <w:sz w:val="24"/>
          <w:szCs w:val="24"/>
        </w:rPr>
        <w:t>; Kuroda, 2024</w:t>
      </w:r>
      <w:r w:rsidRPr="00AB2403">
        <w:rPr>
          <w:rFonts w:ascii="Times New Roman" w:hAnsi="Times New Roman"/>
          <w:sz w:val="24"/>
          <w:szCs w:val="24"/>
        </w:rPr>
        <w:t xml:space="preserve">). Deficiencies of essential micronutrients, particularly iron, vitamin A, iodine, zinc, and folate, remain widespread globally and constitute one of the most persistent forms of malnutrition, commonly referred to as hidden hunger (Bailey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2015; WHO, </w:t>
      </w:r>
      <w:r w:rsidR="001D653F">
        <w:rPr>
          <w:rFonts w:ascii="Times New Roman" w:hAnsi="Times New Roman"/>
          <w:sz w:val="24"/>
          <w:szCs w:val="24"/>
        </w:rPr>
        <w:t>n.d.</w:t>
      </w:r>
      <w:r w:rsidRPr="00AB2403">
        <w:rPr>
          <w:rFonts w:ascii="Times New Roman" w:hAnsi="Times New Roman"/>
          <w:sz w:val="24"/>
          <w:szCs w:val="24"/>
        </w:rPr>
        <w:t>).</w:t>
      </w:r>
      <w:r>
        <w:rPr>
          <w:b/>
          <w:sz w:val="24"/>
          <w:highlight w:val="yellow"/>
        </w:rPr>
        <w:t xml:space="preserve"> </w:t>
      </w:r>
      <w:r w:rsidRPr="00582130">
        <w:rPr>
          <w:bCs/>
          <w:sz w:val="24"/>
          <w:highlight w:val="yellow"/>
        </w:rPr>
        <w:t>Recent literature on iron- and zinc-focused biofortification likewise reinforces the continuing importance of these micronutrients in approaches addressing hidden hunger (Latha &amp; Prakash, 2024).</w:t>
      </w:r>
    </w:p>
    <w:p w14:paraId="3E5EEAAB" w14:textId="77D24C2E"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Globally, more than two billion people are estimated to suffer from one or more micronutrient deficiencies, with the burden being disproportionately higher in low</w:t>
      </w:r>
      <w:r w:rsidR="00C60FCD">
        <w:rPr>
          <w:rFonts w:ascii="Times New Roman" w:hAnsi="Times New Roman"/>
          <w:sz w:val="24"/>
          <w:szCs w:val="24"/>
        </w:rPr>
        <w:t xml:space="preserve"> </w:t>
      </w:r>
      <w:r w:rsidRPr="00AB2403">
        <w:rPr>
          <w:rFonts w:ascii="Times New Roman" w:hAnsi="Times New Roman"/>
          <w:sz w:val="24"/>
          <w:szCs w:val="24"/>
        </w:rPr>
        <w:t xml:space="preserve">and middle-income countries (Bailey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2015</w:t>
      </w:r>
      <w:r>
        <w:rPr>
          <w:rFonts w:ascii="Times New Roman" w:hAnsi="Times New Roman"/>
          <w:sz w:val="24"/>
          <w:szCs w:val="24"/>
          <w:highlight w:val="yellow"/>
        </w:rPr>
        <w:t xml:space="preserve">; WHO, </w:t>
      </w:r>
      <w:r w:rsidR="001D653F">
        <w:rPr>
          <w:rFonts w:ascii="Times New Roman" w:hAnsi="Times New Roman"/>
          <w:sz w:val="24"/>
          <w:szCs w:val="24"/>
        </w:rPr>
        <w:t>n.d.</w:t>
      </w:r>
      <w:r>
        <w:rPr>
          <w:rFonts w:ascii="Times New Roman" w:hAnsi="Times New Roman"/>
          <w:sz w:val="24"/>
          <w:szCs w:val="24"/>
        </w:rPr>
        <w:t xml:space="preserve">). Iron deficiency remains the leading cause of nutritional </w:t>
      </w:r>
      <w:proofErr w:type="spellStart"/>
      <w:r w:rsidRPr="00AB2403">
        <w:rPr>
          <w:rFonts w:ascii="Times New Roman" w:hAnsi="Times New Roman"/>
          <w:sz w:val="24"/>
          <w:szCs w:val="24"/>
        </w:rPr>
        <w:t>anaemia</w:t>
      </w:r>
      <w:proofErr w:type="spellEnd"/>
      <w:r w:rsidRPr="00AB2403">
        <w:rPr>
          <w:rFonts w:ascii="Times New Roman" w:hAnsi="Times New Roman"/>
          <w:sz w:val="24"/>
          <w:szCs w:val="24"/>
        </w:rPr>
        <w:t xml:space="preserve"> worldwide, while deficiencies of vitamin A and zinc continue to contribute significantly to impaired immunity, poor growth, visual impairment, and increased susceptibility to infectious diseases (Bhutta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2013; Stevens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2022; WHO, </w:t>
      </w:r>
      <w:r w:rsidR="001D653F">
        <w:rPr>
          <w:rFonts w:ascii="Times New Roman" w:hAnsi="Times New Roman"/>
          <w:sz w:val="24"/>
          <w:szCs w:val="24"/>
        </w:rPr>
        <w:t>n.d.</w:t>
      </w:r>
      <w:r w:rsidRPr="00AB2403">
        <w:rPr>
          <w:rFonts w:ascii="Times New Roman" w:hAnsi="Times New Roman"/>
          <w:sz w:val="24"/>
          <w:szCs w:val="24"/>
        </w:rPr>
        <w:t>).</w:t>
      </w:r>
    </w:p>
    <w:p w14:paraId="5A5D84A7" w14:textId="11F15691"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Micronutrient malnutrition remains an important public health challenge in Nigeria despite considerable improvements in agricultural production and food availability. Rapid </w:t>
      </w:r>
      <w:r>
        <w:rPr>
          <w:rFonts w:ascii="Times New Roman" w:hAnsi="Times New Roman"/>
          <w:sz w:val="24"/>
          <w:szCs w:val="24"/>
          <w:highlight w:val="yellow"/>
        </w:rPr>
        <w:t>urbanisation</w:t>
      </w:r>
      <w:r>
        <w:rPr>
          <w:rFonts w:ascii="Times New Roman" w:hAnsi="Times New Roman"/>
          <w:sz w:val="24"/>
          <w:szCs w:val="24"/>
        </w:rPr>
        <w:t xml:space="preserve">, increasing dependence on ultra-processed foods, poor dietary diversity, and limited nutrition knowledge have contributed to suboptimal dietary practices among many Nigerians (Popkin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2020; </w:t>
      </w:r>
      <w:r>
        <w:rPr>
          <w:rFonts w:ascii="Times New Roman" w:hAnsi="Times New Roman"/>
          <w:color w:val="000000"/>
          <w:sz w:val="24"/>
          <w:szCs w:val="24"/>
        </w:rPr>
        <w:t>FAO</w:t>
      </w:r>
      <w:r w:rsidR="00C60FCD">
        <w:rPr>
          <w:rFonts w:ascii="Times New Roman" w:hAnsi="Times New Roman"/>
          <w:color w:val="000000"/>
          <w:sz w:val="24"/>
          <w:szCs w:val="24"/>
        </w:rPr>
        <w:t xml:space="preserve">, </w:t>
      </w:r>
      <w:r>
        <w:rPr>
          <w:rFonts w:ascii="Times New Roman" w:hAnsi="Times New Roman"/>
          <w:color w:val="000000"/>
          <w:sz w:val="24"/>
          <w:szCs w:val="24"/>
        </w:rPr>
        <w:t>202</w:t>
      </w:r>
      <w:r w:rsidR="00BE356E">
        <w:rPr>
          <w:rFonts w:ascii="Times New Roman" w:hAnsi="Times New Roman"/>
          <w:color w:val="000000"/>
          <w:sz w:val="24"/>
          <w:szCs w:val="24"/>
        </w:rPr>
        <w:t>3</w:t>
      </w:r>
      <w:r>
        <w:rPr>
          <w:rFonts w:ascii="Times New Roman" w:hAnsi="Times New Roman"/>
          <w:color w:val="000000"/>
          <w:sz w:val="24"/>
          <w:szCs w:val="24"/>
        </w:rPr>
        <w:t>).</w:t>
      </w:r>
      <w:r w:rsidRPr="00AB2403">
        <w:rPr>
          <w:rFonts w:ascii="Times New Roman" w:hAnsi="Times New Roman"/>
          <w:sz w:val="24"/>
          <w:szCs w:val="24"/>
        </w:rPr>
        <w:t xml:space="preserve"> National surveys indicate that inadequate consumption of fruits, vegetables, and other micronutrient-rich foods continues to expose vulnerable populations to nutritional deficiencies and associated health complications (National Population Commission [NPC] &amp; ICF, 201</w:t>
      </w:r>
      <w:r w:rsidR="00700682">
        <w:rPr>
          <w:rFonts w:ascii="Times New Roman" w:hAnsi="Times New Roman"/>
          <w:sz w:val="24"/>
          <w:szCs w:val="24"/>
          <w:highlight w:val="yellow"/>
        </w:rPr>
        <w:t>9</w:t>
      </w:r>
      <w:r w:rsidRPr="00AB2403">
        <w:rPr>
          <w:rFonts w:ascii="Times New Roman" w:hAnsi="Times New Roman"/>
          <w:sz w:val="24"/>
          <w:szCs w:val="24"/>
        </w:rPr>
        <w:t xml:space="preserve">; </w:t>
      </w:r>
      <w:r w:rsidR="001D653F" w:rsidRPr="001D653F">
        <w:rPr>
          <w:rFonts w:ascii="Times New Roman" w:hAnsi="Times New Roman"/>
          <w:sz w:val="24"/>
          <w:szCs w:val="24"/>
        </w:rPr>
        <w:t>Ministry of Budget and National Planning</w:t>
      </w:r>
      <w:r>
        <w:rPr>
          <w:rFonts w:ascii="Times New Roman" w:hAnsi="Times New Roman"/>
          <w:sz w:val="24"/>
          <w:szCs w:val="24"/>
        </w:rPr>
        <w:t>, 20</w:t>
      </w:r>
      <w:r w:rsidR="001D653F">
        <w:rPr>
          <w:rFonts w:ascii="Times New Roman" w:hAnsi="Times New Roman"/>
          <w:sz w:val="24"/>
          <w:szCs w:val="24"/>
        </w:rPr>
        <w:t>16</w:t>
      </w:r>
      <w:r>
        <w:rPr>
          <w:rFonts w:ascii="Times New Roman" w:hAnsi="Times New Roman"/>
          <w:sz w:val="24"/>
          <w:szCs w:val="24"/>
        </w:rPr>
        <w:t>).</w:t>
      </w:r>
    </w:p>
    <w:p w14:paraId="50B6CF09" w14:textId="01802CE0"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Within tertiary institutions, students and staff frequently experience dietary challenges arising from busy academic schedules, financial constraints, irregular meal patterns, and the widespread availability of inexpensive energy-dense but nutrient-poor foods (Story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200</w:t>
      </w:r>
      <w:r w:rsidR="00700682">
        <w:rPr>
          <w:rFonts w:ascii="Times New Roman" w:hAnsi="Times New Roman"/>
          <w:sz w:val="24"/>
          <w:szCs w:val="24"/>
        </w:rPr>
        <w:t>8</w:t>
      </w:r>
      <w:r w:rsidR="00BE356E">
        <w:rPr>
          <w:rFonts w:ascii="Times New Roman" w:hAnsi="Times New Roman"/>
          <w:sz w:val="24"/>
          <w:szCs w:val="24"/>
        </w:rPr>
        <w:t>)</w:t>
      </w:r>
      <w:r w:rsidRPr="00AB2403">
        <w:rPr>
          <w:rFonts w:ascii="Times New Roman" w:hAnsi="Times New Roman"/>
          <w:sz w:val="24"/>
          <w:szCs w:val="24"/>
        </w:rPr>
        <w:t xml:space="preserve">. Students commonly skip breakfast, consume sugar-sweetened beverages, and rely heavily on fast foods while consuming inadequate amounts of fruits, vegetables, and high-quality protein sources (Spronk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2014; </w:t>
      </w:r>
      <w:r w:rsidR="003734DA">
        <w:rPr>
          <w:rFonts w:ascii="Times New Roman" w:hAnsi="Times New Roman"/>
          <w:sz w:val="24"/>
          <w:szCs w:val="24"/>
        </w:rPr>
        <w:t>Berger</w:t>
      </w:r>
      <w:r w:rsidRPr="00AB2403">
        <w:rPr>
          <w:rFonts w:ascii="Times New Roman" w:hAnsi="Times New Roman"/>
          <w:sz w:val="24"/>
          <w:szCs w:val="24"/>
        </w:rPr>
        <w:t xml:space="preserve">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202</w:t>
      </w:r>
      <w:r w:rsidR="003734DA">
        <w:rPr>
          <w:rFonts w:ascii="Times New Roman" w:hAnsi="Times New Roman"/>
          <w:sz w:val="24"/>
          <w:szCs w:val="24"/>
        </w:rPr>
        <w:t>2</w:t>
      </w:r>
      <w:r w:rsidRPr="00AB2403">
        <w:rPr>
          <w:rFonts w:ascii="Times New Roman" w:hAnsi="Times New Roman"/>
          <w:sz w:val="24"/>
          <w:szCs w:val="24"/>
        </w:rPr>
        <w:t>). Such dietary practices increase the risk of micronutrient deficiencies, overweight, obesity, and diet-related non-communicable diseases (</w:t>
      </w:r>
      <w:r w:rsidR="00BE356E">
        <w:rPr>
          <w:rFonts w:ascii="Times New Roman" w:hAnsi="Times New Roman"/>
          <w:sz w:val="24"/>
          <w:szCs w:val="24"/>
        </w:rPr>
        <w:t xml:space="preserve">Lowe, 2021; </w:t>
      </w:r>
      <w:r>
        <w:rPr>
          <w:rFonts w:ascii="Times New Roman" w:hAnsi="Times New Roman"/>
          <w:color w:val="000000"/>
          <w:sz w:val="24"/>
          <w:szCs w:val="24"/>
        </w:rPr>
        <w:t xml:space="preserve">WHO, </w:t>
      </w:r>
      <w:r w:rsidR="001D653F">
        <w:rPr>
          <w:rFonts w:ascii="Times New Roman" w:hAnsi="Times New Roman"/>
          <w:color w:val="000000"/>
          <w:sz w:val="24"/>
          <w:szCs w:val="24"/>
        </w:rPr>
        <w:t>n.d.</w:t>
      </w:r>
      <w:r>
        <w:rPr>
          <w:rFonts w:ascii="Times New Roman" w:hAnsi="Times New Roman"/>
          <w:color w:val="000000"/>
          <w:sz w:val="24"/>
          <w:szCs w:val="24"/>
        </w:rPr>
        <w:t>).</w:t>
      </w:r>
      <w:r>
        <w:rPr>
          <w:b/>
          <w:sz w:val="24"/>
          <w:highlight w:val="yellow"/>
        </w:rPr>
        <w:t xml:space="preserve"> </w:t>
      </w:r>
      <w:r w:rsidRPr="00582130">
        <w:rPr>
          <w:bCs/>
          <w:sz w:val="24"/>
          <w:highlight w:val="yellow"/>
        </w:rPr>
        <w:t>A recent study of Nigerian undergraduates similarly documented inconsistent fruit consumption, frequent replacement of main meals with snacks, and the coexistence of undernutrition and overnutrition, reinforcing the relevance of dietary behaviour within tertiary-institution populations (Akinyotu et al., 2025).</w:t>
      </w:r>
    </w:p>
    <w:p w14:paraId="10317A58" w14:textId="638693CF"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Nutrition education has been widely </w:t>
      </w:r>
      <w:r>
        <w:rPr>
          <w:rFonts w:ascii="Times New Roman" w:hAnsi="Times New Roman"/>
          <w:sz w:val="24"/>
          <w:szCs w:val="24"/>
          <w:highlight w:val="yellow"/>
        </w:rPr>
        <w:t>recognised</w:t>
      </w:r>
      <w:r>
        <w:rPr>
          <w:rFonts w:ascii="Times New Roman" w:hAnsi="Times New Roman"/>
          <w:sz w:val="24"/>
          <w:szCs w:val="24"/>
        </w:rPr>
        <w:t xml:space="preserve"> as one of the most effective and sustainable approaches for improving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because it enhances individuals' knowledge, attitudes, and skills required for making healthier food choices </w:t>
      </w:r>
      <w:r>
        <w:rPr>
          <w:rFonts w:ascii="Times New Roman" w:hAnsi="Times New Roman"/>
          <w:color w:val="000000"/>
          <w:sz w:val="24"/>
          <w:szCs w:val="24"/>
        </w:rPr>
        <w:t>(Contento, 2</w:t>
      </w:r>
      <w:r w:rsidR="00BE356E">
        <w:rPr>
          <w:rFonts w:ascii="Times New Roman" w:hAnsi="Times New Roman"/>
          <w:color w:val="000000"/>
          <w:sz w:val="24"/>
          <w:szCs w:val="24"/>
        </w:rPr>
        <w:t>02</w:t>
      </w:r>
      <w:r w:rsidR="001D653F">
        <w:rPr>
          <w:rFonts w:ascii="Times New Roman" w:hAnsi="Times New Roman"/>
          <w:color w:val="000000"/>
          <w:sz w:val="24"/>
          <w:szCs w:val="24"/>
        </w:rPr>
        <w:t>1</w:t>
      </w:r>
      <w:r>
        <w:rPr>
          <w:rFonts w:ascii="Times New Roman" w:hAnsi="Times New Roman"/>
          <w:color w:val="000000"/>
          <w:sz w:val="24"/>
          <w:szCs w:val="24"/>
        </w:rPr>
        <w:t>).</w:t>
      </w:r>
      <w:r w:rsidRPr="00CC4996">
        <w:rPr>
          <w:rFonts w:ascii="Times New Roman" w:hAnsi="Times New Roman"/>
          <w:color w:val="FF0000"/>
          <w:sz w:val="24"/>
          <w:szCs w:val="24"/>
        </w:rPr>
        <w:t xml:space="preserve"> </w:t>
      </w:r>
      <w:r w:rsidRPr="00AB2403">
        <w:rPr>
          <w:rFonts w:ascii="Times New Roman" w:hAnsi="Times New Roman"/>
          <w:sz w:val="24"/>
          <w:szCs w:val="24"/>
        </w:rPr>
        <w:t xml:space="preserve">Effective nutrition education encourages dietary diversity, increased consumption of micronutrient-rich </w:t>
      </w:r>
      <w:r w:rsidRPr="00AB2403">
        <w:rPr>
          <w:rFonts w:ascii="Times New Roman" w:hAnsi="Times New Roman"/>
          <w:sz w:val="24"/>
          <w:szCs w:val="24"/>
        </w:rPr>
        <w:lastRenderedPageBreak/>
        <w:t>foods, and adoption of healthy lifestyle practices, thereby contributing to improved nutritional status and long-term disease prevention</w:t>
      </w:r>
      <w:r>
        <w:rPr>
          <w:rFonts w:ascii="Times New Roman" w:hAnsi="Times New Roman"/>
          <w:color w:val="000000"/>
          <w:sz w:val="24"/>
          <w:szCs w:val="24"/>
        </w:rPr>
        <w:t xml:space="preserve"> (</w:t>
      </w:r>
      <w:r w:rsidR="00AA6842">
        <w:rPr>
          <w:rFonts w:ascii="Times New Roman" w:hAnsi="Times New Roman"/>
          <w:color w:val="000000"/>
          <w:sz w:val="24"/>
          <w:szCs w:val="24"/>
        </w:rPr>
        <w:t>WHO, 2026).</w:t>
      </w:r>
      <w:r>
        <w:rPr>
          <w:rFonts w:ascii="Times New Roman" w:hAnsi="Times New Roman"/>
          <w:color w:val="000000"/>
          <w:sz w:val="24"/>
          <w:szCs w:val="24"/>
        </w:rPr>
        <w:t xml:space="preserve"> </w:t>
      </w:r>
      <w:r w:rsidRPr="00AB2403">
        <w:rPr>
          <w:rFonts w:ascii="Times New Roman" w:hAnsi="Times New Roman"/>
          <w:sz w:val="24"/>
          <w:szCs w:val="24"/>
        </w:rPr>
        <w:t xml:space="preserve">Systematic reviews have consistently demonstrated that structured nutrition education interventions significantly improve nutrition knowledge, dietary quality, and healthy eating </w:t>
      </w:r>
      <w:proofErr w:type="spellStart"/>
      <w:r w:rsidRPr="00AB2403">
        <w:rPr>
          <w:rFonts w:ascii="Times New Roman" w:hAnsi="Times New Roman"/>
          <w:sz w:val="24"/>
          <w:szCs w:val="24"/>
        </w:rPr>
        <w:t>behaviours</w:t>
      </w:r>
      <w:proofErr w:type="spellEnd"/>
      <w:r w:rsidRPr="00AB2403">
        <w:rPr>
          <w:rFonts w:ascii="Times New Roman" w:hAnsi="Times New Roman"/>
          <w:sz w:val="24"/>
          <w:szCs w:val="24"/>
        </w:rPr>
        <w:t xml:space="preserve"> among adolescents, university students, and adults </w:t>
      </w:r>
      <w:r w:rsidRPr="00264071">
        <w:rPr>
          <w:rFonts w:ascii="Times New Roman" w:hAnsi="Times New Roman"/>
          <w:sz w:val="24"/>
          <w:szCs w:val="24"/>
        </w:rPr>
        <w:t>(</w:t>
      </w:r>
      <w:proofErr w:type="spellStart"/>
      <w:r w:rsidR="00BE356E" w:rsidRPr="00264071">
        <w:rPr>
          <w:rStyle w:val="Strong"/>
          <w:rFonts w:ascii="Times New Roman" w:hAnsi="Times New Roman"/>
          <w:b w:val="0"/>
          <w:bCs w:val="0"/>
          <w:color w:val="000000"/>
          <w:sz w:val="24"/>
          <w:szCs w:val="24"/>
        </w:rPr>
        <w:t>Osendarp</w:t>
      </w:r>
      <w:proofErr w:type="spellEnd"/>
      <w:r w:rsidR="00BE356E" w:rsidRPr="00264071">
        <w:rPr>
          <w:rStyle w:val="Strong"/>
          <w:rFonts w:ascii="Times New Roman" w:hAnsi="Times New Roman"/>
          <w:b w:val="0"/>
          <w:bCs w:val="0"/>
          <w:color w:val="000000"/>
          <w:sz w:val="24"/>
          <w:szCs w:val="24"/>
        </w:rPr>
        <w:t xml:space="preserve"> </w:t>
      </w:r>
      <w:r w:rsidR="00BE356E" w:rsidRPr="00996AF0">
        <w:rPr>
          <w:rStyle w:val="Strong"/>
          <w:rFonts w:ascii="Times New Roman" w:hAnsi="Times New Roman"/>
          <w:b w:val="0"/>
          <w:bCs w:val="0"/>
          <w:i/>
          <w:iCs/>
          <w:color w:val="000000"/>
          <w:sz w:val="24"/>
          <w:szCs w:val="24"/>
          <w:highlight w:val="yellow"/>
        </w:rPr>
        <w:t>et al.,</w:t>
      </w:r>
      <w:r w:rsidR="00BE356E" w:rsidRPr="00264071">
        <w:rPr>
          <w:rStyle w:val="Strong"/>
          <w:rFonts w:ascii="Times New Roman" w:hAnsi="Times New Roman"/>
          <w:b w:val="0"/>
          <w:bCs w:val="0"/>
          <w:color w:val="000000"/>
          <w:sz w:val="24"/>
          <w:szCs w:val="24"/>
        </w:rPr>
        <w:t xml:space="preserve"> 2018;</w:t>
      </w:r>
      <w:r w:rsidR="00BE356E" w:rsidRPr="00264071">
        <w:rPr>
          <w:rStyle w:val="Strong"/>
          <w:rFonts w:ascii="Times New Roman" w:hAnsi="Times New Roman"/>
          <w:color w:val="000000"/>
          <w:sz w:val="24"/>
          <w:szCs w:val="24"/>
        </w:rPr>
        <w:t xml:space="preserve"> </w:t>
      </w:r>
      <w:r w:rsidR="003734DA" w:rsidRPr="00264071">
        <w:rPr>
          <w:rFonts w:ascii="Times New Roman" w:hAnsi="Times New Roman"/>
          <w:sz w:val="24"/>
          <w:szCs w:val="24"/>
        </w:rPr>
        <w:t>Berger</w:t>
      </w:r>
      <w:r w:rsidRPr="00264071">
        <w:rPr>
          <w:rFonts w:ascii="Times New Roman" w:hAnsi="Times New Roman"/>
          <w:sz w:val="24"/>
          <w:szCs w:val="24"/>
        </w:rPr>
        <w:t xml:space="preserve"> </w:t>
      </w:r>
      <w:r w:rsidR="00AB2403" w:rsidRPr="00264071">
        <w:rPr>
          <w:rFonts w:ascii="Times New Roman" w:hAnsi="Times New Roman"/>
          <w:i/>
          <w:iCs/>
          <w:sz w:val="24"/>
          <w:szCs w:val="24"/>
          <w:highlight w:val="yellow"/>
        </w:rPr>
        <w:t>et al.</w:t>
      </w:r>
      <w:r w:rsidRPr="00264071">
        <w:rPr>
          <w:rFonts w:ascii="Times New Roman" w:hAnsi="Times New Roman"/>
          <w:sz w:val="24"/>
          <w:szCs w:val="24"/>
        </w:rPr>
        <w:t>, 202</w:t>
      </w:r>
      <w:r w:rsidR="00A7401D" w:rsidRPr="00264071">
        <w:rPr>
          <w:rFonts w:ascii="Times New Roman" w:hAnsi="Times New Roman"/>
          <w:sz w:val="24"/>
          <w:szCs w:val="24"/>
        </w:rPr>
        <w:t>2</w:t>
      </w:r>
      <w:r w:rsidRPr="00264071">
        <w:rPr>
          <w:rFonts w:ascii="Times New Roman" w:hAnsi="Times New Roman"/>
          <w:sz w:val="24"/>
          <w:szCs w:val="24"/>
        </w:rPr>
        <w:t>).</w:t>
      </w:r>
      <w:r>
        <w:rPr>
          <w:b/>
          <w:sz w:val="24"/>
          <w:highlight w:val="yellow"/>
        </w:rPr>
        <w:t xml:space="preserve"> </w:t>
      </w:r>
      <w:r w:rsidRPr="00582130">
        <w:rPr>
          <w:bCs/>
          <w:sz w:val="24"/>
          <w:highlight w:val="yellow"/>
        </w:rPr>
        <w:t>Recent evidence from higher education settings indicates that nutrition-focused interventions can improve selected dietary outcomes, although intervention effects vary according to design and context (Assilian et al., 2024; Liao et al., 2025).</w:t>
      </w:r>
    </w:p>
    <w:p w14:paraId="552F2EED" w14:textId="4EF80985"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Although nutrition education improves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knowledge alone may not adequately correct existing micronutrient deficiencies, particularly among individuals with depleted nutrient stores. Consequently, micronutrient supplementation has been recommended as an effective complementary strategy capable of providing immediate nutritional support while educational interventions promote sustainable </w:t>
      </w:r>
      <w:proofErr w:type="spellStart"/>
      <w:r w:rsidRPr="00AB2403">
        <w:rPr>
          <w:rFonts w:ascii="Times New Roman" w:hAnsi="Times New Roman"/>
          <w:sz w:val="24"/>
          <w:szCs w:val="24"/>
        </w:rPr>
        <w:t>behavioural</w:t>
      </w:r>
      <w:proofErr w:type="spellEnd"/>
      <w:r w:rsidRPr="00AB2403">
        <w:rPr>
          <w:rFonts w:ascii="Times New Roman" w:hAnsi="Times New Roman"/>
          <w:sz w:val="24"/>
          <w:szCs w:val="24"/>
        </w:rPr>
        <w:t xml:space="preserve"> change (Bhutta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2013; Berger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2022). Iron, vitamin A, zinc, folic acid, and other micronutrient supplements have been shown to improve biochemical indicators of nutritional status, reduce </w:t>
      </w:r>
      <w:proofErr w:type="spellStart"/>
      <w:r w:rsidRPr="00AB2403">
        <w:rPr>
          <w:rFonts w:ascii="Times New Roman" w:hAnsi="Times New Roman"/>
          <w:sz w:val="24"/>
          <w:szCs w:val="24"/>
        </w:rPr>
        <w:t>anaemia</w:t>
      </w:r>
      <w:proofErr w:type="spellEnd"/>
      <w:r w:rsidRPr="00AB2403">
        <w:rPr>
          <w:rFonts w:ascii="Times New Roman" w:hAnsi="Times New Roman"/>
          <w:sz w:val="24"/>
          <w:szCs w:val="24"/>
        </w:rPr>
        <w:t xml:space="preserve">, strengthen immune function, and improve overall health outcomes (Pasricha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2021; WHO, </w:t>
      </w:r>
      <w:r w:rsidR="001D653F">
        <w:rPr>
          <w:rFonts w:ascii="Times New Roman" w:hAnsi="Times New Roman"/>
          <w:sz w:val="24"/>
          <w:szCs w:val="24"/>
        </w:rPr>
        <w:t>n.d.</w:t>
      </w:r>
      <w:r w:rsidRPr="00AB2403">
        <w:rPr>
          <w:rFonts w:ascii="Times New Roman" w:hAnsi="Times New Roman"/>
          <w:sz w:val="24"/>
          <w:szCs w:val="24"/>
        </w:rPr>
        <w:t>).</w:t>
      </w:r>
    </w:p>
    <w:p w14:paraId="0E281357" w14:textId="00F46455" w:rsidR="008E216E" w:rsidRPr="00CC4996" w:rsidRDefault="00000000" w:rsidP="00AB2403">
      <w:pPr>
        <w:spacing w:after="0"/>
        <w:jc w:val="both"/>
        <w:rPr>
          <w:rFonts w:ascii="Times New Roman" w:hAnsi="Times New Roman"/>
          <w:color w:val="FF0000"/>
          <w:sz w:val="24"/>
          <w:szCs w:val="24"/>
        </w:rPr>
      </w:pPr>
      <w:r w:rsidRPr="00AB2403">
        <w:rPr>
          <w:rFonts w:ascii="Times New Roman" w:hAnsi="Times New Roman"/>
          <w:sz w:val="24"/>
          <w:szCs w:val="24"/>
        </w:rPr>
        <w:t xml:space="preserve">Several intervention studies have demonstrated that combining nutrition education with micronutrient supplementation produces greater improvements in nutrition knowledge, dietary practices, and micronutrient status than either intervention alone (Berger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2022). Furthermore, dietary diversity has consistently been identified as one of the strongest predictors of adequate micronutrient intake because consumption of a wide variety of foods increases the likelihood of meeting daily nutrient requirements </w:t>
      </w:r>
      <w:r w:rsidRPr="00264071">
        <w:rPr>
          <w:rFonts w:ascii="Times New Roman" w:hAnsi="Times New Roman"/>
          <w:sz w:val="24"/>
          <w:szCs w:val="24"/>
        </w:rPr>
        <w:t>(</w:t>
      </w:r>
      <w:r w:rsidR="005A6B2C" w:rsidRPr="00264071">
        <w:rPr>
          <w:rFonts w:ascii="Times New Roman" w:hAnsi="Times New Roman"/>
          <w:color w:val="000000"/>
          <w:sz w:val="24"/>
          <w:szCs w:val="24"/>
        </w:rPr>
        <w:t>Kennedy, 20</w:t>
      </w:r>
      <w:r w:rsidR="001D653F">
        <w:rPr>
          <w:rFonts w:ascii="Times New Roman" w:hAnsi="Times New Roman"/>
          <w:color w:val="000000"/>
          <w:sz w:val="24"/>
          <w:szCs w:val="24"/>
        </w:rPr>
        <w:t>07</w:t>
      </w:r>
      <w:r w:rsidR="005A6B2C" w:rsidRPr="00264071">
        <w:rPr>
          <w:rFonts w:ascii="Times New Roman" w:hAnsi="Times New Roman"/>
          <w:color w:val="000000"/>
          <w:sz w:val="24"/>
          <w:szCs w:val="24"/>
        </w:rPr>
        <w:t xml:space="preserve">; Jenkins </w:t>
      </w:r>
      <w:r w:rsidR="005A6B2C" w:rsidRPr="00996AF0">
        <w:rPr>
          <w:rFonts w:ascii="Times New Roman" w:hAnsi="Times New Roman"/>
          <w:i/>
          <w:iCs/>
          <w:color w:val="000000"/>
          <w:sz w:val="24"/>
          <w:szCs w:val="24"/>
          <w:highlight w:val="yellow"/>
        </w:rPr>
        <w:t>et al.,</w:t>
      </w:r>
      <w:r w:rsidR="005A6B2C" w:rsidRPr="00264071">
        <w:rPr>
          <w:rFonts w:ascii="Times New Roman" w:hAnsi="Times New Roman"/>
          <w:color w:val="000000"/>
          <w:sz w:val="24"/>
          <w:szCs w:val="24"/>
        </w:rPr>
        <w:t xml:space="preserve"> 2024). </w:t>
      </w:r>
      <w:r>
        <w:rPr>
          <w:b/>
          <w:sz w:val="24"/>
          <w:highlight w:val="yellow"/>
        </w:rPr>
        <w:t xml:space="preserve"> </w:t>
      </w:r>
      <w:r w:rsidRPr="00582130">
        <w:rPr>
          <w:bCs/>
          <w:sz w:val="24"/>
          <w:highlight w:val="yellow"/>
        </w:rPr>
        <w:t>Contemporary workplace evidence also suggests that combining nutrition education with dietary support and oral micronutrient supplementation can improve selected biochemical micronutrient indicators in adults (Nguyen et al., 2024).</w:t>
      </w:r>
    </w:p>
    <w:p w14:paraId="327AB0E5" w14:textId="776E4A9D" w:rsidR="008E216E" w:rsidRPr="00CC4996" w:rsidRDefault="00000000" w:rsidP="00AB2403">
      <w:pPr>
        <w:spacing w:after="0"/>
        <w:jc w:val="both"/>
        <w:rPr>
          <w:rFonts w:ascii="Times New Roman" w:hAnsi="Times New Roman"/>
          <w:color w:val="FF0000"/>
          <w:sz w:val="24"/>
          <w:szCs w:val="24"/>
        </w:rPr>
      </w:pPr>
      <w:r w:rsidRPr="00AB2403">
        <w:rPr>
          <w:rFonts w:ascii="Times New Roman" w:hAnsi="Times New Roman"/>
          <w:sz w:val="24"/>
          <w:szCs w:val="24"/>
        </w:rPr>
        <w:t xml:space="preserve">Despite growing evidence supporting integrated nutrition interventions, relatively few studies have evaluated their effectiveness among staff and students of Nigerian tertiary institutions, particularly in North-Western Nigeria. Most available studies have focused on children, pregnant women, or community-based populations, leaving an important knowledge gap regarding institutional nutrition </w:t>
      </w:r>
      <w:r>
        <w:rPr>
          <w:rFonts w:ascii="Times New Roman" w:hAnsi="Times New Roman"/>
          <w:sz w:val="24"/>
          <w:szCs w:val="24"/>
          <w:highlight w:val="yellow"/>
        </w:rPr>
        <w:t>programmes</w:t>
      </w:r>
      <w:r>
        <w:rPr>
          <w:rFonts w:ascii="Times New Roman" w:hAnsi="Times New Roman"/>
          <w:sz w:val="24"/>
          <w:szCs w:val="24"/>
        </w:rPr>
        <w:t xml:space="preserve"> for adults (</w:t>
      </w:r>
      <w:r w:rsidR="00023211">
        <w:rPr>
          <w:rFonts w:ascii="Times New Roman" w:hAnsi="Times New Roman"/>
          <w:sz w:val="24"/>
          <w:szCs w:val="24"/>
        </w:rPr>
        <w:t xml:space="preserve">Black </w:t>
      </w:r>
      <w:r w:rsidR="00023211" w:rsidRPr="00996AF0">
        <w:rPr>
          <w:rFonts w:ascii="Times New Roman" w:hAnsi="Times New Roman"/>
          <w:i/>
          <w:iCs/>
          <w:sz w:val="24"/>
          <w:szCs w:val="24"/>
          <w:highlight w:val="yellow"/>
        </w:rPr>
        <w:t>et al.,</w:t>
      </w:r>
      <w:r w:rsidR="00023211">
        <w:rPr>
          <w:rFonts w:ascii="Times New Roman" w:hAnsi="Times New Roman"/>
          <w:sz w:val="24"/>
          <w:szCs w:val="24"/>
        </w:rPr>
        <w:t xml:space="preserve"> 2013; </w:t>
      </w:r>
      <w:r w:rsidR="001D653F" w:rsidRPr="001D653F">
        <w:rPr>
          <w:rFonts w:ascii="Times New Roman" w:hAnsi="Times New Roman"/>
          <w:sz w:val="24"/>
          <w:szCs w:val="24"/>
        </w:rPr>
        <w:t>Ministry of Budget and National Planning</w:t>
      </w:r>
      <w:r>
        <w:rPr>
          <w:rFonts w:ascii="Times New Roman" w:hAnsi="Times New Roman"/>
          <w:sz w:val="24"/>
          <w:szCs w:val="24"/>
        </w:rPr>
        <w:t>, 20</w:t>
      </w:r>
      <w:r w:rsidR="001D653F">
        <w:rPr>
          <w:rFonts w:ascii="Times New Roman" w:hAnsi="Times New Roman"/>
          <w:sz w:val="24"/>
          <w:szCs w:val="24"/>
        </w:rPr>
        <w:t>16</w:t>
      </w:r>
      <w:r>
        <w:rPr>
          <w:rFonts w:ascii="Times New Roman" w:hAnsi="Times New Roman"/>
          <w:color w:val="000000"/>
          <w:sz w:val="24"/>
          <w:szCs w:val="24"/>
        </w:rPr>
        <w:t>; FAO, 202</w:t>
      </w:r>
      <w:r w:rsidR="0069421B">
        <w:rPr>
          <w:rFonts w:ascii="Times New Roman" w:hAnsi="Times New Roman"/>
          <w:color w:val="000000"/>
          <w:sz w:val="24"/>
          <w:szCs w:val="24"/>
        </w:rPr>
        <w:t>4</w:t>
      </w:r>
      <w:r>
        <w:rPr>
          <w:rFonts w:ascii="Times New Roman" w:hAnsi="Times New Roman"/>
          <w:color w:val="000000"/>
          <w:sz w:val="24"/>
          <w:szCs w:val="24"/>
        </w:rPr>
        <w:t>).</w:t>
      </w:r>
    </w:p>
    <w:p w14:paraId="27E11530"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Federal Polytechnic Kabo provides an ideal setting for evaluating nutrition interventions because it comprises students and staff from diverse socioeconomic backgrounds with varying dietary </w:t>
      </w:r>
      <w:proofErr w:type="spellStart"/>
      <w:r w:rsidRPr="00AB2403">
        <w:rPr>
          <w:rFonts w:ascii="Times New Roman" w:hAnsi="Times New Roman"/>
          <w:sz w:val="24"/>
          <w:szCs w:val="24"/>
        </w:rPr>
        <w:t>behaviours</w:t>
      </w:r>
      <w:proofErr w:type="spellEnd"/>
      <w:r w:rsidRPr="00AB2403">
        <w:rPr>
          <w:rFonts w:ascii="Times New Roman" w:hAnsi="Times New Roman"/>
          <w:sz w:val="24"/>
          <w:szCs w:val="24"/>
        </w:rPr>
        <w:t xml:space="preserve"> and nutritional risks. Assessing the combined effects of nutrition education and micronutrient supplementation within this population will generate evidence to support institutional nutrition policies, staff wellness </w:t>
      </w:r>
      <w:proofErr w:type="spellStart"/>
      <w:r w:rsidRPr="00AB2403">
        <w:rPr>
          <w:rFonts w:ascii="Times New Roman" w:hAnsi="Times New Roman"/>
          <w:sz w:val="24"/>
          <w:szCs w:val="24"/>
        </w:rPr>
        <w:t>programmes</w:t>
      </w:r>
      <w:proofErr w:type="spellEnd"/>
      <w:r w:rsidRPr="00AB2403">
        <w:rPr>
          <w:rFonts w:ascii="Times New Roman" w:hAnsi="Times New Roman"/>
          <w:sz w:val="24"/>
          <w:szCs w:val="24"/>
        </w:rPr>
        <w:t>, student health promotion initiatives, and future public health interventions. The findings are expected to contribute to national efforts aimed at achieving Sustainable Development Goal 2 (Zero Hunger) and Sustainable Development Goal 3 (Good Health and Well-being) through improved nutrition and prevention of micronutrient deficiencies (United Nations, 2023)</w:t>
      </w:r>
      <w:r w:rsidR="00050FB7">
        <w:rPr>
          <w:rFonts w:ascii="Times New Roman" w:hAnsi="Times New Roman"/>
          <w:sz w:val="24"/>
          <w:szCs w:val="24"/>
        </w:rPr>
        <w:t>.</w:t>
      </w:r>
    </w:p>
    <w:p w14:paraId="00F69DAB" w14:textId="77777777" w:rsidR="00A92FB2" w:rsidRDefault="00000000">
      <w:pPr>
        <w:keepNext/>
        <w:spacing w:after="0"/>
        <w:jc w:val="both"/>
        <w:rPr>
          <w:rFonts w:ascii="Times New Roman" w:hAnsi="Times New Roman"/>
          <w:sz w:val="24"/>
          <w:szCs w:val="24"/>
        </w:rPr>
      </w:pPr>
      <w:r>
        <w:rPr>
          <w:b/>
          <w:sz w:val="24"/>
          <w:highlight w:val="yellow"/>
        </w:rPr>
        <w:lastRenderedPageBreak/>
        <w:t>Objective of the Study</w:t>
      </w:r>
    </w:p>
    <w:p w14:paraId="100B6AB0" w14:textId="77777777" w:rsidR="00A92FB2" w:rsidRDefault="00000000">
      <w:pPr>
        <w:spacing w:after="0"/>
        <w:jc w:val="both"/>
        <w:rPr>
          <w:bCs/>
          <w:sz w:val="24"/>
        </w:rPr>
      </w:pPr>
      <w:r w:rsidRPr="00582130">
        <w:rPr>
          <w:bCs/>
          <w:sz w:val="24"/>
          <w:highlight w:val="yellow"/>
        </w:rPr>
        <w:t>This study aimed to evaluate the effect of combined micronutrient supplementation and structured nutrition education on micronutrient status and dietary behaviour among staff and students of Federal Polytechnic Kabo, Kano State, Nigeria.</w:t>
      </w:r>
    </w:p>
    <w:p w14:paraId="10CFA33B" w14:textId="77777777" w:rsidR="00582130" w:rsidRPr="00582130" w:rsidRDefault="00582130">
      <w:pPr>
        <w:spacing w:after="0"/>
        <w:jc w:val="both"/>
        <w:rPr>
          <w:rFonts w:ascii="Times New Roman" w:hAnsi="Times New Roman"/>
          <w:bCs/>
          <w:sz w:val="24"/>
          <w:szCs w:val="24"/>
        </w:rPr>
      </w:pPr>
    </w:p>
    <w:p w14:paraId="210892F2"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Materials and Methods</w:t>
      </w:r>
    </w:p>
    <w:p w14:paraId="60FA04F2"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Study Area</w:t>
      </w:r>
    </w:p>
    <w:p w14:paraId="729CB4DB" w14:textId="77777777" w:rsidR="008D1618" w:rsidRPr="0039525B" w:rsidRDefault="00000000" w:rsidP="00AB2403">
      <w:pPr>
        <w:spacing w:after="0"/>
        <w:jc w:val="both"/>
        <w:rPr>
          <w:rFonts w:ascii="Times New Roman" w:hAnsi="Times New Roman"/>
          <w:sz w:val="24"/>
          <w:szCs w:val="24"/>
        </w:rPr>
      </w:pPr>
      <w:r w:rsidRPr="00AB2403">
        <w:rPr>
          <w:rFonts w:ascii="Times New Roman" w:hAnsi="Times New Roman"/>
          <w:sz w:val="24"/>
          <w:szCs w:val="24"/>
        </w:rPr>
        <w:t>The study was conducted at Federal Polytechnic Kabo, Kano State, Nigeria. The institution comprises academic staff, non-academic staff, and students from diverse socioeconomic backgrounds.</w:t>
      </w:r>
    </w:p>
    <w:p w14:paraId="00D31E2A" w14:textId="77777777" w:rsidR="008D1618"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Study Design and Population</w:t>
      </w:r>
    </w:p>
    <w:p w14:paraId="3E38D440" w14:textId="77777777" w:rsidR="008E216E" w:rsidRPr="008D1618" w:rsidRDefault="00000000" w:rsidP="00AB2403">
      <w:pPr>
        <w:spacing w:after="0"/>
        <w:jc w:val="both"/>
        <w:rPr>
          <w:rFonts w:ascii="Times New Roman" w:hAnsi="Times New Roman"/>
          <w:b/>
          <w:bCs/>
          <w:sz w:val="24"/>
          <w:szCs w:val="24"/>
        </w:rPr>
      </w:pPr>
      <w:r w:rsidRPr="00AB2403">
        <w:rPr>
          <w:rFonts w:ascii="Times New Roman" w:hAnsi="Times New Roman"/>
          <w:sz w:val="24"/>
          <w:szCs w:val="24"/>
        </w:rPr>
        <w:t>A quasi-experimental pre-test/post-test control group design was employed. The study population consisted of registered staff and students aged 18 years and above. Pregnant women, individuals with chronic illnesses requiring special diets, and those receiving micronutrient supplementation were excluded.</w:t>
      </w:r>
    </w:p>
    <w:p w14:paraId="25336E6C"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Sample Size and Sampling Technique</w:t>
      </w:r>
    </w:p>
    <w:p w14:paraId="411FFC00"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A total of 200 participants were recruited using a stratified random sampling technique. Participants were proportionately selected from academic staff, non-academic staff, and students, and allocated equally into intervention (n = 100) and control (n = 100) groups.</w:t>
      </w:r>
    </w:p>
    <w:p w14:paraId="031372E1"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Data Collection</w:t>
      </w:r>
    </w:p>
    <w:p w14:paraId="1C2AE447"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Data were collected at baseline and after the 12-week intervention using a pre-tested structured questionnaire, a multiple-pass 24-hour dietary recall, a semi-quantitative Food Frequency Questionnaire (FFQ), anthropometric measurements, and biochemical assessments.</w:t>
      </w:r>
    </w:p>
    <w:p w14:paraId="348436A9"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The questionnaire obtained information on socio-demographic characteristics, nutrition knowledge,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and supplement use. Dietary intake was assessed using the multiple-pass 24-hour dietary recall, while habitual food consumption was evaluated using an FFQ containing commonly consumed Nigerian foods. Nutrient intake was estimated using the Nigerian Food Composition Table.</w:t>
      </w:r>
    </w:p>
    <w:p w14:paraId="4F31CB15" w14:textId="77777777" w:rsidR="008E216E" w:rsidRDefault="00000000" w:rsidP="00AB2403">
      <w:pPr>
        <w:spacing w:after="0"/>
        <w:jc w:val="both"/>
        <w:rPr>
          <w:rFonts w:ascii="Times New Roman" w:hAnsi="Times New Roman"/>
          <w:color w:val="000000"/>
          <w:sz w:val="24"/>
          <w:szCs w:val="24"/>
        </w:rPr>
      </w:pPr>
      <w:r w:rsidRPr="00AB2403">
        <w:rPr>
          <w:rFonts w:ascii="Times New Roman" w:hAnsi="Times New Roman"/>
          <w:sz w:val="24"/>
          <w:szCs w:val="24"/>
        </w:rPr>
        <w:t>Anthropometric measurements included body weight, height, body mass index (BMI), waist circumference, hip circumference, waist-to-hip ratio, and mid-upper arm circumference (MUAC), following WHO</w:t>
      </w:r>
      <w:r w:rsidR="00023211">
        <w:rPr>
          <w:rFonts w:ascii="Times New Roman" w:hAnsi="Times New Roman"/>
          <w:sz w:val="24"/>
          <w:szCs w:val="24"/>
        </w:rPr>
        <w:t xml:space="preserve"> </w:t>
      </w:r>
      <w:r w:rsidRPr="00AB2403">
        <w:rPr>
          <w:rFonts w:ascii="Times New Roman" w:hAnsi="Times New Roman"/>
          <w:sz w:val="24"/>
          <w:szCs w:val="24"/>
        </w:rPr>
        <w:t xml:space="preserve">standard procedures </w:t>
      </w:r>
      <w:r w:rsidR="001A32B0">
        <w:rPr>
          <w:rFonts w:ascii="Times New Roman" w:hAnsi="Times New Roman"/>
          <w:color w:val="000000"/>
          <w:sz w:val="24"/>
          <w:szCs w:val="24"/>
        </w:rPr>
        <w:t>(</w:t>
      </w:r>
      <w:r>
        <w:rPr>
          <w:rFonts w:ascii="Times New Roman" w:hAnsi="Times New Roman"/>
          <w:color w:val="000000"/>
          <w:sz w:val="24"/>
          <w:szCs w:val="24"/>
        </w:rPr>
        <w:t>WHO, 2008).</w:t>
      </w:r>
    </w:p>
    <w:p w14:paraId="4448CEBA"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Venous blood samples (5 mL) were collected under aseptic conditions for the determination of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serum vitamin A, serum iron, and serum zinc using standard laboratory procedures.</w:t>
      </w:r>
    </w:p>
    <w:p w14:paraId="382F9734" w14:textId="77777777" w:rsidR="008E216E" w:rsidRPr="008D1618" w:rsidRDefault="00000000" w:rsidP="00AB2403">
      <w:pPr>
        <w:spacing w:after="0"/>
        <w:jc w:val="both"/>
        <w:rPr>
          <w:rFonts w:ascii="Times New Roman" w:hAnsi="Times New Roman"/>
          <w:b/>
          <w:bCs/>
          <w:sz w:val="24"/>
          <w:szCs w:val="24"/>
        </w:rPr>
      </w:pPr>
      <w:r w:rsidRPr="008D1618">
        <w:rPr>
          <w:rFonts w:ascii="Times New Roman" w:hAnsi="Times New Roman"/>
          <w:b/>
          <w:bCs/>
          <w:sz w:val="24"/>
          <w:szCs w:val="24"/>
        </w:rPr>
        <w:t>Intervention</w:t>
      </w:r>
    </w:p>
    <w:p w14:paraId="14C8735F"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Participants in the intervention group received daily micronutrient supplements containing iron, vitamin A, zinc, folic acid, vitamin C, and B-complex vitamins for 12 weeks. They also participated in weekly nutrition education sessions covering balanced diets, dietary diversity, micronutrient-rich foods, healthy meal planning, food hygiene, and lifestyle modification. Each </w:t>
      </w:r>
      <w:r w:rsidRPr="00AB2403">
        <w:rPr>
          <w:rFonts w:ascii="Times New Roman" w:hAnsi="Times New Roman"/>
          <w:sz w:val="24"/>
          <w:szCs w:val="24"/>
        </w:rPr>
        <w:lastRenderedPageBreak/>
        <w:t xml:space="preserve">session lasted approximately 45–60 minutes. The control group </w:t>
      </w:r>
      <w:r>
        <w:rPr>
          <w:rFonts w:ascii="Times New Roman" w:hAnsi="Times New Roman"/>
          <w:sz w:val="24"/>
          <w:szCs w:val="24"/>
          <w:highlight w:val="yellow"/>
        </w:rPr>
        <w:t>continued its routine dietary practices</w:t>
      </w:r>
      <w:r>
        <w:rPr>
          <w:rFonts w:ascii="Times New Roman" w:hAnsi="Times New Roman"/>
          <w:sz w:val="24"/>
          <w:szCs w:val="24"/>
        </w:rPr>
        <w:t xml:space="preserve"> throughout the study period.</w:t>
      </w:r>
    </w:p>
    <w:p w14:paraId="4CD320CC"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Statistical Analysis</w:t>
      </w:r>
    </w:p>
    <w:p w14:paraId="5A9E037B"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Data were entered into Microsoft Excel and </w:t>
      </w:r>
      <w:proofErr w:type="spellStart"/>
      <w:r w:rsidRPr="00AB2403">
        <w:rPr>
          <w:rFonts w:ascii="Times New Roman" w:hAnsi="Times New Roman"/>
          <w:sz w:val="24"/>
          <w:szCs w:val="24"/>
        </w:rPr>
        <w:t>analysed</w:t>
      </w:r>
      <w:proofErr w:type="spellEnd"/>
      <w:r w:rsidRPr="00AB2403">
        <w:rPr>
          <w:rFonts w:ascii="Times New Roman" w:hAnsi="Times New Roman"/>
          <w:sz w:val="24"/>
          <w:szCs w:val="24"/>
        </w:rPr>
        <w:t xml:space="preserve"> using IBM SPSS Statistics version 26.0. Descriptive statistics (frequencies, percentages, means, and standard deviations) were used to </w:t>
      </w:r>
      <w:r>
        <w:rPr>
          <w:rFonts w:ascii="Times New Roman" w:hAnsi="Times New Roman"/>
          <w:sz w:val="24"/>
          <w:szCs w:val="24"/>
          <w:highlight w:val="yellow"/>
        </w:rPr>
        <w:t>summarise</w:t>
      </w:r>
      <w:r>
        <w:rPr>
          <w:rFonts w:ascii="Times New Roman" w:hAnsi="Times New Roman"/>
          <w:sz w:val="24"/>
          <w:szCs w:val="24"/>
        </w:rPr>
        <w:t xml:space="preserve"> the data. Differences between groups were assessed using independent-samples and paired-samples t-tests, while associations between categorical variables were evaluated using the Chi-square test. Pearson's correlation and multiple linear regression analyses were performed to identify predictors of micronutrient status. Statistical significance was set at p &lt; 0.05.</w:t>
      </w:r>
    </w:p>
    <w:p w14:paraId="7AF8698F" w14:textId="77777777" w:rsidR="008E216E" w:rsidRPr="00AB2403" w:rsidRDefault="008E216E" w:rsidP="00AB2403">
      <w:pPr>
        <w:spacing w:after="0"/>
        <w:jc w:val="both"/>
        <w:rPr>
          <w:rFonts w:ascii="Times New Roman" w:hAnsi="Times New Roman"/>
          <w:sz w:val="24"/>
          <w:szCs w:val="24"/>
        </w:rPr>
      </w:pPr>
    </w:p>
    <w:p w14:paraId="26F69806" w14:textId="77777777" w:rsidR="008E216E" w:rsidRPr="00AB2403" w:rsidRDefault="00000000" w:rsidP="00AB2403">
      <w:pPr>
        <w:spacing w:after="0"/>
        <w:jc w:val="both"/>
        <w:rPr>
          <w:rFonts w:ascii="Times New Roman" w:hAnsi="Times New Roman"/>
          <w:b/>
          <w:bCs/>
          <w:sz w:val="24"/>
          <w:szCs w:val="24"/>
        </w:rPr>
      </w:pPr>
      <w:r w:rsidRPr="00AB2403">
        <w:rPr>
          <w:rFonts w:ascii="Times New Roman" w:hAnsi="Times New Roman"/>
          <w:b/>
          <w:bCs/>
          <w:sz w:val="24"/>
          <w:szCs w:val="24"/>
        </w:rPr>
        <w:t>Results</w:t>
      </w:r>
    </w:p>
    <w:p w14:paraId="5D32E86F" w14:textId="77777777" w:rsidR="008E216E" w:rsidRPr="00AB2403" w:rsidRDefault="00264071" w:rsidP="00AB2403">
      <w:pPr>
        <w:spacing w:after="0"/>
        <w:jc w:val="both"/>
        <w:rPr>
          <w:rFonts w:ascii="Times New Roman" w:hAnsi="Times New Roman"/>
          <w:b/>
          <w:bCs/>
          <w:sz w:val="24"/>
          <w:szCs w:val="24"/>
        </w:rPr>
      </w:pPr>
      <w:r>
        <w:rPr>
          <w:rFonts w:ascii="Times New Roman" w:hAnsi="Times New Roman"/>
          <w:b/>
          <w:bCs/>
          <w:sz w:val="24"/>
          <w:szCs w:val="24"/>
        </w:rPr>
        <w:t xml:space="preserve">Table 1: </w:t>
      </w:r>
      <w:r w:rsidRPr="00AB2403">
        <w:rPr>
          <w:rFonts w:ascii="Times New Roman" w:hAnsi="Times New Roman"/>
          <w:b/>
          <w:bCs/>
          <w:sz w:val="24"/>
          <w:szCs w:val="24"/>
        </w:rPr>
        <w:t>Effect of Nutrition Education and Micronutrient Supplementation on Anthropometric Measurements</w:t>
      </w:r>
    </w:p>
    <w:tbl>
      <w:tblPr>
        <w:tblW w:w="0" w:type="auto"/>
        <w:tblBorders>
          <w:top w:val="single" w:sz="4" w:space="0" w:color="auto"/>
          <w:bottom w:val="single" w:sz="4" w:space="0" w:color="auto"/>
        </w:tblBorders>
        <w:tblLook w:val="04A0" w:firstRow="1" w:lastRow="0" w:firstColumn="1" w:lastColumn="0" w:noHBand="0" w:noVBand="1"/>
      </w:tblPr>
      <w:tblGrid>
        <w:gridCol w:w="1749"/>
        <w:gridCol w:w="1578"/>
        <w:gridCol w:w="1584"/>
        <w:gridCol w:w="1558"/>
        <w:gridCol w:w="1584"/>
        <w:gridCol w:w="1523"/>
      </w:tblGrid>
      <w:tr w:rsidR="00523A28" w14:paraId="0949693D" w14:textId="77777777">
        <w:tc>
          <w:tcPr>
            <w:tcW w:w="1596" w:type="dxa"/>
          </w:tcPr>
          <w:p w14:paraId="050BC464" w14:textId="77777777" w:rsidR="007A7C39" w:rsidRDefault="007A7C39">
            <w:pPr>
              <w:spacing w:after="0"/>
              <w:jc w:val="both"/>
              <w:rPr>
                <w:rFonts w:ascii="Times New Roman" w:hAnsi="Times New Roman"/>
                <w:sz w:val="24"/>
                <w:szCs w:val="24"/>
              </w:rPr>
            </w:pPr>
            <w:r>
              <w:rPr>
                <w:rFonts w:ascii="Times New Roman" w:hAnsi="Times New Roman"/>
                <w:sz w:val="24"/>
                <w:szCs w:val="24"/>
              </w:rPr>
              <w:t>Anthropometric parameter</w:t>
            </w:r>
          </w:p>
        </w:tc>
        <w:tc>
          <w:tcPr>
            <w:tcW w:w="1596" w:type="dxa"/>
          </w:tcPr>
          <w:p w14:paraId="2F79F08B" w14:textId="77777777" w:rsidR="007A7C39" w:rsidRDefault="007A7C39">
            <w:pPr>
              <w:spacing w:after="0"/>
              <w:jc w:val="both"/>
              <w:rPr>
                <w:rFonts w:ascii="Times New Roman" w:hAnsi="Times New Roman"/>
                <w:sz w:val="24"/>
                <w:szCs w:val="24"/>
              </w:rPr>
            </w:pPr>
            <w:r>
              <w:rPr>
                <w:rFonts w:ascii="Times New Roman" w:hAnsi="Times New Roman"/>
                <w:sz w:val="24"/>
                <w:szCs w:val="24"/>
              </w:rPr>
              <w:t>Intervention (baseline)</w:t>
            </w:r>
          </w:p>
          <w:p w14:paraId="740DD185" w14:textId="77777777" w:rsidR="007A7C39" w:rsidRDefault="007A7C39">
            <w:pPr>
              <w:spacing w:after="0"/>
              <w:jc w:val="both"/>
              <w:rPr>
                <w:rFonts w:ascii="Times New Roman" w:hAnsi="Times New Roman"/>
                <w:sz w:val="24"/>
                <w:szCs w:val="24"/>
              </w:rPr>
            </w:pPr>
            <w:r>
              <w:rPr>
                <w:rFonts w:ascii="Times New Roman" w:hAnsi="Times New Roman"/>
                <w:sz w:val="24"/>
                <w:szCs w:val="24"/>
              </w:rPr>
              <w:t>Mean ± SD</w:t>
            </w:r>
          </w:p>
        </w:tc>
        <w:tc>
          <w:tcPr>
            <w:tcW w:w="1596" w:type="dxa"/>
          </w:tcPr>
          <w:p w14:paraId="512BD107" w14:textId="77777777" w:rsidR="007A7C39" w:rsidRDefault="007A7C39">
            <w:pPr>
              <w:spacing w:after="0"/>
              <w:jc w:val="both"/>
              <w:rPr>
                <w:rFonts w:ascii="Times New Roman" w:hAnsi="Times New Roman"/>
                <w:sz w:val="24"/>
                <w:szCs w:val="24"/>
              </w:rPr>
            </w:pPr>
            <w:r>
              <w:rPr>
                <w:rFonts w:ascii="Times New Roman" w:hAnsi="Times New Roman"/>
                <w:sz w:val="24"/>
                <w:szCs w:val="24"/>
              </w:rPr>
              <w:t>Intervention (post intervention)</w:t>
            </w:r>
          </w:p>
          <w:p w14:paraId="18FEE12C" w14:textId="77777777" w:rsidR="007A7C39" w:rsidRDefault="007A7C39">
            <w:pPr>
              <w:spacing w:after="0"/>
              <w:jc w:val="both"/>
              <w:rPr>
                <w:rFonts w:ascii="Times New Roman" w:hAnsi="Times New Roman"/>
                <w:sz w:val="24"/>
                <w:szCs w:val="24"/>
              </w:rPr>
            </w:pPr>
            <w:r>
              <w:rPr>
                <w:rFonts w:ascii="Times New Roman" w:hAnsi="Times New Roman"/>
                <w:sz w:val="24"/>
                <w:szCs w:val="24"/>
              </w:rPr>
              <w:t>Mean ± SD</w:t>
            </w:r>
          </w:p>
        </w:tc>
        <w:tc>
          <w:tcPr>
            <w:tcW w:w="1596" w:type="dxa"/>
          </w:tcPr>
          <w:p w14:paraId="0511107B" w14:textId="77777777" w:rsidR="007A7C39" w:rsidRDefault="007A7C39">
            <w:pPr>
              <w:spacing w:after="0"/>
              <w:jc w:val="both"/>
              <w:rPr>
                <w:rFonts w:ascii="Times New Roman" w:hAnsi="Times New Roman"/>
                <w:sz w:val="24"/>
                <w:szCs w:val="24"/>
              </w:rPr>
            </w:pPr>
            <w:r>
              <w:rPr>
                <w:rFonts w:ascii="Times New Roman" w:hAnsi="Times New Roman"/>
                <w:sz w:val="24"/>
                <w:szCs w:val="24"/>
              </w:rPr>
              <w:t>Control (baseline)</w:t>
            </w:r>
          </w:p>
          <w:p w14:paraId="7AB1FAB3" w14:textId="77777777" w:rsidR="007A7C39" w:rsidRDefault="007A7C39">
            <w:pPr>
              <w:spacing w:after="0"/>
              <w:jc w:val="both"/>
              <w:rPr>
                <w:rFonts w:ascii="Times New Roman" w:hAnsi="Times New Roman"/>
                <w:sz w:val="24"/>
                <w:szCs w:val="24"/>
              </w:rPr>
            </w:pPr>
            <w:r>
              <w:rPr>
                <w:rFonts w:ascii="Times New Roman" w:hAnsi="Times New Roman"/>
                <w:sz w:val="24"/>
                <w:szCs w:val="24"/>
              </w:rPr>
              <w:t>Mean ± SD</w:t>
            </w:r>
          </w:p>
        </w:tc>
        <w:tc>
          <w:tcPr>
            <w:tcW w:w="1596" w:type="dxa"/>
          </w:tcPr>
          <w:p w14:paraId="18EB91D3" w14:textId="77777777" w:rsidR="007A7C39" w:rsidRDefault="007A7C39">
            <w:pPr>
              <w:spacing w:after="0"/>
              <w:jc w:val="both"/>
              <w:rPr>
                <w:rFonts w:ascii="Times New Roman" w:hAnsi="Times New Roman"/>
                <w:sz w:val="24"/>
                <w:szCs w:val="24"/>
              </w:rPr>
            </w:pPr>
            <w:r>
              <w:rPr>
                <w:rFonts w:ascii="Times New Roman" w:hAnsi="Times New Roman"/>
                <w:sz w:val="24"/>
                <w:szCs w:val="24"/>
              </w:rPr>
              <w:t>Control (post intervention)</w:t>
            </w:r>
          </w:p>
          <w:p w14:paraId="20461B9A" w14:textId="77777777" w:rsidR="007A7C39" w:rsidRDefault="007A7C39">
            <w:pPr>
              <w:spacing w:after="0"/>
              <w:jc w:val="both"/>
              <w:rPr>
                <w:rFonts w:ascii="Times New Roman" w:hAnsi="Times New Roman"/>
                <w:sz w:val="24"/>
                <w:szCs w:val="24"/>
              </w:rPr>
            </w:pPr>
            <w:r>
              <w:rPr>
                <w:rFonts w:ascii="Times New Roman" w:hAnsi="Times New Roman"/>
                <w:sz w:val="24"/>
                <w:szCs w:val="24"/>
              </w:rPr>
              <w:t>Mean ± SD</w:t>
            </w:r>
          </w:p>
        </w:tc>
        <w:tc>
          <w:tcPr>
            <w:tcW w:w="1596" w:type="dxa"/>
          </w:tcPr>
          <w:p w14:paraId="3C9DB584" w14:textId="77777777" w:rsidR="007A7C39" w:rsidRDefault="007A7C39">
            <w:pPr>
              <w:spacing w:after="0"/>
              <w:jc w:val="both"/>
              <w:rPr>
                <w:rFonts w:ascii="Times New Roman" w:hAnsi="Times New Roman"/>
                <w:sz w:val="24"/>
                <w:szCs w:val="24"/>
              </w:rPr>
            </w:pPr>
            <w:r>
              <w:rPr>
                <w:rFonts w:ascii="Times New Roman" w:hAnsi="Times New Roman"/>
                <w:sz w:val="24"/>
                <w:szCs w:val="24"/>
              </w:rPr>
              <w:t>p-value</w:t>
            </w:r>
          </w:p>
        </w:tc>
      </w:tr>
      <w:tr w:rsidR="00523A28" w14:paraId="62360471" w14:textId="77777777">
        <w:tc>
          <w:tcPr>
            <w:tcW w:w="1596" w:type="dxa"/>
          </w:tcPr>
          <w:p w14:paraId="60570C4B" w14:textId="77777777" w:rsidR="007A7C39" w:rsidRDefault="007A7C39">
            <w:pPr>
              <w:spacing w:after="0"/>
              <w:jc w:val="both"/>
              <w:rPr>
                <w:rFonts w:ascii="Times New Roman" w:hAnsi="Times New Roman"/>
                <w:sz w:val="24"/>
                <w:szCs w:val="24"/>
              </w:rPr>
            </w:pPr>
            <w:r>
              <w:rPr>
                <w:rFonts w:ascii="Times New Roman" w:hAnsi="Times New Roman"/>
                <w:sz w:val="24"/>
                <w:szCs w:val="24"/>
              </w:rPr>
              <w:t>Wei</w:t>
            </w:r>
            <w:r w:rsidR="00AE4693">
              <w:rPr>
                <w:rFonts w:ascii="Times New Roman" w:hAnsi="Times New Roman"/>
                <w:sz w:val="24"/>
                <w:szCs w:val="24"/>
              </w:rPr>
              <w:t>gh</w:t>
            </w:r>
            <w:r>
              <w:rPr>
                <w:rFonts w:ascii="Times New Roman" w:hAnsi="Times New Roman"/>
                <w:sz w:val="24"/>
                <w:szCs w:val="24"/>
              </w:rPr>
              <w:t>t (k</w:t>
            </w:r>
            <w:r w:rsidR="00AE4693">
              <w:rPr>
                <w:rFonts w:ascii="Times New Roman" w:hAnsi="Times New Roman"/>
                <w:sz w:val="24"/>
                <w:szCs w:val="24"/>
              </w:rPr>
              <w:t>g</w:t>
            </w:r>
            <w:r>
              <w:rPr>
                <w:rFonts w:ascii="Times New Roman" w:hAnsi="Times New Roman"/>
                <w:sz w:val="24"/>
                <w:szCs w:val="24"/>
              </w:rPr>
              <w:t>)</w:t>
            </w:r>
          </w:p>
        </w:tc>
        <w:tc>
          <w:tcPr>
            <w:tcW w:w="1596" w:type="dxa"/>
          </w:tcPr>
          <w:p w14:paraId="067F8FDD" w14:textId="77777777" w:rsidR="007A7C39" w:rsidRDefault="007A7C39">
            <w:pPr>
              <w:spacing w:after="0"/>
              <w:jc w:val="both"/>
              <w:rPr>
                <w:rFonts w:ascii="Times New Roman" w:hAnsi="Times New Roman"/>
                <w:sz w:val="24"/>
                <w:szCs w:val="24"/>
              </w:rPr>
            </w:pPr>
            <w:r>
              <w:rPr>
                <w:rFonts w:ascii="Times New Roman" w:hAnsi="Times New Roman"/>
                <w:sz w:val="24"/>
                <w:szCs w:val="24"/>
              </w:rPr>
              <w:t>68.4 ± 10.2</w:t>
            </w:r>
          </w:p>
        </w:tc>
        <w:tc>
          <w:tcPr>
            <w:tcW w:w="1596" w:type="dxa"/>
          </w:tcPr>
          <w:p w14:paraId="66BEB300" w14:textId="77777777" w:rsidR="007A7C39" w:rsidRDefault="007A7C39">
            <w:pPr>
              <w:spacing w:after="0"/>
              <w:jc w:val="both"/>
              <w:rPr>
                <w:rFonts w:ascii="Times New Roman" w:hAnsi="Times New Roman"/>
                <w:sz w:val="24"/>
                <w:szCs w:val="24"/>
              </w:rPr>
            </w:pPr>
            <w:r>
              <w:rPr>
                <w:rFonts w:ascii="Times New Roman" w:hAnsi="Times New Roman"/>
                <w:sz w:val="24"/>
                <w:szCs w:val="24"/>
              </w:rPr>
              <w:t>66.9 ± 9.8</w:t>
            </w:r>
          </w:p>
        </w:tc>
        <w:tc>
          <w:tcPr>
            <w:tcW w:w="1596" w:type="dxa"/>
          </w:tcPr>
          <w:p w14:paraId="3CE5FD2A" w14:textId="77777777" w:rsidR="007A7C39" w:rsidRDefault="007A7C39">
            <w:pPr>
              <w:spacing w:after="0"/>
              <w:jc w:val="both"/>
              <w:rPr>
                <w:rFonts w:ascii="Times New Roman" w:hAnsi="Times New Roman"/>
                <w:sz w:val="24"/>
                <w:szCs w:val="24"/>
              </w:rPr>
            </w:pPr>
            <w:r>
              <w:rPr>
                <w:rFonts w:ascii="Times New Roman" w:hAnsi="Times New Roman"/>
                <w:sz w:val="24"/>
                <w:szCs w:val="24"/>
              </w:rPr>
              <w:t>67.8 ± 9.7</w:t>
            </w:r>
          </w:p>
        </w:tc>
        <w:tc>
          <w:tcPr>
            <w:tcW w:w="1596" w:type="dxa"/>
          </w:tcPr>
          <w:p w14:paraId="5E2DF8E4" w14:textId="77777777" w:rsidR="007A7C39" w:rsidRDefault="007A7C39">
            <w:pPr>
              <w:spacing w:after="0"/>
              <w:jc w:val="both"/>
              <w:rPr>
                <w:rFonts w:ascii="Times New Roman" w:hAnsi="Times New Roman"/>
                <w:sz w:val="24"/>
                <w:szCs w:val="24"/>
              </w:rPr>
            </w:pPr>
            <w:r>
              <w:rPr>
                <w:rFonts w:ascii="Times New Roman" w:hAnsi="Times New Roman"/>
                <w:sz w:val="24"/>
                <w:szCs w:val="24"/>
              </w:rPr>
              <w:t>67.6 ± 9.6</w:t>
            </w:r>
          </w:p>
        </w:tc>
        <w:tc>
          <w:tcPr>
            <w:tcW w:w="1596" w:type="dxa"/>
          </w:tcPr>
          <w:p w14:paraId="24B22B5B" w14:textId="77777777" w:rsidR="007A7C39" w:rsidRDefault="007A7C39">
            <w:pPr>
              <w:spacing w:after="0"/>
              <w:jc w:val="both"/>
              <w:rPr>
                <w:rFonts w:ascii="Times New Roman" w:hAnsi="Times New Roman"/>
                <w:sz w:val="24"/>
                <w:szCs w:val="24"/>
              </w:rPr>
            </w:pPr>
            <w:r>
              <w:rPr>
                <w:rFonts w:ascii="Times New Roman" w:hAnsi="Times New Roman"/>
                <w:sz w:val="24"/>
                <w:szCs w:val="24"/>
              </w:rPr>
              <w:t>0.021</w:t>
            </w:r>
          </w:p>
        </w:tc>
      </w:tr>
      <w:tr w:rsidR="00523A28" w14:paraId="1DD4E437" w14:textId="77777777">
        <w:tc>
          <w:tcPr>
            <w:tcW w:w="1596" w:type="dxa"/>
          </w:tcPr>
          <w:p w14:paraId="4D5560B4" w14:textId="77777777" w:rsidR="007A7C39" w:rsidRDefault="007A7C39">
            <w:pPr>
              <w:spacing w:after="0"/>
              <w:jc w:val="both"/>
              <w:rPr>
                <w:rFonts w:ascii="Times New Roman" w:hAnsi="Times New Roman"/>
                <w:sz w:val="24"/>
                <w:szCs w:val="24"/>
              </w:rPr>
            </w:pPr>
            <w:r>
              <w:rPr>
                <w:rFonts w:ascii="Times New Roman" w:hAnsi="Times New Roman"/>
                <w:sz w:val="24"/>
                <w:szCs w:val="24"/>
              </w:rPr>
              <w:t xml:space="preserve">Body </w:t>
            </w:r>
            <w:r w:rsidR="00AE4693">
              <w:rPr>
                <w:rFonts w:ascii="Times New Roman" w:hAnsi="Times New Roman"/>
                <w:sz w:val="24"/>
                <w:szCs w:val="24"/>
              </w:rPr>
              <w:t>M</w:t>
            </w:r>
            <w:r>
              <w:rPr>
                <w:rFonts w:ascii="Times New Roman" w:hAnsi="Times New Roman"/>
                <w:sz w:val="24"/>
                <w:szCs w:val="24"/>
              </w:rPr>
              <w:t xml:space="preserve">ass </w:t>
            </w:r>
            <w:r w:rsidR="00AE4693">
              <w:rPr>
                <w:rFonts w:ascii="Times New Roman" w:hAnsi="Times New Roman"/>
                <w:sz w:val="24"/>
                <w:szCs w:val="24"/>
              </w:rPr>
              <w:t>I</w:t>
            </w:r>
            <w:r>
              <w:rPr>
                <w:rFonts w:ascii="Times New Roman" w:hAnsi="Times New Roman"/>
                <w:sz w:val="24"/>
                <w:szCs w:val="24"/>
              </w:rPr>
              <w:t>ndex (k</w:t>
            </w:r>
            <w:r w:rsidR="00AE4693">
              <w:rPr>
                <w:rFonts w:ascii="Times New Roman" w:hAnsi="Times New Roman"/>
                <w:sz w:val="24"/>
                <w:szCs w:val="24"/>
              </w:rPr>
              <w:t>g</w:t>
            </w:r>
            <w:r>
              <w:rPr>
                <w:rFonts w:ascii="Times New Roman" w:hAnsi="Times New Roman"/>
                <w:sz w:val="24"/>
                <w:szCs w:val="24"/>
              </w:rPr>
              <w:t>/m</w:t>
            </w:r>
            <w:r>
              <w:rPr>
                <w:rFonts w:ascii="Times New Roman" w:hAnsi="Times New Roman"/>
                <w:sz w:val="24"/>
                <w:szCs w:val="24"/>
                <w:vertAlign w:val="superscript"/>
              </w:rPr>
              <w:t>2</w:t>
            </w:r>
            <w:r>
              <w:rPr>
                <w:rFonts w:ascii="Times New Roman" w:hAnsi="Times New Roman"/>
                <w:sz w:val="24"/>
                <w:szCs w:val="24"/>
              </w:rPr>
              <w:t>)</w:t>
            </w:r>
          </w:p>
        </w:tc>
        <w:tc>
          <w:tcPr>
            <w:tcW w:w="1596" w:type="dxa"/>
          </w:tcPr>
          <w:p w14:paraId="5F6BCAAE" w14:textId="77777777" w:rsidR="007A7C39" w:rsidRDefault="007A7C39">
            <w:pPr>
              <w:spacing w:after="0"/>
              <w:jc w:val="both"/>
              <w:rPr>
                <w:rFonts w:ascii="Times New Roman" w:hAnsi="Times New Roman"/>
                <w:sz w:val="24"/>
                <w:szCs w:val="24"/>
              </w:rPr>
            </w:pPr>
            <w:r>
              <w:rPr>
                <w:rFonts w:ascii="Times New Roman" w:hAnsi="Times New Roman"/>
                <w:sz w:val="24"/>
                <w:szCs w:val="24"/>
              </w:rPr>
              <w:t>25.3 ± 3.5</w:t>
            </w:r>
          </w:p>
        </w:tc>
        <w:tc>
          <w:tcPr>
            <w:tcW w:w="1596" w:type="dxa"/>
          </w:tcPr>
          <w:p w14:paraId="454B67A0" w14:textId="77777777" w:rsidR="007A7C39" w:rsidRDefault="007A7C39">
            <w:pPr>
              <w:spacing w:after="0"/>
              <w:jc w:val="both"/>
              <w:rPr>
                <w:rFonts w:ascii="Times New Roman" w:hAnsi="Times New Roman"/>
                <w:sz w:val="24"/>
                <w:szCs w:val="24"/>
              </w:rPr>
            </w:pPr>
            <w:r>
              <w:rPr>
                <w:rFonts w:ascii="Times New Roman" w:hAnsi="Times New Roman"/>
                <w:sz w:val="24"/>
                <w:szCs w:val="24"/>
              </w:rPr>
              <w:t>24.6 ± 3.2</w:t>
            </w:r>
          </w:p>
        </w:tc>
        <w:tc>
          <w:tcPr>
            <w:tcW w:w="1596" w:type="dxa"/>
          </w:tcPr>
          <w:p w14:paraId="78D34CF9" w14:textId="77777777" w:rsidR="007A7C39" w:rsidRDefault="007A7C39">
            <w:pPr>
              <w:spacing w:after="0"/>
              <w:jc w:val="both"/>
              <w:rPr>
                <w:rFonts w:ascii="Times New Roman" w:hAnsi="Times New Roman"/>
                <w:sz w:val="24"/>
                <w:szCs w:val="24"/>
              </w:rPr>
            </w:pPr>
            <w:r>
              <w:rPr>
                <w:rFonts w:ascii="Times New Roman" w:hAnsi="Times New Roman"/>
                <w:sz w:val="24"/>
                <w:szCs w:val="24"/>
              </w:rPr>
              <w:t>25.0 ± 3.3</w:t>
            </w:r>
          </w:p>
        </w:tc>
        <w:tc>
          <w:tcPr>
            <w:tcW w:w="1596" w:type="dxa"/>
          </w:tcPr>
          <w:p w14:paraId="5D3CE338" w14:textId="77777777" w:rsidR="007A7C39" w:rsidRDefault="007A7C39">
            <w:pPr>
              <w:spacing w:after="0"/>
              <w:jc w:val="both"/>
              <w:rPr>
                <w:rFonts w:ascii="Times New Roman" w:hAnsi="Times New Roman"/>
                <w:sz w:val="24"/>
                <w:szCs w:val="24"/>
              </w:rPr>
            </w:pPr>
            <w:r>
              <w:rPr>
                <w:rFonts w:ascii="Times New Roman" w:hAnsi="Times New Roman"/>
                <w:sz w:val="24"/>
                <w:szCs w:val="24"/>
              </w:rPr>
              <w:t>24.9 ± 3.2</w:t>
            </w:r>
          </w:p>
        </w:tc>
        <w:tc>
          <w:tcPr>
            <w:tcW w:w="1596" w:type="dxa"/>
          </w:tcPr>
          <w:p w14:paraId="03E5B171" w14:textId="77777777" w:rsidR="007A7C39" w:rsidRDefault="007A7C39">
            <w:pPr>
              <w:spacing w:after="0"/>
              <w:jc w:val="both"/>
              <w:rPr>
                <w:rFonts w:ascii="Times New Roman" w:hAnsi="Times New Roman"/>
                <w:sz w:val="24"/>
                <w:szCs w:val="24"/>
              </w:rPr>
            </w:pPr>
            <w:r>
              <w:rPr>
                <w:rFonts w:ascii="Times New Roman" w:hAnsi="Times New Roman"/>
                <w:sz w:val="24"/>
                <w:szCs w:val="24"/>
              </w:rPr>
              <w:t>0.018</w:t>
            </w:r>
          </w:p>
        </w:tc>
      </w:tr>
      <w:tr w:rsidR="00523A28" w14:paraId="1E937D18" w14:textId="77777777">
        <w:tc>
          <w:tcPr>
            <w:tcW w:w="1596" w:type="dxa"/>
          </w:tcPr>
          <w:p w14:paraId="0B43D33F" w14:textId="77777777" w:rsidR="007A7C39" w:rsidRDefault="00AE4693">
            <w:pPr>
              <w:spacing w:after="0"/>
              <w:jc w:val="both"/>
              <w:rPr>
                <w:rFonts w:ascii="Times New Roman" w:hAnsi="Times New Roman"/>
                <w:sz w:val="24"/>
                <w:szCs w:val="24"/>
              </w:rPr>
            </w:pPr>
            <w:r>
              <w:rPr>
                <w:rFonts w:ascii="Times New Roman" w:hAnsi="Times New Roman"/>
                <w:sz w:val="24"/>
                <w:szCs w:val="24"/>
              </w:rPr>
              <w:t>Waist Circumference (cm)</w:t>
            </w:r>
          </w:p>
        </w:tc>
        <w:tc>
          <w:tcPr>
            <w:tcW w:w="1596" w:type="dxa"/>
          </w:tcPr>
          <w:p w14:paraId="440BD361" w14:textId="77777777" w:rsidR="007A7C39" w:rsidRDefault="00AE4693">
            <w:pPr>
              <w:spacing w:after="0"/>
              <w:jc w:val="both"/>
              <w:rPr>
                <w:rFonts w:ascii="Times New Roman" w:hAnsi="Times New Roman"/>
                <w:sz w:val="24"/>
                <w:szCs w:val="24"/>
              </w:rPr>
            </w:pPr>
            <w:r>
              <w:rPr>
                <w:rFonts w:ascii="Times New Roman" w:hAnsi="Times New Roman"/>
                <w:sz w:val="24"/>
                <w:szCs w:val="24"/>
              </w:rPr>
              <w:t>88.1 ± 8.6</w:t>
            </w:r>
          </w:p>
        </w:tc>
        <w:tc>
          <w:tcPr>
            <w:tcW w:w="1596" w:type="dxa"/>
          </w:tcPr>
          <w:p w14:paraId="14B9129F" w14:textId="77777777" w:rsidR="007A7C39" w:rsidRDefault="00AE4693">
            <w:pPr>
              <w:spacing w:after="0"/>
              <w:jc w:val="both"/>
              <w:rPr>
                <w:rFonts w:ascii="Times New Roman" w:hAnsi="Times New Roman"/>
                <w:sz w:val="24"/>
                <w:szCs w:val="24"/>
              </w:rPr>
            </w:pPr>
            <w:r>
              <w:rPr>
                <w:rFonts w:ascii="Times New Roman" w:hAnsi="Times New Roman"/>
                <w:sz w:val="24"/>
                <w:szCs w:val="24"/>
              </w:rPr>
              <w:t>84.9 ± 8.0</w:t>
            </w:r>
          </w:p>
        </w:tc>
        <w:tc>
          <w:tcPr>
            <w:tcW w:w="1596" w:type="dxa"/>
          </w:tcPr>
          <w:p w14:paraId="1B0C2432" w14:textId="77777777" w:rsidR="007A7C39" w:rsidRDefault="00AE4693">
            <w:pPr>
              <w:spacing w:after="0"/>
              <w:jc w:val="both"/>
              <w:rPr>
                <w:rFonts w:ascii="Times New Roman" w:hAnsi="Times New Roman"/>
                <w:sz w:val="24"/>
                <w:szCs w:val="24"/>
              </w:rPr>
            </w:pPr>
            <w:r>
              <w:rPr>
                <w:rFonts w:ascii="Times New Roman" w:hAnsi="Times New Roman"/>
                <w:sz w:val="24"/>
                <w:szCs w:val="24"/>
              </w:rPr>
              <w:t>87.5 ± 8.3</w:t>
            </w:r>
          </w:p>
        </w:tc>
        <w:tc>
          <w:tcPr>
            <w:tcW w:w="1596" w:type="dxa"/>
          </w:tcPr>
          <w:p w14:paraId="3BD5621D" w14:textId="77777777" w:rsidR="007A7C39" w:rsidRDefault="00AE4693">
            <w:pPr>
              <w:spacing w:after="0"/>
              <w:jc w:val="both"/>
              <w:rPr>
                <w:rFonts w:ascii="Times New Roman" w:hAnsi="Times New Roman"/>
                <w:sz w:val="24"/>
                <w:szCs w:val="24"/>
              </w:rPr>
            </w:pPr>
            <w:r>
              <w:rPr>
                <w:rFonts w:ascii="Times New Roman" w:hAnsi="Times New Roman"/>
                <w:sz w:val="24"/>
                <w:szCs w:val="24"/>
              </w:rPr>
              <w:t>87.2 ± 8.1</w:t>
            </w:r>
          </w:p>
        </w:tc>
        <w:tc>
          <w:tcPr>
            <w:tcW w:w="1596" w:type="dxa"/>
          </w:tcPr>
          <w:p w14:paraId="0421C51C" w14:textId="77777777" w:rsidR="007A7C39" w:rsidRDefault="00AE4693">
            <w:pPr>
              <w:spacing w:after="0"/>
              <w:jc w:val="both"/>
              <w:rPr>
                <w:rFonts w:ascii="Times New Roman" w:hAnsi="Times New Roman"/>
                <w:sz w:val="24"/>
                <w:szCs w:val="24"/>
              </w:rPr>
            </w:pPr>
            <w:r>
              <w:rPr>
                <w:rFonts w:ascii="Times New Roman" w:hAnsi="Times New Roman"/>
                <w:sz w:val="24"/>
                <w:szCs w:val="24"/>
              </w:rPr>
              <w:t>0.012</w:t>
            </w:r>
          </w:p>
        </w:tc>
      </w:tr>
      <w:tr w:rsidR="00523A28" w14:paraId="7DEA3A68" w14:textId="77777777">
        <w:tc>
          <w:tcPr>
            <w:tcW w:w="1596" w:type="dxa"/>
          </w:tcPr>
          <w:p w14:paraId="1B32C4DB" w14:textId="77777777" w:rsidR="007A7C39" w:rsidRDefault="00AE4693">
            <w:pPr>
              <w:spacing w:after="0"/>
              <w:jc w:val="both"/>
              <w:rPr>
                <w:rFonts w:ascii="Times New Roman" w:hAnsi="Times New Roman"/>
                <w:sz w:val="24"/>
                <w:szCs w:val="24"/>
              </w:rPr>
            </w:pPr>
            <w:r>
              <w:rPr>
                <w:rFonts w:ascii="Times New Roman" w:hAnsi="Times New Roman"/>
                <w:sz w:val="24"/>
                <w:szCs w:val="24"/>
              </w:rPr>
              <w:t>Mid Upper Arm Circumference (cm)</w:t>
            </w:r>
          </w:p>
        </w:tc>
        <w:tc>
          <w:tcPr>
            <w:tcW w:w="1596" w:type="dxa"/>
          </w:tcPr>
          <w:p w14:paraId="05B6D5D0" w14:textId="77777777" w:rsidR="007A7C39" w:rsidRDefault="00AE4693">
            <w:pPr>
              <w:spacing w:after="0"/>
              <w:jc w:val="both"/>
              <w:rPr>
                <w:rFonts w:ascii="Times New Roman" w:hAnsi="Times New Roman"/>
                <w:sz w:val="24"/>
                <w:szCs w:val="24"/>
              </w:rPr>
            </w:pPr>
            <w:r>
              <w:rPr>
                <w:rFonts w:ascii="Times New Roman" w:hAnsi="Times New Roman"/>
                <w:sz w:val="24"/>
                <w:szCs w:val="24"/>
              </w:rPr>
              <w:t>28.3 ± 2.5</w:t>
            </w:r>
          </w:p>
        </w:tc>
        <w:tc>
          <w:tcPr>
            <w:tcW w:w="1596" w:type="dxa"/>
          </w:tcPr>
          <w:p w14:paraId="52352E48" w14:textId="77777777" w:rsidR="007A7C39" w:rsidRDefault="00AE4693">
            <w:pPr>
              <w:spacing w:after="0"/>
              <w:jc w:val="both"/>
              <w:rPr>
                <w:rFonts w:ascii="Times New Roman" w:hAnsi="Times New Roman"/>
                <w:sz w:val="24"/>
                <w:szCs w:val="24"/>
              </w:rPr>
            </w:pPr>
            <w:r>
              <w:rPr>
                <w:rFonts w:ascii="Times New Roman" w:hAnsi="Times New Roman"/>
                <w:sz w:val="24"/>
                <w:szCs w:val="24"/>
              </w:rPr>
              <w:t>28.4 ± 2.4</w:t>
            </w:r>
          </w:p>
        </w:tc>
        <w:tc>
          <w:tcPr>
            <w:tcW w:w="1596" w:type="dxa"/>
          </w:tcPr>
          <w:p w14:paraId="5D3D4FF4" w14:textId="77777777" w:rsidR="007A7C39" w:rsidRDefault="00AE4693">
            <w:pPr>
              <w:spacing w:after="0"/>
              <w:jc w:val="both"/>
              <w:rPr>
                <w:rFonts w:ascii="Times New Roman" w:hAnsi="Times New Roman"/>
                <w:sz w:val="24"/>
                <w:szCs w:val="24"/>
              </w:rPr>
            </w:pPr>
            <w:r>
              <w:rPr>
                <w:rFonts w:ascii="Times New Roman" w:hAnsi="Times New Roman"/>
                <w:sz w:val="24"/>
                <w:szCs w:val="24"/>
              </w:rPr>
              <w:t>28.2 ± 2.3</w:t>
            </w:r>
          </w:p>
        </w:tc>
        <w:tc>
          <w:tcPr>
            <w:tcW w:w="1596" w:type="dxa"/>
          </w:tcPr>
          <w:p w14:paraId="14312EA4" w14:textId="77777777" w:rsidR="007A7C39" w:rsidRDefault="00AE4693">
            <w:pPr>
              <w:spacing w:after="0"/>
              <w:jc w:val="both"/>
              <w:rPr>
                <w:rFonts w:ascii="Times New Roman" w:hAnsi="Times New Roman"/>
                <w:sz w:val="24"/>
                <w:szCs w:val="24"/>
              </w:rPr>
            </w:pPr>
            <w:r>
              <w:rPr>
                <w:rFonts w:ascii="Times New Roman" w:hAnsi="Times New Roman"/>
                <w:sz w:val="24"/>
                <w:szCs w:val="24"/>
              </w:rPr>
              <w:t>28.2 ± 2.2</w:t>
            </w:r>
          </w:p>
        </w:tc>
        <w:tc>
          <w:tcPr>
            <w:tcW w:w="1596" w:type="dxa"/>
          </w:tcPr>
          <w:p w14:paraId="3DD70BBE" w14:textId="77777777" w:rsidR="007A7C39" w:rsidRDefault="00AE4693">
            <w:pPr>
              <w:spacing w:after="0"/>
              <w:jc w:val="both"/>
              <w:rPr>
                <w:rFonts w:ascii="Times New Roman" w:hAnsi="Times New Roman"/>
                <w:sz w:val="24"/>
                <w:szCs w:val="24"/>
              </w:rPr>
            </w:pPr>
            <w:r>
              <w:rPr>
                <w:rFonts w:ascii="Times New Roman" w:hAnsi="Times New Roman"/>
                <w:sz w:val="24"/>
                <w:szCs w:val="24"/>
              </w:rPr>
              <w:t>0.641</w:t>
            </w:r>
          </w:p>
        </w:tc>
      </w:tr>
    </w:tbl>
    <w:p w14:paraId="1DCFA570" w14:textId="77777777" w:rsidR="00AE4693" w:rsidRDefault="00AE4693" w:rsidP="00AB2403">
      <w:pPr>
        <w:spacing w:after="0"/>
        <w:jc w:val="both"/>
        <w:rPr>
          <w:rFonts w:ascii="Times New Roman" w:hAnsi="Times New Roman"/>
          <w:sz w:val="24"/>
          <w:szCs w:val="24"/>
        </w:rPr>
      </w:pPr>
    </w:p>
    <w:p w14:paraId="420A84B1" w14:textId="77777777" w:rsidR="008E216E" w:rsidRPr="00AE4693" w:rsidRDefault="00264071" w:rsidP="00AB2403">
      <w:pPr>
        <w:spacing w:after="0"/>
        <w:jc w:val="both"/>
        <w:rPr>
          <w:rFonts w:ascii="Times New Roman" w:hAnsi="Times New Roman"/>
          <w:b/>
          <w:bCs/>
          <w:sz w:val="24"/>
          <w:szCs w:val="24"/>
        </w:rPr>
      </w:pPr>
      <w:r>
        <w:rPr>
          <w:rFonts w:ascii="Times New Roman" w:hAnsi="Times New Roman"/>
          <w:b/>
          <w:bCs/>
          <w:sz w:val="24"/>
          <w:szCs w:val="24"/>
        </w:rPr>
        <w:t xml:space="preserve">Table 2: </w:t>
      </w:r>
      <w:r w:rsidRPr="00AE4693">
        <w:rPr>
          <w:rFonts w:ascii="Times New Roman" w:hAnsi="Times New Roman"/>
          <w:b/>
          <w:bCs/>
          <w:sz w:val="24"/>
          <w:szCs w:val="24"/>
        </w:rPr>
        <w:t>Effect of Nutrition Education and Micronutrient Supplementation on Biochemical Indicators</w:t>
      </w:r>
    </w:p>
    <w:tbl>
      <w:tblPr>
        <w:tblW w:w="0" w:type="auto"/>
        <w:tblBorders>
          <w:top w:val="single" w:sz="4" w:space="0" w:color="auto"/>
          <w:bottom w:val="single" w:sz="4" w:space="0" w:color="auto"/>
        </w:tblBorders>
        <w:tblLook w:val="04A0" w:firstRow="1" w:lastRow="0" w:firstColumn="1" w:lastColumn="0" w:noHBand="0" w:noVBand="1"/>
      </w:tblPr>
      <w:tblGrid>
        <w:gridCol w:w="1596"/>
        <w:gridCol w:w="1596"/>
        <w:gridCol w:w="1596"/>
        <w:gridCol w:w="1596"/>
        <w:gridCol w:w="1596"/>
        <w:gridCol w:w="1596"/>
      </w:tblGrid>
      <w:tr w:rsidR="00523A28" w14:paraId="353C560B" w14:textId="77777777">
        <w:tc>
          <w:tcPr>
            <w:tcW w:w="1596" w:type="dxa"/>
            <w:tcBorders>
              <w:top w:val="single" w:sz="4" w:space="0" w:color="auto"/>
              <w:bottom w:val="nil"/>
            </w:tcBorders>
          </w:tcPr>
          <w:p w14:paraId="28914D53" w14:textId="77777777" w:rsidR="00AE4693" w:rsidRDefault="00AE4693">
            <w:pPr>
              <w:spacing w:after="0"/>
              <w:jc w:val="both"/>
              <w:rPr>
                <w:rFonts w:ascii="Times New Roman" w:hAnsi="Times New Roman"/>
                <w:sz w:val="24"/>
                <w:szCs w:val="24"/>
              </w:rPr>
            </w:pPr>
            <w:r>
              <w:rPr>
                <w:rFonts w:ascii="Times New Roman" w:hAnsi="Times New Roman"/>
                <w:sz w:val="24"/>
                <w:szCs w:val="24"/>
              </w:rPr>
              <w:t>Biochemical Parameter</w:t>
            </w:r>
          </w:p>
        </w:tc>
        <w:tc>
          <w:tcPr>
            <w:tcW w:w="1596" w:type="dxa"/>
            <w:tcBorders>
              <w:top w:val="single" w:sz="4" w:space="0" w:color="auto"/>
              <w:bottom w:val="nil"/>
            </w:tcBorders>
          </w:tcPr>
          <w:p w14:paraId="69502684" w14:textId="77777777" w:rsidR="00AE4693" w:rsidRDefault="00FB7042">
            <w:pPr>
              <w:spacing w:after="0"/>
              <w:jc w:val="both"/>
              <w:rPr>
                <w:rFonts w:ascii="Times New Roman" w:hAnsi="Times New Roman"/>
                <w:sz w:val="24"/>
                <w:szCs w:val="24"/>
              </w:rPr>
            </w:pPr>
            <w:r>
              <w:rPr>
                <w:rFonts w:ascii="Times New Roman" w:hAnsi="Times New Roman"/>
                <w:sz w:val="24"/>
                <w:szCs w:val="24"/>
              </w:rPr>
              <w:t>Intervention (baseline)</w:t>
            </w:r>
          </w:p>
          <w:p w14:paraId="42E28D17" w14:textId="77777777" w:rsidR="00FB7042" w:rsidRDefault="00FB7042">
            <w:pPr>
              <w:spacing w:after="0"/>
              <w:jc w:val="both"/>
              <w:rPr>
                <w:rFonts w:ascii="Times New Roman" w:hAnsi="Times New Roman"/>
                <w:sz w:val="24"/>
                <w:szCs w:val="24"/>
              </w:rPr>
            </w:pPr>
            <w:r>
              <w:rPr>
                <w:rFonts w:ascii="Times New Roman" w:hAnsi="Times New Roman"/>
                <w:sz w:val="24"/>
                <w:szCs w:val="24"/>
              </w:rPr>
              <w:t>Mean ± SD</w:t>
            </w:r>
          </w:p>
        </w:tc>
        <w:tc>
          <w:tcPr>
            <w:tcW w:w="1596" w:type="dxa"/>
            <w:tcBorders>
              <w:top w:val="single" w:sz="4" w:space="0" w:color="auto"/>
              <w:bottom w:val="nil"/>
            </w:tcBorders>
          </w:tcPr>
          <w:p w14:paraId="084B7DDB" w14:textId="77777777" w:rsidR="00AE4693" w:rsidRDefault="00FB7042">
            <w:pPr>
              <w:spacing w:after="0"/>
              <w:jc w:val="both"/>
              <w:rPr>
                <w:rFonts w:ascii="Times New Roman" w:hAnsi="Times New Roman"/>
                <w:sz w:val="24"/>
                <w:szCs w:val="24"/>
              </w:rPr>
            </w:pPr>
            <w:r>
              <w:rPr>
                <w:rFonts w:ascii="Times New Roman" w:hAnsi="Times New Roman"/>
                <w:sz w:val="24"/>
                <w:szCs w:val="24"/>
              </w:rPr>
              <w:t>Intervention (post intervention)</w:t>
            </w:r>
          </w:p>
          <w:p w14:paraId="5327ED82" w14:textId="77777777" w:rsidR="00FB7042" w:rsidRDefault="00FB7042">
            <w:pPr>
              <w:spacing w:after="0"/>
              <w:jc w:val="both"/>
              <w:rPr>
                <w:rFonts w:ascii="Times New Roman" w:hAnsi="Times New Roman"/>
                <w:sz w:val="24"/>
                <w:szCs w:val="24"/>
              </w:rPr>
            </w:pPr>
            <w:r>
              <w:rPr>
                <w:rFonts w:ascii="Times New Roman" w:hAnsi="Times New Roman"/>
                <w:sz w:val="24"/>
                <w:szCs w:val="24"/>
              </w:rPr>
              <w:t>Mean ± SD</w:t>
            </w:r>
          </w:p>
        </w:tc>
        <w:tc>
          <w:tcPr>
            <w:tcW w:w="1596" w:type="dxa"/>
            <w:tcBorders>
              <w:top w:val="single" w:sz="4" w:space="0" w:color="auto"/>
              <w:bottom w:val="nil"/>
            </w:tcBorders>
          </w:tcPr>
          <w:p w14:paraId="3DCF81D9" w14:textId="77777777" w:rsidR="00AE4693" w:rsidRDefault="00FB7042">
            <w:pPr>
              <w:spacing w:after="0"/>
              <w:jc w:val="both"/>
              <w:rPr>
                <w:rFonts w:ascii="Times New Roman" w:hAnsi="Times New Roman"/>
                <w:sz w:val="24"/>
                <w:szCs w:val="24"/>
              </w:rPr>
            </w:pPr>
            <w:r>
              <w:rPr>
                <w:rFonts w:ascii="Times New Roman" w:hAnsi="Times New Roman"/>
                <w:sz w:val="24"/>
                <w:szCs w:val="24"/>
              </w:rPr>
              <w:t xml:space="preserve">Control (baseline) </w:t>
            </w:r>
          </w:p>
          <w:p w14:paraId="5CB531B4" w14:textId="77777777" w:rsidR="00FB7042" w:rsidRDefault="00FB7042">
            <w:pPr>
              <w:spacing w:after="0"/>
              <w:jc w:val="both"/>
              <w:rPr>
                <w:rFonts w:ascii="Times New Roman" w:hAnsi="Times New Roman"/>
                <w:sz w:val="24"/>
                <w:szCs w:val="24"/>
              </w:rPr>
            </w:pPr>
            <w:r>
              <w:rPr>
                <w:rFonts w:ascii="Times New Roman" w:hAnsi="Times New Roman"/>
                <w:sz w:val="24"/>
                <w:szCs w:val="24"/>
              </w:rPr>
              <w:t>Mean ± SD</w:t>
            </w:r>
          </w:p>
        </w:tc>
        <w:tc>
          <w:tcPr>
            <w:tcW w:w="1596" w:type="dxa"/>
            <w:tcBorders>
              <w:top w:val="single" w:sz="4" w:space="0" w:color="auto"/>
              <w:bottom w:val="nil"/>
            </w:tcBorders>
          </w:tcPr>
          <w:p w14:paraId="2E40B85C" w14:textId="77777777" w:rsidR="00AE4693" w:rsidRDefault="00FB7042">
            <w:pPr>
              <w:spacing w:after="0"/>
              <w:jc w:val="both"/>
              <w:rPr>
                <w:rFonts w:ascii="Times New Roman" w:hAnsi="Times New Roman"/>
                <w:sz w:val="24"/>
                <w:szCs w:val="24"/>
              </w:rPr>
            </w:pPr>
            <w:r>
              <w:rPr>
                <w:rFonts w:ascii="Times New Roman" w:hAnsi="Times New Roman"/>
                <w:sz w:val="24"/>
                <w:szCs w:val="24"/>
              </w:rPr>
              <w:t>Control (post intervention)</w:t>
            </w:r>
          </w:p>
          <w:p w14:paraId="03ED5F77" w14:textId="77777777" w:rsidR="00FB7042" w:rsidRDefault="00FB7042">
            <w:pPr>
              <w:spacing w:after="0"/>
              <w:jc w:val="both"/>
              <w:rPr>
                <w:rFonts w:ascii="Times New Roman" w:hAnsi="Times New Roman"/>
                <w:sz w:val="24"/>
                <w:szCs w:val="24"/>
              </w:rPr>
            </w:pPr>
            <w:r>
              <w:rPr>
                <w:rFonts w:ascii="Times New Roman" w:hAnsi="Times New Roman"/>
                <w:sz w:val="24"/>
                <w:szCs w:val="24"/>
              </w:rPr>
              <w:t>Mean ± SD</w:t>
            </w:r>
          </w:p>
        </w:tc>
        <w:tc>
          <w:tcPr>
            <w:tcW w:w="1596" w:type="dxa"/>
            <w:tcBorders>
              <w:top w:val="single" w:sz="4" w:space="0" w:color="auto"/>
              <w:bottom w:val="nil"/>
            </w:tcBorders>
          </w:tcPr>
          <w:p w14:paraId="44741AFE" w14:textId="77777777" w:rsidR="00AE4693" w:rsidRDefault="00FB7042">
            <w:pPr>
              <w:spacing w:after="0"/>
              <w:jc w:val="both"/>
              <w:rPr>
                <w:rFonts w:ascii="Times New Roman" w:hAnsi="Times New Roman"/>
                <w:sz w:val="24"/>
                <w:szCs w:val="24"/>
              </w:rPr>
            </w:pPr>
            <w:r>
              <w:rPr>
                <w:rFonts w:ascii="Times New Roman" w:hAnsi="Times New Roman"/>
                <w:sz w:val="24"/>
                <w:szCs w:val="24"/>
              </w:rPr>
              <w:t>p-value</w:t>
            </w:r>
          </w:p>
        </w:tc>
      </w:tr>
      <w:tr w:rsidR="00523A28" w14:paraId="4BDAF803" w14:textId="77777777">
        <w:tc>
          <w:tcPr>
            <w:tcW w:w="1596" w:type="dxa"/>
            <w:tcBorders>
              <w:top w:val="nil"/>
            </w:tcBorders>
          </w:tcPr>
          <w:p w14:paraId="66BDC0AE" w14:textId="77777777" w:rsidR="00AE4693" w:rsidRDefault="00FB7042">
            <w:pPr>
              <w:spacing w:after="0"/>
              <w:jc w:val="both"/>
              <w:rPr>
                <w:rFonts w:ascii="Times New Roman" w:hAnsi="Times New Roman"/>
                <w:sz w:val="24"/>
                <w:szCs w:val="24"/>
              </w:rPr>
            </w:pPr>
            <w:proofErr w:type="spellStart"/>
            <w:r>
              <w:rPr>
                <w:rFonts w:ascii="Times New Roman" w:hAnsi="Times New Roman"/>
                <w:sz w:val="24"/>
                <w:szCs w:val="24"/>
              </w:rPr>
              <w:t>Haemoglobin</w:t>
            </w:r>
            <w:proofErr w:type="spellEnd"/>
            <w:r>
              <w:rPr>
                <w:rFonts w:ascii="Times New Roman" w:hAnsi="Times New Roman"/>
                <w:sz w:val="24"/>
                <w:szCs w:val="24"/>
              </w:rPr>
              <w:t xml:space="preserve"> (g/dL)</w:t>
            </w:r>
          </w:p>
        </w:tc>
        <w:tc>
          <w:tcPr>
            <w:tcW w:w="1596" w:type="dxa"/>
            <w:tcBorders>
              <w:top w:val="nil"/>
            </w:tcBorders>
          </w:tcPr>
          <w:p w14:paraId="1895C781" w14:textId="77777777" w:rsidR="00AE4693" w:rsidRDefault="00FB7042">
            <w:pPr>
              <w:spacing w:after="0"/>
              <w:jc w:val="both"/>
              <w:rPr>
                <w:rFonts w:ascii="Times New Roman" w:hAnsi="Times New Roman"/>
                <w:sz w:val="24"/>
                <w:szCs w:val="24"/>
              </w:rPr>
            </w:pPr>
            <w:r>
              <w:rPr>
                <w:rFonts w:ascii="Times New Roman" w:hAnsi="Times New Roman"/>
                <w:sz w:val="24"/>
                <w:szCs w:val="24"/>
              </w:rPr>
              <w:t>11.5 ± 1.3</w:t>
            </w:r>
          </w:p>
        </w:tc>
        <w:tc>
          <w:tcPr>
            <w:tcW w:w="1596" w:type="dxa"/>
            <w:tcBorders>
              <w:top w:val="nil"/>
            </w:tcBorders>
          </w:tcPr>
          <w:p w14:paraId="45134FBE" w14:textId="77777777" w:rsidR="00AE4693" w:rsidRDefault="00FB7042">
            <w:pPr>
              <w:spacing w:after="0"/>
              <w:jc w:val="both"/>
              <w:rPr>
                <w:rFonts w:ascii="Times New Roman" w:hAnsi="Times New Roman"/>
                <w:sz w:val="24"/>
                <w:szCs w:val="24"/>
              </w:rPr>
            </w:pPr>
            <w:r>
              <w:rPr>
                <w:rFonts w:ascii="Times New Roman" w:hAnsi="Times New Roman"/>
                <w:sz w:val="24"/>
                <w:szCs w:val="24"/>
              </w:rPr>
              <w:t>13.1 ± 1.1</w:t>
            </w:r>
          </w:p>
        </w:tc>
        <w:tc>
          <w:tcPr>
            <w:tcW w:w="1596" w:type="dxa"/>
            <w:tcBorders>
              <w:top w:val="nil"/>
            </w:tcBorders>
          </w:tcPr>
          <w:p w14:paraId="10E7087D" w14:textId="77777777" w:rsidR="00AE4693" w:rsidRDefault="00FB7042">
            <w:pPr>
              <w:spacing w:after="0"/>
              <w:jc w:val="both"/>
              <w:rPr>
                <w:rFonts w:ascii="Times New Roman" w:hAnsi="Times New Roman"/>
                <w:sz w:val="24"/>
                <w:szCs w:val="24"/>
              </w:rPr>
            </w:pPr>
            <w:r>
              <w:rPr>
                <w:rFonts w:ascii="Times New Roman" w:hAnsi="Times New Roman"/>
                <w:sz w:val="24"/>
                <w:szCs w:val="24"/>
              </w:rPr>
              <w:t>11.6 ± 1.2</w:t>
            </w:r>
          </w:p>
        </w:tc>
        <w:tc>
          <w:tcPr>
            <w:tcW w:w="1596" w:type="dxa"/>
            <w:tcBorders>
              <w:top w:val="nil"/>
            </w:tcBorders>
          </w:tcPr>
          <w:p w14:paraId="0A3D5C6F" w14:textId="77777777" w:rsidR="00AE4693" w:rsidRDefault="00FB7042">
            <w:pPr>
              <w:spacing w:after="0"/>
              <w:jc w:val="both"/>
              <w:rPr>
                <w:rFonts w:ascii="Times New Roman" w:hAnsi="Times New Roman"/>
                <w:sz w:val="24"/>
                <w:szCs w:val="24"/>
              </w:rPr>
            </w:pPr>
            <w:r>
              <w:rPr>
                <w:rFonts w:ascii="Times New Roman" w:hAnsi="Times New Roman"/>
                <w:sz w:val="24"/>
                <w:szCs w:val="24"/>
              </w:rPr>
              <w:t>11.8 ± 1.3</w:t>
            </w:r>
          </w:p>
        </w:tc>
        <w:tc>
          <w:tcPr>
            <w:tcW w:w="1596" w:type="dxa"/>
            <w:tcBorders>
              <w:top w:val="nil"/>
            </w:tcBorders>
          </w:tcPr>
          <w:p w14:paraId="6F0FCA90" w14:textId="77777777" w:rsidR="00AE4693" w:rsidRDefault="00FB7042">
            <w:pPr>
              <w:spacing w:after="0"/>
              <w:jc w:val="both"/>
              <w:rPr>
                <w:rFonts w:ascii="Times New Roman" w:hAnsi="Times New Roman"/>
                <w:sz w:val="24"/>
                <w:szCs w:val="24"/>
              </w:rPr>
            </w:pPr>
            <w:r>
              <w:rPr>
                <w:rFonts w:ascii="Times New Roman" w:hAnsi="Times New Roman"/>
                <w:sz w:val="24"/>
                <w:szCs w:val="24"/>
              </w:rPr>
              <w:t>0.001</w:t>
            </w:r>
          </w:p>
        </w:tc>
      </w:tr>
      <w:tr w:rsidR="00523A28" w14:paraId="634764D9" w14:textId="77777777">
        <w:tc>
          <w:tcPr>
            <w:tcW w:w="1596" w:type="dxa"/>
          </w:tcPr>
          <w:p w14:paraId="2A69751D" w14:textId="77777777" w:rsidR="00AE4693" w:rsidRDefault="00FB7042">
            <w:pPr>
              <w:spacing w:after="0"/>
              <w:jc w:val="both"/>
              <w:rPr>
                <w:rFonts w:ascii="Times New Roman" w:hAnsi="Times New Roman"/>
                <w:sz w:val="24"/>
                <w:szCs w:val="24"/>
              </w:rPr>
            </w:pPr>
            <w:r>
              <w:rPr>
                <w:rFonts w:ascii="Times New Roman" w:hAnsi="Times New Roman"/>
                <w:sz w:val="24"/>
                <w:szCs w:val="24"/>
              </w:rPr>
              <w:t>Serum Vitamin A (µg/dL)</w:t>
            </w:r>
          </w:p>
        </w:tc>
        <w:tc>
          <w:tcPr>
            <w:tcW w:w="1596" w:type="dxa"/>
          </w:tcPr>
          <w:p w14:paraId="2ABEB433" w14:textId="77777777" w:rsidR="00AE4693" w:rsidRDefault="00FB7042">
            <w:pPr>
              <w:spacing w:after="0"/>
              <w:jc w:val="both"/>
              <w:rPr>
                <w:rFonts w:ascii="Times New Roman" w:hAnsi="Times New Roman"/>
                <w:sz w:val="24"/>
                <w:szCs w:val="24"/>
              </w:rPr>
            </w:pPr>
            <w:r>
              <w:rPr>
                <w:rFonts w:ascii="Times New Roman" w:hAnsi="Times New Roman"/>
                <w:sz w:val="24"/>
                <w:szCs w:val="24"/>
              </w:rPr>
              <w:t>27.8 ± 5.4</w:t>
            </w:r>
          </w:p>
        </w:tc>
        <w:tc>
          <w:tcPr>
            <w:tcW w:w="1596" w:type="dxa"/>
          </w:tcPr>
          <w:p w14:paraId="7113DA1F" w14:textId="77777777" w:rsidR="00AE4693" w:rsidRDefault="00FB7042">
            <w:pPr>
              <w:spacing w:after="0"/>
              <w:jc w:val="both"/>
              <w:rPr>
                <w:rFonts w:ascii="Times New Roman" w:hAnsi="Times New Roman"/>
                <w:sz w:val="24"/>
                <w:szCs w:val="24"/>
              </w:rPr>
            </w:pPr>
            <w:r>
              <w:rPr>
                <w:rFonts w:ascii="Times New Roman" w:hAnsi="Times New Roman"/>
                <w:sz w:val="24"/>
                <w:szCs w:val="24"/>
              </w:rPr>
              <w:t>35.7 ± 4.9</w:t>
            </w:r>
          </w:p>
        </w:tc>
        <w:tc>
          <w:tcPr>
            <w:tcW w:w="1596" w:type="dxa"/>
          </w:tcPr>
          <w:p w14:paraId="21A3D00C" w14:textId="77777777" w:rsidR="00AE4693" w:rsidRDefault="00FB7042">
            <w:pPr>
              <w:spacing w:after="0"/>
              <w:jc w:val="both"/>
              <w:rPr>
                <w:rFonts w:ascii="Times New Roman" w:hAnsi="Times New Roman"/>
                <w:sz w:val="24"/>
                <w:szCs w:val="24"/>
              </w:rPr>
            </w:pPr>
            <w:r>
              <w:rPr>
                <w:rFonts w:ascii="Times New Roman" w:hAnsi="Times New Roman"/>
                <w:sz w:val="24"/>
                <w:szCs w:val="24"/>
              </w:rPr>
              <w:t>28.1 ± 5.2</w:t>
            </w:r>
          </w:p>
        </w:tc>
        <w:tc>
          <w:tcPr>
            <w:tcW w:w="1596" w:type="dxa"/>
          </w:tcPr>
          <w:p w14:paraId="24712EB5" w14:textId="77777777" w:rsidR="00AE4693" w:rsidRDefault="00FB7042">
            <w:pPr>
              <w:spacing w:after="0"/>
              <w:jc w:val="both"/>
              <w:rPr>
                <w:rFonts w:ascii="Times New Roman" w:hAnsi="Times New Roman"/>
                <w:sz w:val="24"/>
                <w:szCs w:val="24"/>
              </w:rPr>
            </w:pPr>
            <w:r>
              <w:rPr>
                <w:rFonts w:ascii="Times New Roman" w:hAnsi="Times New Roman"/>
                <w:sz w:val="24"/>
                <w:szCs w:val="24"/>
              </w:rPr>
              <w:t>28.4 ± 5.3</w:t>
            </w:r>
          </w:p>
        </w:tc>
        <w:tc>
          <w:tcPr>
            <w:tcW w:w="1596" w:type="dxa"/>
          </w:tcPr>
          <w:p w14:paraId="2519A122" w14:textId="77777777" w:rsidR="00AE4693" w:rsidRDefault="00FB7042">
            <w:pPr>
              <w:spacing w:after="0"/>
              <w:jc w:val="both"/>
              <w:rPr>
                <w:rFonts w:ascii="Times New Roman" w:hAnsi="Times New Roman"/>
                <w:sz w:val="24"/>
                <w:szCs w:val="24"/>
              </w:rPr>
            </w:pPr>
            <w:r>
              <w:rPr>
                <w:rFonts w:ascii="Times New Roman" w:hAnsi="Times New Roman"/>
                <w:sz w:val="24"/>
                <w:szCs w:val="24"/>
              </w:rPr>
              <w:t>0.001</w:t>
            </w:r>
          </w:p>
        </w:tc>
      </w:tr>
      <w:tr w:rsidR="00523A28" w14:paraId="0BC79430" w14:textId="77777777">
        <w:tc>
          <w:tcPr>
            <w:tcW w:w="1596" w:type="dxa"/>
          </w:tcPr>
          <w:p w14:paraId="44F4CE52" w14:textId="77777777" w:rsidR="00AE4693" w:rsidRDefault="00FB7042">
            <w:pPr>
              <w:spacing w:after="0"/>
              <w:jc w:val="both"/>
              <w:rPr>
                <w:rFonts w:ascii="Times New Roman" w:hAnsi="Times New Roman"/>
                <w:sz w:val="24"/>
                <w:szCs w:val="24"/>
              </w:rPr>
            </w:pPr>
            <w:r>
              <w:rPr>
                <w:rFonts w:ascii="Times New Roman" w:hAnsi="Times New Roman"/>
                <w:sz w:val="24"/>
                <w:szCs w:val="24"/>
              </w:rPr>
              <w:t xml:space="preserve">Serum Iron </w:t>
            </w:r>
            <w:r>
              <w:rPr>
                <w:rFonts w:ascii="Times New Roman" w:hAnsi="Times New Roman"/>
                <w:sz w:val="24"/>
                <w:szCs w:val="24"/>
              </w:rPr>
              <w:lastRenderedPageBreak/>
              <w:t xml:space="preserve">(µg/dL) </w:t>
            </w:r>
          </w:p>
        </w:tc>
        <w:tc>
          <w:tcPr>
            <w:tcW w:w="1596" w:type="dxa"/>
          </w:tcPr>
          <w:p w14:paraId="7E9BF26E" w14:textId="77777777" w:rsidR="00AE4693" w:rsidRDefault="00FB7042">
            <w:pPr>
              <w:spacing w:after="0"/>
              <w:jc w:val="both"/>
              <w:rPr>
                <w:rFonts w:ascii="Times New Roman" w:hAnsi="Times New Roman"/>
                <w:sz w:val="24"/>
                <w:szCs w:val="24"/>
              </w:rPr>
            </w:pPr>
            <w:r>
              <w:rPr>
                <w:rFonts w:ascii="Times New Roman" w:hAnsi="Times New Roman"/>
                <w:sz w:val="24"/>
                <w:szCs w:val="24"/>
              </w:rPr>
              <w:lastRenderedPageBreak/>
              <w:t>60.5 ± 11.7</w:t>
            </w:r>
          </w:p>
        </w:tc>
        <w:tc>
          <w:tcPr>
            <w:tcW w:w="1596" w:type="dxa"/>
          </w:tcPr>
          <w:p w14:paraId="3FB07393" w14:textId="77777777" w:rsidR="00AE4693" w:rsidRDefault="00FB7042">
            <w:pPr>
              <w:spacing w:after="0"/>
              <w:jc w:val="both"/>
              <w:rPr>
                <w:rFonts w:ascii="Times New Roman" w:hAnsi="Times New Roman"/>
                <w:sz w:val="24"/>
                <w:szCs w:val="24"/>
              </w:rPr>
            </w:pPr>
            <w:r>
              <w:rPr>
                <w:rFonts w:ascii="Times New Roman" w:hAnsi="Times New Roman"/>
                <w:sz w:val="24"/>
                <w:szCs w:val="24"/>
              </w:rPr>
              <w:t>82.6 ± 12.1</w:t>
            </w:r>
          </w:p>
        </w:tc>
        <w:tc>
          <w:tcPr>
            <w:tcW w:w="1596" w:type="dxa"/>
          </w:tcPr>
          <w:p w14:paraId="6F4EB3ED" w14:textId="77777777" w:rsidR="00AE4693" w:rsidRDefault="00FB7042">
            <w:pPr>
              <w:spacing w:after="0"/>
              <w:jc w:val="both"/>
              <w:rPr>
                <w:rFonts w:ascii="Times New Roman" w:hAnsi="Times New Roman"/>
                <w:sz w:val="24"/>
                <w:szCs w:val="24"/>
              </w:rPr>
            </w:pPr>
            <w:r>
              <w:rPr>
                <w:rFonts w:ascii="Times New Roman" w:hAnsi="Times New Roman"/>
                <w:sz w:val="24"/>
                <w:szCs w:val="24"/>
              </w:rPr>
              <w:t>61.3 ± 10.9</w:t>
            </w:r>
          </w:p>
        </w:tc>
        <w:tc>
          <w:tcPr>
            <w:tcW w:w="1596" w:type="dxa"/>
          </w:tcPr>
          <w:p w14:paraId="39599005" w14:textId="77777777" w:rsidR="00AE4693" w:rsidRDefault="00FB7042">
            <w:pPr>
              <w:spacing w:after="0"/>
              <w:jc w:val="both"/>
              <w:rPr>
                <w:rFonts w:ascii="Times New Roman" w:hAnsi="Times New Roman"/>
                <w:sz w:val="24"/>
                <w:szCs w:val="24"/>
              </w:rPr>
            </w:pPr>
            <w:r>
              <w:rPr>
                <w:rFonts w:ascii="Times New Roman" w:hAnsi="Times New Roman"/>
                <w:sz w:val="24"/>
                <w:szCs w:val="24"/>
              </w:rPr>
              <w:t>62.0 ± 11.2</w:t>
            </w:r>
          </w:p>
        </w:tc>
        <w:tc>
          <w:tcPr>
            <w:tcW w:w="1596" w:type="dxa"/>
          </w:tcPr>
          <w:p w14:paraId="3BF6F2A6" w14:textId="77777777" w:rsidR="00AE4693" w:rsidRDefault="00FB7042">
            <w:pPr>
              <w:spacing w:after="0"/>
              <w:jc w:val="both"/>
              <w:rPr>
                <w:rFonts w:ascii="Times New Roman" w:hAnsi="Times New Roman"/>
                <w:sz w:val="24"/>
                <w:szCs w:val="24"/>
              </w:rPr>
            </w:pPr>
            <w:r>
              <w:rPr>
                <w:rFonts w:ascii="Times New Roman" w:hAnsi="Times New Roman"/>
                <w:sz w:val="24"/>
                <w:szCs w:val="24"/>
              </w:rPr>
              <w:t>0.001</w:t>
            </w:r>
          </w:p>
        </w:tc>
      </w:tr>
      <w:tr w:rsidR="00523A28" w14:paraId="6CF15D11" w14:textId="77777777">
        <w:tc>
          <w:tcPr>
            <w:tcW w:w="1596" w:type="dxa"/>
          </w:tcPr>
          <w:p w14:paraId="028CACAA" w14:textId="77777777" w:rsidR="00AE4693" w:rsidRDefault="00FB7042">
            <w:pPr>
              <w:spacing w:after="0"/>
              <w:jc w:val="both"/>
              <w:rPr>
                <w:rFonts w:ascii="Times New Roman" w:hAnsi="Times New Roman"/>
                <w:sz w:val="24"/>
                <w:szCs w:val="24"/>
              </w:rPr>
            </w:pPr>
            <w:r>
              <w:rPr>
                <w:rFonts w:ascii="Times New Roman" w:hAnsi="Times New Roman"/>
                <w:sz w:val="24"/>
                <w:szCs w:val="24"/>
              </w:rPr>
              <w:t>Serum Zinc (µg/dL)</w:t>
            </w:r>
          </w:p>
        </w:tc>
        <w:tc>
          <w:tcPr>
            <w:tcW w:w="1596" w:type="dxa"/>
          </w:tcPr>
          <w:p w14:paraId="69C8A436" w14:textId="77777777" w:rsidR="00AE4693" w:rsidRDefault="00FB7042">
            <w:pPr>
              <w:spacing w:after="0"/>
              <w:jc w:val="both"/>
              <w:rPr>
                <w:rFonts w:ascii="Times New Roman" w:hAnsi="Times New Roman"/>
                <w:sz w:val="24"/>
                <w:szCs w:val="24"/>
              </w:rPr>
            </w:pPr>
            <w:r>
              <w:rPr>
                <w:rFonts w:ascii="Times New Roman" w:hAnsi="Times New Roman"/>
                <w:sz w:val="24"/>
                <w:szCs w:val="24"/>
              </w:rPr>
              <w:t>71.2 ± 8.4</w:t>
            </w:r>
          </w:p>
        </w:tc>
        <w:tc>
          <w:tcPr>
            <w:tcW w:w="1596" w:type="dxa"/>
          </w:tcPr>
          <w:p w14:paraId="51509D23" w14:textId="77777777" w:rsidR="00AE4693" w:rsidRDefault="00FB7042">
            <w:pPr>
              <w:spacing w:after="0"/>
              <w:jc w:val="both"/>
              <w:rPr>
                <w:rFonts w:ascii="Times New Roman" w:hAnsi="Times New Roman"/>
                <w:sz w:val="24"/>
                <w:szCs w:val="24"/>
              </w:rPr>
            </w:pPr>
            <w:r>
              <w:rPr>
                <w:rFonts w:ascii="Times New Roman" w:hAnsi="Times New Roman"/>
                <w:sz w:val="24"/>
                <w:szCs w:val="24"/>
              </w:rPr>
              <w:t>89.8 ± 8.2</w:t>
            </w:r>
          </w:p>
        </w:tc>
        <w:tc>
          <w:tcPr>
            <w:tcW w:w="1596" w:type="dxa"/>
          </w:tcPr>
          <w:p w14:paraId="1CA91950" w14:textId="77777777" w:rsidR="00AE4693" w:rsidRDefault="00FB7042">
            <w:pPr>
              <w:spacing w:after="0"/>
              <w:jc w:val="both"/>
              <w:rPr>
                <w:rFonts w:ascii="Times New Roman" w:hAnsi="Times New Roman"/>
                <w:sz w:val="24"/>
                <w:szCs w:val="24"/>
              </w:rPr>
            </w:pPr>
            <w:r>
              <w:rPr>
                <w:rFonts w:ascii="Times New Roman" w:hAnsi="Times New Roman"/>
                <w:sz w:val="24"/>
                <w:szCs w:val="24"/>
              </w:rPr>
              <w:t>71.8 ± 8.6</w:t>
            </w:r>
          </w:p>
        </w:tc>
        <w:tc>
          <w:tcPr>
            <w:tcW w:w="1596" w:type="dxa"/>
          </w:tcPr>
          <w:p w14:paraId="1E3CE47C" w14:textId="77777777" w:rsidR="00AE4693" w:rsidRDefault="00387351">
            <w:pPr>
              <w:spacing w:after="0"/>
              <w:jc w:val="both"/>
              <w:rPr>
                <w:rFonts w:ascii="Times New Roman" w:hAnsi="Times New Roman"/>
                <w:sz w:val="24"/>
                <w:szCs w:val="24"/>
              </w:rPr>
            </w:pPr>
            <w:r>
              <w:rPr>
                <w:rFonts w:ascii="Times New Roman" w:hAnsi="Times New Roman"/>
                <w:sz w:val="24"/>
                <w:szCs w:val="24"/>
              </w:rPr>
              <w:t>72.1 ± 8.4</w:t>
            </w:r>
          </w:p>
        </w:tc>
        <w:tc>
          <w:tcPr>
            <w:tcW w:w="1596" w:type="dxa"/>
          </w:tcPr>
          <w:p w14:paraId="21163B65" w14:textId="77777777" w:rsidR="00AE4693" w:rsidRDefault="00387351">
            <w:pPr>
              <w:spacing w:after="0"/>
              <w:jc w:val="both"/>
              <w:rPr>
                <w:rFonts w:ascii="Times New Roman" w:hAnsi="Times New Roman"/>
                <w:sz w:val="24"/>
                <w:szCs w:val="24"/>
              </w:rPr>
            </w:pPr>
            <w:r>
              <w:rPr>
                <w:rFonts w:ascii="Times New Roman" w:hAnsi="Times New Roman"/>
                <w:sz w:val="24"/>
                <w:szCs w:val="24"/>
              </w:rPr>
              <w:t>0.001</w:t>
            </w:r>
          </w:p>
        </w:tc>
      </w:tr>
    </w:tbl>
    <w:p w14:paraId="028C4B0B" w14:textId="77777777" w:rsidR="008D1618" w:rsidRDefault="008D1618" w:rsidP="00AB2403">
      <w:pPr>
        <w:spacing w:after="0"/>
        <w:jc w:val="both"/>
        <w:rPr>
          <w:rFonts w:ascii="Times New Roman" w:hAnsi="Times New Roman"/>
          <w:b/>
          <w:bCs/>
          <w:sz w:val="24"/>
          <w:szCs w:val="24"/>
        </w:rPr>
      </w:pPr>
    </w:p>
    <w:p w14:paraId="5B278DD5" w14:textId="77777777" w:rsidR="00B23001" w:rsidRDefault="00B23001" w:rsidP="00AB2403">
      <w:pPr>
        <w:spacing w:after="0"/>
        <w:jc w:val="both"/>
        <w:rPr>
          <w:rFonts w:ascii="Times New Roman" w:hAnsi="Times New Roman"/>
          <w:b/>
          <w:bCs/>
          <w:sz w:val="24"/>
          <w:szCs w:val="24"/>
        </w:rPr>
      </w:pPr>
    </w:p>
    <w:p w14:paraId="1778FE00" w14:textId="77777777" w:rsidR="00B23001" w:rsidRDefault="00B23001" w:rsidP="00AB2403">
      <w:pPr>
        <w:spacing w:after="0"/>
        <w:jc w:val="both"/>
        <w:rPr>
          <w:rFonts w:ascii="Times New Roman" w:hAnsi="Times New Roman"/>
          <w:b/>
          <w:bCs/>
          <w:sz w:val="24"/>
          <w:szCs w:val="24"/>
        </w:rPr>
      </w:pPr>
    </w:p>
    <w:p w14:paraId="17B4F369" w14:textId="77777777" w:rsidR="008E216E" w:rsidRPr="00387351" w:rsidRDefault="00264071" w:rsidP="00AB2403">
      <w:pPr>
        <w:spacing w:after="0"/>
        <w:jc w:val="both"/>
        <w:rPr>
          <w:rFonts w:ascii="Times New Roman" w:hAnsi="Times New Roman"/>
          <w:b/>
          <w:bCs/>
          <w:sz w:val="24"/>
          <w:szCs w:val="24"/>
        </w:rPr>
      </w:pPr>
      <w:r>
        <w:rPr>
          <w:rFonts w:ascii="Times New Roman" w:hAnsi="Times New Roman"/>
          <w:b/>
          <w:bCs/>
          <w:sz w:val="24"/>
          <w:szCs w:val="24"/>
        </w:rPr>
        <w:t xml:space="preserve">Table 3: </w:t>
      </w:r>
      <w:r w:rsidRPr="00387351">
        <w:rPr>
          <w:rFonts w:ascii="Times New Roman" w:hAnsi="Times New Roman"/>
          <w:b/>
          <w:bCs/>
          <w:sz w:val="24"/>
          <w:szCs w:val="24"/>
        </w:rPr>
        <w:t xml:space="preserve">Association Between Nutrition Knowledge and Dietary </w:t>
      </w:r>
      <w:proofErr w:type="spellStart"/>
      <w:r w:rsidRPr="00387351">
        <w:rPr>
          <w:rFonts w:ascii="Times New Roman" w:hAnsi="Times New Roman"/>
          <w:b/>
          <w:bCs/>
          <w:sz w:val="24"/>
          <w:szCs w:val="24"/>
        </w:rPr>
        <w:t>Behaviour</w:t>
      </w:r>
      <w:proofErr w:type="spellEnd"/>
      <w:r w:rsidRPr="00387351">
        <w:rPr>
          <w:rFonts w:ascii="Times New Roman" w:hAnsi="Times New Roman"/>
          <w:b/>
          <w:bCs/>
          <w:sz w:val="24"/>
          <w:szCs w:val="24"/>
        </w:rPr>
        <w:t xml:space="preserve"> Among Participants</w:t>
      </w:r>
    </w:p>
    <w:tbl>
      <w:tblPr>
        <w:tblW w:w="0" w:type="auto"/>
        <w:tblBorders>
          <w:top w:val="single" w:sz="4" w:space="0" w:color="auto"/>
          <w:bottom w:val="single" w:sz="4" w:space="0" w:color="auto"/>
        </w:tblBorders>
        <w:tblLook w:val="04A0" w:firstRow="1" w:lastRow="0" w:firstColumn="1" w:lastColumn="0" w:noHBand="0" w:noVBand="1"/>
      </w:tblPr>
      <w:tblGrid>
        <w:gridCol w:w="1986"/>
        <w:gridCol w:w="2058"/>
        <w:gridCol w:w="2058"/>
        <w:gridCol w:w="1761"/>
        <w:gridCol w:w="1713"/>
      </w:tblGrid>
      <w:tr w:rsidR="00523A28" w14:paraId="6A097863" w14:textId="77777777">
        <w:tc>
          <w:tcPr>
            <w:tcW w:w="1986" w:type="dxa"/>
          </w:tcPr>
          <w:p w14:paraId="13EAB978" w14:textId="77777777" w:rsidR="00387351" w:rsidRDefault="00387351">
            <w:pPr>
              <w:spacing w:after="0"/>
              <w:jc w:val="both"/>
              <w:rPr>
                <w:rFonts w:ascii="Times New Roman" w:hAnsi="Times New Roman"/>
                <w:sz w:val="24"/>
                <w:szCs w:val="24"/>
              </w:rPr>
            </w:pPr>
            <w:r>
              <w:rPr>
                <w:rFonts w:ascii="Times New Roman" w:hAnsi="Times New Roman"/>
                <w:sz w:val="24"/>
                <w:szCs w:val="24"/>
              </w:rPr>
              <w:t>Dietary Behavior</w:t>
            </w:r>
          </w:p>
        </w:tc>
        <w:tc>
          <w:tcPr>
            <w:tcW w:w="2058" w:type="dxa"/>
          </w:tcPr>
          <w:p w14:paraId="2ED9FE85" w14:textId="77777777" w:rsidR="00387351" w:rsidRDefault="00387351">
            <w:pPr>
              <w:spacing w:after="0"/>
              <w:jc w:val="both"/>
              <w:rPr>
                <w:rFonts w:ascii="Times New Roman" w:hAnsi="Times New Roman"/>
                <w:sz w:val="24"/>
                <w:szCs w:val="24"/>
              </w:rPr>
            </w:pPr>
            <w:r>
              <w:rPr>
                <w:rFonts w:ascii="Times New Roman" w:hAnsi="Times New Roman"/>
                <w:sz w:val="24"/>
                <w:szCs w:val="24"/>
              </w:rPr>
              <w:t>Good Nutrition Knowledge n (%)</w:t>
            </w:r>
          </w:p>
        </w:tc>
        <w:tc>
          <w:tcPr>
            <w:tcW w:w="2058" w:type="dxa"/>
          </w:tcPr>
          <w:p w14:paraId="7C060A8E" w14:textId="77777777" w:rsidR="00387351" w:rsidRDefault="00387351">
            <w:pPr>
              <w:spacing w:after="0"/>
              <w:jc w:val="both"/>
              <w:rPr>
                <w:rFonts w:ascii="Times New Roman" w:hAnsi="Times New Roman"/>
                <w:sz w:val="24"/>
                <w:szCs w:val="24"/>
              </w:rPr>
            </w:pPr>
            <w:r>
              <w:rPr>
                <w:rFonts w:ascii="Times New Roman" w:hAnsi="Times New Roman"/>
                <w:sz w:val="24"/>
                <w:szCs w:val="24"/>
              </w:rPr>
              <w:t>Poor Nutrition Knowledge n (%)</w:t>
            </w:r>
          </w:p>
        </w:tc>
        <w:tc>
          <w:tcPr>
            <w:tcW w:w="1761" w:type="dxa"/>
          </w:tcPr>
          <w:p w14:paraId="0ECFEC6A" w14:textId="77777777" w:rsidR="00387351" w:rsidRDefault="00387351">
            <w:pPr>
              <w:spacing w:after="0"/>
              <w:jc w:val="both"/>
              <w:rPr>
                <w:rFonts w:ascii="Times New Roman" w:hAnsi="Times New Roman"/>
                <w:sz w:val="24"/>
                <w:szCs w:val="24"/>
              </w:rPr>
            </w:pPr>
            <w:r>
              <w:rPr>
                <w:rFonts w:ascii="Times New Roman" w:hAnsi="Times New Roman"/>
                <w:sz w:val="24"/>
                <w:szCs w:val="24"/>
                <w:vertAlign w:val="superscript"/>
              </w:rPr>
              <w:t>x2</w:t>
            </w:r>
          </w:p>
        </w:tc>
        <w:tc>
          <w:tcPr>
            <w:tcW w:w="1713" w:type="dxa"/>
          </w:tcPr>
          <w:p w14:paraId="59AD57AD" w14:textId="77777777" w:rsidR="00387351" w:rsidRDefault="00387351">
            <w:pPr>
              <w:spacing w:after="0"/>
              <w:jc w:val="both"/>
              <w:rPr>
                <w:rFonts w:ascii="Times New Roman" w:hAnsi="Times New Roman"/>
                <w:sz w:val="24"/>
                <w:szCs w:val="24"/>
              </w:rPr>
            </w:pPr>
            <w:r>
              <w:rPr>
                <w:rFonts w:ascii="Times New Roman" w:hAnsi="Times New Roman"/>
                <w:sz w:val="24"/>
                <w:szCs w:val="24"/>
              </w:rPr>
              <w:t>p-value</w:t>
            </w:r>
          </w:p>
        </w:tc>
      </w:tr>
      <w:tr w:rsidR="00523A28" w14:paraId="541C013C" w14:textId="77777777">
        <w:tc>
          <w:tcPr>
            <w:tcW w:w="1986" w:type="dxa"/>
          </w:tcPr>
          <w:p w14:paraId="085C676D" w14:textId="77777777" w:rsidR="00387351" w:rsidRDefault="00387351">
            <w:pPr>
              <w:spacing w:after="0"/>
              <w:jc w:val="both"/>
              <w:rPr>
                <w:rFonts w:ascii="Times New Roman" w:hAnsi="Times New Roman"/>
                <w:sz w:val="24"/>
                <w:szCs w:val="24"/>
              </w:rPr>
            </w:pPr>
            <w:r>
              <w:rPr>
                <w:rFonts w:ascii="Times New Roman" w:hAnsi="Times New Roman"/>
                <w:sz w:val="24"/>
                <w:szCs w:val="24"/>
              </w:rPr>
              <w:t>Regular Fruit Consumption</w:t>
            </w:r>
          </w:p>
        </w:tc>
        <w:tc>
          <w:tcPr>
            <w:tcW w:w="2058" w:type="dxa"/>
          </w:tcPr>
          <w:p w14:paraId="5BF884EE" w14:textId="77777777" w:rsidR="00387351" w:rsidRDefault="00387351">
            <w:pPr>
              <w:spacing w:after="0"/>
              <w:jc w:val="both"/>
              <w:rPr>
                <w:rFonts w:ascii="Times New Roman" w:hAnsi="Times New Roman"/>
                <w:sz w:val="24"/>
                <w:szCs w:val="24"/>
              </w:rPr>
            </w:pPr>
            <w:r>
              <w:rPr>
                <w:rFonts w:ascii="Times New Roman" w:hAnsi="Times New Roman"/>
                <w:sz w:val="24"/>
                <w:szCs w:val="24"/>
              </w:rPr>
              <w:t>72 (78.3)</w:t>
            </w:r>
          </w:p>
        </w:tc>
        <w:tc>
          <w:tcPr>
            <w:tcW w:w="2058" w:type="dxa"/>
          </w:tcPr>
          <w:p w14:paraId="68109179" w14:textId="77777777" w:rsidR="00387351" w:rsidRDefault="00387351">
            <w:pPr>
              <w:spacing w:after="0"/>
              <w:jc w:val="both"/>
              <w:rPr>
                <w:rFonts w:ascii="Times New Roman" w:hAnsi="Times New Roman"/>
                <w:sz w:val="24"/>
                <w:szCs w:val="24"/>
              </w:rPr>
            </w:pPr>
            <w:r>
              <w:rPr>
                <w:rFonts w:ascii="Times New Roman" w:hAnsi="Times New Roman"/>
                <w:sz w:val="24"/>
                <w:szCs w:val="24"/>
              </w:rPr>
              <w:t>20 (21.7)</w:t>
            </w:r>
          </w:p>
        </w:tc>
        <w:tc>
          <w:tcPr>
            <w:tcW w:w="1761" w:type="dxa"/>
          </w:tcPr>
          <w:p w14:paraId="5EA9C831" w14:textId="77777777" w:rsidR="00387351" w:rsidRDefault="00387351">
            <w:pPr>
              <w:spacing w:after="0"/>
              <w:jc w:val="both"/>
              <w:rPr>
                <w:rFonts w:ascii="Times New Roman" w:hAnsi="Times New Roman"/>
                <w:sz w:val="24"/>
                <w:szCs w:val="24"/>
              </w:rPr>
            </w:pPr>
            <w:r>
              <w:rPr>
                <w:rFonts w:ascii="Times New Roman" w:hAnsi="Times New Roman"/>
                <w:sz w:val="24"/>
                <w:szCs w:val="24"/>
              </w:rPr>
              <w:t>24.63</w:t>
            </w:r>
          </w:p>
        </w:tc>
        <w:tc>
          <w:tcPr>
            <w:tcW w:w="1713" w:type="dxa"/>
          </w:tcPr>
          <w:p w14:paraId="3271D598" w14:textId="77777777" w:rsidR="00387351" w:rsidRDefault="00387351">
            <w:pPr>
              <w:spacing w:after="0"/>
              <w:jc w:val="both"/>
              <w:rPr>
                <w:rFonts w:ascii="Times New Roman" w:hAnsi="Times New Roman"/>
                <w:sz w:val="24"/>
                <w:szCs w:val="24"/>
              </w:rPr>
            </w:pPr>
            <w:r>
              <w:rPr>
                <w:rFonts w:ascii="Times New Roman" w:hAnsi="Times New Roman"/>
                <w:sz w:val="24"/>
                <w:szCs w:val="24"/>
              </w:rPr>
              <w:t>0.001</w:t>
            </w:r>
          </w:p>
        </w:tc>
      </w:tr>
      <w:tr w:rsidR="00523A28" w14:paraId="60222A16" w14:textId="77777777">
        <w:tc>
          <w:tcPr>
            <w:tcW w:w="1986" w:type="dxa"/>
          </w:tcPr>
          <w:p w14:paraId="51682C8B" w14:textId="77777777" w:rsidR="00387351" w:rsidRDefault="00387351">
            <w:pPr>
              <w:spacing w:after="0"/>
              <w:jc w:val="both"/>
              <w:rPr>
                <w:rFonts w:ascii="Times New Roman" w:hAnsi="Times New Roman"/>
                <w:sz w:val="24"/>
                <w:szCs w:val="24"/>
              </w:rPr>
            </w:pPr>
            <w:r>
              <w:rPr>
                <w:rFonts w:ascii="Times New Roman" w:hAnsi="Times New Roman"/>
                <w:sz w:val="24"/>
                <w:szCs w:val="24"/>
              </w:rPr>
              <w:t>Regular Vegetable Consumption</w:t>
            </w:r>
          </w:p>
        </w:tc>
        <w:tc>
          <w:tcPr>
            <w:tcW w:w="2058" w:type="dxa"/>
          </w:tcPr>
          <w:p w14:paraId="2481B0DB" w14:textId="77777777" w:rsidR="00387351" w:rsidRDefault="00387351">
            <w:pPr>
              <w:spacing w:after="0"/>
              <w:jc w:val="both"/>
              <w:rPr>
                <w:rFonts w:ascii="Times New Roman" w:hAnsi="Times New Roman"/>
                <w:sz w:val="24"/>
                <w:szCs w:val="24"/>
              </w:rPr>
            </w:pPr>
            <w:r>
              <w:rPr>
                <w:rFonts w:ascii="Times New Roman" w:hAnsi="Times New Roman"/>
                <w:sz w:val="24"/>
                <w:szCs w:val="24"/>
              </w:rPr>
              <w:t>75 (80.6)</w:t>
            </w:r>
          </w:p>
        </w:tc>
        <w:tc>
          <w:tcPr>
            <w:tcW w:w="2058" w:type="dxa"/>
          </w:tcPr>
          <w:p w14:paraId="1E6A8BAA" w14:textId="77777777" w:rsidR="00387351" w:rsidRDefault="00387351">
            <w:pPr>
              <w:spacing w:after="0"/>
              <w:jc w:val="both"/>
              <w:rPr>
                <w:rFonts w:ascii="Times New Roman" w:hAnsi="Times New Roman"/>
                <w:sz w:val="24"/>
                <w:szCs w:val="24"/>
              </w:rPr>
            </w:pPr>
            <w:r>
              <w:rPr>
                <w:rFonts w:ascii="Times New Roman" w:hAnsi="Times New Roman"/>
                <w:sz w:val="24"/>
                <w:szCs w:val="24"/>
              </w:rPr>
              <w:t>18 (19.4)</w:t>
            </w:r>
          </w:p>
        </w:tc>
        <w:tc>
          <w:tcPr>
            <w:tcW w:w="1761" w:type="dxa"/>
          </w:tcPr>
          <w:p w14:paraId="787CC4E2" w14:textId="77777777" w:rsidR="00387351" w:rsidRDefault="00387351">
            <w:pPr>
              <w:spacing w:after="0"/>
              <w:jc w:val="both"/>
              <w:rPr>
                <w:rFonts w:ascii="Times New Roman" w:hAnsi="Times New Roman"/>
                <w:sz w:val="24"/>
                <w:szCs w:val="24"/>
              </w:rPr>
            </w:pPr>
            <w:r>
              <w:rPr>
                <w:rFonts w:ascii="Times New Roman" w:hAnsi="Times New Roman"/>
                <w:sz w:val="24"/>
                <w:szCs w:val="24"/>
              </w:rPr>
              <w:t>27.81</w:t>
            </w:r>
          </w:p>
        </w:tc>
        <w:tc>
          <w:tcPr>
            <w:tcW w:w="1713" w:type="dxa"/>
          </w:tcPr>
          <w:p w14:paraId="659A00EB" w14:textId="77777777" w:rsidR="00387351" w:rsidRDefault="00387351">
            <w:pPr>
              <w:spacing w:after="0"/>
              <w:jc w:val="both"/>
              <w:rPr>
                <w:rFonts w:ascii="Times New Roman" w:hAnsi="Times New Roman"/>
                <w:sz w:val="24"/>
                <w:szCs w:val="24"/>
              </w:rPr>
            </w:pPr>
            <w:r>
              <w:rPr>
                <w:rFonts w:ascii="Times New Roman" w:hAnsi="Times New Roman"/>
                <w:sz w:val="24"/>
                <w:szCs w:val="24"/>
              </w:rPr>
              <w:t>0.001</w:t>
            </w:r>
          </w:p>
        </w:tc>
      </w:tr>
      <w:tr w:rsidR="00523A28" w14:paraId="5519C9CC" w14:textId="77777777">
        <w:tc>
          <w:tcPr>
            <w:tcW w:w="1986" w:type="dxa"/>
          </w:tcPr>
          <w:p w14:paraId="19B56B5B" w14:textId="77777777" w:rsidR="00387351" w:rsidRDefault="00387351">
            <w:pPr>
              <w:spacing w:after="0"/>
              <w:jc w:val="both"/>
              <w:rPr>
                <w:rFonts w:ascii="Times New Roman" w:hAnsi="Times New Roman"/>
                <w:sz w:val="24"/>
                <w:szCs w:val="24"/>
              </w:rPr>
            </w:pPr>
            <w:r>
              <w:rPr>
                <w:rFonts w:ascii="Times New Roman" w:hAnsi="Times New Roman"/>
                <w:sz w:val="24"/>
                <w:szCs w:val="24"/>
              </w:rPr>
              <w:t>Daily Breakfast Consumption</w:t>
            </w:r>
          </w:p>
        </w:tc>
        <w:tc>
          <w:tcPr>
            <w:tcW w:w="2058" w:type="dxa"/>
          </w:tcPr>
          <w:p w14:paraId="5FE441F9" w14:textId="77777777" w:rsidR="00387351" w:rsidRDefault="00387351">
            <w:pPr>
              <w:spacing w:after="0"/>
              <w:jc w:val="both"/>
              <w:rPr>
                <w:rFonts w:ascii="Times New Roman" w:hAnsi="Times New Roman"/>
                <w:sz w:val="24"/>
                <w:szCs w:val="24"/>
              </w:rPr>
            </w:pPr>
            <w:r>
              <w:rPr>
                <w:rFonts w:ascii="Times New Roman" w:hAnsi="Times New Roman"/>
                <w:sz w:val="24"/>
                <w:szCs w:val="24"/>
              </w:rPr>
              <w:t>69 (75.0)</w:t>
            </w:r>
          </w:p>
        </w:tc>
        <w:tc>
          <w:tcPr>
            <w:tcW w:w="2058" w:type="dxa"/>
          </w:tcPr>
          <w:p w14:paraId="52C3C4F9" w14:textId="77777777" w:rsidR="00387351" w:rsidRDefault="00387351">
            <w:pPr>
              <w:spacing w:after="0"/>
              <w:jc w:val="both"/>
              <w:rPr>
                <w:rFonts w:ascii="Times New Roman" w:hAnsi="Times New Roman"/>
                <w:sz w:val="24"/>
                <w:szCs w:val="24"/>
              </w:rPr>
            </w:pPr>
            <w:r>
              <w:rPr>
                <w:rFonts w:ascii="Times New Roman" w:hAnsi="Times New Roman"/>
                <w:sz w:val="24"/>
                <w:szCs w:val="24"/>
              </w:rPr>
              <w:t>23 (25.0)</w:t>
            </w:r>
          </w:p>
        </w:tc>
        <w:tc>
          <w:tcPr>
            <w:tcW w:w="1761" w:type="dxa"/>
          </w:tcPr>
          <w:p w14:paraId="3B68644A" w14:textId="77777777" w:rsidR="00387351" w:rsidRDefault="00387351">
            <w:pPr>
              <w:spacing w:after="0"/>
              <w:jc w:val="both"/>
              <w:rPr>
                <w:rFonts w:ascii="Times New Roman" w:hAnsi="Times New Roman"/>
                <w:sz w:val="24"/>
                <w:szCs w:val="24"/>
              </w:rPr>
            </w:pPr>
            <w:r>
              <w:rPr>
                <w:rFonts w:ascii="Times New Roman" w:hAnsi="Times New Roman"/>
                <w:sz w:val="24"/>
                <w:szCs w:val="24"/>
              </w:rPr>
              <w:t>18.45</w:t>
            </w:r>
          </w:p>
        </w:tc>
        <w:tc>
          <w:tcPr>
            <w:tcW w:w="1713" w:type="dxa"/>
          </w:tcPr>
          <w:p w14:paraId="2EDC50F0" w14:textId="77777777" w:rsidR="00387351" w:rsidRDefault="00387351">
            <w:pPr>
              <w:spacing w:after="0"/>
              <w:jc w:val="both"/>
              <w:rPr>
                <w:rFonts w:ascii="Times New Roman" w:hAnsi="Times New Roman"/>
                <w:sz w:val="24"/>
                <w:szCs w:val="24"/>
              </w:rPr>
            </w:pPr>
            <w:r>
              <w:rPr>
                <w:rFonts w:ascii="Times New Roman" w:hAnsi="Times New Roman"/>
                <w:sz w:val="24"/>
                <w:szCs w:val="24"/>
              </w:rPr>
              <w:t>0.001</w:t>
            </w:r>
          </w:p>
        </w:tc>
      </w:tr>
      <w:tr w:rsidR="00523A28" w14:paraId="73B2020B" w14:textId="77777777">
        <w:tc>
          <w:tcPr>
            <w:tcW w:w="1986" w:type="dxa"/>
          </w:tcPr>
          <w:p w14:paraId="595F834E" w14:textId="77777777" w:rsidR="00387351" w:rsidRDefault="00387351">
            <w:pPr>
              <w:spacing w:after="0"/>
              <w:jc w:val="both"/>
              <w:rPr>
                <w:rFonts w:ascii="Times New Roman" w:hAnsi="Times New Roman"/>
                <w:sz w:val="24"/>
                <w:szCs w:val="24"/>
              </w:rPr>
            </w:pPr>
            <w:r>
              <w:rPr>
                <w:rFonts w:ascii="Times New Roman" w:hAnsi="Times New Roman"/>
                <w:sz w:val="24"/>
                <w:szCs w:val="24"/>
              </w:rPr>
              <w:t>Frequent Fast-food Consumption</w:t>
            </w:r>
          </w:p>
        </w:tc>
        <w:tc>
          <w:tcPr>
            <w:tcW w:w="2058" w:type="dxa"/>
          </w:tcPr>
          <w:p w14:paraId="403D2C44" w14:textId="77777777" w:rsidR="00387351" w:rsidRDefault="00387351">
            <w:pPr>
              <w:spacing w:after="0"/>
              <w:jc w:val="both"/>
              <w:rPr>
                <w:rFonts w:ascii="Times New Roman" w:hAnsi="Times New Roman"/>
                <w:sz w:val="24"/>
                <w:szCs w:val="24"/>
              </w:rPr>
            </w:pPr>
            <w:r>
              <w:rPr>
                <w:rFonts w:ascii="Times New Roman" w:hAnsi="Times New Roman"/>
                <w:sz w:val="24"/>
                <w:szCs w:val="24"/>
              </w:rPr>
              <w:t>19. (31.1)</w:t>
            </w:r>
          </w:p>
        </w:tc>
        <w:tc>
          <w:tcPr>
            <w:tcW w:w="2058" w:type="dxa"/>
          </w:tcPr>
          <w:p w14:paraId="05D7F9E2" w14:textId="77777777" w:rsidR="00387351" w:rsidRDefault="00387351">
            <w:pPr>
              <w:spacing w:after="0"/>
              <w:jc w:val="both"/>
              <w:rPr>
                <w:rFonts w:ascii="Times New Roman" w:hAnsi="Times New Roman"/>
                <w:sz w:val="24"/>
                <w:szCs w:val="24"/>
              </w:rPr>
            </w:pPr>
            <w:r>
              <w:rPr>
                <w:rFonts w:ascii="Times New Roman" w:hAnsi="Times New Roman"/>
                <w:sz w:val="24"/>
                <w:szCs w:val="24"/>
              </w:rPr>
              <w:t>42 (68.9)</w:t>
            </w:r>
          </w:p>
        </w:tc>
        <w:tc>
          <w:tcPr>
            <w:tcW w:w="1761" w:type="dxa"/>
          </w:tcPr>
          <w:p w14:paraId="499A0A06" w14:textId="77777777" w:rsidR="00387351" w:rsidRDefault="00DF4223">
            <w:pPr>
              <w:spacing w:after="0"/>
              <w:jc w:val="both"/>
              <w:rPr>
                <w:rFonts w:ascii="Times New Roman" w:hAnsi="Times New Roman"/>
                <w:sz w:val="24"/>
                <w:szCs w:val="24"/>
              </w:rPr>
            </w:pPr>
            <w:r>
              <w:rPr>
                <w:rFonts w:ascii="Times New Roman" w:hAnsi="Times New Roman"/>
                <w:sz w:val="24"/>
                <w:szCs w:val="24"/>
              </w:rPr>
              <w:t>20.56</w:t>
            </w:r>
          </w:p>
        </w:tc>
        <w:tc>
          <w:tcPr>
            <w:tcW w:w="1713" w:type="dxa"/>
          </w:tcPr>
          <w:p w14:paraId="357F677D" w14:textId="77777777" w:rsidR="00387351" w:rsidRDefault="00DF4223">
            <w:pPr>
              <w:spacing w:after="0"/>
              <w:jc w:val="both"/>
              <w:rPr>
                <w:rFonts w:ascii="Times New Roman" w:hAnsi="Times New Roman"/>
                <w:sz w:val="24"/>
                <w:szCs w:val="24"/>
              </w:rPr>
            </w:pPr>
            <w:r>
              <w:rPr>
                <w:rFonts w:ascii="Times New Roman" w:hAnsi="Times New Roman"/>
                <w:sz w:val="24"/>
                <w:szCs w:val="24"/>
              </w:rPr>
              <w:t>0.001</w:t>
            </w:r>
          </w:p>
        </w:tc>
      </w:tr>
      <w:tr w:rsidR="00523A28" w14:paraId="50DCC0F1" w14:textId="77777777">
        <w:tc>
          <w:tcPr>
            <w:tcW w:w="1986" w:type="dxa"/>
          </w:tcPr>
          <w:p w14:paraId="0F0565D2" w14:textId="77777777" w:rsidR="00387351" w:rsidRDefault="00DF4223">
            <w:pPr>
              <w:spacing w:after="0"/>
              <w:jc w:val="both"/>
              <w:rPr>
                <w:rFonts w:ascii="Times New Roman" w:hAnsi="Times New Roman"/>
                <w:sz w:val="24"/>
                <w:szCs w:val="24"/>
              </w:rPr>
            </w:pPr>
            <w:r>
              <w:rPr>
                <w:rFonts w:ascii="Times New Roman" w:hAnsi="Times New Roman"/>
                <w:sz w:val="24"/>
                <w:szCs w:val="24"/>
              </w:rPr>
              <w:t>Frequent Soft-drink Consumption</w:t>
            </w:r>
          </w:p>
        </w:tc>
        <w:tc>
          <w:tcPr>
            <w:tcW w:w="2058" w:type="dxa"/>
          </w:tcPr>
          <w:p w14:paraId="5D1FECA6" w14:textId="77777777" w:rsidR="00387351" w:rsidRDefault="00DF4223">
            <w:pPr>
              <w:spacing w:after="0"/>
              <w:jc w:val="both"/>
              <w:rPr>
                <w:rFonts w:ascii="Times New Roman" w:hAnsi="Times New Roman"/>
                <w:sz w:val="24"/>
                <w:szCs w:val="24"/>
              </w:rPr>
            </w:pPr>
            <w:r>
              <w:rPr>
                <w:rFonts w:ascii="Times New Roman" w:hAnsi="Times New Roman"/>
                <w:sz w:val="24"/>
                <w:szCs w:val="24"/>
              </w:rPr>
              <w:t>16 (27.1)</w:t>
            </w:r>
          </w:p>
        </w:tc>
        <w:tc>
          <w:tcPr>
            <w:tcW w:w="2058" w:type="dxa"/>
          </w:tcPr>
          <w:p w14:paraId="2CC68176" w14:textId="77777777" w:rsidR="00387351" w:rsidRDefault="00DF4223">
            <w:pPr>
              <w:spacing w:after="0"/>
              <w:jc w:val="both"/>
              <w:rPr>
                <w:rFonts w:ascii="Times New Roman" w:hAnsi="Times New Roman"/>
                <w:sz w:val="24"/>
                <w:szCs w:val="24"/>
              </w:rPr>
            </w:pPr>
            <w:r>
              <w:rPr>
                <w:rFonts w:ascii="Times New Roman" w:hAnsi="Times New Roman"/>
                <w:sz w:val="24"/>
                <w:szCs w:val="24"/>
              </w:rPr>
              <w:t>43 (72.9)</w:t>
            </w:r>
          </w:p>
        </w:tc>
        <w:tc>
          <w:tcPr>
            <w:tcW w:w="1761" w:type="dxa"/>
          </w:tcPr>
          <w:p w14:paraId="56614796" w14:textId="77777777" w:rsidR="00387351" w:rsidRDefault="00DF4223">
            <w:pPr>
              <w:spacing w:after="0"/>
              <w:jc w:val="both"/>
              <w:rPr>
                <w:rFonts w:ascii="Times New Roman" w:hAnsi="Times New Roman"/>
                <w:sz w:val="24"/>
                <w:szCs w:val="24"/>
              </w:rPr>
            </w:pPr>
            <w:r>
              <w:rPr>
                <w:rFonts w:ascii="Times New Roman" w:hAnsi="Times New Roman"/>
                <w:sz w:val="24"/>
                <w:szCs w:val="24"/>
              </w:rPr>
              <w:t>22.34</w:t>
            </w:r>
          </w:p>
        </w:tc>
        <w:tc>
          <w:tcPr>
            <w:tcW w:w="1713" w:type="dxa"/>
          </w:tcPr>
          <w:p w14:paraId="6D04166A" w14:textId="77777777" w:rsidR="00387351" w:rsidRDefault="00DF4223">
            <w:pPr>
              <w:spacing w:after="0"/>
              <w:jc w:val="both"/>
              <w:rPr>
                <w:rFonts w:ascii="Times New Roman" w:hAnsi="Times New Roman"/>
                <w:sz w:val="24"/>
                <w:szCs w:val="24"/>
              </w:rPr>
            </w:pPr>
            <w:r>
              <w:rPr>
                <w:rFonts w:ascii="Times New Roman" w:hAnsi="Times New Roman"/>
                <w:sz w:val="24"/>
                <w:szCs w:val="24"/>
              </w:rPr>
              <w:t>0.001</w:t>
            </w:r>
          </w:p>
        </w:tc>
      </w:tr>
    </w:tbl>
    <w:p w14:paraId="3FE2AEB3" w14:textId="77777777" w:rsidR="008E216E" w:rsidRPr="008D1618" w:rsidRDefault="00000000" w:rsidP="00AB2403">
      <w:pPr>
        <w:spacing w:after="0"/>
        <w:jc w:val="both"/>
        <w:rPr>
          <w:rFonts w:ascii="Times New Roman" w:hAnsi="Times New Roman"/>
          <w:sz w:val="18"/>
          <w:szCs w:val="18"/>
        </w:rPr>
      </w:pPr>
      <w:r w:rsidRPr="008D1618">
        <w:rPr>
          <w:rFonts w:ascii="Times New Roman" w:hAnsi="Times New Roman"/>
          <w:sz w:val="18"/>
          <w:szCs w:val="18"/>
        </w:rPr>
        <w:t xml:space="preserve">Chi-square test was used to determine the association between nutrition knowledge and dietary </w:t>
      </w:r>
      <w:proofErr w:type="spellStart"/>
      <w:r w:rsidRPr="008D1618">
        <w:rPr>
          <w:rFonts w:ascii="Times New Roman" w:hAnsi="Times New Roman"/>
          <w:sz w:val="18"/>
          <w:szCs w:val="18"/>
        </w:rPr>
        <w:t>behaviour</w:t>
      </w:r>
      <w:proofErr w:type="spellEnd"/>
      <w:r w:rsidRPr="008D1618">
        <w:rPr>
          <w:rFonts w:ascii="Times New Roman" w:hAnsi="Times New Roman"/>
          <w:sz w:val="18"/>
          <w:szCs w:val="18"/>
        </w:rPr>
        <w:t>.</w:t>
      </w:r>
    </w:p>
    <w:p w14:paraId="7654D800" w14:textId="77777777" w:rsidR="008E216E" w:rsidRPr="00AB2403" w:rsidRDefault="008E216E" w:rsidP="00AB2403">
      <w:pPr>
        <w:spacing w:after="0"/>
        <w:jc w:val="both"/>
        <w:rPr>
          <w:rFonts w:ascii="Times New Roman" w:hAnsi="Times New Roman"/>
          <w:sz w:val="24"/>
          <w:szCs w:val="24"/>
        </w:rPr>
      </w:pPr>
    </w:p>
    <w:p w14:paraId="2FEF6313" w14:textId="77777777" w:rsidR="008E216E" w:rsidRPr="00DF4223" w:rsidRDefault="00264071" w:rsidP="00AB2403">
      <w:pPr>
        <w:spacing w:after="0"/>
        <w:jc w:val="both"/>
        <w:rPr>
          <w:rFonts w:ascii="Times New Roman" w:hAnsi="Times New Roman"/>
          <w:b/>
          <w:bCs/>
          <w:sz w:val="24"/>
          <w:szCs w:val="24"/>
        </w:rPr>
      </w:pPr>
      <w:r>
        <w:rPr>
          <w:rFonts w:ascii="Times New Roman" w:hAnsi="Times New Roman"/>
          <w:b/>
          <w:bCs/>
          <w:sz w:val="24"/>
          <w:szCs w:val="24"/>
        </w:rPr>
        <w:t xml:space="preserve">Table 4: </w:t>
      </w:r>
      <w:r w:rsidRPr="00DF4223">
        <w:rPr>
          <w:rFonts w:ascii="Times New Roman" w:hAnsi="Times New Roman"/>
          <w:b/>
          <w:bCs/>
          <w:sz w:val="24"/>
          <w:szCs w:val="24"/>
        </w:rPr>
        <w:t>Multiple Linear Regression Analysis Showing Predictors of Improved Micronutrient Status</w:t>
      </w:r>
    </w:p>
    <w:p w14:paraId="0DB8991C" w14:textId="77777777" w:rsidR="008E216E" w:rsidRPr="00462CB4" w:rsidRDefault="00000000" w:rsidP="00DF4223">
      <w:pPr>
        <w:pBdr>
          <w:top w:val="single" w:sz="4" w:space="1" w:color="auto"/>
          <w:bottom w:val="single" w:sz="4" w:space="1" w:color="auto"/>
        </w:pBdr>
        <w:spacing w:after="0"/>
        <w:jc w:val="both"/>
        <w:rPr>
          <w:rFonts w:ascii="Times New Roman" w:hAnsi="Times New Roman"/>
          <w:u w:val="single"/>
        </w:rPr>
      </w:pPr>
      <w:r w:rsidRPr="00462CB4">
        <w:rPr>
          <w:rFonts w:ascii="Times New Roman" w:hAnsi="Times New Roman"/>
          <w:u w:val="single"/>
        </w:rPr>
        <w:t>Predictor Variable</w:t>
      </w:r>
      <w:r w:rsidRPr="00462CB4">
        <w:rPr>
          <w:rFonts w:ascii="Times New Roman" w:hAnsi="Times New Roman"/>
          <w:u w:val="single"/>
        </w:rPr>
        <w:tab/>
      </w:r>
      <w:r w:rsidR="00DF4223" w:rsidRPr="00462CB4">
        <w:rPr>
          <w:rFonts w:ascii="Times New Roman" w:hAnsi="Times New Roman"/>
          <w:u w:val="single"/>
        </w:rPr>
        <w:t xml:space="preserve"> </w:t>
      </w:r>
      <w:r w:rsidR="00DF4223" w:rsidRPr="00462CB4">
        <w:rPr>
          <w:rFonts w:ascii="Times New Roman" w:hAnsi="Times New Roman"/>
          <w:u w:val="single"/>
        </w:rPr>
        <w:tab/>
      </w:r>
      <w:r w:rsidRPr="00462CB4">
        <w:rPr>
          <w:rFonts w:ascii="Times New Roman" w:hAnsi="Times New Roman"/>
          <w:u w:val="single"/>
        </w:rPr>
        <w:t>Unstandardized β</w:t>
      </w:r>
      <w:r w:rsidR="00DF4223" w:rsidRPr="00462CB4">
        <w:rPr>
          <w:rFonts w:ascii="Times New Roman" w:hAnsi="Times New Roman"/>
          <w:u w:val="single"/>
        </w:rPr>
        <w:t xml:space="preserve"> </w:t>
      </w:r>
      <w:r w:rsidRPr="00462CB4">
        <w:rPr>
          <w:rFonts w:ascii="Times New Roman" w:hAnsi="Times New Roman"/>
          <w:u w:val="single"/>
        </w:rPr>
        <w:t>Standard Error</w:t>
      </w:r>
      <w:r w:rsidR="00DF4223" w:rsidRPr="00462CB4">
        <w:rPr>
          <w:rFonts w:ascii="Times New Roman" w:hAnsi="Times New Roman"/>
          <w:u w:val="single"/>
        </w:rPr>
        <w:tab/>
        <w:t xml:space="preserve"> </w:t>
      </w:r>
      <w:r w:rsidRPr="00462CB4">
        <w:rPr>
          <w:rFonts w:ascii="Times New Roman" w:hAnsi="Times New Roman"/>
          <w:u w:val="single"/>
        </w:rPr>
        <w:t>Standardized β</w:t>
      </w:r>
      <w:r w:rsidR="00DF4223" w:rsidRPr="00462CB4">
        <w:rPr>
          <w:rFonts w:ascii="Times New Roman" w:hAnsi="Times New Roman"/>
          <w:u w:val="single"/>
        </w:rPr>
        <w:t xml:space="preserve"> </w:t>
      </w:r>
      <w:r w:rsidRPr="00462CB4">
        <w:rPr>
          <w:rFonts w:ascii="Times New Roman" w:hAnsi="Times New Roman"/>
          <w:u w:val="single"/>
        </w:rPr>
        <w:t>t-value</w:t>
      </w:r>
      <w:r w:rsidRPr="00462CB4">
        <w:rPr>
          <w:rFonts w:ascii="Times New Roman" w:hAnsi="Times New Roman"/>
          <w:u w:val="single"/>
        </w:rPr>
        <w:tab/>
        <w:t>p-value</w:t>
      </w:r>
    </w:p>
    <w:p w14:paraId="7DD68C67" w14:textId="77777777" w:rsidR="008E216E" w:rsidRPr="00462CB4" w:rsidRDefault="00000000" w:rsidP="00DF4223">
      <w:pPr>
        <w:pBdr>
          <w:top w:val="single" w:sz="4" w:space="1" w:color="auto"/>
          <w:bottom w:val="single" w:sz="4" w:space="1" w:color="auto"/>
        </w:pBdr>
        <w:spacing w:after="0"/>
        <w:jc w:val="both"/>
        <w:rPr>
          <w:rFonts w:ascii="Times New Roman" w:hAnsi="Times New Roman"/>
        </w:rPr>
      </w:pPr>
      <w:r w:rsidRPr="00462CB4">
        <w:rPr>
          <w:rFonts w:ascii="Times New Roman" w:hAnsi="Times New Roman"/>
        </w:rPr>
        <w:t>Nutrition education attendance</w:t>
      </w:r>
      <w:r w:rsidR="00DF4223" w:rsidRPr="00462CB4">
        <w:rPr>
          <w:rFonts w:ascii="Times New Roman" w:hAnsi="Times New Roman"/>
        </w:rPr>
        <w:tab/>
      </w:r>
      <w:r w:rsidRPr="00462CB4">
        <w:rPr>
          <w:rFonts w:ascii="Times New Roman" w:hAnsi="Times New Roman"/>
        </w:rPr>
        <w:t>0.486</w:t>
      </w:r>
      <w:r w:rsidRPr="00462CB4">
        <w:rPr>
          <w:rFonts w:ascii="Times New Roman" w:hAnsi="Times New Roman"/>
        </w:rPr>
        <w:tab/>
      </w:r>
      <w:r w:rsidR="00DF4223" w:rsidRPr="00462CB4">
        <w:rPr>
          <w:rFonts w:ascii="Times New Roman" w:hAnsi="Times New Roman"/>
        </w:rPr>
        <w:tab/>
        <w:t xml:space="preserve">    </w:t>
      </w:r>
      <w:r w:rsidRPr="00462CB4">
        <w:rPr>
          <w:rFonts w:ascii="Times New Roman" w:hAnsi="Times New Roman"/>
        </w:rPr>
        <w:t>0.052</w:t>
      </w:r>
      <w:r w:rsidR="00DF4223" w:rsidRPr="00462CB4">
        <w:rPr>
          <w:rFonts w:ascii="Times New Roman" w:hAnsi="Times New Roman"/>
        </w:rPr>
        <w:tab/>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0.471</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9.35</w:t>
      </w:r>
      <w:r w:rsidRPr="00462CB4">
        <w:rPr>
          <w:rFonts w:ascii="Times New Roman" w:hAnsi="Times New Roman"/>
        </w:rPr>
        <w:tab/>
        <w:t>&lt;0.001</w:t>
      </w:r>
    </w:p>
    <w:p w14:paraId="2AD54554" w14:textId="77777777" w:rsidR="008E216E" w:rsidRPr="00462CB4" w:rsidRDefault="00000000" w:rsidP="00DF4223">
      <w:pPr>
        <w:pBdr>
          <w:top w:val="single" w:sz="4" w:space="1" w:color="auto"/>
          <w:bottom w:val="single" w:sz="4" w:space="1" w:color="auto"/>
        </w:pBdr>
        <w:spacing w:after="0"/>
        <w:jc w:val="both"/>
        <w:rPr>
          <w:rFonts w:ascii="Times New Roman" w:hAnsi="Times New Roman"/>
        </w:rPr>
      </w:pPr>
      <w:r w:rsidRPr="00462CB4">
        <w:rPr>
          <w:rFonts w:ascii="Times New Roman" w:hAnsi="Times New Roman"/>
        </w:rPr>
        <w:t>Supplement compliance</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0.391</w:t>
      </w:r>
      <w:r w:rsidRPr="00462CB4">
        <w:rPr>
          <w:rFonts w:ascii="Times New Roman" w:hAnsi="Times New Roman"/>
        </w:rPr>
        <w:tab/>
      </w:r>
      <w:r w:rsidR="00DF4223" w:rsidRPr="00462CB4">
        <w:rPr>
          <w:rFonts w:ascii="Times New Roman" w:hAnsi="Times New Roman"/>
        </w:rPr>
        <w:tab/>
        <w:t xml:space="preserve">    </w:t>
      </w:r>
      <w:r w:rsidRPr="00462CB4">
        <w:rPr>
          <w:rFonts w:ascii="Times New Roman" w:hAnsi="Times New Roman"/>
        </w:rPr>
        <w:t>0.048</w:t>
      </w:r>
      <w:r w:rsidR="00DF4223"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0.382</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8.14</w:t>
      </w:r>
      <w:r w:rsidRPr="00462CB4">
        <w:rPr>
          <w:rFonts w:ascii="Times New Roman" w:hAnsi="Times New Roman"/>
        </w:rPr>
        <w:tab/>
        <w:t>&lt;0.001</w:t>
      </w:r>
    </w:p>
    <w:p w14:paraId="52D16F5F" w14:textId="77777777" w:rsidR="008E216E" w:rsidRPr="00462CB4" w:rsidRDefault="00000000" w:rsidP="00DF4223">
      <w:pPr>
        <w:pBdr>
          <w:top w:val="single" w:sz="4" w:space="1" w:color="auto"/>
          <w:bottom w:val="single" w:sz="4" w:space="1" w:color="auto"/>
        </w:pBdr>
        <w:spacing w:after="0"/>
        <w:jc w:val="both"/>
        <w:rPr>
          <w:rFonts w:ascii="Times New Roman" w:hAnsi="Times New Roman"/>
        </w:rPr>
      </w:pPr>
      <w:r w:rsidRPr="00462CB4">
        <w:rPr>
          <w:rFonts w:ascii="Times New Roman" w:hAnsi="Times New Roman"/>
        </w:rPr>
        <w:t>Dietary diversity score</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0.317</w:t>
      </w:r>
      <w:r w:rsidRPr="00462CB4">
        <w:rPr>
          <w:rFonts w:ascii="Times New Roman" w:hAnsi="Times New Roman"/>
        </w:rPr>
        <w:tab/>
      </w:r>
      <w:r w:rsidR="00DF4223" w:rsidRPr="00462CB4">
        <w:rPr>
          <w:rFonts w:ascii="Times New Roman" w:hAnsi="Times New Roman"/>
        </w:rPr>
        <w:tab/>
        <w:t xml:space="preserve">    </w:t>
      </w:r>
      <w:r w:rsidRPr="00462CB4">
        <w:rPr>
          <w:rFonts w:ascii="Times New Roman" w:hAnsi="Times New Roman"/>
        </w:rPr>
        <w:t>0.061</w:t>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ab/>
        <w:t>0.294</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5.20</w:t>
      </w:r>
      <w:r w:rsidRPr="00462CB4">
        <w:rPr>
          <w:rFonts w:ascii="Times New Roman" w:hAnsi="Times New Roman"/>
        </w:rPr>
        <w:tab/>
        <w:t>&lt;0.001</w:t>
      </w:r>
    </w:p>
    <w:p w14:paraId="47AA70C5" w14:textId="77777777" w:rsidR="008E216E" w:rsidRPr="00462CB4" w:rsidRDefault="00000000" w:rsidP="00DF4223">
      <w:pPr>
        <w:pBdr>
          <w:top w:val="single" w:sz="4" w:space="1" w:color="auto"/>
          <w:bottom w:val="single" w:sz="4" w:space="1" w:color="auto"/>
        </w:pBdr>
        <w:spacing w:after="0"/>
        <w:jc w:val="both"/>
        <w:rPr>
          <w:rFonts w:ascii="Times New Roman" w:hAnsi="Times New Roman"/>
        </w:rPr>
      </w:pPr>
      <w:r w:rsidRPr="00462CB4">
        <w:rPr>
          <w:rFonts w:ascii="Times New Roman" w:hAnsi="Times New Roman"/>
        </w:rPr>
        <w:t>Age</w:t>
      </w:r>
      <w:r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-0.061</w:t>
      </w:r>
      <w:r w:rsidRPr="00462CB4">
        <w:rPr>
          <w:rFonts w:ascii="Times New Roman" w:hAnsi="Times New Roman"/>
        </w:rPr>
        <w:tab/>
      </w:r>
      <w:r w:rsidR="00DF4223" w:rsidRPr="00462CB4">
        <w:rPr>
          <w:rFonts w:ascii="Times New Roman" w:hAnsi="Times New Roman"/>
        </w:rPr>
        <w:tab/>
        <w:t xml:space="preserve">    </w:t>
      </w:r>
      <w:r w:rsidRPr="00462CB4">
        <w:rPr>
          <w:rFonts w:ascii="Times New Roman" w:hAnsi="Times New Roman"/>
        </w:rPr>
        <w:t>0.039</w:t>
      </w:r>
      <w:r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-0.072</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-1.56</w:t>
      </w:r>
      <w:r w:rsidRPr="00462CB4">
        <w:rPr>
          <w:rFonts w:ascii="Times New Roman" w:hAnsi="Times New Roman"/>
        </w:rPr>
        <w:tab/>
        <w:t>0.121</w:t>
      </w:r>
    </w:p>
    <w:p w14:paraId="70B50690" w14:textId="77777777" w:rsidR="008E216E" w:rsidRPr="00462CB4" w:rsidRDefault="00000000" w:rsidP="00DF4223">
      <w:pPr>
        <w:pBdr>
          <w:top w:val="single" w:sz="4" w:space="1" w:color="auto"/>
          <w:bottom w:val="single" w:sz="4" w:space="1" w:color="auto"/>
        </w:pBdr>
        <w:spacing w:after="0"/>
        <w:jc w:val="both"/>
        <w:rPr>
          <w:rFonts w:ascii="Times New Roman" w:hAnsi="Times New Roman"/>
        </w:rPr>
      </w:pPr>
      <w:r w:rsidRPr="00462CB4">
        <w:rPr>
          <w:rFonts w:ascii="Times New Roman" w:hAnsi="Times New Roman"/>
        </w:rPr>
        <w:t>Sex</w:t>
      </w:r>
      <w:r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0.044</w:t>
      </w:r>
      <w:r w:rsidRPr="00462CB4">
        <w:rPr>
          <w:rFonts w:ascii="Times New Roman" w:hAnsi="Times New Roman"/>
        </w:rPr>
        <w:tab/>
      </w:r>
      <w:r w:rsidR="00DF4223" w:rsidRPr="00462CB4">
        <w:rPr>
          <w:rFonts w:ascii="Times New Roman" w:hAnsi="Times New Roman"/>
        </w:rPr>
        <w:tab/>
        <w:t xml:space="preserve">    </w:t>
      </w:r>
      <w:r w:rsidRPr="00462CB4">
        <w:rPr>
          <w:rFonts w:ascii="Times New Roman" w:hAnsi="Times New Roman"/>
        </w:rPr>
        <w:t>0.035</w:t>
      </w:r>
      <w:r w:rsidR="00DF4223" w:rsidRPr="00462CB4">
        <w:rPr>
          <w:rFonts w:ascii="Times New Roman" w:hAnsi="Times New Roman"/>
        </w:rPr>
        <w:tab/>
      </w:r>
      <w:r w:rsidR="00DF4223" w:rsidRPr="00462CB4">
        <w:rPr>
          <w:rFonts w:ascii="Times New Roman" w:hAnsi="Times New Roman"/>
        </w:rPr>
        <w:tab/>
      </w:r>
      <w:r w:rsidRPr="00462CB4">
        <w:rPr>
          <w:rFonts w:ascii="Times New Roman" w:hAnsi="Times New Roman"/>
        </w:rPr>
        <w:tab/>
        <w:t>0.051</w:t>
      </w:r>
      <w:r w:rsidRPr="00462CB4">
        <w:rPr>
          <w:rFonts w:ascii="Times New Roman" w:hAnsi="Times New Roman"/>
        </w:rPr>
        <w:tab/>
      </w:r>
      <w:r w:rsidR="00DF4223" w:rsidRPr="00462CB4">
        <w:rPr>
          <w:rFonts w:ascii="Times New Roman" w:hAnsi="Times New Roman"/>
        </w:rPr>
        <w:tab/>
      </w:r>
      <w:r w:rsidRPr="00462CB4">
        <w:rPr>
          <w:rFonts w:ascii="Times New Roman" w:hAnsi="Times New Roman"/>
        </w:rPr>
        <w:t>1.26</w:t>
      </w:r>
      <w:r w:rsidRPr="00462CB4">
        <w:rPr>
          <w:rFonts w:ascii="Times New Roman" w:hAnsi="Times New Roman"/>
        </w:rPr>
        <w:tab/>
        <w:t>0.210</w:t>
      </w:r>
    </w:p>
    <w:p w14:paraId="6BC9A9B6" w14:textId="77777777" w:rsidR="008E216E" w:rsidRPr="00AB2403" w:rsidRDefault="008E216E" w:rsidP="00AB2403">
      <w:pPr>
        <w:spacing w:after="0"/>
        <w:jc w:val="both"/>
        <w:rPr>
          <w:rFonts w:ascii="Times New Roman" w:hAnsi="Times New Roman"/>
          <w:sz w:val="24"/>
          <w:szCs w:val="24"/>
        </w:rPr>
      </w:pPr>
    </w:p>
    <w:p w14:paraId="32809E6F" w14:textId="77777777" w:rsidR="008E216E" w:rsidRPr="00DF4223" w:rsidRDefault="00264071" w:rsidP="00AB2403">
      <w:pPr>
        <w:spacing w:after="0"/>
        <w:jc w:val="both"/>
        <w:rPr>
          <w:rFonts w:ascii="Times New Roman" w:hAnsi="Times New Roman"/>
          <w:b/>
          <w:bCs/>
          <w:sz w:val="24"/>
          <w:szCs w:val="24"/>
        </w:rPr>
      </w:pPr>
      <w:r>
        <w:rPr>
          <w:rFonts w:ascii="Times New Roman" w:hAnsi="Times New Roman"/>
          <w:b/>
          <w:bCs/>
          <w:sz w:val="24"/>
          <w:szCs w:val="24"/>
        </w:rPr>
        <w:t xml:space="preserve">Table 5: </w:t>
      </w:r>
      <w:r w:rsidRPr="00DF4223">
        <w:rPr>
          <w:rFonts w:ascii="Times New Roman" w:hAnsi="Times New Roman"/>
          <w:b/>
          <w:bCs/>
          <w:sz w:val="24"/>
          <w:szCs w:val="24"/>
        </w:rPr>
        <w:t>Model Summary</w:t>
      </w:r>
    </w:p>
    <w:p w14:paraId="0B4AD0C9" w14:textId="77777777" w:rsidR="008E216E" w:rsidRPr="00D12757" w:rsidRDefault="00000000" w:rsidP="00D12757">
      <w:pPr>
        <w:pBdr>
          <w:top w:val="single" w:sz="4" w:space="1" w:color="auto"/>
          <w:bottom w:val="single" w:sz="4" w:space="1" w:color="auto"/>
        </w:pBdr>
        <w:spacing w:after="0"/>
        <w:jc w:val="both"/>
        <w:rPr>
          <w:rFonts w:ascii="Times New Roman" w:hAnsi="Times New Roman"/>
          <w:sz w:val="24"/>
          <w:szCs w:val="24"/>
          <w:u w:val="single"/>
        </w:rPr>
      </w:pPr>
      <w:r w:rsidRPr="00D12757">
        <w:rPr>
          <w:rFonts w:ascii="Times New Roman" w:hAnsi="Times New Roman"/>
          <w:sz w:val="24"/>
          <w:szCs w:val="24"/>
          <w:u w:val="single"/>
        </w:rPr>
        <w:t>Statistic</w:t>
      </w:r>
      <w:r w:rsidRPr="00D12757">
        <w:rPr>
          <w:rFonts w:ascii="Times New Roman" w:hAnsi="Times New Roman"/>
          <w:sz w:val="24"/>
          <w:szCs w:val="24"/>
          <w:u w:val="single"/>
        </w:rPr>
        <w:tab/>
        <w:t>Value</w:t>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r w:rsidR="00462CB4">
        <w:rPr>
          <w:rFonts w:ascii="Times New Roman" w:hAnsi="Times New Roman"/>
          <w:sz w:val="24"/>
          <w:szCs w:val="24"/>
          <w:u w:val="single"/>
        </w:rPr>
        <w:tab/>
      </w:r>
    </w:p>
    <w:p w14:paraId="503854EF" w14:textId="77777777" w:rsidR="008E216E" w:rsidRPr="00AB2403" w:rsidRDefault="00000000" w:rsidP="00D12757">
      <w:pPr>
        <w:pBdr>
          <w:top w:val="single" w:sz="4" w:space="1" w:color="auto"/>
          <w:bottom w:val="single" w:sz="4" w:space="1" w:color="auto"/>
        </w:pBdr>
        <w:spacing w:after="0"/>
        <w:jc w:val="both"/>
        <w:rPr>
          <w:rFonts w:ascii="Times New Roman" w:hAnsi="Times New Roman"/>
          <w:sz w:val="24"/>
          <w:szCs w:val="24"/>
        </w:rPr>
      </w:pPr>
      <w:r w:rsidRPr="00AB2403">
        <w:rPr>
          <w:rFonts w:ascii="Times New Roman" w:hAnsi="Times New Roman"/>
          <w:sz w:val="24"/>
          <w:szCs w:val="24"/>
        </w:rPr>
        <w:t>R</w:t>
      </w:r>
      <w:r w:rsidRPr="00AB2403">
        <w:rPr>
          <w:rFonts w:ascii="Times New Roman" w:hAnsi="Times New Roman"/>
          <w:sz w:val="24"/>
          <w:szCs w:val="24"/>
        </w:rPr>
        <w:tab/>
      </w:r>
      <w:r w:rsidR="00DF4223">
        <w:rPr>
          <w:rFonts w:ascii="Times New Roman" w:hAnsi="Times New Roman"/>
          <w:sz w:val="24"/>
          <w:szCs w:val="24"/>
        </w:rPr>
        <w:tab/>
      </w:r>
      <w:r w:rsidRPr="00AB2403">
        <w:rPr>
          <w:rFonts w:ascii="Times New Roman" w:hAnsi="Times New Roman"/>
          <w:sz w:val="24"/>
          <w:szCs w:val="24"/>
        </w:rPr>
        <w:t>0.787</w:t>
      </w:r>
    </w:p>
    <w:p w14:paraId="1C1F2B38" w14:textId="77777777" w:rsidR="008E216E" w:rsidRPr="00AB2403" w:rsidRDefault="00000000" w:rsidP="00D12757">
      <w:pPr>
        <w:pBdr>
          <w:top w:val="single" w:sz="4" w:space="1" w:color="auto"/>
          <w:bottom w:val="single" w:sz="4" w:space="1" w:color="auto"/>
        </w:pBdr>
        <w:spacing w:after="0"/>
        <w:jc w:val="both"/>
        <w:rPr>
          <w:rFonts w:ascii="Times New Roman" w:hAnsi="Times New Roman"/>
          <w:sz w:val="24"/>
          <w:szCs w:val="24"/>
        </w:rPr>
      </w:pPr>
      <w:r w:rsidRPr="00AB2403">
        <w:rPr>
          <w:rFonts w:ascii="Times New Roman" w:hAnsi="Times New Roman"/>
          <w:sz w:val="24"/>
          <w:szCs w:val="24"/>
        </w:rPr>
        <w:t>R²</w:t>
      </w:r>
      <w:r w:rsidRPr="00AB2403">
        <w:rPr>
          <w:rFonts w:ascii="Times New Roman" w:hAnsi="Times New Roman"/>
          <w:sz w:val="24"/>
          <w:szCs w:val="24"/>
        </w:rPr>
        <w:tab/>
      </w:r>
      <w:r w:rsidR="00DF4223">
        <w:rPr>
          <w:rFonts w:ascii="Times New Roman" w:hAnsi="Times New Roman"/>
          <w:sz w:val="24"/>
          <w:szCs w:val="24"/>
        </w:rPr>
        <w:tab/>
      </w:r>
      <w:r w:rsidRPr="00AB2403">
        <w:rPr>
          <w:rFonts w:ascii="Times New Roman" w:hAnsi="Times New Roman"/>
          <w:sz w:val="24"/>
          <w:szCs w:val="24"/>
        </w:rPr>
        <w:t>0.620</w:t>
      </w:r>
    </w:p>
    <w:p w14:paraId="72C9C760" w14:textId="77777777" w:rsidR="008E216E" w:rsidRPr="00AB2403" w:rsidRDefault="00000000" w:rsidP="00D12757">
      <w:pPr>
        <w:pBdr>
          <w:top w:val="single" w:sz="4" w:space="1" w:color="auto"/>
          <w:bottom w:val="single" w:sz="4" w:space="1" w:color="auto"/>
        </w:pBdr>
        <w:spacing w:after="0"/>
        <w:jc w:val="both"/>
        <w:rPr>
          <w:rFonts w:ascii="Times New Roman" w:hAnsi="Times New Roman"/>
          <w:sz w:val="24"/>
          <w:szCs w:val="24"/>
        </w:rPr>
      </w:pPr>
      <w:r w:rsidRPr="00AB2403">
        <w:rPr>
          <w:rFonts w:ascii="Times New Roman" w:hAnsi="Times New Roman"/>
          <w:sz w:val="24"/>
          <w:szCs w:val="24"/>
        </w:rPr>
        <w:t>Adjusted R²</w:t>
      </w:r>
      <w:r w:rsidRPr="00AB2403">
        <w:rPr>
          <w:rFonts w:ascii="Times New Roman" w:hAnsi="Times New Roman"/>
          <w:sz w:val="24"/>
          <w:szCs w:val="24"/>
        </w:rPr>
        <w:tab/>
        <w:t>0.603</w:t>
      </w:r>
    </w:p>
    <w:p w14:paraId="41F2AB61" w14:textId="77777777" w:rsidR="008E216E" w:rsidRPr="00AB2403" w:rsidRDefault="00000000" w:rsidP="00D12757">
      <w:pPr>
        <w:pBdr>
          <w:top w:val="single" w:sz="4" w:space="1" w:color="auto"/>
          <w:bottom w:val="single" w:sz="4" w:space="1" w:color="auto"/>
        </w:pBdr>
        <w:spacing w:after="0"/>
        <w:jc w:val="both"/>
        <w:rPr>
          <w:rFonts w:ascii="Times New Roman" w:hAnsi="Times New Roman"/>
          <w:sz w:val="24"/>
          <w:szCs w:val="24"/>
        </w:rPr>
      </w:pPr>
      <w:r w:rsidRPr="00AB2403">
        <w:rPr>
          <w:rFonts w:ascii="Times New Roman" w:hAnsi="Times New Roman"/>
          <w:sz w:val="24"/>
          <w:szCs w:val="24"/>
        </w:rPr>
        <w:t>F-statistic</w:t>
      </w:r>
      <w:r w:rsidRPr="00AB2403">
        <w:rPr>
          <w:rFonts w:ascii="Times New Roman" w:hAnsi="Times New Roman"/>
          <w:sz w:val="24"/>
          <w:szCs w:val="24"/>
        </w:rPr>
        <w:tab/>
        <w:t>42.18</w:t>
      </w:r>
    </w:p>
    <w:p w14:paraId="15A58BAC" w14:textId="77777777" w:rsidR="008E216E" w:rsidRPr="00AB2403" w:rsidRDefault="00000000" w:rsidP="00D12757">
      <w:pPr>
        <w:pBdr>
          <w:top w:val="single" w:sz="4" w:space="1" w:color="auto"/>
          <w:bottom w:val="single" w:sz="4" w:space="1" w:color="auto"/>
        </w:pBdr>
        <w:spacing w:after="0"/>
        <w:jc w:val="both"/>
        <w:rPr>
          <w:rFonts w:ascii="Times New Roman" w:hAnsi="Times New Roman"/>
          <w:sz w:val="24"/>
          <w:szCs w:val="24"/>
        </w:rPr>
      </w:pPr>
      <w:r w:rsidRPr="00AB2403">
        <w:rPr>
          <w:rFonts w:ascii="Times New Roman" w:hAnsi="Times New Roman"/>
          <w:sz w:val="24"/>
          <w:szCs w:val="24"/>
        </w:rPr>
        <w:t>p-value</w:t>
      </w:r>
      <w:r w:rsidRPr="00AB2403">
        <w:rPr>
          <w:rFonts w:ascii="Times New Roman" w:hAnsi="Times New Roman"/>
          <w:sz w:val="24"/>
          <w:szCs w:val="24"/>
        </w:rPr>
        <w:tab/>
      </w:r>
      <w:r w:rsidR="00DF4223">
        <w:rPr>
          <w:rFonts w:ascii="Times New Roman" w:hAnsi="Times New Roman"/>
          <w:sz w:val="24"/>
          <w:szCs w:val="24"/>
        </w:rPr>
        <w:tab/>
      </w:r>
      <w:r w:rsidRPr="00AB2403">
        <w:rPr>
          <w:rFonts w:ascii="Times New Roman" w:hAnsi="Times New Roman"/>
          <w:sz w:val="24"/>
          <w:szCs w:val="24"/>
        </w:rPr>
        <w:t>&lt;0.001</w:t>
      </w:r>
    </w:p>
    <w:p w14:paraId="0AEBFA63" w14:textId="77777777" w:rsidR="008E216E" w:rsidRPr="008D1618" w:rsidRDefault="00000000" w:rsidP="00AB2403">
      <w:pPr>
        <w:spacing w:after="0"/>
        <w:jc w:val="both"/>
        <w:rPr>
          <w:rFonts w:ascii="Times New Roman" w:hAnsi="Times New Roman"/>
          <w:sz w:val="18"/>
          <w:szCs w:val="18"/>
        </w:rPr>
      </w:pPr>
      <w:r w:rsidRPr="008D1618">
        <w:rPr>
          <w:rFonts w:ascii="Times New Roman" w:hAnsi="Times New Roman"/>
          <w:sz w:val="18"/>
          <w:szCs w:val="18"/>
        </w:rPr>
        <w:lastRenderedPageBreak/>
        <w:t>Dependent Variable: Micronutrient Status Score</w:t>
      </w:r>
    </w:p>
    <w:p w14:paraId="19F16496" w14:textId="77777777" w:rsidR="008E216E" w:rsidRPr="00AB2403" w:rsidRDefault="008E216E" w:rsidP="00AB2403">
      <w:pPr>
        <w:spacing w:after="0"/>
        <w:jc w:val="both"/>
        <w:rPr>
          <w:rFonts w:ascii="Times New Roman" w:hAnsi="Times New Roman"/>
          <w:sz w:val="24"/>
          <w:szCs w:val="24"/>
        </w:rPr>
      </w:pPr>
    </w:p>
    <w:p w14:paraId="5CAC7FF2" w14:textId="77777777" w:rsidR="008E216E" w:rsidRPr="00DF4223" w:rsidRDefault="00000000" w:rsidP="00AB2403">
      <w:pPr>
        <w:spacing w:after="0"/>
        <w:jc w:val="both"/>
        <w:rPr>
          <w:rFonts w:ascii="Times New Roman" w:hAnsi="Times New Roman"/>
          <w:b/>
          <w:bCs/>
          <w:sz w:val="24"/>
          <w:szCs w:val="24"/>
        </w:rPr>
      </w:pPr>
      <w:r w:rsidRPr="00DF4223">
        <w:rPr>
          <w:rFonts w:ascii="Times New Roman" w:hAnsi="Times New Roman"/>
          <w:b/>
          <w:bCs/>
          <w:sz w:val="24"/>
          <w:szCs w:val="24"/>
        </w:rPr>
        <w:t xml:space="preserve">DISCUSSION </w:t>
      </w:r>
    </w:p>
    <w:p w14:paraId="60B53C41" w14:textId="77777777" w:rsidR="008E216E" w:rsidRPr="00DF4223" w:rsidRDefault="00000000" w:rsidP="00AB2403">
      <w:pPr>
        <w:spacing w:after="0"/>
        <w:jc w:val="both"/>
        <w:rPr>
          <w:rFonts w:ascii="Times New Roman" w:hAnsi="Times New Roman"/>
          <w:b/>
          <w:bCs/>
          <w:sz w:val="24"/>
          <w:szCs w:val="24"/>
        </w:rPr>
      </w:pPr>
      <w:r w:rsidRPr="00DF4223">
        <w:rPr>
          <w:rFonts w:ascii="Times New Roman" w:hAnsi="Times New Roman"/>
          <w:b/>
          <w:bCs/>
          <w:sz w:val="24"/>
          <w:szCs w:val="24"/>
        </w:rPr>
        <w:t>Anthropometric Measurements</w:t>
      </w:r>
    </w:p>
    <w:p w14:paraId="23D5858C"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The present study demonstrated modest but statistically significant improvements in anthropometric indicators following the 12-week nutrition intervention. Mean body weight, body mass index (BMI), and waist circumference decreased significantly among participants in the intervention group, whereas no meaningful changes were observed in the control group</w:t>
      </w:r>
      <w:r w:rsidR="00264071">
        <w:rPr>
          <w:rFonts w:ascii="Times New Roman" w:hAnsi="Times New Roman"/>
          <w:sz w:val="24"/>
          <w:szCs w:val="24"/>
        </w:rPr>
        <w:t xml:space="preserve"> </w:t>
      </w:r>
      <w:r>
        <w:rPr>
          <w:rFonts w:ascii="Times New Roman" w:hAnsi="Times New Roman"/>
          <w:sz w:val="24"/>
          <w:szCs w:val="24"/>
          <w:highlight w:val="yellow"/>
        </w:rPr>
        <w:t>(Table 1)</w:t>
      </w:r>
      <w:r w:rsidRPr="00AB2403">
        <w:rPr>
          <w:rFonts w:ascii="Times New Roman" w:hAnsi="Times New Roman"/>
          <w:sz w:val="24"/>
          <w:szCs w:val="24"/>
        </w:rPr>
        <w:t xml:space="preserve">. These findings suggest that nutrition education, complemented by micronutrient supplementation, promoted healthier dietary </w:t>
      </w:r>
      <w:proofErr w:type="spellStart"/>
      <w:r w:rsidRPr="00AB2403">
        <w:rPr>
          <w:rFonts w:ascii="Times New Roman" w:hAnsi="Times New Roman"/>
          <w:sz w:val="24"/>
          <w:szCs w:val="24"/>
        </w:rPr>
        <w:t>behaviours</w:t>
      </w:r>
      <w:proofErr w:type="spellEnd"/>
      <w:r w:rsidRPr="00AB2403">
        <w:rPr>
          <w:rFonts w:ascii="Times New Roman" w:hAnsi="Times New Roman"/>
          <w:sz w:val="24"/>
          <w:szCs w:val="24"/>
        </w:rPr>
        <w:t xml:space="preserve"> that positively influenced body composition.</w:t>
      </w:r>
    </w:p>
    <w:p w14:paraId="51710FF8" w14:textId="77777777" w:rsidR="008E216E" w:rsidRDefault="00000000" w:rsidP="00AB2403">
      <w:pPr>
        <w:spacing w:after="0"/>
        <w:jc w:val="both"/>
        <w:rPr>
          <w:rFonts w:ascii="Times New Roman" w:hAnsi="Times New Roman"/>
          <w:color w:val="000000"/>
          <w:sz w:val="24"/>
          <w:szCs w:val="24"/>
        </w:rPr>
      </w:pPr>
      <w:r>
        <w:rPr>
          <w:rFonts w:ascii="Times New Roman" w:hAnsi="Times New Roman"/>
          <w:color w:val="000000"/>
          <w:sz w:val="24"/>
          <w:szCs w:val="24"/>
        </w:rPr>
        <w:t xml:space="preserve">The reduction in BMI observed in this study is consistent with findings reported by Hall </w:t>
      </w:r>
      <w:r w:rsidR="00AB2403">
        <w:rPr>
          <w:rFonts w:ascii="Times New Roman" w:hAnsi="Times New Roman"/>
          <w:i/>
          <w:iCs/>
          <w:color w:val="000000"/>
          <w:sz w:val="24"/>
          <w:szCs w:val="24"/>
          <w:highlight w:val="yellow"/>
        </w:rPr>
        <w:t>et al.</w:t>
      </w:r>
      <w:r>
        <w:rPr>
          <w:rFonts w:ascii="Times New Roman" w:hAnsi="Times New Roman"/>
          <w:color w:val="000000"/>
          <w:sz w:val="24"/>
          <w:szCs w:val="24"/>
        </w:rPr>
        <w:t xml:space="preserve"> (2019), who demonstrated that reducing the consumption of ultra-processed foods and increasing the intake of nutrient-dense foods significantly improved body weight and metabolic outcomes. Similarly, Cena and Calder (2020) emphasized that adherence to healthy dietary patterns contributes to optimal body weight and reduces the risk of obesity and diet-related chronic diseases.</w:t>
      </w:r>
    </w:p>
    <w:p w14:paraId="797E7B33" w14:textId="26EB3C03" w:rsidR="00991892" w:rsidRPr="00264071" w:rsidRDefault="00000000" w:rsidP="00991892">
      <w:pPr>
        <w:spacing w:after="0"/>
        <w:jc w:val="both"/>
        <w:rPr>
          <w:rFonts w:ascii="Times New Roman" w:hAnsi="Times New Roman"/>
          <w:sz w:val="24"/>
          <w:szCs w:val="24"/>
        </w:rPr>
      </w:pPr>
      <w:r w:rsidRPr="00264071">
        <w:rPr>
          <w:rFonts w:ascii="Times New Roman" w:hAnsi="Times New Roman"/>
          <w:sz w:val="24"/>
          <w:szCs w:val="24"/>
        </w:rPr>
        <w:t>The significant reduction in waist circumference is clinically important because central obesity is an established risk factor for cardiovascular disease, hypertension, insulin resistance, and type 2 diabetes mellitus (</w:t>
      </w:r>
      <w:r w:rsidR="00D924DD" w:rsidRPr="00264071">
        <w:rPr>
          <w:rFonts w:ascii="Times New Roman" w:hAnsi="Times New Roman"/>
          <w:color w:val="000000"/>
          <w:sz w:val="24"/>
          <w:szCs w:val="24"/>
        </w:rPr>
        <w:t xml:space="preserve">Powell-Wiley </w:t>
      </w:r>
      <w:r w:rsidR="00D924DD" w:rsidRPr="00996AF0">
        <w:rPr>
          <w:rFonts w:ascii="Times New Roman" w:hAnsi="Times New Roman"/>
          <w:i/>
          <w:iCs/>
          <w:color w:val="000000"/>
          <w:sz w:val="24"/>
          <w:szCs w:val="24"/>
          <w:highlight w:val="yellow"/>
        </w:rPr>
        <w:t>et al.,</w:t>
      </w:r>
      <w:r w:rsidR="00D924DD" w:rsidRPr="00264071">
        <w:rPr>
          <w:rFonts w:ascii="Times New Roman" w:hAnsi="Times New Roman"/>
          <w:color w:val="000000"/>
          <w:sz w:val="24"/>
          <w:szCs w:val="24"/>
        </w:rPr>
        <w:t xml:space="preserve"> 2021; </w:t>
      </w:r>
      <w:proofErr w:type="spellStart"/>
      <w:r w:rsidR="004538B5" w:rsidRPr="00264071">
        <w:rPr>
          <w:rFonts w:ascii="Times New Roman" w:hAnsi="Times New Roman"/>
          <w:color w:val="000000"/>
          <w:sz w:val="24"/>
          <w:szCs w:val="24"/>
        </w:rPr>
        <w:t>Jayedi</w:t>
      </w:r>
      <w:proofErr w:type="spellEnd"/>
      <w:r w:rsidR="004538B5" w:rsidRPr="00264071">
        <w:rPr>
          <w:rFonts w:ascii="Times New Roman" w:hAnsi="Times New Roman"/>
          <w:color w:val="000000"/>
          <w:sz w:val="24"/>
          <w:szCs w:val="24"/>
        </w:rPr>
        <w:t xml:space="preserve"> </w:t>
      </w:r>
      <w:r w:rsidR="004538B5" w:rsidRPr="00996AF0">
        <w:rPr>
          <w:rFonts w:ascii="Times New Roman" w:hAnsi="Times New Roman"/>
          <w:i/>
          <w:iCs/>
          <w:color w:val="000000"/>
          <w:sz w:val="24"/>
          <w:szCs w:val="24"/>
          <w:highlight w:val="yellow"/>
        </w:rPr>
        <w:t>et al.,</w:t>
      </w:r>
      <w:r w:rsidR="004538B5" w:rsidRPr="00264071">
        <w:rPr>
          <w:rFonts w:ascii="Times New Roman" w:hAnsi="Times New Roman"/>
          <w:color w:val="000000"/>
          <w:sz w:val="24"/>
          <w:szCs w:val="24"/>
        </w:rPr>
        <w:t xml:space="preserve"> 202</w:t>
      </w:r>
      <w:r w:rsidR="001D653F">
        <w:rPr>
          <w:rFonts w:ascii="Times New Roman" w:hAnsi="Times New Roman"/>
          <w:color w:val="000000"/>
          <w:sz w:val="24"/>
          <w:szCs w:val="24"/>
        </w:rPr>
        <w:t>0</w:t>
      </w:r>
      <w:r w:rsidR="004538B5" w:rsidRPr="00264071">
        <w:rPr>
          <w:rFonts w:ascii="Times New Roman" w:hAnsi="Times New Roman"/>
          <w:color w:val="000000"/>
          <w:sz w:val="24"/>
          <w:szCs w:val="24"/>
        </w:rPr>
        <w:t>).</w:t>
      </w:r>
      <w:r w:rsidR="00264071" w:rsidRPr="00264071">
        <w:rPr>
          <w:rFonts w:ascii="Times New Roman" w:hAnsi="Times New Roman"/>
          <w:sz w:val="24"/>
          <w:szCs w:val="24"/>
        </w:rPr>
        <w:t xml:space="preserve"> </w:t>
      </w:r>
      <w:r w:rsidR="00991892" w:rsidRPr="00264071">
        <w:rPr>
          <w:rFonts w:ascii="Times New Roman" w:hAnsi="Times New Roman"/>
          <w:color w:val="000000"/>
          <w:sz w:val="24"/>
          <w:szCs w:val="24"/>
        </w:rPr>
        <w:t xml:space="preserve">Improvements in waist circumference following dietary interventions have also been reported in previous studies. Improvements in overall diet quality and greater consumption of fruits, vegetables, and whole grains have been associated with less weight gain and more </w:t>
      </w:r>
      <w:r>
        <w:rPr>
          <w:rFonts w:ascii="Times New Roman" w:hAnsi="Times New Roman"/>
          <w:color w:val="000000"/>
          <w:sz w:val="24"/>
          <w:szCs w:val="24"/>
          <w:highlight w:val="yellow"/>
        </w:rPr>
        <w:t>favourable</w:t>
      </w:r>
      <w:r>
        <w:rPr>
          <w:rFonts w:ascii="Times New Roman" w:hAnsi="Times New Roman"/>
          <w:color w:val="000000"/>
          <w:sz w:val="24"/>
          <w:szCs w:val="24"/>
        </w:rPr>
        <w:t xml:space="preserve"> changes in waist circumference (</w:t>
      </w:r>
      <w:r w:rsidR="001D653F" w:rsidRPr="001D653F">
        <w:rPr>
          <w:rFonts w:ascii="Times New Roman" w:hAnsi="Times New Roman"/>
          <w:color w:val="000000"/>
          <w:sz w:val="24"/>
          <w:szCs w:val="24"/>
        </w:rPr>
        <w:t xml:space="preserve">Angulo </w:t>
      </w:r>
      <w:r w:rsidR="00991892" w:rsidRPr="00996AF0">
        <w:rPr>
          <w:rFonts w:ascii="Times New Roman" w:hAnsi="Times New Roman"/>
          <w:i/>
          <w:iCs/>
          <w:color w:val="000000"/>
          <w:sz w:val="24"/>
          <w:szCs w:val="24"/>
        </w:rPr>
        <w:t>et al.,</w:t>
      </w:r>
      <w:r w:rsidR="00991892" w:rsidRPr="00264071">
        <w:rPr>
          <w:rFonts w:ascii="Times New Roman" w:hAnsi="Times New Roman"/>
          <w:color w:val="000000"/>
          <w:sz w:val="24"/>
          <w:szCs w:val="24"/>
        </w:rPr>
        <w:t xml:space="preserve"> 2021; Miller </w:t>
      </w:r>
      <w:r w:rsidR="00991892" w:rsidRPr="00996AF0">
        <w:rPr>
          <w:rFonts w:ascii="Times New Roman" w:hAnsi="Times New Roman"/>
          <w:i/>
          <w:iCs/>
          <w:color w:val="000000"/>
          <w:sz w:val="24"/>
          <w:szCs w:val="24"/>
        </w:rPr>
        <w:t>et al.,</w:t>
      </w:r>
      <w:r w:rsidR="00991892" w:rsidRPr="00264071">
        <w:rPr>
          <w:rFonts w:ascii="Times New Roman" w:hAnsi="Times New Roman"/>
          <w:color w:val="000000"/>
          <w:sz w:val="24"/>
          <w:szCs w:val="24"/>
        </w:rPr>
        <w:t xml:space="preserve"> 2022). Although Mid-Upper Arm Circumference (MUAC) did not change significantly, the stability of MUAC may indicate that the intervention did not produce substantial changes in upper-arm tissue stores during the study period. MUAC is an anthropometric measure used to assess body size and nutritional status, although its interpretation depends on the population and context in which it is applied (de Onis </w:t>
      </w:r>
      <w:r w:rsidR="00991892" w:rsidRPr="00996AF0">
        <w:rPr>
          <w:rFonts w:ascii="Times New Roman" w:hAnsi="Times New Roman"/>
          <w:i/>
          <w:iCs/>
          <w:color w:val="000000"/>
          <w:sz w:val="24"/>
          <w:szCs w:val="24"/>
        </w:rPr>
        <w:t>et al.,</w:t>
      </w:r>
      <w:r w:rsidR="00991892" w:rsidRPr="00264071">
        <w:rPr>
          <w:rFonts w:ascii="Times New Roman" w:hAnsi="Times New Roman"/>
          <w:color w:val="000000"/>
          <w:sz w:val="24"/>
          <w:szCs w:val="24"/>
        </w:rPr>
        <w:t xml:space="preserve"> 2004).</w:t>
      </w:r>
    </w:p>
    <w:p w14:paraId="04495921" w14:textId="77777777" w:rsidR="008E216E" w:rsidRPr="00AB2403" w:rsidRDefault="008E216E" w:rsidP="00AB2403">
      <w:pPr>
        <w:spacing w:after="0"/>
        <w:jc w:val="both"/>
        <w:rPr>
          <w:rFonts w:ascii="Times New Roman" w:hAnsi="Times New Roman"/>
          <w:sz w:val="24"/>
          <w:szCs w:val="24"/>
        </w:rPr>
      </w:pPr>
    </w:p>
    <w:p w14:paraId="0CECF55F" w14:textId="77777777" w:rsidR="008E216E" w:rsidRPr="00DF4223" w:rsidRDefault="00000000" w:rsidP="00AB2403">
      <w:pPr>
        <w:spacing w:after="0"/>
        <w:jc w:val="both"/>
        <w:rPr>
          <w:rFonts w:ascii="Times New Roman" w:hAnsi="Times New Roman"/>
          <w:b/>
          <w:bCs/>
          <w:sz w:val="24"/>
          <w:szCs w:val="24"/>
        </w:rPr>
      </w:pPr>
      <w:r w:rsidRPr="00DF4223">
        <w:rPr>
          <w:rFonts w:ascii="Times New Roman" w:hAnsi="Times New Roman"/>
          <w:b/>
          <w:bCs/>
          <w:sz w:val="24"/>
          <w:szCs w:val="24"/>
        </w:rPr>
        <w:t>Biochemical Assessment</w:t>
      </w:r>
    </w:p>
    <w:p w14:paraId="798E01B1"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One of the most important findings of this study was the significant improvement in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serum vitamin A, serum iron, and serum zinc following the intervention</w:t>
      </w:r>
      <w:r w:rsidR="00264071">
        <w:rPr>
          <w:rFonts w:ascii="Times New Roman" w:hAnsi="Times New Roman"/>
          <w:sz w:val="24"/>
          <w:szCs w:val="24"/>
        </w:rPr>
        <w:t xml:space="preserve"> </w:t>
      </w:r>
      <w:r>
        <w:rPr>
          <w:rFonts w:ascii="Times New Roman" w:hAnsi="Times New Roman"/>
          <w:sz w:val="24"/>
          <w:szCs w:val="24"/>
          <w:highlight w:val="yellow"/>
        </w:rPr>
        <w:t>(Table 2)</w:t>
      </w:r>
      <w:r w:rsidRPr="00AB2403">
        <w:rPr>
          <w:rFonts w:ascii="Times New Roman" w:hAnsi="Times New Roman"/>
          <w:sz w:val="24"/>
          <w:szCs w:val="24"/>
        </w:rPr>
        <w:t>. These improvements demonstrate the effectiveness of combining micronutrient supplementation with nutrition education in correcting subclinical micronutrient deficiencies.</w:t>
      </w:r>
    </w:p>
    <w:p w14:paraId="57E3EEBE" w14:textId="66A4E8F2"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The increase in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suggests improved iron status and a reduced risk of nutritional </w:t>
      </w:r>
      <w:proofErr w:type="spellStart"/>
      <w:r w:rsidRPr="00AB2403">
        <w:rPr>
          <w:rFonts w:ascii="Times New Roman" w:hAnsi="Times New Roman"/>
          <w:sz w:val="24"/>
          <w:szCs w:val="24"/>
        </w:rPr>
        <w:t>anaemia</w:t>
      </w:r>
      <w:proofErr w:type="spellEnd"/>
      <w:r w:rsidRPr="00AB2403">
        <w:rPr>
          <w:rFonts w:ascii="Times New Roman" w:hAnsi="Times New Roman"/>
          <w:sz w:val="24"/>
          <w:szCs w:val="24"/>
        </w:rPr>
        <w:t xml:space="preserve">. This finding agrees with Pasricha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(2021), who reported that iron supplementation significantly improves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and iron stores among adults with iron deficiency. Similarly, WHO (</w:t>
      </w:r>
      <w:r w:rsidR="001D653F">
        <w:rPr>
          <w:rFonts w:ascii="Times New Roman" w:hAnsi="Times New Roman"/>
          <w:sz w:val="24"/>
          <w:szCs w:val="24"/>
        </w:rPr>
        <w:t>n.d.</w:t>
      </w:r>
      <w:r w:rsidRPr="00AB2403">
        <w:rPr>
          <w:rFonts w:ascii="Times New Roman" w:hAnsi="Times New Roman"/>
          <w:sz w:val="24"/>
          <w:szCs w:val="24"/>
        </w:rPr>
        <w:t xml:space="preserve">) recognizes iron supplementation as one of the most effective interventions for reducing iron-deficiency </w:t>
      </w:r>
      <w:proofErr w:type="spellStart"/>
      <w:r w:rsidRPr="00AB2403">
        <w:rPr>
          <w:rFonts w:ascii="Times New Roman" w:hAnsi="Times New Roman"/>
          <w:sz w:val="24"/>
          <w:szCs w:val="24"/>
        </w:rPr>
        <w:t>anaemia</w:t>
      </w:r>
      <w:proofErr w:type="spellEnd"/>
      <w:r w:rsidRPr="00AB2403">
        <w:rPr>
          <w:rFonts w:ascii="Times New Roman" w:hAnsi="Times New Roman"/>
          <w:sz w:val="24"/>
          <w:szCs w:val="24"/>
        </w:rPr>
        <w:t>, particularly in vulnerable populations.</w:t>
      </w:r>
    </w:p>
    <w:p w14:paraId="5E4ACA36" w14:textId="730C819E"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lastRenderedPageBreak/>
        <w:t xml:space="preserve">The observed improvement in serum vitamin A concentration further supports the effectiveness of the intervention. Vitamin A plays a vital role in vision, immune function, epithelial integrity, and normal growth (WHO, </w:t>
      </w:r>
      <w:r w:rsidR="001D653F">
        <w:rPr>
          <w:rFonts w:ascii="Times New Roman" w:hAnsi="Times New Roman"/>
          <w:sz w:val="24"/>
          <w:szCs w:val="24"/>
        </w:rPr>
        <w:t>n.d.</w:t>
      </w:r>
      <w:r w:rsidRPr="00AB2403">
        <w:rPr>
          <w:rFonts w:ascii="Times New Roman" w:hAnsi="Times New Roman"/>
          <w:sz w:val="24"/>
          <w:szCs w:val="24"/>
        </w:rPr>
        <w:t xml:space="preserve">). Berger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(2022) reported that vitamin A supplementation, when combined with increased dietary intake of vitamin A-rich foods, significantly improves serum retinol concentrations and reduces the risk of deficiency.</w:t>
      </w:r>
    </w:p>
    <w:p w14:paraId="763C55A0"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Serum zinc concentration also increased significantly following the intervention. Zinc is involved in numerous enzymatic reactions, immune function, wound healing, DNA synthesis, and cellular growth</w:t>
      </w:r>
      <w:r w:rsidR="00F20631">
        <w:rPr>
          <w:rFonts w:ascii="Times New Roman" w:hAnsi="Times New Roman"/>
          <w:sz w:val="24"/>
          <w:szCs w:val="24"/>
        </w:rPr>
        <w:t xml:space="preserve"> (Costa </w:t>
      </w:r>
      <w:r w:rsidR="00F20631" w:rsidRPr="00996AF0">
        <w:rPr>
          <w:rFonts w:ascii="Times New Roman" w:hAnsi="Times New Roman"/>
          <w:i/>
          <w:iCs/>
          <w:sz w:val="24"/>
          <w:szCs w:val="24"/>
          <w:highlight w:val="yellow"/>
        </w:rPr>
        <w:t>et al.,</w:t>
      </w:r>
      <w:r w:rsidR="00F20631">
        <w:rPr>
          <w:rFonts w:ascii="Times New Roman" w:hAnsi="Times New Roman"/>
          <w:sz w:val="24"/>
          <w:szCs w:val="24"/>
        </w:rPr>
        <w:t xml:space="preserve"> 2023).</w:t>
      </w:r>
      <w:r w:rsidRPr="00AB2403">
        <w:rPr>
          <w:rFonts w:ascii="Times New Roman" w:hAnsi="Times New Roman"/>
          <w:sz w:val="24"/>
          <w:szCs w:val="24"/>
        </w:rPr>
        <w:t xml:space="preserve"> The improvement observed in the present study is consistent with findings by Berger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(2022), who highlighted zinc supplementation as an effective strategy for improving immune competence and nutritional status among adults.</w:t>
      </w:r>
    </w:p>
    <w:p w14:paraId="03ADDD6E"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Collectively, these biochemical findings indicate that the intervention successfully improved participants' micronutrient status through both enhanced dietary intake and direct supplementation.</w:t>
      </w:r>
    </w:p>
    <w:p w14:paraId="401473A4" w14:textId="77777777" w:rsidR="00264071" w:rsidRDefault="00264071" w:rsidP="00AB2403">
      <w:pPr>
        <w:spacing w:after="0"/>
        <w:jc w:val="both"/>
        <w:rPr>
          <w:rFonts w:ascii="Times New Roman" w:hAnsi="Times New Roman"/>
          <w:b/>
          <w:bCs/>
          <w:sz w:val="24"/>
          <w:szCs w:val="24"/>
        </w:rPr>
      </w:pPr>
    </w:p>
    <w:p w14:paraId="6BA53AA2" w14:textId="77777777" w:rsidR="008E216E" w:rsidRPr="00D12757" w:rsidRDefault="00000000" w:rsidP="00AB2403">
      <w:pPr>
        <w:spacing w:after="0"/>
        <w:jc w:val="both"/>
        <w:rPr>
          <w:rFonts w:ascii="Times New Roman" w:hAnsi="Times New Roman"/>
          <w:b/>
          <w:bCs/>
          <w:sz w:val="24"/>
          <w:szCs w:val="24"/>
        </w:rPr>
      </w:pPr>
      <w:r w:rsidRPr="00D12757">
        <w:rPr>
          <w:rFonts w:ascii="Times New Roman" w:hAnsi="Times New Roman"/>
          <w:b/>
          <w:bCs/>
          <w:sz w:val="24"/>
          <w:szCs w:val="24"/>
        </w:rPr>
        <w:t xml:space="preserve">Association Between Nutrition Knowledge and Dietary </w:t>
      </w:r>
      <w:proofErr w:type="spellStart"/>
      <w:r w:rsidRPr="00D12757">
        <w:rPr>
          <w:rFonts w:ascii="Times New Roman" w:hAnsi="Times New Roman"/>
          <w:b/>
          <w:bCs/>
          <w:sz w:val="24"/>
          <w:szCs w:val="24"/>
        </w:rPr>
        <w:t>Behaviour</w:t>
      </w:r>
      <w:proofErr w:type="spellEnd"/>
    </w:p>
    <w:p w14:paraId="3CC753CF"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The present study demonstrated significant associations between nutrition knowledge and healthier dietary </w:t>
      </w:r>
      <w:proofErr w:type="spellStart"/>
      <w:r w:rsidRPr="00AB2403">
        <w:rPr>
          <w:rFonts w:ascii="Times New Roman" w:hAnsi="Times New Roman"/>
          <w:sz w:val="24"/>
          <w:szCs w:val="24"/>
        </w:rPr>
        <w:t>behaviours</w:t>
      </w:r>
      <w:proofErr w:type="spellEnd"/>
      <w:r w:rsidR="00264071">
        <w:rPr>
          <w:rFonts w:ascii="Times New Roman" w:hAnsi="Times New Roman"/>
          <w:sz w:val="24"/>
          <w:szCs w:val="24"/>
        </w:rPr>
        <w:t xml:space="preserve"> </w:t>
      </w:r>
      <w:r>
        <w:rPr>
          <w:rFonts w:ascii="Times New Roman" w:hAnsi="Times New Roman"/>
          <w:sz w:val="24"/>
          <w:szCs w:val="24"/>
          <w:highlight w:val="yellow"/>
        </w:rPr>
        <w:t>(Table 3)</w:t>
      </w:r>
      <w:r w:rsidRPr="00AB2403">
        <w:rPr>
          <w:rFonts w:ascii="Times New Roman" w:hAnsi="Times New Roman"/>
          <w:sz w:val="24"/>
          <w:szCs w:val="24"/>
        </w:rPr>
        <w:t>. Participants with higher nutrition knowledge scores consumed fruits and vegetables more frequently and reported lower consumption of fast foods and sugar-sweetened beverages.</w:t>
      </w:r>
    </w:p>
    <w:p w14:paraId="45E708E3"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This finding supports the widely accepted concept that nutrition knowledge is a major determinant of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w:t>
      </w:r>
      <w:r>
        <w:rPr>
          <w:rFonts w:ascii="Times New Roman" w:hAnsi="Times New Roman"/>
          <w:color w:val="000000"/>
          <w:sz w:val="24"/>
          <w:szCs w:val="24"/>
        </w:rPr>
        <w:t>(Contento, 2016</w:t>
      </w:r>
      <w:r w:rsidR="00036E72">
        <w:rPr>
          <w:rFonts w:ascii="Times New Roman" w:hAnsi="Times New Roman"/>
          <w:color w:val="000000"/>
          <w:sz w:val="24"/>
          <w:szCs w:val="24"/>
        </w:rPr>
        <w:t xml:space="preserve">; Gupta </w:t>
      </w:r>
      <w:r w:rsidR="00036E72" w:rsidRPr="00996AF0">
        <w:rPr>
          <w:rFonts w:ascii="Times New Roman" w:hAnsi="Times New Roman"/>
          <w:i/>
          <w:iCs/>
          <w:color w:val="000000"/>
          <w:sz w:val="24"/>
          <w:szCs w:val="24"/>
          <w:highlight w:val="yellow"/>
        </w:rPr>
        <w:t>et al.,</w:t>
      </w:r>
      <w:r w:rsidR="00036E72">
        <w:rPr>
          <w:rFonts w:ascii="Times New Roman" w:hAnsi="Times New Roman"/>
          <w:color w:val="000000"/>
          <w:sz w:val="24"/>
          <w:szCs w:val="24"/>
        </w:rPr>
        <w:t xml:space="preserve"> 20</w:t>
      </w:r>
      <w:r w:rsidR="00700682">
        <w:rPr>
          <w:rFonts w:ascii="Times New Roman" w:hAnsi="Times New Roman"/>
          <w:color w:val="000000"/>
          <w:sz w:val="24"/>
          <w:szCs w:val="24"/>
        </w:rPr>
        <w:t>1</w:t>
      </w:r>
      <w:r w:rsidR="00036E72">
        <w:rPr>
          <w:rFonts w:ascii="Times New Roman" w:hAnsi="Times New Roman"/>
          <w:color w:val="000000"/>
          <w:sz w:val="24"/>
          <w:szCs w:val="24"/>
        </w:rPr>
        <w:t>8</w:t>
      </w:r>
      <w:r>
        <w:rPr>
          <w:rFonts w:ascii="Times New Roman" w:hAnsi="Times New Roman"/>
          <w:color w:val="000000"/>
          <w:sz w:val="24"/>
          <w:szCs w:val="24"/>
        </w:rPr>
        <w:t>).</w:t>
      </w:r>
      <w:r w:rsidRPr="00AB2403">
        <w:rPr>
          <w:rFonts w:ascii="Times New Roman" w:hAnsi="Times New Roman"/>
          <w:sz w:val="24"/>
          <w:szCs w:val="24"/>
        </w:rPr>
        <w:t xml:space="preserve"> Individuals who understand the health benefits of balanced diets are more likely to make healthier food choices than those with limited nutritional awareness.</w:t>
      </w:r>
    </w:p>
    <w:p w14:paraId="4B4CBA64" w14:textId="77777777" w:rsidR="00264071"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Similar relationships have been reported by Spronk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(2014), who found positive associations between nutrition knowledge and diet quality among university students. Likewise, </w:t>
      </w:r>
      <w:r>
        <w:rPr>
          <w:rFonts w:ascii="Times New Roman" w:hAnsi="Times New Roman"/>
          <w:sz w:val="24"/>
          <w:szCs w:val="24"/>
          <w:highlight w:val="yellow"/>
        </w:rPr>
        <w:t>Li</w:t>
      </w:r>
      <w:r w:rsidRPr="00AB2403">
        <w:rPr>
          <w:rFonts w:ascii="Times New Roman" w:hAnsi="Times New Roman"/>
          <w:sz w:val="24"/>
          <w:szCs w:val="24"/>
        </w:rPr>
        <w:t xml:space="preserve">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w:t>
      </w:r>
      <w:r>
        <w:rPr>
          <w:rFonts w:ascii="Times New Roman" w:hAnsi="Times New Roman"/>
          <w:sz w:val="24"/>
          <w:szCs w:val="24"/>
          <w:highlight w:val="yellow"/>
        </w:rPr>
        <w:t>(2019)</w:t>
      </w:r>
      <w:r>
        <w:rPr>
          <w:rFonts w:ascii="Times New Roman" w:hAnsi="Times New Roman"/>
          <w:sz w:val="24"/>
          <w:szCs w:val="24"/>
        </w:rPr>
        <w:t xml:space="preserve"> concluded that nutrition education significantly improves both nutrition knowledge and dietary </w:t>
      </w:r>
      <w:proofErr w:type="spellStart"/>
      <w:r w:rsidRPr="00AB2403">
        <w:rPr>
          <w:rFonts w:ascii="Times New Roman" w:hAnsi="Times New Roman"/>
          <w:sz w:val="24"/>
          <w:szCs w:val="24"/>
        </w:rPr>
        <w:t>behaviour</w:t>
      </w:r>
      <w:proofErr w:type="spellEnd"/>
      <w:r w:rsidRPr="00AB2403">
        <w:rPr>
          <w:rFonts w:ascii="Times New Roman" w:hAnsi="Times New Roman"/>
          <w:sz w:val="24"/>
          <w:szCs w:val="24"/>
        </w:rPr>
        <w:t xml:space="preserve"> across different population groups.</w:t>
      </w:r>
    </w:p>
    <w:p w14:paraId="59976492" w14:textId="77777777" w:rsidR="00264071" w:rsidRDefault="00264071" w:rsidP="00AB2403">
      <w:pPr>
        <w:spacing w:after="0"/>
        <w:jc w:val="both"/>
        <w:rPr>
          <w:rFonts w:ascii="Times New Roman" w:hAnsi="Times New Roman"/>
          <w:sz w:val="24"/>
          <w:szCs w:val="24"/>
        </w:rPr>
      </w:pPr>
    </w:p>
    <w:p w14:paraId="1FFA1181" w14:textId="77777777" w:rsidR="00264071" w:rsidRPr="00264071" w:rsidRDefault="00000000" w:rsidP="00264071">
      <w:pPr>
        <w:spacing w:after="0"/>
        <w:jc w:val="both"/>
        <w:rPr>
          <w:rFonts w:ascii="Times New Roman" w:hAnsi="Times New Roman"/>
          <w:b/>
          <w:bCs/>
          <w:sz w:val="24"/>
          <w:szCs w:val="24"/>
        </w:rPr>
      </w:pPr>
      <w:r w:rsidRPr="00264071">
        <w:rPr>
          <w:rFonts w:ascii="Times New Roman" w:hAnsi="Times New Roman"/>
          <w:b/>
          <w:bCs/>
          <w:sz w:val="24"/>
          <w:szCs w:val="24"/>
        </w:rPr>
        <w:t>Correlation Between Dietary Diversity and Micronutrient Status</w:t>
      </w:r>
    </w:p>
    <w:p w14:paraId="577E3AE2" w14:textId="77777777" w:rsidR="00036E72" w:rsidRPr="00264071" w:rsidRDefault="00036E72" w:rsidP="00264071">
      <w:pPr>
        <w:spacing w:after="0"/>
        <w:jc w:val="both"/>
        <w:rPr>
          <w:rFonts w:ascii="Times New Roman" w:hAnsi="Times New Roman"/>
          <w:sz w:val="24"/>
          <w:szCs w:val="24"/>
        </w:rPr>
      </w:pPr>
      <w:r w:rsidRPr="00264071">
        <w:rPr>
          <w:rFonts w:ascii="Times New Roman" w:hAnsi="Times New Roman"/>
          <w:color w:val="000000"/>
          <w:sz w:val="24"/>
          <w:szCs w:val="24"/>
        </w:rPr>
        <w:t xml:space="preserve">The positive correlations observed between dietary diversity and </w:t>
      </w:r>
      <w:proofErr w:type="spellStart"/>
      <w:r w:rsidRPr="00264071">
        <w:rPr>
          <w:rFonts w:ascii="Times New Roman" w:hAnsi="Times New Roman"/>
          <w:color w:val="000000"/>
          <w:sz w:val="24"/>
          <w:szCs w:val="24"/>
        </w:rPr>
        <w:t>haemoglobin</w:t>
      </w:r>
      <w:proofErr w:type="spellEnd"/>
      <w:r w:rsidRPr="00264071">
        <w:rPr>
          <w:rFonts w:ascii="Times New Roman" w:hAnsi="Times New Roman"/>
          <w:color w:val="000000"/>
          <w:sz w:val="24"/>
          <w:szCs w:val="24"/>
        </w:rPr>
        <w:t xml:space="preserve"> concentration, serum vitamin A, and serum zinc indicate that participants consuming more diverse diets achieved better micronutrient status</w:t>
      </w:r>
      <w:r w:rsidR="003210E4">
        <w:rPr>
          <w:rFonts w:ascii="Times New Roman" w:hAnsi="Times New Roman"/>
          <w:color w:val="000000"/>
          <w:sz w:val="24"/>
          <w:szCs w:val="24"/>
        </w:rPr>
        <w:t xml:space="preserve"> </w:t>
      </w:r>
      <w:r>
        <w:rPr>
          <w:rFonts w:ascii="Times New Roman" w:hAnsi="Times New Roman"/>
          <w:color w:val="000000"/>
          <w:sz w:val="24"/>
          <w:szCs w:val="24"/>
          <w:highlight w:val="yellow"/>
        </w:rPr>
        <w:t>(Tables 1–4)</w:t>
      </w:r>
      <w:r w:rsidRPr="00264071">
        <w:rPr>
          <w:rFonts w:ascii="Times New Roman" w:hAnsi="Times New Roman"/>
          <w:color w:val="000000"/>
          <w:sz w:val="24"/>
          <w:szCs w:val="24"/>
        </w:rPr>
        <w:t>. Previous research has demonstrated associations between dietary diversity and micronutrient status, including indicators of iron, vitamin A, and zinc status (</w:t>
      </w:r>
      <w:proofErr w:type="spellStart"/>
      <w:r>
        <w:rPr>
          <w:rFonts w:ascii="Times New Roman" w:hAnsi="Times New Roman"/>
          <w:color w:val="000000"/>
          <w:sz w:val="24"/>
          <w:szCs w:val="24"/>
          <w:highlight w:val="yellow"/>
        </w:rPr>
        <w:t>Korkalo</w:t>
      </w:r>
      <w:proofErr w:type="spellEnd"/>
      <w:r w:rsidRPr="00264071">
        <w:rPr>
          <w:rFonts w:ascii="Times New Roman" w:hAnsi="Times New Roman"/>
          <w:color w:val="000000"/>
          <w:sz w:val="24"/>
          <w:szCs w:val="24"/>
        </w:rPr>
        <w:t xml:space="preserve"> </w:t>
      </w:r>
      <w:r w:rsidRPr="00996AF0">
        <w:rPr>
          <w:rFonts w:ascii="Times New Roman" w:hAnsi="Times New Roman"/>
          <w:i/>
          <w:iCs/>
          <w:color w:val="000000"/>
          <w:sz w:val="24"/>
          <w:szCs w:val="24"/>
        </w:rPr>
        <w:t>et al.,</w:t>
      </w:r>
      <w:r>
        <w:rPr>
          <w:rFonts w:ascii="Times New Roman" w:hAnsi="Times New Roman"/>
          <w:color w:val="000000"/>
          <w:sz w:val="24"/>
          <w:szCs w:val="24"/>
          <w:highlight w:val="yellow"/>
        </w:rPr>
        <w:t xml:space="preserve"> 2017)</w:t>
      </w:r>
      <w:r>
        <w:rPr>
          <w:rFonts w:ascii="Times New Roman" w:hAnsi="Times New Roman"/>
          <w:color w:val="000000"/>
          <w:sz w:val="24"/>
          <w:szCs w:val="24"/>
        </w:rPr>
        <w:t xml:space="preserve">. Dietary diversity is also widely used as a proxy for micronutrient adequacy because consuming foods from multiple food groups increases the likelihood of obtaining a broader range of essential vitamins and minerals (Leroy </w:t>
      </w:r>
      <w:r w:rsidRPr="00996AF0">
        <w:rPr>
          <w:rFonts w:ascii="Times New Roman" w:hAnsi="Times New Roman"/>
          <w:i/>
          <w:iCs/>
          <w:color w:val="000000"/>
          <w:sz w:val="24"/>
          <w:szCs w:val="24"/>
        </w:rPr>
        <w:t>et al.,</w:t>
      </w:r>
      <w:r w:rsidRPr="00264071">
        <w:rPr>
          <w:rFonts w:ascii="Times New Roman" w:hAnsi="Times New Roman"/>
          <w:color w:val="000000"/>
          <w:sz w:val="24"/>
          <w:szCs w:val="24"/>
        </w:rPr>
        <w:t xml:space="preserve"> 2020). More recently, Passarelli et al. (2024) demonstrated that inadequate intake of essential micronutrients remains a major global nutritional challenge, with substantial inadequacies reported for nutrients including iron, zinc, vitamin A, and folate.</w:t>
      </w:r>
    </w:p>
    <w:p w14:paraId="20A5D2B6" w14:textId="0B27B8B1"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lastRenderedPageBreak/>
        <w:t xml:space="preserve">The findings therefore reinforce current recommendations encouraging regular consumption of cereals, legumes, fruits, vegetables, animal-source foods, and dairy products to ensure adequate micronutrient intake </w:t>
      </w:r>
      <w:r>
        <w:rPr>
          <w:rFonts w:ascii="Times New Roman" w:hAnsi="Times New Roman"/>
          <w:color w:val="000000"/>
          <w:sz w:val="24"/>
          <w:szCs w:val="24"/>
        </w:rPr>
        <w:t xml:space="preserve">(WHO, </w:t>
      </w:r>
      <w:r w:rsidR="001D653F">
        <w:rPr>
          <w:rFonts w:ascii="Times New Roman" w:hAnsi="Times New Roman"/>
          <w:color w:val="000000"/>
          <w:sz w:val="24"/>
          <w:szCs w:val="24"/>
        </w:rPr>
        <w:t>n.d.</w:t>
      </w:r>
      <w:r w:rsidR="00475ACB">
        <w:rPr>
          <w:rFonts w:ascii="Times New Roman" w:hAnsi="Times New Roman"/>
          <w:color w:val="000000"/>
          <w:sz w:val="24"/>
          <w:szCs w:val="24"/>
        </w:rPr>
        <w:t>; FAO, 2024</w:t>
      </w:r>
      <w:r>
        <w:rPr>
          <w:rFonts w:ascii="Times New Roman" w:hAnsi="Times New Roman"/>
          <w:color w:val="000000"/>
          <w:sz w:val="24"/>
          <w:szCs w:val="24"/>
        </w:rPr>
        <w:t>).</w:t>
      </w:r>
    </w:p>
    <w:p w14:paraId="14914518" w14:textId="77777777" w:rsidR="008A65A0" w:rsidRDefault="008A65A0" w:rsidP="00AB2403">
      <w:pPr>
        <w:spacing w:after="0"/>
        <w:jc w:val="both"/>
        <w:rPr>
          <w:rFonts w:ascii="Times New Roman" w:hAnsi="Times New Roman"/>
          <w:b/>
          <w:bCs/>
          <w:sz w:val="24"/>
          <w:szCs w:val="24"/>
        </w:rPr>
      </w:pPr>
    </w:p>
    <w:p w14:paraId="24146D4E" w14:textId="77777777" w:rsidR="008A65A0" w:rsidRDefault="008A65A0" w:rsidP="00AB2403">
      <w:pPr>
        <w:spacing w:after="0"/>
        <w:jc w:val="both"/>
        <w:rPr>
          <w:rFonts w:ascii="Times New Roman" w:hAnsi="Times New Roman"/>
          <w:b/>
          <w:bCs/>
          <w:sz w:val="24"/>
          <w:szCs w:val="24"/>
        </w:rPr>
      </w:pPr>
    </w:p>
    <w:p w14:paraId="3EB21D08" w14:textId="77777777" w:rsidR="008A65A0" w:rsidRDefault="008A65A0" w:rsidP="00AB2403">
      <w:pPr>
        <w:spacing w:after="0"/>
        <w:jc w:val="both"/>
        <w:rPr>
          <w:rFonts w:ascii="Times New Roman" w:hAnsi="Times New Roman"/>
          <w:b/>
          <w:bCs/>
          <w:sz w:val="24"/>
          <w:szCs w:val="24"/>
        </w:rPr>
      </w:pPr>
    </w:p>
    <w:p w14:paraId="521091A0" w14:textId="77777777" w:rsidR="008E216E" w:rsidRPr="00D12757" w:rsidRDefault="00000000" w:rsidP="00AB2403">
      <w:pPr>
        <w:spacing w:after="0"/>
        <w:jc w:val="both"/>
        <w:rPr>
          <w:rFonts w:ascii="Times New Roman" w:hAnsi="Times New Roman"/>
          <w:b/>
          <w:bCs/>
          <w:sz w:val="24"/>
          <w:szCs w:val="24"/>
        </w:rPr>
      </w:pPr>
      <w:r w:rsidRPr="00D12757">
        <w:rPr>
          <w:rFonts w:ascii="Times New Roman" w:hAnsi="Times New Roman"/>
          <w:b/>
          <w:bCs/>
          <w:sz w:val="24"/>
          <w:szCs w:val="24"/>
        </w:rPr>
        <w:t>Predictors of Improved Micronutrient Status</w:t>
      </w:r>
    </w:p>
    <w:p w14:paraId="60AF792B"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Multiple linear regression analysis demonstrated that attendance at nutrition education sessions, compliance with micronutrient supplementation, and dietary diversity were significant predictors of improved micronutrient status</w:t>
      </w:r>
      <w:r w:rsidR="00B23001">
        <w:rPr>
          <w:rFonts w:ascii="Times New Roman" w:hAnsi="Times New Roman"/>
          <w:sz w:val="24"/>
          <w:szCs w:val="24"/>
        </w:rPr>
        <w:t xml:space="preserve"> </w:t>
      </w:r>
      <w:r>
        <w:rPr>
          <w:rFonts w:ascii="Times New Roman" w:hAnsi="Times New Roman"/>
          <w:sz w:val="24"/>
          <w:szCs w:val="24"/>
          <w:highlight w:val="yellow"/>
        </w:rPr>
        <w:t>(Table 4)</w:t>
      </w:r>
      <w:r w:rsidRPr="00AB2403">
        <w:rPr>
          <w:rFonts w:ascii="Times New Roman" w:hAnsi="Times New Roman"/>
          <w:sz w:val="24"/>
          <w:szCs w:val="24"/>
        </w:rPr>
        <w:t xml:space="preserve">. These variables collectively explained approximately 62% of the variation observed in </w:t>
      </w:r>
      <w:r>
        <w:rPr>
          <w:rFonts w:ascii="Times New Roman" w:hAnsi="Times New Roman"/>
          <w:sz w:val="24"/>
          <w:szCs w:val="24"/>
          <w:highlight w:val="yellow"/>
        </w:rPr>
        <w:t>nutritional outcomes (Table 5).</w:t>
      </w:r>
    </w:p>
    <w:p w14:paraId="46C862DA"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This finding indicates that </w:t>
      </w:r>
      <w:proofErr w:type="spellStart"/>
      <w:r w:rsidRPr="00AB2403">
        <w:rPr>
          <w:rFonts w:ascii="Times New Roman" w:hAnsi="Times New Roman"/>
          <w:sz w:val="24"/>
          <w:szCs w:val="24"/>
        </w:rPr>
        <w:t>behavioural</w:t>
      </w:r>
      <w:proofErr w:type="spellEnd"/>
      <w:r w:rsidRPr="00AB2403">
        <w:rPr>
          <w:rFonts w:ascii="Times New Roman" w:hAnsi="Times New Roman"/>
          <w:sz w:val="24"/>
          <w:szCs w:val="24"/>
        </w:rPr>
        <w:t xml:space="preserve"> interventions and supplementation are complementary rather than independent strategies. Nutrition education equips individuals with the knowledge required to make healthier food choices, while supplementation provides immediate correction of existing nutrient deficiencies (Bhutta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xml:space="preserve">, 2013; Berger </w:t>
      </w:r>
      <w:r w:rsidR="00AB2403" w:rsidRPr="00AB2403">
        <w:rPr>
          <w:rFonts w:ascii="Times New Roman" w:hAnsi="Times New Roman"/>
          <w:i/>
          <w:iCs/>
          <w:sz w:val="24"/>
          <w:szCs w:val="24"/>
          <w:highlight w:val="yellow"/>
        </w:rPr>
        <w:t>et al.</w:t>
      </w:r>
      <w:r w:rsidRPr="00AB2403">
        <w:rPr>
          <w:rFonts w:ascii="Times New Roman" w:hAnsi="Times New Roman"/>
          <w:sz w:val="24"/>
          <w:szCs w:val="24"/>
        </w:rPr>
        <w:t>, 2022).</w:t>
      </w:r>
    </w:p>
    <w:p w14:paraId="1085252F"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The significant contribution of dietary diversity further emphasizes the importance of food-based approaches in addressing micronutrient deficiencies. Food-based strategies provide a sustainable means of improving nutritional status because they encourage lifelong healthy eating habits rather than dependence on supplementation alone (Ruel &amp; Alderman, 2013).</w:t>
      </w:r>
    </w:p>
    <w:p w14:paraId="5EF02356" w14:textId="77777777" w:rsidR="00264071" w:rsidRDefault="00264071" w:rsidP="00AB2403">
      <w:pPr>
        <w:spacing w:after="0"/>
        <w:jc w:val="both"/>
        <w:rPr>
          <w:rFonts w:ascii="Times New Roman" w:hAnsi="Times New Roman"/>
          <w:b/>
          <w:bCs/>
          <w:sz w:val="24"/>
          <w:szCs w:val="24"/>
        </w:rPr>
      </w:pPr>
    </w:p>
    <w:p w14:paraId="3D887AFA" w14:textId="77777777" w:rsidR="008E216E" w:rsidRPr="00D12757" w:rsidRDefault="00000000" w:rsidP="00AB2403">
      <w:pPr>
        <w:spacing w:after="0"/>
        <w:jc w:val="both"/>
        <w:rPr>
          <w:rFonts w:ascii="Times New Roman" w:hAnsi="Times New Roman"/>
          <w:b/>
          <w:bCs/>
          <w:sz w:val="24"/>
          <w:szCs w:val="24"/>
        </w:rPr>
      </w:pPr>
      <w:r w:rsidRPr="00D12757">
        <w:rPr>
          <w:rFonts w:ascii="Times New Roman" w:hAnsi="Times New Roman"/>
          <w:b/>
          <w:bCs/>
          <w:sz w:val="24"/>
          <w:szCs w:val="24"/>
        </w:rPr>
        <w:t>Public Health Implications</w:t>
      </w:r>
    </w:p>
    <w:p w14:paraId="37E28F67"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The findings of this study have important implications for institutional health promotion and nutrition policy. Integrating nutrition education into routine student orientation programs, staff wellness initiatives, and institutional health services could substantially improve dietary practices and reduce the burden of micronutrient deficiencies.</w:t>
      </w:r>
    </w:p>
    <w:p w14:paraId="09A4404F" w14:textId="78E91200"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Routine nutritional screening, dietary counselling, and periodic micronutrient supplementation for at-risk groups may further improve health outcomes, productivity, and academic performance. Such interventions also align with the objectives of the National Policy on Food and Nutrition in Nigeria (</w:t>
      </w:r>
      <w:r w:rsidR="001D653F" w:rsidRPr="001D653F">
        <w:rPr>
          <w:rFonts w:ascii="Times New Roman" w:hAnsi="Times New Roman"/>
          <w:sz w:val="24"/>
          <w:szCs w:val="24"/>
        </w:rPr>
        <w:t>Ministry of Budget and National Planning</w:t>
      </w:r>
      <w:r>
        <w:rPr>
          <w:rFonts w:ascii="Times New Roman" w:hAnsi="Times New Roman"/>
          <w:sz w:val="24"/>
          <w:szCs w:val="24"/>
        </w:rPr>
        <w:t>, 20</w:t>
      </w:r>
      <w:r w:rsidR="001D653F">
        <w:rPr>
          <w:rFonts w:ascii="Times New Roman" w:hAnsi="Times New Roman"/>
          <w:sz w:val="24"/>
          <w:szCs w:val="24"/>
        </w:rPr>
        <w:t>16</w:t>
      </w:r>
      <w:r>
        <w:rPr>
          <w:rFonts w:ascii="Times New Roman" w:hAnsi="Times New Roman"/>
          <w:sz w:val="24"/>
          <w:szCs w:val="24"/>
        </w:rPr>
        <w:t>) and contribute towards achieving Sustainable Development Goal 2 (Zero Hunger) and Sustainable Development Goal 3 (Good Health and Well-being) (United Nations, 2023).</w:t>
      </w:r>
    </w:p>
    <w:p w14:paraId="7D43BAA9"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Generally, the findings support the growing body of evidence indicating that combined nutrition education and micronutrient supplementation constitute an effective, practical, and sustainable strategy for improving nutritional status in tertiary institutions and similar settings.</w:t>
      </w:r>
    </w:p>
    <w:p w14:paraId="2A5CECCB" w14:textId="77777777" w:rsidR="008D1618" w:rsidRDefault="008D1618" w:rsidP="00AB2403">
      <w:pPr>
        <w:spacing w:after="0"/>
        <w:jc w:val="both"/>
        <w:rPr>
          <w:rFonts w:ascii="Times New Roman" w:hAnsi="Times New Roman"/>
          <w:b/>
          <w:bCs/>
          <w:sz w:val="24"/>
          <w:szCs w:val="24"/>
        </w:rPr>
      </w:pPr>
    </w:p>
    <w:p w14:paraId="49F4E3EA" w14:textId="77777777" w:rsidR="008E216E" w:rsidRPr="00D12757" w:rsidRDefault="00000000" w:rsidP="00AB2403">
      <w:pPr>
        <w:spacing w:after="0"/>
        <w:jc w:val="both"/>
        <w:rPr>
          <w:rFonts w:ascii="Times New Roman" w:hAnsi="Times New Roman"/>
          <w:b/>
          <w:bCs/>
          <w:sz w:val="24"/>
          <w:szCs w:val="24"/>
        </w:rPr>
      </w:pPr>
      <w:r w:rsidRPr="00D12757">
        <w:rPr>
          <w:rFonts w:ascii="Times New Roman" w:hAnsi="Times New Roman"/>
          <w:b/>
          <w:bCs/>
          <w:sz w:val="24"/>
          <w:szCs w:val="24"/>
        </w:rPr>
        <w:t>Conclusion</w:t>
      </w:r>
    </w:p>
    <w:p w14:paraId="52D85C60" w14:textId="77777777" w:rsidR="008E216E" w:rsidRPr="00AB2403"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This study demonstrated that nutrition education combined with micronutrient supplementation significantly improved the nutritional status of staff and students of Federal Polytechnic Kabo. Nutrition knowledge scores increased from 46.8 ± 11.2 at baseline to 82.4 ± 7.8 after the 12-week intervention (p &lt; 0.001). Daily fruit and vegetable consumption increased from 35.0% to </w:t>
      </w:r>
      <w:r w:rsidRPr="00AB2403">
        <w:rPr>
          <w:rFonts w:ascii="Times New Roman" w:hAnsi="Times New Roman"/>
          <w:sz w:val="24"/>
          <w:szCs w:val="24"/>
        </w:rPr>
        <w:lastRenderedPageBreak/>
        <w:t>74.0% and 39.0% to 76.0%, respectively, while frequent consumption of fast foods and sugar-sweetened beverages declined significantly (p &lt; 0.05). Mean daily intakes of protein, iron, vitamin A, and zinc also improved significantly following the intervention.</w:t>
      </w:r>
    </w:p>
    <w:p w14:paraId="515CBCF2" w14:textId="77777777" w:rsidR="008E216E"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Similarly, anthropometric indicators showed modest but significant improvements, with mean BMI decreasing from 25.3 ± 3.5 kg/m² to 24.6 ± 3.2 kg/m² and waist circumference reducing from 88.1 ± 8.6 cm to 84.9 ± 8.0 cm (p &lt; 0.05). Biochemical assessment further revealed significant improvements in </w:t>
      </w:r>
      <w:proofErr w:type="spellStart"/>
      <w:r w:rsidRPr="00AB2403">
        <w:rPr>
          <w:rFonts w:ascii="Times New Roman" w:hAnsi="Times New Roman"/>
          <w:sz w:val="24"/>
          <w:szCs w:val="24"/>
        </w:rPr>
        <w:t>haemoglobin</w:t>
      </w:r>
      <w:proofErr w:type="spellEnd"/>
      <w:r w:rsidRPr="00AB2403">
        <w:rPr>
          <w:rFonts w:ascii="Times New Roman" w:hAnsi="Times New Roman"/>
          <w:sz w:val="24"/>
          <w:szCs w:val="24"/>
        </w:rPr>
        <w:t xml:space="preserve"> concentration (11.5 ± 1.3 to 13.1 ± 1.1 g/dL), serum vitamin A (27.8 ± 5.4 to 35.7 ± 4.9 µg/dL), serum iron (60.5 ± 11.7 to 82.6 ± 12.1 µg/dL), and serum zinc (71.2 ± 8.4 to 89.8 ± 8.2 µg/dL) (all p &lt; 0.001). Multiple linear regression analysis identified nutrition education attendance (β = 0.486, p &lt; 0.001), supplement compliance (β = 0.391, p &lt; 0.001), and dietary diversity (β = 0.317, p &lt; 0.001) as significant predictors of improved micronutrient status.</w:t>
      </w:r>
    </w:p>
    <w:p w14:paraId="44D5D88A" w14:textId="77777777" w:rsidR="00E829C9" w:rsidRDefault="00E829C9" w:rsidP="00AB2403">
      <w:pPr>
        <w:spacing w:after="0"/>
        <w:jc w:val="both"/>
        <w:rPr>
          <w:rFonts w:ascii="Times New Roman" w:hAnsi="Times New Roman"/>
          <w:sz w:val="24"/>
          <w:szCs w:val="24"/>
        </w:rPr>
      </w:pPr>
    </w:p>
    <w:p w14:paraId="3EBB6BB6" w14:textId="77777777" w:rsidR="00E829C9" w:rsidRPr="00E23312" w:rsidRDefault="00E829C9" w:rsidP="00E829C9">
      <w:pPr>
        <w:spacing w:after="0"/>
        <w:jc w:val="both"/>
        <w:rPr>
          <w:rFonts w:ascii="Times New Roman" w:hAnsi="Times New Roman"/>
          <w:b/>
          <w:bCs/>
          <w:sz w:val="24"/>
          <w:szCs w:val="24"/>
        </w:rPr>
      </w:pPr>
      <w:r w:rsidRPr="00E23312">
        <w:rPr>
          <w:rFonts w:ascii="Times New Roman" w:hAnsi="Times New Roman"/>
          <w:b/>
          <w:bCs/>
          <w:sz w:val="24"/>
          <w:szCs w:val="24"/>
        </w:rPr>
        <w:t>Limitations</w:t>
      </w:r>
    </w:p>
    <w:p w14:paraId="3720004E" w14:textId="77777777" w:rsidR="00E829C9" w:rsidRPr="00E829C9" w:rsidRDefault="00E829C9" w:rsidP="00E829C9">
      <w:pPr>
        <w:spacing w:after="0"/>
        <w:jc w:val="both"/>
        <w:rPr>
          <w:rFonts w:ascii="Times New Roman" w:hAnsi="Times New Roman"/>
          <w:sz w:val="24"/>
          <w:szCs w:val="24"/>
        </w:rPr>
      </w:pPr>
    </w:p>
    <w:p w14:paraId="0289DF00" w14:textId="61B88C59" w:rsidR="00E829C9" w:rsidRDefault="00E829C9" w:rsidP="00E829C9">
      <w:pPr>
        <w:spacing w:after="0"/>
        <w:jc w:val="both"/>
        <w:rPr>
          <w:rFonts w:ascii="Times New Roman" w:hAnsi="Times New Roman"/>
          <w:sz w:val="24"/>
          <w:szCs w:val="24"/>
        </w:rPr>
      </w:pPr>
      <w:r w:rsidRPr="00E829C9">
        <w:rPr>
          <w:rFonts w:ascii="Times New Roman" w:hAnsi="Times New Roman"/>
          <w:sz w:val="24"/>
          <w:szCs w:val="24"/>
        </w:rPr>
        <w:t xml:space="preserve">This study was conducted at a single tertiary institution using a quasi-experimental design and a sample of 200 staff and students, which may limit the </w:t>
      </w:r>
      <w:proofErr w:type="spellStart"/>
      <w:r w:rsidRPr="00E829C9">
        <w:rPr>
          <w:rFonts w:ascii="Times New Roman" w:hAnsi="Times New Roman"/>
          <w:sz w:val="24"/>
          <w:szCs w:val="24"/>
        </w:rPr>
        <w:t>generalisability</w:t>
      </w:r>
      <w:proofErr w:type="spellEnd"/>
      <w:r w:rsidRPr="00E829C9">
        <w:rPr>
          <w:rFonts w:ascii="Times New Roman" w:hAnsi="Times New Roman"/>
          <w:sz w:val="24"/>
          <w:szCs w:val="24"/>
        </w:rPr>
        <w:t xml:space="preserve"> of the findings to other populations and settings. The 12-week intervention period was relatively short and may not reflect the long-term sustainability of the observed changes. Dietary intake and </w:t>
      </w:r>
      <w:proofErr w:type="spellStart"/>
      <w:r w:rsidRPr="00E829C9">
        <w:rPr>
          <w:rFonts w:ascii="Times New Roman" w:hAnsi="Times New Roman"/>
          <w:sz w:val="24"/>
          <w:szCs w:val="24"/>
        </w:rPr>
        <w:t>behaviour</w:t>
      </w:r>
      <w:proofErr w:type="spellEnd"/>
      <w:r w:rsidRPr="00E829C9">
        <w:rPr>
          <w:rFonts w:ascii="Times New Roman" w:hAnsi="Times New Roman"/>
          <w:sz w:val="24"/>
          <w:szCs w:val="24"/>
        </w:rPr>
        <w:t xml:space="preserve"> were partly assessed using self-reported 24-hour recall and food frequency methods, which may be subject to recall and reporting bias. Future studies should include larger, multi-institutional samples and longer follow-up periods.</w:t>
      </w:r>
    </w:p>
    <w:p w14:paraId="55ED9A91" w14:textId="77777777" w:rsidR="00E829C9" w:rsidRDefault="00E829C9" w:rsidP="00E829C9">
      <w:pPr>
        <w:spacing w:after="0"/>
        <w:jc w:val="both"/>
        <w:rPr>
          <w:rFonts w:ascii="Times New Roman" w:hAnsi="Times New Roman"/>
          <w:sz w:val="24"/>
          <w:szCs w:val="24"/>
        </w:rPr>
      </w:pPr>
    </w:p>
    <w:p w14:paraId="6DC9633B" w14:textId="77777777" w:rsidR="008D1618" w:rsidRDefault="008D1618" w:rsidP="00AB2403">
      <w:pPr>
        <w:spacing w:after="0"/>
        <w:jc w:val="both"/>
        <w:rPr>
          <w:rFonts w:ascii="Times New Roman" w:hAnsi="Times New Roman"/>
          <w:sz w:val="24"/>
          <w:szCs w:val="24"/>
        </w:rPr>
      </w:pPr>
    </w:p>
    <w:p w14:paraId="61F0CE09" w14:textId="77777777" w:rsidR="008D1618" w:rsidRPr="008D1618" w:rsidRDefault="008D1618" w:rsidP="00AB2403">
      <w:pPr>
        <w:spacing w:after="0"/>
        <w:jc w:val="both"/>
        <w:rPr>
          <w:rFonts w:ascii="Times New Roman" w:hAnsi="Times New Roman"/>
          <w:b/>
          <w:bCs/>
          <w:sz w:val="24"/>
          <w:szCs w:val="24"/>
        </w:rPr>
      </w:pPr>
      <w:r w:rsidRPr="008D1618">
        <w:rPr>
          <w:rFonts w:ascii="Times New Roman" w:hAnsi="Times New Roman"/>
          <w:b/>
          <w:bCs/>
          <w:sz w:val="24"/>
          <w:szCs w:val="24"/>
        </w:rPr>
        <w:t>Recommendation</w:t>
      </w:r>
    </w:p>
    <w:p w14:paraId="6E1D15FE" w14:textId="77777777" w:rsidR="008E216E" w:rsidRDefault="00000000" w:rsidP="00AB2403">
      <w:pPr>
        <w:spacing w:after="0"/>
        <w:jc w:val="both"/>
        <w:rPr>
          <w:rFonts w:ascii="Times New Roman" w:hAnsi="Times New Roman"/>
          <w:sz w:val="24"/>
          <w:szCs w:val="24"/>
        </w:rPr>
      </w:pPr>
      <w:r w:rsidRPr="00AB2403">
        <w:rPr>
          <w:rFonts w:ascii="Times New Roman" w:hAnsi="Times New Roman"/>
          <w:sz w:val="24"/>
          <w:szCs w:val="24"/>
        </w:rPr>
        <w:t xml:space="preserve">Based on these findings, it is recommended that tertiary institutions </w:t>
      </w:r>
      <w:r>
        <w:rPr>
          <w:rFonts w:ascii="Times New Roman" w:hAnsi="Times New Roman"/>
          <w:sz w:val="24"/>
          <w:szCs w:val="24"/>
          <w:highlight w:val="yellow"/>
        </w:rPr>
        <w:t>institutionalise</w:t>
      </w:r>
      <w:r>
        <w:rPr>
          <w:rFonts w:ascii="Times New Roman" w:hAnsi="Times New Roman"/>
          <w:sz w:val="24"/>
          <w:szCs w:val="24"/>
        </w:rPr>
        <w:t xml:space="preserve"> nutrition education </w:t>
      </w:r>
      <w:r>
        <w:rPr>
          <w:rFonts w:ascii="Times New Roman" w:hAnsi="Times New Roman"/>
          <w:sz w:val="24"/>
          <w:szCs w:val="24"/>
          <w:highlight w:val="yellow"/>
        </w:rPr>
        <w:t>programmes</w:t>
      </w:r>
      <w:r>
        <w:rPr>
          <w:rFonts w:ascii="Times New Roman" w:hAnsi="Times New Roman"/>
          <w:sz w:val="24"/>
          <w:szCs w:val="24"/>
        </w:rPr>
        <w:t xml:space="preserve">, promote healthy dietary practices through campus nutrition policies, and implement periodic nutritional screening and targeted micronutrient supplementation for at-risk groups. Future studies should involve larger populations, multiple institutions, and longer follow-up periods to assess the long-term sustainability and </w:t>
      </w:r>
      <w:proofErr w:type="spellStart"/>
      <w:r>
        <w:rPr>
          <w:rFonts w:ascii="Times New Roman" w:hAnsi="Times New Roman"/>
          <w:sz w:val="24"/>
          <w:szCs w:val="24"/>
          <w:highlight w:val="yellow"/>
        </w:rPr>
        <w:t>generalisability</w:t>
      </w:r>
      <w:proofErr w:type="spellEnd"/>
      <w:r>
        <w:rPr>
          <w:rFonts w:ascii="Times New Roman" w:hAnsi="Times New Roman"/>
          <w:sz w:val="24"/>
          <w:szCs w:val="24"/>
        </w:rPr>
        <w:t xml:space="preserve"> of these interventions.</w:t>
      </w:r>
    </w:p>
    <w:p w14:paraId="16E6C06E" w14:textId="77777777" w:rsidR="00FC34D1" w:rsidRDefault="00FC34D1" w:rsidP="00AB2403">
      <w:pPr>
        <w:spacing w:after="0"/>
        <w:jc w:val="both"/>
        <w:rPr>
          <w:rFonts w:ascii="Times New Roman" w:hAnsi="Times New Roman"/>
          <w:sz w:val="24"/>
          <w:szCs w:val="24"/>
        </w:rPr>
      </w:pPr>
    </w:p>
    <w:p w14:paraId="33C32768" w14:textId="3F7EB765" w:rsidR="00FC34D1" w:rsidRPr="00FC34D1" w:rsidRDefault="00FC34D1" w:rsidP="00FC34D1">
      <w:pPr>
        <w:spacing w:after="0"/>
        <w:jc w:val="both"/>
        <w:rPr>
          <w:rFonts w:ascii="Times New Roman" w:hAnsi="Times New Roman"/>
          <w:sz w:val="24"/>
          <w:szCs w:val="24"/>
        </w:rPr>
      </w:pPr>
      <w:r w:rsidRPr="00FC34D1">
        <w:rPr>
          <w:rFonts w:ascii="Times New Roman" w:hAnsi="Times New Roman"/>
          <w:sz w:val="24"/>
          <w:szCs w:val="24"/>
        </w:rPr>
        <w:t xml:space="preserve">Ethical approval </w:t>
      </w:r>
    </w:p>
    <w:p w14:paraId="60ACCCB6" w14:textId="7024A84F" w:rsidR="00FC34D1" w:rsidRDefault="00FC34D1" w:rsidP="00FC34D1">
      <w:pPr>
        <w:spacing w:after="0"/>
        <w:jc w:val="both"/>
        <w:rPr>
          <w:rFonts w:ascii="Times New Roman" w:hAnsi="Times New Roman"/>
          <w:sz w:val="24"/>
          <w:szCs w:val="24"/>
        </w:rPr>
      </w:pPr>
      <w:r w:rsidRPr="00FC34D1">
        <w:rPr>
          <w:rFonts w:ascii="Times New Roman" w:hAnsi="Times New Roman"/>
          <w:sz w:val="24"/>
          <w:szCs w:val="24"/>
        </w:rPr>
        <w:t>Ethical approval was obtained from the appropriate Research Ethics Committee of Federal Polytechnic Kabo.</w:t>
      </w:r>
      <w:r w:rsidR="008F77C4">
        <w:rPr>
          <w:rFonts w:ascii="Times New Roman" w:hAnsi="Times New Roman"/>
          <w:sz w:val="24"/>
          <w:szCs w:val="24"/>
        </w:rPr>
        <w:br/>
      </w:r>
    </w:p>
    <w:p w14:paraId="2036FB50" w14:textId="77777777" w:rsidR="008F77C4" w:rsidRPr="008F77C4" w:rsidRDefault="008F77C4" w:rsidP="008F77C4">
      <w:pPr>
        <w:spacing w:after="0"/>
        <w:jc w:val="both"/>
        <w:rPr>
          <w:rFonts w:ascii="Times New Roman" w:hAnsi="Times New Roman"/>
          <w:sz w:val="24"/>
          <w:szCs w:val="24"/>
        </w:rPr>
      </w:pPr>
      <w:r w:rsidRPr="008F77C4">
        <w:rPr>
          <w:rFonts w:ascii="Times New Roman" w:hAnsi="Times New Roman"/>
          <w:sz w:val="24"/>
          <w:szCs w:val="24"/>
        </w:rPr>
        <w:t xml:space="preserve">Consent </w:t>
      </w:r>
    </w:p>
    <w:p w14:paraId="13E6826A" w14:textId="7853F51D" w:rsidR="008F77C4" w:rsidRDefault="008F77C4" w:rsidP="008F77C4">
      <w:pPr>
        <w:spacing w:after="0"/>
        <w:jc w:val="both"/>
        <w:rPr>
          <w:rFonts w:ascii="Times New Roman" w:hAnsi="Times New Roman"/>
          <w:sz w:val="24"/>
          <w:szCs w:val="24"/>
        </w:rPr>
      </w:pPr>
      <w:r w:rsidRPr="008F77C4">
        <w:rPr>
          <w:rFonts w:ascii="Times New Roman" w:hAnsi="Times New Roman"/>
          <w:sz w:val="24"/>
          <w:szCs w:val="24"/>
        </w:rPr>
        <w:t>As per international standards or university standards, Participants’ written consent has been collected and preserved by the author(s).</w:t>
      </w:r>
    </w:p>
    <w:p w14:paraId="6CE1B299" w14:textId="77777777" w:rsidR="007D55DA" w:rsidRDefault="007D55DA" w:rsidP="00AB2403">
      <w:pPr>
        <w:spacing w:after="0"/>
        <w:jc w:val="both"/>
        <w:rPr>
          <w:rFonts w:ascii="Times New Roman" w:hAnsi="Times New Roman"/>
          <w:sz w:val="24"/>
          <w:szCs w:val="24"/>
        </w:rPr>
      </w:pPr>
    </w:p>
    <w:p w14:paraId="298D8534" w14:textId="77777777" w:rsidR="00D12757" w:rsidRDefault="00D12757" w:rsidP="00AB2403">
      <w:pPr>
        <w:spacing w:after="0"/>
        <w:jc w:val="both"/>
        <w:rPr>
          <w:rFonts w:ascii="Times New Roman" w:hAnsi="Times New Roman"/>
          <w:sz w:val="24"/>
          <w:szCs w:val="24"/>
        </w:rPr>
      </w:pPr>
    </w:p>
    <w:p w14:paraId="353BEBD7" w14:textId="77777777" w:rsidR="00D45D6F" w:rsidRDefault="00D45D6F" w:rsidP="00D45D6F">
      <w:pPr>
        <w:spacing w:after="0" w:line="240" w:lineRule="auto"/>
        <w:rPr>
          <w:rFonts w:ascii="Times New Roman" w:hAnsi="Times New Roman"/>
          <w:b/>
        </w:rPr>
      </w:pPr>
      <w:r w:rsidRPr="000839CE">
        <w:rPr>
          <w:rFonts w:ascii="Times New Roman" w:hAnsi="Times New Roman"/>
          <w:b/>
        </w:rPr>
        <w:t>Declaration of AI Use</w:t>
      </w:r>
    </w:p>
    <w:p w14:paraId="56D369AD" w14:textId="77777777" w:rsidR="00D45D6F" w:rsidRDefault="00D45D6F" w:rsidP="00D45D6F">
      <w:pPr>
        <w:spacing w:after="0" w:line="240" w:lineRule="auto"/>
        <w:rPr>
          <w:rFonts w:ascii="Times New Roman" w:hAnsi="Times New Roman"/>
          <w:b/>
        </w:rPr>
      </w:pPr>
    </w:p>
    <w:p w14:paraId="0789F222" w14:textId="77777777" w:rsidR="00D45D6F" w:rsidRDefault="00D45D6F" w:rsidP="00D45D6F">
      <w:pPr>
        <w:spacing w:after="0" w:line="240" w:lineRule="auto"/>
        <w:rPr>
          <w:rFonts w:ascii="Times New Roman" w:hAnsi="Times New Roman"/>
          <w:b/>
        </w:rPr>
      </w:pPr>
    </w:p>
    <w:p w14:paraId="521AC57D" w14:textId="77777777" w:rsidR="00D45D6F" w:rsidRDefault="00D45D6F" w:rsidP="00D45D6F">
      <w:pPr>
        <w:spacing w:after="0" w:line="240" w:lineRule="auto"/>
        <w:rPr>
          <w:rFonts w:ascii="Times New Roman" w:hAnsi="Times New Roman"/>
          <w:b/>
        </w:rPr>
      </w:pPr>
    </w:p>
    <w:p w14:paraId="68171CA8" w14:textId="77777777" w:rsidR="00D45D6F" w:rsidRPr="002D08AC" w:rsidRDefault="00D45D6F" w:rsidP="00D45D6F">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9B34779" w14:textId="77777777" w:rsidR="00D45D6F" w:rsidRDefault="00D45D6F" w:rsidP="00AB2403">
      <w:pPr>
        <w:spacing w:after="0"/>
        <w:jc w:val="both"/>
        <w:rPr>
          <w:rFonts w:ascii="Times New Roman" w:hAnsi="Times New Roman"/>
          <w:sz w:val="24"/>
          <w:szCs w:val="24"/>
        </w:rPr>
      </w:pPr>
    </w:p>
    <w:p w14:paraId="4DC9E31E" w14:textId="77777777" w:rsidR="007148B1" w:rsidRDefault="007148B1" w:rsidP="007148B1">
      <w:pPr>
        <w:spacing w:after="0"/>
        <w:jc w:val="both"/>
        <w:rPr>
          <w:rFonts w:ascii="Times New Roman" w:hAnsi="Times New Roman"/>
          <w:b/>
          <w:bCs/>
          <w:sz w:val="24"/>
          <w:szCs w:val="24"/>
        </w:rPr>
      </w:pPr>
      <w:r w:rsidRPr="00D12757">
        <w:rPr>
          <w:rFonts w:ascii="Times New Roman" w:hAnsi="Times New Roman"/>
          <w:b/>
          <w:bCs/>
          <w:sz w:val="24"/>
          <w:szCs w:val="24"/>
        </w:rPr>
        <w:t xml:space="preserve">References </w:t>
      </w:r>
    </w:p>
    <w:p w14:paraId="752653DA"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proofErr w:type="spellStart"/>
      <w:r w:rsidRPr="001D653F">
        <w:rPr>
          <w:rFonts w:ascii="Times New Roman" w:eastAsia="Times New Roman" w:hAnsi="Times New Roman"/>
          <w:sz w:val="24"/>
          <w:szCs w:val="24"/>
          <w:lang w:eastAsia="en-US"/>
        </w:rPr>
        <w:t>Akinyotu</w:t>
      </w:r>
      <w:proofErr w:type="spellEnd"/>
      <w:r w:rsidRPr="001D653F">
        <w:rPr>
          <w:rFonts w:ascii="Times New Roman" w:eastAsia="Times New Roman" w:hAnsi="Times New Roman"/>
          <w:sz w:val="24"/>
          <w:szCs w:val="24"/>
          <w:lang w:eastAsia="en-US"/>
        </w:rPr>
        <w:t xml:space="preserve">, O. E., </w:t>
      </w:r>
      <w:proofErr w:type="spellStart"/>
      <w:r w:rsidRPr="001D653F">
        <w:rPr>
          <w:rFonts w:ascii="Times New Roman" w:eastAsia="Times New Roman" w:hAnsi="Times New Roman"/>
          <w:sz w:val="24"/>
          <w:szCs w:val="24"/>
          <w:lang w:eastAsia="en-US"/>
        </w:rPr>
        <w:t>Orumen</w:t>
      </w:r>
      <w:proofErr w:type="spellEnd"/>
      <w:r w:rsidRPr="001D653F">
        <w:rPr>
          <w:rFonts w:ascii="Times New Roman" w:eastAsia="Times New Roman" w:hAnsi="Times New Roman"/>
          <w:sz w:val="24"/>
          <w:szCs w:val="24"/>
          <w:lang w:eastAsia="en-US"/>
        </w:rPr>
        <w:t xml:space="preserve">, G., &amp; </w:t>
      </w:r>
      <w:proofErr w:type="spellStart"/>
      <w:r w:rsidRPr="001D653F">
        <w:rPr>
          <w:rFonts w:ascii="Times New Roman" w:eastAsia="Times New Roman" w:hAnsi="Times New Roman"/>
          <w:sz w:val="24"/>
          <w:szCs w:val="24"/>
          <w:lang w:eastAsia="en-US"/>
        </w:rPr>
        <w:t>Evwophia</w:t>
      </w:r>
      <w:proofErr w:type="spellEnd"/>
      <w:r w:rsidRPr="001D653F">
        <w:rPr>
          <w:rFonts w:ascii="Times New Roman" w:eastAsia="Times New Roman" w:hAnsi="Times New Roman"/>
          <w:sz w:val="24"/>
          <w:szCs w:val="24"/>
          <w:lang w:eastAsia="en-US"/>
        </w:rPr>
        <w:t xml:space="preserve">, T. (2025). Assessment of the relationship between dietary patterns and nutritional status among undergraduates of Ondo State University of Science and Technology, </w:t>
      </w:r>
      <w:proofErr w:type="spellStart"/>
      <w:r w:rsidRPr="001D653F">
        <w:rPr>
          <w:rFonts w:ascii="Times New Roman" w:eastAsia="Times New Roman" w:hAnsi="Times New Roman"/>
          <w:sz w:val="24"/>
          <w:szCs w:val="24"/>
          <w:lang w:eastAsia="en-US"/>
        </w:rPr>
        <w:t>Okitipupa</w:t>
      </w:r>
      <w:proofErr w:type="spellEnd"/>
      <w:r w:rsidRPr="001D653F">
        <w:rPr>
          <w:rFonts w:ascii="Times New Roman" w:eastAsia="Times New Roman" w:hAnsi="Times New Roman"/>
          <w:sz w:val="24"/>
          <w:szCs w:val="24"/>
          <w:lang w:eastAsia="en-US"/>
        </w:rPr>
        <w:t xml:space="preserve">. Asian Journal of Education and Social Studies, 51(10), 821–830. </w:t>
      </w:r>
      <w:hyperlink r:id="rId6" w:history="1">
        <w:r w:rsidRPr="001D653F">
          <w:rPr>
            <w:rFonts w:ascii="Times New Roman" w:eastAsia="Times New Roman" w:hAnsi="Times New Roman"/>
            <w:color w:val="0000FF"/>
            <w:sz w:val="24"/>
            <w:szCs w:val="24"/>
            <w:u w:val="single"/>
            <w:lang w:eastAsia="en-US"/>
          </w:rPr>
          <w:t>https://doi.org/10.9734/ajess/2025/v51i102534</w:t>
        </w:r>
      </w:hyperlink>
    </w:p>
    <w:p w14:paraId="74AA2DDA" w14:textId="7FE5BE49"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Angulo, E., Stern, D., Castellanos-Gutiérrez, A., Monge, A., </w:t>
      </w:r>
      <w:proofErr w:type="spellStart"/>
      <w:r w:rsidRPr="001D653F">
        <w:rPr>
          <w:rFonts w:ascii="Times New Roman" w:eastAsia="Times New Roman" w:hAnsi="Times New Roman"/>
          <w:sz w:val="24"/>
          <w:szCs w:val="24"/>
          <w:lang w:eastAsia="en-US"/>
        </w:rPr>
        <w:t>Lajous</w:t>
      </w:r>
      <w:proofErr w:type="spellEnd"/>
      <w:r w:rsidRPr="001D653F">
        <w:rPr>
          <w:rFonts w:ascii="Times New Roman" w:eastAsia="Times New Roman" w:hAnsi="Times New Roman"/>
          <w:sz w:val="24"/>
          <w:szCs w:val="24"/>
          <w:lang w:eastAsia="en-US"/>
        </w:rPr>
        <w:t xml:space="preserve">, M., Bromage, S., Fung, T. T., Li, Y., Bhupathiraju, S. N., Deitchler, M., Willett, W. C., &amp; Batis, C. (2021). Changes in the Global Diet Quality Score, weight, and waist circumference in Mexican women. The Journal of Nutrition, 151(Supplement 2), 152S–161S. </w:t>
      </w:r>
      <w:hyperlink r:id="rId7" w:history="1">
        <w:r w:rsidRPr="009925B1">
          <w:rPr>
            <w:rStyle w:val="Hyperlink"/>
            <w:rFonts w:ascii="Times New Roman" w:eastAsia="Times New Roman" w:hAnsi="Times New Roman"/>
            <w:sz w:val="24"/>
            <w:szCs w:val="24"/>
            <w:lang w:eastAsia="en-US"/>
          </w:rPr>
          <w:t>https://doi.org/10.1093/jn/nxab171</w:t>
        </w:r>
      </w:hyperlink>
    </w:p>
    <w:p w14:paraId="17138A59"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proofErr w:type="spellStart"/>
      <w:r w:rsidRPr="001D653F">
        <w:rPr>
          <w:rFonts w:ascii="Times New Roman" w:eastAsia="Times New Roman" w:hAnsi="Times New Roman"/>
          <w:sz w:val="24"/>
          <w:szCs w:val="24"/>
          <w:lang w:eastAsia="en-US"/>
        </w:rPr>
        <w:t>Assilian</w:t>
      </w:r>
      <w:proofErr w:type="spellEnd"/>
      <w:r w:rsidRPr="001D653F">
        <w:rPr>
          <w:rFonts w:ascii="Times New Roman" w:eastAsia="Times New Roman" w:hAnsi="Times New Roman"/>
          <w:sz w:val="24"/>
          <w:szCs w:val="24"/>
          <w:lang w:eastAsia="en-US"/>
        </w:rPr>
        <w:t xml:space="preserve">, T., </w:t>
      </w:r>
      <w:proofErr w:type="spellStart"/>
      <w:r w:rsidRPr="001D653F">
        <w:rPr>
          <w:rFonts w:ascii="Times New Roman" w:eastAsia="Times New Roman" w:hAnsi="Times New Roman"/>
          <w:sz w:val="24"/>
          <w:szCs w:val="24"/>
          <w:lang w:eastAsia="en-US"/>
        </w:rPr>
        <w:t>Dehove</w:t>
      </w:r>
      <w:proofErr w:type="spellEnd"/>
      <w:r w:rsidRPr="001D653F">
        <w:rPr>
          <w:rFonts w:ascii="Times New Roman" w:eastAsia="Times New Roman" w:hAnsi="Times New Roman"/>
          <w:sz w:val="24"/>
          <w:szCs w:val="24"/>
          <w:lang w:eastAsia="en-US"/>
        </w:rPr>
        <w:t xml:space="preserve">, H., </w:t>
      </w:r>
      <w:proofErr w:type="spellStart"/>
      <w:r w:rsidRPr="001D653F">
        <w:rPr>
          <w:rFonts w:ascii="Times New Roman" w:eastAsia="Times New Roman" w:hAnsi="Times New Roman"/>
          <w:sz w:val="24"/>
          <w:szCs w:val="24"/>
          <w:lang w:eastAsia="en-US"/>
        </w:rPr>
        <w:t>Charreire</w:t>
      </w:r>
      <w:proofErr w:type="spellEnd"/>
      <w:r w:rsidRPr="001D653F">
        <w:rPr>
          <w:rFonts w:ascii="Times New Roman" w:eastAsia="Times New Roman" w:hAnsi="Times New Roman"/>
          <w:sz w:val="24"/>
          <w:szCs w:val="24"/>
          <w:lang w:eastAsia="en-US"/>
        </w:rPr>
        <w:t xml:space="preserve">, H., Baudry, J., Kesse-Guyot, E., </w:t>
      </w:r>
      <w:proofErr w:type="spellStart"/>
      <w:r w:rsidRPr="001D653F">
        <w:rPr>
          <w:rFonts w:ascii="Times New Roman" w:eastAsia="Times New Roman" w:hAnsi="Times New Roman"/>
          <w:sz w:val="24"/>
          <w:szCs w:val="24"/>
          <w:lang w:eastAsia="en-US"/>
        </w:rPr>
        <w:t>Péneau</w:t>
      </w:r>
      <w:proofErr w:type="spellEnd"/>
      <w:r w:rsidRPr="001D653F">
        <w:rPr>
          <w:rFonts w:ascii="Times New Roman" w:eastAsia="Times New Roman" w:hAnsi="Times New Roman"/>
          <w:sz w:val="24"/>
          <w:szCs w:val="24"/>
          <w:lang w:eastAsia="en-US"/>
        </w:rPr>
        <w:t xml:space="preserve">, S., Julia, C., Gross, O., Oppert, J.-M., &amp; </w:t>
      </w:r>
      <w:proofErr w:type="spellStart"/>
      <w:r w:rsidRPr="001D653F">
        <w:rPr>
          <w:rFonts w:ascii="Times New Roman" w:eastAsia="Times New Roman" w:hAnsi="Times New Roman"/>
          <w:sz w:val="24"/>
          <w:szCs w:val="24"/>
          <w:lang w:eastAsia="en-US"/>
        </w:rPr>
        <w:t>Bellicha</w:t>
      </w:r>
      <w:proofErr w:type="spellEnd"/>
      <w:r w:rsidRPr="001D653F">
        <w:rPr>
          <w:rFonts w:ascii="Times New Roman" w:eastAsia="Times New Roman" w:hAnsi="Times New Roman"/>
          <w:sz w:val="24"/>
          <w:szCs w:val="24"/>
          <w:lang w:eastAsia="en-US"/>
        </w:rPr>
        <w:t xml:space="preserve">, A. (2024). Improving student diet and food security in higher education using participatory and co-creation approaches: A systematic review. International Journal of Behavioral Nutrition and Physical Activity, 21, Article 71. </w:t>
      </w:r>
      <w:hyperlink r:id="rId8" w:history="1">
        <w:r w:rsidRPr="001D653F">
          <w:rPr>
            <w:rFonts w:ascii="Times New Roman" w:eastAsia="Times New Roman" w:hAnsi="Times New Roman"/>
            <w:color w:val="0000FF"/>
            <w:sz w:val="24"/>
            <w:szCs w:val="24"/>
            <w:u w:val="single"/>
            <w:lang w:eastAsia="en-US"/>
          </w:rPr>
          <w:t>https://doi.org/10.1186/s12966-024-01613-7</w:t>
        </w:r>
      </w:hyperlink>
    </w:p>
    <w:p w14:paraId="63AF315A"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Bailey, R. L., West, K. P., Jr., &amp; Black, R. E. (2015). The epidemiology of global micronutrient deficiencies. Annals of Nutrition and Metabolism, 66(Suppl. 2), 22–33. </w:t>
      </w:r>
      <w:hyperlink r:id="rId9" w:history="1">
        <w:r w:rsidRPr="001D653F">
          <w:rPr>
            <w:rFonts w:ascii="Times New Roman" w:eastAsia="Times New Roman" w:hAnsi="Times New Roman"/>
            <w:color w:val="0000FF"/>
            <w:sz w:val="24"/>
            <w:szCs w:val="24"/>
            <w:u w:val="single"/>
            <w:lang w:eastAsia="en-US"/>
          </w:rPr>
          <w:t>https://doi.org/10.1159/000371618</w:t>
        </w:r>
      </w:hyperlink>
    </w:p>
    <w:p w14:paraId="53052C4D"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Berger, M. M., Shenkin, A., </w:t>
      </w:r>
      <w:proofErr w:type="spellStart"/>
      <w:r w:rsidRPr="001D653F">
        <w:rPr>
          <w:rFonts w:ascii="Times New Roman" w:eastAsia="Times New Roman" w:hAnsi="Times New Roman"/>
          <w:sz w:val="24"/>
          <w:szCs w:val="24"/>
          <w:lang w:eastAsia="en-US"/>
        </w:rPr>
        <w:t>Schweinlin</w:t>
      </w:r>
      <w:proofErr w:type="spellEnd"/>
      <w:r w:rsidRPr="001D653F">
        <w:rPr>
          <w:rFonts w:ascii="Times New Roman" w:eastAsia="Times New Roman" w:hAnsi="Times New Roman"/>
          <w:sz w:val="24"/>
          <w:szCs w:val="24"/>
          <w:lang w:eastAsia="en-US"/>
        </w:rPr>
        <w:t xml:space="preserve">, A., Amrein, K., Augsburger, M., Biesalski, H.-K., Bischoff, S. C., Casaer, M. P., Gundogan, K., Lepp, H.-L., de Man, A. M. E., </w:t>
      </w:r>
      <w:proofErr w:type="spellStart"/>
      <w:r w:rsidRPr="001D653F">
        <w:rPr>
          <w:rFonts w:ascii="Times New Roman" w:eastAsia="Times New Roman" w:hAnsi="Times New Roman"/>
          <w:sz w:val="24"/>
          <w:szCs w:val="24"/>
          <w:lang w:eastAsia="en-US"/>
        </w:rPr>
        <w:t>Muscogiuri</w:t>
      </w:r>
      <w:proofErr w:type="spellEnd"/>
      <w:r w:rsidRPr="001D653F">
        <w:rPr>
          <w:rFonts w:ascii="Times New Roman" w:eastAsia="Times New Roman" w:hAnsi="Times New Roman"/>
          <w:sz w:val="24"/>
          <w:szCs w:val="24"/>
          <w:lang w:eastAsia="en-US"/>
        </w:rPr>
        <w:t xml:space="preserve">, G., Pietka, M., </w:t>
      </w:r>
      <w:proofErr w:type="spellStart"/>
      <w:r w:rsidRPr="001D653F">
        <w:rPr>
          <w:rFonts w:ascii="Times New Roman" w:eastAsia="Times New Roman" w:hAnsi="Times New Roman"/>
          <w:sz w:val="24"/>
          <w:szCs w:val="24"/>
          <w:lang w:eastAsia="en-US"/>
        </w:rPr>
        <w:t>Pironi</w:t>
      </w:r>
      <w:proofErr w:type="spellEnd"/>
      <w:r w:rsidRPr="001D653F">
        <w:rPr>
          <w:rFonts w:ascii="Times New Roman" w:eastAsia="Times New Roman" w:hAnsi="Times New Roman"/>
          <w:sz w:val="24"/>
          <w:szCs w:val="24"/>
          <w:lang w:eastAsia="en-US"/>
        </w:rPr>
        <w:t xml:space="preserve">, L., </w:t>
      </w:r>
      <w:proofErr w:type="spellStart"/>
      <w:r w:rsidRPr="001D653F">
        <w:rPr>
          <w:rFonts w:ascii="Times New Roman" w:eastAsia="Times New Roman" w:hAnsi="Times New Roman"/>
          <w:sz w:val="24"/>
          <w:szCs w:val="24"/>
          <w:lang w:eastAsia="en-US"/>
        </w:rPr>
        <w:t>Rezzi</w:t>
      </w:r>
      <w:proofErr w:type="spellEnd"/>
      <w:r w:rsidRPr="001D653F">
        <w:rPr>
          <w:rFonts w:ascii="Times New Roman" w:eastAsia="Times New Roman" w:hAnsi="Times New Roman"/>
          <w:sz w:val="24"/>
          <w:szCs w:val="24"/>
          <w:lang w:eastAsia="en-US"/>
        </w:rPr>
        <w:t xml:space="preserve">, S., &amp; </w:t>
      </w:r>
      <w:proofErr w:type="spellStart"/>
      <w:r w:rsidRPr="001D653F">
        <w:rPr>
          <w:rFonts w:ascii="Times New Roman" w:eastAsia="Times New Roman" w:hAnsi="Times New Roman"/>
          <w:sz w:val="24"/>
          <w:szCs w:val="24"/>
          <w:lang w:eastAsia="en-US"/>
        </w:rPr>
        <w:t>Cuerda</w:t>
      </w:r>
      <w:proofErr w:type="spellEnd"/>
      <w:r w:rsidRPr="001D653F">
        <w:rPr>
          <w:rFonts w:ascii="Times New Roman" w:eastAsia="Times New Roman" w:hAnsi="Times New Roman"/>
          <w:sz w:val="24"/>
          <w:szCs w:val="24"/>
          <w:lang w:eastAsia="en-US"/>
        </w:rPr>
        <w:t xml:space="preserve">, C. (2022). ESPEN micronutrient guideline. Clinical Nutrition, 41(6), 1357–1424. </w:t>
      </w:r>
      <w:hyperlink r:id="rId10" w:history="1">
        <w:r w:rsidRPr="001D653F">
          <w:rPr>
            <w:rFonts w:ascii="Times New Roman" w:eastAsia="Times New Roman" w:hAnsi="Times New Roman"/>
            <w:color w:val="0000FF"/>
            <w:sz w:val="24"/>
            <w:szCs w:val="24"/>
            <w:u w:val="single"/>
            <w:lang w:eastAsia="en-US"/>
          </w:rPr>
          <w:t>https://doi.org/10.1016/j.clnu.2022.02.015</w:t>
        </w:r>
      </w:hyperlink>
    </w:p>
    <w:p w14:paraId="08816150"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Bhutta, Z. A., Das, J. K., Rizvi, A., Gaffey, M. F., Walker, N., Horton, S., Webb, P., Lartey, A., &amp; Black, R. E. (2013). Evidence-based interventions for improvement of maternal and child nutrition: What can be done and at what cost? The Lancet, 382(9890), 452–477. </w:t>
      </w:r>
      <w:hyperlink r:id="rId11" w:history="1">
        <w:r w:rsidRPr="001D653F">
          <w:rPr>
            <w:rFonts w:ascii="Times New Roman" w:eastAsia="Times New Roman" w:hAnsi="Times New Roman"/>
            <w:color w:val="0000FF"/>
            <w:sz w:val="24"/>
            <w:szCs w:val="24"/>
            <w:u w:val="single"/>
            <w:lang w:eastAsia="en-US"/>
          </w:rPr>
          <w:t>https://doi.org/10.1016/S0140-6736(13)60996-4</w:t>
        </w:r>
      </w:hyperlink>
    </w:p>
    <w:p w14:paraId="667EFDA5"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Black, R. E., Victora, C. G., Walker, S. P., Bhutta, Z. A., Christian, P., de Onis, M., Ezzati, M., Grantham-McGregor, S., Katz, J., Martorell, R., &amp; </w:t>
      </w:r>
      <w:proofErr w:type="spellStart"/>
      <w:r w:rsidRPr="001D653F">
        <w:rPr>
          <w:rFonts w:ascii="Times New Roman" w:eastAsia="Times New Roman" w:hAnsi="Times New Roman"/>
          <w:sz w:val="24"/>
          <w:szCs w:val="24"/>
          <w:lang w:eastAsia="en-US"/>
        </w:rPr>
        <w:t>Uauy</w:t>
      </w:r>
      <w:proofErr w:type="spellEnd"/>
      <w:r w:rsidRPr="001D653F">
        <w:rPr>
          <w:rFonts w:ascii="Times New Roman" w:eastAsia="Times New Roman" w:hAnsi="Times New Roman"/>
          <w:sz w:val="24"/>
          <w:szCs w:val="24"/>
          <w:lang w:eastAsia="en-US"/>
        </w:rPr>
        <w:t xml:space="preserve">, R. (2013). Maternal and child undernutrition and overweight in low-income and middle-income countries. The Lancet, 382(9890), 427–451. </w:t>
      </w:r>
      <w:hyperlink r:id="rId12" w:history="1">
        <w:r w:rsidRPr="001D653F">
          <w:rPr>
            <w:rFonts w:ascii="Times New Roman" w:eastAsia="Times New Roman" w:hAnsi="Times New Roman"/>
            <w:color w:val="0000FF"/>
            <w:sz w:val="24"/>
            <w:szCs w:val="24"/>
            <w:u w:val="single"/>
            <w:lang w:eastAsia="en-US"/>
          </w:rPr>
          <w:t>https://doi.org/10.1016/S0140-6736(13)60937-X</w:t>
        </w:r>
      </w:hyperlink>
    </w:p>
    <w:p w14:paraId="30D59D00"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lastRenderedPageBreak/>
        <w:t xml:space="preserve">Cena, H., &amp; Calder, P. C. (2020). Defining a healthy diet: Evidence for the role of contemporary dietary patterns in health and disease. Nutrients, 12(2), Article 334. </w:t>
      </w:r>
      <w:hyperlink r:id="rId13" w:history="1">
        <w:r w:rsidRPr="001D653F">
          <w:rPr>
            <w:rFonts w:ascii="Times New Roman" w:eastAsia="Times New Roman" w:hAnsi="Times New Roman"/>
            <w:color w:val="0000FF"/>
            <w:sz w:val="24"/>
            <w:szCs w:val="24"/>
            <w:u w:val="single"/>
            <w:lang w:eastAsia="en-US"/>
          </w:rPr>
          <w:t>https://doi.org/10.3390/nu12020334</w:t>
        </w:r>
      </w:hyperlink>
    </w:p>
    <w:p w14:paraId="0DF4DEB9"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Contento, I. R. (2016). Nutrition education: Linking research, theory, and practice (3rd ed.). Jones &amp; Bartlett Learning. </w:t>
      </w:r>
      <w:hyperlink r:id="rId14" w:history="1">
        <w:r w:rsidRPr="001D653F">
          <w:rPr>
            <w:rFonts w:ascii="Times New Roman" w:eastAsia="Times New Roman" w:hAnsi="Times New Roman"/>
            <w:color w:val="0000FF"/>
            <w:sz w:val="24"/>
            <w:szCs w:val="24"/>
            <w:u w:val="single"/>
            <w:lang w:eastAsia="en-US"/>
          </w:rPr>
          <w:t>https://www.tc.columbia.edu/faculty/irc6/</w:t>
        </w:r>
      </w:hyperlink>
    </w:p>
    <w:p w14:paraId="06110AE5"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Contento, I. R., &amp; Koch, P. A. (2021). Nutrition education: Linking research, theory, and practice (4th ed.). Jones &amp; Bartlett Learning. </w:t>
      </w:r>
      <w:hyperlink r:id="rId15" w:history="1">
        <w:r w:rsidRPr="001D653F">
          <w:rPr>
            <w:rFonts w:ascii="Times New Roman" w:eastAsia="Times New Roman" w:hAnsi="Times New Roman"/>
            <w:color w:val="0000FF"/>
            <w:sz w:val="24"/>
            <w:szCs w:val="24"/>
            <w:u w:val="single"/>
            <w:lang w:eastAsia="en-US"/>
          </w:rPr>
          <w:t>https://www.tc.columbia.edu/faculty/pak14/</w:t>
        </w:r>
      </w:hyperlink>
    </w:p>
    <w:p w14:paraId="42FD66A6"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Costa, M. I., Sarmento-Ribeiro, A. B., &amp; Gonçalves, A. C. (2023). Zinc: From biological functions to therapeutic potential. International Journal of Molecular Sciences, 24(5), Article 4822. </w:t>
      </w:r>
      <w:hyperlink r:id="rId16" w:history="1">
        <w:r w:rsidRPr="001D653F">
          <w:rPr>
            <w:rFonts w:ascii="Times New Roman" w:eastAsia="Times New Roman" w:hAnsi="Times New Roman"/>
            <w:color w:val="0000FF"/>
            <w:sz w:val="24"/>
            <w:szCs w:val="24"/>
            <w:u w:val="single"/>
            <w:lang w:eastAsia="en-US"/>
          </w:rPr>
          <w:t>https://doi.org/10.3390/ijms24054822</w:t>
        </w:r>
      </w:hyperlink>
    </w:p>
    <w:p w14:paraId="0E57BBEF"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de Onis, M., Onyango, A. W., Van den Broeck, J., </w:t>
      </w:r>
      <w:proofErr w:type="spellStart"/>
      <w:r w:rsidRPr="001D653F">
        <w:rPr>
          <w:rFonts w:ascii="Times New Roman" w:eastAsia="Times New Roman" w:hAnsi="Times New Roman"/>
          <w:sz w:val="24"/>
          <w:szCs w:val="24"/>
          <w:lang w:eastAsia="en-US"/>
        </w:rPr>
        <w:t>Chumlea</w:t>
      </w:r>
      <w:proofErr w:type="spellEnd"/>
      <w:r w:rsidRPr="001D653F">
        <w:rPr>
          <w:rFonts w:ascii="Times New Roman" w:eastAsia="Times New Roman" w:hAnsi="Times New Roman"/>
          <w:sz w:val="24"/>
          <w:szCs w:val="24"/>
          <w:lang w:eastAsia="en-US"/>
        </w:rPr>
        <w:t xml:space="preserve">, W. C., &amp; Martorell, R. (2004). Measurement and standardization protocols for anthropometry used in the construction of a new international growth reference. Food and Nutrition Bulletin, 25(1 Suppl.), S27–S36. </w:t>
      </w:r>
      <w:hyperlink r:id="rId17" w:history="1">
        <w:r w:rsidRPr="001D653F">
          <w:rPr>
            <w:rFonts w:ascii="Times New Roman" w:eastAsia="Times New Roman" w:hAnsi="Times New Roman"/>
            <w:color w:val="0000FF"/>
            <w:sz w:val="24"/>
            <w:szCs w:val="24"/>
            <w:u w:val="single"/>
            <w:lang w:eastAsia="en-US"/>
          </w:rPr>
          <w:t>https://doi.org/10.1177/15648265040251S105</w:t>
        </w:r>
      </w:hyperlink>
    </w:p>
    <w:p w14:paraId="56D17A31"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Food and Agriculture Organization of the United Nations, International Fund for Agricultural Development, United Nations Children's Fund, World Food </w:t>
      </w:r>
      <w:proofErr w:type="spellStart"/>
      <w:r w:rsidRPr="001D653F">
        <w:rPr>
          <w:rFonts w:ascii="Times New Roman" w:eastAsia="Times New Roman" w:hAnsi="Times New Roman"/>
          <w:sz w:val="24"/>
          <w:szCs w:val="24"/>
          <w:lang w:eastAsia="en-US"/>
        </w:rPr>
        <w:t>Programme</w:t>
      </w:r>
      <w:proofErr w:type="spellEnd"/>
      <w:r w:rsidRPr="001D653F">
        <w:rPr>
          <w:rFonts w:ascii="Times New Roman" w:eastAsia="Times New Roman" w:hAnsi="Times New Roman"/>
          <w:sz w:val="24"/>
          <w:szCs w:val="24"/>
          <w:lang w:eastAsia="en-US"/>
        </w:rPr>
        <w:t xml:space="preserve">, &amp; World Health Organization. (2023). The state of food security and nutrition in the world 2023: Urbanization, agrifood systems transformation and healthy diets across the rural–urban continuum. Food and Agriculture Organization of the United Nations. </w:t>
      </w:r>
      <w:hyperlink r:id="rId18" w:history="1">
        <w:r w:rsidRPr="001D653F">
          <w:rPr>
            <w:rFonts w:ascii="Times New Roman" w:eastAsia="Times New Roman" w:hAnsi="Times New Roman"/>
            <w:color w:val="0000FF"/>
            <w:sz w:val="24"/>
            <w:szCs w:val="24"/>
            <w:u w:val="single"/>
            <w:lang w:eastAsia="en-US"/>
          </w:rPr>
          <w:t>https://doi.org/10.4060/cc3017en</w:t>
        </w:r>
      </w:hyperlink>
    </w:p>
    <w:p w14:paraId="3D4996BF"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Food and Agriculture Organization of the United Nations, International Fund for Agricultural Development, United Nations Children's Fund, World Food </w:t>
      </w:r>
      <w:proofErr w:type="spellStart"/>
      <w:r w:rsidRPr="001D653F">
        <w:rPr>
          <w:rFonts w:ascii="Times New Roman" w:eastAsia="Times New Roman" w:hAnsi="Times New Roman"/>
          <w:sz w:val="24"/>
          <w:szCs w:val="24"/>
          <w:lang w:eastAsia="en-US"/>
        </w:rPr>
        <w:t>Programme</w:t>
      </w:r>
      <w:proofErr w:type="spellEnd"/>
      <w:r w:rsidRPr="001D653F">
        <w:rPr>
          <w:rFonts w:ascii="Times New Roman" w:eastAsia="Times New Roman" w:hAnsi="Times New Roman"/>
          <w:sz w:val="24"/>
          <w:szCs w:val="24"/>
          <w:lang w:eastAsia="en-US"/>
        </w:rPr>
        <w:t xml:space="preserve">, &amp; World Health Organization. (2024). The state of food security and nutrition in the world 2024: Financing to end hunger, food insecurity and malnutrition in all its forms. Food and Agriculture Organization of the United Nations. </w:t>
      </w:r>
      <w:hyperlink r:id="rId19" w:history="1">
        <w:r w:rsidRPr="001D653F">
          <w:rPr>
            <w:rFonts w:ascii="Times New Roman" w:eastAsia="Times New Roman" w:hAnsi="Times New Roman"/>
            <w:color w:val="0000FF"/>
            <w:sz w:val="24"/>
            <w:szCs w:val="24"/>
            <w:u w:val="single"/>
            <w:lang w:eastAsia="en-US"/>
          </w:rPr>
          <w:t>https://doi.org/10.4060/cd1254en</w:t>
        </w:r>
      </w:hyperlink>
    </w:p>
    <w:p w14:paraId="4B28FB46"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Gibson, R. S. (2005). Principles of nutritional assessment (2nd ed.). Oxford University Press. </w:t>
      </w:r>
      <w:hyperlink r:id="rId20" w:history="1">
        <w:r w:rsidRPr="001D653F">
          <w:rPr>
            <w:rFonts w:ascii="Times New Roman" w:eastAsia="Times New Roman" w:hAnsi="Times New Roman"/>
            <w:color w:val="0000FF"/>
            <w:sz w:val="24"/>
            <w:szCs w:val="24"/>
            <w:u w:val="single"/>
            <w:lang w:eastAsia="en-US"/>
          </w:rPr>
          <w:t>https://doi.org/10.1093/oso/9780195171693.001.0001</w:t>
        </w:r>
      </w:hyperlink>
    </w:p>
    <w:p w14:paraId="7E3C76C1"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Gupta, A., Smithers, L. G., Harford, J., Merlin, T., &amp; </w:t>
      </w:r>
      <w:proofErr w:type="spellStart"/>
      <w:r w:rsidRPr="001D653F">
        <w:rPr>
          <w:rFonts w:ascii="Times New Roman" w:eastAsia="Times New Roman" w:hAnsi="Times New Roman"/>
          <w:sz w:val="24"/>
          <w:szCs w:val="24"/>
          <w:lang w:eastAsia="en-US"/>
        </w:rPr>
        <w:t>Braunack</w:t>
      </w:r>
      <w:proofErr w:type="spellEnd"/>
      <w:r w:rsidRPr="001D653F">
        <w:rPr>
          <w:rFonts w:ascii="Times New Roman" w:eastAsia="Times New Roman" w:hAnsi="Times New Roman"/>
          <w:sz w:val="24"/>
          <w:szCs w:val="24"/>
          <w:lang w:eastAsia="en-US"/>
        </w:rPr>
        <w:t xml:space="preserve">-Mayer, A. (2018). Determinants of knowledge and attitudes about sugar and the association of knowledge and attitudes with sugar intake among adults: A systematic review. Appetite, 126, 185–194. </w:t>
      </w:r>
      <w:hyperlink r:id="rId21" w:history="1">
        <w:r w:rsidRPr="001D653F">
          <w:rPr>
            <w:rFonts w:ascii="Times New Roman" w:eastAsia="Times New Roman" w:hAnsi="Times New Roman"/>
            <w:color w:val="0000FF"/>
            <w:sz w:val="24"/>
            <w:szCs w:val="24"/>
            <w:u w:val="single"/>
            <w:lang w:eastAsia="en-US"/>
          </w:rPr>
          <w:t>https://doi.org/10.1016/j.appet.2018.03.019</w:t>
        </w:r>
      </w:hyperlink>
    </w:p>
    <w:p w14:paraId="70A4D182"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Hall, K. D., </w:t>
      </w:r>
      <w:proofErr w:type="spellStart"/>
      <w:r w:rsidRPr="001D653F">
        <w:rPr>
          <w:rFonts w:ascii="Times New Roman" w:eastAsia="Times New Roman" w:hAnsi="Times New Roman"/>
          <w:sz w:val="24"/>
          <w:szCs w:val="24"/>
          <w:lang w:eastAsia="en-US"/>
        </w:rPr>
        <w:t>Ayuketah</w:t>
      </w:r>
      <w:proofErr w:type="spellEnd"/>
      <w:r w:rsidRPr="001D653F">
        <w:rPr>
          <w:rFonts w:ascii="Times New Roman" w:eastAsia="Times New Roman" w:hAnsi="Times New Roman"/>
          <w:sz w:val="24"/>
          <w:szCs w:val="24"/>
          <w:lang w:eastAsia="en-US"/>
        </w:rPr>
        <w:t xml:space="preserve">, A., Brychta, R., Cai, H., Cassimatis, T., Chen, K. Y., Chung, S. T., Costa, E., Courville, A., Darcey, V., Fletcher, L. A., Forde, C. G., Gharib, A. M., Guo, J., Howard, R., Joseph, P. V., McGehee, S., Ouwerkerk, R., </w:t>
      </w:r>
      <w:proofErr w:type="spellStart"/>
      <w:r w:rsidRPr="001D653F">
        <w:rPr>
          <w:rFonts w:ascii="Times New Roman" w:eastAsia="Times New Roman" w:hAnsi="Times New Roman"/>
          <w:sz w:val="24"/>
          <w:szCs w:val="24"/>
          <w:lang w:eastAsia="en-US"/>
        </w:rPr>
        <w:t>Raisinger</w:t>
      </w:r>
      <w:proofErr w:type="spellEnd"/>
      <w:r w:rsidRPr="001D653F">
        <w:rPr>
          <w:rFonts w:ascii="Times New Roman" w:eastAsia="Times New Roman" w:hAnsi="Times New Roman"/>
          <w:sz w:val="24"/>
          <w:szCs w:val="24"/>
          <w:lang w:eastAsia="en-US"/>
        </w:rPr>
        <w:t xml:space="preserve">, K., . . . Zhou, M. (2019). Ultra-processed diets cause excess calorie intake and weight gain: An inpatient randomized controlled trial of ad libitum food intake. Cell Metabolism, 30(1), 67–77.e3. </w:t>
      </w:r>
      <w:hyperlink r:id="rId22" w:history="1">
        <w:r w:rsidRPr="001D653F">
          <w:rPr>
            <w:rFonts w:ascii="Times New Roman" w:eastAsia="Times New Roman" w:hAnsi="Times New Roman"/>
            <w:color w:val="0000FF"/>
            <w:sz w:val="24"/>
            <w:szCs w:val="24"/>
            <w:u w:val="single"/>
            <w:lang w:eastAsia="en-US"/>
          </w:rPr>
          <w:t>https://doi.org/10.1016/j.cmet.2019.05.008</w:t>
        </w:r>
      </w:hyperlink>
    </w:p>
    <w:p w14:paraId="526EC8EC" w14:textId="0E87D88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Jayedi, A., Soltani, S., Zargar, M. S., Khan, T. A., &amp; Shab-Bidar, S. (2020). Central fatness and risk of </w:t>
      </w:r>
      <w:proofErr w:type="spellStart"/>
      <w:r w:rsidRPr="001D653F">
        <w:rPr>
          <w:rFonts w:ascii="Times New Roman" w:eastAsia="Times New Roman" w:hAnsi="Times New Roman"/>
          <w:sz w:val="24"/>
          <w:szCs w:val="24"/>
          <w:lang w:eastAsia="en-US"/>
        </w:rPr>
        <w:t>all cause</w:t>
      </w:r>
      <w:proofErr w:type="spellEnd"/>
      <w:r w:rsidRPr="001D653F">
        <w:rPr>
          <w:rFonts w:ascii="Times New Roman" w:eastAsia="Times New Roman" w:hAnsi="Times New Roman"/>
          <w:sz w:val="24"/>
          <w:szCs w:val="24"/>
          <w:lang w:eastAsia="en-US"/>
        </w:rPr>
        <w:t xml:space="preserve"> mortality: Systematic review and dose-response meta-analysis of 72 prospective cohort studies. BMJ, 370, m3324. </w:t>
      </w:r>
      <w:hyperlink r:id="rId23" w:history="1">
        <w:r w:rsidRPr="009925B1">
          <w:rPr>
            <w:rStyle w:val="Hyperlink"/>
            <w:rFonts w:ascii="Times New Roman" w:eastAsia="Times New Roman" w:hAnsi="Times New Roman"/>
            <w:sz w:val="24"/>
            <w:szCs w:val="24"/>
            <w:lang w:eastAsia="en-US"/>
          </w:rPr>
          <w:t>https://doi.org/10.1136/bmj.m3324</w:t>
        </w:r>
      </w:hyperlink>
    </w:p>
    <w:p w14:paraId="5D19669F"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lastRenderedPageBreak/>
        <w:t xml:space="preserve">Jenkins, M., Jefferds, M. E. D., Aburto, N. J., Ramakrishnan, U., Hartman, T. J., Martorell, R., &amp; Addo, O. Y. (2024). Development of a population-level dichotomous indicator of minimum dietary diversity as a proxy for micronutrient adequacy in adolescents aged 10–19 y in the United States. The Journal of Nutrition, 154(9), 2795–2806. </w:t>
      </w:r>
      <w:hyperlink r:id="rId24" w:history="1">
        <w:r w:rsidRPr="001D653F">
          <w:rPr>
            <w:rFonts w:ascii="Times New Roman" w:eastAsia="Times New Roman" w:hAnsi="Times New Roman"/>
            <w:color w:val="0000FF"/>
            <w:sz w:val="24"/>
            <w:szCs w:val="24"/>
            <w:u w:val="single"/>
            <w:lang w:eastAsia="en-US"/>
          </w:rPr>
          <w:t>https://doi.org/10.1016/j.tjnut.2024.06.002</w:t>
        </w:r>
      </w:hyperlink>
    </w:p>
    <w:p w14:paraId="5FED4BE1" w14:textId="571A1756"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Kennedy, G. L., Pedro, M. R., </w:t>
      </w:r>
      <w:proofErr w:type="spellStart"/>
      <w:r w:rsidRPr="001D653F">
        <w:rPr>
          <w:rFonts w:ascii="Times New Roman" w:eastAsia="Times New Roman" w:hAnsi="Times New Roman"/>
          <w:sz w:val="24"/>
          <w:szCs w:val="24"/>
          <w:lang w:eastAsia="en-US"/>
        </w:rPr>
        <w:t>Seghieri</w:t>
      </w:r>
      <w:proofErr w:type="spellEnd"/>
      <w:r w:rsidRPr="001D653F">
        <w:rPr>
          <w:rFonts w:ascii="Times New Roman" w:eastAsia="Times New Roman" w:hAnsi="Times New Roman"/>
          <w:sz w:val="24"/>
          <w:szCs w:val="24"/>
          <w:lang w:eastAsia="en-US"/>
        </w:rPr>
        <w:t xml:space="preserve">, C., Nantel, G., &amp; Brouwer, I. D. (2007). Dietary diversity score is a useful indicator of micronutrient intake in non-breast-feeding Filipino children. The Journal of Nutrition, 137(2), 472–477. </w:t>
      </w:r>
      <w:hyperlink r:id="rId25" w:history="1">
        <w:r w:rsidRPr="009925B1">
          <w:rPr>
            <w:rStyle w:val="Hyperlink"/>
            <w:rFonts w:ascii="Times New Roman" w:eastAsia="Times New Roman" w:hAnsi="Times New Roman"/>
            <w:sz w:val="24"/>
            <w:szCs w:val="24"/>
            <w:lang w:eastAsia="en-US"/>
          </w:rPr>
          <w:t>https://doi.org/10.1093/jn/137.2.472</w:t>
        </w:r>
      </w:hyperlink>
    </w:p>
    <w:p w14:paraId="4EB36EA8"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proofErr w:type="spellStart"/>
      <w:r w:rsidRPr="001D653F">
        <w:rPr>
          <w:rFonts w:ascii="Times New Roman" w:eastAsia="Times New Roman" w:hAnsi="Times New Roman"/>
          <w:sz w:val="24"/>
          <w:szCs w:val="24"/>
          <w:lang w:eastAsia="en-US"/>
        </w:rPr>
        <w:t>Korkalo</w:t>
      </w:r>
      <w:proofErr w:type="spellEnd"/>
      <w:r w:rsidRPr="001D653F">
        <w:rPr>
          <w:rFonts w:ascii="Times New Roman" w:eastAsia="Times New Roman" w:hAnsi="Times New Roman"/>
          <w:sz w:val="24"/>
          <w:szCs w:val="24"/>
          <w:lang w:eastAsia="en-US"/>
        </w:rPr>
        <w:t xml:space="preserve">, L., </w:t>
      </w:r>
      <w:proofErr w:type="spellStart"/>
      <w:r w:rsidRPr="001D653F">
        <w:rPr>
          <w:rFonts w:ascii="Times New Roman" w:eastAsia="Times New Roman" w:hAnsi="Times New Roman"/>
          <w:sz w:val="24"/>
          <w:szCs w:val="24"/>
          <w:lang w:eastAsia="en-US"/>
        </w:rPr>
        <w:t>Erkkola</w:t>
      </w:r>
      <w:proofErr w:type="spellEnd"/>
      <w:r w:rsidRPr="001D653F">
        <w:rPr>
          <w:rFonts w:ascii="Times New Roman" w:eastAsia="Times New Roman" w:hAnsi="Times New Roman"/>
          <w:sz w:val="24"/>
          <w:szCs w:val="24"/>
          <w:lang w:eastAsia="en-US"/>
        </w:rPr>
        <w:t xml:space="preserve">, M., Heinonen, A. E., Freese, R., Selvester, K., &amp; Mutanen, M. (2017). Associations of dietary diversity scores and micronutrient status in adolescent Mozambican girls. European Journal of Nutrition, 56(3), 1179–1189. </w:t>
      </w:r>
      <w:hyperlink r:id="rId26" w:history="1">
        <w:r w:rsidRPr="001D653F">
          <w:rPr>
            <w:rFonts w:ascii="Times New Roman" w:eastAsia="Times New Roman" w:hAnsi="Times New Roman"/>
            <w:color w:val="0000FF"/>
            <w:sz w:val="24"/>
            <w:szCs w:val="24"/>
            <w:u w:val="single"/>
            <w:lang w:eastAsia="en-US"/>
          </w:rPr>
          <w:t>https://doi.org/10.1007/s00394-016-1167-3</w:t>
        </w:r>
      </w:hyperlink>
    </w:p>
    <w:p w14:paraId="54A90E1A"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Kuroda, Y. (2024). Essential role of micronutrients: Health and wellness. Journal of Nutrition &amp; Food Sciences, 14, Article 32. </w:t>
      </w:r>
      <w:hyperlink r:id="rId27" w:history="1">
        <w:r w:rsidRPr="001D653F">
          <w:rPr>
            <w:rFonts w:ascii="Times New Roman" w:eastAsia="Times New Roman" w:hAnsi="Times New Roman"/>
            <w:color w:val="0000FF"/>
            <w:sz w:val="24"/>
            <w:szCs w:val="24"/>
            <w:u w:val="single"/>
            <w:lang w:eastAsia="en-US"/>
          </w:rPr>
          <w:t>https://doi.org/10.35248/2155-9600.24.14.32</w:t>
        </w:r>
      </w:hyperlink>
    </w:p>
    <w:p w14:paraId="748EEAF0"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Latha, K. S., &amp; Prakash, S. (2024). Biofortification for enhancement of zinc (Zn) and iron (Fe) content in wheat (Triticum aestivum L.): A comprehensive review. Plant Cell Biotechnology and Molecular Biology, 25(5–6), 64–75. </w:t>
      </w:r>
      <w:hyperlink r:id="rId28" w:history="1">
        <w:r w:rsidRPr="001D653F">
          <w:rPr>
            <w:rFonts w:ascii="Times New Roman" w:eastAsia="Times New Roman" w:hAnsi="Times New Roman"/>
            <w:color w:val="0000FF"/>
            <w:sz w:val="24"/>
            <w:szCs w:val="24"/>
            <w:u w:val="single"/>
            <w:lang w:eastAsia="en-US"/>
          </w:rPr>
          <w:t>https://doi.org/10.56557/pcbmb/2024/v25i5-68695</w:t>
        </w:r>
      </w:hyperlink>
    </w:p>
    <w:p w14:paraId="29D7DDD1"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Leroy, J. L., Olney, D. K., </w:t>
      </w:r>
      <w:proofErr w:type="spellStart"/>
      <w:r w:rsidRPr="001D653F">
        <w:rPr>
          <w:rFonts w:ascii="Times New Roman" w:eastAsia="Times New Roman" w:hAnsi="Times New Roman"/>
          <w:sz w:val="24"/>
          <w:szCs w:val="24"/>
          <w:lang w:eastAsia="en-US"/>
        </w:rPr>
        <w:t>Bliznashka</w:t>
      </w:r>
      <w:proofErr w:type="spellEnd"/>
      <w:r w:rsidRPr="001D653F">
        <w:rPr>
          <w:rFonts w:ascii="Times New Roman" w:eastAsia="Times New Roman" w:hAnsi="Times New Roman"/>
          <w:sz w:val="24"/>
          <w:szCs w:val="24"/>
          <w:lang w:eastAsia="en-US"/>
        </w:rPr>
        <w:t xml:space="preserve">, L., &amp; Ruel, M. T. (2020). </w:t>
      </w:r>
      <w:proofErr w:type="spellStart"/>
      <w:r w:rsidRPr="001D653F">
        <w:rPr>
          <w:rFonts w:ascii="Times New Roman" w:eastAsia="Times New Roman" w:hAnsi="Times New Roman"/>
          <w:sz w:val="24"/>
          <w:szCs w:val="24"/>
          <w:lang w:eastAsia="en-US"/>
        </w:rPr>
        <w:t>Tubaramure</w:t>
      </w:r>
      <w:proofErr w:type="spellEnd"/>
      <w:r w:rsidRPr="001D653F">
        <w:rPr>
          <w:rFonts w:ascii="Times New Roman" w:eastAsia="Times New Roman" w:hAnsi="Times New Roman"/>
          <w:sz w:val="24"/>
          <w:szCs w:val="24"/>
          <w:lang w:eastAsia="en-US"/>
        </w:rPr>
        <w:t xml:space="preserve">, a food-assisted maternal and child health and nutrition program in Burundi, increased household food security and energy and micronutrient consumption, and maternal and child dietary diversity: A cluster-randomized controlled trial. The Journal of Nutrition, 150(4), 945–957. </w:t>
      </w:r>
      <w:hyperlink r:id="rId29" w:history="1">
        <w:r w:rsidRPr="001D653F">
          <w:rPr>
            <w:rFonts w:ascii="Times New Roman" w:eastAsia="Times New Roman" w:hAnsi="Times New Roman"/>
            <w:color w:val="0000FF"/>
            <w:sz w:val="24"/>
            <w:szCs w:val="24"/>
            <w:u w:val="single"/>
            <w:lang w:eastAsia="en-US"/>
          </w:rPr>
          <w:t>https://doi.org/10.1093/jn/nxz295</w:t>
        </w:r>
      </w:hyperlink>
    </w:p>
    <w:p w14:paraId="596572AA"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Li, X., Huang, Y., Yin, R., Pan, C., Cai, Y., &amp; Wang, Z. (2019). Visualized nutrition education and dietary behavioral change: A systematic review and meta-analysis. Critical Reviews in Food Science and Nutrition, 59(12), 1976–1985. </w:t>
      </w:r>
      <w:hyperlink r:id="rId30" w:history="1">
        <w:r w:rsidRPr="001D653F">
          <w:rPr>
            <w:rFonts w:ascii="Times New Roman" w:eastAsia="Times New Roman" w:hAnsi="Times New Roman"/>
            <w:color w:val="0000FF"/>
            <w:sz w:val="24"/>
            <w:szCs w:val="24"/>
            <w:u w:val="single"/>
            <w:lang w:eastAsia="en-US"/>
          </w:rPr>
          <w:t>https://doi.org/10.1080/10408398.2018.1469466</w:t>
        </w:r>
      </w:hyperlink>
    </w:p>
    <w:p w14:paraId="23ECD880"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Liao, L.-L., Lee, C.-K., Lai, I.-J., &amp; Chang, L.-C. (2025). Preliminary effectiveness of VR-enhanced nutrition education for promoting healthy diets among college students. Nutrition Journal, 24, Article 125. </w:t>
      </w:r>
      <w:hyperlink r:id="rId31" w:history="1">
        <w:r w:rsidRPr="001D653F">
          <w:rPr>
            <w:rFonts w:ascii="Times New Roman" w:eastAsia="Times New Roman" w:hAnsi="Times New Roman"/>
            <w:color w:val="0000FF"/>
            <w:sz w:val="24"/>
            <w:szCs w:val="24"/>
            <w:u w:val="single"/>
            <w:lang w:eastAsia="en-US"/>
          </w:rPr>
          <w:t>https://doi.org/10.1186/s12937-025-01192-8</w:t>
        </w:r>
      </w:hyperlink>
    </w:p>
    <w:p w14:paraId="503A59D3"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Lowe, N. M. (2021). The global challenge of hidden hunger: Perspectives from the field. Proceedings of the Nutrition Society, 80(3), 283–289. </w:t>
      </w:r>
      <w:hyperlink r:id="rId32" w:history="1">
        <w:r w:rsidRPr="001D653F">
          <w:rPr>
            <w:rFonts w:ascii="Times New Roman" w:eastAsia="Times New Roman" w:hAnsi="Times New Roman"/>
            <w:color w:val="0000FF"/>
            <w:sz w:val="24"/>
            <w:szCs w:val="24"/>
            <w:u w:val="single"/>
            <w:lang w:eastAsia="en-US"/>
          </w:rPr>
          <w:t>https://doi.org/10.1017/S0029665121000902</w:t>
        </w:r>
      </w:hyperlink>
    </w:p>
    <w:p w14:paraId="6994DDC0"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Miller, V., Micha, R., Choi, E., Karageorgou, D., Webb, P., &amp; </w:t>
      </w:r>
      <w:proofErr w:type="spellStart"/>
      <w:r w:rsidRPr="001D653F">
        <w:rPr>
          <w:rFonts w:ascii="Times New Roman" w:eastAsia="Times New Roman" w:hAnsi="Times New Roman"/>
          <w:sz w:val="24"/>
          <w:szCs w:val="24"/>
          <w:lang w:eastAsia="en-US"/>
        </w:rPr>
        <w:t>Mozaffarian</w:t>
      </w:r>
      <w:proofErr w:type="spellEnd"/>
      <w:r w:rsidRPr="001D653F">
        <w:rPr>
          <w:rFonts w:ascii="Times New Roman" w:eastAsia="Times New Roman" w:hAnsi="Times New Roman"/>
          <w:sz w:val="24"/>
          <w:szCs w:val="24"/>
          <w:lang w:eastAsia="en-US"/>
        </w:rPr>
        <w:t xml:space="preserve">, D. (2022). Evaluation of the quality of evidence of the association of foods and nutrients with cardiovascular disease and diabetes: A systematic review. JAMA Network Open, 5(2), Article e2146705. </w:t>
      </w:r>
      <w:hyperlink r:id="rId33" w:history="1">
        <w:r w:rsidRPr="001D653F">
          <w:rPr>
            <w:rFonts w:ascii="Times New Roman" w:eastAsia="Times New Roman" w:hAnsi="Times New Roman"/>
            <w:color w:val="0000FF"/>
            <w:sz w:val="24"/>
            <w:szCs w:val="24"/>
            <w:u w:val="single"/>
            <w:lang w:eastAsia="en-US"/>
          </w:rPr>
          <w:t>https://doi.org/10.1001/jamanetworkopen.2021.46705</w:t>
        </w:r>
      </w:hyperlink>
    </w:p>
    <w:p w14:paraId="5811AD14" w14:textId="236199DC"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Ministry of Budget and National Planning. (2016). National policy on food and nutrition in </w:t>
      </w:r>
      <w:proofErr w:type="spellStart"/>
      <w:r w:rsidRPr="001D653F">
        <w:rPr>
          <w:rFonts w:ascii="Times New Roman" w:eastAsia="Times New Roman" w:hAnsi="Times New Roman"/>
          <w:sz w:val="24"/>
          <w:szCs w:val="24"/>
          <w:lang w:eastAsia="en-US"/>
        </w:rPr>
        <w:t>Nigeria.</w:t>
      </w:r>
      <w:hyperlink r:id="rId34" w:history="1">
        <w:r w:rsidRPr="009925B1">
          <w:rPr>
            <w:rStyle w:val="Hyperlink"/>
            <w:rFonts w:ascii="Times New Roman" w:eastAsia="Times New Roman" w:hAnsi="Times New Roman"/>
            <w:sz w:val="24"/>
            <w:szCs w:val="24"/>
            <w:lang w:eastAsia="en-US"/>
          </w:rPr>
          <w:t>https</w:t>
        </w:r>
        <w:proofErr w:type="spellEnd"/>
        <w:r w:rsidRPr="009925B1">
          <w:rPr>
            <w:rStyle w:val="Hyperlink"/>
            <w:rFonts w:ascii="Times New Roman" w:eastAsia="Times New Roman" w:hAnsi="Times New Roman"/>
            <w:sz w:val="24"/>
            <w:szCs w:val="24"/>
            <w:lang w:eastAsia="en-US"/>
          </w:rPr>
          <w:t>://faolex.fao.org/docs/pdf/nig184608.pdf</w:t>
        </w:r>
      </w:hyperlink>
    </w:p>
    <w:p w14:paraId="6B597159"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lastRenderedPageBreak/>
        <w:t xml:space="preserve">National Population Commission (NPC) [Nigeria], &amp; ICF. (2019). Nigeria demographic and health survey 2018. </w:t>
      </w:r>
      <w:hyperlink r:id="rId35" w:history="1">
        <w:r w:rsidRPr="001D653F">
          <w:rPr>
            <w:rFonts w:ascii="Times New Roman" w:eastAsia="Times New Roman" w:hAnsi="Times New Roman"/>
            <w:color w:val="0000FF"/>
            <w:sz w:val="24"/>
            <w:szCs w:val="24"/>
            <w:u w:val="single"/>
            <w:lang w:eastAsia="en-US"/>
          </w:rPr>
          <w:t>https://www.dhsprogram.com/pubs/pdf/FR359/FR359.pdf</w:t>
        </w:r>
      </w:hyperlink>
    </w:p>
    <w:p w14:paraId="615E5B11"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Nguyen, L. T., Nam, K. D., Duong, P. T., Pham, T. C. T., &amp; Komatsu, Y. (2024). Enhancing nutritional status and addressing micronutrient deficiencies: Evaluating the impact of workplace nutrition program on female workers in Vietnam. Journal of Nutritional Science and </w:t>
      </w:r>
      <w:proofErr w:type="spellStart"/>
      <w:r w:rsidRPr="001D653F">
        <w:rPr>
          <w:rFonts w:ascii="Times New Roman" w:eastAsia="Times New Roman" w:hAnsi="Times New Roman"/>
          <w:sz w:val="24"/>
          <w:szCs w:val="24"/>
          <w:lang w:eastAsia="en-US"/>
        </w:rPr>
        <w:t>Vitaminology</w:t>
      </w:r>
      <w:proofErr w:type="spellEnd"/>
      <w:r w:rsidRPr="001D653F">
        <w:rPr>
          <w:rFonts w:ascii="Times New Roman" w:eastAsia="Times New Roman" w:hAnsi="Times New Roman"/>
          <w:sz w:val="24"/>
          <w:szCs w:val="24"/>
          <w:lang w:eastAsia="en-US"/>
        </w:rPr>
        <w:t xml:space="preserve">, 70(2), 131–138. </w:t>
      </w:r>
      <w:hyperlink r:id="rId36" w:history="1">
        <w:r w:rsidRPr="001D653F">
          <w:rPr>
            <w:rFonts w:ascii="Times New Roman" w:eastAsia="Times New Roman" w:hAnsi="Times New Roman"/>
            <w:color w:val="0000FF"/>
            <w:sz w:val="24"/>
            <w:szCs w:val="24"/>
            <w:u w:val="single"/>
            <w:lang w:eastAsia="en-US"/>
          </w:rPr>
          <w:t>https://doi.org/10.3177/jnsv.70.131</w:t>
        </w:r>
      </w:hyperlink>
    </w:p>
    <w:p w14:paraId="7BD87F34"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proofErr w:type="spellStart"/>
      <w:r w:rsidRPr="001D653F">
        <w:rPr>
          <w:rFonts w:ascii="Times New Roman" w:eastAsia="Times New Roman" w:hAnsi="Times New Roman"/>
          <w:sz w:val="24"/>
          <w:szCs w:val="24"/>
          <w:lang w:eastAsia="en-US"/>
        </w:rPr>
        <w:t>Osendarp</w:t>
      </w:r>
      <w:proofErr w:type="spellEnd"/>
      <w:r w:rsidRPr="001D653F">
        <w:rPr>
          <w:rFonts w:ascii="Times New Roman" w:eastAsia="Times New Roman" w:hAnsi="Times New Roman"/>
          <w:sz w:val="24"/>
          <w:szCs w:val="24"/>
          <w:lang w:eastAsia="en-US"/>
        </w:rPr>
        <w:t>, S. J. M., Martinez, H., Garrett, G. S., Neufeld, L. M., De-</w:t>
      </w:r>
      <w:proofErr w:type="spellStart"/>
      <w:r w:rsidRPr="001D653F">
        <w:rPr>
          <w:rFonts w:ascii="Times New Roman" w:eastAsia="Times New Roman" w:hAnsi="Times New Roman"/>
          <w:sz w:val="24"/>
          <w:szCs w:val="24"/>
          <w:lang w:eastAsia="en-US"/>
        </w:rPr>
        <w:t>Regil</w:t>
      </w:r>
      <w:proofErr w:type="spellEnd"/>
      <w:r w:rsidRPr="001D653F">
        <w:rPr>
          <w:rFonts w:ascii="Times New Roman" w:eastAsia="Times New Roman" w:hAnsi="Times New Roman"/>
          <w:sz w:val="24"/>
          <w:szCs w:val="24"/>
          <w:lang w:eastAsia="en-US"/>
        </w:rPr>
        <w:t xml:space="preserve">, L. M., </w:t>
      </w:r>
      <w:proofErr w:type="spellStart"/>
      <w:r w:rsidRPr="001D653F">
        <w:rPr>
          <w:rFonts w:ascii="Times New Roman" w:eastAsia="Times New Roman" w:hAnsi="Times New Roman"/>
          <w:sz w:val="24"/>
          <w:szCs w:val="24"/>
          <w:lang w:eastAsia="en-US"/>
        </w:rPr>
        <w:t>Vossenaar</w:t>
      </w:r>
      <w:proofErr w:type="spellEnd"/>
      <w:r w:rsidRPr="001D653F">
        <w:rPr>
          <w:rFonts w:ascii="Times New Roman" w:eastAsia="Times New Roman" w:hAnsi="Times New Roman"/>
          <w:sz w:val="24"/>
          <w:szCs w:val="24"/>
          <w:lang w:eastAsia="en-US"/>
        </w:rPr>
        <w:t xml:space="preserve">, M., &amp; Darnton-Hill, I. (2018). Large-scale food fortification and biofortification in low- and middle-income countries: A review of programs, trends, challenges, and evidence gaps. Food and Nutrition Bulletin, 39(2), 315–331. </w:t>
      </w:r>
      <w:hyperlink r:id="rId37" w:history="1">
        <w:r w:rsidRPr="001D653F">
          <w:rPr>
            <w:rFonts w:ascii="Times New Roman" w:eastAsia="Times New Roman" w:hAnsi="Times New Roman"/>
            <w:color w:val="0000FF"/>
            <w:sz w:val="24"/>
            <w:szCs w:val="24"/>
            <w:u w:val="single"/>
            <w:lang w:eastAsia="en-US"/>
          </w:rPr>
          <w:t>https://doi.org/10.1177/0379572118774229</w:t>
        </w:r>
      </w:hyperlink>
    </w:p>
    <w:p w14:paraId="3B94DA8A"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Pasricha, S. R., Tye-Din, J., Muckenthaler, M. U., &amp; Swinkels, D. W. (2021). Iron deficiency. The Lancet, 397(10270), 233–248. </w:t>
      </w:r>
      <w:hyperlink r:id="rId38" w:history="1">
        <w:r w:rsidRPr="001D653F">
          <w:rPr>
            <w:rFonts w:ascii="Times New Roman" w:eastAsia="Times New Roman" w:hAnsi="Times New Roman"/>
            <w:color w:val="0000FF"/>
            <w:sz w:val="24"/>
            <w:szCs w:val="24"/>
            <w:u w:val="single"/>
            <w:lang w:eastAsia="en-US"/>
          </w:rPr>
          <w:t>https://doi.org/10.1016/S0140-6736(20)32594-0</w:t>
        </w:r>
      </w:hyperlink>
    </w:p>
    <w:p w14:paraId="5890A24B"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Passarelli, S., Free, C. M., </w:t>
      </w:r>
      <w:proofErr w:type="spellStart"/>
      <w:r w:rsidRPr="001D653F">
        <w:rPr>
          <w:rFonts w:ascii="Times New Roman" w:eastAsia="Times New Roman" w:hAnsi="Times New Roman"/>
          <w:sz w:val="24"/>
          <w:szCs w:val="24"/>
          <w:lang w:eastAsia="en-US"/>
        </w:rPr>
        <w:t>Shepon</w:t>
      </w:r>
      <w:proofErr w:type="spellEnd"/>
      <w:r w:rsidRPr="001D653F">
        <w:rPr>
          <w:rFonts w:ascii="Times New Roman" w:eastAsia="Times New Roman" w:hAnsi="Times New Roman"/>
          <w:sz w:val="24"/>
          <w:szCs w:val="24"/>
          <w:lang w:eastAsia="en-US"/>
        </w:rPr>
        <w:t xml:space="preserve">, A., Beal, T., Batis, C., &amp; Golden, C. D. (2024). Global estimation of dietary micronutrient inadequacies: A modelling analysis. The Lancet Global Health, 12(10), e1590–e1599. </w:t>
      </w:r>
      <w:hyperlink r:id="rId39" w:history="1">
        <w:r w:rsidRPr="001D653F">
          <w:rPr>
            <w:rFonts w:ascii="Times New Roman" w:eastAsia="Times New Roman" w:hAnsi="Times New Roman"/>
            <w:color w:val="0000FF"/>
            <w:sz w:val="24"/>
            <w:szCs w:val="24"/>
            <w:u w:val="single"/>
            <w:lang w:eastAsia="en-US"/>
          </w:rPr>
          <w:t>https://doi.org/10.1016/S2214-109X(24)00276-6</w:t>
        </w:r>
      </w:hyperlink>
    </w:p>
    <w:p w14:paraId="3FAEFFFF"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Popkin, B. M., Corvalan, C., &amp; Grummer-Strawn, L. M. (2020). Dynamics of the double burden of malnutrition and the changing nutrition reality. The Lancet, 395(10217), 65–74. </w:t>
      </w:r>
      <w:hyperlink r:id="rId40" w:history="1">
        <w:r w:rsidRPr="001D653F">
          <w:rPr>
            <w:rFonts w:ascii="Times New Roman" w:eastAsia="Times New Roman" w:hAnsi="Times New Roman"/>
            <w:color w:val="0000FF"/>
            <w:sz w:val="24"/>
            <w:szCs w:val="24"/>
            <w:u w:val="single"/>
            <w:lang w:eastAsia="en-US"/>
          </w:rPr>
          <w:t>https://doi.org/10.1016/S0140-6736(19)32497-3</w:t>
        </w:r>
      </w:hyperlink>
    </w:p>
    <w:p w14:paraId="379FB0EE"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Powell-Wiley, T. M., Poirier, P., Burke, L. E., Després, J.-P., Gordon-Larsen, P., Lavie, C. J., Lear, S. A., </w:t>
      </w:r>
      <w:proofErr w:type="spellStart"/>
      <w:r w:rsidRPr="001D653F">
        <w:rPr>
          <w:rFonts w:ascii="Times New Roman" w:eastAsia="Times New Roman" w:hAnsi="Times New Roman"/>
          <w:sz w:val="24"/>
          <w:szCs w:val="24"/>
          <w:lang w:eastAsia="en-US"/>
        </w:rPr>
        <w:t>Ndumele</w:t>
      </w:r>
      <w:proofErr w:type="spellEnd"/>
      <w:r w:rsidRPr="001D653F">
        <w:rPr>
          <w:rFonts w:ascii="Times New Roman" w:eastAsia="Times New Roman" w:hAnsi="Times New Roman"/>
          <w:sz w:val="24"/>
          <w:szCs w:val="24"/>
          <w:lang w:eastAsia="en-US"/>
        </w:rPr>
        <w:t xml:space="preserve">, C. E., Neeland, I. J., Sanders, P., &amp; St-Onge, M.-P. (2021). Obesity and cardiovascular disease: A scientific statement from the American Heart Association. Circulation, 143(21), e984–e1010. </w:t>
      </w:r>
      <w:hyperlink r:id="rId41" w:history="1">
        <w:r w:rsidRPr="001D653F">
          <w:rPr>
            <w:rFonts w:ascii="Times New Roman" w:eastAsia="Times New Roman" w:hAnsi="Times New Roman"/>
            <w:color w:val="0000FF"/>
            <w:sz w:val="24"/>
            <w:szCs w:val="24"/>
            <w:u w:val="single"/>
            <w:lang w:eastAsia="en-US"/>
          </w:rPr>
          <w:t>https://doi.org/10.1161/CIR.0000000000000973</w:t>
        </w:r>
      </w:hyperlink>
    </w:p>
    <w:p w14:paraId="04536565"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Ruel, M. T., &amp; Alderman, H. (2013). Nutrition-sensitive interventions and </w:t>
      </w:r>
      <w:proofErr w:type="spellStart"/>
      <w:r w:rsidRPr="001D653F">
        <w:rPr>
          <w:rFonts w:ascii="Times New Roman" w:eastAsia="Times New Roman" w:hAnsi="Times New Roman"/>
          <w:sz w:val="24"/>
          <w:szCs w:val="24"/>
          <w:lang w:eastAsia="en-US"/>
        </w:rPr>
        <w:t>programmes</w:t>
      </w:r>
      <w:proofErr w:type="spellEnd"/>
      <w:r w:rsidRPr="001D653F">
        <w:rPr>
          <w:rFonts w:ascii="Times New Roman" w:eastAsia="Times New Roman" w:hAnsi="Times New Roman"/>
          <w:sz w:val="24"/>
          <w:szCs w:val="24"/>
          <w:lang w:eastAsia="en-US"/>
        </w:rPr>
        <w:t xml:space="preserve">: How can they help to accelerate progress in improving maternal and child nutrition? The Lancet, 382(9891), 536–551. </w:t>
      </w:r>
      <w:hyperlink r:id="rId42" w:history="1">
        <w:r w:rsidRPr="001D653F">
          <w:rPr>
            <w:rFonts w:ascii="Times New Roman" w:eastAsia="Times New Roman" w:hAnsi="Times New Roman"/>
            <w:color w:val="0000FF"/>
            <w:sz w:val="24"/>
            <w:szCs w:val="24"/>
            <w:u w:val="single"/>
            <w:lang w:eastAsia="en-US"/>
          </w:rPr>
          <w:t>https://doi.org/10.1016/S0140-6736(13)60843-0</w:t>
        </w:r>
      </w:hyperlink>
    </w:p>
    <w:p w14:paraId="0E657962"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Spronk, I., Kullen, C., Burdon, C., &amp; O'Connor, H. (2014). Relationship between nutrition knowledge and dietary intake. British Journal of Nutrition, 111(10), 1713–1726. </w:t>
      </w:r>
      <w:hyperlink r:id="rId43" w:history="1">
        <w:r w:rsidRPr="001D653F">
          <w:rPr>
            <w:rFonts w:ascii="Times New Roman" w:eastAsia="Times New Roman" w:hAnsi="Times New Roman"/>
            <w:color w:val="0000FF"/>
            <w:sz w:val="24"/>
            <w:szCs w:val="24"/>
            <w:u w:val="single"/>
            <w:lang w:eastAsia="en-US"/>
          </w:rPr>
          <w:t>https://doi.org/10.1017/S0007114514000087</w:t>
        </w:r>
      </w:hyperlink>
    </w:p>
    <w:p w14:paraId="65EE6616"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Stevens, G. A., Beal, T., Mbuya, M. N. N., Luo, H., &amp; Neufeld, L. M. (2022). Micronutrient deficiencies among preschool-aged children and women of reproductive age worldwide: A pooled analysis of individual-level data from population-representative surveys. The Lancet Global Health, 10(11), e1590–e1599. </w:t>
      </w:r>
      <w:hyperlink r:id="rId44" w:history="1">
        <w:r w:rsidRPr="001D653F">
          <w:rPr>
            <w:rFonts w:ascii="Times New Roman" w:eastAsia="Times New Roman" w:hAnsi="Times New Roman"/>
            <w:color w:val="0000FF"/>
            <w:sz w:val="24"/>
            <w:szCs w:val="24"/>
            <w:u w:val="single"/>
            <w:lang w:eastAsia="en-US"/>
          </w:rPr>
          <w:t>https://doi.org/10.1016/S2214-109X(22)00367-9</w:t>
        </w:r>
      </w:hyperlink>
    </w:p>
    <w:p w14:paraId="05CF50C2"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Story, M., Kaphingst, K. M., Robinson-O'Brien, R., &amp; Glanz, K. (2008). Creating healthy food and eating environments: Policy and environmental approaches. Annual Review of Public Health, 29, 253–272. </w:t>
      </w:r>
      <w:hyperlink r:id="rId45" w:history="1">
        <w:r w:rsidRPr="001D653F">
          <w:rPr>
            <w:rFonts w:ascii="Times New Roman" w:eastAsia="Times New Roman" w:hAnsi="Times New Roman"/>
            <w:color w:val="0000FF"/>
            <w:sz w:val="24"/>
            <w:szCs w:val="24"/>
            <w:u w:val="single"/>
            <w:lang w:eastAsia="en-US"/>
          </w:rPr>
          <w:t>https://doi.org/10.1146/annurev.publhealth.29.020907.090926</w:t>
        </w:r>
      </w:hyperlink>
    </w:p>
    <w:p w14:paraId="7D59D221"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lastRenderedPageBreak/>
        <w:t xml:space="preserve">United Nations. (2023). The sustainable development goals report 2023: Special edition. </w:t>
      </w:r>
      <w:hyperlink r:id="rId46" w:history="1">
        <w:r w:rsidRPr="001D653F">
          <w:rPr>
            <w:rFonts w:ascii="Times New Roman" w:eastAsia="Times New Roman" w:hAnsi="Times New Roman"/>
            <w:color w:val="0000FF"/>
            <w:sz w:val="24"/>
            <w:szCs w:val="24"/>
            <w:u w:val="single"/>
            <w:lang w:eastAsia="en-US"/>
          </w:rPr>
          <w:t>https://doi.org/10.18356/9789210024914</w:t>
        </w:r>
      </w:hyperlink>
    </w:p>
    <w:p w14:paraId="0157951B" w14:textId="7E38130B"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World Health Organization. (n.d.). Micronutrients. </w:t>
      </w:r>
      <w:hyperlink r:id="rId47" w:history="1">
        <w:r w:rsidRPr="009925B1">
          <w:rPr>
            <w:rStyle w:val="Hyperlink"/>
            <w:rFonts w:ascii="Times New Roman" w:eastAsia="Times New Roman" w:hAnsi="Times New Roman"/>
            <w:sz w:val="24"/>
            <w:szCs w:val="24"/>
            <w:lang w:eastAsia="en-US"/>
          </w:rPr>
          <w:t>https://www.who.int/health-topics/micronutrients</w:t>
        </w:r>
      </w:hyperlink>
    </w:p>
    <w:p w14:paraId="507F88D8"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World Health Organization. (2008). WHO child growth standards: Training course on child growth assessment. </w:t>
      </w:r>
      <w:hyperlink r:id="rId48" w:history="1">
        <w:r w:rsidRPr="001D653F">
          <w:rPr>
            <w:rFonts w:ascii="Times New Roman" w:eastAsia="Times New Roman" w:hAnsi="Times New Roman"/>
            <w:color w:val="0000FF"/>
            <w:sz w:val="24"/>
            <w:szCs w:val="24"/>
            <w:u w:val="single"/>
            <w:lang w:eastAsia="en-US"/>
          </w:rPr>
          <w:t>https://www.who.int/publications/i/item/9789241595070</w:t>
        </w:r>
      </w:hyperlink>
    </w:p>
    <w:p w14:paraId="47B1A943" w14:textId="77777777" w:rsidR="001D653F" w:rsidRPr="001D653F" w:rsidRDefault="001D653F" w:rsidP="001D653F">
      <w:pPr>
        <w:spacing w:before="100" w:beforeAutospacing="1" w:after="100" w:afterAutospacing="1" w:line="240" w:lineRule="auto"/>
        <w:rPr>
          <w:rFonts w:ascii="Times New Roman" w:eastAsia="Times New Roman" w:hAnsi="Times New Roman"/>
          <w:sz w:val="24"/>
          <w:szCs w:val="24"/>
          <w:lang w:eastAsia="en-US"/>
        </w:rPr>
      </w:pPr>
      <w:r w:rsidRPr="001D653F">
        <w:rPr>
          <w:rFonts w:ascii="Times New Roman" w:eastAsia="Times New Roman" w:hAnsi="Times New Roman"/>
          <w:sz w:val="24"/>
          <w:szCs w:val="24"/>
          <w:lang w:eastAsia="en-US"/>
        </w:rPr>
        <w:t xml:space="preserve">World Health Organization. (2026). Healthy diet. </w:t>
      </w:r>
      <w:hyperlink r:id="rId49" w:history="1">
        <w:r w:rsidRPr="001D653F">
          <w:rPr>
            <w:rFonts w:ascii="Times New Roman" w:eastAsia="Times New Roman" w:hAnsi="Times New Roman"/>
            <w:color w:val="0000FF"/>
            <w:sz w:val="24"/>
            <w:szCs w:val="24"/>
            <w:u w:val="single"/>
            <w:lang w:eastAsia="en-US"/>
          </w:rPr>
          <w:t>https://www.who.int/news-room/fact-sheets/detail/healthy-diet</w:t>
        </w:r>
      </w:hyperlink>
    </w:p>
    <w:p w14:paraId="62DB76AD" w14:textId="77777777" w:rsidR="001D653F" w:rsidRDefault="001D653F" w:rsidP="007148B1">
      <w:pPr>
        <w:spacing w:after="0"/>
        <w:jc w:val="both"/>
        <w:rPr>
          <w:rFonts w:ascii="Times New Roman" w:hAnsi="Times New Roman"/>
          <w:b/>
          <w:bCs/>
          <w:sz w:val="24"/>
          <w:szCs w:val="24"/>
        </w:rPr>
      </w:pPr>
    </w:p>
    <w:sectPr w:rsidR="001D653F">
      <w:headerReference w:type="even" r:id="rId50"/>
      <w:headerReference w:type="default" r:id="rId51"/>
      <w:footerReference w:type="even" r:id="rId52"/>
      <w:footerReference w:type="default" r:id="rId53"/>
      <w:headerReference w:type="first" r:id="rId54"/>
      <w:footerReference w:type="firs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9C3A5" w14:textId="77777777" w:rsidR="009F7EA9" w:rsidRDefault="009F7EA9" w:rsidP="00632735">
      <w:pPr>
        <w:spacing w:after="0" w:line="240" w:lineRule="auto"/>
      </w:pPr>
      <w:r>
        <w:separator/>
      </w:r>
    </w:p>
  </w:endnote>
  <w:endnote w:type="continuationSeparator" w:id="0">
    <w:p w14:paraId="04A05299" w14:textId="77777777" w:rsidR="009F7EA9" w:rsidRDefault="009F7EA9" w:rsidP="00632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5F6F" w14:textId="77777777" w:rsidR="00632735" w:rsidRDefault="006327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64B8" w14:textId="77777777" w:rsidR="00632735" w:rsidRDefault="006327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85B59" w14:textId="77777777" w:rsidR="00632735" w:rsidRDefault="00632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E3E82" w14:textId="77777777" w:rsidR="009F7EA9" w:rsidRDefault="009F7EA9" w:rsidP="00632735">
      <w:pPr>
        <w:spacing w:after="0" w:line="240" w:lineRule="auto"/>
      </w:pPr>
      <w:r>
        <w:separator/>
      </w:r>
    </w:p>
  </w:footnote>
  <w:footnote w:type="continuationSeparator" w:id="0">
    <w:p w14:paraId="7B1C3ABE" w14:textId="77777777" w:rsidR="009F7EA9" w:rsidRDefault="009F7EA9" w:rsidP="006327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DA575" w14:textId="77777777" w:rsidR="00632735" w:rsidRDefault="00000000">
    <w:pPr>
      <w:pStyle w:val="Header"/>
    </w:pPr>
    <w:r>
      <w:rPr>
        <w:noProof/>
      </w:rPr>
      <w:pict w14:anchorId="3714AF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6377954" o:spid="_x0000_s1026" type="#_x0000_t136" style="position:absolute;margin-left:0;margin-top:0;width:555.6pt;height:104.15pt;rotation:315;z-index:-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F8E16" w14:textId="77777777" w:rsidR="00632735" w:rsidRDefault="00000000">
    <w:pPr>
      <w:pStyle w:val="Header"/>
    </w:pPr>
    <w:r>
      <w:rPr>
        <w:noProof/>
      </w:rPr>
      <w:pict w14:anchorId="3A27E1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6377955" o:spid="_x0000_s1027" type="#_x0000_t136" style="position:absolute;margin-left:0;margin-top:0;width:555.6pt;height:104.15pt;rotation:315;z-index:-1;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26FEC" w14:textId="77777777" w:rsidR="00632735" w:rsidRDefault="00000000">
    <w:pPr>
      <w:pStyle w:val="Header"/>
    </w:pPr>
    <w:r>
      <w:rPr>
        <w:noProof/>
      </w:rPr>
      <w:pict w14:anchorId="48E04C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6377953" o:spid="_x0000_s1025" type="#_x0000_t136" style="position:absolute;margin-left:0;margin-top:0;width:555.6pt;height:104.15pt;rotation:315;z-index:-3;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oNotTrackMoves/>
  <w:defaultTabStop w:val="720"/>
  <w:doNotShadeFormData/>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WxMDc1MzcwMTW2NLNU0lEKTi0uzszPAykwrAUAVyM7jCwAAAA="/>
  </w:docVars>
  <w:rsids>
    <w:rsidRoot w:val="008E216E"/>
    <w:rsid w:val="00001616"/>
    <w:rsid w:val="00023211"/>
    <w:rsid w:val="00036E72"/>
    <w:rsid w:val="00050FB7"/>
    <w:rsid w:val="0005423B"/>
    <w:rsid w:val="00137B8D"/>
    <w:rsid w:val="0015264D"/>
    <w:rsid w:val="00161429"/>
    <w:rsid w:val="001A32B0"/>
    <w:rsid w:val="001D653F"/>
    <w:rsid w:val="001E2F05"/>
    <w:rsid w:val="00264071"/>
    <w:rsid w:val="00300627"/>
    <w:rsid w:val="003210E4"/>
    <w:rsid w:val="00331090"/>
    <w:rsid w:val="003734DA"/>
    <w:rsid w:val="00387351"/>
    <w:rsid w:val="00394F5C"/>
    <w:rsid w:val="0039525B"/>
    <w:rsid w:val="003F2626"/>
    <w:rsid w:val="003F29C2"/>
    <w:rsid w:val="00402360"/>
    <w:rsid w:val="004538B5"/>
    <w:rsid w:val="00462CB4"/>
    <w:rsid w:val="00475ACB"/>
    <w:rsid w:val="00490711"/>
    <w:rsid w:val="004B6226"/>
    <w:rsid w:val="004D6E4E"/>
    <w:rsid w:val="004F55AF"/>
    <w:rsid w:val="00503C57"/>
    <w:rsid w:val="00523A28"/>
    <w:rsid w:val="00567FEA"/>
    <w:rsid w:val="00582130"/>
    <w:rsid w:val="005A6B2C"/>
    <w:rsid w:val="005B3556"/>
    <w:rsid w:val="005B5381"/>
    <w:rsid w:val="0062709F"/>
    <w:rsid w:val="00632735"/>
    <w:rsid w:val="0069421B"/>
    <w:rsid w:val="006B3266"/>
    <w:rsid w:val="00700682"/>
    <w:rsid w:val="007148B1"/>
    <w:rsid w:val="0074762A"/>
    <w:rsid w:val="007A7C39"/>
    <w:rsid w:val="007D55DA"/>
    <w:rsid w:val="007D7279"/>
    <w:rsid w:val="00884111"/>
    <w:rsid w:val="008867E3"/>
    <w:rsid w:val="008A65A0"/>
    <w:rsid w:val="008D1618"/>
    <w:rsid w:val="008E216E"/>
    <w:rsid w:val="008F77C4"/>
    <w:rsid w:val="00987031"/>
    <w:rsid w:val="00991892"/>
    <w:rsid w:val="00996AF0"/>
    <w:rsid w:val="009F20FE"/>
    <w:rsid w:val="009F6CB5"/>
    <w:rsid w:val="009F7EA9"/>
    <w:rsid w:val="00A7401D"/>
    <w:rsid w:val="00A77BE3"/>
    <w:rsid w:val="00A92FB2"/>
    <w:rsid w:val="00AA5DE3"/>
    <w:rsid w:val="00AA6842"/>
    <w:rsid w:val="00AB2403"/>
    <w:rsid w:val="00AE4693"/>
    <w:rsid w:val="00B23001"/>
    <w:rsid w:val="00B31E35"/>
    <w:rsid w:val="00B87260"/>
    <w:rsid w:val="00BE356E"/>
    <w:rsid w:val="00C3011B"/>
    <w:rsid w:val="00C60FCD"/>
    <w:rsid w:val="00C80DFD"/>
    <w:rsid w:val="00CC4996"/>
    <w:rsid w:val="00D12757"/>
    <w:rsid w:val="00D45D6F"/>
    <w:rsid w:val="00D924DD"/>
    <w:rsid w:val="00DF4223"/>
    <w:rsid w:val="00E23312"/>
    <w:rsid w:val="00E829C9"/>
    <w:rsid w:val="00EA549D"/>
    <w:rsid w:val="00F20631"/>
    <w:rsid w:val="00F77D6F"/>
    <w:rsid w:val="00FB7042"/>
    <w:rsid w:val="00FC34D1"/>
    <w:rsid w:val="00FD428F"/>
    <w:rsid w:val="00FD7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9A40CD"/>
  <w15:docId w15:val="{DA4B002B-FB9D-4903-BF19-0EB87ADF1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7C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734DA"/>
    <w:rPr>
      <w:color w:val="0000FF"/>
      <w:u w:val="single"/>
    </w:rPr>
  </w:style>
  <w:style w:type="character" w:styleId="UnresolvedMention">
    <w:name w:val="Unresolved Mention"/>
    <w:uiPriority w:val="99"/>
    <w:semiHidden/>
    <w:unhideWhenUsed/>
    <w:rsid w:val="003734DA"/>
    <w:rPr>
      <w:color w:val="605E5C"/>
      <w:shd w:val="clear" w:color="auto" w:fill="E1DFDD"/>
    </w:rPr>
  </w:style>
  <w:style w:type="paragraph" w:styleId="NormalWeb">
    <w:name w:val="Normal (Web)"/>
    <w:basedOn w:val="Normal"/>
    <w:uiPriority w:val="99"/>
    <w:semiHidden/>
    <w:unhideWhenUsed/>
    <w:rsid w:val="00503C57"/>
    <w:pPr>
      <w:spacing w:before="100" w:beforeAutospacing="1" w:after="100" w:afterAutospacing="1" w:line="240" w:lineRule="auto"/>
    </w:pPr>
    <w:rPr>
      <w:rFonts w:ascii="Times New Roman" w:eastAsia="Times New Roman" w:hAnsi="Times New Roman"/>
      <w:sz w:val="24"/>
      <w:szCs w:val="24"/>
      <w:lang w:eastAsia="en-US"/>
    </w:rPr>
  </w:style>
  <w:style w:type="character" w:styleId="Strong">
    <w:name w:val="Strong"/>
    <w:uiPriority w:val="22"/>
    <w:qFormat/>
    <w:rsid w:val="00C60FCD"/>
    <w:rPr>
      <w:b/>
      <w:bCs/>
    </w:rPr>
  </w:style>
  <w:style w:type="character" w:customStyle="1" w:styleId="apple-converted-space">
    <w:name w:val="apple-converted-space"/>
    <w:basedOn w:val="DefaultParagraphFont"/>
    <w:rsid w:val="00C60FCD"/>
  </w:style>
  <w:style w:type="character" w:styleId="Emphasis">
    <w:name w:val="Emphasis"/>
    <w:uiPriority w:val="20"/>
    <w:qFormat/>
    <w:rsid w:val="00C60FCD"/>
    <w:rPr>
      <w:i/>
      <w:iCs/>
    </w:rPr>
  </w:style>
  <w:style w:type="paragraph" w:customStyle="1" w:styleId="pdq2pgselectionanchorcontainer">
    <w:name w:val="pdq2pg_selectionanchorcontainer"/>
    <w:basedOn w:val="Normal"/>
    <w:rsid w:val="00C60FCD"/>
    <w:pPr>
      <w:spacing w:before="100" w:beforeAutospacing="1" w:after="100" w:afterAutospacing="1" w:line="240" w:lineRule="auto"/>
    </w:pPr>
    <w:rPr>
      <w:rFonts w:ascii="Times New Roman" w:eastAsia="Times New Roman" w:hAnsi="Times New Roman"/>
      <w:sz w:val="24"/>
      <w:szCs w:val="24"/>
      <w:lang w:eastAsia="en-US"/>
    </w:rPr>
  </w:style>
  <w:style w:type="character" w:styleId="FollowedHyperlink">
    <w:name w:val="FollowedHyperlink"/>
    <w:uiPriority w:val="99"/>
    <w:semiHidden/>
    <w:unhideWhenUsed/>
    <w:rsid w:val="00C60FCD"/>
    <w:rPr>
      <w:color w:val="800080"/>
      <w:u w:val="single"/>
    </w:rPr>
  </w:style>
  <w:style w:type="paragraph" w:styleId="NoSpacing">
    <w:name w:val="No Spacing"/>
    <w:uiPriority w:val="1"/>
    <w:qFormat/>
    <w:rsid w:val="009F20FE"/>
    <w:rPr>
      <w:sz w:val="22"/>
      <w:szCs w:val="22"/>
      <w:lang w:eastAsia="zh-CN"/>
    </w:rPr>
  </w:style>
  <w:style w:type="paragraph" w:styleId="Header">
    <w:name w:val="header"/>
    <w:basedOn w:val="Normal"/>
    <w:link w:val="HeaderChar"/>
    <w:uiPriority w:val="99"/>
    <w:unhideWhenUsed/>
    <w:rsid w:val="00632735"/>
    <w:pPr>
      <w:tabs>
        <w:tab w:val="center" w:pos="4680"/>
        <w:tab w:val="right" w:pos="9360"/>
      </w:tabs>
    </w:pPr>
  </w:style>
  <w:style w:type="character" w:customStyle="1" w:styleId="HeaderChar">
    <w:name w:val="Header Char"/>
    <w:link w:val="Header"/>
    <w:uiPriority w:val="99"/>
    <w:rsid w:val="00632735"/>
    <w:rPr>
      <w:sz w:val="22"/>
      <w:szCs w:val="22"/>
      <w:lang w:val="en-US" w:eastAsia="zh-CN"/>
    </w:rPr>
  </w:style>
  <w:style w:type="paragraph" w:styleId="Footer">
    <w:name w:val="footer"/>
    <w:basedOn w:val="Normal"/>
    <w:link w:val="FooterChar"/>
    <w:uiPriority w:val="99"/>
    <w:unhideWhenUsed/>
    <w:rsid w:val="00632735"/>
    <w:pPr>
      <w:tabs>
        <w:tab w:val="center" w:pos="4680"/>
        <w:tab w:val="right" w:pos="9360"/>
      </w:tabs>
    </w:pPr>
  </w:style>
  <w:style w:type="character" w:customStyle="1" w:styleId="FooterChar">
    <w:name w:val="Footer Char"/>
    <w:link w:val="Footer"/>
    <w:uiPriority w:val="99"/>
    <w:rsid w:val="00632735"/>
    <w:rPr>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83755">
      <w:bodyDiv w:val="1"/>
      <w:marLeft w:val="0"/>
      <w:marRight w:val="0"/>
      <w:marTop w:val="0"/>
      <w:marBottom w:val="0"/>
      <w:divBdr>
        <w:top w:val="none" w:sz="0" w:space="0" w:color="auto"/>
        <w:left w:val="none" w:sz="0" w:space="0" w:color="auto"/>
        <w:bottom w:val="none" w:sz="0" w:space="0" w:color="auto"/>
        <w:right w:val="none" w:sz="0" w:space="0" w:color="auto"/>
      </w:divBdr>
    </w:div>
    <w:div w:id="891962161">
      <w:bodyDiv w:val="1"/>
      <w:marLeft w:val="0"/>
      <w:marRight w:val="0"/>
      <w:marTop w:val="0"/>
      <w:marBottom w:val="0"/>
      <w:divBdr>
        <w:top w:val="none" w:sz="0" w:space="0" w:color="auto"/>
        <w:left w:val="none" w:sz="0" w:space="0" w:color="auto"/>
        <w:bottom w:val="none" w:sz="0" w:space="0" w:color="auto"/>
        <w:right w:val="none" w:sz="0" w:space="0" w:color="auto"/>
      </w:divBdr>
    </w:div>
    <w:div w:id="1085956047">
      <w:bodyDiv w:val="1"/>
      <w:marLeft w:val="0"/>
      <w:marRight w:val="0"/>
      <w:marTop w:val="0"/>
      <w:marBottom w:val="0"/>
      <w:divBdr>
        <w:top w:val="none" w:sz="0" w:space="0" w:color="auto"/>
        <w:left w:val="none" w:sz="0" w:space="0" w:color="auto"/>
        <w:bottom w:val="none" w:sz="0" w:space="0" w:color="auto"/>
        <w:right w:val="none" w:sz="0" w:space="0" w:color="auto"/>
      </w:divBdr>
    </w:div>
    <w:div w:id="1277759319">
      <w:bodyDiv w:val="1"/>
      <w:marLeft w:val="0"/>
      <w:marRight w:val="0"/>
      <w:marTop w:val="0"/>
      <w:marBottom w:val="0"/>
      <w:divBdr>
        <w:top w:val="none" w:sz="0" w:space="0" w:color="auto"/>
        <w:left w:val="none" w:sz="0" w:space="0" w:color="auto"/>
        <w:bottom w:val="none" w:sz="0" w:space="0" w:color="auto"/>
        <w:right w:val="none" w:sz="0" w:space="0" w:color="auto"/>
      </w:divBdr>
      <w:divsChild>
        <w:div w:id="602568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5662665">
      <w:bodyDiv w:val="1"/>
      <w:marLeft w:val="0"/>
      <w:marRight w:val="0"/>
      <w:marTop w:val="0"/>
      <w:marBottom w:val="0"/>
      <w:divBdr>
        <w:top w:val="none" w:sz="0" w:space="0" w:color="auto"/>
        <w:left w:val="none" w:sz="0" w:space="0" w:color="auto"/>
        <w:bottom w:val="none" w:sz="0" w:space="0" w:color="auto"/>
        <w:right w:val="none" w:sz="0" w:space="0" w:color="auto"/>
      </w:divBdr>
    </w:div>
    <w:div w:id="1436050994">
      <w:bodyDiv w:val="1"/>
      <w:marLeft w:val="0"/>
      <w:marRight w:val="0"/>
      <w:marTop w:val="0"/>
      <w:marBottom w:val="0"/>
      <w:divBdr>
        <w:top w:val="none" w:sz="0" w:space="0" w:color="auto"/>
        <w:left w:val="none" w:sz="0" w:space="0" w:color="auto"/>
        <w:bottom w:val="none" w:sz="0" w:space="0" w:color="auto"/>
        <w:right w:val="none" w:sz="0" w:space="0" w:color="auto"/>
      </w:divBdr>
    </w:div>
    <w:div w:id="1926187739">
      <w:bodyDiv w:val="1"/>
      <w:marLeft w:val="0"/>
      <w:marRight w:val="0"/>
      <w:marTop w:val="0"/>
      <w:marBottom w:val="0"/>
      <w:divBdr>
        <w:top w:val="none" w:sz="0" w:space="0" w:color="auto"/>
        <w:left w:val="none" w:sz="0" w:space="0" w:color="auto"/>
        <w:bottom w:val="none" w:sz="0" w:space="0" w:color="auto"/>
        <w:right w:val="none" w:sz="0" w:space="0" w:color="auto"/>
      </w:divBdr>
      <w:divsChild>
        <w:div w:id="920677376">
          <w:marLeft w:val="0"/>
          <w:marRight w:val="0"/>
          <w:marTop w:val="0"/>
          <w:marBottom w:val="0"/>
          <w:divBdr>
            <w:top w:val="none" w:sz="0" w:space="0" w:color="auto"/>
            <w:left w:val="none" w:sz="0" w:space="0" w:color="auto"/>
            <w:bottom w:val="none" w:sz="0" w:space="0" w:color="auto"/>
            <w:right w:val="none" w:sz="0" w:space="0" w:color="auto"/>
          </w:divBdr>
          <w:divsChild>
            <w:div w:id="1470632262">
              <w:marLeft w:val="0"/>
              <w:marRight w:val="0"/>
              <w:marTop w:val="0"/>
              <w:marBottom w:val="0"/>
              <w:divBdr>
                <w:top w:val="none" w:sz="0" w:space="0" w:color="auto"/>
                <w:left w:val="none" w:sz="0" w:space="0" w:color="auto"/>
                <w:bottom w:val="none" w:sz="0" w:space="0" w:color="auto"/>
                <w:right w:val="none" w:sz="0" w:space="0" w:color="auto"/>
              </w:divBdr>
              <w:divsChild>
                <w:div w:id="94839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584195">
      <w:bodyDiv w:val="1"/>
      <w:marLeft w:val="0"/>
      <w:marRight w:val="0"/>
      <w:marTop w:val="0"/>
      <w:marBottom w:val="0"/>
      <w:divBdr>
        <w:top w:val="none" w:sz="0" w:space="0" w:color="auto"/>
        <w:left w:val="none" w:sz="0" w:space="0" w:color="auto"/>
        <w:bottom w:val="none" w:sz="0" w:space="0" w:color="auto"/>
        <w:right w:val="none" w:sz="0" w:space="0" w:color="auto"/>
      </w:divBdr>
      <w:divsChild>
        <w:div w:id="414056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nu12020334" TargetMode="External"/><Relationship Id="rId18" Type="http://schemas.openxmlformats.org/officeDocument/2006/relationships/hyperlink" Target="https://doi.org/10.4060/cc3017en" TargetMode="External"/><Relationship Id="rId26" Type="http://schemas.openxmlformats.org/officeDocument/2006/relationships/hyperlink" Target="https://doi.org/10.1007/s00394-016-1167-3" TargetMode="External"/><Relationship Id="rId39" Type="http://schemas.openxmlformats.org/officeDocument/2006/relationships/hyperlink" Target="https://doi.org/10.1016/S2214-109X(24)00276-6" TargetMode="External"/><Relationship Id="rId21" Type="http://schemas.openxmlformats.org/officeDocument/2006/relationships/hyperlink" Target="https://doi.org/10.1016/j.appet.2018.03.019" TargetMode="External"/><Relationship Id="rId34" Type="http://schemas.openxmlformats.org/officeDocument/2006/relationships/hyperlink" Target="https://faolex.fao.org/docs/pdf/nig184608.pdf" TargetMode="External"/><Relationship Id="rId42" Type="http://schemas.openxmlformats.org/officeDocument/2006/relationships/hyperlink" Target="https://doi.org/10.1016/S0140-6736(13)60843-0" TargetMode="External"/><Relationship Id="rId47" Type="http://schemas.openxmlformats.org/officeDocument/2006/relationships/hyperlink" Target="https://www.who.int/health-topics/micronutrients"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hyperlink" Target="https://doi.org/10.1093/jn/nxab171" TargetMode="External"/><Relationship Id="rId2" Type="http://schemas.openxmlformats.org/officeDocument/2006/relationships/settings" Target="settings.xml"/><Relationship Id="rId16" Type="http://schemas.openxmlformats.org/officeDocument/2006/relationships/hyperlink" Target="https://doi.org/10.3390/ijms24054822" TargetMode="External"/><Relationship Id="rId29" Type="http://schemas.openxmlformats.org/officeDocument/2006/relationships/hyperlink" Target="https://doi.org/10.1093/jn/nxz295" TargetMode="External"/><Relationship Id="rId11" Type="http://schemas.openxmlformats.org/officeDocument/2006/relationships/hyperlink" Target="https://doi.org/10.1016/S0140-6736(13)60996-4" TargetMode="External"/><Relationship Id="rId24" Type="http://schemas.openxmlformats.org/officeDocument/2006/relationships/hyperlink" Target="https://doi.org/10.1016/j.tjnut.2024.06.002" TargetMode="External"/><Relationship Id="rId32" Type="http://schemas.openxmlformats.org/officeDocument/2006/relationships/hyperlink" Target="https://doi.org/10.1017/S0029665121000902" TargetMode="External"/><Relationship Id="rId37" Type="http://schemas.openxmlformats.org/officeDocument/2006/relationships/hyperlink" Target="https://doi.org/10.1177/0379572118774229" TargetMode="External"/><Relationship Id="rId40" Type="http://schemas.openxmlformats.org/officeDocument/2006/relationships/hyperlink" Target="https://doi.org/10.1016/S0140-6736(19)32497-3" TargetMode="External"/><Relationship Id="rId45" Type="http://schemas.openxmlformats.org/officeDocument/2006/relationships/hyperlink" Target="https://doi.org/10.1146/annurev.publhealth.29.020907.090926" TargetMode="External"/><Relationship Id="rId53" Type="http://schemas.openxmlformats.org/officeDocument/2006/relationships/footer" Target="footer2.xml"/><Relationship Id="rId5" Type="http://schemas.openxmlformats.org/officeDocument/2006/relationships/endnotes" Target="endnotes.xml"/><Relationship Id="rId19" Type="http://schemas.openxmlformats.org/officeDocument/2006/relationships/hyperlink" Target="https://doi.org/10.4060/cd1254en" TargetMode="External"/><Relationship Id="rId4" Type="http://schemas.openxmlformats.org/officeDocument/2006/relationships/footnotes" Target="footnotes.xml"/><Relationship Id="rId9" Type="http://schemas.openxmlformats.org/officeDocument/2006/relationships/hyperlink" Target="https://doi.org/10.1159/000371618" TargetMode="External"/><Relationship Id="rId14" Type="http://schemas.openxmlformats.org/officeDocument/2006/relationships/hyperlink" Target="https://www.tc.columbia.edu/faculty/irc6/" TargetMode="External"/><Relationship Id="rId22" Type="http://schemas.openxmlformats.org/officeDocument/2006/relationships/hyperlink" Target="https://doi.org/10.1016/j.cmet.2019.05.008" TargetMode="External"/><Relationship Id="rId27" Type="http://schemas.openxmlformats.org/officeDocument/2006/relationships/hyperlink" Target="https://doi.org/10.35248/2155-9600.24.14.32" TargetMode="External"/><Relationship Id="rId30" Type="http://schemas.openxmlformats.org/officeDocument/2006/relationships/hyperlink" Target="https://doi.org/10.1080/10408398.2018.1469466" TargetMode="External"/><Relationship Id="rId35" Type="http://schemas.openxmlformats.org/officeDocument/2006/relationships/hyperlink" Target="https://www.dhsprogram.com/pubs/pdf/FR359/FR359.pdf" TargetMode="External"/><Relationship Id="rId43" Type="http://schemas.openxmlformats.org/officeDocument/2006/relationships/hyperlink" Target="https://doi.org/10.1017/S0007114514000087" TargetMode="External"/><Relationship Id="rId48" Type="http://schemas.openxmlformats.org/officeDocument/2006/relationships/hyperlink" Target="https://www.who.int/publications/i/item/9789241595070" TargetMode="External"/><Relationship Id="rId56" Type="http://schemas.openxmlformats.org/officeDocument/2006/relationships/fontTable" Target="fontTable.xml"/><Relationship Id="rId8" Type="http://schemas.openxmlformats.org/officeDocument/2006/relationships/hyperlink" Target="https://doi.org/10.1186/s12966-024-01613-7" TargetMode="External"/><Relationship Id="rId51" Type="http://schemas.openxmlformats.org/officeDocument/2006/relationships/header" Target="header2.xml"/><Relationship Id="rId3" Type="http://schemas.openxmlformats.org/officeDocument/2006/relationships/webSettings" Target="webSettings.xml"/><Relationship Id="rId12" Type="http://schemas.openxmlformats.org/officeDocument/2006/relationships/hyperlink" Target="https://doi.org/10.1016/S0140-6736(13)60937-X" TargetMode="External"/><Relationship Id="rId17" Type="http://schemas.openxmlformats.org/officeDocument/2006/relationships/hyperlink" Target="https://doi.org/10.1177/15648265040251S105" TargetMode="External"/><Relationship Id="rId25" Type="http://schemas.openxmlformats.org/officeDocument/2006/relationships/hyperlink" Target="https://doi.org/10.1093/jn/137.2.472" TargetMode="External"/><Relationship Id="rId33" Type="http://schemas.openxmlformats.org/officeDocument/2006/relationships/hyperlink" Target="https://doi.org/10.1001/jamanetworkopen.2021.46705" TargetMode="External"/><Relationship Id="rId38" Type="http://schemas.openxmlformats.org/officeDocument/2006/relationships/hyperlink" Target="https://doi.org/10.1016/S0140-6736(20)32594-0" TargetMode="External"/><Relationship Id="rId46" Type="http://schemas.openxmlformats.org/officeDocument/2006/relationships/hyperlink" Target="https://doi.org/10.18356/9789210024914" TargetMode="External"/><Relationship Id="rId20" Type="http://schemas.openxmlformats.org/officeDocument/2006/relationships/hyperlink" Target="https://doi.org/10.1093/oso/9780195171693.001.0001" TargetMode="External"/><Relationship Id="rId41" Type="http://schemas.openxmlformats.org/officeDocument/2006/relationships/hyperlink" Target="https://doi.org/10.1161/CIR.0000000000000973" TargetMode="External"/><Relationship Id="rId54"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doi.org/10.9734/ajess/2025/v51i102534" TargetMode="External"/><Relationship Id="rId15" Type="http://schemas.openxmlformats.org/officeDocument/2006/relationships/hyperlink" Target="https://www.tc.columbia.edu/faculty/pak14/" TargetMode="External"/><Relationship Id="rId23" Type="http://schemas.openxmlformats.org/officeDocument/2006/relationships/hyperlink" Target="https://doi.org/10.1136/bmj.m3324" TargetMode="External"/><Relationship Id="rId28" Type="http://schemas.openxmlformats.org/officeDocument/2006/relationships/hyperlink" Target="https://doi.org/10.56557/pcbmb/2024/v25i5-68695" TargetMode="External"/><Relationship Id="rId36" Type="http://schemas.openxmlformats.org/officeDocument/2006/relationships/hyperlink" Target="https://doi.org/10.3177/jnsv.70.131" TargetMode="External"/><Relationship Id="rId49" Type="http://schemas.openxmlformats.org/officeDocument/2006/relationships/hyperlink" Target="https://www.who.int/news-room/fact-sheets/detail/healthy-diet" TargetMode="External"/><Relationship Id="rId57" Type="http://schemas.openxmlformats.org/officeDocument/2006/relationships/theme" Target="theme/theme1.xml"/><Relationship Id="rId10" Type="http://schemas.openxmlformats.org/officeDocument/2006/relationships/hyperlink" Target="https://doi.org/10.1016/j.clnu.2022.02.015" TargetMode="External"/><Relationship Id="rId31" Type="http://schemas.openxmlformats.org/officeDocument/2006/relationships/hyperlink" Target="https://doi.org/10.1186/s12937-025-01192-8" TargetMode="External"/><Relationship Id="rId44" Type="http://schemas.openxmlformats.org/officeDocument/2006/relationships/hyperlink" Target="https://doi.org/10.1016/S2214-109X(22)00367-9"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970</TotalTime>
  <Pages>15</Pages>
  <Words>6223</Words>
  <Characters>35472</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X6880</dc:creator>
  <cp:lastModifiedBy>SDI CPU 1117</cp:lastModifiedBy>
  <cp:revision>60</cp:revision>
  <dcterms:created xsi:type="dcterms:W3CDTF">2026-07-22T13:03:00Z</dcterms:created>
  <dcterms:modified xsi:type="dcterms:W3CDTF">2026-10-12T12:11:00Z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99c9d16c51e94a889805f063ae10a4dd_23</vt:lpwstr>
  </property>
</Properties>
</file>