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26D18" w14:textId="77777777" w:rsidR="00754C9A" w:rsidRPr="00CE3C86" w:rsidRDefault="00754C9A" w:rsidP="00441B6F">
      <w:pPr>
        <w:pStyle w:val="Title"/>
        <w:spacing w:after="0"/>
        <w:jc w:val="both"/>
        <w:rPr>
          <w:rFonts w:ascii="Arial" w:hAnsi="Arial" w:cs="Arial"/>
          <w:sz w:val="18"/>
          <w:szCs w:val="18"/>
        </w:rPr>
      </w:pPr>
    </w:p>
    <w:p w14:paraId="13BFECC4" w14:textId="77777777" w:rsidR="00CE3C86" w:rsidRPr="00CE3C86" w:rsidRDefault="00CE3C86" w:rsidP="00CE3C86">
      <w:pPr>
        <w:pStyle w:val="Author"/>
        <w:jc w:val="both"/>
        <w:rPr>
          <w:rFonts w:ascii="Arial" w:hAnsi="Arial" w:cs="Arial"/>
          <w:bCs/>
          <w:i/>
          <w:iCs/>
          <w:kern w:val="28"/>
          <w:sz w:val="18"/>
          <w:szCs w:val="18"/>
          <w:u w:val="single"/>
        </w:rPr>
      </w:pPr>
      <w:r w:rsidRPr="00CE3C86">
        <w:rPr>
          <w:rFonts w:ascii="Arial" w:hAnsi="Arial" w:cs="Arial"/>
          <w:bCs/>
          <w:i/>
          <w:iCs/>
          <w:kern w:val="28"/>
          <w:sz w:val="18"/>
          <w:szCs w:val="18"/>
          <w:u w:val="single"/>
        </w:rPr>
        <w:t>Original Research Article</w:t>
      </w:r>
    </w:p>
    <w:p w14:paraId="44EAD3C6" w14:textId="77777777" w:rsidR="00A258C3" w:rsidRPr="000C61C3" w:rsidRDefault="007B2FB2" w:rsidP="00441B6F">
      <w:pPr>
        <w:pStyle w:val="Author"/>
        <w:spacing w:line="240" w:lineRule="auto"/>
        <w:jc w:val="both"/>
        <w:rPr>
          <w:rFonts w:ascii="Arial" w:hAnsi="Arial" w:cs="Arial"/>
          <w:sz w:val="36"/>
          <w:lang w:val="en-GB"/>
        </w:rPr>
      </w:pPr>
      <w:r>
        <w:rPr>
          <w:rFonts w:ascii="Arial" w:hAnsi="Arial" w:cs="Arial"/>
          <w:bCs/>
          <w:iCs/>
          <w:kern w:val="28"/>
          <w:sz w:val="36"/>
          <w:lang w:val="en-GB"/>
        </w:rPr>
        <w:t>Root coloni</w:t>
      </w:r>
      <w:r>
        <w:rPr>
          <w:rFonts w:ascii="Arial" w:hAnsi="Arial" w:cs="Arial"/>
          <w:bCs/>
          <w:iCs/>
          <w:kern w:val="28"/>
          <w:sz w:val="36"/>
          <w:highlight w:val="yellow"/>
          <w:lang w:val="en-GB"/>
        </w:rPr>
        <w:t>s</w:t>
      </w:r>
      <w:r>
        <w:rPr>
          <w:rFonts w:ascii="Arial" w:hAnsi="Arial" w:cs="Arial"/>
          <w:bCs/>
          <w:iCs/>
          <w:kern w:val="28"/>
          <w:sz w:val="36"/>
          <w:lang w:val="en-GB"/>
        </w:rPr>
        <w:t>ation and growth responses of African eggplant (</w:t>
      </w:r>
      <w:r>
        <w:rPr>
          <w:rFonts w:ascii="Arial" w:hAnsi="Arial" w:cs="Arial"/>
          <w:bCs/>
          <w:i/>
          <w:iCs/>
          <w:kern w:val="28"/>
          <w:sz w:val="36"/>
          <w:lang w:val="en-GB"/>
        </w:rPr>
        <w:t>Solanum aethiopicum</w:t>
      </w:r>
      <w:r>
        <w:rPr>
          <w:rFonts w:ascii="Arial" w:hAnsi="Arial" w:cs="Arial"/>
          <w:bCs/>
          <w:iCs/>
          <w:kern w:val="28"/>
          <w:sz w:val="36"/>
          <w:lang w:val="en-GB"/>
        </w:rPr>
        <w:t xml:space="preserve"> L.) to indigenous and commercial arbuscular mycorrhizal fungal inoculants</w:t>
      </w:r>
    </w:p>
    <w:p w14:paraId="7FCB3216" w14:textId="77777777" w:rsidR="00790ADA" w:rsidRDefault="00790ADA" w:rsidP="00441B6F">
      <w:pPr>
        <w:pStyle w:val="Affiliation"/>
        <w:spacing w:after="0" w:line="240" w:lineRule="auto"/>
        <w:jc w:val="both"/>
        <w:rPr>
          <w:rFonts w:ascii="Arial" w:hAnsi="Arial" w:cs="Arial"/>
        </w:rPr>
      </w:pPr>
    </w:p>
    <w:p w14:paraId="314D6A0F" w14:textId="77777777" w:rsidR="003A5F65" w:rsidRDefault="003A5F65" w:rsidP="00441B6F">
      <w:pPr>
        <w:pStyle w:val="Affiliation"/>
        <w:spacing w:after="0" w:line="240" w:lineRule="auto"/>
        <w:jc w:val="both"/>
        <w:rPr>
          <w:rFonts w:ascii="Arial" w:hAnsi="Arial" w:cs="Arial"/>
        </w:rPr>
      </w:pPr>
    </w:p>
    <w:p w14:paraId="01EA82DE" w14:textId="77777777" w:rsidR="002C57D2" w:rsidRPr="00FB3A86" w:rsidRDefault="002C57D2" w:rsidP="00441B6F">
      <w:pPr>
        <w:pStyle w:val="Affiliation"/>
        <w:spacing w:after="0" w:line="240" w:lineRule="auto"/>
        <w:jc w:val="both"/>
        <w:rPr>
          <w:rFonts w:ascii="Arial" w:hAnsi="Arial" w:cs="Arial"/>
        </w:rPr>
      </w:pPr>
    </w:p>
    <w:p w14:paraId="1CAB21B8" w14:textId="77777777" w:rsidR="00B01FCD" w:rsidRPr="00FB3A86" w:rsidRDefault="00000000" w:rsidP="00441B6F">
      <w:pPr>
        <w:pStyle w:val="Copyright"/>
        <w:spacing w:after="0" w:line="240" w:lineRule="auto"/>
        <w:jc w:val="both"/>
        <w:rPr>
          <w:rFonts w:ascii="Arial" w:hAnsi="Arial" w:cs="Arial"/>
        </w:rPr>
        <w:sectPr w:rsidR="00B01FCD" w:rsidRPr="00FB3A86" w:rsidSect="00BE11BE">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6C39439F"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6BE408F2" w14:textId="77777777" w:rsidR="00D36784" w:rsidRDefault="00D36784" w:rsidP="00D36784">
      <w:pPr>
        <w:pStyle w:val="Body"/>
        <w:spacing w:after="0"/>
        <w:rPr>
          <w:rFonts w:ascii="Arial" w:eastAsia="Calibri" w:hAnsi="Arial" w:cs="Arial"/>
          <w:b/>
          <w:szCs w:val="22"/>
        </w:rPr>
      </w:pPr>
    </w:p>
    <w:p w14:paraId="26381231" w14:textId="77777777" w:rsidR="00D36784" w:rsidRDefault="00B97033" w:rsidP="00D36784">
      <w:pPr>
        <w:pStyle w:val="Body"/>
        <w:spacing w:after="0"/>
        <w:rPr>
          <w:rFonts w:ascii="Arial" w:eastAsia="Calibri" w:hAnsi="Arial" w:cs="Arial"/>
          <w:szCs w:val="22"/>
          <w:lang w:val="en-GB"/>
        </w:rPr>
      </w:pPr>
      <w:r>
        <w:rPr>
          <w:rFonts w:ascii="Arial" w:eastAsia="Calibri" w:hAnsi="Arial" w:cs="Arial"/>
          <w:b/>
          <w:szCs w:val="22"/>
        </w:rPr>
        <w:t xml:space="preserve">Background: </w:t>
      </w:r>
      <w:r>
        <w:rPr>
          <w:rFonts w:ascii="Arial" w:eastAsia="Calibri" w:hAnsi="Arial" w:cs="Arial"/>
          <w:szCs w:val="22"/>
          <w:lang w:val="en-GB"/>
        </w:rPr>
        <w:t>African eggplant (</w:t>
      </w:r>
      <w:r>
        <w:rPr>
          <w:rFonts w:ascii="Arial" w:eastAsia="Calibri" w:hAnsi="Arial" w:cs="Arial"/>
          <w:i/>
          <w:iCs/>
          <w:szCs w:val="22"/>
          <w:lang w:val="en-GB"/>
        </w:rPr>
        <w:t>Solanum aethiopicum</w:t>
      </w:r>
      <w:r>
        <w:rPr>
          <w:rFonts w:ascii="Arial" w:eastAsia="Calibri" w:hAnsi="Arial" w:cs="Arial"/>
          <w:szCs w:val="22"/>
          <w:lang w:val="en-GB"/>
        </w:rPr>
        <w:t xml:space="preserve"> L.) is an important vegetable crop in sub-Saharan Africa, but its productivity is constrained by declining soil fertility and increasing reliance on chemical inputs. Arbuscular mycorrhizal fungi (AMF) represent a potential sustainable biofertili</w:t>
      </w:r>
      <w:r>
        <w:rPr>
          <w:rFonts w:ascii="Arial" w:eastAsia="Calibri" w:hAnsi="Arial" w:cs="Arial"/>
          <w:szCs w:val="22"/>
          <w:highlight w:val="yellow"/>
          <w:lang w:val="en-GB"/>
        </w:rPr>
        <w:t>s</w:t>
      </w:r>
      <w:r>
        <w:rPr>
          <w:rFonts w:ascii="Arial" w:eastAsia="Calibri" w:hAnsi="Arial" w:cs="Arial"/>
          <w:szCs w:val="22"/>
          <w:lang w:val="en-GB"/>
        </w:rPr>
        <w:t>ation strategy, although the effectiveness of commercial and indigenous inocula may vary depending on environmental conditions and plant–fungus interactions.</w:t>
      </w:r>
    </w:p>
    <w:p w14:paraId="501EB964" w14:textId="77777777" w:rsidR="00B97033" w:rsidRPr="00BA1B01" w:rsidRDefault="00B97033" w:rsidP="00D36784">
      <w:pPr>
        <w:pStyle w:val="Body"/>
        <w:spacing w:after="0"/>
        <w:rPr>
          <w:rFonts w:ascii="Arial" w:eastAsia="Calibri" w:hAnsi="Arial" w:cs="Arial"/>
          <w:szCs w:val="22"/>
        </w:rPr>
      </w:pPr>
      <w:r>
        <w:rPr>
          <w:rFonts w:ascii="Arial" w:eastAsia="Calibri" w:hAnsi="Arial" w:cs="Arial"/>
          <w:b/>
          <w:szCs w:val="22"/>
        </w:rPr>
        <w:t xml:space="preserve">Aims: </w:t>
      </w:r>
      <w:r>
        <w:rPr>
          <w:rFonts w:ascii="Arial" w:eastAsia="Calibri" w:hAnsi="Arial" w:cs="Arial"/>
          <w:szCs w:val="22"/>
          <w:lang w:val="en-GB"/>
        </w:rPr>
        <w:t>This study evaluated the ability of one commercial and two indigenous AMF inocula originating from cassava- and maize-associated rhizospheres to coloni</w:t>
      </w:r>
      <w:r>
        <w:rPr>
          <w:rFonts w:ascii="Arial" w:eastAsia="Calibri" w:hAnsi="Arial" w:cs="Arial"/>
          <w:szCs w:val="22"/>
          <w:highlight w:val="yellow"/>
          <w:lang w:val="en-GB"/>
        </w:rPr>
        <w:t>s</w:t>
      </w:r>
      <w:r>
        <w:rPr>
          <w:rFonts w:ascii="Arial" w:eastAsia="Calibri" w:hAnsi="Arial" w:cs="Arial"/>
          <w:szCs w:val="22"/>
          <w:lang w:val="en-GB"/>
        </w:rPr>
        <w:t xml:space="preserve">e </w:t>
      </w:r>
      <w:r>
        <w:rPr>
          <w:rFonts w:ascii="Arial" w:eastAsia="Calibri" w:hAnsi="Arial" w:cs="Arial"/>
          <w:i/>
          <w:iCs/>
          <w:szCs w:val="22"/>
          <w:lang w:val="en-GB"/>
        </w:rPr>
        <w:t>S. aethiopicum</w:t>
      </w:r>
      <w:r>
        <w:rPr>
          <w:rFonts w:ascii="Arial" w:eastAsia="Calibri" w:hAnsi="Arial" w:cs="Arial"/>
          <w:szCs w:val="22"/>
          <w:lang w:val="en-GB"/>
        </w:rPr>
        <w:t xml:space="preserve"> roots and influence plant growth.</w:t>
      </w:r>
    </w:p>
    <w:p w14:paraId="45BB1821" w14:textId="77777777" w:rsidR="00D36784" w:rsidRPr="00BA1B01" w:rsidRDefault="00D36784" w:rsidP="00D36784">
      <w:pPr>
        <w:pStyle w:val="Body"/>
        <w:spacing w:after="0"/>
        <w:rPr>
          <w:rFonts w:ascii="Arial" w:eastAsia="Calibri" w:hAnsi="Arial" w:cs="Arial"/>
          <w:szCs w:val="22"/>
        </w:rPr>
      </w:pPr>
      <w:r>
        <w:rPr>
          <w:rFonts w:ascii="Arial" w:eastAsia="Calibri" w:hAnsi="Arial" w:cs="Arial"/>
          <w:b/>
          <w:szCs w:val="22"/>
        </w:rPr>
        <w:t>Study design:</w:t>
      </w:r>
      <w:r>
        <w:rPr>
          <w:rFonts w:ascii="Arial" w:eastAsia="Calibri" w:hAnsi="Arial" w:cs="Arial"/>
          <w:szCs w:val="22"/>
        </w:rPr>
        <w:t xml:space="preserve"> </w:t>
      </w:r>
      <w:r>
        <w:rPr>
          <w:rFonts w:ascii="Arial" w:eastAsia="Calibri" w:hAnsi="Arial" w:cs="Arial"/>
          <w:szCs w:val="22"/>
          <w:lang w:val="en-GB"/>
        </w:rPr>
        <w:t xml:space="preserve">Greenhouse </w:t>
      </w:r>
      <w:r>
        <w:rPr>
          <w:rFonts w:ascii="Arial" w:eastAsia="Calibri" w:hAnsi="Arial" w:cs="Arial"/>
          <w:szCs w:val="22"/>
          <w:highlight w:val="yellow"/>
          <w:lang w:val="en-GB"/>
        </w:rPr>
        <w:t xml:space="preserve">experiment </w:t>
      </w:r>
      <w:r>
        <w:rPr>
          <w:rFonts w:ascii="Arial" w:eastAsia="Calibri" w:hAnsi="Arial" w:cs="Arial"/>
          <w:szCs w:val="22"/>
          <w:lang w:val="en-GB"/>
        </w:rPr>
        <w:t>cond</w:t>
      </w:r>
      <w:r>
        <w:rPr>
          <w:rFonts w:ascii="Arial" w:eastAsia="Calibri" w:hAnsi="Arial" w:cs="Arial"/>
          <w:szCs w:val="22"/>
          <w:highlight w:val="yellow"/>
          <w:lang w:val="en-GB"/>
        </w:rPr>
        <w:t>uc</w:t>
      </w:r>
      <w:r>
        <w:rPr>
          <w:rFonts w:ascii="Arial" w:eastAsia="Calibri" w:hAnsi="Arial" w:cs="Arial"/>
          <w:szCs w:val="22"/>
          <w:lang w:val="en-GB"/>
        </w:rPr>
        <w:t>t</w:t>
      </w:r>
      <w:r>
        <w:rPr>
          <w:rFonts w:ascii="Arial" w:eastAsia="Calibri" w:hAnsi="Arial" w:cs="Arial"/>
          <w:szCs w:val="22"/>
          <w:highlight w:val="yellow"/>
          <w:lang w:val="en-GB"/>
        </w:rPr>
        <w:t>ed</w:t>
      </w:r>
      <w:r>
        <w:rPr>
          <w:rFonts w:ascii="Arial" w:eastAsia="Calibri" w:hAnsi="Arial" w:cs="Arial"/>
          <w:szCs w:val="22"/>
          <w:lang w:val="en-GB"/>
        </w:rPr>
        <w:t xml:space="preserve"> in Daloa, Côte d’Ivoire</w:t>
      </w:r>
      <w:r>
        <w:rPr>
          <w:rFonts w:ascii="Arial" w:eastAsia="Calibri" w:hAnsi="Arial" w:cs="Arial"/>
          <w:szCs w:val="22"/>
        </w:rPr>
        <w:t>.</w:t>
      </w:r>
    </w:p>
    <w:p w14:paraId="35998BEC" w14:textId="77777777" w:rsidR="00D36784" w:rsidRPr="00BA1B01" w:rsidRDefault="00D36784" w:rsidP="00D36784">
      <w:pPr>
        <w:pStyle w:val="Body"/>
        <w:spacing w:after="0"/>
        <w:rPr>
          <w:rFonts w:ascii="Arial" w:eastAsia="Calibri" w:hAnsi="Arial" w:cs="Arial"/>
          <w:szCs w:val="22"/>
        </w:rPr>
      </w:pPr>
      <w:r>
        <w:rPr>
          <w:rFonts w:ascii="Arial" w:eastAsia="Calibri" w:hAnsi="Arial" w:cs="Arial"/>
          <w:b/>
          <w:szCs w:val="22"/>
        </w:rPr>
        <w:t>Place and Duration of Study:</w:t>
      </w:r>
      <w:r>
        <w:rPr>
          <w:rFonts w:ascii="Arial" w:eastAsia="Calibri" w:hAnsi="Arial" w:cs="Arial"/>
          <w:szCs w:val="22"/>
        </w:rPr>
        <w:t xml:space="preserve"> Jean LOROUGNON GUEDE University, Department of </w:t>
      </w:r>
      <w:r>
        <w:rPr>
          <w:rFonts w:ascii="Arial" w:eastAsia="Calibri" w:hAnsi="Arial" w:cs="Arial"/>
          <w:szCs w:val="22"/>
          <w:highlight w:val="yellow"/>
        </w:rPr>
        <w:t>P</w:t>
      </w:r>
      <w:r>
        <w:rPr>
          <w:rFonts w:ascii="Arial" w:eastAsia="Calibri" w:hAnsi="Arial" w:cs="Arial"/>
          <w:szCs w:val="22"/>
        </w:rPr>
        <w:t xml:space="preserve">lant </w:t>
      </w:r>
      <w:r>
        <w:rPr>
          <w:rFonts w:ascii="Arial" w:eastAsia="Calibri" w:hAnsi="Arial" w:cs="Arial"/>
          <w:szCs w:val="22"/>
          <w:highlight w:val="yellow"/>
        </w:rPr>
        <w:t>B</w:t>
      </w:r>
      <w:r>
        <w:rPr>
          <w:rFonts w:ascii="Arial" w:eastAsia="Calibri" w:hAnsi="Arial" w:cs="Arial"/>
          <w:szCs w:val="22"/>
        </w:rPr>
        <w:t xml:space="preserve">iology, </w:t>
      </w:r>
      <w:r>
        <w:rPr>
          <w:rFonts w:ascii="Arial" w:eastAsia="Calibri" w:hAnsi="Arial" w:cs="Arial"/>
          <w:szCs w:val="22"/>
          <w:highlight w:val="yellow"/>
        </w:rPr>
        <w:t>from</w:t>
      </w:r>
      <w:r>
        <w:rPr>
          <w:rFonts w:ascii="Arial" w:eastAsia="Calibri" w:hAnsi="Arial" w:cs="Arial"/>
          <w:szCs w:val="22"/>
        </w:rPr>
        <w:t xml:space="preserve"> April </w:t>
      </w:r>
      <w:r>
        <w:rPr>
          <w:rFonts w:ascii="Arial" w:eastAsia="Calibri" w:hAnsi="Arial" w:cs="Arial"/>
          <w:szCs w:val="22"/>
          <w:highlight w:val="yellow"/>
        </w:rPr>
        <w:t>to</w:t>
      </w:r>
      <w:r>
        <w:rPr>
          <w:rFonts w:ascii="Arial" w:eastAsia="Calibri" w:hAnsi="Arial" w:cs="Arial"/>
          <w:szCs w:val="22"/>
        </w:rPr>
        <w:t xml:space="preserve"> June 2024.</w:t>
      </w:r>
    </w:p>
    <w:p w14:paraId="5E999FB8" w14:textId="77777777" w:rsidR="00D36784" w:rsidRPr="00BA1B01" w:rsidRDefault="00D36784" w:rsidP="00D36784">
      <w:pPr>
        <w:pStyle w:val="Body"/>
        <w:spacing w:after="0"/>
        <w:rPr>
          <w:rFonts w:ascii="Arial" w:eastAsia="Calibri" w:hAnsi="Arial" w:cs="Arial"/>
          <w:b/>
          <w:bCs/>
          <w:szCs w:val="22"/>
        </w:rPr>
      </w:pPr>
      <w:r>
        <w:rPr>
          <w:rFonts w:ascii="Arial" w:eastAsia="Calibri" w:hAnsi="Arial" w:cs="Arial"/>
          <w:b/>
          <w:bCs/>
          <w:szCs w:val="22"/>
        </w:rPr>
        <w:t>Methodology:</w:t>
      </w:r>
      <w:r>
        <w:rPr>
          <w:rFonts w:ascii="Arial" w:eastAsia="Calibri" w:hAnsi="Arial" w:cs="Arial"/>
          <w:szCs w:val="22"/>
        </w:rPr>
        <w:t xml:space="preserve"> </w:t>
      </w:r>
      <w:r>
        <w:rPr>
          <w:rFonts w:ascii="Arial" w:eastAsia="Calibri" w:hAnsi="Arial" w:cs="Arial"/>
          <w:szCs w:val="22"/>
          <w:lang w:val="en-GB"/>
        </w:rPr>
        <w:t>A completely randomi</w:t>
      </w:r>
      <w:r>
        <w:rPr>
          <w:rFonts w:ascii="Arial" w:eastAsia="Calibri" w:hAnsi="Arial" w:cs="Arial"/>
          <w:szCs w:val="22"/>
          <w:highlight w:val="yellow"/>
          <w:lang w:val="en-GB"/>
        </w:rPr>
        <w:t>s</w:t>
      </w:r>
      <w:r>
        <w:rPr>
          <w:rFonts w:ascii="Arial" w:eastAsia="Calibri" w:hAnsi="Arial" w:cs="Arial"/>
          <w:szCs w:val="22"/>
          <w:lang w:val="en-GB"/>
        </w:rPr>
        <w:t>ed design with four treatments and seven replicates was used: a commercial inoculant (CoM), an indigenous cassava-derived inocul</w:t>
      </w:r>
      <w:r>
        <w:rPr>
          <w:rFonts w:ascii="Arial" w:eastAsia="Calibri" w:hAnsi="Arial" w:cs="Arial"/>
          <w:szCs w:val="22"/>
          <w:highlight w:val="yellow"/>
          <w:lang w:val="en-GB"/>
        </w:rPr>
        <w:t>um</w:t>
      </w:r>
      <w:r>
        <w:rPr>
          <w:rFonts w:ascii="Arial" w:eastAsia="Calibri" w:hAnsi="Arial" w:cs="Arial"/>
          <w:szCs w:val="22"/>
          <w:lang w:val="en-GB"/>
        </w:rPr>
        <w:t xml:space="preserve"> (CaM), an indigenous maize-derived inocul</w:t>
      </w:r>
      <w:r>
        <w:rPr>
          <w:rFonts w:ascii="Arial" w:eastAsia="Calibri" w:hAnsi="Arial" w:cs="Arial"/>
          <w:szCs w:val="22"/>
          <w:highlight w:val="yellow"/>
          <w:lang w:val="en-GB"/>
        </w:rPr>
        <w:t>um</w:t>
      </w:r>
      <w:r>
        <w:rPr>
          <w:rFonts w:ascii="Arial" w:eastAsia="Calibri" w:hAnsi="Arial" w:cs="Arial"/>
          <w:szCs w:val="22"/>
          <w:lang w:val="en-GB"/>
        </w:rPr>
        <w:t xml:space="preserve"> (MaM), and a non-inoculated control. Mycorrhizal coloni</w:t>
      </w:r>
      <w:r>
        <w:rPr>
          <w:rFonts w:ascii="Arial" w:eastAsia="Calibri" w:hAnsi="Arial" w:cs="Arial"/>
          <w:szCs w:val="22"/>
          <w:highlight w:val="yellow"/>
          <w:lang w:val="en-GB"/>
        </w:rPr>
        <w:t>s</w:t>
      </w:r>
      <w:r>
        <w:rPr>
          <w:rFonts w:ascii="Arial" w:eastAsia="Calibri" w:hAnsi="Arial" w:cs="Arial"/>
          <w:szCs w:val="22"/>
          <w:lang w:val="en-GB"/>
        </w:rPr>
        <w:t xml:space="preserve">ation frequency and intensity were assessed 40 days after transplanting, while plant growth and biomass production were monitored for 60 days. </w:t>
      </w:r>
      <w:r>
        <w:rPr>
          <w:rFonts w:ascii="Arial" w:eastAsia="Calibri" w:hAnsi="Arial" w:cs="Arial"/>
          <w:b/>
          <w:bCs/>
          <w:szCs w:val="22"/>
        </w:rPr>
        <w:t>Results:</w:t>
      </w:r>
      <w:r>
        <w:rPr>
          <w:rFonts w:ascii="Arial" w:eastAsia="Calibri" w:hAnsi="Arial" w:cs="Arial"/>
          <w:szCs w:val="22"/>
        </w:rPr>
        <w:t xml:space="preserve"> </w:t>
      </w:r>
      <w:r>
        <w:rPr>
          <w:rFonts w:ascii="Arial" w:eastAsia="Calibri" w:hAnsi="Arial" w:cs="Arial"/>
          <w:szCs w:val="22"/>
          <w:lang w:val="en-GB"/>
        </w:rPr>
        <w:t>All three inocula established mycorrhizal coloni</w:t>
      </w:r>
      <w:r>
        <w:rPr>
          <w:rFonts w:ascii="Arial" w:eastAsia="Calibri" w:hAnsi="Arial" w:cs="Arial"/>
          <w:szCs w:val="22"/>
          <w:highlight w:val="yellow"/>
          <w:lang w:val="en-GB"/>
        </w:rPr>
        <w:t>s</w:t>
      </w:r>
      <w:r>
        <w:rPr>
          <w:rFonts w:ascii="Arial" w:eastAsia="Calibri" w:hAnsi="Arial" w:cs="Arial"/>
          <w:szCs w:val="22"/>
          <w:lang w:val="en-GB"/>
        </w:rPr>
        <w:t>ation, with coloni</w:t>
      </w:r>
      <w:r>
        <w:rPr>
          <w:rFonts w:ascii="Arial" w:eastAsia="Calibri" w:hAnsi="Arial" w:cs="Arial"/>
          <w:szCs w:val="22"/>
          <w:highlight w:val="yellow"/>
          <w:lang w:val="en-GB"/>
        </w:rPr>
        <w:t>s</w:t>
      </w:r>
      <w:r>
        <w:rPr>
          <w:rFonts w:ascii="Arial" w:eastAsia="Calibri" w:hAnsi="Arial" w:cs="Arial"/>
          <w:szCs w:val="22"/>
          <w:lang w:val="en-GB"/>
        </w:rPr>
        <w:t>ation frequencies exceeding 50%, whereas no coloni</w:t>
      </w:r>
      <w:r>
        <w:rPr>
          <w:rFonts w:ascii="Arial" w:eastAsia="Calibri" w:hAnsi="Arial" w:cs="Arial"/>
          <w:szCs w:val="22"/>
          <w:highlight w:val="yellow"/>
          <w:lang w:val="en-GB"/>
        </w:rPr>
        <w:t>s</w:t>
      </w:r>
      <w:r>
        <w:rPr>
          <w:rFonts w:ascii="Arial" w:eastAsia="Calibri" w:hAnsi="Arial" w:cs="Arial"/>
          <w:szCs w:val="22"/>
          <w:lang w:val="en-GB"/>
        </w:rPr>
        <w:t>ation was detected in the non-inoculated control. However, coloni</w:t>
      </w:r>
      <w:r>
        <w:rPr>
          <w:rFonts w:ascii="Arial" w:eastAsia="Calibri" w:hAnsi="Arial" w:cs="Arial"/>
          <w:szCs w:val="22"/>
          <w:highlight w:val="yellow"/>
          <w:lang w:val="en-GB"/>
        </w:rPr>
        <w:t>s</w:t>
      </w:r>
      <w:r>
        <w:rPr>
          <w:rFonts w:ascii="Arial" w:eastAsia="Calibri" w:hAnsi="Arial" w:cs="Arial"/>
          <w:szCs w:val="22"/>
          <w:lang w:val="en-GB"/>
        </w:rPr>
        <w:t xml:space="preserve">ation intensity remained low, and no significant differences were observed among the commercial and indigenous inocula. Similarly, </w:t>
      </w:r>
      <w:r>
        <w:rPr>
          <w:lang w:val="en-GB"/>
        </w:rPr>
        <w:t>no statistically significant treatment differences were detected</w:t>
      </w:r>
      <w:r>
        <w:rPr>
          <w:rFonts w:ascii="Arial" w:eastAsia="Calibri" w:hAnsi="Arial" w:cs="Arial"/>
          <w:szCs w:val="22"/>
          <w:lang w:val="en-GB"/>
        </w:rPr>
        <w:t xml:space="preserve"> </w:t>
      </w:r>
      <w:r>
        <w:rPr>
          <w:rFonts w:ascii="Arial" w:eastAsia="Calibri" w:hAnsi="Arial" w:cs="Arial"/>
          <w:szCs w:val="22"/>
          <w:highlight w:val="yellow"/>
          <w:lang w:val="en-GB"/>
        </w:rPr>
        <w:t>in</w:t>
      </w:r>
      <w:r>
        <w:rPr>
          <w:rFonts w:ascii="Arial" w:eastAsia="Calibri" w:hAnsi="Arial" w:cs="Arial"/>
          <w:szCs w:val="22"/>
          <w:lang w:val="en-GB"/>
        </w:rPr>
        <w:t xml:space="preserve"> plant height, collar diameter, number of leaves, flower-bud production, or fresh aboveground and belowground biomass</w:t>
      </w:r>
      <w:r>
        <w:rPr>
          <w:rFonts w:ascii="Arial" w:eastAsia="Calibri" w:hAnsi="Arial" w:cs="Arial"/>
          <w:szCs w:val="22"/>
        </w:rPr>
        <w:t>.</w:t>
      </w:r>
    </w:p>
    <w:p w14:paraId="46913E85" w14:textId="77777777" w:rsidR="00790ADA" w:rsidRPr="00C93CAA" w:rsidRDefault="00D36784" w:rsidP="00C93CAA">
      <w:pPr>
        <w:pStyle w:val="Body"/>
        <w:spacing w:after="0"/>
        <w:rPr>
          <w:rFonts w:ascii="Arial" w:hAnsi="Arial" w:cs="Arial"/>
          <w:b/>
          <w:bCs/>
        </w:rPr>
      </w:pPr>
      <w:r>
        <w:rPr>
          <w:rFonts w:ascii="Arial" w:eastAsia="Calibri" w:hAnsi="Arial" w:cs="Arial"/>
          <w:b/>
          <w:bCs/>
          <w:szCs w:val="22"/>
        </w:rPr>
        <w:t>Conclusion:</w:t>
      </w:r>
      <w:r>
        <w:rPr>
          <w:rFonts w:ascii="Arial" w:eastAsia="Calibri" w:hAnsi="Arial" w:cs="Arial"/>
          <w:szCs w:val="22"/>
        </w:rPr>
        <w:t xml:space="preserve"> </w:t>
      </w:r>
      <w:r>
        <w:rPr>
          <w:rFonts w:ascii="Arial" w:eastAsia="Calibri" w:hAnsi="Arial" w:cs="Arial"/>
          <w:szCs w:val="22"/>
          <w:lang w:val="en-GB"/>
        </w:rPr>
        <w:t>These findings indicate that the indigenous inocula evaluated were capable of coloni</w:t>
      </w:r>
      <w:r>
        <w:rPr>
          <w:rFonts w:ascii="Arial" w:eastAsia="Calibri" w:hAnsi="Arial" w:cs="Arial"/>
          <w:szCs w:val="22"/>
          <w:highlight w:val="yellow"/>
          <w:lang w:val="en-GB"/>
        </w:rPr>
        <w:t>s</w:t>
      </w:r>
      <w:r>
        <w:rPr>
          <w:rFonts w:ascii="Arial" w:eastAsia="Calibri" w:hAnsi="Arial" w:cs="Arial"/>
          <w:szCs w:val="22"/>
          <w:lang w:val="en-GB"/>
        </w:rPr>
        <w:t xml:space="preserve">ing </w:t>
      </w:r>
      <w:r>
        <w:rPr>
          <w:rFonts w:ascii="Arial" w:eastAsia="Calibri" w:hAnsi="Arial" w:cs="Arial"/>
          <w:i/>
          <w:iCs/>
          <w:szCs w:val="22"/>
          <w:lang w:val="en-GB"/>
        </w:rPr>
        <w:t>S. aethiopicum</w:t>
      </w:r>
      <w:r>
        <w:rPr>
          <w:rFonts w:ascii="Arial" w:eastAsia="Calibri" w:hAnsi="Arial" w:cs="Arial"/>
          <w:szCs w:val="22"/>
          <w:lang w:val="en-GB"/>
        </w:rPr>
        <w:t xml:space="preserve"> roots at levels comparable to the commercial inoculant. </w:t>
      </w:r>
      <w:r>
        <w:t>Under the controlled greenhouse conditions and regular irrigation</w:t>
      </w:r>
      <w:r>
        <w:rPr>
          <w:highlight w:val="yellow"/>
        </w:rPr>
        <w:t xml:space="preserve"> regime</w:t>
      </w:r>
      <w:r>
        <w:t xml:space="preserve"> used in this study, AMF inoculation did not result in detectable improvements in eggplant growth. </w:t>
      </w:r>
      <w:r>
        <w:rPr>
          <w:rFonts w:ascii="Arial" w:eastAsia="Calibri" w:hAnsi="Arial" w:cs="Arial"/>
          <w:szCs w:val="22"/>
          <w:lang w:val="en-GB"/>
        </w:rPr>
        <w:t>Longer-term experiments using larger root-zone volumes and contrasting water conditions, together with field trials, are needed to determine the agronomic potential of these indigenous inocula for sustainable biofertili</w:t>
      </w:r>
      <w:r>
        <w:rPr>
          <w:rFonts w:ascii="Arial" w:eastAsia="Calibri" w:hAnsi="Arial" w:cs="Arial"/>
          <w:szCs w:val="22"/>
          <w:highlight w:val="yellow"/>
          <w:lang w:val="en-GB"/>
        </w:rPr>
        <w:t>s</w:t>
      </w:r>
      <w:r>
        <w:rPr>
          <w:rFonts w:ascii="Arial" w:eastAsia="Calibri" w:hAnsi="Arial" w:cs="Arial"/>
          <w:szCs w:val="22"/>
          <w:lang w:val="en-GB"/>
        </w:rPr>
        <w:t>ation of African eggplant in Côte d’Ivoire.</w:t>
      </w:r>
    </w:p>
    <w:p w14:paraId="4D1844A4" w14:textId="77777777" w:rsidR="00636EB2" w:rsidRDefault="00636EB2" w:rsidP="00441B6F">
      <w:pPr>
        <w:pStyle w:val="Body"/>
        <w:spacing w:after="0"/>
        <w:rPr>
          <w:rFonts w:ascii="Arial" w:hAnsi="Arial" w:cs="Arial"/>
          <w:i/>
        </w:rPr>
      </w:pPr>
    </w:p>
    <w:p w14:paraId="370E16A1" w14:textId="77777777" w:rsidR="0024282C" w:rsidRPr="003A7C92" w:rsidRDefault="00A24E7E" w:rsidP="003A7C92">
      <w:pPr>
        <w:pStyle w:val="Body"/>
        <w:rPr>
          <w:rFonts w:ascii="Arial" w:hAnsi="Arial" w:cs="Arial"/>
          <w:i/>
          <w:lang w:val="en-GB"/>
        </w:rPr>
      </w:pPr>
      <w:r>
        <w:rPr>
          <w:rFonts w:ascii="Arial" w:hAnsi="Arial" w:cs="Arial"/>
          <w:i/>
        </w:rPr>
        <w:t xml:space="preserve">Keywords: </w:t>
      </w:r>
      <w:r w:rsidR="00FE339B" w:rsidRPr="00FE339B">
        <w:rPr>
          <w:rFonts w:ascii="Arial" w:hAnsi="Arial" w:cs="Arial"/>
          <w:i/>
          <w:lang w:val="en"/>
        </w:rPr>
        <w:t>Sustainable agriculture, Biofertilizer, Arbuscular mycorrhizae, Mycorrhizal colonization</w:t>
      </w:r>
      <w:r w:rsidR="0066510A">
        <w:rPr>
          <w:rFonts w:ascii="Arial" w:hAnsi="Arial" w:cs="Arial"/>
          <w:i/>
        </w:rPr>
        <w:t xml:space="preserve"> </w:t>
      </w:r>
    </w:p>
    <w:p w14:paraId="3286EA2B" w14:textId="77777777" w:rsidR="00505F06" w:rsidRPr="00A24E7E" w:rsidRDefault="00505F06" w:rsidP="00441B6F">
      <w:pPr>
        <w:pStyle w:val="Body"/>
        <w:spacing w:after="0"/>
        <w:rPr>
          <w:rFonts w:ascii="Arial" w:hAnsi="Arial" w:cs="Arial"/>
          <w:i/>
        </w:rPr>
      </w:pPr>
    </w:p>
    <w:p w14:paraId="7CD238A0"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7D35D7E" w14:textId="77777777" w:rsidR="00790ADA" w:rsidRPr="00FB3A86" w:rsidRDefault="00790ADA" w:rsidP="00441B6F">
      <w:pPr>
        <w:pStyle w:val="AbstHead"/>
        <w:spacing w:after="0"/>
        <w:jc w:val="both"/>
        <w:rPr>
          <w:rFonts w:ascii="Arial" w:hAnsi="Arial" w:cs="Arial"/>
        </w:rPr>
      </w:pPr>
    </w:p>
    <w:p w14:paraId="72B67EEA" w14:textId="77777777" w:rsidR="00FE339B" w:rsidRPr="003A7C92" w:rsidRDefault="00FE339B" w:rsidP="003A7C92">
      <w:pPr>
        <w:jc w:val="both"/>
        <w:rPr>
          <w:rFonts w:ascii="Arial" w:hAnsi="Arial" w:cs="Arial"/>
        </w:rPr>
      </w:pPr>
      <w:r>
        <w:rPr>
          <w:rFonts w:ascii="Arial" w:hAnsi="Arial" w:cs="Arial"/>
        </w:rPr>
        <w:t>African eggplant (</w:t>
      </w:r>
      <w:r>
        <w:rPr>
          <w:rFonts w:ascii="Arial" w:hAnsi="Arial" w:cs="Arial"/>
          <w:i/>
          <w:iCs/>
        </w:rPr>
        <w:t>Solanum aethiopicum</w:t>
      </w:r>
      <w:r>
        <w:rPr>
          <w:rFonts w:ascii="Arial" w:hAnsi="Arial" w:cs="Arial"/>
        </w:rPr>
        <w:t xml:space="preserve"> L.) is one of the most widely cultivated indigenous vegetables in sub-Saharan Africa and constitutes an essential component of local food </w:t>
      </w:r>
      <w:r>
        <w:rPr>
          <w:rFonts w:ascii="Arial" w:hAnsi="Arial" w:cs="Arial"/>
        </w:rPr>
        <w:lastRenderedPageBreak/>
        <w:t>systems. The crop is valued for its edible fruits and leaves, which provide dietary fib</w:t>
      </w:r>
      <w:r>
        <w:rPr>
          <w:rFonts w:ascii="Arial" w:hAnsi="Arial" w:cs="Arial"/>
          <w:highlight w:val="yellow"/>
        </w:rPr>
        <w:t>r</w:t>
      </w:r>
      <w:r>
        <w:rPr>
          <w:rFonts w:ascii="Arial" w:hAnsi="Arial" w:cs="Arial"/>
        </w:rPr>
        <w:t>e, vitamins, minerals, and bioactive compounds with recogni</w:t>
      </w:r>
      <w:r>
        <w:rPr>
          <w:rFonts w:ascii="Arial" w:hAnsi="Arial" w:cs="Arial"/>
          <w:highlight w:val="yellow"/>
        </w:rPr>
        <w:t>s</w:t>
      </w:r>
      <w:r>
        <w:rPr>
          <w:rFonts w:ascii="Arial" w:hAnsi="Arial" w:cs="Arial"/>
        </w:rPr>
        <w:t>ed nutritional and health-promoting properties (Choi &amp; Choi, 2024). In addition to its contribution to household nutrition, African eggplant has an important economic role in smallholder farming systems, providing a source of income through commercial production and contributing to farmers’ livelihoods (Kasharu et al., 2019; Mvungi et al., 2025). Consequently, improv</w:t>
      </w:r>
      <w:r>
        <w:rPr>
          <w:rFonts w:ascii="Arial" w:hAnsi="Arial" w:cs="Arial"/>
          <w:highlight w:val="yellow"/>
        </w:rPr>
        <w:t>i</w:t>
      </w:r>
      <w:r>
        <w:rPr>
          <w:rFonts w:ascii="Arial" w:hAnsi="Arial" w:cs="Arial"/>
        </w:rPr>
        <w:t>n</w:t>
      </w:r>
      <w:r>
        <w:rPr>
          <w:rFonts w:ascii="Arial" w:hAnsi="Arial" w:cs="Arial"/>
          <w:highlight w:val="yellow"/>
        </w:rPr>
        <w:t>g</w:t>
      </w:r>
      <w:r>
        <w:rPr>
          <w:rFonts w:ascii="Arial" w:hAnsi="Arial" w:cs="Arial"/>
        </w:rPr>
        <w:t xml:space="preserve"> the cultivation of this indigenous vegetable is considered an important strategy for strengthening food security, improving nutrition, and supporting rural livelihoods while promoting sustainable agricultural development.</w:t>
      </w:r>
    </w:p>
    <w:p w14:paraId="5E2FD689" w14:textId="77777777" w:rsidR="00FE339B" w:rsidRPr="003A7C92" w:rsidRDefault="00FE339B" w:rsidP="003A7C92">
      <w:pPr>
        <w:jc w:val="both"/>
        <w:rPr>
          <w:rFonts w:ascii="Arial" w:hAnsi="Arial" w:cs="Arial"/>
        </w:rPr>
      </w:pPr>
    </w:p>
    <w:p w14:paraId="6C46259A" w14:textId="77777777" w:rsidR="00FE339B" w:rsidRPr="00A4316B" w:rsidRDefault="007765CD" w:rsidP="003A7C92">
      <w:pPr>
        <w:jc w:val="both"/>
        <w:rPr>
          <w:rFonts w:ascii="Arial" w:hAnsi="Arial" w:cs="Arial"/>
          <w:bCs/>
        </w:rPr>
      </w:pPr>
      <w:r>
        <w:rPr>
          <w:rFonts w:ascii="Arial" w:hAnsi="Arial" w:cs="Arial"/>
        </w:rPr>
        <w:t xml:space="preserve">Despite its importance, </w:t>
      </w:r>
      <w:r>
        <w:rPr>
          <w:rFonts w:ascii="Arial" w:hAnsi="Arial" w:cs="Arial"/>
          <w:i/>
          <w:iCs/>
        </w:rPr>
        <w:t>S. aethiopicum</w:t>
      </w:r>
      <w:r>
        <w:rPr>
          <w:rFonts w:ascii="Arial" w:hAnsi="Arial" w:cs="Arial"/>
        </w:rPr>
        <w:t xml:space="preserve"> cultivation faces several constraints, including declining soil fertility, inadequate nutrient management, and increasing pest and disease pressures. </w:t>
      </w:r>
      <w:r>
        <w:rPr>
          <w:rFonts w:ascii="Arial" w:hAnsi="Arial" w:cs="Arial"/>
          <w:highlight w:val="yellow"/>
        </w:rPr>
        <w:t>I</w:t>
      </w:r>
      <w:r>
        <w:rPr>
          <w:rFonts w:ascii="Arial" w:hAnsi="Arial" w:cs="Arial"/>
        </w:rPr>
        <w:t>n Côte d</w:t>
      </w:r>
      <w:r>
        <w:rPr>
          <w:rFonts w:ascii="Arial" w:hAnsi="Arial" w:cs="Arial"/>
          <w:highlight w:val="yellow"/>
        </w:rPr>
        <w:t>’</w:t>
      </w:r>
      <w:r>
        <w:rPr>
          <w:rFonts w:ascii="Arial" w:hAnsi="Arial" w:cs="Arial"/>
        </w:rPr>
        <w:t>Ivoire, farmers frequently rely on chemical pesticides and mineral fertili</w:t>
      </w:r>
      <w:r>
        <w:rPr>
          <w:rFonts w:ascii="Arial" w:hAnsi="Arial" w:cs="Arial"/>
          <w:highlight w:val="yellow"/>
        </w:rPr>
        <w:t>s</w:t>
      </w:r>
      <w:r>
        <w:rPr>
          <w:rFonts w:ascii="Arial" w:hAnsi="Arial" w:cs="Arial"/>
        </w:rPr>
        <w:t>er</w:t>
      </w:r>
      <w:r>
        <w:rPr>
          <w:rFonts w:ascii="Arial" w:hAnsi="Arial" w:cs="Arial"/>
          <w:highlight w:val="yellow"/>
        </w:rPr>
        <w:t>s to address these constraint</w:t>
      </w:r>
      <w:r>
        <w:rPr>
          <w:rFonts w:ascii="Arial" w:hAnsi="Arial" w:cs="Arial"/>
        </w:rPr>
        <w:t>s. Although mineral fertili</w:t>
      </w:r>
      <w:r>
        <w:rPr>
          <w:rFonts w:ascii="Arial" w:hAnsi="Arial" w:cs="Arial"/>
          <w:highlight w:val="yellow"/>
        </w:rPr>
        <w:t>s</w:t>
      </w:r>
      <w:r>
        <w:rPr>
          <w:rFonts w:ascii="Arial" w:hAnsi="Arial" w:cs="Arial"/>
        </w:rPr>
        <w:t xml:space="preserve">ation can rapidly improve crop performance and chemical pesticides </w:t>
      </w:r>
      <w:r>
        <w:rPr>
          <w:rFonts w:ascii="Arial" w:hAnsi="Arial" w:cs="Arial"/>
          <w:highlight w:val="yellow"/>
        </w:rPr>
        <w:t>c</w:t>
      </w:r>
      <w:r>
        <w:rPr>
          <w:rFonts w:ascii="Arial" w:hAnsi="Arial" w:cs="Arial"/>
        </w:rPr>
        <w:t>a</w:t>
      </w:r>
      <w:r>
        <w:rPr>
          <w:rFonts w:ascii="Arial" w:hAnsi="Arial" w:cs="Arial"/>
          <w:highlight w:val="yellow"/>
        </w:rPr>
        <w:t>n</w:t>
      </w:r>
      <w:r>
        <w:rPr>
          <w:rFonts w:ascii="Arial" w:hAnsi="Arial" w:cs="Arial"/>
        </w:rPr>
        <w:t xml:space="preserve"> protect</w:t>
      </w:r>
      <w:r>
        <w:rPr>
          <w:rFonts w:ascii="Arial" w:hAnsi="Arial" w:cs="Arial"/>
          <w:highlight w:val="yellow"/>
        </w:rPr>
        <w:t xml:space="preserve"> cr</w:t>
      </w:r>
      <w:r>
        <w:rPr>
          <w:rFonts w:ascii="Arial" w:hAnsi="Arial" w:cs="Arial"/>
        </w:rPr>
        <w:t>o</w:t>
      </w:r>
      <w:r>
        <w:rPr>
          <w:rFonts w:ascii="Arial" w:hAnsi="Arial" w:cs="Arial"/>
          <w:highlight w:val="yellow"/>
        </w:rPr>
        <w:t>ps</w:t>
      </w:r>
      <w:r>
        <w:rPr>
          <w:rFonts w:ascii="Arial" w:hAnsi="Arial" w:cs="Arial"/>
        </w:rPr>
        <w:t>, their long-term sustainability is increasingly questioned because of rising input costs and adverse environmental impacts. These limitations have stimulated growing interest in environmentally friendly alternatives capable of sustaining crop growth while restoring soil biological functions.</w:t>
      </w:r>
      <w:r>
        <w:rPr>
          <w:b/>
          <w:highlight w:val="yellow"/>
        </w:rPr>
        <w:t xml:space="preserve"> </w:t>
      </w:r>
      <w:r w:rsidRPr="00A4316B">
        <w:rPr>
          <w:bCs/>
          <w:highlight w:val="yellow"/>
        </w:rPr>
        <w:t>Recent reviews also identify AMF-based biofertilisation as a biological approach for supporting nutrient acquisition and soil functions within more sustainable production systems (Gayathry et al., 2024).</w:t>
      </w:r>
    </w:p>
    <w:p w14:paraId="5A1D6AFF" w14:textId="77777777" w:rsidR="00FE339B" w:rsidRPr="00A4316B" w:rsidRDefault="00FE339B" w:rsidP="003A7C92">
      <w:pPr>
        <w:jc w:val="both"/>
        <w:rPr>
          <w:rFonts w:ascii="Arial" w:hAnsi="Arial" w:cs="Arial"/>
          <w:bCs/>
        </w:rPr>
      </w:pPr>
    </w:p>
    <w:p w14:paraId="359EA1C3" w14:textId="77777777" w:rsidR="00FE339B" w:rsidRPr="00A4316B" w:rsidRDefault="00FE339B" w:rsidP="003A7C92">
      <w:pPr>
        <w:jc w:val="both"/>
        <w:rPr>
          <w:rFonts w:ascii="Arial" w:hAnsi="Arial" w:cs="Arial"/>
          <w:bCs/>
        </w:rPr>
      </w:pPr>
      <w:r>
        <w:rPr>
          <w:rFonts w:ascii="Arial" w:hAnsi="Arial" w:cs="Arial"/>
        </w:rPr>
        <w:t>Among the biological approaches proposed for sustainable agriculture, arbuscular mycorrhizal fungi (AMF) have attracted considerable attention because of their capacity to simultaneously influence plant nutrition, growth, and stress resilience. AMF establish mutualistic associations with approximately 80% of terrestrial plant species, in which carbon compounds supplied by the host plant support fungal growth, while the extraradical mycelial network enhances the acquisition of mineral nutrients and water (Zhang et al., 2024). Meta-analytical evidence indicates that AMF inoculation can substantially improve plant biomass and nitrogen and phosphorus nutrition, although the magnitude of these effects depends on plant, fungal, and environmental factors (Wu et al., 2024). Beyond nutritional benefits, AMF can improve soil structure and water-use efficiency and enhance plant tolerance to drought, salinity, and temperature stress through coordinated physiological, biochemical, and molecular responses (Nie et al., 2024). They may also contribute to plant protection against soil-borne pathogens by stimulating host defen</w:t>
      </w:r>
      <w:r>
        <w:rPr>
          <w:rFonts w:ascii="Arial" w:hAnsi="Arial" w:cs="Arial"/>
          <w:highlight w:val="yellow"/>
        </w:rPr>
        <w:t>c</w:t>
      </w:r>
      <w:r>
        <w:rPr>
          <w:rFonts w:ascii="Arial" w:hAnsi="Arial" w:cs="Arial"/>
        </w:rPr>
        <w:t>e mechanisms and modifying the rhizosphere environment (Nie et al., 2024).</w:t>
      </w:r>
      <w:r>
        <w:rPr>
          <w:b/>
          <w:highlight w:val="yellow"/>
        </w:rPr>
        <w:t xml:space="preserve"> </w:t>
      </w:r>
      <w:r w:rsidRPr="00A4316B">
        <w:rPr>
          <w:bCs/>
          <w:highlight w:val="yellow"/>
        </w:rPr>
        <w:t>A recent global field synthesis likewise showed that AMF effects on root colonisation and crop performance vary with fungal identity, crop group, climate, and soil conditions (Li et al., 2025).</w:t>
      </w:r>
    </w:p>
    <w:p w14:paraId="21B0899D" w14:textId="77777777" w:rsidR="00FE339B" w:rsidRPr="00A4316B" w:rsidRDefault="00FE339B" w:rsidP="003A7C92">
      <w:pPr>
        <w:jc w:val="both"/>
        <w:rPr>
          <w:rFonts w:ascii="Arial" w:hAnsi="Arial" w:cs="Arial"/>
          <w:bCs/>
        </w:rPr>
      </w:pPr>
      <w:r>
        <w:rPr>
          <w:rFonts w:ascii="Arial" w:hAnsi="Arial" w:cs="Arial"/>
        </w:rPr>
        <w:t xml:space="preserve">These multiple ecosystem services have positioned AMF as key components of sustainable agriculture and have contributed to the development of numerous industries producing commercial mycorrhizal inoculants worldwide (Vosátka et al., 2012). However, the effectiveness of mycorrhizal inoculation may vary depending on the origin of the fungal inoculum. In particular, indigenous AMF isolates may be better adapted to local soil and environmental conditions than exotic or commercial strains, potentially influencing their ability to establish symbiosis with host plants and to promote plant growth (Berruti et al., 2016). Although considerable progress has been made in understanding AMF–plant interactions, important knowledge gaps remain for indigenous vegetable production systems in West Africa. Furthermore, information on the agronomic performance of locally produced AMF inocula </w:t>
      </w:r>
      <w:r>
        <w:rPr>
          <w:rFonts w:ascii="Arial" w:hAnsi="Arial" w:cs="Arial"/>
          <w:highlight w:val="yellow"/>
        </w:rPr>
        <w:t>rema</w:t>
      </w:r>
      <w:r>
        <w:rPr>
          <w:rFonts w:ascii="Arial" w:hAnsi="Arial" w:cs="Arial"/>
        </w:rPr>
        <w:t>i</w:t>
      </w:r>
      <w:r>
        <w:rPr>
          <w:rFonts w:ascii="Arial" w:hAnsi="Arial" w:cs="Arial"/>
          <w:highlight w:val="yellow"/>
        </w:rPr>
        <w:t>n</w:t>
      </w:r>
      <w:r>
        <w:rPr>
          <w:rFonts w:ascii="Arial" w:hAnsi="Arial" w:cs="Arial"/>
        </w:rPr>
        <w:t xml:space="preserve">s </w:t>
      </w:r>
      <w:r>
        <w:rPr>
          <w:rFonts w:ascii="Arial" w:hAnsi="Arial" w:cs="Arial"/>
          <w:highlight w:val="yellow"/>
        </w:rPr>
        <w:t>limi</w:t>
      </w:r>
      <w:r>
        <w:rPr>
          <w:rFonts w:ascii="Arial" w:hAnsi="Arial" w:cs="Arial"/>
        </w:rPr>
        <w:t>t</w:t>
      </w:r>
      <w:r>
        <w:rPr>
          <w:rFonts w:ascii="Arial" w:hAnsi="Arial" w:cs="Arial"/>
          <w:highlight w:val="yellow"/>
        </w:rPr>
        <w:t>e</w:t>
      </w:r>
      <w:r>
        <w:rPr>
          <w:rFonts w:ascii="Arial" w:hAnsi="Arial" w:cs="Arial"/>
        </w:rPr>
        <w:t>d (Kouadio et al., 2017; Séry et al., 2016), despite their potential advantages in terms of adaptation to local soils, lower production costs, and wider accessibility for smallholder farmers. Therefore, comparing commercial inoculants with indigenous inocula is important for determining whether locally sourced AMF can provide an effective alternative to commercially available products.</w:t>
      </w:r>
      <w:r>
        <w:rPr>
          <w:b/>
          <w:highlight w:val="yellow"/>
        </w:rPr>
        <w:t xml:space="preserve"> </w:t>
      </w:r>
      <w:r w:rsidRPr="00A4316B">
        <w:rPr>
          <w:bCs/>
          <w:highlight w:val="yellow"/>
        </w:rPr>
        <w:t xml:space="preserve">Recent studies using native AMF in </w:t>
      </w:r>
      <w:r w:rsidRPr="00A4316B">
        <w:rPr>
          <w:bCs/>
          <w:highlight w:val="yellow"/>
        </w:rPr>
        <w:lastRenderedPageBreak/>
        <w:t>vegetable and cereal systems further indicate that inoculation outcomes can depend on host–fungus interactions and the growing environment (Gebreslassie et al., 2024; Marrassini et al., 2024). Variation in AMF diversity and root colonisation among crop hosts also supports crop-specific evaluation of locally sourced inocula (Nengi-Benwari et al., 2025).</w:t>
      </w:r>
    </w:p>
    <w:p w14:paraId="0C9C025D" w14:textId="77777777" w:rsidR="00B01FCD" w:rsidRPr="003A7C92" w:rsidRDefault="00FE339B" w:rsidP="003A7C92">
      <w:pPr>
        <w:pStyle w:val="Body"/>
        <w:spacing w:after="0"/>
        <w:rPr>
          <w:rFonts w:ascii="Arial" w:hAnsi="Arial" w:cs="Arial"/>
        </w:rPr>
      </w:pPr>
      <w:r>
        <w:rPr>
          <w:rFonts w:ascii="Arial" w:hAnsi="Arial" w:cs="Arial"/>
        </w:rPr>
        <w:t xml:space="preserve">The present study was designed to assess the effects of one commercial and two locally produced AMF inocula on </w:t>
      </w:r>
      <w:r>
        <w:rPr>
          <w:rFonts w:ascii="Arial" w:hAnsi="Arial" w:cs="Arial"/>
          <w:i/>
          <w:iCs/>
        </w:rPr>
        <w:t>Solanum aethiopicum</w:t>
      </w:r>
      <w:r>
        <w:rPr>
          <w:rFonts w:ascii="Arial" w:hAnsi="Arial" w:cs="Arial"/>
        </w:rPr>
        <w:t xml:space="preserve"> root mycorrhizal coloni</w:t>
      </w:r>
      <w:r>
        <w:rPr>
          <w:rFonts w:ascii="Arial" w:hAnsi="Arial" w:cs="Arial"/>
          <w:highlight w:val="yellow"/>
        </w:rPr>
        <w:t>s</w:t>
      </w:r>
      <w:r>
        <w:rPr>
          <w:rFonts w:ascii="Arial" w:hAnsi="Arial" w:cs="Arial"/>
        </w:rPr>
        <w:t>ation and growth under greenhouse conditions in Daloa, Côte d</w:t>
      </w:r>
      <w:r>
        <w:rPr>
          <w:rFonts w:ascii="Arial" w:hAnsi="Arial" w:cs="Arial"/>
          <w:highlight w:val="yellow"/>
        </w:rPr>
        <w:t>’</w:t>
      </w:r>
      <w:r>
        <w:rPr>
          <w:rFonts w:ascii="Arial" w:hAnsi="Arial" w:cs="Arial"/>
        </w:rPr>
        <w:t>Ivoire. By comparing commercial and indigenous inocula under standardi</w:t>
      </w:r>
      <w:r>
        <w:rPr>
          <w:rFonts w:ascii="Arial" w:hAnsi="Arial" w:cs="Arial"/>
          <w:highlight w:val="yellow"/>
        </w:rPr>
        <w:t>s</w:t>
      </w:r>
      <w:r>
        <w:rPr>
          <w:rFonts w:ascii="Arial" w:hAnsi="Arial" w:cs="Arial"/>
        </w:rPr>
        <w:t>ed conditions, this study provides new evidence regarding the context-dependent effectiveness of AMF inoculation and contributes to the development of sustainable biofertili</w:t>
      </w:r>
      <w:r>
        <w:rPr>
          <w:rFonts w:ascii="Arial" w:hAnsi="Arial" w:cs="Arial"/>
          <w:highlight w:val="yellow"/>
        </w:rPr>
        <w:t>s</w:t>
      </w:r>
      <w:r>
        <w:rPr>
          <w:rFonts w:ascii="Arial" w:hAnsi="Arial" w:cs="Arial"/>
        </w:rPr>
        <w:t>ation strategies for African eggplant cultivation in West Africa.</w:t>
      </w:r>
    </w:p>
    <w:p w14:paraId="58135159" w14:textId="77777777" w:rsidR="00790ADA" w:rsidRPr="00FB3A86" w:rsidRDefault="00790ADA" w:rsidP="00441B6F">
      <w:pPr>
        <w:pStyle w:val="Body"/>
        <w:spacing w:after="0"/>
        <w:rPr>
          <w:rFonts w:ascii="Arial" w:hAnsi="Arial" w:cs="Arial"/>
        </w:rPr>
      </w:pPr>
    </w:p>
    <w:p w14:paraId="78249992" w14:textId="77777777" w:rsidR="007F7B32" w:rsidRDefault="00902823" w:rsidP="00441B6F">
      <w:pPr>
        <w:pStyle w:val="AbstHead"/>
        <w:spacing w:after="0"/>
        <w:jc w:val="both"/>
        <w:rPr>
          <w:rFonts w:ascii="Arial" w:hAnsi="Arial" w:cs="Arial"/>
        </w:rPr>
      </w:pPr>
      <w:r>
        <w:rPr>
          <w:rFonts w:ascii="Arial" w:hAnsi="Arial" w:cs="Arial"/>
        </w:rPr>
        <w:t xml:space="preserve">2. </w:t>
      </w:r>
      <w:r>
        <w:rPr>
          <w:rFonts w:ascii="Arial" w:hAnsi="Arial" w:cs="Arial"/>
          <w:highlight w:val="yellow"/>
        </w:rPr>
        <w:t>MATERIAL</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METHODS</w:t>
      </w:r>
    </w:p>
    <w:p w14:paraId="2F2478DD" w14:textId="77777777" w:rsidR="00790ADA" w:rsidRPr="00FB3A86" w:rsidRDefault="00790ADA" w:rsidP="00441B6F">
      <w:pPr>
        <w:pStyle w:val="AbstHead"/>
        <w:spacing w:after="0"/>
        <w:jc w:val="both"/>
        <w:rPr>
          <w:rFonts w:ascii="Arial" w:hAnsi="Arial" w:cs="Arial"/>
        </w:rPr>
      </w:pPr>
    </w:p>
    <w:p w14:paraId="253D95D2" w14:textId="77777777" w:rsidR="00025C23" w:rsidRDefault="00025C23" w:rsidP="00441B6F">
      <w:pPr>
        <w:pStyle w:val="Body"/>
        <w:spacing w:after="0"/>
        <w:rPr>
          <w:rFonts w:ascii="Arial" w:hAnsi="Arial" w:cs="Arial"/>
        </w:rPr>
      </w:pPr>
    </w:p>
    <w:p w14:paraId="46A96378" w14:textId="77777777" w:rsidR="00025C23" w:rsidRPr="00025C23" w:rsidRDefault="00025C23" w:rsidP="00025C23">
      <w:pPr>
        <w:spacing w:line="360" w:lineRule="auto"/>
        <w:jc w:val="both"/>
        <w:rPr>
          <w:b/>
          <w:bCs/>
          <w:i/>
          <w:iCs/>
        </w:rPr>
      </w:pPr>
      <w:r w:rsidRPr="00C30A0F">
        <w:rPr>
          <w:rFonts w:ascii="Arial" w:hAnsi="Arial" w:cs="Arial"/>
          <w:b/>
          <w:caps/>
          <w:sz w:val="22"/>
        </w:rPr>
        <w:t xml:space="preserve">2.1 </w:t>
      </w:r>
      <w:r w:rsidRPr="00025C23">
        <w:rPr>
          <w:rFonts w:ascii="Arial" w:hAnsi="Arial" w:cs="Arial"/>
          <w:b/>
          <w:bCs/>
          <w:sz w:val="22"/>
          <w:szCs w:val="22"/>
        </w:rPr>
        <w:t>Plant material</w:t>
      </w:r>
    </w:p>
    <w:p w14:paraId="6B59C5B0" w14:textId="77777777" w:rsidR="00790ADA" w:rsidRDefault="00790ADA" w:rsidP="00441B6F">
      <w:pPr>
        <w:pStyle w:val="Body"/>
        <w:spacing w:after="0"/>
        <w:rPr>
          <w:rFonts w:ascii="Arial" w:hAnsi="Arial" w:cs="Arial"/>
        </w:rPr>
      </w:pPr>
    </w:p>
    <w:p w14:paraId="6E01DBA2" w14:textId="77777777" w:rsidR="00025C23" w:rsidRDefault="00025C23" w:rsidP="003A7C92">
      <w:pPr>
        <w:jc w:val="both"/>
        <w:rPr>
          <w:rFonts w:ascii="Arial" w:hAnsi="Arial" w:cs="Arial"/>
        </w:rPr>
      </w:pPr>
      <w:r>
        <w:rPr>
          <w:rFonts w:ascii="Arial" w:hAnsi="Arial" w:cs="Arial"/>
        </w:rPr>
        <w:t xml:space="preserve">The eggplant seeds used in the experiment belonged to the BELLO variety. BELLO is an African eggplant cultivar belonging to the </w:t>
      </w:r>
      <w:r>
        <w:rPr>
          <w:rFonts w:ascii="Arial" w:hAnsi="Arial" w:cs="Arial"/>
          <w:i/>
          <w:iCs/>
        </w:rPr>
        <w:t>Solanaceae</w:t>
      </w:r>
      <w:r>
        <w:rPr>
          <w:rFonts w:ascii="Arial" w:hAnsi="Arial" w:cs="Arial"/>
        </w:rPr>
        <w:t xml:space="preserve"> family, characteri</w:t>
      </w:r>
      <w:r>
        <w:rPr>
          <w:rFonts w:ascii="Arial" w:hAnsi="Arial" w:cs="Arial"/>
          <w:highlight w:val="yellow"/>
        </w:rPr>
        <w:t>s</w:t>
      </w:r>
      <w:r>
        <w:rPr>
          <w:rFonts w:ascii="Arial" w:hAnsi="Arial" w:cs="Arial"/>
        </w:rPr>
        <w:t>ed by a mild flavo</w:t>
      </w:r>
      <w:r>
        <w:rPr>
          <w:rFonts w:ascii="Arial" w:hAnsi="Arial" w:cs="Arial"/>
          <w:highlight w:val="yellow"/>
        </w:rPr>
        <w:t>u</w:t>
      </w:r>
      <w:r>
        <w:rPr>
          <w:rFonts w:ascii="Arial" w:hAnsi="Arial" w:cs="Arial"/>
        </w:rPr>
        <w:t>r and early maturity, with the first harvest occurring approximately 60 days after planting. The seeds were purchased from Semivoire, a commercial seed supplier.</w:t>
      </w:r>
    </w:p>
    <w:p w14:paraId="5853C8DE" w14:textId="77777777" w:rsidR="00025C23" w:rsidRDefault="00025C23" w:rsidP="00025C23">
      <w:pPr>
        <w:spacing w:line="360" w:lineRule="auto"/>
        <w:jc w:val="both"/>
        <w:rPr>
          <w:rFonts w:ascii="Arial" w:hAnsi="Arial" w:cs="Arial"/>
        </w:rPr>
      </w:pPr>
    </w:p>
    <w:p w14:paraId="214DBF99" w14:textId="77777777" w:rsidR="00025C23" w:rsidRPr="00025C23" w:rsidRDefault="00025C23" w:rsidP="00025C23">
      <w:pPr>
        <w:spacing w:line="360" w:lineRule="auto"/>
        <w:jc w:val="both"/>
        <w:rPr>
          <w:rFonts w:ascii="Arial" w:hAnsi="Arial" w:cs="Arial"/>
          <w:b/>
          <w:bCs/>
          <w:i/>
          <w:iCs/>
          <w:sz w:val="22"/>
          <w:szCs w:val="22"/>
          <w:lang w:val="en-GB"/>
        </w:rPr>
      </w:pPr>
      <w:r>
        <w:rPr>
          <w:rFonts w:ascii="Arial" w:hAnsi="Arial" w:cs="Arial"/>
          <w:b/>
          <w:caps/>
          <w:sz w:val="22"/>
        </w:rPr>
        <w:t xml:space="preserve">2.2 </w:t>
      </w:r>
      <w:r>
        <w:rPr>
          <w:rFonts w:ascii="Arial" w:hAnsi="Arial" w:cs="Arial"/>
          <w:b/>
          <w:bCs/>
          <w:sz w:val="22"/>
          <w:szCs w:val="22"/>
          <w:lang w:val="en-GB"/>
        </w:rPr>
        <w:t xml:space="preserve">Arbuscular mycorrhizal </w:t>
      </w:r>
      <w:r>
        <w:rPr>
          <w:rFonts w:ascii="Arial" w:hAnsi="Arial" w:cs="Arial"/>
          <w:b/>
          <w:bCs/>
          <w:sz w:val="22"/>
          <w:szCs w:val="22"/>
          <w:highlight w:val="yellow"/>
          <w:lang w:val="en-GB"/>
        </w:rPr>
        <w:t>f</w:t>
      </w:r>
      <w:r>
        <w:rPr>
          <w:rFonts w:ascii="Arial" w:hAnsi="Arial" w:cs="Arial"/>
          <w:b/>
          <w:bCs/>
          <w:sz w:val="22"/>
          <w:szCs w:val="22"/>
          <w:lang w:val="en-GB"/>
        </w:rPr>
        <w:t>ungi inocula</w:t>
      </w:r>
    </w:p>
    <w:p w14:paraId="3EBC06FB" w14:textId="77777777" w:rsidR="006D0C96" w:rsidRDefault="008A604A" w:rsidP="006D0C96">
      <w:pPr>
        <w:jc w:val="both"/>
        <w:rPr>
          <w:rFonts w:ascii="Arial" w:hAnsi="Arial" w:cs="Arial"/>
        </w:rPr>
      </w:pPr>
      <w:bookmarkStart w:id="0" w:name="_Hlk241225653"/>
      <w:bookmarkEnd w:id="0"/>
      <w:r>
        <w:rPr>
          <w:rFonts w:ascii="Arial" w:hAnsi="Arial" w:cs="Arial"/>
        </w:rPr>
        <w:t>The fungal material used consisted of three mycorrhizal inocula belonging to two categories: commercial and indigenous inocula. The indigenous AMF inocula consisted of mixtures of soil, AMF spores, and root fragments collected from cassava and maize fields. The commercial inoculant was supplied by the Quebec-based company Premier Tech Biotechnologies (PTB), which is recogni</w:t>
      </w:r>
      <w:r>
        <w:rPr>
          <w:rFonts w:ascii="Arial" w:hAnsi="Arial" w:cs="Arial"/>
          <w:highlight w:val="yellow"/>
        </w:rPr>
        <w:t>s</w:t>
      </w:r>
      <w:r>
        <w:rPr>
          <w:rFonts w:ascii="Arial" w:hAnsi="Arial" w:cs="Arial"/>
        </w:rPr>
        <w:t>ed as one of the world’s leading producers and suppliers of mycorrhizal inoculants.</w:t>
      </w:r>
      <w:r>
        <w:t xml:space="preserve"> </w:t>
      </w:r>
      <w:r>
        <w:rPr>
          <w:rFonts w:ascii="Arial" w:hAnsi="Arial" w:cs="Arial"/>
        </w:rPr>
        <w:t>Indigenous AMF inocula contained one spore per gram of soil in addition to coloni</w:t>
      </w:r>
      <w:r>
        <w:rPr>
          <w:rFonts w:ascii="Arial" w:hAnsi="Arial" w:cs="Arial"/>
          <w:highlight w:val="yellow"/>
        </w:rPr>
        <w:t>s</w:t>
      </w:r>
      <w:r>
        <w:rPr>
          <w:rFonts w:ascii="Arial" w:hAnsi="Arial" w:cs="Arial"/>
        </w:rPr>
        <w:t>ed root fragments and other propagules present in the field-derived inoculum. In contrast, the commercial inoculum contained 500 AMF spores per gram. Thus, the inocula differed substantially in their counted spore doses and in their composition, and the comparison should not be interpreted as an equivalent spore-dose comparison.</w:t>
      </w:r>
    </w:p>
    <w:p w14:paraId="4E64A014" w14:textId="77777777" w:rsidR="00025C23" w:rsidRDefault="00025C23" w:rsidP="00025C23">
      <w:pPr>
        <w:spacing w:line="360" w:lineRule="auto"/>
        <w:jc w:val="both"/>
        <w:rPr>
          <w:rFonts w:ascii="Arial" w:hAnsi="Arial" w:cs="Arial"/>
        </w:rPr>
      </w:pPr>
    </w:p>
    <w:p w14:paraId="055DF164" w14:textId="77777777" w:rsidR="00025C23" w:rsidRPr="00025C23" w:rsidRDefault="00025C23" w:rsidP="00025C23">
      <w:pPr>
        <w:spacing w:line="360" w:lineRule="auto"/>
        <w:jc w:val="both"/>
        <w:rPr>
          <w:rFonts w:ascii="Arial" w:hAnsi="Arial" w:cs="Arial"/>
          <w:b/>
          <w:bCs/>
          <w:i/>
          <w:iCs/>
          <w:sz w:val="22"/>
          <w:szCs w:val="22"/>
          <w:lang w:val="en-GB"/>
        </w:rPr>
      </w:pPr>
      <w:r>
        <w:rPr>
          <w:rFonts w:ascii="Arial" w:hAnsi="Arial" w:cs="Arial"/>
          <w:b/>
          <w:caps/>
          <w:sz w:val="22"/>
        </w:rPr>
        <w:t xml:space="preserve">2.3 </w:t>
      </w:r>
      <w:r>
        <w:rPr>
          <w:rFonts w:ascii="Arial" w:hAnsi="Arial" w:cs="Arial"/>
          <w:b/>
          <w:bCs/>
          <w:sz w:val="22"/>
          <w:szCs w:val="22"/>
          <w:lang w:val="en-GB"/>
        </w:rPr>
        <w:t>Experimental design, culture condition</w:t>
      </w:r>
      <w:r>
        <w:rPr>
          <w:rFonts w:ascii="Arial" w:hAnsi="Arial" w:cs="Arial"/>
          <w:b/>
          <w:bCs/>
          <w:sz w:val="22"/>
          <w:szCs w:val="22"/>
          <w:highlight w:val="yellow"/>
          <w:lang w:val="en-GB"/>
        </w:rPr>
        <w:t>s</w:t>
      </w:r>
      <w:r>
        <w:rPr>
          <w:rFonts w:ascii="Arial" w:hAnsi="Arial" w:cs="Arial"/>
          <w:b/>
          <w:bCs/>
          <w:sz w:val="22"/>
          <w:szCs w:val="22"/>
          <w:lang w:val="en-GB"/>
        </w:rPr>
        <w:t xml:space="preserve"> and data collection</w:t>
      </w:r>
    </w:p>
    <w:p w14:paraId="00023FCE" w14:textId="77777777" w:rsidR="00025C23" w:rsidRDefault="00025C23" w:rsidP="003A7C92">
      <w:pPr>
        <w:jc w:val="both"/>
        <w:rPr>
          <w:rFonts w:ascii="Arial" w:hAnsi="Arial" w:cs="Arial"/>
        </w:rPr>
      </w:pPr>
      <w:r>
        <w:rPr>
          <w:rFonts w:ascii="Arial" w:hAnsi="Arial" w:cs="Arial"/>
        </w:rPr>
        <w:t>To establish the nursery, eggplant seeds of the ‘Bello’ cultivar obtained from Semivoire were sown in perforated plastic trays to allow excess irrigation water to drain. The trays were filled with previously sterili</w:t>
      </w:r>
      <w:r>
        <w:rPr>
          <w:rFonts w:ascii="Arial" w:hAnsi="Arial" w:cs="Arial"/>
          <w:highlight w:val="yellow"/>
        </w:rPr>
        <w:t>s</w:t>
      </w:r>
      <w:r>
        <w:rPr>
          <w:rFonts w:ascii="Arial" w:hAnsi="Arial" w:cs="Arial"/>
        </w:rPr>
        <w:t>ed potting soil. The seedlings were watered once every two days with 1</w:t>
      </w:r>
      <w:r>
        <w:rPr>
          <w:rFonts w:ascii="Arial" w:hAnsi="Arial" w:cs="Arial"/>
          <w:highlight w:val="yellow"/>
        </w:rPr>
        <w:t xml:space="preserve"> </w:t>
      </w:r>
      <w:r>
        <w:rPr>
          <w:rFonts w:ascii="Arial" w:hAnsi="Arial" w:cs="Arial"/>
        </w:rPr>
        <w:t>L per pot. After reaching the four</w:t>
      </w:r>
      <w:r>
        <w:rPr>
          <w:rFonts w:ascii="Arial" w:hAnsi="Arial" w:cs="Arial"/>
          <w:highlight w:val="yellow"/>
        </w:rPr>
        <w:t>-</w:t>
      </w:r>
      <w:r>
        <w:rPr>
          <w:rFonts w:ascii="Arial" w:hAnsi="Arial" w:cs="Arial"/>
        </w:rPr>
        <w:t>lea</w:t>
      </w:r>
      <w:r>
        <w:rPr>
          <w:rFonts w:ascii="Arial" w:hAnsi="Arial" w:cs="Arial"/>
          <w:highlight w:val="yellow"/>
        </w:rPr>
        <w:t>f</w:t>
      </w:r>
      <w:r>
        <w:rPr>
          <w:rFonts w:ascii="Arial" w:hAnsi="Arial" w:cs="Arial"/>
        </w:rPr>
        <w:t xml:space="preserve"> stage, each plant was transplanted into a 3-L pot containing a substrate consisting of a mixture of sand and potting soil (1:2, v/v). The relatively low-nutrient substrate was intended to avoid excessive nutrient availability that could potentially limit AMF coloni</w:t>
      </w:r>
      <w:r>
        <w:rPr>
          <w:rFonts w:ascii="Arial" w:hAnsi="Arial" w:cs="Arial"/>
          <w:highlight w:val="yellow"/>
        </w:rPr>
        <w:t>s</w:t>
      </w:r>
      <w:r>
        <w:rPr>
          <w:rFonts w:ascii="Arial" w:hAnsi="Arial" w:cs="Arial"/>
        </w:rPr>
        <w:t>ation. The substrate was previously sterili</w:t>
      </w:r>
      <w:r>
        <w:rPr>
          <w:rFonts w:ascii="Arial" w:hAnsi="Arial" w:cs="Arial"/>
          <w:highlight w:val="yellow"/>
        </w:rPr>
        <w:t>s</w:t>
      </w:r>
      <w:r>
        <w:rPr>
          <w:rFonts w:ascii="Arial" w:hAnsi="Arial" w:cs="Arial"/>
        </w:rPr>
        <w:t>ed by autoclaving at 121 °C for 15 min, twice at a 24-h interval.</w:t>
      </w:r>
    </w:p>
    <w:p w14:paraId="71567755" w14:textId="77777777" w:rsidR="00025C23" w:rsidRPr="00025C23" w:rsidRDefault="00025C23" w:rsidP="003A7C92">
      <w:pPr>
        <w:jc w:val="both"/>
        <w:rPr>
          <w:rFonts w:ascii="Arial" w:hAnsi="Arial" w:cs="Arial"/>
        </w:rPr>
      </w:pPr>
    </w:p>
    <w:p w14:paraId="1D2CEC3F" w14:textId="77777777" w:rsidR="00744638" w:rsidRDefault="00744638" w:rsidP="00744638">
      <w:pPr>
        <w:jc w:val="both"/>
        <w:rPr>
          <w:rFonts w:ascii="Arial" w:hAnsi="Arial" w:cs="Arial"/>
        </w:rPr>
      </w:pPr>
      <w:bookmarkStart w:id="1" w:name="_Hlk241224656"/>
      <w:r>
        <w:rPr>
          <w:rFonts w:ascii="Arial" w:hAnsi="Arial" w:cs="Arial"/>
        </w:rPr>
        <w:t>Seedlings were inoculated with AMF at the time of transplanting. The indigenous AMF inocula were applied at a rate of 200 g per plant and contained 200 counted AMF spores per plant, in addition to coloni</w:t>
      </w:r>
      <w:r>
        <w:rPr>
          <w:rFonts w:ascii="Arial" w:hAnsi="Arial" w:cs="Arial"/>
          <w:highlight w:val="yellow"/>
        </w:rPr>
        <w:t>s</w:t>
      </w:r>
      <w:r>
        <w:rPr>
          <w:rFonts w:ascii="Arial" w:hAnsi="Arial" w:cs="Arial"/>
        </w:rPr>
        <w:t xml:space="preserve">ed root fragments and other propagules present in the field-derived inoculum. </w:t>
      </w:r>
      <w:r>
        <w:rPr>
          <w:rFonts w:ascii="Arial" w:hAnsi="Arial" w:cs="Arial"/>
          <w:highlight w:val="yellow"/>
        </w:rPr>
        <w:t>The i</w:t>
      </w:r>
      <w:r>
        <w:rPr>
          <w:rFonts w:ascii="Arial" w:hAnsi="Arial" w:cs="Arial"/>
        </w:rPr>
        <w:t xml:space="preserve">ndigenous inocula </w:t>
      </w:r>
      <w:r>
        <w:rPr>
          <w:rFonts w:ascii="Arial" w:hAnsi="Arial" w:cs="Arial"/>
          <w:highlight w:val="yellow"/>
        </w:rPr>
        <w:t>we</w:t>
      </w:r>
      <w:r>
        <w:rPr>
          <w:rFonts w:ascii="Arial" w:hAnsi="Arial" w:cs="Arial"/>
        </w:rPr>
        <w:t>re mixtures of soil, AMF spores, and root fragments. For the commercial inoculant, 15 g plant</w:t>
      </w:r>
      <w:r>
        <w:rPr>
          <w:rFonts w:ascii="Cambria Math" w:hAnsi="Cambria Math" w:cs="Cambria Math"/>
        </w:rPr>
        <w:t>⁻</w:t>
      </w:r>
      <w:r>
        <w:rPr>
          <w:rFonts w:ascii="Arial" w:hAnsi="Arial" w:cs="Arial"/>
        </w:rPr>
        <w:t>¹ (</w:t>
      </w:r>
      <w:r>
        <w:rPr>
          <w:rFonts w:ascii="Arial" w:hAnsi="Arial" w:cs="Arial"/>
          <w:highlight w:val="yellow"/>
        </w:rPr>
        <w:t xml:space="preserve">the </w:t>
      </w:r>
      <w:r>
        <w:rPr>
          <w:rFonts w:ascii="Arial" w:hAnsi="Arial" w:cs="Arial"/>
        </w:rPr>
        <w:t xml:space="preserve">manufacturer’s recommended </w:t>
      </w:r>
      <w:r>
        <w:rPr>
          <w:rFonts w:ascii="Arial" w:hAnsi="Arial" w:cs="Arial"/>
        </w:rPr>
        <w:lastRenderedPageBreak/>
        <w:t>rate) was applied, corresponding to 7,500 AMF spores and propagules per plant. The inocula were placed in the planting holes in close proximity to the roots, following the application instructions provided for the commercial mycorrhizal inoculant supplied by Premier Tech Biotechnologies (PTB).</w:t>
      </w:r>
    </w:p>
    <w:bookmarkEnd w:id="1"/>
    <w:p w14:paraId="5F6FF198" w14:textId="77777777" w:rsidR="00025C23" w:rsidRPr="00025C23" w:rsidRDefault="00025C23" w:rsidP="003A7C92">
      <w:pPr>
        <w:jc w:val="both"/>
        <w:rPr>
          <w:rFonts w:ascii="Arial" w:hAnsi="Arial" w:cs="Arial"/>
        </w:rPr>
      </w:pPr>
    </w:p>
    <w:p w14:paraId="649443B6" w14:textId="77777777" w:rsidR="00025C23" w:rsidRDefault="00025C23" w:rsidP="003A7C92">
      <w:pPr>
        <w:jc w:val="both"/>
        <w:rPr>
          <w:rFonts w:ascii="Arial" w:hAnsi="Arial" w:cs="Arial"/>
        </w:rPr>
      </w:pPr>
      <w:r>
        <w:rPr>
          <w:rFonts w:ascii="Arial" w:hAnsi="Arial" w:cs="Arial"/>
        </w:rPr>
        <w:t>For this experiment, a completely randomi</w:t>
      </w:r>
      <w:r>
        <w:rPr>
          <w:rFonts w:ascii="Arial" w:hAnsi="Arial" w:cs="Arial"/>
          <w:highlight w:val="yellow"/>
        </w:rPr>
        <w:t>s</w:t>
      </w:r>
      <w:r>
        <w:rPr>
          <w:rFonts w:ascii="Arial" w:hAnsi="Arial" w:cs="Arial"/>
        </w:rPr>
        <w:t>ed design was used, with seven replicates and four treatments: the commercial mycorrhizal inoculant (CoM), the indigenous mycorrhizal inoculum from a cassava field (CaM), the indigenous mycorrhizal inoculum from a maize field (MaM), and an uninoculated control.</w:t>
      </w:r>
    </w:p>
    <w:p w14:paraId="26F681BF" w14:textId="77777777" w:rsidR="00025C23" w:rsidRPr="00025C23" w:rsidRDefault="00025C23" w:rsidP="003A7C92">
      <w:pPr>
        <w:jc w:val="both"/>
        <w:rPr>
          <w:rFonts w:ascii="Arial" w:hAnsi="Arial" w:cs="Arial"/>
        </w:rPr>
      </w:pPr>
    </w:p>
    <w:p w14:paraId="59DC540D" w14:textId="77777777" w:rsidR="008A604A" w:rsidRPr="00092C14" w:rsidRDefault="008A604A" w:rsidP="008A604A">
      <w:pPr>
        <w:jc w:val="both"/>
        <w:rPr>
          <w:rFonts w:ascii="Arial" w:hAnsi="Arial" w:cs="Arial"/>
          <w:lang w:val="en-GB"/>
        </w:rPr>
      </w:pPr>
      <w:r>
        <w:rPr>
          <w:rFonts w:ascii="Arial" w:hAnsi="Arial" w:cs="Arial"/>
        </w:rPr>
        <w:t>Following transplanting, the plants were irrigated once every two days and maintained under greenhouse conditions for 60 days until flowering. Agronomic data</w:t>
      </w:r>
      <w:r>
        <w:rPr>
          <w:rFonts w:ascii="Arial" w:hAnsi="Arial" w:cs="Arial"/>
          <w:highlight w:val="yellow"/>
        </w:rPr>
        <w:t>,</w:t>
      </w:r>
      <w:r>
        <w:rPr>
          <w:rFonts w:ascii="Arial" w:hAnsi="Arial" w:cs="Arial"/>
        </w:rPr>
        <w:t xml:space="preserve"> such as plant height, collar diameter, </w:t>
      </w:r>
      <w:r>
        <w:rPr>
          <w:rFonts w:ascii="Arial" w:hAnsi="Arial" w:cs="Arial"/>
          <w:highlight w:val="yellow"/>
        </w:rPr>
        <w:t xml:space="preserve">and </w:t>
      </w:r>
      <w:r>
        <w:rPr>
          <w:rFonts w:ascii="Arial" w:hAnsi="Arial" w:cs="Arial"/>
        </w:rPr>
        <w:t>number of leaves</w:t>
      </w:r>
      <w:r>
        <w:rPr>
          <w:rFonts w:ascii="Arial" w:hAnsi="Arial" w:cs="Arial"/>
          <w:highlight w:val="yellow"/>
        </w:rPr>
        <w:t>,</w:t>
      </w:r>
      <w:r>
        <w:rPr>
          <w:rFonts w:ascii="Arial" w:hAnsi="Arial" w:cs="Arial"/>
        </w:rPr>
        <w:t xml:space="preserve"> were recorded at seven-day intervals. At the end of the experiment, the number of flower buds and fresh aboveground and belowground biomass were also recorded. Mycorrhizal coloni</w:t>
      </w:r>
      <w:r>
        <w:rPr>
          <w:rFonts w:ascii="Arial" w:hAnsi="Arial" w:cs="Arial"/>
          <w:highlight w:val="yellow"/>
        </w:rPr>
        <w:t>s</w:t>
      </w:r>
      <w:r>
        <w:rPr>
          <w:rFonts w:ascii="Arial" w:hAnsi="Arial" w:cs="Arial"/>
        </w:rPr>
        <w:t xml:space="preserve">ation frequency and intensity were assessed 40 days after transplanting. Fine fresh roots were collected from cultivation pots. </w:t>
      </w:r>
      <w:r>
        <w:rPr>
          <w:rFonts w:ascii="Arial" w:hAnsi="Arial" w:cs="Arial"/>
          <w:lang w:val="en-GB"/>
        </w:rPr>
        <w:t xml:space="preserve">Roots were cleared and stained prior to microscopic observation, following the method described by Phillips </w:t>
      </w:r>
      <w:r>
        <w:rPr>
          <w:rFonts w:ascii="Arial" w:hAnsi="Arial" w:cs="Arial"/>
          <w:highlight w:val="yellow"/>
          <w:lang w:val="en-GB"/>
        </w:rPr>
        <w:t>and</w:t>
      </w:r>
      <w:r>
        <w:rPr>
          <w:rFonts w:ascii="Arial" w:hAnsi="Arial" w:cs="Arial"/>
          <w:lang w:val="en-GB"/>
        </w:rPr>
        <w:t xml:space="preserve"> Hayman (1970</w:t>
      </w:r>
      <w:r>
        <w:rPr>
          <w:rFonts w:ascii="Arial" w:hAnsi="Arial" w:cs="Arial"/>
        </w:rPr>
        <w:t>)</w:t>
      </w:r>
      <w:r>
        <w:rPr>
          <w:rFonts w:ascii="Arial" w:hAnsi="Arial" w:cs="Arial"/>
          <w:lang w:val="en-GB"/>
        </w:rPr>
        <w:t>. The roots were first immersed in a 10% KOH solution and heated in a water bath at 90 °C for 30 min. They were then thoroughly rinsed with running water, drained, and treated with 1% HCl at 80 °C for 15 min in a water bath. After a second thorough rinse, the roots were immersed in a 0.05% trypan blue solution and heated at 80 °C for 30 min in a water bath. The roots were finally rinsed with water and mounted on microscope slides in 50% glycerol for microscopic observation. The degree of mycorrhizal coloni</w:t>
      </w:r>
      <w:r>
        <w:rPr>
          <w:rFonts w:ascii="Arial" w:hAnsi="Arial" w:cs="Arial"/>
          <w:highlight w:val="yellow"/>
          <w:lang w:val="en-GB"/>
        </w:rPr>
        <w:t>s</w:t>
      </w:r>
      <w:r>
        <w:rPr>
          <w:rFonts w:ascii="Arial" w:hAnsi="Arial" w:cs="Arial"/>
          <w:lang w:val="en-GB"/>
        </w:rPr>
        <w:t xml:space="preserve">ation was assessed according to the method of Trouvelot et al. (1986), based on mycorrhizal frequency and mycorrhizal intensity. The microscopic preparations were examined at least 24 h after mounting. </w:t>
      </w:r>
      <w:r>
        <w:rPr>
          <w:rFonts w:ascii="Arial" w:hAnsi="Arial" w:cs="Arial"/>
          <w:highlight w:val="yellow"/>
          <w:lang w:val="en-GB"/>
        </w:rPr>
        <w:t>M</w:t>
      </w:r>
      <w:r>
        <w:rPr>
          <w:rFonts w:ascii="Arial" w:hAnsi="Arial" w:cs="Arial"/>
          <w:lang w:val="en-GB"/>
        </w:rPr>
        <w:t>ycorrhizal coloni</w:t>
      </w:r>
      <w:r>
        <w:rPr>
          <w:rFonts w:ascii="Arial" w:hAnsi="Arial" w:cs="Arial"/>
          <w:highlight w:val="yellow"/>
          <w:lang w:val="en-GB"/>
        </w:rPr>
        <w:t>s</w:t>
      </w:r>
      <w:r>
        <w:rPr>
          <w:rFonts w:ascii="Arial" w:hAnsi="Arial" w:cs="Arial"/>
          <w:lang w:val="en-GB"/>
        </w:rPr>
        <w:t xml:space="preserve">ation frequency and intensity were </w:t>
      </w:r>
      <w:r>
        <w:rPr>
          <w:rFonts w:ascii="Arial" w:hAnsi="Arial" w:cs="Arial"/>
          <w:highlight w:val="yellow"/>
          <w:lang w:val="en-GB"/>
        </w:rPr>
        <w:t xml:space="preserve">then </w:t>
      </w:r>
      <w:r>
        <w:rPr>
          <w:rFonts w:ascii="Arial" w:hAnsi="Arial" w:cs="Arial"/>
          <w:lang w:val="en-GB"/>
        </w:rPr>
        <w:t>calculated.</w:t>
      </w:r>
    </w:p>
    <w:p w14:paraId="7491647D" w14:textId="77777777" w:rsidR="00025C23" w:rsidRPr="00025C23" w:rsidRDefault="00025C23" w:rsidP="003A7C92">
      <w:pPr>
        <w:jc w:val="both"/>
        <w:rPr>
          <w:rFonts w:ascii="Arial" w:hAnsi="Arial" w:cs="Arial"/>
        </w:rPr>
      </w:pPr>
    </w:p>
    <w:p w14:paraId="08C91396" w14:textId="77777777" w:rsidR="00025C23" w:rsidRDefault="00025C23" w:rsidP="00025C23">
      <w:pPr>
        <w:spacing w:line="360" w:lineRule="auto"/>
        <w:jc w:val="both"/>
        <w:rPr>
          <w:rFonts w:ascii="Arial" w:hAnsi="Arial" w:cs="Arial"/>
          <w:b/>
          <w:bCs/>
          <w:sz w:val="22"/>
          <w:szCs w:val="22"/>
        </w:rPr>
      </w:pPr>
    </w:p>
    <w:p w14:paraId="250124DB" w14:textId="77777777" w:rsidR="00025C23" w:rsidRPr="00025C23" w:rsidRDefault="00025C23" w:rsidP="00025C23">
      <w:pPr>
        <w:spacing w:line="360" w:lineRule="auto"/>
        <w:jc w:val="both"/>
        <w:rPr>
          <w:rFonts w:ascii="Arial" w:hAnsi="Arial" w:cs="Arial"/>
          <w:b/>
          <w:bCs/>
          <w:i/>
          <w:iCs/>
          <w:sz w:val="22"/>
          <w:szCs w:val="22"/>
          <w:lang w:val="en-GB"/>
        </w:rPr>
      </w:pPr>
      <w:r w:rsidRPr="00C30A0F">
        <w:rPr>
          <w:rFonts w:ascii="Arial" w:hAnsi="Arial" w:cs="Arial"/>
          <w:b/>
          <w:caps/>
          <w:sz w:val="22"/>
        </w:rPr>
        <w:t>2.</w:t>
      </w:r>
      <w:r>
        <w:rPr>
          <w:rFonts w:ascii="Arial" w:hAnsi="Arial" w:cs="Arial"/>
          <w:b/>
          <w:caps/>
          <w:sz w:val="22"/>
        </w:rPr>
        <w:t>4</w:t>
      </w:r>
      <w:r w:rsidRPr="00C30A0F">
        <w:rPr>
          <w:rFonts w:ascii="Arial" w:hAnsi="Arial" w:cs="Arial"/>
          <w:b/>
          <w:caps/>
          <w:sz w:val="22"/>
        </w:rPr>
        <w:t xml:space="preserve"> </w:t>
      </w:r>
      <w:r w:rsidRPr="00025C23">
        <w:rPr>
          <w:rFonts w:ascii="Arial" w:hAnsi="Arial" w:cs="Arial"/>
          <w:b/>
          <w:bCs/>
          <w:sz w:val="22"/>
          <w:szCs w:val="22"/>
          <w:lang w:val="en-GB"/>
        </w:rPr>
        <w:t>Statistical analysis</w:t>
      </w:r>
    </w:p>
    <w:p w14:paraId="37EFA459" w14:textId="77777777" w:rsidR="00025C23" w:rsidRPr="00025C23" w:rsidRDefault="00025C23" w:rsidP="003A7C92">
      <w:pPr>
        <w:jc w:val="both"/>
        <w:rPr>
          <w:rFonts w:ascii="Arial" w:hAnsi="Arial" w:cs="Arial"/>
        </w:rPr>
      </w:pPr>
      <w:r>
        <w:rPr>
          <w:rFonts w:ascii="Arial" w:hAnsi="Arial" w:cs="Arial"/>
        </w:rPr>
        <w:t>Statistical analyses were performed using Statistica software, version 7.1. The effects of the treatments on mycorrhizal coloni</w:t>
      </w:r>
      <w:r>
        <w:rPr>
          <w:rFonts w:ascii="Arial" w:hAnsi="Arial" w:cs="Arial"/>
          <w:highlight w:val="yellow"/>
        </w:rPr>
        <w:t>s</w:t>
      </w:r>
      <w:r>
        <w:rPr>
          <w:rFonts w:ascii="Arial" w:hAnsi="Arial" w:cs="Arial"/>
        </w:rPr>
        <w:t>ation parameters were assessed using a one-way analysis of variance (ANOVA). The assumptions of normality of</w:t>
      </w:r>
      <w:r>
        <w:rPr>
          <w:rFonts w:ascii="Arial" w:hAnsi="Arial" w:cs="Arial"/>
          <w:highlight w:val="yellow"/>
        </w:rPr>
        <w:t xml:space="preserve"> the</w:t>
      </w:r>
      <w:r>
        <w:rPr>
          <w:rFonts w:ascii="Arial" w:hAnsi="Arial" w:cs="Arial"/>
        </w:rPr>
        <w:t xml:space="preserve"> model residuals and homogeneity of variances were assessed before analysis. When the ANOVA indicated a significant treatment effect, means were compared using Fisher’s least significant difference (LSD) test at the 5% significance level. For plant growth parameters measured repeatedly over time, a repeated-measures ANOVA was performed using inoculation treatment as the between-subject factor and the successive measurement dates as repeated measures. Multivariate tests were used to assess the effect of inoculation treatment across the repeated measurements. Statistical significance was set at </w:t>
      </w:r>
      <w:r>
        <w:rPr>
          <w:rFonts w:ascii="Arial" w:hAnsi="Arial" w:cs="Arial"/>
          <w:i/>
          <w:iCs/>
        </w:rPr>
        <w:t>P</w:t>
      </w:r>
      <w:r>
        <w:rPr>
          <w:rFonts w:ascii="Arial" w:hAnsi="Arial" w:cs="Arial"/>
        </w:rPr>
        <w:t xml:space="preserve"> = .05.</w:t>
      </w:r>
    </w:p>
    <w:p w14:paraId="7F80CC69" w14:textId="77777777" w:rsidR="00E66E10" w:rsidRDefault="00E66E10" w:rsidP="00441B6F">
      <w:pPr>
        <w:pStyle w:val="Body"/>
        <w:spacing w:after="0"/>
        <w:rPr>
          <w:rFonts w:ascii="Arial" w:hAnsi="Arial" w:cs="Arial"/>
        </w:rPr>
      </w:pPr>
    </w:p>
    <w:p w14:paraId="0B2ECF6F" w14:textId="77777777" w:rsidR="00790ADA" w:rsidRPr="00FB3A86" w:rsidRDefault="00790ADA" w:rsidP="00441B6F">
      <w:pPr>
        <w:pStyle w:val="Body"/>
        <w:spacing w:after="0"/>
        <w:rPr>
          <w:rFonts w:ascii="Arial" w:hAnsi="Arial" w:cs="Arial"/>
        </w:rPr>
      </w:pPr>
    </w:p>
    <w:p w14:paraId="1DD88F65" w14:textId="77777777" w:rsidR="00902823" w:rsidRDefault="00000F8F" w:rsidP="00441B6F">
      <w:pPr>
        <w:pStyle w:val="Head1"/>
        <w:spacing w:after="0"/>
        <w:jc w:val="both"/>
        <w:rPr>
          <w:rFonts w:ascii="Arial" w:hAnsi="Arial" w:cs="Arial"/>
        </w:rPr>
      </w:pPr>
      <w:r>
        <w:rPr>
          <w:rFonts w:ascii="Arial" w:hAnsi="Arial" w:cs="Arial"/>
        </w:rPr>
        <w:t xml:space="preserve">3. </w:t>
      </w:r>
      <w:r>
        <w:rPr>
          <w:rFonts w:ascii="Arial" w:hAnsi="Arial" w:cs="Arial"/>
          <w:highlight w:val="yellow"/>
        </w:rPr>
        <w:t>RESULTS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DISCUSSION</w:t>
      </w:r>
    </w:p>
    <w:p w14:paraId="1801E6C4" w14:textId="77777777" w:rsidR="00790ADA" w:rsidRPr="00FB3A86" w:rsidRDefault="00790ADA" w:rsidP="00441B6F">
      <w:pPr>
        <w:pStyle w:val="Head1"/>
        <w:spacing w:after="0"/>
        <w:jc w:val="both"/>
        <w:rPr>
          <w:rFonts w:ascii="Arial" w:hAnsi="Arial" w:cs="Arial"/>
        </w:rPr>
      </w:pPr>
    </w:p>
    <w:p w14:paraId="1BFEB536" w14:textId="77777777" w:rsidR="00790ADA" w:rsidRPr="00F5714A" w:rsidRDefault="00025C23" w:rsidP="00F5714A">
      <w:pPr>
        <w:pStyle w:val="Body"/>
        <w:rPr>
          <w:rFonts w:ascii="Arial" w:hAnsi="Arial" w:cs="Arial"/>
          <w:b/>
          <w:bCs/>
          <w:i/>
          <w:iCs/>
          <w:sz w:val="22"/>
          <w:lang w:val="en-GB"/>
        </w:rPr>
      </w:pPr>
      <w:r>
        <w:rPr>
          <w:rFonts w:ascii="Arial" w:hAnsi="Arial" w:cs="Arial"/>
          <w:b/>
          <w:caps/>
          <w:sz w:val="22"/>
        </w:rPr>
        <w:t xml:space="preserve">3.1 </w:t>
      </w:r>
      <w:r>
        <w:rPr>
          <w:rFonts w:ascii="Arial" w:hAnsi="Arial" w:cs="Arial"/>
          <w:b/>
          <w:bCs/>
          <w:sz w:val="22"/>
          <w:lang w:val="en-GB"/>
        </w:rPr>
        <w:t>Mycorrhizal coloni</w:t>
      </w:r>
      <w:r>
        <w:rPr>
          <w:rFonts w:ascii="Arial" w:hAnsi="Arial" w:cs="Arial"/>
          <w:b/>
          <w:bCs/>
          <w:sz w:val="22"/>
          <w:highlight w:val="yellow"/>
          <w:lang w:val="en-GB"/>
        </w:rPr>
        <w:t>s</w:t>
      </w:r>
      <w:r>
        <w:rPr>
          <w:rFonts w:ascii="Arial" w:hAnsi="Arial" w:cs="Arial"/>
          <w:b/>
          <w:bCs/>
          <w:sz w:val="22"/>
          <w:lang w:val="en-GB"/>
        </w:rPr>
        <w:t>ation frequency and intensity</w:t>
      </w:r>
    </w:p>
    <w:p w14:paraId="157AA173" w14:textId="77777777" w:rsidR="00502516" w:rsidRDefault="00F5714A" w:rsidP="00441B6F">
      <w:pPr>
        <w:pStyle w:val="Body"/>
        <w:spacing w:after="0"/>
        <w:rPr>
          <w:rFonts w:ascii="Arial" w:hAnsi="Arial" w:cs="Arial"/>
          <w:lang w:val="en-GB"/>
        </w:rPr>
      </w:pPr>
      <w:r>
        <w:rPr>
          <w:rFonts w:ascii="Arial" w:hAnsi="Arial" w:cs="Arial"/>
          <w:lang w:val="en-GB"/>
        </w:rPr>
        <w:t>Significant differences were observed among treatments in terms of mycorrhizal coloni</w:t>
      </w:r>
      <w:r>
        <w:rPr>
          <w:rFonts w:ascii="Arial" w:hAnsi="Arial" w:cs="Arial"/>
          <w:highlight w:val="yellow"/>
          <w:lang w:val="en-GB"/>
        </w:rPr>
        <w:t>s</w:t>
      </w:r>
      <w:r>
        <w:rPr>
          <w:rFonts w:ascii="Arial" w:hAnsi="Arial" w:cs="Arial"/>
          <w:lang w:val="en-GB"/>
        </w:rPr>
        <w:t>ation frequency and intensity (Figure 1). Complete absence of mycorrhizal coloni</w:t>
      </w:r>
      <w:r>
        <w:rPr>
          <w:rFonts w:ascii="Arial" w:hAnsi="Arial" w:cs="Arial"/>
          <w:highlight w:val="yellow"/>
          <w:lang w:val="en-GB"/>
        </w:rPr>
        <w:t>s</w:t>
      </w:r>
      <w:r>
        <w:rPr>
          <w:rFonts w:ascii="Arial" w:hAnsi="Arial" w:cs="Arial"/>
          <w:lang w:val="en-GB"/>
        </w:rPr>
        <w:t>ation was observed in the roots of non-inoculated plants. In contrast, all inoculated plants were successfully coloni</w:t>
      </w:r>
      <w:r>
        <w:rPr>
          <w:rFonts w:ascii="Arial" w:hAnsi="Arial" w:cs="Arial"/>
          <w:highlight w:val="yellow"/>
          <w:lang w:val="en-GB"/>
        </w:rPr>
        <w:t>s</w:t>
      </w:r>
      <w:r>
        <w:rPr>
          <w:rFonts w:ascii="Arial" w:hAnsi="Arial" w:cs="Arial"/>
          <w:lang w:val="en-GB"/>
        </w:rPr>
        <w:t>ed by AMF 40 days after transplanting, with mycorrhizal coloni</w:t>
      </w:r>
      <w:r>
        <w:rPr>
          <w:rFonts w:ascii="Arial" w:hAnsi="Arial" w:cs="Arial"/>
          <w:highlight w:val="yellow"/>
          <w:lang w:val="en-GB"/>
        </w:rPr>
        <w:t>s</w:t>
      </w:r>
      <w:r>
        <w:rPr>
          <w:rFonts w:ascii="Arial" w:hAnsi="Arial" w:cs="Arial"/>
          <w:lang w:val="en-GB"/>
        </w:rPr>
        <w:t xml:space="preserve">ation frequencies exceeding 50% across all inoculated treatments (Figure 1). Fisher’s LSD post hoc test showed no significant differences among the three inoculated treatments, indicating </w:t>
      </w:r>
      <w:r>
        <w:rPr>
          <w:rFonts w:ascii="Arial" w:hAnsi="Arial" w:cs="Arial"/>
          <w:lang w:val="en-GB"/>
        </w:rPr>
        <w:lastRenderedPageBreak/>
        <w:t>that the significant overall treatment effect was primarily attributable to the absence of mycorrhizal coloni</w:t>
      </w:r>
      <w:r>
        <w:rPr>
          <w:rFonts w:ascii="Arial" w:hAnsi="Arial" w:cs="Arial"/>
          <w:highlight w:val="yellow"/>
          <w:lang w:val="en-GB"/>
        </w:rPr>
        <w:t>s</w:t>
      </w:r>
      <w:r>
        <w:rPr>
          <w:rFonts w:ascii="Arial" w:hAnsi="Arial" w:cs="Arial"/>
          <w:lang w:val="en-GB"/>
        </w:rPr>
        <w:t>ation in the non-inoculated control (Figure 1). A similar pattern was observed for mycorrhizal coloni</w:t>
      </w:r>
      <w:r>
        <w:rPr>
          <w:rFonts w:ascii="Arial" w:hAnsi="Arial" w:cs="Arial"/>
          <w:highlight w:val="yellow"/>
          <w:lang w:val="en-GB"/>
        </w:rPr>
        <w:t>s</w:t>
      </w:r>
      <w:r>
        <w:rPr>
          <w:rFonts w:ascii="Arial" w:hAnsi="Arial" w:cs="Arial"/>
          <w:lang w:val="en-GB"/>
        </w:rPr>
        <w:t>ation intensity, with no significant differences among the inoculated treatments. However, coloni</w:t>
      </w:r>
      <w:r>
        <w:rPr>
          <w:rFonts w:ascii="Arial" w:hAnsi="Arial" w:cs="Arial"/>
          <w:highlight w:val="yellow"/>
          <w:lang w:val="en-GB"/>
        </w:rPr>
        <w:t>s</w:t>
      </w:r>
      <w:r>
        <w:rPr>
          <w:rFonts w:ascii="Arial" w:hAnsi="Arial" w:cs="Arial"/>
          <w:lang w:val="en-GB"/>
        </w:rPr>
        <w:t>ation intensity was generally low.</w:t>
      </w:r>
    </w:p>
    <w:p w14:paraId="1C908189" w14:textId="77777777" w:rsidR="00F5714A" w:rsidRDefault="00F5714A" w:rsidP="00441B6F">
      <w:pPr>
        <w:pStyle w:val="Body"/>
        <w:spacing w:after="0"/>
        <w:rPr>
          <w:rFonts w:ascii="Arial" w:hAnsi="Arial" w:cs="Arial"/>
          <w:lang w:val="en-GB"/>
        </w:rPr>
      </w:pPr>
    </w:p>
    <w:p w14:paraId="6EC6268E" w14:textId="77777777" w:rsidR="00F5714A" w:rsidRDefault="00F5714A" w:rsidP="00441B6F">
      <w:pPr>
        <w:pStyle w:val="Body"/>
        <w:spacing w:after="0"/>
        <w:rPr>
          <w:rFonts w:ascii="Arial" w:hAnsi="Arial" w:cs="Arial"/>
          <w:lang w:val="en-GB"/>
        </w:rPr>
      </w:pPr>
      <w:r w:rsidRPr="00022245">
        <w:rPr>
          <w:noProof/>
        </w:rPr>
        <w:drawing>
          <wp:inline distT="0" distB="0" distL="0" distR="0" wp14:anchorId="595D1A9C" wp14:editId="63D2AAB6">
            <wp:extent cx="4618120" cy="5433531"/>
            <wp:effectExtent l="0" t="0" r="0" b="0"/>
            <wp:docPr id="302122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2290" name=""/>
                    <pic:cNvPicPr/>
                  </pic:nvPicPr>
                  <pic:blipFill>
                    <a:blip r:embed="rId14"/>
                    <a:stretch>
                      <a:fillRect/>
                    </a:stretch>
                  </pic:blipFill>
                  <pic:spPr>
                    <a:xfrm>
                      <a:off x="0" y="0"/>
                      <a:ext cx="4618120" cy="5433531"/>
                    </a:xfrm>
                    <a:prstGeom prst="rect">
                      <a:avLst/>
                    </a:prstGeom>
                  </pic:spPr>
                </pic:pic>
              </a:graphicData>
            </a:graphic>
          </wp:inline>
        </w:drawing>
      </w:r>
    </w:p>
    <w:p w14:paraId="42C201DC" w14:textId="77777777" w:rsidR="00F5714A" w:rsidRPr="00DF0275" w:rsidRDefault="00F5714A" w:rsidP="00DF0275">
      <w:pPr>
        <w:autoSpaceDE w:val="0"/>
        <w:autoSpaceDN w:val="0"/>
        <w:adjustRightInd w:val="0"/>
        <w:jc w:val="both"/>
        <w:rPr>
          <w:rFonts w:ascii="Arial" w:hAnsi="Arial" w:cs="Arial"/>
          <w:b/>
          <w:bCs/>
          <w:szCs w:val="22"/>
        </w:rPr>
      </w:pPr>
      <w:bookmarkStart w:id="2" w:name="_Ref240466320"/>
      <w:bookmarkStart w:id="3" w:name="_Ref172840764"/>
      <w:bookmarkStart w:id="4" w:name="_Toc173959045"/>
      <w:r w:rsidRPr="00DF0275">
        <w:rPr>
          <w:rFonts w:ascii="Arial" w:hAnsi="Arial" w:cs="Arial"/>
          <w:b/>
          <w:bCs/>
          <w:szCs w:val="22"/>
        </w:rPr>
        <w:t>Fig</w:t>
      </w:r>
      <w:r w:rsidR="00DF0275">
        <w:rPr>
          <w:rFonts w:ascii="Arial" w:hAnsi="Arial" w:cs="Arial"/>
          <w:b/>
          <w:bCs/>
          <w:szCs w:val="22"/>
        </w:rPr>
        <w:t>.</w:t>
      </w:r>
      <w:r w:rsidRPr="00DF0275">
        <w:rPr>
          <w:rFonts w:ascii="Arial" w:hAnsi="Arial" w:cs="Arial"/>
          <w:b/>
          <w:bCs/>
          <w:szCs w:val="22"/>
        </w:rPr>
        <w:t xml:space="preserve"> </w:t>
      </w:r>
      <w:r w:rsidRPr="00DF0275">
        <w:rPr>
          <w:rFonts w:ascii="Arial" w:hAnsi="Arial" w:cs="Arial"/>
          <w:b/>
          <w:bCs/>
          <w:szCs w:val="22"/>
        </w:rPr>
        <w:fldChar w:fldCharType="begin"/>
      </w:r>
      <w:r w:rsidRPr="00DF0275">
        <w:rPr>
          <w:rFonts w:ascii="Arial" w:hAnsi="Arial" w:cs="Arial"/>
          <w:b/>
          <w:bCs/>
          <w:szCs w:val="22"/>
        </w:rPr>
        <w:instrText xml:space="preserve"> SEQ Figure \* ARABIC </w:instrText>
      </w:r>
      <w:r w:rsidRPr="00DF0275">
        <w:rPr>
          <w:rFonts w:ascii="Arial" w:hAnsi="Arial" w:cs="Arial"/>
          <w:b/>
          <w:bCs/>
          <w:szCs w:val="22"/>
        </w:rPr>
        <w:fldChar w:fldCharType="separate"/>
      </w:r>
      <w:r w:rsidRPr="00DF0275">
        <w:rPr>
          <w:rFonts w:ascii="Arial" w:hAnsi="Arial" w:cs="Arial"/>
          <w:b/>
          <w:bCs/>
          <w:szCs w:val="22"/>
        </w:rPr>
        <w:t>1</w:t>
      </w:r>
      <w:r w:rsidRPr="00DF0275">
        <w:rPr>
          <w:rFonts w:ascii="Arial" w:hAnsi="Arial" w:cs="Arial"/>
          <w:b/>
          <w:bCs/>
          <w:szCs w:val="22"/>
        </w:rPr>
        <w:fldChar w:fldCharType="end"/>
      </w:r>
      <w:bookmarkEnd w:id="2"/>
      <w:r w:rsidRPr="00DF0275">
        <w:rPr>
          <w:rFonts w:ascii="Arial" w:hAnsi="Arial" w:cs="Arial"/>
          <w:b/>
          <w:bCs/>
          <w:szCs w:val="22"/>
        </w:rPr>
        <w:t>:  Mycorrhizal colonization frequency (A). and intensity (B)</w:t>
      </w:r>
    </w:p>
    <w:bookmarkEnd w:id="3"/>
    <w:bookmarkEnd w:id="4"/>
    <w:p w14:paraId="27CE1A88" w14:textId="77777777" w:rsidR="00F5714A" w:rsidRPr="00F5714A" w:rsidRDefault="00F5714A" w:rsidP="00F5714A">
      <w:pPr>
        <w:pStyle w:val="Body"/>
        <w:spacing w:after="0"/>
        <w:rPr>
          <w:rFonts w:ascii="Arial" w:hAnsi="Arial" w:cs="Arial"/>
          <w:lang w:val="en-GB"/>
        </w:rPr>
      </w:pPr>
      <w:r w:rsidRPr="0068030B">
        <w:t xml:space="preserve">Bar graphs following the same letter in each graph are not significantly different at </w:t>
      </w:r>
      <w:r w:rsidRPr="00F83A88">
        <w:t>the 5% significance level</w:t>
      </w:r>
      <w:r>
        <w:t>. MaM: Maize mycorrhizal inoculum; CoM: Commercial mycorrhizal inoculant; CaM: Cassava mycorrhizal inoculum; C: Control with no mycorrhizal inoculum</w:t>
      </w:r>
    </w:p>
    <w:p w14:paraId="28DCA36E" w14:textId="77777777" w:rsidR="00790ADA" w:rsidRDefault="00790ADA" w:rsidP="00441B6F">
      <w:pPr>
        <w:pStyle w:val="Body"/>
        <w:spacing w:after="0"/>
        <w:rPr>
          <w:rFonts w:ascii="Arial" w:hAnsi="Arial" w:cs="Arial"/>
        </w:rPr>
      </w:pPr>
    </w:p>
    <w:p w14:paraId="33768C80" w14:textId="77777777" w:rsidR="00F5714A" w:rsidRDefault="00F5714A" w:rsidP="00441B6F">
      <w:pPr>
        <w:pStyle w:val="Body"/>
        <w:spacing w:after="0"/>
        <w:rPr>
          <w:rFonts w:ascii="Arial" w:hAnsi="Arial" w:cs="Arial"/>
        </w:rPr>
      </w:pPr>
    </w:p>
    <w:p w14:paraId="65F8E6A9" w14:textId="77777777" w:rsidR="00F5714A" w:rsidRPr="00F5714A" w:rsidRDefault="00F5714A" w:rsidP="00F5714A">
      <w:pPr>
        <w:pStyle w:val="Body"/>
        <w:rPr>
          <w:rFonts w:ascii="Arial" w:hAnsi="Arial" w:cs="Arial"/>
          <w:b/>
          <w:bCs/>
          <w:i/>
          <w:iCs/>
          <w:sz w:val="22"/>
          <w:lang w:val="en-GB"/>
        </w:rPr>
      </w:pPr>
      <w:r>
        <w:rPr>
          <w:rFonts w:ascii="Arial" w:hAnsi="Arial" w:cs="Arial"/>
          <w:b/>
          <w:caps/>
          <w:sz w:val="22"/>
        </w:rPr>
        <w:t>3</w:t>
      </w:r>
      <w:r w:rsidRPr="00C30A0F">
        <w:rPr>
          <w:rFonts w:ascii="Arial" w:hAnsi="Arial" w:cs="Arial"/>
          <w:b/>
          <w:caps/>
          <w:sz w:val="22"/>
        </w:rPr>
        <w:t>.</w:t>
      </w:r>
      <w:r>
        <w:rPr>
          <w:rFonts w:ascii="Arial" w:hAnsi="Arial" w:cs="Arial"/>
          <w:b/>
          <w:caps/>
          <w:sz w:val="22"/>
        </w:rPr>
        <w:t>2</w:t>
      </w:r>
      <w:r w:rsidRPr="00C30A0F">
        <w:rPr>
          <w:rFonts w:ascii="Arial" w:hAnsi="Arial" w:cs="Arial"/>
          <w:b/>
          <w:caps/>
          <w:sz w:val="22"/>
        </w:rPr>
        <w:t xml:space="preserve"> </w:t>
      </w:r>
      <w:r w:rsidRPr="00F5714A">
        <w:rPr>
          <w:rFonts w:ascii="Arial" w:hAnsi="Arial" w:cs="Arial"/>
          <w:b/>
          <w:bCs/>
          <w:sz w:val="22"/>
          <w:lang w:val="en-GB"/>
        </w:rPr>
        <w:t>Plant height, collar diameter and number of leaves</w:t>
      </w:r>
    </w:p>
    <w:p w14:paraId="18B5CB45" w14:textId="77777777" w:rsidR="008E54B1" w:rsidRDefault="008E54B1" w:rsidP="003A7C92">
      <w:pPr>
        <w:jc w:val="both"/>
        <w:rPr>
          <w:rFonts w:ascii="Arial" w:hAnsi="Arial" w:cs="Arial"/>
        </w:rPr>
      </w:pPr>
      <w:r>
        <w:rPr>
          <w:rFonts w:ascii="Arial" w:hAnsi="Arial" w:cs="Arial"/>
        </w:rPr>
        <w:t xml:space="preserve">The multivariate repeated-measures analysis showed no significant effect of inoculation treatment </w:t>
      </w:r>
      <w:r>
        <w:rPr>
          <w:rFonts w:ascii="Arial" w:hAnsi="Arial" w:cs="Arial"/>
          <w:highlight w:val="yellow"/>
        </w:rPr>
        <w:t xml:space="preserve">on growth parameters </w:t>
      </w:r>
      <w:r>
        <w:rPr>
          <w:rFonts w:ascii="Arial" w:hAnsi="Arial" w:cs="Arial"/>
        </w:rPr>
        <w:t>across the measurement dates (</w:t>
      </w:r>
      <w:r>
        <w:rPr>
          <w:rFonts w:ascii="Arial" w:hAnsi="Arial" w:cs="Arial"/>
          <w:i/>
          <w:iCs/>
        </w:rPr>
        <w:t>P</w:t>
      </w:r>
      <w:r>
        <w:rPr>
          <w:rFonts w:ascii="Arial" w:hAnsi="Arial" w:cs="Arial"/>
        </w:rPr>
        <w:t xml:space="preserve"> = 0.93).</w:t>
      </w:r>
    </w:p>
    <w:p w14:paraId="1143E2CC" w14:textId="77777777" w:rsidR="00F5714A" w:rsidRDefault="00F5714A" w:rsidP="003A7C92">
      <w:pPr>
        <w:jc w:val="both"/>
        <w:rPr>
          <w:rFonts w:ascii="Arial" w:hAnsi="Arial" w:cs="Arial"/>
        </w:rPr>
      </w:pPr>
      <w:r>
        <w:rPr>
          <w:rFonts w:ascii="Arial" w:hAnsi="Arial" w:cs="Arial"/>
        </w:rPr>
        <w:lastRenderedPageBreak/>
        <w:t>No significant differences among treatments were observed fo</w:t>
      </w:r>
      <w:r>
        <w:rPr>
          <w:rFonts w:ascii="Arial" w:hAnsi="Arial" w:cs="Arial"/>
          <w:highlight w:val="yellow"/>
        </w:rPr>
        <w:t>r</w:t>
      </w:r>
      <w:r>
        <w:rPr>
          <w:rFonts w:ascii="Arial" w:hAnsi="Arial" w:cs="Arial"/>
        </w:rPr>
        <w:t xml:space="preserve"> plant height, collar diameter, or number of leaves throughout the experimental period (Figure 2). The mean height of plants inoculated with the commercial inoculant CoM increased from 13.71 ± 2.49 cm during the first week of measurements to 36.29 ± 6.76 cm during the final week of measurements (Figure 2A). For plants inoculated with the indigenous inocula CaM and MaM, mean plant height increased from 13.81 ± 1.73 cm and 13.00 ± 2.49 cm, respectively, during the first week of measurements to 30.63 ± 6.88 cm and 34.13 ± 8.17 cm, respectively, during the final week of measurements (Figure 2A). Non-inoculated plants increased from 13.43 ± 1.59 cm during the first week of measurements to 34.00 ± 5.53 cm during the final week of measurements (Figure 2A).</w:t>
      </w:r>
    </w:p>
    <w:p w14:paraId="74605F95" w14:textId="77777777" w:rsidR="003A7C92" w:rsidRPr="00F5714A" w:rsidRDefault="003A7C92" w:rsidP="003A7C92">
      <w:pPr>
        <w:jc w:val="both"/>
        <w:rPr>
          <w:rFonts w:ascii="Arial" w:hAnsi="Arial" w:cs="Arial"/>
        </w:rPr>
      </w:pPr>
    </w:p>
    <w:p w14:paraId="303FCF2A" w14:textId="77777777" w:rsidR="00F5714A" w:rsidRDefault="00F5714A" w:rsidP="003A7C92">
      <w:pPr>
        <w:jc w:val="both"/>
        <w:rPr>
          <w:rFonts w:ascii="Arial" w:hAnsi="Arial" w:cs="Arial"/>
        </w:rPr>
      </w:pPr>
      <w:r w:rsidRPr="00F5714A">
        <w:rPr>
          <w:rFonts w:ascii="Arial" w:hAnsi="Arial" w:cs="Arial"/>
        </w:rPr>
        <w:t xml:space="preserve">The collar diameter of plants inoculated with the commercial inoculant CoM increased from 3.67 ± 0.67 mm during the first week of measurements to 5.59 ± 0.61 mm during the final week of measurements (Figure 2B). For plants inoculated with the indigenous </w:t>
      </w:r>
      <w:r w:rsidR="007B2FB2">
        <w:rPr>
          <w:rFonts w:ascii="Arial" w:hAnsi="Arial" w:cs="Arial"/>
        </w:rPr>
        <w:t>inocula</w:t>
      </w:r>
      <w:r w:rsidRPr="00F5714A">
        <w:rPr>
          <w:rFonts w:ascii="Arial" w:hAnsi="Arial" w:cs="Arial"/>
        </w:rPr>
        <w:t xml:space="preserve"> CaM and MaM, collar diameter increased from 3.15 ± 0.36 mm and 3.55 ± 0.28 mm, respectively, during the first week of measurements to 5.43 ± 0.47 mm and 5.73 ± 0.36 mm, respectively, during the final week of measurements (Figure 2B). Non-inoculated plants increased from 3.20 ± 0.37 mm during the first week of measurements to 5.87 ± 0.61 mm during the final week of measurements (Figure 2B).</w:t>
      </w:r>
    </w:p>
    <w:p w14:paraId="1AFB57CD" w14:textId="77777777" w:rsidR="003A7C92" w:rsidRPr="00F5714A" w:rsidRDefault="003A7C92" w:rsidP="003A7C92">
      <w:pPr>
        <w:jc w:val="both"/>
        <w:rPr>
          <w:rFonts w:ascii="Arial" w:hAnsi="Arial" w:cs="Arial"/>
        </w:rPr>
      </w:pPr>
    </w:p>
    <w:p w14:paraId="37640946" w14:textId="77777777" w:rsidR="00F5714A" w:rsidRPr="00F5714A" w:rsidRDefault="00F5714A" w:rsidP="003A7C92">
      <w:pPr>
        <w:jc w:val="both"/>
        <w:rPr>
          <w:rFonts w:ascii="Arial" w:hAnsi="Arial" w:cs="Arial"/>
        </w:rPr>
      </w:pPr>
      <w:r w:rsidRPr="00F5714A">
        <w:rPr>
          <w:rFonts w:ascii="Arial" w:hAnsi="Arial" w:cs="Arial"/>
        </w:rPr>
        <w:t xml:space="preserve">The number of leaves of plants inoculated with the commercial inoculant CoM increased from 6.00 ± 0.73 during the first week of measurements to 17.00 ± 5.36 during the final week of measurements (Figure 2C). For plants inoculated with the indigenous </w:t>
      </w:r>
      <w:r w:rsidR="007B2FB2">
        <w:rPr>
          <w:rFonts w:ascii="Arial" w:hAnsi="Arial" w:cs="Arial"/>
        </w:rPr>
        <w:t>inocula</w:t>
      </w:r>
      <w:r w:rsidRPr="00F5714A">
        <w:rPr>
          <w:rFonts w:ascii="Arial" w:hAnsi="Arial" w:cs="Arial"/>
        </w:rPr>
        <w:t xml:space="preserve"> CaM and MaM, the mean number of leaves increased from 5.00 ± 0.66 and 5.00 ± 0.60, respectively, during the first week of measurements to 16.00 ± 1.79 and 16.00 ± 2.38, respectively, during the final week of measurements (Figure 2C). Non-inoculated plants increased from 5.00 ± 0.64 during the first week of measurements to 15.00 ± 1.68 during the final week of measurements (Figure 2C).</w:t>
      </w:r>
    </w:p>
    <w:p w14:paraId="13C485F1" w14:textId="77777777" w:rsidR="00F5714A" w:rsidRPr="00F5714A" w:rsidRDefault="00354864" w:rsidP="003A7C92">
      <w:pPr>
        <w:jc w:val="both"/>
        <w:rPr>
          <w:rFonts w:ascii="Arial" w:hAnsi="Arial" w:cs="Arial"/>
        </w:rPr>
      </w:pPr>
      <w:r w:rsidRPr="00767EF8">
        <w:t>No statistically significant differences were detected</w:t>
      </w:r>
      <w:r>
        <w:t xml:space="preserve"> i</w:t>
      </w:r>
      <w:r w:rsidRPr="000A0346">
        <w:t>n growth parameters</w:t>
      </w:r>
      <w:r w:rsidRPr="00767EF8">
        <w:t xml:space="preserve"> among treatments</w:t>
      </w:r>
      <w:r w:rsidRPr="00F5714A">
        <w:rPr>
          <w:rFonts w:ascii="Arial" w:hAnsi="Arial" w:cs="Arial"/>
        </w:rPr>
        <w:t xml:space="preserve"> throughout the experimental period</w:t>
      </w:r>
      <w:r>
        <w:rPr>
          <w:rFonts w:ascii="Arial" w:hAnsi="Arial" w:cs="Arial"/>
        </w:rPr>
        <w:t xml:space="preserve"> </w:t>
      </w:r>
      <w:r w:rsidR="00F5714A" w:rsidRPr="00F5714A">
        <w:rPr>
          <w:rFonts w:ascii="Arial" w:hAnsi="Arial" w:cs="Arial"/>
        </w:rPr>
        <w:t>(Figure 2).</w:t>
      </w:r>
      <w:r w:rsidR="008E54B1">
        <w:rPr>
          <w:rFonts w:ascii="Arial" w:hAnsi="Arial" w:cs="Arial"/>
        </w:rPr>
        <w:t xml:space="preserve"> </w:t>
      </w:r>
    </w:p>
    <w:p w14:paraId="75533B46" w14:textId="77777777" w:rsidR="00F5714A" w:rsidRDefault="00F5714A" w:rsidP="00F5714A">
      <w:pPr>
        <w:pStyle w:val="Body"/>
        <w:rPr>
          <w:rFonts w:ascii="Arial" w:hAnsi="Arial" w:cs="Arial"/>
          <w:b/>
          <w:bCs/>
          <w:sz w:val="22"/>
        </w:rPr>
      </w:pPr>
    </w:p>
    <w:p w14:paraId="1515ECA3" w14:textId="77777777" w:rsidR="00DF0275" w:rsidRDefault="00354864" w:rsidP="00F5714A">
      <w:pPr>
        <w:pStyle w:val="Body"/>
        <w:rPr>
          <w:rFonts w:ascii="Arial" w:hAnsi="Arial" w:cs="Arial"/>
          <w:b/>
          <w:bCs/>
          <w:sz w:val="22"/>
        </w:rPr>
      </w:pPr>
      <w:r>
        <w:rPr>
          <w:rFonts w:ascii="Arial" w:hAnsi="Arial" w:cs="Arial"/>
          <w:b/>
          <w:bCs/>
          <w:noProof/>
          <w:sz w:val="22"/>
        </w:rPr>
        <w:lastRenderedPageBreak/>
        <w:drawing>
          <wp:inline distT="0" distB="0" distL="0" distR="0" wp14:anchorId="78438A9B" wp14:editId="023F9B9C">
            <wp:extent cx="3350499" cy="2209800"/>
            <wp:effectExtent l="0" t="0" r="0" b="0"/>
            <wp:docPr id="13872520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75020" cy="2225973"/>
                    </a:xfrm>
                    <a:prstGeom prst="rect">
                      <a:avLst/>
                    </a:prstGeom>
                    <a:noFill/>
                  </pic:spPr>
                </pic:pic>
              </a:graphicData>
            </a:graphic>
          </wp:inline>
        </w:drawing>
      </w:r>
      <w:r>
        <w:rPr>
          <w:rFonts w:ascii="Arial" w:hAnsi="Arial" w:cs="Arial"/>
          <w:b/>
          <w:bCs/>
          <w:noProof/>
          <w:sz w:val="22"/>
        </w:rPr>
        <w:drawing>
          <wp:inline distT="0" distB="0" distL="0" distR="0" wp14:anchorId="40AA2496" wp14:editId="557DA1BF">
            <wp:extent cx="3359822" cy="2260600"/>
            <wp:effectExtent l="0" t="0" r="0" b="0"/>
            <wp:docPr id="20604203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63934" cy="2263367"/>
                    </a:xfrm>
                    <a:prstGeom prst="rect">
                      <a:avLst/>
                    </a:prstGeom>
                    <a:noFill/>
                  </pic:spPr>
                </pic:pic>
              </a:graphicData>
            </a:graphic>
          </wp:inline>
        </w:drawing>
      </w:r>
      <w:r>
        <w:rPr>
          <w:noProof/>
        </w:rPr>
        <w:drawing>
          <wp:inline distT="0" distB="0" distL="0" distR="0" wp14:anchorId="427484D5" wp14:editId="597563E2">
            <wp:extent cx="3359785" cy="2215924"/>
            <wp:effectExtent l="0" t="0" r="0" b="0"/>
            <wp:docPr id="194844777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71623" cy="2223731"/>
                    </a:xfrm>
                    <a:prstGeom prst="rect">
                      <a:avLst/>
                    </a:prstGeom>
                    <a:noFill/>
                  </pic:spPr>
                </pic:pic>
              </a:graphicData>
            </a:graphic>
          </wp:inline>
        </w:drawing>
      </w:r>
    </w:p>
    <w:p w14:paraId="0523D49A" w14:textId="77777777" w:rsidR="00DF0275" w:rsidRPr="00DF0275" w:rsidRDefault="00DF0275" w:rsidP="00DF0275">
      <w:pPr>
        <w:autoSpaceDE w:val="0"/>
        <w:autoSpaceDN w:val="0"/>
        <w:adjustRightInd w:val="0"/>
        <w:jc w:val="both"/>
        <w:rPr>
          <w:rFonts w:ascii="Arial" w:hAnsi="Arial" w:cs="Arial"/>
          <w:b/>
          <w:bCs/>
          <w:szCs w:val="22"/>
        </w:rPr>
      </w:pPr>
      <w:r w:rsidRPr="00DF0275">
        <w:rPr>
          <w:rFonts w:ascii="Arial" w:hAnsi="Arial" w:cs="Arial"/>
          <w:b/>
          <w:bCs/>
          <w:szCs w:val="22"/>
        </w:rPr>
        <w:t>Fig</w:t>
      </w:r>
      <w:r>
        <w:rPr>
          <w:rFonts w:ascii="Arial" w:hAnsi="Arial" w:cs="Arial"/>
          <w:b/>
          <w:bCs/>
          <w:szCs w:val="22"/>
        </w:rPr>
        <w:t>.</w:t>
      </w:r>
      <w:r w:rsidRPr="00DF0275">
        <w:rPr>
          <w:rFonts w:ascii="Arial" w:hAnsi="Arial" w:cs="Arial"/>
          <w:b/>
          <w:bCs/>
          <w:szCs w:val="22"/>
        </w:rPr>
        <w:t xml:space="preserve"> </w:t>
      </w:r>
      <w:r w:rsidRPr="00DF0275">
        <w:rPr>
          <w:rFonts w:ascii="Arial" w:hAnsi="Arial" w:cs="Arial"/>
          <w:b/>
          <w:bCs/>
          <w:szCs w:val="22"/>
        </w:rPr>
        <w:fldChar w:fldCharType="begin"/>
      </w:r>
      <w:r w:rsidRPr="00DF0275">
        <w:rPr>
          <w:rFonts w:ascii="Arial" w:hAnsi="Arial" w:cs="Arial"/>
          <w:b/>
          <w:bCs/>
          <w:szCs w:val="22"/>
        </w:rPr>
        <w:instrText xml:space="preserve"> SEQ Figure \* ARABIC </w:instrText>
      </w:r>
      <w:r w:rsidRPr="00DF0275">
        <w:rPr>
          <w:rFonts w:ascii="Arial" w:hAnsi="Arial" w:cs="Arial"/>
          <w:b/>
          <w:bCs/>
          <w:szCs w:val="22"/>
        </w:rPr>
        <w:fldChar w:fldCharType="separate"/>
      </w:r>
      <w:r w:rsidRPr="00DF0275">
        <w:rPr>
          <w:rFonts w:ascii="Arial" w:hAnsi="Arial" w:cs="Arial"/>
          <w:b/>
          <w:bCs/>
          <w:szCs w:val="22"/>
        </w:rPr>
        <w:t>2</w:t>
      </w:r>
      <w:r w:rsidRPr="00DF0275">
        <w:rPr>
          <w:rFonts w:ascii="Arial" w:hAnsi="Arial" w:cs="Arial"/>
          <w:b/>
          <w:bCs/>
          <w:szCs w:val="22"/>
        </w:rPr>
        <w:fldChar w:fldCharType="end"/>
      </w:r>
      <w:r w:rsidRPr="00DF0275">
        <w:rPr>
          <w:rFonts w:ascii="Arial" w:hAnsi="Arial" w:cs="Arial"/>
          <w:b/>
          <w:bCs/>
          <w:szCs w:val="22"/>
        </w:rPr>
        <w:t xml:space="preserve">: Plant height, collar diameter and number of leaves </w:t>
      </w:r>
      <w:r w:rsidR="007D49DD" w:rsidRPr="007D49DD">
        <w:rPr>
          <w:rFonts w:ascii="Arial" w:hAnsi="Arial" w:cs="Arial"/>
          <w:b/>
          <w:bCs/>
          <w:szCs w:val="22"/>
        </w:rPr>
        <w:t>over time under the different inoculation treatments.</w:t>
      </w:r>
    </w:p>
    <w:p w14:paraId="4A9FD1F1" w14:textId="77777777" w:rsidR="00DF0275" w:rsidRPr="009A3521" w:rsidRDefault="007D49DD" w:rsidP="00DF0275">
      <w:r w:rsidRPr="007D49DD">
        <w:t xml:space="preserve">Values are presented as means ± </w:t>
      </w:r>
      <w:r>
        <w:t>ecart-type</w:t>
      </w:r>
      <w:r w:rsidRPr="007D49DD">
        <w:t>. No significant differences among inoculation treatments were detected by repeated-measures ANOVA (P &gt; 0.05).</w:t>
      </w:r>
      <w:r w:rsidR="00DF0275">
        <w:t xml:space="preserve"> MaM: Maize mycorrhizal inoculum; CoM: Commercial mycorrhizal inoculant; CaM: Cassava mycorrhizal inoculum; C: Control with no mycorrhizal inoculum</w:t>
      </w:r>
    </w:p>
    <w:p w14:paraId="7045D4A7" w14:textId="77777777" w:rsidR="00DF0275" w:rsidRPr="00F5714A" w:rsidRDefault="00DF0275" w:rsidP="00F5714A">
      <w:pPr>
        <w:pStyle w:val="Body"/>
        <w:rPr>
          <w:rFonts w:ascii="Arial" w:hAnsi="Arial" w:cs="Arial"/>
          <w:b/>
          <w:bCs/>
          <w:sz w:val="22"/>
        </w:rPr>
      </w:pPr>
    </w:p>
    <w:p w14:paraId="41FBFD29" w14:textId="77777777" w:rsidR="00DF0275" w:rsidRPr="00DF0275" w:rsidRDefault="00DF0275" w:rsidP="00DF0275">
      <w:pPr>
        <w:pStyle w:val="Body"/>
        <w:rPr>
          <w:rFonts w:ascii="Arial" w:hAnsi="Arial" w:cs="Arial"/>
          <w:b/>
          <w:bCs/>
          <w:i/>
          <w:iCs/>
          <w:sz w:val="22"/>
          <w:lang w:val="en-GB"/>
        </w:rPr>
      </w:pPr>
      <w:r>
        <w:rPr>
          <w:rFonts w:ascii="Arial" w:hAnsi="Arial" w:cs="Arial"/>
          <w:b/>
          <w:caps/>
          <w:sz w:val="22"/>
        </w:rPr>
        <w:t>3</w:t>
      </w:r>
      <w:r w:rsidRPr="00DF0275">
        <w:rPr>
          <w:rFonts w:ascii="Arial" w:hAnsi="Arial" w:cs="Arial"/>
          <w:b/>
          <w:caps/>
          <w:sz w:val="22"/>
        </w:rPr>
        <w:t xml:space="preserve">.3 </w:t>
      </w:r>
      <w:bookmarkStart w:id="5" w:name="_Hlk240466826"/>
      <w:r w:rsidRPr="00DF0275">
        <w:rPr>
          <w:rFonts w:ascii="Arial" w:hAnsi="Arial" w:cs="Arial"/>
          <w:b/>
          <w:bCs/>
          <w:sz w:val="22"/>
          <w:lang w:val="en-GB"/>
        </w:rPr>
        <w:t>Flower bud production and fresh biomass</w:t>
      </w:r>
    </w:p>
    <w:bookmarkEnd w:id="5"/>
    <w:p w14:paraId="7B2BD659" w14:textId="77777777" w:rsidR="00DF0275" w:rsidRPr="00DF0275" w:rsidRDefault="00DF0275" w:rsidP="003A7C92">
      <w:pPr>
        <w:jc w:val="both"/>
        <w:rPr>
          <w:rFonts w:ascii="Arial" w:hAnsi="Arial" w:cs="Arial"/>
        </w:rPr>
      </w:pPr>
      <w:r w:rsidRPr="00DF0275">
        <w:rPr>
          <w:rFonts w:ascii="Arial" w:hAnsi="Arial" w:cs="Arial"/>
        </w:rPr>
        <w:t>No significant differences were observed among treatments in the number of flower buds produced by the plants (Figure 3A).</w:t>
      </w:r>
    </w:p>
    <w:p w14:paraId="5BCB06F9" w14:textId="77777777" w:rsidR="00DF0275" w:rsidRPr="00DF0275" w:rsidRDefault="00DF0275" w:rsidP="003A7C92">
      <w:pPr>
        <w:jc w:val="both"/>
        <w:rPr>
          <w:rFonts w:ascii="Arial" w:hAnsi="Arial" w:cs="Arial"/>
        </w:rPr>
      </w:pPr>
      <w:r w:rsidRPr="00DF0275">
        <w:rPr>
          <w:rFonts w:ascii="Arial" w:hAnsi="Arial" w:cs="Arial"/>
        </w:rPr>
        <w:t xml:space="preserve">Plants inoculated with the commercial inoculant CoM produced 7 ± 2.50 flower buds. Plants inoculated with the indigenous </w:t>
      </w:r>
      <w:r w:rsidR="007B2FB2">
        <w:rPr>
          <w:rFonts w:ascii="Arial" w:hAnsi="Arial" w:cs="Arial"/>
        </w:rPr>
        <w:t>inocula</w:t>
      </w:r>
      <w:r w:rsidRPr="00DF0275">
        <w:rPr>
          <w:rFonts w:ascii="Arial" w:hAnsi="Arial" w:cs="Arial"/>
        </w:rPr>
        <w:t xml:space="preserve"> CaM and MaM produced 6 ± 2.34 and 7 ± 1.76 flower buds, respectively (Figure 3A), whereas non-inoculated plants produced 8 ± 1.60 flower buds (Figure 3A).</w:t>
      </w:r>
    </w:p>
    <w:p w14:paraId="16D75501" w14:textId="77777777" w:rsidR="00DF0275" w:rsidRDefault="00DF0275" w:rsidP="003A7C92">
      <w:pPr>
        <w:jc w:val="both"/>
        <w:rPr>
          <w:rFonts w:ascii="Arial" w:hAnsi="Arial" w:cs="Arial"/>
        </w:rPr>
      </w:pPr>
      <w:r w:rsidRPr="00DF0275">
        <w:rPr>
          <w:rFonts w:ascii="Arial" w:hAnsi="Arial" w:cs="Arial"/>
        </w:rPr>
        <w:t>No significant differences were observed among treatments in fresh aboveground and belowground biomass (Figure 3B). The fresh aboveground biomass of plants inoculated with CoM, CaM, and MaM was 22.65 ± 6.89 g, 26.23 ± 6.77 g, and 29.57 ± 3.74 g, respectively (Figure 3B), compared with 23.02 ± 3.38 g for the non-inoculated control plants (Figure 3B). Similarly, the fresh root biomass of plants inoculated with CoM, CaM, and MaM was 5.46 ± 2.48 g, 4.95 ± 1.26 g, and 8.89 ± 1.24 g, respectively, compared with 8.86 ± 1.02 g for the non-inoculated control plants (Figure 3B).</w:t>
      </w:r>
    </w:p>
    <w:p w14:paraId="5DE4B2F8" w14:textId="77777777" w:rsidR="00DF0275" w:rsidRDefault="00DF0275" w:rsidP="00DF0275">
      <w:pPr>
        <w:spacing w:line="360" w:lineRule="auto"/>
        <w:jc w:val="both"/>
        <w:rPr>
          <w:rFonts w:ascii="Arial" w:hAnsi="Arial" w:cs="Arial"/>
        </w:rPr>
      </w:pPr>
    </w:p>
    <w:p w14:paraId="29B2C95C" w14:textId="77777777" w:rsidR="00DF0275" w:rsidRDefault="00DF0275" w:rsidP="00DF0275">
      <w:pPr>
        <w:spacing w:line="360" w:lineRule="auto"/>
        <w:jc w:val="both"/>
        <w:rPr>
          <w:rFonts w:ascii="Arial" w:hAnsi="Arial" w:cs="Arial"/>
        </w:rPr>
      </w:pPr>
      <w:r>
        <w:rPr>
          <w:noProof/>
        </w:rPr>
        <w:drawing>
          <wp:inline distT="0" distB="0" distL="0" distR="0" wp14:anchorId="71F1BCD1" wp14:editId="3FBBA41C">
            <wp:extent cx="3625850" cy="2179527"/>
            <wp:effectExtent l="0" t="0" r="0" b="0"/>
            <wp:docPr id="26342188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46274" cy="2191804"/>
                    </a:xfrm>
                    <a:prstGeom prst="rect">
                      <a:avLst/>
                    </a:prstGeom>
                    <a:noFill/>
                  </pic:spPr>
                </pic:pic>
              </a:graphicData>
            </a:graphic>
          </wp:inline>
        </w:drawing>
      </w:r>
      <w:r>
        <w:rPr>
          <w:noProof/>
        </w:rPr>
        <w:drawing>
          <wp:inline distT="0" distB="0" distL="0" distR="0" wp14:anchorId="1CE3BA08" wp14:editId="4C8B8F8A">
            <wp:extent cx="3625850" cy="2179528"/>
            <wp:effectExtent l="0" t="0" r="0" b="0"/>
            <wp:docPr id="12586546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48564" cy="2193181"/>
                    </a:xfrm>
                    <a:prstGeom prst="rect">
                      <a:avLst/>
                    </a:prstGeom>
                    <a:noFill/>
                  </pic:spPr>
                </pic:pic>
              </a:graphicData>
            </a:graphic>
          </wp:inline>
        </w:drawing>
      </w:r>
    </w:p>
    <w:p w14:paraId="4AE38C2A" w14:textId="77777777" w:rsidR="00DF0275" w:rsidRPr="00DF0275" w:rsidRDefault="00DF0275" w:rsidP="00DF0275">
      <w:pPr>
        <w:autoSpaceDE w:val="0"/>
        <w:autoSpaceDN w:val="0"/>
        <w:adjustRightInd w:val="0"/>
        <w:jc w:val="both"/>
        <w:rPr>
          <w:rFonts w:ascii="Arial" w:hAnsi="Arial" w:cs="Arial"/>
          <w:b/>
          <w:bCs/>
          <w:szCs w:val="22"/>
        </w:rPr>
      </w:pPr>
      <w:r w:rsidRPr="00DF0275">
        <w:rPr>
          <w:rFonts w:ascii="Arial" w:hAnsi="Arial" w:cs="Arial"/>
          <w:b/>
          <w:bCs/>
          <w:szCs w:val="22"/>
        </w:rPr>
        <w:t>Fig</w:t>
      </w:r>
      <w:r>
        <w:rPr>
          <w:rFonts w:ascii="Arial" w:hAnsi="Arial" w:cs="Arial"/>
          <w:b/>
          <w:bCs/>
          <w:szCs w:val="22"/>
        </w:rPr>
        <w:t>.</w:t>
      </w:r>
      <w:r w:rsidRPr="00DF0275">
        <w:rPr>
          <w:rFonts w:ascii="Arial" w:hAnsi="Arial" w:cs="Arial"/>
          <w:b/>
          <w:bCs/>
          <w:szCs w:val="22"/>
        </w:rPr>
        <w:t xml:space="preserve"> </w:t>
      </w:r>
      <w:r w:rsidRPr="00DF0275">
        <w:rPr>
          <w:rFonts w:ascii="Arial" w:hAnsi="Arial" w:cs="Arial"/>
          <w:b/>
          <w:bCs/>
          <w:szCs w:val="22"/>
        </w:rPr>
        <w:fldChar w:fldCharType="begin"/>
      </w:r>
      <w:r w:rsidRPr="00DF0275">
        <w:rPr>
          <w:rFonts w:ascii="Arial" w:hAnsi="Arial" w:cs="Arial"/>
          <w:b/>
          <w:bCs/>
          <w:szCs w:val="22"/>
        </w:rPr>
        <w:instrText xml:space="preserve"> SEQ Figure \* ARABIC </w:instrText>
      </w:r>
      <w:r w:rsidRPr="00DF0275">
        <w:rPr>
          <w:rFonts w:ascii="Arial" w:hAnsi="Arial" w:cs="Arial"/>
          <w:b/>
          <w:bCs/>
          <w:szCs w:val="22"/>
        </w:rPr>
        <w:fldChar w:fldCharType="separate"/>
      </w:r>
      <w:r w:rsidRPr="00DF0275">
        <w:rPr>
          <w:rFonts w:ascii="Arial" w:hAnsi="Arial" w:cs="Arial"/>
          <w:b/>
          <w:bCs/>
          <w:szCs w:val="22"/>
        </w:rPr>
        <w:t>3</w:t>
      </w:r>
      <w:r w:rsidRPr="00DF0275">
        <w:rPr>
          <w:rFonts w:ascii="Arial" w:hAnsi="Arial" w:cs="Arial"/>
          <w:b/>
          <w:bCs/>
          <w:szCs w:val="22"/>
        </w:rPr>
        <w:fldChar w:fldCharType="end"/>
      </w:r>
      <w:r w:rsidRPr="00DF0275">
        <w:rPr>
          <w:rFonts w:ascii="Arial" w:hAnsi="Arial" w:cs="Arial"/>
          <w:b/>
          <w:bCs/>
          <w:szCs w:val="22"/>
        </w:rPr>
        <w:t>: Flower bud production and fresh biomass</w:t>
      </w:r>
    </w:p>
    <w:p w14:paraId="1684F483" w14:textId="77777777" w:rsidR="00DF0275" w:rsidRPr="009A3521" w:rsidRDefault="00DF0275" w:rsidP="00DF0275">
      <w:r w:rsidRPr="0068030B">
        <w:t xml:space="preserve">Bar graphs following the same letter in each </w:t>
      </w:r>
      <w:r>
        <w:t>histogram group</w:t>
      </w:r>
      <w:r w:rsidRPr="0068030B">
        <w:t xml:space="preserve"> are not significantly different at </w:t>
      </w:r>
      <w:r w:rsidRPr="00F83A88">
        <w:t>the 5% significance level</w:t>
      </w:r>
      <w:r>
        <w:t>. MaM: Maize mycorrhizal inoculum; CoM: Commercial mycorrhizal inoculant; CaM: Cassava mycorrhizal inoculum; C: Control with no mycorrhizal inoculum</w:t>
      </w:r>
    </w:p>
    <w:p w14:paraId="05A5037C" w14:textId="77777777" w:rsidR="00DF0275" w:rsidRPr="00DF0275" w:rsidRDefault="00DF0275" w:rsidP="00DF0275">
      <w:pPr>
        <w:spacing w:line="360" w:lineRule="auto"/>
        <w:jc w:val="both"/>
        <w:rPr>
          <w:rFonts w:ascii="Arial" w:hAnsi="Arial" w:cs="Arial"/>
        </w:rPr>
      </w:pPr>
    </w:p>
    <w:p w14:paraId="268360E0" w14:textId="77777777" w:rsidR="00805A61" w:rsidRPr="00805A61" w:rsidRDefault="00805A61" w:rsidP="00805A61">
      <w:pPr>
        <w:pStyle w:val="Body"/>
        <w:rPr>
          <w:rFonts w:ascii="Arial" w:hAnsi="Arial" w:cs="Arial"/>
          <w:b/>
          <w:caps/>
          <w:sz w:val="22"/>
        </w:rPr>
      </w:pPr>
      <w:r>
        <w:rPr>
          <w:rFonts w:ascii="Arial" w:hAnsi="Arial" w:cs="Arial"/>
          <w:b/>
          <w:caps/>
          <w:sz w:val="22"/>
        </w:rPr>
        <w:t>4. DISCUS</w:t>
      </w:r>
      <w:r>
        <w:rPr>
          <w:rFonts w:ascii="Arial" w:hAnsi="Arial" w:cs="Arial"/>
          <w:b/>
          <w:caps/>
          <w:sz w:val="22"/>
          <w:highlight w:val="yellow"/>
        </w:rPr>
        <w:t>SION</w:t>
      </w:r>
    </w:p>
    <w:p w14:paraId="19282707" w14:textId="77777777" w:rsidR="00DF0275" w:rsidRPr="00DF0275" w:rsidRDefault="00DF0275" w:rsidP="00DF0275">
      <w:pPr>
        <w:pStyle w:val="Body"/>
        <w:spacing w:after="0"/>
        <w:rPr>
          <w:rFonts w:ascii="Arial" w:hAnsi="Arial" w:cs="Arial"/>
          <w:lang w:val="en-GB"/>
        </w:rPr>
      </w:pPr>
      <w:r>
        <w:rPr>
          <w:rFonts w:ascii="Arial" w:hAnsi="Arial" w:cs="Arial"/>
          <w:lang w:val="en-GB"/>
        </w:rPr>
        <w:t>The assessment of mycorrhizal coloni</w:t>
      </w:r>
      <w:r>
        <w:rPr>
          <w:rFonts w:ascii="Arial" w:hAnsi="Arial" w:cs="Arial"/>
          <w:highlight w:val="yellow"/>
          <w:lang w:val="en-GB"/>
        </w:rPr>
        <w:t>s</w:t>
      </w:r>
      <w:r>
        <w:rPr>
          <w:rFonts w:ascii="Arial" w:hAnsi="Arial" w:cs="Arial"/>
          <w:lang w:val="en-GB"/>
        </w:rPr>
        <w:t>ation revealed that the roots of inoculated plants were successfully coloni</w:t>
      </w:r>
      <w:r>
        <w:rPr>
          <w:rFonts w:ascii="Arial" w:hAnsi="Arial" w:cs="Arial"/>
          <w:highlight w:val="yellow"/>
          <w:lang w:val="en-GB"/>
        </w:rPr>
        <w:t>s</w:t>
      </w:r>
      <w:r>
        <w:rPr>
          <w:rFonts w:ascii="Arial" w:hAnsi="Arial" w:cs="Arial"/>
          <w:lang w:val="en-GB"/>
        </w:rPr>
        <w:t>ed by AMF. More than 50% of the inoculated plants exhibited mycorrhizal coloni</w:t>
      </w:r>
      <w:r>
        <w:rPr>
          <w:rFonts w:ascii="Arial" w:hAnsi="Arial" w:cs="Arial"/>
          <w:highlight w:val="yellow"/>
          <w:lang w:val="en-GB"/>
        </w:rPr>
        <w:t>s</w:t>
      </w:r>
      <w:r>
        <w:rPr>
          <w:rFonts w:ascii="Arial" w:hAnsi="Arial" w:cs="Arial"/>
          <w:lang w:val="en-GB"/>
        </w:rPr>
        <w:t>ation, whereas no coloni</w:t>
      </w:r>
      <w:r>
        <w:rPr>
          <w:rFonts w:ascii="Arial" w:hAnsi="Arial" w:cs="Arial"/>
          <w:highlight w:val="yellow"/>
          <w:lang w:val="en-GB"/>
        </w:rPr>
        <w:t>s</w:t>
      </w:r>
      <w:r>
        <w:rPr>
          <w:rFonts w:ascii="Arial" w:hAnsi="Arial" w:cs="Arial"/>
          <w:lang w:val="en-GB"/>
        </w:rPr>
        <w:t>ation was detected in the non-inoculated control. However, coloni</w:t>
      </w:r>
      <w:r>
        <w:rPr>
          <w:rFonts w:ascii="Arial" w:hAnsi="Arial" w:cs="Arial"/>
          <w:highlight w:val="yellow"/>
          <w:lang w:val="en-GB"/>
        </w:rPr>
        <w:t>s</w:t>
      </w:r>
      <w:r>
        <w:rPr>
          <w:rFonts w:ascii="Arial" w:hAnsi="Arial" w:cs="Arial"/>
          <w:lang w:val="en-GB"/>
        </w:rPr>
        <w:t xml:space="preserve">ation intensity remained low, and no significant differences were observed among the commercial and indigenous inocula. These results indicate that all three inocula were capable of establishing an association with </w:t>
      </w:r>
      <w:r>
        <w:rPr>
          <w:rFonts w:ascii="Arial" w:hAnsi="Arial" w:cs="Arial"/>
          <w:i/>
          <w:iCs/>
          <w:lang w:val="en-GB"/>
        </w:rPr>
        <w:t>S. aethiopicum</w:t>
      </w:r>
      <w:r>
        <w:rPr>
          <w:rFonts w:ascii="Arial" w:hAnsi="Arial" w:cs="Arial"/>
          <w:lang w:val="en-GB"/>
        </w:rPr>
        <w:t xml:space="preserve"> under the experimental conditions, but that the extent of intraradical fungal development remained limited.</w:t>
      </w:r>
    </w:p>
    <w:p w14:paraId="346DED1E" w14:textId="77777777" w:rsidR="00DF0275" w:rsidRPr="00DF0275" w:rsidRDefault="00DF0275" w:rsidP="00DF0275">
      <w:pPr>
        <w:pStyle w:val="Body"/>
        <w:spacing w:after="0"/>
        <w:rPr>
          <w:rFonts w:ascii="Arial" w:hAnsi="Arial" w:cs="Arial"/>
          <w:lang w:val="en-GB"/>
        </w:rPr>
      </w:pPr>
      <w:r>
        <w:rPr>
          <w:rFonts w:ascii="Arial" w:hAnsi="Arial" w:cs="Arial"/>
          <w:lang w:val="en-GB"/>
        </w:rPr>
        <w:t>The difference between relatively high coloni</w:t>
      </w:r>
      <w:r>
        <w:rPr>
          <w:rFonts w:ascii="Arial" w:hAnsi="Arial" w:cs="Arial"/>
          <w:highlight w:val="yellow"/>
          <w:lang w:val="en-GB"/>
        </w:rPr>
        <w:t>s</w:t>
      </w:r>
      <w:r>
        <w:rPr>
          <w:rFonts w:ascii="Arial" w:hAnsi="Arial" w:cs="Arial"/>
          <w:lang w:val="en-GB"/>
        </w:rPr>
        <w:t>ation frequency and low coloni</w:t>
      </w:r>
      <w:r>
        <w:rPr>
          <w:rFonts w:ascii="Arial" w:hAnsi="Arial" w:cs="Arial"/>
          <w:highlight w:val="yellow"/>
          <w:lang w:val="en-GB"/>
        </w:rPr>
        <w:t>s</w:t>
      </w:r>
      <w:r>
        <w:rPr>
          <w:rFonts w:ascii="Arial" w:hAnsi="Arial" w:cs="Arial"/>
          <w:lang w:val="en-GB"/>
        </w:rPr>
        <w:t>ation intensity suggests that the establishment of the symbiosis did not necessarily translate into extensive fungal development within the root cortex. The effectiveness of AMF inoculation depends not only on the presence of viable propagules but also on the compatibility between the fungal community and the host plant</w:t>
      </w:r>
      <w:r>
        <w:rPr>
          <w:rFonts w:ascii="Arial" w:hAnsi="Arial" w:cs="Arial"/>
          <w:highlight w:val="yellow"/>
          <w:lang w:val="en-GB"/>
        </w:rPr>
        <w:t xml:space="preserve"> and on</w:t>
      </w:r>
      <w:r>
        <w:rPr>
          <w:rFonts w:ascii="Arial" w:hAnsi="Arial" w:cs="Arial"/>
          <w:lang w:val="en-GB"/>
        </w:rPr>
        <w:t xml:space="preserve"> the density and infectivity of the inoculum (Basiru &amp; Hijri, 2022)</w:t>
      </w:r>
      <w:r>
        <w:rPr>
          <w:rFonts w:ascii="Arial" w:hAnsi="Arial" w:cs="Arial"/>
          <w:highlight w:val="yellow"/>
          <w:lang w:val="en-GB"/>
        </w:rPr>
        <w:t>.</w:t>
      </w:r>
    </w:p>
    <w:p w14:paraId="782E6CDD" w14:textId="77777777" w:rsidR="00DF0275" w:rsidRPr="00DF0275" w:rsidRDefault="00DF0275" w:rsidP="00DF0275">
      <w:pPr>
        <w:pStyle w:val="Body"/>
        <w:spacing w:after="0"/>
        <w:rPr>
          <w:rFonts w:ascii="Arial" w:hAnsi="Arial" w:cs="Arial"/>
          <w:lang w:val="en-GB"/>
        </w:rPr>
      </w:pPr>
      <w:r>
        <w:rPr>
          <w:rFonts w:ascii="Arial" w:hAnsi="Arial" w:cs="Arial"/>
          <w:lang w:val="en-GB"/>
        </w:rPr>
        <w:t>The duration of the experiment may also have influenced the extent of coloni</w:t>
      </w:r>
      <w:r>
        <w:rPr>
          <w:rFonts w:ascii="Arial" w:hAnsi="Arial" w:cs="Arial"/>
          <w:highlight w:val="yellow"/>
          <w:lang w:val="en-GB"/>
        </w:rPr>
        <w:t>s</w:t>
      </w:r>
      <w:r>
        <w:rPr>
          <w:rFonts w:ascii="Arial" w:hAnsi="Arial" w:cs="Arial"/>
          <w:lang w:val="en-GB"/>
        </w:rPr>
        <w:t>ation. Root coloni</w:t>
      </w:r>
      <w:r>
        <w:rPr>
          <w:rFonts w:ascii="Arial" w:hAnsi="Arial" w:cs="Arial"/>
          <w:highlight w:val="yellow"/>
          <w:lang w:val="en-GB"/>
        </w:rPr>
        <w:t>s</w:t>
      </w:r>
      <w:r>
        <w:rPr>
          <w:rFonts w:ascii="Arial" w:hAnsi="Arial" w:cs="Arial"/>
          <w:lang w:val="en-GB"/>
        </w:rPr>
        <w:t>ation by AMF is a dynamic process that develops progressively following contact between the host root and fungal propagules (Corona Ramírez et al., 2023). The 40-day assessment therefore provided a snapshot of the coloni</w:t>
      </w:r>
      <w:r>
        <w:rPr>
          <w:rFonts w:ascii="Arial" w:hAnsi="Arial" w:cs="Arial"/>
          <w:highlight w:val="yellow"/>
          <w:lang w:val="en-GB"/>
        </w:rPr>
        <w:t>s</w:t>
      </w:r>
      <w:r>
        <w:rPr>
          <w:rFonts w:ascii="Arial" w:hAnsi="Arial" w:cs="Arial"/>
          <w:lang w:val="en-GB"/>
        </w:rPr>
        <w:t>ation process rather than a measure of its maximum potential. Nevertheless, the relatively short experimental period should not be considered the only explanation for the low coloni</w:t>
      </w:r>
      <w:r>
        <w:rPr>
          <w:rFonts w:ascii="Arial" w:hAnsi="Arial" w:cs="Arial"/>
          <w:highlight w:val="yellow"/>
          <w:lang w:val="en-GB"/>
        </w:rPr>
        <w:t>s</w:t>
      </w:r>
      <w:r>
        <w:rPr>
          <w:rFonts w:ascii="Arial" w:hAnsi="Arial" w:cs="Arial"/>
          <w:lang w:val="en-GB"/>
        </w:rPr>
        <w:t>ation intensity, since the development of AMF coloni</w:t>
      </w:r>
      <w:r>
        <w:rPr>
          <w:rFonts w:ascii="Arial" w:hAnsi="Arial" w:cs="Arial"/>
          <w:highlight w:val="yellow"/>
          <w:lang w:val="en-GB"/>
        </w:rPr>
        <w:t>s</w:t>
      </w:r>
      <w:r>
        <w:rPr>
          <w:rFonts w:ascii="Arial" w:hAnsi="Arial" w:cs="Arial"/>
          <w:lang w:val="en-GB"/>
        </w:rPr>
        <w:t>ation is also strongly influenced by plant–fungus compatibility and environmental conditions. Further experiments involving earlier and later assessments of root coloni</w:t>
      </w:r>
      <w:r>
        <w:rPr>
          <w:rFonts w:ascii="Arial" w:hAnsi="Arial" w:cs="Arial"/>
          <w:highlight w:val="yellow"/>
          <w:lang w:val="en-GB"/>
        </w:rPr>
        <w:t>s</w:t>
      </w:r>
      <w:r>
        <w:rPr>
          <w:rFonts w:ascii="Arial" w:hAnsi="Arial" w:cs="Arial"/>
          <w:lang w:val="en-GB"/>
        </w:rPr>
        <w:t>ation would therefore be useful to determine whether the low intensity observed in the present study reflected delayed coloni</w:t>
      </w:r>
      <w:r>
        <w:rPr>
          <w:rFonts w:ascii="Arial" w:hAnsi="Arial" w:cs="Arial"/>
          <w:highlight w:val="yellow"/>
          <w:lang w:val="en-GB"/>
        </w:rPr>
        <w:t>s</w:t>
      </w:r>
      <w:r>
        <w:rPr>
          <w:rFonts w:ascii="Arial" w:hAnsi="Arial" w:cs="Arial"/>
          <w:lang w:val="en-GB"/>
        </w:rPr>
        <w:t>ation or intrinsically limited fungal development.</w:t>
      </w:r>
    </w:p>
    <w:p w14:paraId="281359BD" w14:textId="77777777" w:rsidR="00DF0275" w:rsidRPr="00DF0275" w:rsidRDefault="00DF0275" w:rsidP="00DF0275">
      <w:pPr>
        <w:pStyle w:val="Body"/>
        <w:spacing w:after="0"/>
        <w:rPr>
          <w:rFonts w:ascii="Arial" w:hAnsi="Arial" w:cs="Arial"/>
          <w:lang w:val="en-GB"/>
        </w:rPr>
      </w:pPr>
      <w:r>
        <w:rPr>
          <w:rFonts w:ascii="Arial" w:hAnsi="Arial" w:cs="Arial"/>
          <w:lang w:val="en-GB"/>
        </w:rPr>
        <w:t>The absence of significant differences in coloni</w:t>
      </w:r>
      <w:r>
        <w:rPr>
          <w:rFonts w:ascii="Arial" w:hAnsi="Arial" w:cs="Arial"/>
          <w:highlight w:val="yellow"/>
          <w:lang w:val="en-GB"/>
        </w:rPr>
        <w:t>s</w:t>
      </w:r>
      <w:r>
        <w:rPr>
          <w:rFonts w:ascii="Arial" w:hAnsi="Arial" w:cs="Arial"/>
          <w:lang w:val="en-GB"/>
        </w:rPr>
        <w:t xml:space="preserve">ation intensity among the three inocula is also noteworthy. Although indigenous AMF are frequently considered </w:t>
      </w:r>
      <w:r>
        <w:rPr>
          <w:rFonts w:ascii="Arial" w:hAnsi="Arial" w:cs="Arial"/>
          <w:highlight w:val="yellow"/>
          <w:lang w:val="en-GB"/>
        </w:rPr>
        <w:t>t</w:t>
      </w:r>
      <w:r>
        <w:rPr>
          <w:rFonts w:ascii="Arial" w:hAnsi="Arial" w:cs="Arial"/>
          <w:lang w:val="en-GB"/>
        </w:rPr>
        <w:t>o</w:t>
      </w:r>
      <w:r>
        <w:rPr>
          <w:rFonts w:ascii="Arial" w:hAnsi="Arial" w:cs="Arial"/>
          <w:highlight w:val="yellow"/>
          <w:lang w:val="en-GB"/>
        </w:rPr>
        <w:t xml:space="preserve"> b</w:t>
      </w:r>
      <w:r>
        <w:rPr>
          <w:rFonts w:ascii="Arial" w:hAnsi="Arial" w:cs="Arial"/>
          <w:lang w:val="en-GB"/>
        </w:rPr>
        <w:t>e better adapted to local soil and climatic conditions than non-local fungal material (Berruti et al., 2016), such adaptation does not necessarily result in greater root coloni</w:t>
      </w:r>
      <w:r>
        <w:rPr>
          <w:rFonts w:ascii="Arial" w:hAnsi="Arial" w:cs="Arial"/>
          <w:highlight w:val="yellow"/>
          <w:lang w:val="en-GB"/>
        </w:rPr>
        <w:t>s</w:t>
      </w:r>
      <w:r>
        <w:rPr>
          <w:rFonts w:ascii="Arial" w:hAnsi="Arial" w:cs="Arial"/>
          <w:lang w:val="en-GB"/>
        </w:rPr>
        <w:t>ation or plant growth under all experimental conditions. In the present study, the indigenous inocula performed similarly to the commercial inoculant with respect to both coloni</w:t>
      </w:r>
      <w:r>
        <w:rPr>
          <w:rFonts w:ascii="Arial" w:hAnsi="Arial" w:cs="Arial"/>
          <w:highlight w:val="yellow"/>
          <w:lang w:val="en-GB"/>
        </w:rPr>
        <w:t>s</w:t>
      </w:r>
      <w:r>
        <w:rPr>
          <w:rFonts w:ascii="Arial" w:hAnsi="Arial" w:cs="Arial"/>
          <w:lang w:val="en-GB"/>
        </w:rPr>
        <w:t>ation frequency and intensity. This suggests that the indigenous inocula contained AMF capable of recogni</w:t>
      </w:r>
      <w:r>
        <w:rPr>
          <w:rFonts w:ascii="Arial" w:hAnsi="Arial" w:cs="Arial"/>
          <w:highlight w:val="yellow"/>
          <w:lang w:val="en-GB"/>
        </w:rPr>
        <w:t>s</w:t>
      </w:r>
      <w:r>
        <w:rPr>
          <w:rFonts w:ascii="Arial" w:hAnsi="Arial" w:cs="Arial"/>
          <w:lang w:val="en-GB"/>
        </w:rPr>
        <w:t>ing and coloni</w:t>
      </w:r>
      <w:r>
        <w:rPr>
          <w:rFonts w:ascii="Arial" w:hAnsi="Arial" w:cs="Arial"/>
          <w:highlight w:val="yellow"/>
          <w:lang w:val="en-GB"/>
        </w:rPr>
        <w:t>s</w:t>
      </w:r>
      <w:r>
        <w:rPr>
          <w:rFonts w:ascii="Arial" w:hAnsi="Arial" w:cs="Arial"/>
          <w:lang w:val="en-GB"/>
        </w:rPr>
        <w:t xml:space="preserve">ing </w:t>
      </w:r>
      <w:r>
        <w:rPr>
          <w:rFonts w:ascii="Arial" w:hAnsi="Arial" w:cs="Arial"/>
          <w:i/>
          <w:iCs/>
          <w:lang w:val="en-GB"/>
        </w:rPr>
        <w:t>S. aethiopicum</w:t>
      </w:r>
      <w:r>
        <w:rPr>
          <w:rFonts w:ascii="Arial" w:hAnsi="Arial" w:cs="Arial"/>
          <w:lang w:val="en-GB"/>
        </w:rPr>
        <w:t xml:space="preserve"> roots, but the experiment did not demonstrate a superior coloni</w:t>
      </w:r>
      <w:r>
        <w:rPr>
          <w:rFonts w:ascii="Arial" w:hAnsi="Arial" w:cs="Arial"/>
          <w:highlight w:val="yellow"/>
          <w:lang w:val="en-GB"/>
        </w:rPr>
        <w:t>s</w:t>
      </w:r>
      <w:r>
        <w:rPr>
          <w:rFonts w:ascii="Arial" w:hAnsi="Arial" w:cs="Arial"/>
          <w:lang w:val="en-GB"/>
        </w:rPr>
        <w:t>ation capacity of indigenous inocula under the conditions tested.</w:t>
      </w:r>
    </w:p>
    <w:p w14:paraId="09668074" w14:textId="77777777" w:rsidR="00DF0275" w:rsidRPr="00DF0275" w:rsidRDefault="00DF0275" w:rsidP="00DF0275">
      <w:pPr>
        <w:pStyle w:val="Body"/>
        <w:spacing w:after="0"/>
        <w:rPr>
          <w:rFonts w:ascii="Arial" w:hAnsi="Arial" w:cs="Arial"/>
          <w:lang w:val="en-GB"/>
        </w:rPr>
      </w:pPr>
      <w:r>
        <w:rPr>
          <w:rFonts w:ascii="Arial" w:hAnsi="Arial" w:cs="Arial"/>
          <w:lang w:val="en-GB"/>
        </w:rPr>
        <w:t>The lack of significant effects of AMF inoculation on plant growth should therefore be interpreted in light of the limited extent of root coloni</w:t>
      </w:r>
      <w:r>
        <w:rPr>
          <w:rFonts w:ascii="Arial" w:hAnsi="Arial" w:cs="Arial"/>
          <w:highlight w:val="yellow"/>
          <w:lang w:val="en-GB"/>
        </w:rPr>
        <w:t>s</w:t>
      </w:r>
      <w:r>
        <w:rPr>
          <w:rFonts w:ascii="Arial" w:hAnsi="Arial" w:cs="Arial"/>
          <w:lang w:val="en-GB"/>
        </w:rPr>
        <w:t>ation. No significant differences were observed among treatments for plant height, collar diameter, number of leaves, flower-bud production, or fresh aboveground and belowground biomass. A similar absence of growth stimulation has been reported in some AMF inoculation experiments, particularly when root coloni</w:t>
      </w:r>
      <w:r>
        <w:rPr>
          <w:rFonts w:ascii="Arial" w:hAnsi="Arial" w:cs="Arial"/>
          <w:highlight w:val="yellow"/>
          <w:lang w:val="en-GB"/>
        </w:rPr>
        <w:t>s</w:t>
      </w:r>
      <w:r>
        <w:rPr>
          <w:rFonts w:ascii="Arial" w:hAnsi="Arial" w:cs="Arial"/>
          <w:lang w:val="en-GB"/>
        </w:rPr>
        <w:t>ation remains limited (Plenchette et al., 2000). The establishment of mycorrhizal structures alone does not necessarily result in a measurable growth response, as the magnitude of the plant benefit depends on the functional contribution of the fungal symbiosis under the prevailing environmental conditions.</w:t>
      </w:r>
    </w:p>
    <w:p w14:paraId="3C5A9EFC" w14:textId="77777777" w:rsidR="00DF0275" w:rsidRPr="00DF0275" w:rsidRDefault="00DF0275" w:rsidP="00DF0275">
      <w:pPr>
        <w:pStyle w:val="Body"/>
        <w:spacing w:after="0"/>
        <w:rPr>
          <w:rFonts w:ascii="Arial" w:hAnsi="Arial" w:cs="Arial"/>
          <w:lang w:val="en-GB"/>
        </w:rPr>
      </w:pPr>
      <w:r w:rsidRPr="00DF0275">
        <w:rPr>
          <w:rFonts w:ascii="Arial" w:hAnsi="Arial" w:cs="Arial"/>
          <w:lang w:val="en-GB"/>
        </w:rPr>
        <w:t xml:space="preserve">The controlled conditions of the present experiment may also have reduced the potential benefits of mycorrhization. Plants were maintained under greenhouse conditions and regularly irrigated, thereby reducing water limitation and other environmental stresses that can enhance the relative contribution of AMF to plant nutrient and water acquisition. Previous studies have shown that the benefits of AMF can become more pronounced under conditions of drought or other abiotic stresses </w:t>
      </w:r>
      <w:r w:rsidRPr="00DF0275">
        <w:rPr>
          <w:rFonts w:ascii="Arial" w:hAnsi="Arial" w:cs="Arial"/>
          <w:lang w:val="en-GB"/>
        </w:rPr>
        <w:fldChar w:fldCharType="begin"/>
      </w:r>
      <w:r w:rsidRPr="00DF0275">
        <w:rPr>
          <w:rFonts w:ascii="Arial" w:hAnsi="Arial" w:cs="Arial"/>
          <w:lang w:val="en-GB"/>
        </w:rPr>
        <w:instrText xml:space="preserve"> ADDIN ZOTERO_ITEM CSL_CITATION {"citationID":"fv4R7oid","properties":{"unsorted":false,"formattedCitation":"(Chandrasekaran, 2022)","plainCitation":"(Chandrasekaran, 2022)","noteIndex":0},"citationItems":[{"id":51,"uris":["http://zotero.org/users/local/qoGpGwOM/items/6I3EC8IH"],"itemData":{"id":51,"type":"article-journal","abstract":"Drought stress remains the major constraint in affecting crop productivity in several arid and semi-arid areas highlighting climate change perspectives. Arbuscular mycorrhizal fungi (AMF) belong to a versatile class of plant–fungal symbiotic associations establishing drought stress alleviation. Nevertheless, the mechanistic mode of sustainable agriculture necessitates rigorous assessment for authentic and reproducible plant growth parameters. Understanding the plant growth promotion, root morphological changes, and nutrient uptake response in AMF-inoculated plants to drought is very important for sustainable agriculture. Therefore, conducted a meta-analysis of published research articles for determining the efficacy of AMF in alleviating drought stress. Overall analysis showed that AM inoculated plants had 49% higher plant growth promotion than the non-mycorrhizal plants under drought stress. Biomass analysis depicted the root dry weight increase by 49%, shoot dry weight increase by 54%, and total dry weight increase by 58% indicating plant biomass traits augmentation. Root morphological traits analysis corresponded to increased root length (37%), root surface (31%), and root volume (65%). Notably, nutrient uptake assessment showed variable increases in uptake patterns such as P uptake by 86%, N uptake by 35%, and K uptake by 46%. Furthermore, the prominent efficacy of AMF was significantly larger under drought for P uptake (p &lt; 0.001) and root volume (p &lt; 0.001) indicating the linear relationship between root length and P uptake. Thus, the present meta-analysis confirms that drought stress alleviation emancipated by AMF is mediated by root traits modification and phosphorous acquisition efficacy. Hence, meta-analyses along with experimental validations with field trial evaluations will certainly provide the AMF research for escalated applications for better plant productivity, stress alleviation, and sustainable agriculture.","container-title":"Journal of Fungi","DOI":"10.3390/jof8070660","ISSN":"2309-608X","issue":"7","language":"en","license":"http://creativecommons.org/licenses/by/3.0/","page":"660","publisher":"Multidisciplinary Digital Publishing Institute","source":"www.mdpi.com","title":"Arbuscular Mycorrhizal Fungi Mediated Enhanced Biomass, Root Morphological Traits and Nutrient Uptake under Drought Stress: A Meta-Analysis","title-short":"Arbuscular Mycorrhizal Fungi Mediated Enhanced Biomass, Root Morphological Traits and Nutrient Uptake under Drought Stress","volume":"8","author":[{"family":"Chandrasekaran","given":"Murugesan"}],"issued":{"date-parts":[["2022",7]]}}}],"schema":"https://github.com/citation-style-language/schema/raw/master/csl-citation.json"} </w:instrText>
      </w:r>
      <w:r w:rsidRPr="00DF0275">
        <w:rPr>
          <w:rFonts w:ascii="Arial" w:hAnsi="Arial" w:cs="Arial"/>
          <w:lang w:val="en-GB"/>
        </w:rPr>
        <w:fldChar w:fldCharType="separate"/>
      </w:r>
      <w:r w:rsidRPr="00DF0275">
        <w:rPr>
          <w:rFonts w:ascii="Arial" w:hAnsi="Arial" w:cs="Arial"/>
          <w:lang w:val="en-GB"/>
        </w:rPr>
        <w:t>(Chandrasekaran, 2022)</w:t>
      </w:r>
      <w:r w:rsidRPr="00DF0275">
        <w:rPr>
          <w:rFonts w:ascii="Arial" w:hAnsi="Arial" w:cs="Arial"/>
        </w:rPr>
        <w:fldChar w:fldCharType="end"/>
      </w:r>
      <w:r w:rsidRPr="00DF0275">
        <w:rPr>
          <w:rFonts w:ascii="Arial" w:hAnsi="Arial" w:cs="Arial"/>
          <w:lang w:val="en-GB"/>
        </w:rPr>
        <w:t xml:space="preserve">. The absence of a growth response in the present experiment should not be interpreted as evidence that the </w:t>
      </w:r>
      <w:r w:rsidR="007B2FB2">
        <w:rPr>
          <w:rFonts w:ascii="Arial" w:hAnsi="Arial" w:cs="Arial"/>
          <w:lang w:val="en-GB"/>
        </w:rPr>
        <w:lastRenderedPageBreak/>
        <w:t>inocula</w:t>
      </w:r>
      <w:r w:rsidRPr="00DF0275">
        <w:rPr>
          <w:rFonts w:ascii="Arial" w:hAnsi="Arial" w:cs="Arial"/>
          <w:lang w:val="en-GB"/>
        </w:rPr>
        <w:t xml:space="preserve"> are agronomically ineffective, but rather as an indication that their potential benefits were not expressed under the specific experimental conditions used.</w:t>
      </w:r>
    </w:p>
    <w:p w14:paraId="7B91EFE7" w14:textId="77777777" w:rsidR="00DF0275" w:rsidRPr="00DF0275" w:rsidRDefault="00DF0275" w:rsidP="00DF0275">
      <w:pPr>
        <w:pStyle w:val="Body"/>
        <w:spacing w:after="0"/>
        <w:rPr>
          <w:rFonts w:ascii="Arial" w:hAnsi="Arial" w:cs="Arial"/>
          <w:lang w:val="en-GB"/>
        </w:rPr>
      </w:pPr>
      <w:r>
        <w:rPr>
          <w:rFonts w:ascii="Arial" w:hAnsi="Arial" w:cs="Arial"/>
          <w:lang w:val="en-GB"/>
        </w:rPr>
        <w:t>Finally, the relatively small root-zone volume may have imposed an additional constraint on plant development and potentially on the expression of the mycorrhizal symbiosis. Eggplant is sensitive to root-zone volume (Djidji &amp; Fondio, 2013), and previous work has shown that root restriction can reduce several growth parameters (Kurunç &amp; Ünlükara, 2009). The 3-L pots used in the present study provided a considerably smaller rooting volume than the containers used in some previous experiments with African eggplant, such as the 47-cm-long and 50-cm-diameter containers reported by Bolou-Bi et al. (2023). Under such conditions, root development may have been restricted before the plants reached their full productive potential, potentially limiting both the development of the fungal symbiosis and its contribution to plant growth.</w:t>
      </w:r>
    </w:p>
    <w:p w14:paraId="28AD6043" w14:textId="77777777" w:rsidR="00790ADA" w:rsidRPr="00DF0275" w:rsidRDefault="00790ADA" w:rsidP="00441B6F">
      <w:pPr>
        <w:pStyle w:val="Body"/>
        <w:spacing w:after="0"/>
        <w:rPr>
          <w:rFonts w:ascii="Arial" w:hAnsi="Arial" w:cs="Arial"/>
          <w:lang w:val="en-GB"/>
        </w:rPr>
      </w:pPr>
    </w:p>
    <w:p w14:paraId="1E52C12F" w14:textId="77777777" w:rsidR="00790ADA" w:rsidRPr="00FB3A86" w:rsidRDefault="00790ADA" w:rsidP="00441B6F">
      <w:pPr>
        <w:pStyle w:val="Body"/>
        <w:spacing w:after="0"/>
        <w:rPr>
          <w:rFonts w:ascii="Arial" w:hAnsi="Arial" w:cs="Arial"/>
        </w:rPr>
      </w:pPr>
    </w:p>
    <w:p w14:paraId="67C9EF8E" w14:textId="77777777" w:rsidR="00B01FCD" w:rsidRDefault="00805A61" w:rsidP="00441B6F">
      <w:pPr>
        <w:pStyle w:val="ConcHead"/>
        <w:spacing w:after="0"/>
        <w:jc w:val="both"/>
        <w:rPr>
          <w:rFonts w:ascii="Arial" w:hAnsi="Arial" w:cs="Arial"/>
        </w:rPr>
      </w:pPr>
      <w:bookmarkStart w:id="6" w:name="_Hlk241226904"/>
      <w:r>
        <w:rPr>
          <w:rFonts w:ascii="Arial" w:hAnsi="Arial" w:cs="Arial"/>
        </w:rPr>
        <w:t>5. C</w:t>
      </w:r>
      <w:r>
        <w:rPr>
          <w:rFonts w:ascii="Arial" w:hAnsi="Arial" w:cs="Arial"/>
          <w:highlight w:val="yellow"/>
        </w:rPr>
        <w:t>ONCLUSION</w:t>
      </w:r>
    </w:p>
    <w:bookmarkEnd w:id="6"/>
    <w:p w14:paraId="48F7FF5D" w14:textId="77777777" w:rsidR="00790ADA" w:rsidRPr="00FB3A86" w:rsidRDefault="00790ADA" w:rsidP="00441B6F">
      <w:pPr>
        <w:pStyle w:val="ConcHead"/>
        <w:spacing w:after="0"/>
        <w:jc w:val="both"/>
        <w:rPr>
          <w:rFonts w:ascii="Arial" w:hAnsi="Arial" w:cs="Arial"/>
        </w:rPr>
      </w:pPr>
    </w:p>
    <w:p w14:paraId="6D0C7863" w14:textId="046CA3C9" w:rsidR="00805A61" w:rsidRDefault="00805A61" w:rsidP="00805A61">
      <w:pPr>
        <w:pStyle w:val="Body"/>
        <w:rPr>
          <w:rFonts w:ascii="Arial" w:hAnsi="Arial" w:cs="Arial"/>
          <w:lang w:val="en-GB"/>
        </w:rPr>
      </w:pPr>
      <w:bookmarkStart w:id="7" w:name="_Hlk241226847"/>
      <w:r>
        <w:rPr>
          <w:rFonts w:ascii="Arial" w:hAnsi="Arial" w:cs="Arial"/>
          <w:lang w:val="en-GB"/>
        </w:rPr>
        <w:t>This study evaluated, under controlled greenhouse conditions in Daloa, Côte d’Ivoire, the ability of one commercial and two indigenous AMF inocula originating from cassava- and maize-associated rhizospheres to coloni</w:t>
      </w:r>
      <w:r>
        <w:rPr>
          <w:rFonts w:ascii="Arial" w:hAnsi="Arial" w:cs="Arial"/>
          <w:highlight w:val="yellow"/>
          <w:lang w:val="en-GB"/>
        </w:rPr>
        <w:t>s</w:t>
      </w:r>
      <w:r>
        <w:rPr>
          <w:rFonts w:ascii="Arial" w:hAnsi="Arial" w:cs="Arial"/>
          <w:lang w:val="en-GB"/>
        </w:rPr>
        <w:t xml:space="preserve">e the roots of </w:t>
      </w:r>
      <w:r>
        <w:rPr>
          <w:rFonts w:ascii="Arial" w:hAnsi="Arial" w:cs="Arial"/>
          <w:i/>
          <w:iCs/>
          <w:lang w:val="en-GB"/>
        </w:rPr>
        <w:t>Solanum aethiopicum</w:t>
      </w:r>
      <w:r>
        <w:rPr>
          <w:rFonts w:ascii="Arial" w:hAnsi="Arial" w:cs="Arial"/>
          <w:lang w:val="en-GB"/>
        </w:rPr>
        <w:t xml:space="preserve"> and enhance plant growth. The results showed that all three inocula established mycorrhizal associations with eggplant, with coloni</w:t>
      </w:r>
      <w:r>
        <w:rPr>
          <w:rFonts w:ascii="Arial" w:hAnsi="Arial" w:cs="Arial"/>
          <w:highlight w:val="yellow"/>
          <w:lang w:val="en-GB"/>
        </w:rPr>
        <w:t>s</w:t>
      </w:r>
      <w:r>
        <w:rPr>
          <w:rFonts w:ascii="Arial" w:hAnsi="Arial" w:cs="Arial"/>
          <w:lang w:val="en-GB"/>
        </w:rPr>
        <w:t>ation frequencies exceeding 50% in inoculated plants, whereas no mycorrhizal coloni</w:t>
      </w:r>
      <w:r>
        <w:rPr>
          <w:rFonts w:ascii="Arial" w:hAnsi="Arial" w:cs="Arial"/>
          <w:highlight w:val="yellow"/>
          <w:lang w:val="en-GB"/>
        </w:rPr>
        <w:t>s</w:t>
      </w:r>
      <w:r>
        <w:rPr>
          <w:rFonts w:ascii="Arial" w:hAnsi="Arial" w:cs="Arial"/>
          <w:lang w:val="en-GB"/>
        </w:rPr>
        <w:t>ation was detected in the non-inoculated control. However, coloni</w:t>
      </w:r>
      <w:r>
        <w:rPr>
          <w:rFonts w:ascii="Arial" w:hAnsi="Arial" w:cs="Arial"/>
          <w:highlight w:val="yellow"/>
          <w:lang w:val="en-GB"/>
        </w:rPr>
        <w:t>s</w:t>
      </w:r>
      <w:r>
        <w:rPr>
          <w:rFonts w:ascii="Arial" w:hAnsi="Arial" w:cs="Arial"/>
          <w:lang w:val="en-GB"/>
        </w:rPr>
        <w:t>ation intensity remained low, and no significant differences were observed among the commercial and indigenous inocula. The absence of a measurable agronomic response may have been related, at least partly, to the low intensity of root coloni</w:t>
      </w:r>
      <w:r>
        <w:rPr>
          <w:rFonts w:ascii="Arial" w:hAnsi="Arial" w:cs="Arial"/>
          <w:highlight w:val="yellow"/>
          <w:lang w:val="en-GB"/>
        </w:rPr>
        <w:t>s</w:t>
      </w:r>
      <w:r>
        <w:rPr>
          <w:rFonts w:ascii="Arial" w:hAnsi="Arial" w:cs="Arial"/>
          <w:lang w:val="en-GB"/>
        </w:rPr>
        <w:t>ation. In fact, r</w:t>
      </w:r>
      <w:r>
        <w:t>oot coloni</w:t>
      </w:r>
      <w:r>
        <w:rPr>
          <w:highlight w:val="yellow"/>
        </w:rPr>
        <w:t>s</w:t>
      </w:r>
      <w:r>
        <w:t>ation occurred, but the degree of intraradical fungal development was low and was not accompanied by detectable plant-growth promotion under the experimental conditions</w:t>
      </w:r>
      <w:r>
        <w:rPr>
          <w:rFonts w:ascii="Arial" w:hAnsi="Arial" w:cs="Arial"/>
          <w:lang w:val="en-GB"/>
        </w:rPr>
        <w:t>. The relatively short experimental period, regular irrigation under greenhouse conditions, and restricted root-zone volume may also have limited the development and functional expression of the mycorrhizal symbiosis.</w:t>
      </w:r>
      <w:r>
        <w:rPr>
          <w:rFonts w:ascii="Arial" w:hAnsi="Arial" w:cs="Arial"/>
          <w:highlight w:val="yellow"/>
          <w:lang w:val="en-GB"/>
        </w:rPr>
        <w:t xml:space="preserve"> </w:t>
      </w:r>
      <w:r>
        <w:rPr>
          <w:rFonts w:ascii="Arial" w:hAnsi="Arial" w:cs="Arial"/>
          <w:lang w:val="en-GB"/>
        </w:rPr>
        <w:t>Overall, the results indicate that the indigenous inocula evaluated in this study were capable of coloni</w:t>
      </w:r>
      <w:r>
        <w:rPr>
          <w:rFonts w:ascii="Arial" w:hAnsi="Arial" w:cs="Arial"/>
          <w:highlight w:val="yellow"/>
          <w:lang w:val="en-GB"/>
        </w:rPr>
        <w:t>s</w:t>
      </w:r>
      <w:r>
        <w:rPr>
          <w:rFonts w:ascii="Arial" w:hAnsi="Arial" w:cs="Arial"/>
          <w:lang w:val="en-GB"/>
        </w:rPr>
        <w:t xml:space="preserve">ing </w:t>
      </w:r>
      <w:r>
        <w:rPr>
          <w:rFonts w:ascii="Arial" w:hAnsi="Arial" w:cs="Arial"/>
          <w:i/>
          <w:iCs/>
          <w:lang w:val="en-GB"/>
        </w:rPr>
        <w:t>S. aethiopicum</w:t>
      </w:r>
      <w:r>
        <w:rPr>
          <w:rFonts w:ascii="Arial" w:hAnsi="Arial" w:cs="Arial"/>
          <w:lang w:val="en-GB"/>
        </w:rPr>
        <w:t xml:space="preserve"> roots at levels comparable to those achieved with the commercial inoculant. However, their agronomic potential cannot be established on the basis of root coloni</w:t>
      </w:r>
      <w:r>
        <w:rPr>
          <w:rFonts w:ascii="Arial" w:hAnsi="Arial" w:cs="Arial"/>
          <w:highlight w:val="yellow"/>
          <w:lang w:val="en-GB"/>
        </w:rPr>
        <w:t>s</w:t>
      </w:r>
      <w:r>
        <w:rPr>
          <w:rFonts w:ascii="Arial" w:hAnsi="Arial" w:cs="Arial"/>
          <w:lang w:val="en-GB"/>
        </w:rPr>
        <w:t>ation under the conditions tested. The findings therefore highlight the importance of considering both the establishment of mycorrhizal symbiosis and its functional expression in the host plant when evaluating AMF inocula.</w:t>
      </w:r>
      <w:r w:rsidR="00A4316B">
        <w:rPr>
          <w:rFonts w:ascii="Arial" w:hAnsi="Arial" w:cs="Arial"/>
          <w:lang w:val="en-GB"/>
        </w:rPr>
        <w:t xml:space="preserve"> </w:t>
      </w:r>
    </w:p>
    <w:p w14:paraId="1D46D84A" w14:textId="77777777" w:rsidR="00A4316B" w:rsidRDefault="00A4316B" w:rsidP="00805A61">
      <w:pPr>
        <w:pStyle w:val="Body"/>
        <w:rPr>
          <w:rFonts w:ascii="Arial" w:hAnsi="Arial" w:cs="Arial"/>
          <w:lang w:val="en-GB"/>
        </w:rPr>
      </w:pPr>
    </w:p>
    <w:p w14:paraId="500326F6" w14:textId="4E5E1456" w:rsidR="00A4316B" w:rsidRPr="00A4316B" w:rsidRDefault="00A4316B" w:rsidP="00A4316B">
      <w:pPr>
        <w:spacing w:before="100" w:beforeAutospacing="1" w:after="100" w:afterAutospacing="1"/>
        <w:outlineLvl w:val="2"/>
        <w:rPr>
          <w:rFonts w:ascii="Times New Roman" w:hAnsi="Times New Roman"/>
          <w:b/>
          <w:bCs/>
          <w:sz w:val="27"/>
          <w:szCs w:val="27"/>
        </w:rPr>
      </w:pPr>
      <w:r w:rsidRPr="00A4316B">
        <w:rPr>
          <w:rFonts w:ascii="Times New Roman" w:hAnsi="Times New Roman"/>
          <w:b/>
          <w:bCs/>
          <w:sz w:val="27"/>
          <w:szCs w:val="27"/>
        </w:rPr>
        <w:t>Limitations</w:t>
      </w:r>
    </w:p>
    <w:p w14:paraId="23FA7BB1" w14:textId="2EA62DF7" w:rsidR="00A4316B" w:rsidRPr="00A4316B" w:rsidRDefault="00A4316B" w:rsidP="00A4316B">
      <w:pPr>
        <w:spacing w:before="100" w:beforeAutospacing="1" w:after="100" w:afterAutospacing="1"/>
        <w:rPr>
          <w:rFonts w:ascii="Times New Roman" w:hAnsi="Times New Roman"/>
          <w:sz w:val="24"/>
          <w:szCs w:val="24"/>
        </w:rPr>
      </w:pPr>
      <w:r w:rsidRPr="00A4316B">
        <w:rPr>
          <w:rFonts w:ascii="Times New Roman" w:hAnsi="Times New Roman"/>
          <w:sz w:val="24"/>
          <w:szCs w:val="24"/>
        </w:rPr>
        <w:t>The experiment was conducted for 60 days under greenhouse conditions with regular irrigation and a restricted 3-L root-zone volume. Root colonisation was assessed at a single time point, 40 days after transplanting, and colonisation intensity remained low. In addition, the indigenous and commercial inocula differed substantially in counted spore dose and inoculum composition. These factors limit direct interpretation of inoculum performance and the extent to which the observed responses can be generalised to longer-term or field conditions.</w:t>
      </w:r>
      <w:r>
        <w:rPr>
          <w:rFonts w:ascii="Times New Roman" w:hAnsi="Times New Roman"/>
          <w:sz w:val="24"/>
          <w:szCs w:val="24"/>
        </w:rPr>
        <w:t xml:space="preserve">  </w:t>
      </w:r>
    </w:p>
    <w:p w14:paraId="349DA6FC" w14:textId="44D3F19C" w:rsidR="00A4316B" w:rsidRPr="003A7C92" w:rsidRDefault="00A4316B" w:rsidP="00805A61">
      <w:pPr>
        <w:pStyle w:val="Body"/>
        <w:rPr>
          <w:rFonts w:ascii="Arial" w:hAnsi="Arial" w:cs="Arial"/>
          <w:lang w:val="en-GB"/>
        </w:rPr>
      </w:pPr>
    </w:p>
    <w:bookmarkEnd w:id="7"/>
    <w:p w14:paraId="1273537F"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lastRenderedPageBreak/>
        <w:t>Competing interests</w:t>
      </w:r>
    </w:p>
    <w:p w14:paraId="6D56E768" w14:textId="77777777" w:rsidR="00860000" w:rsidRPr="00786D36" w:rsidRDefault="00860000" w:rsidP="00441B6F">
      <w:pPr>
        <w:pStyle w:val="ReferHead"/>
        <w:spacing w:after="0"/>
        <w:jc w:val="both"/>
        <w:rPr>
          <w:rFonts w:ascii="Arial" w:hAnsi="Arial" w:cs="Arial"/>
        </w:rPr>
      </w:pPr>
    </w:p>
    <w:p w14:paraId="39F86A6E" w14:textId="77777777" w:rsidR="00371FB6" w:rsidRDefault="00360A1F" w:rsidP="00441B6F">
      <w:pPr>
        <w:pStyle w:val="ReferHead"/>
        <w:spacing w:after="0"/>
        <w:jc w:val="both"/>
        <w:rPr>
          <w:rFonts w:ascii="Arial" w:hAnsi="Arial" w:cs="Arial"/>
          <w:b w:val="0"/>
          <w:caps w:val="0"/>
          <w:sz w:val="20"/>
        </w:rPr>
      </w:pPr>
      <w:r w:rsidRPr="00360A1F">
        <w:rPr>
          <w:rFonts w:ascii="Arial" w:hAnsi="Arial" w:cs="Arial"/>
          <w:b w:val="0"/>
          <w:caps w:val="0"/>
          <w:sz w:val="20"/>
        </w:rPr>
        <w:t>Authors have declared that no competing interests exist.</w:t>
      </w:r>
    </w:p>
    <w:p w14:paraId="0A17DC4D" w14:textId="77777777" w:rsidR="00360A1F" w:rsidRDefault="00360A1F" w:rsidP="00441B6F">
      <w:pPr>
        <w:pStyle w:val="ReferHead"/>
        <w:spacing w:after="0"/>
        <w:jc w:val="both"/>
        <w:rPr>
          <w:rFonts w:ascii="Arial" w:hAnsi="Arial" w:cs="Arial"/>
          <w:b w:val="0"/>
          <w:caps w:val="0"/>
          <w:sz w:val="20"/>
        </w:rPr>
      </w:pPr>
    </w:p>
    <w:p w14:paraId="506B1D62" w14:textId="77777777" w:rsidR="002B685A" w:rsidRDefault="002B685A" w:rsidP="00441B6F">
      <w:pPr>
        <w:pStyle w:val="ReferHead"/>
        <w:spacing w:after="0"/>
        <w:jc w:val="both"/>
        <w:rPr>
          <w:rFonts w:ascii="Arial" w:hAnsi="Arial" w:cs="Arial"/>
          <w:b w:val="0"/>
          <w:caps w:val="0"/>
          <w:sz w:val="20"/>
        </w:rPr>
      </w:pPr>
    </w:p>
    <w:p w14:paraId="38532745" w14:textId="77777777" w:rsidR="005B1851" w:rsidRPr="00805A61" w:rsidRDefault="005B1851" w:rsidP="00805A61">
      <w:pPr>
        <w:pStyle w:val="ReferHead"/>
        <w:spacing w:after="0"/>
        <w:jc w:val="both"/>
        <w:rPr>
          <w:rFonts w:ascii="Arial" w:hAnsi="Arial" w:cs="Arial"/>
          <w:bCs/>
        </w:rPr>
      </w:pPr>
      <w:r w:rsidRPr="00805A61">
        <w:rPr>
          <w:rFonts w:ascii="Arial" w:hAnsi="Arial" w:cs="Arial"/>
          <w:bCs/>
        </w:rPr>
        <w:t>Declaration of AI Use</w:t>
      </w:r>
    </w:p>
    <w:p w14:paraId="691666C5" w14:textId="77777777" w:rsidR="005B1851" w:rsidRDefault="005B1851" w:rsidP="005B1851">
      <w:pPr>
        <w:rPr>
          <w:rFonts w:ascii="Times New Roman" w:hAnsi="Times New Roman"/>
          <w:b/>
        </w:rPr>
      </w:pPr>
    </w:p>
    <w:p w14:paraId="1B717234" w14:textId="77777777" w:rsidR="005B1851" w:rsidRDefault="005B1851" w:rsidP="005B1851">
      <w:pPr>
        <w:rPr>
          <w:rFonts w:ascii="Times New Roman" w:hAnsi="Times New Roman"/>
          <w:b/>
        </w:rPr>
      </w:pPr>
    </w:p>
    <w:p w14:paraId="6A36F82D" w14:textId="77777777" w:rsidR="005B1851" w:rsidRPr="002D08AC" w:rsidRDefault="005B1851" w:rsidP="005B185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9DBB488" w14:textId="77777777" w:rsidR="005B1851" w:rsidRDefault="005B1851" w:rsidP="00441B6F">
      <w:pPr>
        <w:pStyle w:val="ReferHead"/>
        <w:spacing w:after="0"/>
        <w:jc w:val="both"/>
        <w:rPr>
          <w:rFonts w:ascii="Arial" w:hAnsi="Arial" w:cs="Arial"/>
          <w:b w:val="0"/>
          <w:caps w:val="0"/>
          <w:sz w:val="20"/>
        </w:rPr>
      </w:pPr>
    </w:p>
    <w:p w14:paraId="5CA9AB9B" w14:textId="77777777" w:rsidR="00860000" w:rsidRDefault="00860000" w:rsidP="00441B6F">
      <w:pPr>
        <w:pStyle w:val="ReferHead"/>
        <w:spacing w:after="0"/>
        <w:jc w:val="both"/>
        <w:rPr>
          <w:rFonts w:ascii="Arial" w:hAnsi="Arial" w:cs="Arial"/>
        </w:rPr>
      </w:pPr>
    </w:p>
    <w:p w14:paraId="74295038"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6FF7584C" w14:textId="77777777" w:rsidR="00790ADA" w:rsidRPr="00FB3A86" w:rsidRDefault="00790ADA" w:rsidP="00441B6F">
      <w:pPr>
        <w:pStyle w:val="ReferHead"/>
        <w:spacing w:after="0"/>
        <w:jc w:val="both"/>
        <w:rPr>
          <w:rFonts w:ascii="Arial" w:hAnsi="Arial" w:cs="Arial"/>
        </w:rPr>
      </w:pPr>
    </w:p>
    <w:p w14:paraId="73D5A567" w14:textId="27CE2F61"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Basiru, S., &amp; Hijri, M. (2022). The potential applications of commercial arbuscular mycorrhizal fungal inoculants and their ecological consequences. </w:t>
      </w:r>
      <w:r w:rsidRPr="00BC37FC">
        <w:rPr>
          <w:rFonts w:ascii="Times New Roman" w:hAnsi="Times New Roman"/>
          <w:i/>
          <w:iCs/>
          <w:sz w:val="24"/>
          <w:szCs w:val="24"/>
        </w:rPr>
        <w:t>Microorganisms, 10</w:t>
      </w:r>
      <w:r w:rsidRPr="00BC37FC">
        <w:rPr>
          <w:rFonts w:ascii="Times New Roman" w:hAnsi="Times New Roman"/>
          <w:sz w:val="24"/>
          <w:szCs w:val="24"/>
        </w:rPr>
        <w:t xml:space="preserve">(10), 1897. </w:t>
      </w:r>
      <w:hyperlink r:id="rId20" w:history="1">
        <w:r w:rsidRPr="00BC37FC">
          <w:rPr>
            <w:rFonts w:ascii="Times New Roman" w:hAnsi="Times New Roman"/>
            <w:color w:val="0000FF"/>
            <w:sz w:val="24"/>
            <w:szCs w:val="24"/>
            <w:u w:val="single"/>
          </w:rPr>
          <w:t>https://doi.org/10.3390/microorganisms10101897</w:t>
        </w:r>
      </w:hyperlink>
    </w:p>
    <w:p w14:paraId="66376471" w14:textId="2BFC6D2A"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Berruti, A., Lumini, E., Balestrini, R., &amp; Bianciotto, V. (2016). Arbuscular mycorrhizal fungi as natural biofertilizers: Let’s benefit from past successes. </w:t>
      </w:r>
      <w:r w:rsidRPr="00BC37FC">
        <w:rPr>
          <w:rFonts w:ascii="Times New Roman" w:hAnsi="Times New Roman"/>
          <w:i/>
          <w:iCs/>
          <w:sz w:val="24"/>
          <w:szCs w:val="24"/>
        </w:rPr>
        <w:t>Frontiers in Microbiology, 6</w:t>
      </w:r>
      <w:r w:rsidRPr="00BC37FC">
        <w:rPr>
          <w:rFonts w:ascii="Times New Roman" w:hAnsi="Times New Roman"/>
          <w:sz w:val="24"/>
          <w:szCs w:val="24"/>
        </w:rPr>
        <w:t xml:space="preserve">, 1559. </w:t>
      </w:r>
      <w:hyperlink r:id="rId21" w:history="1">
        <w:r w:rsidRPr="00BC37FC">
          <w:rPr>
            <w:rFonts w:ascii="Times New Roman" w:hAnsi="Times New Roman"/>
            <w:color w:val="0000FF"/>
            <w:sz w:val="24"/>
            <w:szCs w:val="24"/>
            <w:u w:val="single"/>
          </w:rPr>
          <w:t>https://doi.org/10.3389/fmicb.2015.01559</w:t>
        </w:r>
      </w:hyperlink>
    </w:p>
    <w:p w14:paraId="76151EFC" w14:textId="0DF49E55"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Bolou-Bi, E. B., Chérif, M., Gnimassoun, E.-G. K., &amp; Adjalla, L. A. (2023). Effect of vermicompost associated with mycorhizal fungi on the growth of eggplant in organic greenhouse agriculture. </w:t>
      </w:r>
      <w:r w:rsidRPr="00BC37FC">
        <w:rPr>
          <w:rFonts w:ascii="Times New Roman" w:hAnsi="Times New Roman"/>
          <w:i/>
          <w:iCs/>
          <w:sz w:val="24"/>
          <w:szCs w:val="24"/>
        </w:rPr>
        <w:t>Tropical and Subtropical Agroecosystems, 26</w:t>
      </w:r>
      <w:r w:rsidRPr="00BC37FC">
        <w:rPr>
          <w:rFonts w:ascii="Times New Roman" w:hAnsi="Times New Roman"/>
          <w:sz w:val="24"/>
          <w:szCs w:val="24"/>
        </w:rPr>
        <w:t xml:space="preserve">(1), Article 007. </w:t>
      </w:r>
      <w:hyperlink r:id="rId22" w:history="1">
        <w:r w:rsidRPr="00BC37FC">
          <w:rPr>
            <w:rFonts w:ascii="Times New Roman" w:hAnsi="Times New Roman"/>
            <w:color w:val="0000FF"/>
            <w:sz w:val="24"/>
            <w:szCs w:val="24"/>
            <w:u w:val="single"/>
          </w:rPr>
          <w:t>https://doi.org/10.56369/tsaes.4180</w:t>
        </w:r>
      </w:hyperlink>
    </w:p>
    <w:p w14:paraId="2352A4E2" w14:textId="7C6ACD96"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Chandrasekaran, M. (2022). Arbuscular mycorrhizal fungi mediated enhanced biomass, root morphological traits and nutrient uptake under drought stress: A meta-analysis. </w:t>
      </w:r>
      <w:r w:rsidRPr="00BC37FC">
        <w:rPr>
          <w:rFonts w:ascii="Times New Roman" w:hAnsi="Times New Roman"/>
          <w:i/>
          <w:iCs/>
          <w:sz w:val="24"/>
          <w:szCs w:val="24"/>
        </w:rPr>
        <w:t>Journal of Fungi, 8</w:t>
      </w:r>
      <w:r w:rsidRPr="00BC37FC">
        <w:rPr>
          <w:rFonts w:ascii="Times New Roman" w:hAnsi="Times New Roman"/>
          <w:sz w:val="24"/>
          <w:szCs w:val="24"/>
        </w:rPr>
        <w:t xml:space="preserve">(7), 660. </w:t>
      </w:r>
      <w:hyperlink r:id="rId23" w:history="1">
        <w:r w:rsidRPr="00BC37FC">
          <w:rPr>
            <w:rFonts w:ascii="Times New Roman" w:hAnsi="Times New Roman"/>
            <w:color w:val="0000FF"/>
            <w:sz w:val="24"/>
            <w:szCs w:val="24"/>
            <w:u w:val="single"/>
          </w:rPr>
          <w:t>https://doi.org/10.3390/jof8070660</w:t>
        </w:r>
      </w:hyperlink>
    </w:p>
    <w:p w14:paraId="348C24FB" w14:textId="285DE1DD"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Choi, S. M., &amp; Choi, C.-I. (2024). Nutritional composition, phytochemical profiles, and pharmacological effects of Ethiopian eggplant (</w:t>
      </w:r>
      <w:r w:rsidRPr="00BC37FC">
        <w:rPr>
          <w:rFonts w:ascii="Times New Roman" w:hAnsi="Times New Roman"/>
          <w:i/>
          <w:iCs/>
          <w:sz w:val="24"/>
          <w:szCs w:val="24"/>
        </w:rPr>
        <w:t>Solanum aethiopicum</w:t>
      </w:r>
      <w:r w:rsidRPr="00BC37FC">
        <w:rPr>
          <w:rFonts w:ascii="Times New Roman" w:hAnsi="Times New Roman"/>
          <w:sz w:val="24"/>
          <w:szCs w:val="24"/>
        </w:rPr>
        <w:t xml:space="preserve"> L.). </w:t>
      </w:r>
      <w:r w:rsidRPr="00BC37FC">
        <w:rPr>
          <w:rFonts w:ascii="Times New Roman" w:hAnsi="Times New Roman"/>
          <w:i/>
          <w:iCs/>
          <w:sz w:val="24"/>
          <w:szCs w:val="24"/>
        </w:rPr>
        <w:t>Nutrients, 16</w:t>
      </w:r>
      <w:r w:rsidRPr="00BC37FC">
        <w:rPr>
          <w:rFonts w:ascii="Times New Roman" w:hAnsi="Times New Roman"/>
          <w:sz w:val="24"/>
          <w:szCs w:val="24"/>
        </w:rPr>
        <w:t xml:space="preserve">(23), 4228. </w:t>
      </w:r>
      <w:hyperlink r:id="rId24" w:history="1">
        <w:r w:rsidRPr="00BC37FC">
          <w:rPr>
            <w:rFonts w:ascii="Times New Roman" w:hAnsi="Times New Roman"/>
            <w:color w:val="0000FF"/>
            <w:sz w:val="24"/>
            <w:szCs w:val="24"/>
            <w:u w:val="single"/>
          </w:rPr>
          <w:t>https://doi.org/10.3390/nu16234228</w:t>
        </w:r>
      </w:hyperlink>
    </w:p>
    <w:p w14:paraId="7F737178" w14:textId="34AEA431"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Corona Ramírez, A., Symanczik, S., Gallusser, T., &amp; Bodenhausen, N. (2023). Quantification of arbuscular mycorrhizal fungi root colonization in wheat, tomato, and leek using absolute qPCR. </w:t>
      </w:r>
      <w:r w:rsidRPr="00BC37FC">
        <w:rPr>
          <w:rFonts w:ascii="Times New Roman" w:hAnsi="Times New Roman"/>
          <w:i/>
          <w:iCs/>
          <w:sz w:val="24"/>
          <w:szCs w:val="24"/>
        </w:rPr>
        <w:t>Mycorrhiza, 33</w:t>
      </w:r>
      <w:r w:rsidRPr="00BC37FC">
        <w:rPr>
          <w:rFonts w:ascii="Times New Roman" w:hAnsi="Times New Roman"/>
          <w:sz w:val="24"/>
          <w:szCs w:val="24"/>
        </w:rPr>
        <w:t xml:space="preserve">(5–6), 387–397. </w:t>
      </w:r>
      <w:hyperlink r:id="rId25" w:history="1">
        <w:r w:rsidRPr="00BC37FC">
          <w:rPr>
            <w:rFonts w:ascii="Times New Roman" w:hAnsi="Times New Roman"/>
            <w:color w:val="0000FF"/>
            <w:sz w:val="24"/>
            <w:szCs w:val="24"/>
            <w:u w:val="single"/>
          </w:rPr>
          <w:t>https://doi.org/10.1007/s00572-023-01122-8</w:t>
        </w:r>
      </w:hyperlink>
    </w:p>
    <w:p w14:paraId="0AD502F5" w14:textId="2ADDBB87"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lang w:val="nl-BE"/>
        </w:rPr>
        <w:lastRenderedPageBreak/>
        <w:t xml:space="preserve">Djidji, A. H., &amp; Fondio, L. (2013). </w:t>
      </w:r>
      <w:r w:rsidRPr="00BC37FC">
        <w:rPr>
          <w:rFonts w:ascii="Times New Roman" w:hAnsi="Times New Roman"/>
          <w:i/>
          <w:iCs/>
          <w:sz w:val="24"/>
          <w:szCs w:val="24"/>
          <w:lang w:val="nl-BE"/>
        </w:rPr>
        <w:t>Bien cultiver l’aubergine en Côte d’Ivoire</w:t>
      </w:r>
      <w:r w:rsidRPr="00BC37FC">
        <w:rPr>
          <w:rFonts w:ascii="Times New Roman" w:hAnsi="Times New Roman"/>
          <w:sz w:val="24"/>
          <w:szCs w:val="24"/>
          <w:lang w:val="nl-BE"/>
        </w:rPr>
        <w:t xml:space="preserve"> [Fiche technique]. Centre National de Recherche Agronomique. </w:t>
      </w:r>
      <w:hyperlink r:id="rId26" w:history="1">
        <w:r w:rsidRPr="00BC37FC">
          <w:rPr>
            <w:rFonts w:ascii="Times New Roman" w:hAnsi="Times New Roman"/>
            <w:color w:val="0000FF"/>
            <w:sz w:val="24"/>
            <w:szCs w:val="24"/>
            <w:u w:val="single"/>
          </w:rPr>
          <w:t>https://cnra.ci/download/bien-cultiver-laubergine-en-cote-divoire/</w:t>
        </w:r>
      </w:hyperlink>
    </w:p>
    <w:p w14:paraId="28DF15F2" w14:textId="176FE7B6"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Gayathry, G., Natarajan, K., Jayalakshmi, T., Vinu Radha, R., Sugumaran, M. P., Sunitha, R., &amp; Kumutha, K. (2024). Mycorrhizae: A rhizolive symbiotic fungi in organic agriculture. </w:t>
      </w:r>
      <w:r w:rsidRPr="00BC37FC">
        <w:rPr>
          <w:rFonts w:ascii="Times New Roman" w:hAnsi="Times New Roman"/>
          <w:i/>
          <w:iCs/>
          <w:sz w:val="24"/>
          <w:szCs w:val="24"/>
        </w:rPr>
        <w:t>Archives of Current Research International, 24</w:t>
      </w:r>
      <w:r w:rsidRPr="00BC37FC">
        <w:rPr>
          <w:rFonts w:ascii="Times New Roman" w:hAnsi="Times New Roman"/>
          <w:sz w:val="24"/>
          <w:szCs w:val="24"/>
        </w:rPr>
        <w:t xml:space="preserve">(9), 183–193. </w:t>
      </w:r>
      <w:hyperlink r:id="rId27" w:history="1">
        <w:r w:rsidRPr="00BC37FC">
          <w:rPr>
            <w:rFonts w:ascii="Times New Roman" w:hAnsi="Times New Roman"/>
            <w:color w:val="0000FF"/>
            <w:sz w:val="24"/>
            <w:szCs w:val="24"/>
            <w:u w:val="single"/>
          </w:rPr>
          <w:t>https://doi.org/10.9734/acri/2024/v24i9881</w:t>
        </w:r>
      </w:hyperlink>
    </w:p>
    <w:p w14:paraId="1159AD73" w14:textId="3B18F767"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lang w:val="nl-BE"/>
        </w:rPr>
        <w:t xml:space="preserve">Gebreslassie, S., Jida, M., Puente, M. L., Covacevich, F., &amp; Belay, Z. (2024). </w:t>
      </w:r>
      <w:r w:rsidRPr="00BC37FC">
        <w:rPr>
          <w:rFonts w:ascii="Times New Roman" w:hAnsi="Times New Roman"/>
          <w:sz w:val="24"/>
          <w:szCs w:val="24"/>
        </w:rPr>
        <w:t xml:space="preserve">Inoculation of native arbuscular mycorrhizae and </w:t>
      </w:r>
      <w:r w:rsidRPr="00BC37FC">
        <w:rPr>
          <w:rFonts w:ascii="Times New Roman" w:hAnsi="Times New Roman"/>
          <w:i/>
          <w:iCs/>
          <w:sz w:val="24"/>
          <w:szCs w:val="24"/>
        </w:rPr>
        <w:t>Bacillus subtilis</w:t>
      </w:r>
      <w:r w:rsidRPr="00BC37FC">
        <w:rPr>
          <w:rFonts w:ascii="Times New Roman" w:hAnsi="Times New Roman"/>
          <w:sz w:val="24"/>
          <w:szCs w:val="24"/>
        </w:rPr>
        <w:t xml:space="preserve"> can improve growth in vegetable crops. </w:t>
      </w:r>
      <w:r w:rsidRPr="00BC37FC">
        <w:rPr>
          <w:rFonts w:ascii="Times New Roman" w:hAnsi="Times New Roman"/>
          <w:i/>
          <w:iCs/>
          <w:sz w:val="24"/>
          <w:szCs w:val="24"/>
        </w:rPr>
        <w:t>International Journal of Microbiology, 2024</w:t>
      </w:r>
      <w:r w:rsidRPr="00BC37FC">
        <w:rPr>
          <w:rFonts w:ascii="Times New Roman" w:hAnsi="Times New Roman"/>
          <w:sz w:val="24"/>
          <w:szCs w:val="24"/>
        </w:rPr>
        <w:t xml:space="preserve">, 9226715. </w:t>
      </w:r>
      <w:hyperlink r:id="rId28" w:history="1">
        <w:r w:rsidRPr="00BC37FC">
          <w:rPr>
            <w:rFonts w:ascii="Times New Roman" w:hAnsi="Times New Roman"/>
            <w:color w:val="0000FF"/>
            <w:sz w:val="24"/>
            <w:szCs w:val="24"/>
            <w:u w:val="single"/>
          </w:rPr>
          <w:t>https://doi.org/10.1155/2024/9226715</w:t>
        </w:r>
      </w:hyperlink>
    </w:p>
    <w:p w14:paraId="385FC1A9" w14:textId="47D7EC6E"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Kasharu, A. K., Kizito, E. B., Masanza, M., Jjagwe, J., &amp; Namutebi, A. (2019). Quantifying physical and economic losses of African indigenous vegetable </w:t>
      </w:r>
      <w:r w:rsidRPr="00BC37FC">
        <w:rPr>
          <w:rFonts w:ascii="Times New Roman" w:hAnsi="Times New Roman"/>
          <w:i/>
          <w:iCs/>
          <w:sz w:val="24"/>
          <w:szCs w:val="24"/>
        </w:rPr>
        <w:t>Solanum aethiopicum</w:t>
      </w:r>
      <w:r w:rsidRPr="00BC37FC">
        <w:rPr>
          <w:rFonts w:ascii="Times New Roman" w:hAnsi="Times New Roman"/>
          <w:sz w:val="24"/>
          <w:szCs w:val="24"/>
        </w:rPr>
        <w:t xml:space="preserve"> along the commercial supply value chain. </w:t>
      </w:r>
      <w:r w:rsidRPr="00BC37FC">
        <w:rPr>
          <w:rFonts w:ascii="Times New Roman" w:hAnsi="Times New Roman"/>
          <w:i/>
          <w:iCs/>
          <w:sz w:val="24"/>
          <w:szCs w:val="24"/>
        </w:rPr>
        <w:t>Journal of Economics and Sustainable Development, 10</w:t>
      </w:r>
      <w:r w:rsidRPr="00BC37FC">
        <w:rPr>
          <w:rFonts w:ascii="Times New Roman" w:hAnsi="Times New Roman"/>
          <w:sz w:val="24"/>
          <w:szCs w:val="24"/>
        </w:rPr>
        <w:t xml:space="preserve">(2), 67–77. </w:t>
      </w:r>
      <w:hyperlink r:id="rId29" w:history="1">
        <w:r w:rsidRPr="00BC37FC">
          <w:rPr>
            <w:rFonts w:ascii="Times New Roman" w:hAnsi="Times New Roman"/>
            <w:color w:val="0000FF"/>
            <w:sz w:val="24"/>
            <w:szCs w:val="24"/>
            <w:u w:val="single"/>
          </w:rPr>
          <w:t>https://doi.org/10.7176/JESD/10-2-08</w:t>
        </w:r>
      </w:hyperlink>
    </w:p>
    <w:p w14:paraId="4C9542AA" w14:textId="419612C6"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Kouadio, A. N. M.-S., Nandjui, J., Krou, S. M., Séry, D. J.-M., Nelson, P. N., &amp; Zézé, A. (2017). A native arbuscular mycorrhizal fungus inoculant outcompetes an exotic commercial species under two contrasting yam field conditions. </w:t>
      </w:r>
      <w:r w:rsidRPr="00BC37FC">
        <w:rPr>
          <w:rFonts w:ascii="Times New Roman" w:hAnsi="Times New Roman"/>
          <w:i/>
          <w:iCs/>
          <w:sz w:val="24"/>
          <w:szCs w:val="24"/>
        </w:rPr>
        <w:t>Rhizosphere, 4</w:t>
      </w:r>
      <w:r w:rsidRPr="00BC37FC">
        <w:rPr>
          <w:rFonts w:ascii="Times New Roman" w:hAnsi="Times New Roman"/>
          <w:sz w:val="24"/>
          <w:szCs w:val="24"/>
        </w:rPr>
        <w:t xml:space="preserve">, 112–118. </w:t>
      </w:r>
      <w:hyperlink r:id="rId30" w:history="1">
        <w:r w:rsidRPr="00BC37FC">
          <w:rPr>
            <w:rFonts w:ascii="Times New Roman" w:hAnsi="Times New Roman"/>
            <w:color w:val="0000FF"/>
            <w:sz w:val="24"/>
            <w:szCs w:val="24"/>
            <w:u w:val="single"/>
          </w:rPr>
          <w:t>https://doi.org/10.1016/j.rhisph.2017.10.001</w:t>
        </w:r>
      </w:hyperlink>
    </w:p>
    <w:p w14:paraId="152B5E89" w14:textId="355B1577"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Kurunç, A., &amp; Ünlükara, A. (2009). Growth, yield, and water use of okra (</w:t>
      </w:r>
      <w:r w:rsidRPr="00BC37FC">
        <w:rPr>
          <w:rFonts w:ascii="Times New Roman" w:hAnsi="Times New Roman"/>
          <w:i/>
          <w:iCs/>
          <w:sz w:val="24"/>
          <w:szCs w:val="24"/>
        </w:rPr>
        <w:t>Abelmoschus esculentus</w:t>
      </w:r>
      <w:r w:rsidRPr="00BC37FC">
        <w:rPr>
          <w:rFonts w:ascii="Times New Roman" w:hAnsi="Times New Roman"/>
          <w:sz w:val="24"/>
          <w:szCs w:val="24"/>
        </w:rPr>
        <w:t>) and eggplant (</w:t>
      </w:r>
      <w:r w:rsidRPr="00BC37FC">
        <w:rPr>
          <w:rFonts w:ascii="Times New Roman" w:hAnsi="Times New Roman"/>
          <w:i/>
          <w:iCs/>
          <w:sz w:val="24"/>
          <w:szCs w:val="24"/>
        </w:rPr>
        <w:t>Solanum melongena</w:t>
      </w:r>
      <w:r w:rsidRPr="00BC37FC">
        <w:rPr>
          <w:rFonts w:ascii="Times New Roman" w:hAnsi="Times New Roman"/>
          <w:sz w:val="24"/>
          <w:szCs w:val="24"/>
        </w:rPr>
        <w:t xml:space="preserve">) as influenced by rooting volume. </w:t>
      </w:r>
      <w:r w:rsidRPr="00BC37FC">
        <w:rPr>
          <w:rFonts w:ascii="Times New Roman" w:hAnsi="Times New Roman"/>
          <w:i/>
          <w:iCs/>
          <w:sz w:val="24"/>
          <w:szCs w:val="24"/>
        </w:rPr>
        <w:t>New Zealand Journal of Crop and Horticultural Science, 37</w:t>
      </w:r>
      <w:r w:rsidRPr="00BC37FC">
        <w:rPr>
          <w:rFonts w:ascii="Times New Roman" w:hAnsi="Times New Roman"/>
          <w:sz w:val="24"/>
          <w:szCs w:val="24"/>
        </w:rPr>
        <w:t xml:space="preserve">(3), 201–210. </w:t>
      </w:r>
      <w:hyperlink r:id="rId31" w:history="1">
        <w:r w:rsidRPr="00BC37FC">
          <w:rPr>
            <w:rFonts w:ascii="Times New Roman" w:hAnsi="Times New Roman"/>
            <w:color w:val="0000FF"/>
            <w:sz w:val="24"/>
            <w:szCs w:val="24"/>
            <w:u w:val="single"/>
          </w:rPr>
          <w:t>https://doi.org/10.1080/01140670909510265</w:t>
        </w:r>
      </w:hyperlink>
    </w:p>
    <w:p w14:paraId="3BD65B07" w14:textId="0253406A"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Li, X., Wu, Y., Huang, C., Rahman, M. A., Argaman, E., &amp; Xiao, Y. (2025). Inoculation with arbuscular mycorrhizal fungi in the field promotes plant colonization rate and yield. </w:t>
      </w:r>
      <w:r w:rsidRPr="00BC37FC">
        <w:rPr>
          <w:rFonts w:ascii="Times New Roman" w:hAnsi="Times New Roman"/>
          <w:i/>
          <w:iCs/>
          <w:sz w:val="24"/>
          <w:szCs w:val="24"/>
        </w:rPr>
        <w:t>European Journal of Agronomy, 164</w:t>
      </w:r>
      <w:r w:rsidRPr="00BC37FC">
        <w:rPr>
          <w:rFonts w:ascii="Times New Roman" w:hAnsi="Times New Roman"/>
          <w:sz w:val="24"/>
          <w:szCs w:val="24"/>
        </w:rPr>
        <w:t xml:space="preserve">, 127503. </w:t>
      </w:r>
      <w:hyperlink r:id="rId32" w:history="1">
        <w:r w:rsidRPr="00BC37FC">
          <w:rPr>
            <w:rFonts w:ascii="Times New Roman" w:hAnsi="Times New Roman"/>
            <w:color w:val="0000FF"/>
            <w:sz w:val="24"/>
            <w:szCs w:val="24"/>
            <w:u w:val="single"/>
          </w:rPr>
          <w:t>https://doi.org/10.1016/j.eja.2024.127503</w:t>
        </w:r>
      </w:hyperlink>
    </w:p>
    <w:p w14:paraId="296EEA4B" w14:textId="4EDACF3D"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Marrassini, V., Ercoli, L., Piazza, G., &amp; Pellegrino, E. (2024). Plant genotype and inoculation with indigenous arbuscular mycorrhizal (AM) fungi modulate wheat productivity and quality of processed products through changes in the frequency of root AM fungal taxa. </w:t>
      </w:r>
      <w:r w:rsidRPr="00BC37FC">
        <w:rPr>
          <w:rFonts w:ascii="Times New Roman" w:hAnsi="Times New Roman"/>
          <w:i/>
          <w:iCs/>
          <w:sz w:val="24"/>
          <w:szCs w:val="24"/>
        </w:rPr>
        <w:t>Field Crops Research, 315</w:t>
      </w:r>
      <w:r w:rsidRPr="00BC37FC">
        <w:rPr>
          <w:rFonts w:ascii="Times New Roman" w:hAnsi="Times New Roman"/>
          <w:sz w:val="24"/>
          <w:szCs w:val="24"/>
        </w:rPr>
        <w:t xml:space="preserve">, 109456. </w:t>
      </w:r>
      <w:hyperlink r:id="rId33" w:history="1">
        <w:r w:rsidRPr="00BC37FC">
          <w:rPr>
            <w:rFonts w:ascii="Times New Roman" w:hAnsi="Times New Roman"/>
            <w:color w:val="0000FF"/>
            <w:sz w:val="24"/>
            <w:szCs w:val="24"/>
            <w:u w:val="single"/>
          </w:rPr>
          <w:t>https://doi.org/10.1016/j.fcr.2024.109456</w:t>
        </w:r>
      </w:hyperlink>
    </w:p>
    <w:p w14:paraId="1F1F156A" w14:textId="3B4D41DC"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Mvungi, H.-H. A., Wanyama, R., Dinssa, F. F., Ngoteya, G., Sigalla, J., Minja, R., Bishop, G., &amp; Schreinemachers, P. (2025). Production of African eggplant in </w:t>
      </w:r>
      <w:r w:rsidRPr="00BC37FC">
        <w:rPr>
          <w:rFonts w:ascii="Times New Roman" w:hAnsi="Times New Roman"/>
          <w:sz w:val="24"/>
          <w:szCs w:val="24"/>
        </w:rPr>
        <w:lastRenderedPageBreak/>
        <w:t xml:space="preserve">Tanzania: Varieties, practices, profitability, and constraints. </w:t>
      </w:r>
      <w:r w:rsidRPr="00BC37FC">
        <w:rPr>
          <w:rFonts w:ascii="Times New Roman" w:hAnsi="Times New Roman"/>
          <w:i/>
          <w:iCs/>
          <w:sz w:val="24"/>
          <w:szCs w:val="24"/>
        </w:rPr>
        <w:t>Frontiers in Sustainable Food Systems, 9</w:t>
      </w:r>
      <w:r w:rsidRPr="00BC37FC">
        <w:rPr>
          <w:rFonts w:ascii="Times New Roman" w:hAnsi="Times New Roman"/>
          <w:sz w:val="24"/>
          <w:szCs w:val="24"/>
        </w:rPr>
        <w:t xml:space="preserve">, 1461851. </w:t>
      </w:r>
      <w:hyperlink r:id="rId34" w:history="1">
        <w:r w:rsidRPr="00BC37FC">
          <w:rPr>
            <w:rFonts w:ascii="Times New Roman" w:hAnsi="Times New Roman"/>
            <w:color w:val="0000FF"/>
            <w:sz w:val="24"/>
            <w:szCs w:val="24"/>
            <w:u w:val="single"/>
          </w:rPr>
          <w:t>https://doi.org/10.3389/fsufs.2025.1461851</w:t>
        </w:r>
      </w:hyperlink>
    </w:p>
    <w:p w14:paraId="06855901" w14:textId="1DE47894"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Nengi-Benwari, A. O., Williams, K. F., &amp; Onwudiwe, H. A. (2025). Arbuscular mycorrhizal fungi: Diversity and colonization in leguminous and non-leguminous crops. </w:t>
      </w:r>
      <w:r w:rsidRPr="00BC37FC">
        <w:rPr>
          <w:rFonts w:ascii="Times New Roman" w:hAnsi="Times New Roman"/>
          <w:i/>
          <w:iCs/>
          <w:sz w:val="24"/>
          <w:szCs w:val="24"/>
        </w:rPr>
        <w:t>Asian Journal of Microbiology and Biotechnology, 10</w:t>
      </w:r>
      <w:r w:rsidRPr="00BC37FC">
        <w:rPr>
          <w:rFonts w:ascii="Times New Roman" w:hAnsi="Times New Roman"/>
          <w:sz w:val="24"/>
          <w:szCs w:val="24"/>
        </w:rPr>
        <w:t xml:space="preserve">(1), 26–34. </w:t>
      </w:r>
      <w:hyperlink r:id="rId35" w:history="1">
        <w:r w:rsidRPr="00BC37FC">
          <w:rPr>
            <w:rFonts w:ascii="Times New Roman" w:hAnsi="Times New Roman"/>
            <w:color w:val="0000FF"/>
            <w:sz w:val="24"/>
            <w:szCs w:val="24"/>
            <w:u w:val="single"/>
          </w:rPr>
          <w:t>https://doi.org/10.56557/ajmab/2025/v10i19167</w:t>
        </w:r>
      </w:hyperlink>
    </w:p>
    <w:p w14:paraId="44B43881" w14:textId="60F28F91"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Nie, W., He, Q., Guo, H., Zhang, W., Ma, L., Li, J., &amp; Wen, D. (2024). Arbuscular mycorrhizal fungi: Boosting crop resilience to environmental stresses. </w:t>
      </w:r>
      <w:r w:rsidRPr="00BC37FC">
        <w:rPr>
          <w:rFonts w:ascii="Times New Roman" w:hAnsi="Times New Roman"/>
          <w:i/>
          <w:iCs/>
          <w:sz w:val="24"/>
          <w:szCs w:val="24"/>
        </w:rPr>
        <w:t>Microorganisms, 12</w:t>
      </w:r>
      <w:r w:rsidRPr="00BC37FC">
        <w:rPr>
          <w:rFonts w:ascii="Times New Roman" w:hAnsi="Times New Roman"/>
          <w:sz w:val="24"/>
          <w:szCs w:val="24"/>
        </w:rPr>
        <w:t xml:space="preserve">(12), 2448. </w:t>
      </w:r>
      <w:hyperlink r:id="rId36" w:history="1">
        <w:r w:rsidRPr="00BC37FC">
          <w:rPr>
            <w:rFonts w:ascii="Times New Roman" w:hAnsi="Times New Roman"/>
            <w:color w:val="0000FF"/>
            <w:sz w:val="24"/>
            <w:szCs w:val="24"/>
            <w:u w:val="single"/>
          </w:rPr>
          <w:t>https://doi.org/10.3390/microorganisms12122448</w:t>
        </w:r>
      </w:hyperlink>
    </w:p>
    <w:p w14:paraId="50E88F18" w14:textId="547AAAA8"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Phillips, J. M., &amp; Hayman, D. S. (1970). Improved procedures for clearing roots and staining parasitic and vesicular-arbuscular mycorrhizal fungi for rapid assessment of infection. </w:t>
      </w:r>
      <w:r w:rsidRPr="00BC37FC">
        <w:rPr>
          <w:rFonts w:ascii="Times New Roman" w:hAnsi="Times New Roman"/>
          <w:i/>
          <w:iCs/>
          <w:sz w:val="24"/>
          <w:szCs w:val="24"/>
        </w:rPr>
        <w:t>Transactions of the British Mycological Society, 55</w:t>
      </w:r>
      <w:r w:rsidRPr="00BC37FC">
        <w:rPr>
          <w:rFonts w:ascii="Times New Roman" w:hAnsi="Times New Roman"/>
          <w:sz w:val="24"/>
          <w:szCs w:val="24"/>
        </w:rPr>
        <w:t xml:space="preserve">(1), 158–161, IN16–IN18. </w:t>
      </w:r>
      <w:hyperlink r:id="rId37" w:history="1">
        <w:r w:rsidRPr="00BC37FC">
          <w:rPr>
            <w:rFonts w:ascii="Times New Roman" w:hAnsi="Times New Roman"/>
            <w:color w:val="0000FF"/>
            <w:sz w:val="24"/>
            <w:szCs w:val="24"/>
            <w:u w:val="single"/>
          </w:rPr>
          <w:t>https://doi.org/10.1016/S0007-1536(70)80110-3</w:t>
        </w:r>
      </w:hyperlink>
    </w:p>
    <w:p w14:paraId="04C66A95" w14:textId="00F1C7FA"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Plenchette, C., Bois, J.-F., Duponnois, R., &amp; Cadet, P. (2000). La mycorhization (</w:t>
      </w:r>
      <w:r w:rsidRPr="00BC37FC">
        <w:rPr>
          <w:rFonts w:ascii="Times New Roman" w:hAnsi="Times New Roman"/>
          <w:i/>
          <w:iCs/>
          <w:sz w:val="24"/>
          <w:szCs w:val="24"/>
        </w:rPr>
        <w:t>Glomus aggregatum</w:t>
      </w:r>
      <w:r w:rsidRPr="00BC37FC">
        <w:rPr>
          <w:rFonts w:ascii="Times New Roman" w:hAnsi="Times New Roman"/>
          <w:sz w:val="24"/>
          <w:szCs w:val="24"/>
        </w:rPr>
        <w:t>) du mil (</w:t>
      </w:r>
      <w:r w:rsidRPr="00BC37FC">
        <w:rPr>
          <w:rFonts w:ascii="Times New Roman" w:hAnsi="Times New Roman"/>
          <w:i/>
          <w:iCs/>
          <w:sz w:val="24"/>
          <w:szCs w:val="24"/>
        </w:rPr>
        <w:t>Pennisetum glaucum</w:t>
      </w:r>
      <w:r w:rsidRPr="00BC37FC">
        <w:rPr>
          <w:rFonts w:ascii="Times New Roman" w:hAnsi="Times New Roman"/>
          <w:sz w:val="24"/>
          <w:szCs w:val="24"/>
        </w:rPr>
        <w:t xml:space="preserve">). </w:t>
      </w:r>
      <w:r w:rsidRPr="00BC37FC">
        <w:rPr>
          <w:rFonts w:ascii="Times New Roman" w:hAnsi="Times New Roman"/>
          <w:i/>
          <w:iCs/>
          <w:sz w:val="24"/>
          <w:szCs w:val="24"/>
        </w:rPr>
        <w:t>Étude et Gestion des Sols, 7</w:t>
      </w:r>
      <w:r w:rsidRPr="00BC37FC">
        <w:rPr>
          <w:rFonts w:ascii="Times New Roman" w:hAnsi="Times New Roman"/>
          <w:sz w:val="24"/>
          <w:szCs w:val="24"/>
        </w:rPr>
        <w:t xml:space="preserve">(4), 379–384. </w:t>
      </w:r>
      <w:hyperlink r:id="rId38" w:history="1">
        <w:r w:rsidRPr="00BC37FC">
          <w:rPr>
            <w:rFonts w:ascii="Times New Roman" w:hAnsi="Times New Roman"/>
            <w:color w:val="0000FF"/>
            <w:sz w:val="24"/>
            <w:szCs w:val="24"/>
            <w:u w:val="single"/>
          </w:rPr>
          <w:t>https://www.afes.fr/wp-content/uploads/2023/04/EGS_7_4_plenchette.pdf</w:t>
        </w:r>
      </w:hyperlink>
    </w:p>
    <w:p w14:paraId="4AF387F5" w14:textId="5691663C"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Séry, D. J.-M., Kouadjo, Z. G. C., Voko, B. R. R., &amp; Zézé, A. (2016). Selecting native arbuscular mycorrhizal fungi to promote cassava growth and increase yield under field conditions. </w:t>
      </w:r>
      <w:r w:rsidRPr="00BC37FC">
        <w:rPr>
          <w:rFonts w:ascii="Times New Roman" w:hAnsi="Times New Roman"/>
          <w:i/>
          <w:iCs/>
          <w:sz w:val="24"/>
          <w:szCs w:val="24"/>
        </w:rPr>
        <w:t>Frontiers in Microbiology, 7</w:t>
      </w:r>
      <w:r w:rsidRPr="00BC37FC">
        <w:rPr>
          <w:rFonts w:ascii="Times New Roman" w:hAnsi="Times New Roman"/>
          <w:sz w:val="24"/>
          <w:szCs w:val="24"/>
        </w:rPr>
        <w:t xml:space="preserve">, 2063. </w:t>
      </w:r>
      <w:hyperlink r:id="rId39" w:history="1">
        <w:r w:rsidRPr="00BC37FC">
          <w:rPr>
            <w:rFonts w:ascii="Times New Roman" w:hAnsi="Times New Roman"/>
            <w:color w:val="0000FF"/>
            <w:sz w:val="24"/>
            <w:szCs w:val="24"/>
            <w:u w:val="single"/>
          </w:rPr>
          <w:t>https://doi.org/10.3389/fmicb.2016.02063</w:t>
        </w:r>
      </w:hyperlink>
    </w:p>
    <w:p w14:paraId="7BB393D3" w14:textId="230BF047"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rPr>
        <w:t xml:space="preserve">Trouvelot, A., Kough, J. L., &amp; Gianinazzi-Pearson, V. (1986). Mesure du taux de mycorhization VA d’un système radiculaire: Recherche de méthodes d’estimation ayant une signification fonctionnelle. In V. Gianinazzi-Pearson &amp; S. Gianinazzi (Eds.), </w:t>
      </w:r>
      <w:r w:rsidRPr="00BC37FC">
        <w:rPr>
          <w:rFonts w:ascii="Times New Roman" w:hAnsi="Times New Roman"/>
          <w:i/>
          <w:iCs/>
          <w:sz w:val="24"/>
          <w:szCs w:val="24"/>
        </w:rPr>
        <w:t>Physiological and genetical aspects of mycorrhizae: Proceedings of the 1st European Symposium on Mycorrhizae, Dijon, 1–5 July 1985</w:t>
      </w:r>
      <w:r w:rsidRPr="00BC37FC">
        <w:rPr>
          <w:rFonts w:ascii="Times New Roman" w:hAnsi="Times New Roman"/>
          <w:sz w:val="24"/>
          <w:szCs w:val="24"/>
        </w:rPr>
        <w:t xml:space="preserve"> (pp. 217–221). INRA. </w:t>
      </w:r>
    </w:p>
    <w:p w14:paraId="333AECFB" w14:textId="1C0DA8FD" w:rsidR="00BC37FC" w:rsidRPr="00BC37FC" w:rsidRDefault="00BC37FC" w:rsidP="00BC37FC">
      <w:pPr>
        <w:spacing w:before="100" w:beforeAutospacing="1" w:after="100" w:afterAutospacing="1"/>
        <w:ind w:left="540" w:hanging="540"/>
        <w:jc w:val="both"/>
        <w:rPr>
          <w:rFonts w:ascii="Times New Roman" w:hAnsi="Times New Roman"/>
          <w:sz w:val="24"/>
          <w:szCs w:val="24"/>
          <w:lang w:val="nl-BE"/>
        </w:rPr>
      </w:pPr>
      <w:r w:rsidRPr="00BC37FC">
        <w:rPr>
          <w:rFonts w:ascii="Times New Roman" w:hAnsi="Times New Roman"/>
          <w:sz w:val="24"/>
          <w:szCs w:val="24"/>
        </w:rPr>
        <w:t xml:space="preserve">Vosátka, M., Látr, A., Gianinazzi, S., &amp; Albrechtová, J. (2012). Development of arbuscular mycorrhizal biotechnology and industry: Current achievements and bottlenecks. </w:t>
      </w:r>
      <w:r w:rsidRPr="00BC37FC">
        <w:rPr>
          <w:rFonts w:ascii="Times New Roman" w:hAnsi="Times New Roman"/>
          <w:i/>
          <w:iCs/>
          <w:sz w:val="24"/>
          <w:szCs w:val="24"/>
          <w:lang w:val="nl-BE"/>
        </w:rPr>
        <w:t>Symbiosis, 58</w:t>
      </w:r>
      <w:r w:rsidRPr="00BC37FC">
        <w:rPr>
          <w:rFonts w:ascii="Times New Roman" w:hAnsi="Times New Roman"/>
          <w:sz w:val="24"/>
          <w:szCs w:val="24"/>
          <w:lang w:val="nl-BE"/>
        </w:rPr>
        <w:t xml:space="preserve">(1–3), 29–37. </w:t>
      </w:r>
      <w:hyperlink r:id="rId40" w:history="1">
        <w:r w:rsidRPr="00BC37FC">
          <w:rPr>
            <w:rFonts w:ascii="Times New Roman" w:hAnsi="Times New Roman"/>
            <w:color w:val="0000FF"/>
            <w:sz w:val="24"/>
            <w:szCs w:val="24"/>
            <w:u w:val="single"/>
            <w:lang w:val="nl-BE"/>
          </w:rPr>
          <w:t>https://doi.org/10.1007/s13199-012-0208-9</w:t>
        </w:r>
      </w:hyperlink>
    </w:p>
    <w:p w14:paraId="76A21F3D" w14:textId="5318B98A"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lang w:val="nl-BE"/>
        </w:rPr>
        <w:t xml:space="preserve">Wu, Y., Chen, C., &amp; Wang, G. (2024). </w:t>
      </w:r>
      <w:r w:rsidRPr="00BC37FC">
        <w:rPr>
          <w:rFonts w:ascii="Times New Roman" w:hAnsi="Times New Roman"/>
          <w:sz w:val="24"/>
          <w:szCs w:val="24"/>
        </w:rPr>
        <w:t>Inoculation with arbuscular mycorrhizal fungi improves plant biomass and nitrogen and phosphorus nutrients: A meta-</w:t>
      </w:r>
      <w:r w:rsidRPr="00BC37FC">
        <w:rPr>
          <w:rFonts w:ascii="Times New Roman" w:hAnsi="Times New Roman"/>
          <w:sz w:val="24"/>
          <w:szCs w:val="24"/>
        </w:rPr>
        <w:lastRenderedPageBreak/>
        <w:t xml:space="preserve">analysis. </w:t>
      </w:r>
      <w:r w:rsidRPr="00BC37FC">
        <w:rPr>
          <w:rFonts w:ascii="Times New Roman" w:hAnsi="Times New Roman"/>
          <w:i/>
          <w:iCs/>
          <w:sz w:val="24"/>
          <w:szCs w:val="24"/>
        </w:rPr>
        <w:t>BMC Plant Biology, 24</w:t>
      </w:r>
      <w:r w:rsidRPr="00BC37FC">
        <w:rPr>
          <w:rFonts w:ascii="Times New Roman" w:hAnsi="Times New Roman"/>
          <w:sz w:val="24"/>
          <w:szCs w:val="24"/>
        </w:rPr>
        <w:t xml:space="preserve">(1), 960. </w:t>
      </w:r>
      <w:hyperlink r:id="rId41" w:history="1">
        <w:r w:rsidRPr="00BC37FC">
          <w:rPr>
            <w:rFonts w:ascii="Times New Roman" w:hAnsi="Times New Roman"/>
            <w:color w:val="0000FF"/>
            <w:sz w:val="24"/>
            <w:szCs w:val="24"/>
            <w:u w:val="single"/>
          </w:rPr>
          <w:t>https://doi.org/10.1186/s12870-024-05638-9</w:t>
        </w:r>
      </w:hyperlink>
    </w:p>
    <w:p w14:paraId="449560FE" w14:textId="7692D5D8" w:rsidR="00BC37FC" w:rsidRPr="00BC37FC" w:rsidRDefault="00BC37FC" w:rsidP="00BC37FC">
      <w:pPr>
        <w:spacing w:before="100" w:beforeAutospacing="1" w:after="100" w:afterAutospacing="1"/>
        <w:ind w:left="540" w:hanging="540"/>
        <w:jc w:val="both"/>
        <w:rPr>
          <w:rFonts w:ascii="Times New Roman" w:hAnsi="Times New Roman"/>
          <w:sz w:val="24"/>
          <w:szCs w:val="24"/>
        </w:rPr>
      </w:pPr>
      <w:r w:rsidRPr="00BC37FC">
        <w:rPr>
          <w:rFonts w:ascii="Times New Roman" w:hAnsi="Times New Roman"/>
          <w:sz w:val="24"/>
          <w:szCs w:val="24"/>
          <w:lang w:val="nl-BE"/>
        </w:rPr>
        <w:t xml:space="preserve">Zhang, J., Zhao, R., Li, X., &amp; Zhang, J. (2024). </w:t>
      </w:r>
      <w:r w:rsidRPr="00BC37FC">
        <w:rPr>
          <w:rFonts w:ascii="Times New Roman" w:hAnsi="Times New Roman"/>
          <w:sz w:val="24"/>
          <w:szCs w:val="24"/>
        </w:rPr>
        <w:t xml:space="preserve">Potential of arbuscular mycorrhizal fungi for soil health: A review. </w:t>
      </w:r>
      <w:r w:rsidRPr="00BC37FC">
        <w:rPr>
          <w:rFonts w:ascii="Times New Roman" w:hAnsi="Times New Roman"/>
          <w:i/>
          <w:iCs/>
          <w:sz w:val="24"/>
          <w:szCs w:val="24"/>
        </w:rPr>
        <w:t>Pedosphere, 34</w:t>
      </w:r>
      <w:r w:rsidRPr="00BC37FC">
        <w:rPr>
          <w:rFonts w:ascii="Times New Roman" w:hAnsi="Times New Roman"/>
          <w:sz w:val="24"/>
          <w:szCs w:val="24"/>
        </w:rPr>
        <w:t xml:space="preserve">(2), 279–288. </w:t>
      </w:r>
      <w:hyperlink r:id="rId42" w:history="1">
        <w:r w:rsidRPr="00BC37FC">
          <w:rPr>
            <w:rFonts w:ascii="Times New Roman" w:hAnsi="Times New Roman"/>
            <w:color w:val="0000FF"/>
            <w:sz w:val="24"/>
            <w:szCs w:val="24"/>
            <w:u w:val="single"/>
          </w:rPr>
          <w:t>https://doi.org/10.1016/j.pedsph.2024.02.002</w:t>
        </w:r>
      </w:hyperlink>
    </w:p>
    <w:p w14:paraId="02C4CCC6" w14:textId="378E9422" w:rsidR="00B01FCD" w:rsidRPr="006C741B" w:rsidRDefault="00B01FCD" w:rsidP="00BC37FC">
      <w:pPr>
        <w:pStyle w:val="Body"/>
        <w:rPr>
          <w:lang w:val="en-GB"/>
        </w:rPr>
      </w:pPr>
    </w:p>
    <w:sectPr w:rsidR="00B01FCD" w:rsidRPr="006C741B" w:rsidSect="00BE11BE">
      <w:headerReference w:type="even" r:id="rId43"/>
      <w:headerReference w:type="default" r:id="rId44"/>
      <w:footerReference w:type="default" r:id="rId45"/>
      <w:headerReference w:type="first" r:id="rId4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1A202" w14:textId="77777777" w:rsidR="00755017" w:rsidRDefault="00755017" w:rsidP="00C37E61">
      <w:r>
        <w:separator/>
      </w:r>
    </w:p>
  </w:endnote>
  <w:endnote w:type="continuationSeparator" w:id="0">
    <w:p w14:paraId="0BC1525B" w14:textId="77777777" w:rsidR="00755017" w:rsidRDefault="0075501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29EB0" w14:textId="77777777" w:rsidR="003A5F65" w:rsidRDefault="003A5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7486" w14:textId="77777777" w:rsidR="003A5F65" w:rsidRDefault="003A5F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2329" w14:textId="77777777" w:rsidR="009E048A" w:rsidRDefault="009E048A">
    <w:pPr>
      <w:pStyle w:val="Footer"/>
      <w:rPr>
        <w:rFonts w:ascii="Arial" w:hAnsi="Arial" w:cs="Arial"/>
        <w:sz w:val="16"/>
      </w:rPr>
    </w:pPr>
  </w:p>
  <w:p w14:paraId="2DBEE35E"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0F255036" w14:textId="77777777" w:rsidR="009E048A" w:rsidRDefault="009E048A">
    <w:pPr>
      <w:pStyle w:val="Footer"/>
      <w:rPr>
        <w:rFonts w:ascii="Arial" w:hAnsi="Arial" w:cs="Arial"/>
        <w:sz w:val="16"/>
      </w:rPr>
    </w:pPr>
  </w:p>
  <w:p w14:paraId="2582F0E6"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5A8A"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97154" w14:textId="77777777" w:rsidR="00755017" w:rsidRDefault="00755017" w:rsidP="00C37E61">
      <w:r>
        <w:separator/>
      </w:r>
    </w:p>
  </w:footnote>
  <w:footnote w:type="continuationSeparator" w:id="0">
    <w:p w14:paraId="32BF0D7E" w14:textId="77777777" w:rsidR="00755017" w:rsidRDefault="0075501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961C" w14:textId="77777777" w:rsidR="003A5F65" w:rsidRDefault="00000000">
    <w:pPr>
      <w:pStyle w:val="Header"/>
    </w:pPr>
    <w:r>
      <w:rPr>
        <w:noProof/>
      </w:rPr>
      <w:pict w14:anchorId="6CC8C3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5407" w14:textId="77777777" w:rsidR="003A5F65" w:rsidRDefault="00000000">
    <w:pPr>
      <w:pStyle w:val="Header"/>
    </w:pPr>
    <w:r>
      <w:rPr>
        <w:noProof/>
      </w:rPr>
      <w:pict w14:anchorId="2042C3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01A4" w14:textId="77777777" w:rsidR="00296529" w:rsidRPr="00296529" w:rsidRDefault="00000000" w:rsidP="00296529">
    <w:pPr>
      <w:ind w:left="2160"/>
      <w:jc w:val="center"/>
      <w:rPr>
        <w:rFonts w:ascii="Times New Roman" w:eastAsia="Calibri" w:hAnsi="Times New Roman"/>
        <w:i/>
        <w:sz w:val="18"/>
        <w:szCs w:val="22"/>
      </w:rPr>
    </w:pPr>
    <w:r>
      <w:rPr>
        <w:noProof/>
      </w:rPr>
      <w:pict w14:anchorId="69D48A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168CAF2"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C3E5BA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F4E5F1E"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CA4049D"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51BCE6"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9C8906E"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A8E7" w14:textId="77777777" w:rsidR="003A5F65" w:rsidRDefault="00000000">
    <w:pPr>
      <w:pStyle w:val="Header"/>
    </w:pPr>
    <w:r>
      <w:rPr>
        <w:noProof/>
      </w:rPr>
      <w:pict w14:anchorId="6788DA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4"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9B1EC5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A5AC" w14:textId="77777777" w:rsidR="003A5F65" w:rsidRDefault="00000000">
    <w:pPr>
      <w:pStyle w:val="Header"/>
    </w:pPr>
    <w:r>
      <w:rPr>
        <w:noProof/>
      </w:rPr>
      <w:pict w14:anchorId="00D94C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5"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B5BBDF9">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405B0" w14:textId="77777777" w:rsidR="003A5F65" w:rsidRPr="00296529" w:rsidRDefault="00000000" w:rsidP="00296529">
    <w:pPr>
      <w:ind w:left="2160"/>
      <w:jc w:val="center"/>
      <w:rPr>
        <w:rFonts w:ascii="Times New Roman" w:eastAsia="Calibri" w:hAnsi="Times New Roman"/>
        <w:i/>
        <w:sz w:val="18"/>
        <w:szCs w:val="22"/>
      </w:rPr>
    </w:pPr>
    <w:r>
      <w:rPr>
        <w:noProof/>
      </w:rPr>
      <w:pict w14:anchorId="730133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598143"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EC4F17C">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7FAFDBE" w14:textId="77777777" w:rsidR="003A5F65" w:rsidRPr="00296529" w:rsidRDefault="003A5F65"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2E51C78" w14:textId="77777777" w:rsidR="003A5F65" w:rsidRPr="00296529" w:rsidRDefault="003A5F65"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A81F524" w14:textId="77777777" w:rsidR="003A5F65" w:rsidRPr="00296529" w:rsidRDefault="003A5F65"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6A66635" w14:textId="77777777" w:rsidR="003A5F65" w:rsidRDefault="003A5F65"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8ABC9F6" w14:textId="77777777" w:rsidR="003A5F65" w:rsidRDefault="003A5F65"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16F9984" w14:textId="77777777" w:rsidR="003A5F65" w:rsidRDefault="003A5F6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FB37F7A"/>
    <w:multiLevelType w:val="hybridMultilevel"/>
    <w:tmpl w:val="8C484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02454DD"/>
    <w:multiLevelType w:val="hybridMultilevel"/>
    <w:tmpl w:val="E508EC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6"/>
  </w:num>
  <w:num w:numId="3" w16cid:durableId="270210722">
    <w:abstractNumId w:val="25"/>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7"/>
  </w:num>
  <w:num w:numId="10" w16cid:durableId="1967344970">
    <w:abstractNumId w:val="2"/>
  </w:num>
  <w:num w:numId="11" w16cid:durableId="412317892">
    <w:abstractNumId w:val="19"/>
  </w:num>
  <w:num w:numId="12" w16cid:durableId="1162699396">
    <w:abstractNumId w:val="3"/>
  </w:num>
  <w:num w:numId="13" w16cid:durableId="1799378455">
    <w:abstractNumId w:val="18"/>
  </w:num>
  <w:num w:numId="14" w16cid:durableId="1847285408">
    <w:abstractNumId w:val="8"/>
  </w:num>
  <w:num w:numId="15" w16cid:durableId="302076680">
    <w:abstractNumId w:val="23"/>
  </w:num>
  <w:num w:numId="16" w16cid:durableId="2101171267">
    <w:abstractNumId w:val="5"/>
  </w:num>
  <w:num w:numId="17" w16cid:durableId="2095474162">
    <w:abstractNumId w:val="24"/>
  </w:num>
  <w:num w:numId="18" w16cid:durableId="726026076">
    <w:abstractNumId w:val="14"/>
  </w:num>
  <w:num w:numId="19" w16cid:durableId="1507742585">
    <w:abstractNumId w:val="30"/>
  </w:num>
  <w:num w:numId="20" w16cid:durableId="1414359059">
    <w:abstractNumId w:val="11"/>
  </w:num>
  <w:num w:numId="21" w16cid:durableId="780808669">
    <w:abstractNumId w:val="9"/>
  </w:num>
  <w:num w:numId="22" w16cid:durableId="85656562">
    <w:abstractNumId w:val="13"/>
  </w:num>
  <w:num w:numId="23" w16cid:durableId="1114595123">
    <w:abstractNumId w:val="21"/>
  </w:num>
  <w:num w:numId="24" w16cid:durableId="1717074228">
    <w:abstractNumId w:val="28"/>
  </w:num>
  <w:num w:numId="25" w16cid:durableId="1206672560">
    <w:abstractNumId w:val="4"/>
  </w:num>
  <w:num w:numId="26" w16cid:durableId="121193178">
    <w:abstractNumId w:val="17"/>
  </w:num>
  <w:num w:numId="27" w16cid:durableId="1448308770">
    <w:abstractNumId w:val="22"/>
  </w:num>
  <w:num w:numId="28" w16cid:durableId="2027902646">
    <w:abstractNumId w:val="29"/>
  </w:num>
  <w:num w:numId="29" w16cid:durableId="452793216">
    <w:abstractNumId w:val="26"/>
  </w:num>
  <w:num w:numId="30" w16cid:durableId="511115286">
    <w:abstractNumId w:val="10"/>
  </w:num>
  <w:num w:numId="31" w16cid:durableId="1033533299">
    <w:abstractNumId w:val="15"/>
  </w:num>
  <w:num w:numId="32" w16cid:durableId="3498372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25C23"/>
    <w:rsid w:val="00030174"/>
    <w:rsid w:val="0004579C"/>
    <w:rsid w:val="000754C3"/>
    <w:rsid w:val="000A47FA"/>
    <w:rsid w:val="000A65D3"/>
    <w:rsid w:val="000B1E33"/>
    <w:rsid w:val="000C61C3"/>
    <w:rsid w:val="000D689F"/>
    <w:rsid w:val="000E7B7B"/>
    <w:rsid w:val="000E7D62"/>
    <w:rsid w:val="00103357"/>
    <w:rsid w:val="00116576"/>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32435"/>
    <w:rsid w:val="00235E72"/>
    <w:rsid w:val="0024282C"/>
    <w:rsid w:val="00245490"/>
    <w:rsid w:val="002460DC"/>
    <w:rsid w:val="00250985"/>
    <w:rsid w:val="002556F6"/>
    <w:rsid w:val="00260BF7"/>
    <w:rsid w:val="00283105"/>
    <w:rsid w:val="00284C4C"/>
    <w:rsid w:val="00287E68"/>
    <w:rsid w:val="00296529"/>
    <w:rsid w:val="00297885"/>
    <w:rsid w:val="002B27FB"/>
    <w:rsid w:val="002B685A"/>
    <w:rsid w:val="002C57D2"/>
    <w:rsid w:val="002E0D56"/>
    <w:rsid w:val="00315186"/>
    <w:rsid w:val="0033343E"/>
    <w:rsid w:val="003474AD"/>
    <w:rsid w:val="003512C2"/>
    <w:rsid w:val="00354864"/>
    <w:rsid w:val="00360A1F"/>
    <w:rsid w:val="00371FB6"/>
    <w:rsid w:val="003755E0"/>
    <w:rsid w:val="003763C1"/>
    <w:rsid w:val="00376BBE"/>
    <w:rsid w:val="0039224F"/>
    <w:rsid w:val="003A43A4"/>
    <w:rsid w:val="003A5F65"/>
    <w:rsid w:val="003A71D4"/>
    <w:rsid w:val="003A7C92"/>
    <w:rsid w:val="003A7E18"/>
    <w:rsid w:val="003C4C86"/>
    <w:rsid w:val="003C6258"/>
    <w:rsid w:val="003E2904"/>
    <w:rsid w:val="00401927"/>
    <w:rsid w:val="0041027F"/>
    <w:rsid w:val="00412475"/>
    <w:rsid w:val="00421795"/>
    <w:rsid w:val="00423789"/>
    <w:rsid w:val="00440F43"/>
    <w:rsid w:val="00441B6F"/>
    <w:rsid w:val="00446221"/>
    <w:rsid w:val="00450E62"/>
    <w:rsid w:val="004539DB"/>
    <w:rsid w:val="00471A80"/>
    <w:rsid w:val="004D305E"/>
    <w:rsid w:val="004D4277"/>
    <w:rsid w:val="00500427"/>
    <w:rsid w:val="00502516"/>
    <w:rsid w:val="00505F06"/>
    <w:rsid w:val="00506828"/>
    <w:rsid w:val="0053056E"/>
    <w:rsid w:val="00534BAA"/>
    <w:rsid w:val="00554FDA"/>
    <w:rsid w:val="00577BF6"/>
    <w:rsid w:val="005B1851"/>
    <w:rsid w:val="005C784C"/>
    <w:rsid w:val="005D17F6"/>
    <w:rsid w:val="005E5539"/>
    <w:rsid w:val="00602BF5"/>
    <w:rsid w:val="00617FDD"/>
    <w:rsid w:val="00633614"/>
    <w:rsid w:val="00633F68"/>
    <w:rsid w:val="00636EB2"/>
    <w:rsid w:val="006375B8"/>
    <w:rsid w:val="00637FEF"/>
    <w:rsid w:val="00657C39"/>
    <w:rsid w:val="0066510A"/>
    <w:rsid w:val="00673F9F"/>
    <w:rsid w:val="00686953"/>
    <w:rsid w:val="00687DEA"/>
    <w:rsid w:val="00687E67"/>
    <w:rsid w:val="006967F7"/>
    <w:rsid w:val="006A250C"/>
    <w:rsid w:val="006A2907"/>
    <w:rsid w:val="006B21D3"/>
    <w:rsid w:val="006B57D0"/>
    <w:rsid w:val="006C741B"/>
    <w:rsid w:val="006D0C96"/>
    <w:rsid w:val="006D30FF"/>
    <w:rsid w:val="006D6940"/>
    <w:rsid w:val="006F11EC"/>
    <w:rsid w:val="0070082C"/>
    <w:rsid w:val="00724E76"/>
    <w:rsid w:val="007369E6"/>
    <w:rsid w:val="00744638"/>
    <w:rsid w:val="00746E59"/>
    <w:rsid w:val="00754C9A"/>
    <w:rsid w:val="00755017"/>
    <w:rsid w:val="0075599A"/>
    <w:rsid w:val="00761D52"/>
    <w:rsid w:val="007765CD"/>
    <w:rsid w:val="0077749E"/>
    <w:rsid w:val="00790ADA"/>
    <w:rsid w:val="007B2FB2"/>
    <w:rsid w:val="007D2288"/>
    <w:rsid w:val="007D49DD"/>
    <w:rsid w:val="007E088F"/>
    <w:rsid w:val="007F7B32"/>
    <w:rsid w:val="00804BC2"/>
    <w:rsid w:val="00805A61"/>
    <w:rsid w:val="0081431A"/>
    <w:rsid w:val="0083216F"/>
    <w:rsid w:val="00860000"/>
    <w:rsid w:val="00863BD3"/>
    <w:rsid w:val="008641ED"/>
    <w:rsid w:val="00866D66"/>
    <w:rsid w:val="008671C6"/>
    <w:rsid w:val="00875803"/>
    <w:rsid w:val="008A604A"/>
    <w:rsid w:val="008B459E"/>
    <w:rsid w:val="008B6876"/>
    <w:rsid w:val="008D3A81"/>
    <w:rsid w:val="008E13AE"/>
    <w:rsid w:val="008E1506"/>
    <w:rsid w:val="008E54B1"/>
    <w:rsid w:val="008E710C"/>
    <w:rsid w:val="008F69D6"/>
    <w:rsid w:val="00902823"/>
    <w:rsid w:val="00915CA6"/>
    <w:rsid w:val="0092312E"/>
    <w:rsid w:val="00927834"/>
    <w:rsid w:val="0094100C"/>
    <w:rsid w:val="0094746D"/>
    <w:rsid w:val="009500A6"/>
    <w:rsid w:val="009573F2"/>
    <w:rsid w:val="00957C18"/>
    <w:rsid w:val="00960B87"/>
    <w:rsid w:val="009633DA"/>
    <w:rsid w:val="009659BA"/>
    <w:rsid w:val="00973E26"/>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4316B"/>
    <w:rsid w:val="00A51431"/>
    <w:rsid w:val="00A539AD"/>
    <w:rsid w:val="00A94063"/>
    <w:rsid w:val="00AA6219"/>
    <w:rsid w:val="00AA74E0"/>
    <w:rsid w:val="00AB703F"/>
    <w:rsid w:val="00AC6BB8"/>
    <w:rsid w:val="00AE008F"/>
    <w:rsid w:val="00B01FCD"/>
    <w:rsid w:val="00B14F60"/>
    <w:rsid w:val="00B1776C"/>
    <w:rsid w:val="00B44F1C"/>
    <w:rsid w:val="00B47BD5"/>
    <w:rsid w:val="00B52583"/>
    <w:rsid w:val="00B52896"/>
    <w:rsid w:val="00B72A88"/>
    <w:rsid w:val="00B95236"/>
    <w:rsid w:val="00B96BD9"/>
    <w:rsid w:val="00B97033"/>
    <w:rsid w:val="00BA1B01"/>
    <w:rsid w:val="00BA2641"/>
    <w:rsid w:val="00BB37AA"/>
    <w:rsid w:val="00BC37FC"/>
    <w:rsid w:val="00BC53A0"/>
    <w:rsid w:val="00BE11BE"/>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3C86"/>
    <w:rsid w:val="00CE793C"/>
    <w:rsid w:val="00CF193C"/>
    <w:rsid w:val="00D173F1"/>
    <w:rsid w:val="00D36784"/>
    <w:rsid w:val="00D74CB0"/>
    <w:rsid w:val="00D8295D"/>
    <w:rsid w:val="00DA20A2"/>
    <w:rsid w:val="00DA702E"/>
    <w:rsid w:val="00DC2A65"/>
    <w:rsid w:val="00DE15F0"/>
    <w:rsid w:val="00DE5663"/>
    <w:rsid w:val="00DE78AA"/>
    <w:rsid w:val="00DF0275"/>
    <w:rsid w:val="00DF7CEF"/>
    <w:rsid w:val="00E053D0"/>
    <w:rsid w:val="00E15994"/>
    <w:rsid w:val="00E3114E"/>
    <w:rsid w:val="00E31A70"/>
    <w:rsid w:val="00E35B02"/>
    <w:rsid w:val="00E66496"/>
    <w:rsid w:val="00E66B35"/>
    <w:rsid w:val="00E66E10"/>
    <w:rsid w:val="00E769F6"/>
    <w:rsid w:val="00E8407C"/>
    <w:rsid w:val="00E84F3C"/>
    <w:rsid w:val="00E92946"/>
    <w:rsid w:val="00EA012C"/>
    <w:rsid w:val="00EC6A55"/>
    <w:rsid w:val="00ED0288"/>
    <w:rsid w:val="00ED25C9"/>
    <w:rsid w:val="00EE17F9"/>
    <w:rsid w:val="00EE52CB"/>
    <w:rsid w:val="00EF581D"/>
    <w:rsid w:val="00EF7FD8"/>
    <w:rsid w:val="00F06F59"/>
    <w:rsid w:val="00F17988"/>
    <w:rsid w:val="00F44958"/>
    <w:rsid w:val="00F469F0"/>
    <w:rsid w:val="00F53273"/>
    <w:rsid w:val="00F5714A"/>
    <w:rsid w:val="00F755E4"/>
    <w:rsid w:val="00F77D02"/>
    <w:rsid w:val="00FB3A86"/>
    <w:rsid w:val="00FC47A8"/>
    <w:rsid w:val="00FD36C8"/>
    <w:rsid w:val="00FE3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4841925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FE339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HTMLPreformatted">
    <w:name w:val="HTML Preformatted"/>
    <w:basedOn w:val="Normal"/>
    <w:link w:val="HTMLPreformattedChar"/>
    <w:semiHidden/>
    <w:unhideWhenUsed/>
    <w:rsid w:val="00FE339B"/>
    <w:rPr>
      <w:rFonts w:ascii="Consolas" w:hAnsi="Consolas"/>
    </w:rPr>
  </w:style>
  <w:style w:type="character" w:customStyle="1" w:styleId="HTMLPreformattedChar">
    <w:name w:val="HTML Preformatted Char"/>
    <w:basedOn w:val="DefaultParagraphFont"/>
    <w:link w:val="HTMLPreformatted"/>
    <w:semiHidden/>
    <w:rsid w:val="00FE339B"/>
    <w:rPr>
      <w:rFonts w:ascii="Consolas" w:hAnsi="Consolas"/>
    </w:rPr>
  </w:style>
  <w:style w:type="character" w:customStyle="1" w:styleId="Heading3Char">
    <w:name w:val="Heading 3 Char"/>
    <w:basedOn w:val="DefaultParagraphFont"/>
    <w:link w:val="Heading3"/>
    <w:uiPriority w:val="9"/>
    <w:semiHidden/>
    <w:rsid w:val="00FE339B"/>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unhideWhenUsed/>
    <w:qFormat/>
    <w:rsid w:val="00F5714A"/>
    <w:pPr>
      <w:spacing w:after="200"/>
      <w:jc w:val="both"/>
    </w:pPr>
    <w:rPr>
      <w:rFonts w:ascii="Times New Roman" w:eastAsiaTheme="minorHAnsi" w:hAnsi="Times New Roman" w:cstheme="minorBidi"/>
      <w:i/>
      <w:iCs/>
      <w:color w:val="1F497D" w:themeColor="text2"/>
      <w:kern w:val="2"/>
      <w:sz w:val="18"/>
      <w:szCs w:val="18"/>
      <w:lang w:val="fr-FR"/>
    </w:rPr>
  </w:style>
  <w:style w:type="paragraph" w:styleId="Bibliography">
    <w:name w:val="Bibliography"/>
    <w:basedOn w:val="Normal"/>
    <w:next w:val="Normal"/>
    <w:uiPriority w:val="37"/>
    <w:unhideWhenUsed/>
    <w:rsid w:val="006C741B"/>
  </w:style>
  <w:style w:type="paragraph" w:styleId="ListParagraph">
    <w:name w:val="List Paragraph"/>
    <w:basedOn w:val="Normal"/>
    <w:uiPriority w:val="34"/>
    <w:qFormat/>
    <w:rsid w:val="00BC37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cnra.ci/download/bien-cultiver-laubergine-en-cote-divoire/?utm_source=chatgpt.com" TargetMode="External"/><Relationship Id="rId39" Type="http://schemas.openxmlformats.org/officeDocument/2006/relationships/hyperlink" Target="https://doi.org/10.3389/fmicb.2016.02063?utm_source=chatgpt.com" TargetMode="External"/><Relationship Id="rId21" Type="http://schemas.openxmlformats.org/officeDocument/2006/relationships/hyperlink" Target="https://doi.org/10.3389/fmicb.2015.01559?utm_source=chatgpt.com" TargetMode="External"/><Relationship Id="rId34" Type="http://schemas.openxmlformats.org/officeDocument/2006/relationships/hyperlink" Target="https://doi.org/10.3389/fsufs.2025.1461851?utm_source=chatgpt.com" TargetMode="External"/><Relationship Id="rId42" Type="http://schemas.openxmlformats.org/officeDocument/2006/relationships/hyperlink" Target="https://doi.org/10.1016/j.pedsph.2024.02.002?utm_source=chatgpt.com"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doi.org/10.7176/JESD/10-2-08?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90/nu16234228?utm_source=chatgpt.com" TargetMode="External"/><Relationship Id="rId32" Type="http://schemas.openxmlformats.org/officeDocument/2006/relationships/hyperlink" Target="https://doi.org/10.1016/j.eja.2024.127503?utm_source=chatgpt.com" TargetMode="External"/><Relationship Id="rId37" Type="http://schemas.openxmlformats.org/officeDocument/2006/relationships/hyperlink" Target="https://doi.org/10.1016/S0007-1536(70)80110-3?utm_source=chatgpt.com" TargetMode="External"/><Relationship Id="rId40" Type="http://schemas.openxmlformats.org/officeDocument/2006/relationships/hyperlink" Target="https://doi.org/10.1007/s13199-012-0208-9?utm_source=chatgpt.com" TargetMode="Externa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3390/jof8070660?utm_source=chatgpt.com" TargetMode="External"/><Relationship Id="rId28" Type="http://schemas.openxmlformats.org/officeDocument/2006/relationships/hyperlink" Target="https://doi.org/10.1155/2024/9226715?utm_source=chatgpt.com" TargetMode="External"/><Relationship Id="rId36" Type="http://schemas.openxmlformats.org/officeDocument/2006/relationships/hyperlink" Target="https://doi.org/10.3390/microorganisms12122448?utm_source=chatgpt.com"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hyperlink" Target="https://doi.org/10.1080/01140670909510265?utm_source=chatgpt.com" TargetMode="External"/><Relationship Id="rId4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56369/tsaes.4180?utm_source=chatgpt.com" TargetMode="External"/><Relationship Id="rId27" Type="http://schemas.openxmlformats.org/officeDocument/2006/relationships/hyperlink" Target="https://doi.org/10.9734/acri/2024/v24i9881?utm_source=chatgpt.com" TargetMode="External"/><Relationship Id="rId30" Type="http://schemas.openxmlformats.org/officeDocument/2006/relationships/hyperlink" Target="https://doi.org/10.1016/j.rhisph.2017.10.001?utm_source=chatgpt.com" TargetMode="External"/><Relationship Id="rId35" Type="http://schemas.openxmlformats.org/officeDocument/2006/relationships/hyperlink" Target="https://doi.org/10.56557/ajmab/2025/v10i19167?utm_source=chatgpt.com" TargetMode="External"/><Relationship Id="rId43" Type="http://schemas.openxmlformats.org/officeDocument/2006/relationships/header" Target="header4.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doi.org/10.1007/s00572-023-01122-8?utm_source=chatgpt.com" TargetMode="External"/><Relationship Id="rId33" Type="http://schemas.openxmlformats.org/officeDocument/2006/relationships/hyperlink" Target="https://doi.org/10.1016/j.fcr.2024.109456?utm_source=chatgpt.com" TargetMode="External"/><Relationship Id="rId38" Type="http://schemas.openxmlformats.org/officeDocument/2006/relationships/hyperlink" Target="https://www.afes.fr/wp-content/uploads/2023/04/EGS_7_4_plenchette.pdf?utm_source=chatgpt.com" TargetMode="External"/><Relationship Id="rId46" Type="http://schemas.openxmlformats.org/officeDocument/2006/relationships/header" Target="header6.xml"/><Relationship Id="rId20" Type="http://schemas.openxmlformats.org/officeDocument/2006/relationships/hyperlink" Target="https://doi.org/10.3390/microorganisms10101897?utm_source=chatgpt.com" TargetMode="External"/><Relationship Id="rId41" Type="http://schemas.openxmlformats.org/officeDocument/2006/relationships/hyperlink" Target="https://doi.org/10.1186/s12870-024-05638-9?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4</TotalTime>
  <Pages>14</Pages>
  <Words>5752</Words>
  <Characters>32787</Characters>
  <Application>Microsoft Office Word</Application>
  <DocSecurity>0</DocSecurity>
  <Lines>273</Lines>
  <Paragraphs>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38463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4</cp:revision>
  <cp:lastPrinted>1999-07-06T11:00:00Z</cp:lastPrinted>
  <dcterms:created xsi:type="dcterms:W3CDTF">2026-09-25T12:27:00Z</dcterms:created>
  <dcterms:modified xsi:type="dcterms:W3CDTF">2026-09-30T07:33:00Z</dcterms:modified>
</cp:coreProperties>
</file>