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C16BF" w14:textId="77777777" w:rsidR="00E60473" w:rsidRPr="00B1315D" w:rsidRDefault="00E60473" w:rsidP="00E150EC">
      <w:pPr>
        <w:jc w:val="both"/>
        <w:rPr>
          <w:rFonts w:ascii="Times New Roman" w:hAnsi="Times New Roman" w:cs="Times New Roman"/>
          <w:b/>
          <w:bCs/>
          <w:sz w:val="32"/>
          <w:szCs w:val="32"/>
          <w:lang w:val="en"/>
        </w:rPr>
      </w:pPr>
      <w:r w:rsidRPr="00B1315D">
        <w:rPr>
          <w:rFonts w:ascii="Times New Roman" w:hAnsi="Times New Roman" w:cs="Times New Roman"/>
          <w:b/>
          <w:bCs/>
          <w:sz w:val="32"/>
          <w:szCs w:val="32"/>
          <w:lang w:val="en"/>
        </w:rPr>
        <w:t xml:space="preserve">Reproductive biology of </w:t>
      </w:r>
      <w:r w:rsidRPr="00B1315D">
        <w:rPr>
          <w:rFonts w:ascii="Times New Roman" w:hAnsi="Times New Roman" w:cs="Times New Roman"/>
          <w:b/>
          <w:bCs/>
          <w:i/>
          <w:iCs/>
          <w:sz w:val="32"/>
          <w:szCs w:val="32"/>
          <w:lang w:val="en"/>
        </w:rPr>
        <w:t>Oreochromis niloticus</w:t>
      </w:r>
      <w:r w:rsidRPr="00B1315D">
        <w:rPr>
          <w:rFonts w:ascii="Times New Roman" w:hAnsi="Times New Roman" w:cs="Times New Roman"/>
          <w:b/>
          <w:bCs/>
          <w:sz w:val="32"/>
          <w:szCs w:val="32"/>
          <w:lang w:val="en"/>
        </w:rPr>
        <w:t xml:space="preserve"> (Linnaeus, 1758)</w:t>
      </w:r>
    </w:p>
    <w:p w14:paraId="577147DF" w14:textId="77777777" w:rsidR="001A332F" w:rsidRPr="00B1315D" w:rsidRDefault="00E60473" w:rsidP="00E150EC">
      <w:pPr>
        <w:jc w:val="both"/>
        <w:rPr>
          <w:rFonts w:ascii="Times New Roman" w:hAnsi="Times New Roman" w:cs="Times New Roman"/>
          <w:b/>
          <w:bCs/>
          <w:sz w:val="32"/>
          <w:szCs w:val="32"/>
        </w:rPr>
      </w:pPr>
      <w:r w:rsidRPr="00B1315D">
        <w:rPr>
          <w:rFonts w:ascii="Times New Roman" w:hAnsi="Times New Roman" w:cs="Times New Roman"/>
          <w:b/>
          <w:bCs/>
          <w:sz w:val="32"/>
          <w:szCs w:val="32"/>
          <w:lang w:val="en"/>
        </w:rPr>
        <w:t>in the Zienkôlô dam lake (Korhogo, Côte d’Ivoire)</w:t>
      </w:r>
    </w:p>
    <w:p w14:paraId="2FDF0F7A" w14:textId="77777777" w:rsidR="00D53DEA" w:rsidRPr="00B1315D" w:rsidRDefault="00D53DEA" w:rsidP="00E150EC">
      <w:pPr>
        <w:jc w:val="both"/>
        <w:rPr>
          <w:i/>
          <w:iCs/>
        </w:rPr>
      </w:pPr>
    </w:p>
    <w:p w14:paraId="1B619084" w14:textId="77777777" w:rsidR="00CD0E66" w:rsidRPr="00B1315D" w:rsidRDefault="00CD0E66" w:rsidP="00E150EC">
      <w:pPr>
        <w:jc w:val="both"/>
      </w:pPr>
    </w:p>
    <w:p w14:paraId="08F1DF97" w14:textId="77777777" w:rsidR="00CD0E66" w:rsidRPr="00B1315D" w:rsidRDefault="00CD0E66" w:rsidP="00E150EC">
      <w:pPr>
        <w:jc w:val="both"/>
        <w:rPr>
          <w:b/>
          <w:bCs/>
        </w:rPr>
      </w:pPr>
      <w:r w:rsidRPr="00B1315D">
        <w:t xml:space="preserve"> </w:t>
      </w:r>
      <w:r w:rsidRPr="00B1315D">
        <w:rPr>
          <w:b/>
          <w:bCs/>
        </w:rPr>
        <w:t>Abstract</w:t>
      </w:r>
    </w:p>
    <w:p w14:paraId="40EAC233" w14:textId="77777777" w:rsidR="00CB2623" w:rsidRDefault="00CB2623" w:rsidP="00E150EC">
      <w:pPr>
        <w:pStyle w:val="NormalWeb"/>
        <w:jc w:val="both"/>
      </w:pPr>
      <w:r w:rsidRPr="00CB2623">
        <w:rPr>
          <w:highlight w:val="yellow"/>
        </w:rPr>
        <w:t xml:space="preserve">The reproductive biology of </w:t>
      </w:r>
      <w:r w:rsidRPr="00CB2623">
        <w:rPr>
          <w:rStyle w:val="Emphasis"/>
          <w:highlight w:val="yellow"/>
        </w:rPr>
        <w:t>Oreochromis niloticus</w:t>
      </w:r>
      <w:r w:rsidRPr="00CB2623">
        <w:rPr>
          <w:highlight w:val="yellow"/>
        </w:rPr>
        <w:t xml:space="preserve"> was investigated in the </w:t>
      </w:r>
      <w:proofErr w:type="spellStart"/>
      <w:r w:rsidRPr="00CB2623">
        <w:rPr>
          <w:highlight w:val="yellow"/>
        </w:rPr>
        <w:t>Zienkôlô</w:t>
      </w:r>
      <w:proofErr w:type="spellEnd"/>
      <w:r w:rsidRPr="00CB2623">
        <w:rPr>
          <w:highlight w:val="yellow"/>
        </w:rPr>
        <w:t xml:space="preserve"> dam lake, northern Côte d’Ivoire, from December 2024 to November 2025. A total of 351 specimens, comprising 129 females and 222 males and ranging from 6.5 to 22.5 cm in total length, were examined. Sex ratio, size at first sexual maturity, gonadosomatic index (GSI), hepatosomatic index (HSI), condition factor (K), and monthly changes in female sexual maturity stages were assessed. Males were more numerous than females, with an overall male-to-female ratio of approximately 1:0.58, and the sex distribution differed significantly from the theoretical 1:1 ratio (χ² = 24.64; p &lt; 0.05). The estimated size at first sexual maturity was 11.81 cm total length for females and 14 cm for males, indicating that females attained maturity at a smaller size. Six stages of female sexual maturity were observed during the annual sampling period. Monthly variation in maturity stages and GSI indicated reproductive activity throughout the year. Mean GSI values showed pronounced peaks in May (3.88 ± 1.48) and October (3.36 ± 8.18), while the lowest values occurred in December and November. HSI varied broadly in parallel with GSI, whereas the condition factor varied among months. These findings provide baseline information on the reproductive characteristics of </w:t>
      </w:r>
      <w:r w:rsidRPr="00CB2623">
        <w:rPr>
          <w:rStyle w:val="Emphasis"/>
          <w:highlight w:val="yellow"/>
        </w:rPr>
        <w:t>O. niloticus</w:t>
      </w:r>
      <w:r w:rsidRPr="00CB2623">
        <w:rPr>
          <w:highlight w:val="yellow"/>
        </w:rPr>
        <w:t xml:space="preserve"> in the </w:t>
      </w:r>
      <w:proofErr w:type="spellStart"/>
      <w:r w:rsidRPr="00CB2623">
        <w:rPr>
          <w:highlight w:val="yellow"/>
        </w:rPr>
        <w:t>Zienkôlô</w:t>
      </w:r>
      <w:proofErr w:type="spellEnd"/>
      <w:r w:rsidRPr="00CB2623">
        <w:rPr>
          <w:highlight w:val="yellow"/>
        </w:rPr>
        <w:t xml:space="preserve"> dam lake for subsequent population assessment and fisheries management.</w:t>
      </w:r>
    </w:p>
    <w:p w14:paraId="2BECC0D5" w14:textId="77777777" w:rsidR="00CD0E66" w:rsidRPr="00B1315D" w:rsidRDefault="00CD0E66" w:rsidP="00E150EC">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Keywords</w:t>
      </w:r>
      <w:r w:rsidRPr="00B1315D">
        <w:rPr>
          <w:rFonts w:ascii="Times New Roman" w:hAnsi="Times New Roman" w:cs="Times New Roman"/>
          <w:sz w:val="24"/>
          <w:szCs w:val="24"/>
        </w:rPr>
        <w:t xml:space="preserve"> : </w:t>
      </w:r>
      <w:r w:rsidRPr="00B1315D">
        <w:rPr>
          <w:rFonts w:ascii="Times New Roman" w:hAnsi="Times New Roman" w:cs="Times New Roman"/>
          <w:sz w:val="24"/>
          <w:szCs w:val="24"/>
          <w:lang w:val="en"/>
        </w:rPr>
        <w:t xml:space="preserve">Cichlidae, </w:t>
      </w:r>
      <w:r w:rsidRPr="00B1315D">
        <w:rPr>
          <w:rFonts w:ascii="Times New Roman" w:hAnsi="Times New Roman" w:cs="Times New Roman"/>
          <w:i/>
          <w:iCs/>
          <w:sz w:val="24"/>
          <w:szCs w:val="24"/>
          <w:lang w:val="en"/>
        </w:rPr>
        <w:t>Oreochromis niloticus</w:t>
      </w:r>
      <w:r w:rsidRPr="00B1315D">
        <w:rPr>
          <w:rFonts w:ascii="Times New Roman" w:hAnsi="Times New Roman" w:cs="Times New Roman"/>
          <w:sz w:val="24"/>
          <w:szCs w:val="24"/>
          <w:lang w:val="en"/>
        </w:rPr>
        <w:t xml:space="preserve">, </w:t>
      </w:r>
      <w:r w:rsidRPr="00E95642">
        <w:rPr>
          <w:rFonts w:ascii="Times New Roman" w:hAnsi="Times New Roman" w:cs="Times New Roman"/>
          <w:sz w:val="24"/>
          <w:szCs w:val="24"/>
          <w:highlight w:val="cyan"/>
          <w:lang w:val="en"/>
        </w:rPr>
        <w:t>reproduction</w:t>
      </w:r>
      <w:r w:rsidRPr="00B1315D">
        <w:rPr>
          <w:rFonts w:ascii="Times New Roman" w:hAnsi="Times New Roman" w:cs="Times New Roman"/>
          <w:sz w:val="24"/>
          <w:szCs w:val="24"/>
          <w:lang w:val="en"/>
        </w:rPr>
        <w:t xml:space="preserve">, Zienkôlô </w:t>
      </w:r>
      <w:r w:rsidRPr="00B1315D">
        <w:rPr>
          <w:rFonts w:ascii="Times New Roman" w:hAnsi="Times New Roman" w:cs="Times New Roman"/>
          <w:sz w:val="24"/>
          <w:szCs w:val="24"/>
        </w:rPr>
        <w:t>Dam Lake</w:t>
      </w:r>
    </w:p>
    <w:p w14:paraId="34AE6B4B" w14:textId="77777777" w:rsidR="00CD0E66" w:rsidRPr="00B1315D" w:rsidRDefault="00B20A1C" w:rsidP="00E150EC">
      <w:pPr>
        <w:jc w:val="both"/>
        <w:rPr>
          <w:b/>
          <w:bCs/>
        </w:rPr>
      </w:pPr>
      <w:r w:rsidRPr="00B1315D">
        <w:rPr>
          <w:b/>
          <w:bCs/>
        </w:rPr>
        <w:t>1. Introduction</w:t>
      </w:r>
    </w:p>
    <w:p w14:paraId="2256F3C4" w14:textId="77777777" w:rsidR="00E0759A" w:rsidRPr="00CB2623" w:rsidRDefault="006358BC" w:rsidP="00E150EC">
      <w:pPr>
        <w:spacing w:after="0" w:line="360" w:lineRule="auto"/>
        <w:jc w:val="both"/>
      </w:pPr>
      <w:r>
        <w:t>The Zienkôlô dam lake is one of the 270 dam lake</w:t>
      </w:r>
      <w:r>
        <w:rPr>
          <w:highlight w:val="yellow"/>
        </w:rPr>
        <w:t>s</w:t>
      </w:r>
      <w:r>
        <w:t xml:space="preserve"> built in Côte d’Ivoire since 1970. These various lakes were constructed to address the need to combat the effects of drought and to support agro-pastoral activities (Le Guen, 2002; Aka-Koffi, 2003). These artificial reservoirs now serve as potential fishing grounds, provide drinking water, and contribute to the hydrological regulation of the territories (Cecchi, 2007).</w:t>
      </w:r>
      <w:r>
        <w:rPr>
          <w:rFonts w:ascii="inherit" w:hAnsi="inherit"/>
          <w:color w:val="1F1F1F"/>
          <w:sz w:val="42"/>
        </w:rPr>
        <w:t xml:space="preserve"> </w:t>
      </w:r>
      <w:r>
        <w:t xml:space="preserve">Since its creation, very few studies have been conducted on this lake. Fishing takes place there, and the catch supplies the markets of the city of Korhogo. Among the species caught in this dam lake is the cichlid </w:t>
      </w:r>
      <w:r>
        <w:rPr>
          <w:i/>
        </w:rPr>
        <w:t>Oreochromis niloticus</w:t>
      </w:r>
      <w:r>
        <w:t xml:space="preserve"> (Linnaeus, 1758).</w:t>
      </w:r>
      <w:r>
        <w:rPr>
          <w:rFonts w:ascii="inherit" w:hAnsi="inherit"/>
          <w:color w:val="1F1F1F"/>
          <w:sz w:val="42"/>
        </w:rPr>
        <w:t xml:space="preserve"> </w:t>
      </w:r>
      <w:r>
        <w:t xml:space="preserve">This species is of significant economic interest. However, almost no studies </w:t>
      </w:r>
      <w:r>
        <w:rPr>
          <w:highlight w:val="yellow"/>
        </w:rPr>
        <w:t>have exami</w:t>
      </w:r>
      <w:r>
        <w:t>n</w:t>
      </w:r>
      <w:r>
        <w:rPr>
          <w:highlight w:val="yellow"/>
        </w:rPr>
        <w:t>ed</w:t>
      </w:r>
      <w:r>
        <w:t xml:space="preserve"> its biology and ecology.</w:t>
      </w:r>
      <w:r>
        <w:rPr>
          <w:rFonts w:ascii="inherit" w:hAnsi="inherit"/>
          <w:color w:val="1F1F1F"/>
          <w:sz w:val="42"/>
        </w:rPr>
        <w:t xml:space="preserve"> </w:t>
      </w:r>
      <w:r>
        <w:t>The sustainable exploitation of fishery resources requires a sound understanding of their biology</w:t>
      </w:r>
      <w:r>
        <w:rPr>
          <w:highlight w:val="yellow"/>
        </w:rPr>
        <w:t>,</w:t>
      </w:r>
      <w:r>
        <w:t xml:space="preserve"> specifically the growth and reproduction of individuals within a population. Certain reproductive parameters</w:t>
      </w:r>
      <w:r>
        <w:rPr>
          <w:highlight w:val="yellow"/>
        </w:rPr>
        <w:t>,</w:t>
      </w:r>
      <w:r>
        <w:t xml:space="preserve"> such as size at first sexual maturity, variation in the gonadosomatic index, and fecundity</w:t>
      </w:r>
      <w:r>
        <w:rPr>
          <w:highlight w:val="yellow"/>
        </w:rPr>
        <w:t>,</w:t>
      </w:r>
      <w:r>
        <w:t xml:space="preserve"> allow </w:t>
      </w:r>
      <w:r>
        <w:rPr>
          <w:highlight w:val="yellow"/>
        </w:rPr>
        <w:t>repr</w:t>
      </w:r>
      <w:r>
        <w:t>o</w:t>
      </w:r>
      <w:r>
        <w:rPr>
          <w:highlight w:val="yellow"/>
        </w:rPr>
        <w:t>duction</w:t>
      </w:r>
      <w:r>
        <w:t xml:space="preserve"> </w:t>
      </w:r>
      <w:r>
        <w:rPr>
          <w:highlight w:val="yellow"/>
        </w:rPr>
        <w:t>to be</w:t>
      </w:r>
      <w:r>
        <w:t xml:space="preserve"> better characteri</w:t>
      </w:r>
      <w:r>
        <w:rPr>
          <w:highlight w:val="yellow"/>
        </w:rPr>
        <w:t>s</w:t>
      </w:r>
      <w:r>
        <w:t xml:space="preserve">ed by </w:t>
      </w:r>
      <w:r w:rsidRPr="00CB2623">
        <w:t>indicating the spawning period and strategy (</w:t>
      </w:r>
      <w:r w:rsidRPr="00CB2623">
        <w:rPr>
          <w:highlight w:val="yellow"/>
        </w:rPr>
        <w:t>Abdalla</w:t>
      </w:r>
      <w:r w:rsidRPr="00CB2623">
        <w:t xml:space="preserve"> et al., 20</w:t>
      </w:r>
      <w:r w:rsidRPr="00CB2623">
        <w:rPr>
          <w:highlight w:val="yellow"/>
        </w:rPr>
        <w:t>2</w:t>
      </w:r>
      <w:r w:rsidRPr="00CB2623">
        <w:t>4). Size at first sexual maturity in fish plays a key role in determining minimum catch sizes and regulating fishing</w:t>
      </w:r>
      <w:r w:rsidRPr="00CB2623">
        <w:rPr>
          <w:highlight w:val="yellow"/>
        </w:rPr>
        <w:t>-</w:t>
      </w:r>
      <w:r w:rsidRPr="00CB2623">
        <w:t>net mesh sizes (Chi</w:t>
      </w:r>
      <w:r w:rsidRPr="00CB2623">
        <w:rPr>
          <w:highlight w:val="yellow"/>
        </w:rPr>
        <w:t>k</w:t>
      </w:r>
      <w:r w:rsidRPr="00CB2623">
        <w:t>ou, 2006).</w:t>
      </w:r>
      <w:r w:rsidRPr="00CB2623">
        <w:rPr>
          <w:highlight w:val="yellow"/>
        </w:rPr>
        <w:t xml:space="preserve"> Recent studies on Nile tilapia in African inland waters have similarly used sex ratio, </w:t>
      </w:r>
      <w:r w:rsidRPr="00CB2623">
        <w:rPr>
          <w:highlight w:val="yellow"/>
        </w:rPr>
        <w:lastRenderedPageBreak/>
        <w:t xml:space="preserve">gonadosomatic index, fecundity, and breeding season to describe reproductive patterns relevant to fisheries management (Abdalla et al., </w:t>
      </w:r>
      <w:proofErr w:type="gramStart"/>
      <w:r w:rsidRPr="00CB2623">
        <w:rPr>
          <w:highlight w:val="yellow"/>
        </w:rPr>
        <w:t>2024;</w:t>
      </w:r>
      <w:proofErr w:type="gramEnd"/>
      <w:r w:rsidRPr="00CB2623">
        <w:rPr>
          <w:highlight w:val="yellow"/>
        </w:rPr>
        <w:t xml:space="preserve"> Wagaw et al., 2024). Likewise, size at first maturity and condition-related metrics have been used to assess </w:t>
      </w:r>
      <w:r w:rsidRPr="00CB2623">
        <w:rPr>
          <w:i/>
          <w:highlight w:val="yellow"/>
        </w:rPr>
        <w:t>O. niloticus</w:t>
      </w:r>
      <w:r w:rsidRPr="00CB2623">
        <w:rPr>
          <w:highlight w:val="yellow"/>
        </w:rPr>
        <w:t xml:space="preserve"> populations across contrasting lake environments (Mutie et al., </w:t>
      </w:r>
      <w:proofErr w:type="gramStart"/>
      <w:r w:rsidRPr="00CB2623">
        <w:rPr>
          <w:highlight w:val="yellow"/>
        </w:rPr>
        <w:t>2024;</w:t>
      </w:r>
      <w:proofErr w:type="gramEnd"/>
      <w:r w:rsidRPr="00CB2623">
        <w:rPr>
          <w:highlight w:val="yellow"/>
        </w:rPr>
        <w:t xml:space="preserve"> Nkanta et al., 2025). Recent lake-based studies have also reported population-specific reproductive patterns for </w:t>
      </w:r>
      <w:r w:rsidRPr="00CB2623">
        <w:rPr>
          <w:i/>
          <w:highlight w:val="yellow"/>
        </w:rPr>
        <w:t>O. niloticus</w:t>
      </w:r>
      <w:r w:rsidRPr="00CB2623">
        <w:rPr>
          <w:highlight w:val="yellow"/>
        </w:rPr>
        <w:t>, supporting the value of site-specific reproductive information (Handago et al., 2024). W</w:t>
      </w:r>
      <w:r w:rsidRPr="00CB2623">
        <w:t>ithin this context</w:t>
      </w:r>
      <w:r w:rsidRPr="00CB2623">
        <w:rPr>
          <w:highlight w:val="yellow"/>
        </w:rPr>
        <w:t>,</w:t>
      </w:r>
      <w:r w:rsidRPr="00CB2623">
        <w:t xml:space="preserve"> the present study aim</w:t>
      </w:r>
      <w:r w:rsidRPr="00CB2623">
        <w:rPr>
          <w:highlight w:val="yellow"/>
        </w:rPr>
        <w:t>ed</w:t>
      </w:r>
      <w:r w:rsidRPr="00CB2623">
        <w:t xml:space="preserve"> to determine certain reproductive parameters of </w:t>
      </w:r>
      <w:r w:rsidRPr="00CB2623">
        <w:rPr>
          <w:i/>
        </w:rPr>
        <w:t>Oreochromis niloticus</w:t>
      </w:r>
      <w:r w:rsidRPr="00CB2623">
        <w:t xml:space="preserve"> in the Zienkôlô dam lake.</w:t>
      </w:r>
    </w:p>
    <w:p w14:paraId="7CD25FAB" w14:textId="77777777" w:rsidR="0032745D" w:rsidRPr="00CB2623" w:rsidRDefault="0032745D" w:rsidP="00E150EC">
      <w:pPr>
        <w:pStyle w:val="Default"/>
        <w:spacing w:before="240" w:line="360" w:lineRule="auto"/>
        <w:jc w:val="both"/>
        <w:rPr>
          <w:b/>
          <w:bCs/>
        </w:rPr>
      </w:pPr>
      <w:r w:rsidRPr="00CB2623">
        <w:rPr>
          <w:b/>
          <w:bCs/>
        </w:rPr>
        <w:t xml:space="preserve">2. Materials and Methods </w:t>
      </w:r>
    </w:p>
    <w:p w14:paraId="2DAD2F8A" w14:textId="77777777" w:rsidR="00EE527A" w:rsidRPr="00B1315D" w:rsidRDefault="0032745D" w:rsidP="00E150EC">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2.1 Study Area</w:t>
      </w:r>
    </w:p>
    <w:p w14:paraId="680583E4" w14:textId="77777777" w:rsidR="00F500CF" w:rsidRPr="00B1315D" w:rsidRDefault="0032745D" w:rsidP="00E150EC">
      <w:pPr>
        <w:spacing w:line="360" w:lineRule="auto"/>
        <w:jc w:val="both"/>
        <w:rPr>
          <w:rFonts w:ascii="Times New Roman" w:hAnsi="Times New Roman" w:cs="Times New Roman"/>
          <w:sz w:val="24"/>
          <w:szCs w:val="24"/>
        </w:rPr>
      </w:pPr>
      <w:r>
        <w:rPr>
          <w:rFonts w:ascii="Times New Roman" w:hAnsi="Times New Roman"/>
          <w:sz w:val="24"/>
        </w:rPr>
        <w:t>The Zienkôlô dam lake (Figure 1) is an artificial body of water created in the 1970s in northern Côte d’Ivoire to support agricultural activities during periods of drought (Le Guen, 2002). It is located in the village of Zienkôlô, in northern Côte d’Ivoire, in the Korhogo Department (Poro Region).</w:t>
      </w:r>
      <w:r>
        <w:rPr>
          <w:rFonts w:ascii="inherit" w:hAnsi="inherit"/>
          <w:color w:val="1F1F1F"/>
          <w:sz w:val="42"/>
        </w:rPr>
        <w:t xml:space="preserve"> </w:t>
      </w:r>
      <w:r>
        <w:rPr>
          <w:rFonts w:ascii="Times New Roman" w:hAnsi="Times New Roman"/>
          <w:sz w:val="24"/>
        </w:rPr>
        <w:t xml:space="preserve">The lake is located approximately </w:t>
      </w:r>
      <w:r>
        <w:rPr>
          <w:rFonts w:ascii="Times New Roman" w:hAnsi="Times New Roman"/>
          <w:sz w:val="24"/>
          <w:highlight w:val="yellow"/>
        </w:rPr>
        <w:t>a</w:t>
      </w:r>
      <w:r>
        <w:rPr>
          <w:rFonts w:ascii="Times New Roman" w:hAnsi="Times New Roman"/>
          <w:sz w:val="24"/>
        </w:rPr>
        <w:t xml:space="preserve">t 9°29′16″ N and 5°49′35″ W, </w:t>
      </w:r>
      <w:r>
        <w:rPr>
          <w:rFonts w:ascii="Times New Roman" w:hAnsi="Times New Roman"/>
          <w:sz w:val="24"/>
          <w:highlight w:val="yellow"/>
        </w:rPr>
        <w:t>with</w:t>
      </w:r>
      <w:r>
        <w:rPr>
          <w:rFonts w:ascii="Times New Roman" w:hAnsi="Times New Roman"/>
          <w:sz w:val="24"/>
        </w:rPr>
        <w:t>in a Sudanian landscape characteri</w:t>
      </w:r>
      <w:r>
        <w:rPr>
          <w:rFonts w:ascii="Times New Roman" w:hAnsi="Times New Roman"/>
          <w:sz w:val="24"/>
          <w:highlight w:val="yellow"/>
        </w:rPr>
        <w:t>s</w:t>
      </w:r>
      <w:r>
        <w:rPr>
          <w:rFonts w:ascii="Times New Roman" w:hAnsi="Times New Roman"/>
          <w:sz w:val="24"/>
        </w:rPr>
        <w:t>ed by an alternation between a long dry season and a short rainy season.</w:t>
      </w:r>
    </w:p>
    <w:p w14:paraId="36A1BBF6" w14:textId="77777777" w:rsidR="0032745D" w:rsidRPr="00B1315D" w:rsidRDefault="00F500CF" w:rsidP="00E150EC">
      <w:pPr>
        <w:spacing w:line="360" w:lineRule="auto"/>
        <w:jc w:val="both"/>
        <w:rPr>
          <w:rFonts w:ascii="Times New Roman" w:hAnsi="Times New Roman" w:cs="Times New Roman"/>
          <w:sz w:val="24"/>
          <w:szCs w:val="24"/>
        </w:rPr>
      </w:pPr>
      <w:r w:rsidRPr="00B1315D">
        <w:rPr>
          <w:noProof/>
          <w:lang w:eastAsia="fr-FR"/>
        </w:rPr>
        <w:drawing>
          <wp:inline distT="0" distB="0" distL="0" distR="0" wp14:anchorId="7293524F" wp14:editId="18C9858E">
            <wp:extent cx="3451860" cy="24536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4525" t="28793" r="5556" b="18528"/>
                    <a:stretch/>
                  </pic:blipFill>
                  <pic:spPr bwMode="auto">
                    <a:xfrm>
                      <a:off x="0" y="0"/>
                      <a:ext cx="3451860" cy="2453640"/>
                    </a:xfrm>
                    <a:prstGeom prst="rect">
                      <a:avLst/>
                    </a:prstGeom>
                    <a:ln>
                      <a:noFill/>
                    </a:ln>
                    <a:extLst>
                      <a:ext uri="{53640926-AAD7-44D8-BBD7-CCE9431645EC}">
                        <a14:shadowObscured xmlns:a14="http://schemas.microsoft.com/office/drawing/2010/main"/>
                      </a:ext>
                    </a:extLst>
                  </pic:spPr>
                </pic:pic>
              </a:graphicData>
            </a:graphic>
          </wp:inline>
        </w:drawing>
      </w:r>
    </w:p>
    <w:p w14:paraId="75B4A90D" w14:textId="77777777" w:rsidR="00F500CF" w:rsidRPr="00B1315D" w:rsidRDefault="00F500CF" w:rsidP="00E150EC">
      <w:pPr>
        <w:jc w:val="both"/>
        <w:rPr>
          <w:rFonts w:ascii="Times New Roman" w:hAnsi="Times New Roman" w:cs="Times New Roman"/>
          <w:b/>
          <w:bCs/>
          <w:sz w:val="24"/>
          <w:szCs w:val="24"/>
        </w:rPr>
      </w:pPr>
      <w:r w:rsidRPr="00B1315D">
        <w:rPr>
          <w:rFonts w:ascii="Times New Roman" w:hAnsi="Times New Roman" w:cs="Times New Roman"/>
        </w:rPr>
        <w:t xml:space="preserve">Figure 1 : </w:t>
      </w:r>
      <w:r w:rsidR="00B1315D" w:rsidRPr="00B1315D">
        <w:rPr>
          <w:rFonts w:ascii="Times New Roman" w:hAnsi="Times New Roman" w:cs="Times New Roman"/>
        </w:rPr>
        <w:t>Overview of the study area</w:t>
      </w:r>
    </w:p>
    <w:p w14:paraId="2EC64C03" w14:textId="77777777" w:rsidR="0032745D" w:rsidRPr="00B1315D" w:rsidRDefault="0032745D" w:rsidP="00E150EC">
      <w:pPr>
        <w:jc w:val="both"/>
      </w:pPr>
    </w:p>
    <w:p w14:paraId="085EE556" w14:textId="77777777" w:rsidR="00E970C6" w:rsidRPr="00B1315D" w:rsidRDefault="00E970C6" w:rsidP="00E150EC">
      <w:pPr>
        <w:jc w:val="both"/>
        <w:rPr>
          <w:b/>
          <w:bCs/>
        </w:rPr>
      </w:pPr>
      <w:r w:rsidRPr="00B1315D">
        <w:rPr>
          <w:b/>
          <w:bCs/>
        </w:rPr>
        <w:t xml:space="preserve">2.3 </w:t>
      </w:r>
      <w:r w:rsidRPr="00B1315D">
        <w:rPr>
          <w:b/>
          <w:bCs/>
          <w:lang w:val="en"/>
        </w:rPr>
        <w:t>Sampling and measurement of reproductive parameters</w:t>
      </w:r>
    </w:p>
    <w:p w14:paraId="3B90CA57" w14:textId="77777777" w:rsidR="00E0038D" w:rsidRPr="00B1315D" w:rsidRDefault="009F5B41" w:rsidP="00E150EC">
      <w:pPr>
        <w:spacing w:after="0" w:line="360" w:lineRule="auto"/>
        <w:jc w:val="both"/>
        <w:rPr>
          <w:rFonts w:ascii="Times New Roman" w:hAnsi="Times New Roman" w:cs="Times New Roman"/>
          <w:sz w:val="24"/>
          <w:szCs w:val="24"/>
          <w:lang w:val="en"/>
        </w:rPr>
      </w:pPr>
      <w:r>
        <w:rPr>
          <w:rFonts w:ascii="Times New Roman" w:hAnsi="Times New Roman"/>
          <w:sz w:val="24"/>
        </w:rPr>
        <w:t xml:space="preserve">Monthly sampling was conducted from December 2024 to November 2025. The specimens obtained through artisanal fishing were caught using gillnets and cast nets. A total of 351 specimens were examined and identified using the identification key </w:t>
      </w:r>
      <w:r>
        <w:rPr>
          <w:rFonts w:ascii="Times New Roman" w:hAnsi="Times New Roman"/>
          <w:sz w:val="24"/>
          <w:highlight w:val="yellow"/>
        </w:rPr>
        <w:t>of</w:t>
      </w:r>
      <w:r>
        <w:rPr>
          <w:rFonts w:ascii="Times New Roman" w:hAnsi="Times New Roman"/>
          <w:sz w:val="24"/>
        </w:rPr>
        <w:t xml:space="preserve"> </w:t>
      </w:r>
      <w:r>
        <w:rPr>
          <w:rFonts w:ascii="Times New Roman" w:hAnsi="Times New Roman"/>
          <w:sz w:val="24"/>
          <w:highlight w:val="yellow"/>
        </w:rPr>
        <w:t>Lévêq</w:t>
      </w:r>
      <w:r>
        <w:rPr>
          <w:rFonts w:ascii="Times New Roman" w:hAnsi="Times New Roman"/>
          <w:sz w:val="24"/>
        </w:rPr>
        <w:t>u</w:t>
      </w:r>
      <w:r>
        <w:rPr>
          <w:rFonts w:ascii="Times New Roman" w:hAnsi="Times New Roman"/>
          <w:sz w:val="24"/>
          <w:highlight w:val="yellow"/>
        </w:rPr>
        <w:t>e</w:t>
      </w:r>
      <w:r>
        <w:rPr>
          <w:rFonts w:ascii="Times New Roman" w:hAnsi="Times New Roman"/>
          <w:sz w:val="24"/>
        </w:rPr>
        <w:t xml:space="preserve"> et al. (1992). For each specimen, the following were recorded: standard length and total length to the nearest millimet</w:t>
      </w:r>
      <w:r>
        <w:rPr>
          <w:rFonts w:ascii="Times New Roman" w:hAnsi="Times New Roman"/>
          <w:sz w:val="24"/>
          <w:highlight w:val="yellow"/>
        </w:rPr>
        <w:t>r</w:t>
      </w:r>
      <w:r>
        <w:rPr>
          <w:rFonts w:ascii="Times New Roman" w:hAnsi="Times New Roman"/>
          <w:sz w:val="24"/>
        </w:rPr>
        <w:t>e; total weight and gutted weight to the nearest gram</w:t>
      </w:r>
      <w:r>
        <w:rPr>
          <w:rFonts w:ascii="Times New Roman" w:hAnsi="Times New Roman"/>
          <w:sz w:val="24"/>
          <w:highlight w:val="yellow"/>
        </w:rPr>
        <w:t>;</w:t>
      </w:r>
      <w:r>
        <w:rPr>
          <w:rFonts w:ascii="Times New Roman" w:hAnsi="Times New Roman"/>
          <w:sz w:val="24"/>
        </w:rPr>
        <w:t xml:space="preserve"> gonad and liver weights to the </w:t>
      </w:r>
      <w:r>
        <w:rPr>
          <w:rFonts w:ascii="Times New Roman" w:hAnsi="Times New Roman"/>
          <w:sz w:val="24"/>
        </w:rPr>
        <w:lastRenderedPageBreak/>
        <w:t>nearest decigram</w:t>
      </w:r>
      <w:r>
        <w:rPr>
          <w:rFonts w:ascii="Times New Roman" w:hAnsi="Times New Roman"/>
          <w:sz w:val="24"/>
          <w:highlight w:val="yellow"/>
        </w:rPr>
        <w:t>;</w:t>
      </w:r>
      <w:r>
        <w:rPr>
          <w:rFonts w:ascii="Times New Roman" w:hAnsi="Times New Roman"/>
          <w:sz w:val="24"/>
        </w:rPr>
        <w:t xml:space="preserve"> and sex and macroscopic sexual maturity stage</w:t>
      </w:r>
      <w:r>
        <w:rPr>
          <w:rFonts w:ascii="Times New Roman" w:hAnsi="Times New Roman"/>
          <w:sz w:val="24"/>
          <w:highlight w:val="yellow"/>
        </w:rPr>
        <w:t>,</w:t>
      </w:r>
      <w:r>
        <w:rPr>
          <w:rFonts w:ascii="Times New Roman" w:hAnsi="Times New Roman"/>
          <w:sz w:val="24"/>
        </w:rPr>
        <w:t xml:space="preserve"> based on Fontana (1969). Reproductive parameters</w:t>
      </w:r>
      <w:r>
        <w:rPr>
          <w:rFonts w:ascii="Times New Roman" w:hAnsi="Times New Roman"/>
          <w:sz w:val="24"/>
          <w:highlight w:val="yellow"/>
        </w:rPr>
        <w:t>,</w:t>
      </w:r>
      <w:r>
        <w:rPr>
          <w:rFonts w:ascii="Times New Roman" w:hAnsi="Times New Roman"/>
          <w:sz w:val="24"/>
        </w:rPr>
        <w:t xml:space="preserve"> specifically sex ratio (SR), size at first sexual maturity (L50), gonadosomatic index (GSI), hepatosomatic index (HSI), and condition factor (K)</w:t>
      </w:r>
      <w:r>
        <w:rPr>
          <w:rFonts w:ascii="Times New Roman" w:hAnsi="Times New Roman"/>
          <w:sz w:val="24"/>
          <w:highlight w:val="yellow"/>
        </w:rPr>
        <w:t>,</w:t>
      </w:r>
      <w:r>
        <w:rPr>
          <w:rFonts w:ascii="Times New Roman" w:hAnsi="Times New Roman"/>
          <w:sz w:val="24"/>
        </w:rPr>
        <w:t xml:space="preserve"> were then determined. The chi-square</w:t>
      </w:r>
      <w:r>
        <w:rPr>
          <w:rFonts w:ascii="Times New Roman" w:hAnsi="Times New Roman"/>
          <w:sz w:val="24"/>
          <w:highlight w:val="yellow"/>
        </w:rPr>
        <w:t>d</w:t>
      </w:r>
      <w:r>
        <w:rPr>
          <w:rFonts w:ascii="Times New Roman" w:hAnsi="Times New Roman"/>
          <w:sz w:val="24"/>
        </w:rPr>
        <w:t xml:space="preserve"> (χ²) test was used to compare the sex ratios for the different months and seasons with the theoretical sex ratio (1:1).</w:t>
      </w:r>
    </w:p>
    <w:p w14:paraId="3CAF4AFD" w14:textId="77777777" w:rsidR="003F18E7" w:rsidRPr="00B1315D" w:rsidRDefault="003F18E7" w:rsidP="00E150EC">
      <w:pPr>
        <w:spacing w:after="0" w:line="360" w:lineRule="auto"/>
        <w:jc w:val="both"/>
        <w:rPr>
          <w:rFonts w:ascii="Times New Roman" w:hAnsi="Times New Roman" w:cs="Times New Roman"/>
          <w:sz w:val="24"/>
          <w:szCs w:val="24"/>
        </w:rPr>
      </w:pPr>
      <w:r>
        <w:rPr>
          <w:rFonts w:ascii="Times New Roman" w:hAnsi="Times New Roman"/>
          <w:sz w:val="24"/>
        </w:rPr>
        <w:t>Sizes at first maturity were compared b</w:t>
      </w:r>
      <w:r>
        <w:rPr>
          <w:rFonts w:ascii="Times New Roman" w:hAnsi="Times New Roman"/>
          <w:sz w:val="24"/>
          <w:highlight w:val="yellow"/>
        </w:rPr>
        <w:t>etween</w:t>
      </w:r>
      <w:r>
        <w:rPr>
          <w:rFonts w:ascii="Times New Roman" w:hAnsi="Times New Roman"/>
          <w:sz w:val="24"/>
        </w:rPr>
        <w:t xml:space="preserve"> sex</w:t>
      </w:r>
      <w:r>
        <w:rPr>
          <w:rFonts w:ascii="Times New Roman" w:hAnsi="Times New Roman"/>
          <w:sz w:val="24"/>
          <w:highlight w:val="yellow"/>
        </w:rPr>
        <w:t>es</w:t>
      </w:r>
      <w:r>
        <w:rPr>
          <w:rFonts w:ascii="Times New Roman" w:hAnsi="Times New Roman"/>
          <w:sz w:val="24"/>
        </w:rPr>
        <w:t xml:space="preserve"> using Statistica version 7.1 software.</w:t>
      </w:r>
    </w:p>
    <w:p w14:paraId="2BDCAE84" w14:textId="77777777" w:rsidR="00A212A0" w:rsidRPr="00B1315D" w:rsidRDefault="00A212A0" w:rsidP="00E150EC">
      <w:pPr>
        <w:pStyle w:val="ListParagraph"/>
        <w:numPr>
          <w:ilvl w:val="0"/>
          <w:numId w:val="3"/>
        </w:numPr>
        <w:spacing w:after="0"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Sex ratio (SR)</w:t>
      </w:r>
    </w:p>
    <w:p w14:paraId="4C1FD94A" w14:textId="77777777" w:rsidR="00A212A0" w:rsidRPr="00B1315D" w:rsidRDefault="00A212A0" w:rsidP="00E150EC">
      <w:pPr>
        <w:spacing w:line="360" w:lineRule="auto"/>
        <w:ind w:left="360"/>
        <w:jc w:val="both"/>
        <w:rPr>
          <w:rFonts w:ascii="Times New Roman" w:hAnsi="Times New Roman" w:cs="Times New Roman"/>
          <w:sz w:val="24"/>
          <w:szCs w:val="24"/>
        </w:rPr>
      </w:pPr>
      <w:r>
        <w:rPr>
          <w:rFonts w:ascii="Times New Roman" w:hAnsi="Times New Roman"/>
          <w:sz w:val="24"/>
        </w:rPr>
        <w:t>The sex ratio makes it possible to assess the demographic structure and reproductive biomass of a given stock.</w:t>
      </w:r>
      <w:r>
        <w:rPr>
          <w:rFonts w:ascii="Times New Roman" w:hAnsi="Times New Roman"/>
          <w:color w:val="1F1F1F"/>
          <w:sz w:val="44"/>
        </w:rPr>
        <w:t xml:space="preserve"> </w:t>
      </w:r>
      <w:r>
        <w:rPr>
          <w:rFonts w:ascii="Times New Roman" w:hAnsi="Times New Roman"/>
          <w:sz w:val="24"/>
        </w:rPr>
        <w:t>It defines the relative proportion of the sexes (male and female) within a population.</w:t>
      </w:r>
      <w:r>
        <w:rPr>
          <w:rFonts w:ascii="Times New Roman" w:hAnsi="Times New Roman"/>
          <w:color w:val="1F1F1F"/>
          <w:sz w:val="44"/>
        </w:rPr>
        <w:t xml:space="preserve"> </w:t>
      </w:r>
      <w:r>
        <w:rPr>
          <w:rFonts w:ascii="Times New Roman" w:hAnsi="Times New Roman"/>
          <w:sz w:val="24"/>
        </w:rPr>
        <w:t xml:space="preserve">The sex ratio provides information on the balance of sexes within a population (Kartas </w:t>
      </w:r>
      <w:r>
        <w:rPr>
          <w:rFonts w:ascii="Times New Roman" w:hAnsi="Times New Roman"/>
          <w:sz w:val="24"/>
          <w:highlight w:val="yellow"/>
        </w:rPr>
        <w:t>&amp;</w:t>
      </w:r>
      <w:r>
        <w:rPr>
          <w:rFonts w:ascii="Times New Roman" w:hAnsi="Times New Roman"/>
          <w:sz w:val="24"/>
        </w:rPr>
        <w:t xml:space="preserve"> Quignard</w:t>
      </w:r>
      <w:r>
        <w:rPr>
          <w:rFonts w:ascii="Times New Roman" w:hAnsi="Times New Roman"/>
          <w:sz w:val="24"/>
          <w:highlight w:val="yellow"/>
        </w:rPr>
        <w:t>,</w:t>
      </w:r>
      <w:r>
        <w:rPr>
          <w:rFonts w:ascii="Times New Roman" w:hAnsi="Times New Roman"/>
          <w:sz w:val="24"/>
        </w:rPr>
        <w:t xml:space="preserve"> 1984).</w:t>
      </w:r>
      <w:r>
        <w:rPr>
          <w:rFonts w:ascii="Times New Roman" w:hAnsi="Times New Roman"/>
          <w:color w:val="1F1F1F"/>
          <w:sz w:val="44"/>
        </w:rPr>
        <w:t xml:space="preserve"> </w:t>
      </w:r>
      <w:r>
        <w:rPr>
          <w:rFonts w:ascii="Times New Roman" w:hAnsi="Times New Roman"/>
          <w:sz w:val="24"/>
        </w:rPr>
        <w:t>It is expressed as follows:</w:t>
      </w:r>
    </w:p>
    <w:p w14:paraId="7CDFD5D4" w14:textId="77777777" w:rsidR="00A212A0" w:rsidRPr="00B1315D" w:rsidRDefault="00A212A0" w:rsidP="00E150EC">
      <w:pPr>
        <w:spacing w:line="360" w:lineRule="auto"/>
        <w:jc w:val="both"/>
        <w:rPr>
          <w:sz w:val="28"/>
          <w:szCs w:val="28"/>
        </w:rPr>
      </w:pPr>
      <m:oMath>
        <m:r>
          <w:rPr>
            <w:rFonts w:ascii="Cambria Math" w:hAnsi="Cambria Math"/>
            <w:sz w:val="28"/>
            <w:szCs w:val="28"/>
          </w:rPr>
          <m:t>SR=</m:t>
        </m:r>
        <m:f>
          <m:fPr>
            <m:ctrlPr>
              <w:rPr>
                <w:rFonts w:ascii="Cambria Math" w:hAnsi="Cambria Math"/>
                <w:sz w:val="28"/>
                <w:szCs w:val="28"/>
              </w:rPr>
            </m:ctrlPr>
          </m:fPr>
          <m:num>
            <m:r>
              <w:rPr>
                <w:rFonts w:ascii="Cambria Math" w:hAnsi="Cambria Math"/>
                <w:sz w:val="28"/>
                <w:szCs w:val="28"/>
              </w:rPr>
              <m:t>M</m:t>
            </m:r>
          </m:num>
          <m:den>
            <m:r>
              <w:rPr>
                <w:rFonts w:ascii="Cambria Math" w:hAnsi="Cambria Math"/>
                <w:sz w:val="28"/>
                <w:szCs w:val="28"/>
              </w:rPr>
              <m:t>F</m:t>
            </m:r>
          </m:den>
        </m:f>
      </m:oMath>
      <w:r w:rsidRPr="00B1315D">
        <w:rPr>
          <w:sz w:val="28"/>
          <w:szCs w:val="28"/>
        </w:rPr>
        <w:t xml:space="preserve"> </w:t>
      </w:r>
    </w:p>
    <w:p w14:paraId="321B2013" w14:textId="77777777" w:rsidR="00A212A0" w:rsidRPr="00B1315D" w:rsidRDefault="004A2058" w:rsidP="00E150EC">
      <w:pPr>
        <w:ind w:left="360"/>
        <w:jc w:val="both"/>
      </w:pPr>
      <w:r w:rsidRPr="00B1315D">
        <w:rPr>
          <w:lang w:val="en"/>
        </w:rPr>
        <w:t>SR: sex ratio; M: number of males; F: number of females;</w:t>
      </w:r>
    </w:p>
    <w:p w14:paraId="55AA4EB2" w14:textId="77777777" w:rsidR="00A212A0" w:rsidRPr="00B1315D" w:rsidRDefault="00AB1917" w:rsidP="00E150EC">
      <w:pPr>
        <w:pStyle w:val="ListParagraph"/>
        <w:numPr>
          <w:ilvl w:val="0"/>
          <w:numId w:val="3"/>
        </w:numPr>
        <w:jc w:val="both"/>
        <w:rPr>
          <w:sz w:val="24"/>
          <w:szCs w:val="24"/>
        </w:rPr>
      </w:pPr>
      <w:r w:rsidRPr="00B1315D">
        <w:rPr>
          <w:sz w:val="24"/>
          <w:szCs w:val="24"/>
        </w:rPr>
        <w:t>Size at first sexual maturity (L50)</w:t>
      </w:r>
    </w:p>
    <w:p w14:paraId="0199DBAF" w14:textId="77777777" w:rsidR="00AB1917" w:rsidRPr="00B1315D" w:rsidRDefault="00AB1917" w:rsidP="00E150EC">
      <w:pPr>
        <w:jc w:val="both"/>
      </w:pPr>
      <w:r>
        <w:t>The size at first sexual maturity makes it possible to estimate the fraction of the stock that is harvested before reproduc</w:t>
      </w:r>
      <w:r>
        <w:rPr>
          <w:highlight w:val="yellow"/>
        </w:rPr>
        <w:t>ing</w:t>
      </w:r>
      <w:r>
        <w:t xml:space="preserve"> at least once and </w:t>
      </w:r>
      <w:r>
        <w:rPr>
          <w:highlight w:val="yellow"/>
        </w:rPr>
        <w:t>t</w:t>
      </w:r>
      <w:r>
        <w:t>h</w:t>
      </w:r>
      <w:r>
        <w:rPr>
          <w:highlight w:val="yellow"/>
        </w:rPr>
        <w:t>at</w:t>
      </w:r>
      <w:r>
        <w:t>, therefore, will not contribute to stock renewal (Domain et al., 2000).</w:t>
      </w:r>
      <w:r>
        <w:rPr>
          <w:rFonts w:ascii="inherit" w:hAnsi="inherit"/>
          <w:color w:val="1F1F1F"/>
          <w:sz w:val="42"/>
        </w:rPr>
        <w:t xml:space="preserve"> </w:t>
      </w:r>
      <w:r>
        <w:t>It is also defined as the size at which 50% of individuals in a population are sexually mature during the breeding season.</w:t>
      </w:r>
    </w:p>
    <w:p w14:paraId="068D73F6" w14:textId="77777777" w:rsidR="0051480F" w:rsidRPr="00B1315D" w:rsidRDefault="0051480F" w:rsidP="00E150EC">
      <w:pPr>
        <w:jc w:val="both"/>
      </w:pPr>
      <w:r w:rsidRPr="00B1315D">
        <w:rPr>
          <w:lang w:val="en"/>
        </w:rPr>
        <w:t>The L50 was determined by grouping the sampled individuals by sex and size class.</w:t>
      </w:r>
    </w:p>
    <w:p w14:paraId="7BA65E5C" w14:textId="77777777" w:rsidR="0051480F" w:rsidRPr="00B1315D" w:rsidRDefault="0051480F" w:rsidP="00E150EC">
      <w:pPr>
        <w:jc w:val="both"/>
      </w:pPr>
      <w:r w:rsidRPr="00B1315D">
        <w:rPr>
          <w:lang w:val="en"/>
        </w:rPr>
        <w:t>Next, the proportion of mature individuals in each size class was determined.</w:t>
      </w:r>
    </w:p>
    <w:p w14:paraId="387EEB63" w14:textId="77777777" w:rsidR="0051480F" w:rsidRPr="00B1315D" w:rsidRDefault="0051480F" w:rsidP="00E150EC">
      <w:pPr>
        <w:jc w:val="both"/>
      </w:pPr>
      <w:r w:rsidRPr="00B1315D">
        <w:rPr>
          <w:lang w:val="en"/>
        </w:rPr>
        <w:t>All individuals with gonads at stage III or higher were considered mature.</w:t>
      </w:r>
    </w:p>
    <w:p w14:paraId="78190835" w14:textId="77777777" w:rsidR="0051480F" w:rsidRPr="00B1315D" w:rsidRDefault="0051480F" w:rsidP="00E150EC">
      <w:pPr>
        <w:jc w:val="both"/>
      </w:pPr>
      <w:r w:rsidRPr="00B1315D">
        <w:rPr>
          <w:lang w:val="en"/>
        </w:rPr>
        <w:t>Size-proportion pairs for mature individuals were fitted to a sigmoid-type logistic curve (Amenzoui, 2010), the mathematical expression of which is as follows:</w:t>
      </w:r>
    </w:p>
    <w:p w14:paraId="735CD1E3" w14:textId="77777777" w:rsidR="00EA4FAD" w:rsidRPr="00B1315D" w:rsidRDefault="00EA4FAD" w:rsidP="00E150EC">
      <w:pPr>
        <w:autoSpaceDE w:val="0"/>
        <w:autoSpaceDN w:val="0"/>
        <w:adjustRightInd w:val="0"/>
        <w:spacing w:after="0" w:line="360" w:lineRule="auto"/>
        <w:jc w:val="both"/>
        <w:rPr>
          <w:rFonts w:ascii="Times New Roman" w:hAnsi="Times New Roman" w:cs="Times New Roman"/>
          <w:bCs/>
          <w:sz w:val="18"/>
          <w:szCs w:val="18"/>
        </w:rPr>
      </w:pPr>
      <w:r w:rsidRPr="00B1315D">
        <w:rPr>
          <w:rFonts w:ascii="Times New Roman" w:hAnsi="Times New Roman" w:cs="Times New Roman"/>
          <w:bCs/>
          <w:sz w:val="28"/>
          <w:szCs w:val="28"/>
        </w:rPr>
        <w:t>P = 1 / (1+e</w:t>
      </w:r>
      <w:r w:rsidRPr="00B1315D">
        <w:rPr>
          <w:rFonts w:ascii="Times New Roman" w:hAnsi="Times New Roman" w:cs="Times New Roman"/>
          <w:bCs/>
          <w:sz w:val="28"/>
          <w:szCs w:val="28"/>
          <w:vertAlign w:val="superscript"/>
        </w:rPr>
        <w:t>-(a+b*Lt)</w:t>
      </w:r>
      <w:r w:rsidRPr="00B1315D">
        <w:rPr>
          <w:rFonts w:ascii="Times New Roman" w:hAnsi="Times New Roman" w:cs="Times New Roman"/>
          <w:bCs/>
          <w:sz w:val="28"/>
          <w:szCs w:val="28"/>
        </w:rPr>
        <w:t>) ;</w:t>
      </w:r>
      <w:r w:rsidRPr="00B1315D">
        <w:rPr>
          <w:rFonts w:ascii="Times New Roman" w:hAnsi="Times New Roman" w:cs="Times New Roman"/>
          <w:bCs/>
          <w:sz w:val="18"/>
          <w:szCs w:val="18"/>
          <w:vertAlign w:val="superscript"/>
        </w:rPr>
        <w:t xml:space="preserve">   </w:t>
      </w:r>
      <w:r w:rsidRPr="00B1315D">
        <w:rPr>
          <w:rFonts w:ascii="Times New Roman" w:hAnsi="Times New Roman" w:cs="Times New Roman"/>
          <w:bCs/>
          <w:sz w:val="18"/>
          <w:szCs w:val="18"/>
        </w:rPr>
        <w:t xml:space="preserve"> </w:t>
      </w:r>
      <w:r w:rsidRPr="00B1315D">
        <w:rPr>
          <w:rFonts w:ascii="Times New Roman" w:hAnsi="Times New Roman" w:cs="Times New Roman"/>
          <w:bCs/>
          <w:sz w:val="18"/>
          <w:szCs w:val="18"/>
          <w:vertAlign w:val="superscript"/>
        </w:rPr>
        <w:t xml:space="preserve">        </w:t>
      </w:r>
    </w:p>
    <w:p w14:paraId="4AECDC63" w14:textId="77777777" w:rsidR="00EA4FAD" w:rsidRPr="00B1315D" w:rsidRDefault="00EA4FAD" w:rsidP="00E150EC">
      <w:pPr>
        <w:autoSpaceDE w:val="0"/>
        <w:autoSpaceDN w:val="0"/>
        <w:adjustRightInd w:val="0"/>
        <w:spacing w:after="0" w:line="360" w:lineRule="auto"/>
        <w:jc w:val="both"/>
        <w:rPr>
          <w:rFonts w:ascii="Times New Roman" w:eastAsiaTheme="minorEastAsia" w:hAnsi="Times New Roman" w:cs="Times New Roman"/>
          <w:bCs/>
          <w:sz w:val="28"/>
          <w:szCs w:val="28"/>
        </w:rPr>
      </w:pPr>
      <w:r w:rsidRPr="00B1315D">
        <w:rPr>
          <w:rFonts w:ascii="Times New Roman" w:hAnsi="Times New Roman" w:cs="Times New Roman"/>
          <w:bCs/>
          <w:sz w:val="28"/>
          <w:szCs w:val="28"/>
        </w:rPr>
        <w:t>L</w:t>
      </w:r>
      <w:r w:rsidRPr="00B1315D">
        <w:rPr>
          <w:rFonts w:ascii="Times New Roman" w:hAnsi="Times New Roman" w:cs="Times New Roman"/>
          <w:bCs/>
          <w:sz w:val="28"/>
          <w:szCs w:val="28"/>
          <w:vertAlign w:val="subscript"/>
        </w:rPr>
        <w:t xml:space="preserve">50 </w:t>
      </w:r>
      <w:r w:rsidRPr="00B1315D">
        <w:rPr>
          <w:rFonts w:ascii="Times New Roman" w:hAnsi="Times New Roman" w:cs="Times New Roman"/>
          <w:bCs/>
          <w:sz w:val="28"/>
          <w:szCs w:val="28"/>
        </w:rPr>
        <w:t xml:space="preserve">= - </w:t>
      </w:r>
      <m:oMath>
        <m:f>
          <m:fPr>
            <m:ctrlPr>
              <w:rPr>
                <w:rFonts w:ascii="Cambria Math" w:hAnsi="Cambria Math" w:cs="Times New Roman"/>
                <w:bCs/>
                <w:sz w:val="28"/>
                <w:szCs w:val="28"/>
              </w:rPr>
            </m:ctrlPr>
          </m:fPr>
          <m:num>
            <m:r>
              <w:rPr>
                <w:rFonts w:ascii="Cambria Math" w:hAnsi="Cambria Math" w:cs="Times New Roman"/>
                <w:sz w:val="28"/>
                <w:szCs w:val="28"/>
              </w:rPr>
              <m:t>a</m:t>
            </m:r>
          </m:num>
          <m:den>
            <m:r>
              <w:rPr>
                <w:rFonts w:ascii="Cambria Math" w:hAnsi="Cambria Math" w:cs="Times New Roman"/>
                <w:sz w:val="28"/>
                <w:szCs w:val="28"/>
              </w:rPr>
              <m:t>b</m:t>
            </m:r>
          </m:den>
        </m:f>
        <m:r>
          <m:rPr>
            <m:sty m:val="p"/>
          </m:rPr>
          <w:rPr>
            <w:rFonts w:ascii="Cambria Math" w:hAnsi="Cambria Math" w:cs="Times New Roman"/>
            <w:sz w:val="28"/>
            <w:szCs w:val="28"/>
          </w:rPr>
          <m:t> </m:t>
        </m:r>
      </m:oMath>
      <w:r w:rsidRPr="00B1315D">
        <w:rPr>
          <w:rFonts w:ascii="Times New Roman" w:eastAsiaTheme="minorEastAsia" w:hAnsi="Times New Roman" w:cs="Times New Roman"/>
          <w:bCs/>
          <w:sz w:val="28"/>
          <w:szCs w:val="28"/>
        </w:rPr>
        <w:t>;</w:t>
      </w:r>
    </w:p>
    <w:p w14:paraId="7BCFA398" w14:textId="77777777" w:rsidR="00EA4FAD" w:rsidRPr="00B1315D" w:rsidRDefault="00EA4FAD" w:rsidP="00E150EC">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P = Proportion of mature individuals by size class</w:t>
      </w:r>
    </w:p>
    <w:p w14:paraId="67C3F20E" w14:textId="77777777" w:rsidR="00EA4FAD" w:rsidRPr="00B1315D" w:rsidRDefault="00EA4FAD" w:rsidP="00E150EC">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Cs/>
          <w:sz w:val="24"/>
          <w:szCs w:val="24"/>
          <w:lang w:val="en"/>
        </w:rPr>
        <w:t>Lt = Total length</w:t>
      </w:r>
    </w:p>
    <w:p w14:paraId="6329FC65" w14:textId="77777777" w:rsidR="00EA4FAD" w:rsidRPr="00B1315D" w:rsidRDefault="00EA4FAD" w:rsidP="00E150EC">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a and b = constants.</w:t>
      </w:r>
    </w:p>
    <w:p w14:paraId="5CC48B74" w14:textId="77777777" w:rsidR="004C24F4" w:rsidRPr="00B1315D" w:rsidRDefault="004C24F4" w:rsidP="00E150EC">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Gonadosomatic index (GSI)</w:t>
      </w:r>
    </w:p>
    <w:p w14:paraId="7B26B608" w14:textId="77777777" w:rsidR="004C24F4" w:rsidRPr="00B1315D" w:rsidRDefault="004C24F4" w:rsidP="00E150EC">
      <w:pPr>
        <w:spacing w:after="0" w:line="360" w:lineRule="auto"/>
        <w:jc w:val="both"/>
        <w:rPr>
          <w:rFonts w:ascii="Times New Roman" w:hAnsi="Times New Roman" w:cs="Times New Roman"/>
          <w:sz w:val="24"/>
          <w:szCs w:val="24"/>
        </w:rPr>
      </w:pPr>
      <w:r>
        <w:rPr>
          <w:rFonts w:ascii="Times New Roman" w:hAnsi="Times New Roman"/>
          <w:sz w:val="24"/>
        </w:rPr>
        <w:t>The gonadosomatic index (GSI) is the primary weight-based criterion for characteri</w:t>
      </w:r>
      <w:r>
        <w:rPr>
          <w:rFonts w:ascii="Times New Roman" w:hAnsi="Times New Roman"/>
          <w:sz w:val="24"/>
          <w:highlight w:val="yellow"/>
        </w:rPr>
        <w:t>s</w:t>
      </w:r>
      <w:r>
        <w:rPr>
          <w:rFonts w:ascii="Times New Roman" w:hAnsi="Times New Roman"/>
          <w:sz w:val="24"/>
        </w:rPr>
        <w:t xml:space="preserve">ing the developmental stages of sexual maturation in fish. A relatively high GSI value reflects an advanced stage of gonadal maturation, whereas relatively low values indicate a state of sexual </w:t>
      </w:r>
      <w:r>
        <w:rPr>
          <w:rFonts w:ascii="Times New Roman" w:hAnsi="Times New Roman"/>
          <w:sz w:val="24"/>
        </w:rPr>
        <w:lastRenderedPageBreak/>
        <w:t xml:space="preserve">quiescence or immaturity (Boussou, 2013). Thus, the gonadosomatic index </w:t>
      </w:r>
      <w:r>
        <w:rPr>
          <w:rFonts w:ascii="Times New Roman" w:hAnsi="Times New Roman"/>
          <w:sz w:val="24"/>
          <w:highlight w:val="yellow"/>
        </w:rPr>
        <w:t>c</w:t>
      </w:r>
      <w:r>
        <w:rPr>
          <w:rFonts w:ascii="Times New Roman" w:hAnsi="Times New Roman"/>
          <w:sz w:val="24"/>
        </w:rPr>
        <w:t>a</w:t>
      </w:r>
      <w:r>
        <w:rPr>
          <w:rFonts w:ascii="Times New Roman" w:hAnsi="Times New Roman"/>
          <w:sz w:val="24"/>
          <w:highlight w:val="yellow"/>
        </w:rPr>
        <w:t>n b</w:t>
      </w:r>
      <w:r>
        <w:rPr>
          <w:rFonts w:ascii="Times New Roman" w:hAnsi="Times New Roman"/>
          <w:sz w:val="24"/>
        </w:rPr>
        <w:t>e</w:t>
      </w:r>
      <w:r>
        <w:rPr>
          <w:rFonts w:ascii="Times New Roman" w:hAnsi="Times New Roman"/>
          <w:sz w:val="24"/>
          <w:highlight w:val="yellow"/>
        </w:rPr>
        <w:t xml:space="preserve"> u</w:t>
      </w:r>
      <w:r>
        <w:rPr>
          <w:rFonts w:ascii="Times New Roman" w:hAnsi="Times New Roman"/>
          <w:sz w:val="24"/>
        </w:rPr>
        <w:t>se</w:t>
      </w:r>
      <w:r>
        <w:rPr>
          <w:rFonts w:ascii="Times New Roman" w:hAnsi="Times New Roman"/>
          <w:sz w:val="24"/>
          <w:highlight w:val="yellow"/>
        </w:rPr>
        <w:t>d</w:t>
      </w:r>
      <w:r>
        <w:rPr>
          <w:rFonts w:ascii="Times New Roman" w:hAnsi="Times New Roman"/>
          <w:sz w:val="24"/>
        </w:rPr>
        <w:t xml:space="preserve"> to determine spawning periods during a species' sexual cycle (</w:t>
      </w:r>
      <w:r>
        <w:rPr>
          <w:rFonts w:ascii="Times New Roman" w:hAnsi="Times New Roman"/>
          <w:sz w:val="24"/>
          <w:highlight w:val="yellow"/>
        </w:rPr>
        <w:t>Boussou</w:t>
      </w:r>
      <w:r>
        <w:rPr>
          <w:rFonts w:ascii="Times New Roman" w:hAnsi="Times New Roman"/>
          <w:sz w:val="24"/>
        </w:rPr>
        <w:t>, 20</w:t>
      </w:r>
      <w:r>
        <w:rPr>
          <w:rFonts w:ascii="Times New Roman" w:hAnsi="Times New Roman"/>
          <w:sz w:val="24"/>
          <w:highlight w:val="yellow"/>
        </w:rPr>
        <w:t>13</w:t>
      </w:r>
      <w:r>
        <w:rPr>
          <w:rFonts w:ascii="Times New Roman" w:hAnsi="Times New Roman"/>
          <w:sz w:val="24"/>
        </w:rPr>
        <w:t>). Its mathematical formula is as follows:</w:t>
      </w:r>
    </w:p>
    <w:p w14:paraId="17224965" w14:textId="77777777" w:rsidR="00A47D99" w:rsidRPr="00B1315D" w:rsidRDefault="00A47D99" w:rsidP="00E150EC">
      <w:pPr>
        <w:pStyle w:val="ListParagraph"/>
        <w:autoSpaceDE w:val="0"/>
        <w:autoSpaceDN w:val="0"/>
        <w:adjustRightInd w:val="0"/>
        <w:spacing w:after="0" w:line="360" w:lineRule="auto"/>
        <w:jc w:val="both"/>
        <w:rPr>
          <w:rFonts w:ascii="Arial" w:eastAsiaTheme="minorEastAsia" w:hAnsi="Arial" w:cs="Arial"/>
          <w:sz w:val="24"/>
          <w:szCs w:val="24"/>
        </w:rPr>
      </w:pPr>
      <m:oMath>
        <m:r>
          <w:rPr>
            <w:rFonts w:ascii="Cambria Math" w:hAnsi="Cambria Math" w:cs="Arial"/>
            <w:sz w:val="28"/>
            <w:szCs w:val="28"/>
          </w:rPr>
          <m:t>GSI</m:t>
        </m:r>
        <m:r>
          <m:rPr>
            <m:sty m:val="p"/>
          </m:rPr>
          <w:rPr>
            <w:rFonts w:ascii="Cambria Math" w:hAnsiTheme="majorHAnsi" w:cs="Arial"/>
            <w:sz w:val="28"/>
            <w:szCs w:val="28"/>
          </w:rPr>
          <m:t>=</m:t>
        </m:r>
        <m:f>
          <m:fPr>
            <m:ctrlPr>
              <w:rPr>
                <w:rFonts w:ascii="Cambria Math" w:hAnsiTheme="majorHAnsi" w:cs="Arial"/>
                <w:bCs/>
                <w:sz w:val="28"/>
                <w:szCs w:val="28"/>
              </w:rPr>
            </m:ctrlPr>
          </m:fPr>
          <m:num>
            <m:r>
              <m:rPr>
                <m:sty m:val="p"/>
              </m:rPr>
              <w:rPr>
                <w:rFonts w:ascii="Cambria Math" w:hAnsiTheme="majorHAnsi" w:cs="Arial"/>
                <w:sz w:val="28"/>
                <w:szCs w:val="28"/>
              </w:rPr>
              <m:t>Pg</m:t>
            </m:r>
          </m:num>
          <m:den>
            <m:r>
              <m:rPr>
                <m:sty m:val="p"/>
              </m:rPr>
              <w:rPr>
                <w:rFonts w:ascii="Cambria Math" w:hAnsiTheme="majorHAnsi" w:cs="Arial"/>
                <w:sz w:val="28"/>
                <w:szCs w:val="28"/>
              </w:rPr>
              <m:t>P</m:t>
            </m:r>
            <m:r>
              <m:rPr>
                <m:sty m:val="p"/>
              </m:rPr>
              <w:rPr>
                <w:rFonts w:ascii="Cambria Math" w:hAnsi="Cambria Math" w:cs="Arial"/>
                <w:sz w:val="28"/>
                <w:szCs w:val="28"/>
              </w:rPr>
              <m:t>e</m:t>
            </m:r>
            <m:r>
              <m:rPr>
                <m:sty m:val="p"/>
              </m:rPr>
              <w:rPr>
                <w:rFonts w:ascii="Cambria Math" w:hAnsiTheme="majorHAnsi" w:cs="Arial"/>
                <w:sz w:val="28"/>
                <w:szCs w:val="28"/>
              </w:rPr>
              <m:t>v</m:t>
            </m:r>
          </m:den>
        </m:f>
        <m:r>
          <m:rPr>
            <m:sty m:val="p"/>
          </m:rPr>
          <w:rPr>
            <w:rFonts w:ascii="Cambria Math" w:hAnsiTheme="majorHAnsi" w:cs="Arial"/>
            <w:sz w:val="28"/>
            <w:szCs w:val="28"/>
          </w:rPr>
          <m:t>x100</m:t>
        </m:r>
      </m:oMath>
      <w:r w:rsidRPr="00B1315D">
        <w:rPr>
          <w:rFonts w:ascii="Arial" w:eastAsiaTheme="minorEastAsia" w:hAnsi="Arial" w:cs="Arial"/>
          <w:sz w:val="24"/>
          <w:szCs w:val="24"/>
        </w:rPr>
        <w:t> ;</w:t>
      </w:r>
    </w:p>
    <w:p w14:paraId="19665E2B" w14:textId="77777777" w:rsidR="00C4157D" w:rsidRPr="00B1315D" w:rsidRDefault="00C4157D" w:rsidP="00E150EC">
      <w:pPr>
        <w:pStyle w:val="ListParagraph"/>
        <w:autoSpaceDE w:val="0"/>
        <w:autoSpaceDN w:val="0"/>
        <w:adjustRightInd w:val="0"/>
        <w:spacing w:line="360" w:lineRule="auto"/>
        <w:jc w:val="both"/>
        <w:rPr>
          <w:rFonts w:ascii="Arial" w:hAnsi="Arial" w:cs="Arial"/>
          <w:bCs/>
          <w:sz w:val="24"/>
          <w:szCs w:val="24"/>
          <w:lang w:val="en"/>
        </w:rPr>
      </w:pPr>
      <w:r w:rsidRPr="00B1315D">
        <w:rPr>
          <w:rFonts w:ascii="Arial" w:hAnsi="Arial" w:cs="Arial"/>
          <w:bCs/>
          <w:sz w:val="24"/>
          <w:szCs w:val="24"/>
          <w:lang w:val="en"/>
        </w:rPr>
        <w:t>Pg: gonad weight in g;</w:t>
      </w:r>
    </w:p>
    <w:p w14:paraId="07374D20" w14:textId="77777777" w:rsidR="00AB1917" w:rsidRPr="00B1315D" w:rsidRDefault="00C4157D" w:rsidP="00E150EC">
      <w:pPr>
        <w:pStyle w:val="ListParagraph"/>
        <w:autoSpaceDE w:val="0"/>
        <w:autoSpaceDN w:val="0"/>
        <w:adjustRightInd w:val="0"/>
        <w:spacing w:line="360" w:lineRule="auto"/>
        <w:jc w:val="both"/>
        <w:rPr>
          <w:rFonts w:ascii="Arial" w:hAnsi="Arial" w:cs="Arial"/>
          <w:bCs/>
          <w:sz w:val="24"/>
          <w:szCs w:val="24"/>
          <w:lang w:val="en"/>
        </w:rPr>
      </w:pPr>
      <w:r w:rsidRPr="00B1315D">
        <w:rPr>
          <w:rFonts w:ascii="Arial" w:hAnsi="Arial" w:cs="Arial"/>
          <w:bCs/>
          <w:sz w:val="24"/>
          <w:szCs w:val="24"/>
          <w:lang w:val="en"/>
        </w:rPr>
        <w:t>Pev: eviscerated fish weight in g.</w:t>
      </w:r>
    </w:p>
    <w:p w14:paraId="6F966C42" w14:textId="77777777" w:rsidR="002D20BB" w:rsidRPr="00B1315D" w:rsidRDefault="002D20BB" w:rsidP="00E150EC">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Hepatosomatic index (HSI)</w:t>
      </w:r>
    </w:p>
    <w:p w14:paraId="78C4238C" w14:textId="77777777" w:rsidR="00D900C2" w:rsidRPr="00B1315D" w:rsidRDefault="00D900C2" w:rsidP="00E150EC">
      <w:pPr>
        <w:autoSpaceDE w:val="0"/>
        <w:autoSpaceDN w:val="0"/>
        <w:adjustRightInd w:val="0"/>
        <w:spacing w:after="0" w:line="360" w:lineRule="auto"/>
        <w:ind w:left="360"/>
        <w:jc w:val="both"/>
        <w:rPr>
          <w:rFonts w:ascii="Times New Roman" w:hAnsi="Times New Roman" w:cs="Times New Roman"/>
          <w:bCs/>
          <w:sz w:val="24"/>
          <w:szCs w:val="24"/>
        </w:rPr>
      </w:pPr>
      <w:r>
        <w:rPr>
          <w:rFonts w:ascii="Times New Roman" w:hAnsi="Times New Roman"/>
          <w:sz w:val="24"/>
        </w:rPr>
        <w:t xml:space="preserve">In fish, oogenesis and spermatogenesis require a significant amount of energy, which </w:t>
      </w:r>
      <w:r>
        <w:rPr>
          <w:rFonts w:ascii="Times New Roman" w:hAnsi="Times New Roman"/>
          <w:sz w:val="24"/>
          <w:highlight w:val="yellow"/>
        </w:rPr>
        <w:t>fis</w:t>
      </w:r>
      <w:r>
        <w:rPr>
          <w:rFonts w:ascii="Times New Roman" w:hAnsi="Times New Roman"/>
          <w:sz w:val="24"/>
        </w:rPr>
        <w:t>h store</w:t>
      </w:r>
      <w:r>
        <w:rPr>
          <w:rFonts w:ascii="Times New Roman" w:hAnsi="Times New Roman"/>
          <w:sz w:val="24"/>
          <w:highlight w:val="yellow"/>
        </w:rPr>
        <w:t xml:space="preserve"> primarily</w:t>
      </w:r>
      <w:r>
        <w:rPr>
          <w:rFonts w:ascii="Times New Roman" w:hAnsi="Times New Roman"/>
          <w:sz w:val="24"/>
        </w:rPr>
        <w:t xml:space="preserve"> in the liver in the form of lipids.</w:t>
      </w:r>
      <w:r>
        <w:rPr>
          <w:rFonts w:ascii="Times New Roman" w:hAnsi="Times New Roman"/>
          <w:color w:val="1F1F1F"/>
          <w:sz w:val="42"/>
        </w:rPr>
        <w:t xml:space="preserve"> </w:t>
      </w:r>
      <w:r>
        <w:rPr>
          <w:rFonts w:ascii="Times New Roman" w:hAnsi="Times New Roman"/>
          <w:sz w:val="24"/>
        </w:rPr>
        <w:t xml:space="preserve">Variations in liver weight are influenced by the reproductive status of the fish (Konan, 2013). </w:t>
      </w:r>
      <w:r>
        <w:rPr>
          <w:rFonts w:ascii="Times New Roman" w:hAnsi="Times New Roman"/>
          <w:sz w:val="24"/>
          <w:highlight w:val="yellow"/>
        </w:rPr>
        <w:t>The HS</w:t>
      </w:r>
      <w:r>
        <w:rPr>
          <w:rFonts w:ascii="Times New Roman" w:hAnsi="Times New Roman"/>
          <w:sz w:val="24"/>
        </w:rPr>
        <w:t>I is calculated as follows:</w:t>
      </w:r>
    </w:p>
    <w:p w14:paraId="1794B091" w14:textId="77777777" w:rsidR="00D21632" w:rsidRPr="00B1315D" w:rsidRDefault="00D21632" w:rsidP="00E150EC">
      <w:pPr>
        <w:autoSpaceDE w:val="0"/>
        <w:autoSpaceDN w:val="0"/>
        <w:adjustRightInd w:val="0"/>
        <w:spacing w:after="0" w:line="360" w:lineRule="auto"/>
        <w:ind w:left="360"/>
        <w:jc w:val="both"/>
        <w:rPr>
          <w:rFonts w:ascii="Arial" w:eastAsiaTheme="minorEastAsia" w:hAnsi="Arial" w:cs="Arial"/>
          <w:sz w:val="28"/>
          <w:szCs w:val="28"/>
        </w:rPr>
      </w:pPr>
      <m:oMath>
        <m:r>
          <w:rPr>
            <w:rFonts w:ascii="Cambria Math" w:hAnsi="Cambria Math" w:cs="Arial"/>
            <w:sz w:val="28"/>
            <w:szCs w:val="28"/>
          </w:rPr>
          <m:t>RHS</m:t>
        </m:r>
        <m:r>
          <m:rPr>
            <m:sty m:val="p"/>
          </m:rPr>
          <w:rPr>
            <w:rFonts w:ascii="Cambria Math" w:hAnsiTheme="majorHAnsi" w:cs="Arial"/>
            <w:sz w:val="28"/>
            <w:szCs w:val="28"/>
          </w:rPr>
          <m:t>=</m:t>
        </m:r>
        <m:f>
          <m:fPr>
            <m:ctrlPr>
              <w:rPr>
                <w:rFonts w:ascii="Cambria Math" w:hAnsiTheme="majorHAnsi" w:cs="Arial"/>
                <w:bCs/>
                <w:sz w:val="28"/>
                <w:szCs w:val="28"/>
              </w:rPr>
            </m:ctrlPr>
          </m:fPr>
          <m:num>
            <m:r>
              <m:rPr>
                <m:sty m:val="p"/>
              </m:rPr>
              <w:rPr>
                <w:rFonts w:ascii="Cambria Math" w:hAnsiTheme="majorHAnsi" w:cs="Arial"/>
                <w:sz w:val="28"/>
                <w:szCs w:val="28"/>
              </w:rPr>
              <m:t>Pf</m:t>
            </m:r>
          </m:num>
          <m:den>
            <m:r>
              <m:rPr>
                <m:sty m:val="p"/>
              </m:rPr>
              <w:rPr>
                <w:rFonts w:ascii="Cambria Math" w:hAnsiTheme="majorHAnsi" w:cs="Arial"/>
                <w:sz w:val="28"/>
                <w:szCs w:val="28"/>
              </w:rPr>
              <m:t>P</m:t>
            </m:r>
            <m:r>
              <m:rPr>
                <m:sty m:val="p"/>
              </m:rPr>
              <w:rPr>
                <w:rFonts w:ascii="Cambria Math" w:hAnsi="Cambria Math" w:cs="Arial"/>
                <w:sz w:val="28"/>
                <w:szCs w:val="28"/>
              </w:rPr>
              <m:t>e</m:t>
            </m:r>
            <m:r>
              <m:rPr>
                <m:sty m:val="p"/>
              </m:rPr>
              <w:rPr>
                <w:rFonts w:ascii="Cambria Math" w:hAnsiTheme="majorHAnsi" w:cs="Arial"/>
                <w:sz w:val="28"/>
                <w:szCs w:val="28"/>
              </w:rPr>
              <m:t>v</m:t>
            </m:r>
          </m:den>
        </m:f>
        <m:r>
          <m:rPr>
            <m:sty m:val="p"/>
          </m:rPr>
          <w:rPr>
            <w:rFonts w:ascii="Cambria Math" w:hAnsiTheme="majorHAnsi" w:cs="Arial"/>
            <w:sz w:val="28"/>
            <w:szCs w:val="28"/>
          </w:rPr>
          <m:t>x100</m:t>
        </m:r>
        <m:r>
          <m:rPr>
            <m:sty m:val="p"/>
          </m:rPr>
          <w:rPr>
            <w:rFonts w:ascii="Cambria Math" w:hAnsiTheme="majorHAnsi" w:cs="Arial"/>
            <w:sz w:val="28"/>
            <w:szCs w:val="28"/>
          </w:rPr>
          <m:t> </m:t>
        </m:r>
      </m:oMath>
      <w:r w:rsidRPr="00B1315D">
        <w:rPr>
          <w:rFonts w:ascii="Arial" w:eastAsiaTheme="minorEastAsia" w:hAnsi="Arial" w:cs="Arial"/>
          <w:sz w:val="28"/>
          <w:szCs w:val="28"/>
        </w:rPr>
        <w:t>;</w:t>
      </w:r>
    </w:p>
    <w:p w14:paraId="3E466425" w14:textId="77777777" w:rsidR="00D21632" w:rsidRPr="00B1315D" w:rsidRDefault="00D21632" w:rsidP="00E150EC">
      <w:pPr>
        <w:autoSpaceDE w:val="0"/>
        <w:autoSpaceDN w:val="0"/>
        <w:adjustRightInd w:val="0"/>
        <w:spacing w:after="0" w:line="360" w:lineRule="auto"/>
        <w:ind w:left="360"/>
        <w:jc w:val="both"/>
        <w:rPr>
          <w:rFonts w:ascii="Times New Roman" w:hAnsi="Times New Roman" w:cs="Times New Roman"/>
          <w:bCs/>
          <w:sz w:val="24"/>
          <w:szCs w:val="24"/>
        </w:rPr>
      </w:pPr>
      <w:r w:rsidRPr="00B1315D">
        <w:rPr>
          <w:rFonts w:ascii="Times New Roman" w:hAnsi="Times New Roman" w:cs="Times New Roman"/>
          <w:bCs/>
          <w:sz w:val="24"/>
          <w:szCs w:val="24"/>
        </w:rPr>
        <w:t>Pf: liver weight in g;</w:t>
      </w:r>
    </w:p>
    <w:p w14:paraId="2D7CC57F" w14:textId="77777777" w:rsidR="00D21632" w:rsidRPr="00B1315D" w:rsidRDefault="00D21632" w:rsidP="00E150EC">
      <w:pPr>
        <w:autoSpaceDE w:val="0"/>
        <w:autoSpaceDN w:val="0"/>
        <w:adjustRightInd w:val="0"/>
        <w:spacing w:after="0" w:line="360" w:lineRule="auto"/>
        <w:ind w:left="360"/>
        <w:jc w:val="both"/>
        <w:rPr>
          <w:rFonts w:ascii="Times New Roman" w:hAnsi="Times New Roman" w:cs="Times New Roman"/>
          <w:bCs/>
          <w:sz w:val="24"/>
          <w:szCs w:val="24"/>
        </w:rPr>
      </w:pPr>
      <w:r w:rsidRPr="00B1315D">
        <w:rPr>
          <w:rFonts w:ascii="Times New Roman" w:hAnsi="Times New Roman" w:cs="Times New Roman"/>
          <w:bCs/>
          <w:sz w:val="24"/>
          <w:szCs w:val="24"/>
        </w:rPr>
        <w:t>Pev: gutted fish weight in g.</w:t>
      </w:r>
    </w:p>
    <w:p w14:paraId="26B15BC0" w14:textId="77777777" w:rsidR="00853E7E" w:rsidRPr="00BE2DAD" w:rsidRDefault="00853E7E" w:rsidP="00E150EC">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highlight w:val="cyan"/>
        </w:rPr>
      </w:pPr>
      <w:r w:rsidRPr="00BE2DAD">
        <w:rPr>
          <w:rFonts w:ascii="Times New Roman" w:hAnsi="Times New Roman" w:cs="Times New Roman"/>
          <w:bCs/>
          <w:sz w:val="24"/>
          <w:szCs w:val="24"/>
          <w:highlight w:val="cyan"/>
          <w:lang w:val="en"/>
        </w:rPr>
        <w:t>Condition factor (K)</w:t>
      </w:r>
    </w:p>
    <w:p w14:paraId="7D199A94" w14:textId="77777777" w:rsidR="00853E7E" w:rsidRPr="00BE2DAD" w:rsidRDefault="00853E7E" w:rsidP="00E150EC">
      <w:pPr>
        <w:autoSpaceDE w:val="0"/>
        <w:autoSpaceDN w:val="0"/>
        <w:adjustRightInd w:val="0"/>
        <w:spacing w:after="0" w:line="360" w:lineRule="auto"/>
        <w:ind w:left="360"/>
        <w:jc w:val="both"/>
        <w:rPr>
          <w:rFonts w:ascii="Times New Roman" w:hAnsi="Times New Roman" w:cs="Times New Roman"/>
          <w:bCs/>
          <w:sz w:val="24"/>
          <w:szCs w:val="24"/>
          <w:highlight w:val="cyan"/>
          <w:lang w:val="en"/>
        </w:rPr>
      </w:pPr>
      <w:r w:rsidRPr="00BE2DAD">
        <w:rPr>
          <w:rFonts w:ascii="Times New Roman" w:hAnsi="Times New Roman" w:cs="Times New Roman"/>
          <w:bCs/>
          <w:sz w:val="24"/>
          <w:szCs w:val="24"/>
          <w:highlight w:val="cyan"/>
          <w:lang w:val="en"/>
        </w:rPr>
        <w:t>The condition factor (K) reflects the fish's body condition in relation to the influence of ecological and physiological factors. It provides information on the storage of reserves required for gametogenesis (Fehri-Bedoui et al., 2002).</w:t>
      </w:r>
    </w:p>
    <w:p w14:paraId="5A4C2B0E" w14:textId="77777777" w:rsidR="002D0AE2" w:rsidRPr="00BE2DAD" w:rsidRDefault="002D0AE2" w:rsidP="00E150EC">
      <w:pPr>
        <w:pStyle w:val="ListParagraph"/>
        <w:autoSpaceDE w:val="0"/>
        <w:autoSpaceDN w:val="0"/>
        <w:adjustRightInd w:val="0"/>
        <w:spacing w:after="0" w:line="360" w:lineRule="auto"/>
        <w:jc w:val="both"/>
        <w:rPr>
          <w:rFonts w:ascii="Times New Roman" w:hAnsi="Times New Roman" w:cs="Times New Roman"/>
          <w:bCs/>
          <w:sz w:val="24"/>
          <w:szCs w:val="24"/>
          <w:highlight w:val="cyan"/>
        </w:rPr>
      </w:pPr>
      <m:oMathPara>
        <m:oMathParaPr>
          <m:jc m:val="left"/>
        </m:oMathParaPr>
        <m:oMath>
          <m:r>
            <m:rPr>
              <m:sty m:val="p"/>
            </m:rPr>
            <w:rPr>
              <w:rFonts w:ascii="Cambria Math" w:hAnsi="Cambria Math" w:cs="Times New Roman"/>
              <w:sz w:val="24"/>
              <w:szCs w:val="24"/>
              <w:highlight w:val="cyan"/>
            </w:rPr>
            <m:t>k=</m:t>
          </m:r>
          <m:f>
            <m:fPr>
              <m:ctrlPr>
                <w:rPr>
                  <w:rFonts w:ascii="Cambria Math" w:hAnsi="Cambria Math" w:cs="Times New Roman"/>
                  <w:bCs/>
                  <w:sz w:val="24"/>
                  <w:szCs w:val="24"/>
                  <w:highlight w:val="cyan"/>
                </w:rPr>
              </m:ctrlPr>
            </m:fPr>
            <m:num>
              <m:r>
                <m:rPr>
                  <m:sty m:val="p"/>
                </m:rPr>
                <w:rPr>
                  <w:rFonts w:ascii="Cambria Math" w:hAnsi="Cambria Math" w:cs="Times New Roman"/>
                  <w:sz w:val="24"/>
                  <w:szCs w:val="24"/>
                  <w:highlight w:val="cyan"/>
                </w:rPr>
                <m:t>P</m:t>
              </m:r>
            </m:num>
            <m:den>
              <m:sSup>
                <m:sSupPr>
                  <m:ctrlPr>
                    <w:rPr>
                      <w:rFonts w:ascii="Cambria Math" w:hAnsi="Cambria Math" w:cs="Times New Roman"/>
                      <w:bCs/>
                      <w:sz w:val="24"/>
                      <w:szCs w:val="24"/>
                      <w:highlight w:val="cyan"/>
                    </w:rPr>
                  </m:ctrlPr>
                </m:sSupPr>
                <m:e>
                  <m:r>
                    <m:rPr>
                      <m:sty m:val="p"/>
                    </m:rPr>
                    <w:rPr>
                      <w:rFonts w:ascii="Cambria Math" w:hAnsi="Cambria Math" w:cs="Times New Roman"/>
                      <w:sz w:val="24"/>
                      <w:szCs w:val="24"/>
                      <w:highlight w:val="cyan"/>
                    </w:rPr>
                    <m:t>Lt</m:t>
                  </m:r>
                </m:e>
                <m:sup>
                  <m:r>
                    <m:rPr>
                      <m:sty m:val="p"/>
                    </m:rPr>
                    <w:rPr>
                      <w:rFonts w:ascii="Cambria Math" w:hAnsi="Cambria Math" w:cs="Times New Roman"/>
                      <w:sz w:val="24"/>
                      <w:szCs w:val="24"/>
                      <w:highlight w:val="cyan"/>
                    </w:rPr>
                    <m:t>3</m:t>
                  </m:r>
                </m:sup>
              </m:sSup>
            </m:den>
          </m:f>
          <m:r>
            <m:rPr>
              <m:sty m:val="p"/>
            </m:rPr>
            <w:rPr>
              <w:rFonts w:ascii="Cambria Math" w:hAnsi="Cambria Math" w:cs="Times New Roman"/>
              <w:sz w:val="24"/>
              <w:szCs w:val="24"/>
              <w:highlight w:val="cyan"/>
            </w:rPr>
            <m:t xml:space="preserve">x 100       </m:t>
          </m:r>
        </m:oMath>
      </m:oMathPara>
    </w:p>
    <w:p w14:paraId="371CABB3" w14:textId="77777777" w:rsidR="002D0AE2" w:rsidRPr="00BE2DAD" w:rsidRDefault="002D0AE2" w:rsidP="00E150EC">
      <w:pPr>
        <w:autoSpaceDE w:val="0"/>
        <w:autoSpaceDN w:val="0"/>
        <w:adjustRightInd w:val="0"/>
        <w:spacing w:after="0" w:line="360" w:lineRule="auto"/>
        <w:jc w:val="both"/>
        <w:rPr>
          <w:rFonts w:ascii="Times New Roman" w:hAnsi="Times New Roman" w:cs="Times New Roman"/>
          <w:bCs/>
          <w:sz w:val="24"/>
          <w:szCs w:val="24"/>
          <w:highlight w:val="cyan"/>
          <w:lang w:val="en"/>
        </w:rPr>
      </w:pPr>
      <w:r w:rsidRPr="00BE2DAD">
        <w:rPr>
          <w:rFonts w:ascii="Times New Roman" w:hAnsi="Times New Roman" w:cs="Times New Roman"/>
          <w:bCs/>
          <w:sz w:val="24"/>
          <w:szCs w:val="24"/>
          <w:highlight w:val="cyan"/>
          <w:lang w:val="en"/>
        </w:rPr>
        <w:t>P: weight of the fish in g</w:t>
      </w:r>
    </w:p>
    <w:p w14:paraId="61F3D648" w14:textId="77777777" w:rsidR="002D0AE2" w:rsidRPr="00B1315D" w:rsidRDefault="002D0AE2" w:rsidP="00E150EC">
      <w:pPr>
        <w:autoSpaceDE w:val="0"/>
        <w:autoSpaceDN w:val="0"/>
        <w:adjustRightInd w:val="0"/>
        <w:spacing w:after="0" w:line="360" w:lineRule="auto"/>
        <w:jc w:val="both"/>
        <w:rPr>
          <w:rFonts w:ascii="Times New Roman" w:hAnsi="Times New Roman" w:cs="Times New Roman"/>
          <w:bCs/>
          <w:sz w:val="24"/>
          <w:szCs w:val="24"/>
        </w:rPr>
      </w:pPr>
      <w:r w:rsidRPr="00BE2DAD">
        <w:rPr>
          <w:rFonts w:ascii="Times New Roman" w:hAnsi="Times New Roman" w:cs="Times New Roman"/>
          <w:bCs/>
          <w:sz w:val="24"/>
          <w:szCs w:val="24"/>
          <w:highlight w:val="cyan"/>
          <w:lang w:val="en"/>
        </w:rPr>
        <w:t>Lt: total length of the fish in cm.</w:t>
      </w:r>
    </w:p>
    <w:p w14:paraId="62706358" w14:textId="77777777" w:rsidR="004102A9" w:rsidRPr="00B1315D" w:rsidRDefault="00DF0583" w:rsidP="00E150EC">
      <w:pPr>
        <w:autoSpaceDE w:val="0"/>
        <w:autoSpaceDN w:val="0"/>
        <w:adjustRightInd w:val="0"/>
        <w:spacing w:after="0"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3. Results and Discussion</w:t>
      </w:r>
    </w:p>
    <w:p w14:paraId="0CA002FC" w14:textId="77777777" w:rsidR="0036016C" w:rsidRPr="00B1315D" w:rsidRDefault="00424070" w:rsidP="00E150EC">
      <w:pPr>
        <w:autoSpaceDE w:val="0"/>
        <w:autoSpaceDN w:val="0"/>
        <w:adjustRightInd w:val="0"/>
        <w:spacing w:after="0" w:line="360" w:lineRule="auto"/>
        <w:jc w:val="both"/>
        <w:rPr>
          <w:rFonts w:ascii="Times New Roman" w:hAnsi="Times New Roman" w:cs="Times New Roman"/>
          <w:bCs/>
          <w:sz w:val="24"/>
          <w:szCs w:val="24"/>
          <w:lang w:val="en"/>
        </w:rPr>
      </w:pPr>
      <w:r w:rsidRPr="00B1315D">
        <w:rPr>
          <w:rFonts w:ascii="Times New Roman" w:hAnsi="Times New Roman" w:cs="Times New Roman"/>
          <w:b/>
          <w:bCs/>
          <w:sz w:val="24"/>
          <w:szCs w:val="24"/>
        </w:rPr>
        <w:t>3.1</w:t>
      </w:r>
      <w:r w:rsidR="0036016C" w:rsidRPr="00B1315D">
        <w:rPr>
          <w:rFonts w:ascii="Times New Roman" w:hAnsi="Times New Roman" w:cs="Times New Roman"/>
          <w:b/>
          <w:bCs/>
          <w:sz w:val="24"/>
          <w:szCs w:val="24"/>
          <w:lang w:val="en"/>
        </w:rPr>
        <w:t xml:space="preserve"> Sex ratio</w:t>
      </w:r>
    </w:p>
    <w:p w14:paraId="719F331E" w14:textId="77777777" w:rsidR="007569CB" w:rsidRPr="00B1315D" w:rsidRDefault="0036016C" w:rsidP="00E150EC">
      <w:pPr>
        <w:autoSpaceDE w:val="0"/>
        <w:autoSpaceDN w:val="0"/>
        <w:adjustRightInd w:val="0"/>
        <w:spacing w:line="360" w:lineRule="auto"/>
        <w:jc w:val="both"/>
        <w:rPr>
          <w:rFonts w:ascii="Times New Roman" w:hAnsi="Times New Roman" w:cs="Times New Roman"/>
          <w:bCs/>
          <w:sz w:val="24"/>
          <w:szCs w:val="24"/>
          <w:lang w:val="en"/>
        </w:rPr>
      </w:pPr>
      <w:r>
        <w:rPr>
          <w:rFonts w:ascii="Times New Roman" w:hAnsi="Times New Roman"/>
          <w:sz w:val="24"/>
          <w:highlight w:val="yellow"/>
        </w:rPr>
        <w:t xml:space="preserve">Of the 351 specimens examined, </w:t>
      </w:r>
      <w:r>
        <w:rPr>
          <w:rFonts w:ascii="Times New Roman" w:hAnsi="Times New Roman"/>
          <w:sz w:val="24"/>
        </w:rPr>
        <w:t>222 males and 129 females were identified.</w:t>
      </w:r>
      <w:r>
        <w:rPr>
          <w:rFonts w:ascii="inherit" w:hAnsi="inherit"/>
          <w:color w:val="1F1F1F"/>
          <w:sz w:val="42"/>
        </w:rPr>
        <w:t xml:space="preserve"> </w:t>
      </w:r>
      <w:r>
        <w:rPr>
          <w:rFonts w:ascii="Times New Roman" w:hAnsi="Times New Roman"/>
          <w:sz w:val="24"/>
          <w:highlight w:val="yellow"/>
        </w:rPr>
        <w:t>M</w:t>
      </w:r>
      <w:r>
        <w:rPr>
          <w:rFonts w:ascii="Times New Roman" w:hAnsi="Times New Roman"/>
          <w:sz w:val="24"/>
        </w:rPr>
        <w:t xml:space="preserve">ales </w:t>
      </w:r>
      <w:r>
        <w:rPr>
          <w:rFonts w:ascii="Times New Roman" w:hAnsi="Times New Roman"/>
          <w:sz w:val="24"/>
          <w:highlight w:val="yellow"/>
        </w:rPr>
        <w:t>we</w:t>
      </w:r>
      <w:r>
        <w:rPr>
          <w:rFonts w:ascii="Times New Roman" w:hAnsi="Times New Roman"/>
          <w:sz w:val="24"/>
        </w:rPr>
        <w:t>re more numerous than females.</w:t>
      </w:r>
      <w:r>
        <w:rPr>
          <w:rFonts w:ascii="inherit" w:hAnsi="inherit"/>
          <w:color w:val="1F1F1F"/>
          <w:sz w:val="42"/>
        </w:rPr>
        <w:t xml:space="preserve"> </w:t>
      </w:r>
      <w:r>
        <w:rPr>
          <w:rFonts w:ascii="Times New Roman" w:hAnsi="Times New Roman"/>
          <w:sz w:val="24"/>
        </w:rPr>
        <w:t xml:space="preserve">The sex ratio (males:females) of this population </w:t>
      </w:r>
      <w:r>
        <w:rPr>
          <w:rFonts w:ascii="Times New Roman" w:hAnsi="Times New Roman"/>
          <w:sz w:val="24"/>
          <w:highlight w:val="yellow"/>
        </w:rPr>
        <w:t>wa</w:t>
      </w:r>
      <w:r>
        <w:rPr>
          <w:rFonts w:ascii="Times New Roman" w:hAnsi="Times New Roman"/>
          <w:sz w:val="24"/>
        </w:rPr>
        <w:t>s 1:0.74, i.e., 0.74 females per male (Table 1).</w:t>
      </w:r>
      <w:r>
        <w:rPr>
          <w:rFonts w:ascii="inherit" w:hAnsi="inherit"/>
          <w:color w:val="1F1F1F"/>
          <w:sz w:val="42"/>
        </w:rPr>
        <w:t xml:space="preserve"> </w:t>
      </w:r>
      <w:r>
        <w:rPr>
          <w:rFonts w:ascii="Times New Roman" w:hAnsi="Times New Roman"/>
          <w:sz w:val="24"/>
        </w:rPr>
        <w:t xml:space="preserve">This sex ratio </w:t>
      </w:r>
      <w:r>
        <w:rPr>
          <w:rFonts w:ascii="Times New Roman" w:hAnsi="Times New Roman"/>
          <w:sz w:val="24"/>
          <w:highlight w:val="yellow"/>
        </w:rPr>
        <w:t>wa</w:t>
      </w:r>
      <w:r>
        <w:rPr>
          <w:rFonts w:ascii="Times New Roman" w:hAnsi="Times New Roman"/>
          <w:sz w:val="24"/>
        </w:rPr>
        <w:t>s significantly different from the theoretical 1:1 sex ratio (χ² = 24.64; p &lt; 0.05).</w:t>
      </w:r>
      <w:r>
        <w:rPr>
          <w:rFonts w:ascii="inherit" w:hAnsi="inherit"/>
          <w:color w:val="1F1F1F"/>
          <w:sz w:val="42"/>
        </w:rPr>
        <w:t xml:space="preserve"> </w:t>
      </w:r>
      <w:r>
        <w:rPr>
          <w:rFonts w:ascii="Times New Roman" w:hAnsi="Times New Roman"/>
          <w:sz w:val="24"/>
        </w:rPr>
        <w:t>W</w:t>
      </w:r>
      <w:r>
        <w:rPr>
          <w:rFonts w:ascii="Times New Roman" w:hAnsi="Times New Roman"/>
          <w:sz w:val="24"/>
          <w:highlight w:val="yellow"/>
        </w:rPr>
        <w:t>it</w:t>
      </w:r>
      <w:r>
        <w:rPr>
          <w:rFonts w:ascii="Times New Roman" w:hAnsi="Times New Roman"/>
          <w:sz w:val="24"/>
        </w:rPr>
        <w:t>h</w:t>
      </w:r>
      <w:r>
        <w:rPr>
          <w:rFonts w:ascii="Times New Roman" w:hAnsi="Times New Roman"/>
          <w:sz w:val="24"/>
          <w:highlight w:val="yellow"/>
        </w:rPr>
        <w:t xml:space="preserve"> r</w:t>
      </w:r>
      <w:r>
        <w:rPr>
          <w:rFonts w:ascii="Times New Roman" w:hAnsi="Times New Roman"/>
          <w:sz w:val="24"/>
        </w:rPr>
        <w:t>e</w:t>
      </w:r>
      <w:r>
        <w:rPr>
          <w:rFonts w:ascii="Times New Roman" w:hAnsi="Times New Roman"/>
          <w:sz w:val="24"/>
          <w:highlight w:val="yellow"/>
        </w:rPr>
        <w:t>gard</w:t>
      </w:r>
      <w:r>
        <w:rPr>
          <w:rFonts w:ascii="Times New Roman" w:hAnsi="Times New Roman"/>
          <w:sz w:val="24"/>
        </w:rPr>
        <w:t xml:space="preserve"> </w:t>
      </w:r>
      <w:r>
        <w:rPr>
          <w:rFonts w:ascii="Times New Roman" w:hAnsi="Times New Roman"/>
          <w:sz w:val="24"/>
          <w:highlight w:val="yellow"/>
        </w:rPr>
        <w:t>t</w:t>
      </w:r>
      <w:r>
        <w:rPr>
          <w:rFonts w:ascii="Times New Roman" w:hAnsi="Times New Roman"/>
          <w:sz w:val="24"/>
        </w:rPr>
        <w:t xml:space="preserve">o monthly variation, the sex ratio </w:t>
      </w:r>
      <w:r>
        <w:rPr>
          <w:rFonts w:ascii="Times New Roman" w:hAnsi="Times New Roman"/>
          <w:sz w:val="24"/>
          <w:highlight w:val="yellow"/>
        </w:rPr>
        <w:t>wa</w:t>
      </w:r>
      <w:r>
        <w:rPr>
          <w:rFonts w:ascii="Times New Roman" w:hAnsi="Times New Roman"/>
          <w:sz w:val="24"/>
        </w:rPr>
        <w:t>s male-biased throughout the year, except in March (χ² = 3.66; p &gt; 0.05). Seasonal variation in the sex ratio indicate</w:t>
      </w:r>
      <w:r>
        <w:rPr>
          <w:rFonts w:ascii="Times New Roman" w:hAnsi="Times New Roman"/>
          <w:sz w:val="24"/>
          <w:highlight w:val="yellow"/>
        </w:rPr>
        <w:t>d</w:t>
      </w:r>
      <w:r>
        <w:rPr>
          <w:rFonts w:ascii="Times New Roman" w:hAnsi="Times New Roman"/>
          <w:sz w:val="24"/>
        </w:rPr>
        <w:t xml:space="preserve"> a predominance of males </w:t>
      </w:r>
      <w:r>
        <w:rPr>
          <w:rFonts w:ascii="Times New Roman" w:hAnsi="Times New Roman"/>
          <w:sz w:val="24"/>
          <w:highlight w:val="yellow"/>
        </w:rPr>
        <w:t>in b</w:t>
      </w:r>
      <w:r>
        <w:rPr>
          <w:rFonts w:ascii="Times New Roman" w:hAnsi="Times New Roman"/>
          <w:sz w:val="24"/>
        </w:rPr>
        <w:t>o</w:t>
      </w:r>
      <w:r>
        <w:rPr>
          <w:rFonts w:ascii="Times New Roman" w:hAnsi="Times New Roman"/>
          <w:sz w:val="24"/>
          <w:highlight w:val="yellow"/>
        </w:rPr>
        <w:t>th</w:t>
      </w:r>
      <w:r>
        <w:rPr>
          <w:rFonts w:ascii="Times New Roman" w:hAnsi="Times New Roman"/>
          <w:sz w:val="24"/>
        </w:rPr>
        <w:t xml:space="preserve"> seasons. </w:t>
      </w:r>
      <w:r>
        <w:rPr>
          <w:rFonts w:ascii="Times New Roman" w:hAnsi="Times New Roman"/>
          <w:sz w:val="24"/>
          <w:highlight w:val="yellow"/>
        </w:rPr>
        <w:t>There</w:t>
      </w:r>
      <w:r>
        <w:rPr>
          <w:rFonts w:ascii="Times New Roman" w:hAnsi="Times New Roman"/>
          <w:sz w:val="24"/>
        </w:rPr>
        <w:t xml:space="preserve"> w</w:t>
      </w:r>
      <w:r>
        <w:rPr>
          <w:rFonts w:ascii="Times New Roman" w:hAnsi="Times New Roman"/>
          <w:sz w:val="24"/>
          <w:highlight w:val="yellow"/>
        </w:rPr>
        <w:t>a</w:t>
      </w:r>
      <w:r>
        <w:rPr>
          <w:rFonts w:ascii="Times New Roman" w:hAnsi="Times New Roman"/>
          <w:sz w:val="24"/>
        </w:rPr>
        <w:t>s a significant difference between the number</w:t>
      </w:r>
      <w:r>
        <w:rPr>
          <w:rFonts w:ascii="Times New Roman" w:hAnsi="Times New Roman"/>
          <w:sz w:val="24"/>
          <w:highlight w:val="yellow"/>
        </w:rPr>
        <w:t>s</w:t>
      </w:r>
      <w:r>
        <w:rPr>
          <w:rFonts w:ascii="Times New Roman" w:hAnsi="Times New Roman"/>
          <w:sz w:val="24"/>
        </w:rPr>
        <w:t xml:space="preserve"> of females and males in both the dry season (χ² = 8.53; p &lt; 0.05) and the rainy season (χ² = 17.55; p &lt; 0.05).</w:t>
      </w:r>
    </w:p>
    <w:p w14:paraId="0379013C" w14:textId="77777777" w:rsidR="008C2D89" w:rsidRPr="00B1315D" w:rsidRDefault="007569CB" w:rsidP="00E150EC">
      <w:pPr>
        <w:autoSpaceDE w:val="0"/>
        <w:autoSpaceDN w:val="0"/>
        <w:adjustRightInd w:val="0"/>
        <w:spacing w:after="0" w:line="360" w:lineRule="auto"/>
        <w:jc w:val="both"/>
        <w:rPr>
          <w:rFonts w:ascii="Times New Roman" w:hAnsi="Times New Roman" w:cs="Times New Roman"/>
          <w:bCs/>
          <w:sz w:val="24"/>
          <w:szCs w:val="24"/>
        </w:rPr>
      </w:pPr>
      <w:r w:rsidRPr="00B1315D">
        <w:rPr>
          <w:rFonts w:ascii="Times New Roman" w:hAnsi="Times New Roman" w:cs="Times New Roman"/>
          <w:bCs/>
          <w:sz w:val="24"/>
          <w:szCs w:val="24"/>
        </w:rPr>
        <w:lastRenderedPageBreak/>
        <w:t xml:space="preserve">Table 1: Monthly and seasonal variations of  sex proportion and sex ratio of  </w:t>
      </w:r>
      <w:r w:rsidRPr="00B1315D">
        <w:rPr>
          <w:rFonts w:ascii="Times New Roman" w:hAnsi="Times New Roman" w:cs="Times New Roman"/>
          <w:bCs/>
          <w:i/>
          <w:iCs/>
          <w:sz w:val="24"/>
          <w:szCs w:val="24"/>
        </w:rPr>
        <w:t>O. niloticus</w:t>
      </w:r>
      <w:r w:rsidRPr="00B1315D">
        <w:rPr>
          <w:rFonts w:ascii="Times New Roman" w:hAnsi="Times New Roman" w:cs="Times New Roman"/>
          <w:bCs/>
          <w:sz w:val="24"/>
          <w:szCs w:val="24"/>
        </w:rPr>
        <w:t xml:space="preserve"> caught in Lake Zienkolo, Côte d’Ivoire.</w:t>
      </w:r>
    </w:p>
    <w:p w14:paraId="54310DAC" w14:textId="77777777" w:rsidR="007569CB" w:rsidRPr="00B1315D" w:rsidRDefault="007569CB" w:rsidP="00E150EC">
      <w:pPr>
        <w:autoSpaceDE w:val="0"/>
        <w:autoSpaceDN w:val="0"/>
        <w:adjustRightInd w:val="0"/>
        <w:spacing w:line="360" w:lineRule="auto"/>
        <w:jc w:val="both"/>
        <w:rPr>
          <w:rFonts w:ascii="Times New Roman" w:hAnsi="Times New Roman" w:cs="Times New Roman"/>
          <w:bCs/>
          <w:sz w:val="24"/>
          <w:szCs w:val="24"/>
        </w:rPr>
      </w:pPr>
      <w:r w:rsidRPr="00B1315D">
        <w:rPr>
          <w:rFonts w:ascii="Times New Roman" w:hAnsi="Times New Roman" w:cs="Times New Roman"/>
          <w:bCs/>
          <w:sz w:val="24"/>
          <w:szCs w:val="24"/>
          <w:lang w:val="en"/>
        </w:rPr>
        <w:t>* : significant difference.</w:t>
      </w:r>
    </w:p>
    <w:tbl>
      <w:tblPr>
        <w:tblStyle w:val="TableGrid"/>
        <w:tblW w:w="0" w:type="auto"/>
        <w:tblLook w:val="04A0" w:firstRow="1" w:lastRow="0" w:firstColumn="1" w:lastColumn="0" w:noHBand="0" w:noVBand="1"/>
      </w:tblPr>
      <w:tblGrid>
        <w:gridCol w:w="1783"/>
        <w:gridCol w:w="2123"/>
        <w:gridCol w:w="1883"/>
        <w:gridCol w:w="723"/>
        <w:gridCol w:w="1570"/>
        <w:gridCol w:w="866"/>
      </w:tblGrid>
      <w:tr w:rsidR="007569CB" w:rsidRPr="00B1315D" w14:paraId="3ACAA2B7" w14:textId="77777777" w:rsidTr="001150B9">
        <w:tc>
          <w:tcPr>
            <w:tcW w:w="0" w:type="auto"/>
          </w:tcPr>
          <w:p w14:paraId="78E66622" w14:textId="77777777" w:rsidR="007569CB" w:rsidRPr="00B1315D" w:rsidRDefault="007569CB" w:rsidP="00E150EC">
            <w:pPr>
              <w:jc w:val="both"/>
              <w:rPr>
                <w:rFonts w:ascii="Times New Roman" w:hAnsi="Times New Roman" w:cs="Times New Roman"/>
                <w:sz w:val="24"/>
                <w:szCs w:val="24"/>
                <w:lang w:val="fr-CI"/>
              </w:rPr>
            </w:pPr>
            <w:r w:rsidRPr="00B1315D">
              <w:rPr>
                <w:rFonts w:ascii="Times New Roman" w:hAnsi="Times New Roman" w:cs="Times New Roman"/>
                <w:sz w:val="24"/>
                <w:szCs w:val="24"/>
                <w:lang w:val="en"/>
              </w:rPr>
              <w:t>Month</w:t>
            </w:r>
          </w:p>
          <w:p w14:paraId="39E920B6" w14:textId="77777777" w:rsidR="007569CB" w:rsidRPr="00B1315D" w:rsidRDefault="007569CB" w:rsidP="00E150EC">
            <w:pPr>
              <w:jc w:val="both"/>
              <w:rPr>
                <w:rFonts w:ascii="Times New Roman" w:hAnsi="Times New Roman" w:cs="Times New Roman"/>
                <w:sz w:val="24"/>
                <w:szCs w:val="24"/>
              </w:rPr>
            </w:pPr>
          </w:p>
        </w:tc>
        <w:tc>
          <w:tcPr>
            <w:tcW w:w="0" w:type="auto"/>
          </w:tcPr>
          <w:p w14:paraId="3F98B16C" w14:textId="77777777" w:rsidR="007569CB" w:rsidRPr="00B1315D" w:rsidRDefault="007569CB" w:rsidP="00E150EC">
            <w:pPr>
              <w:jc w:val="both"/>
              <w:rPr>
                <w:rFonts w:ascii="Times New Roman" w:hAnsi="Times New Roman" w:cs="Times New Roman"/>
                <w:sz w:val="24"/>
                <w:szCs w:val="24"/>
                <w:lang w:val="fr-CI"/>
              </w:rPr>
            </w:pPr>
            <w:r w:rsidRPr="00B1315D">
              <w:rPr>
                <w:rFonts w:ascii="Times New Roman" w:hAnsi="Times New Roman" w:cs="Times New Roman"/>
                <w:sz w:val="24"/>
                <w:szCs w:val="24"/>
                <w:lang w:val="en"/>
              </w:rPr>
              <w:t>Number of Females</w:t>
            </w:r>
          </w:p>
        </w:tc>
        <w:tc>
          <w:tcPr>
            <w:tcW w:w="0" w:type="auto"/>
          </w:tcPr>
          <w:p w14:paraId="5FDB44C3" w14:textId="77777777" w:rsidR="007569CB" w:rsidRPr="00B1315D" w:rsidRDefault="007569CB" w:rsidP="00E150EC">
            <w:pPr>
              <w:jc w:val="both"/>
              <w:rPr>
                <w:rFonts w:ascii="Times New Roman" w:hAnsi="Times New Roman" w:cs="Times New Roman"/>
                <w:sz w:val="24"/>
                <w:szCs w:val="24"/>
                <w:lang w:val="fr-CI"/>
              </w:rPr>
            </w:pPr>
            <w:r w:rsidRPr="00B1315D">
              <w:rPr>
                <w:rFonts w:ascii="Times New Roman" w:hAnsi="Times New Roman" w:cs="Times New Roman"/>
                <w:sz w:val="24"/>
                <w:szCs w:val="24"/>
                <w:lang w:val="en"/>
              </w:rPr>
              <w:t>Number of males</w:t>
            </w:r>
          </w:p>
        </w:tc>
        <w:tc>
          <w:tcPr>
            <w:tcW w:w="0" w:type="auto"/>
          </w:tcPr>
          <w:p w14:paraId="79E9E672"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lang w:val="en-GB"/>
              </w:rPr>
              <w:t>Total</w:t>
            </w:r>
          </w:p>
        </w:tc>
        <w:tc>
          <w:tcPr>
            <w:tcW w:w="0" w:type="auto"/>
          </w:tcPr>
          <w:p w14:paraId="1D3A9C0D"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lang w:val="en-GB"/>
              </w:rPr>
              <w:t>Sex-ratio M:F</w:t>
            </w:r>
          </w:p>
        </w:tc>
        <w:tc>
          <w:tcPr>
            <w:tcW w:w="0" w:type="auto"/>
          </w:tcPr>
          <w:p w14:paraId="6C816348"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lang w:val="en-GB"/>
              </w:rPr>
              <w:t>X</w:t>
            </w:r>
            <w:r w:rsidRPr="00B1315D">
              <w:rPr>
                <w:rFonts w:ascii="Times New Roman" w:hAnsi="Times New Roman" w:cs="Times New Roman"/>
                <w:sz w:val="24"/>
                <w:szCs w:val="24"/>
                <w:vertAlign w:val="superscript"/>
                <w:lang w:val="en-GB"/>
              </w:rPr>
              <w:t>2</w:t>
            </w:r>
          </w:p>
        </w:tc>
      </w:tr>
      <w:tr w:rsidR="007569CB" w:rsidRPr="00B1315D" w14:paraId="325BA8B7" w14:textId="77777777" w:rsidTr="001150B9">
        <w:tc>
          <w:tcPr>
            <w:tcW w:w="0" w:type="auto"/>
          </w:tcPr>
          <w:p w14:paraId="0AD10D24"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December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2024</w:t>
            </w:r>
          </w:p>
        </w:tc>
        <w:tc>
          <w:tcPr>
            <w:tcW w:w="0" w:type="auto"/>
          </w:tcPr>
          <w:p w14:paraId="10F1DC92"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29A79340"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1CC8B94C"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5B79512E"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 0.6</w:t>
            </w:r>
          </w:p>
        </w:tc>
        <w:tc>
          <w:tcPr>
            <w:tcW w:w="0" w:type="auto"/>
          </w:tcPr>
          <w:p w14:paraId="582C30DE"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2.19</w:t>
            </w:r>
          </w:p>
        </w:tc>
      </w:tr>
      <w:tr w:rsidR="007569CB" w:rsidRPr="00B1315D" w14:paraId="1B421AF9" w14:textId="77777777" w:rsidTr="001150B9">
        <w:tc>
          <w:tcPr>
            <w:tcW w:w="0" w:type="auto"/>
          </w:tcPr>
          <w:p w14:paraId="016435D2"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January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7C717BBF"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28A55303"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696E6C6F"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4C42D011"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:0.64</w:t>
            </w:r>
          </w:p>
        </w:tc>
        <w:tc>
          <w:tcPr>
            <w:tcW w:w="0" w:type="auto"/>
          </w:tcPr>
          <w:p w14:paraId="3A34EBAD"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1.08</w:t>
            </w:r>
          </w:p>
        </w:tc>
      </w:tr>
      <w:tr w:rsidR="007569CB" w:rsidRPr="00B1315D" w14:paraId="1A3CFCD8" w14:textId="77777777" w:rsidTr="001150B9">
        <w:tc>
          <w:tcPr>
            <w:tcW w:w="0" w:type="auto"/>
          </w:tcPr>
          <w:p w14:paraId="5211951A"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February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0791EDB3"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25</w:t>
            </w:r>
          </w:p>
        </w:tc>
        <w:tc>
          <w:tcPr>
            <w:tcW w:w="0" w:type="auto"/>
          </w:tcPr>
          <w:p w14:paraId="0458AB0C"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23</w:t>
            </w:r>
          </w:p>
        </w:tc>
        <w:tc>
          <w:tcPr>
            <w:tcW w:w="0" w:type="auto"/>
          </w:tcPr>
          <w:p w14:paraId="58A6959E"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48</w:t>
            </w:r>
          </w:p>
        </w:tc>
        <w:tc>
          <w:tcPr>
            <w:tcW w:w="0" w:type="auto"/>
          </w:tcPr>
          <w:p w14:paraId="09C6B953"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:1.08</w:t>
            </w:r>
          </w:p>
        </w:tc>
        <w:tc>
          <w:tcPr>
            <w:tcW w:w="0" w:type="auto"/>
          </w:tcPr>
          <w:p w14:paraId="27C06059"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0.08</w:t>
            </w:r>
          </w:p>
        </w:tc>
      </w:tr>
      <w:tr w:rsidR="007569CB" w:rsidRPr="00B1315D" w14:paraId="5523CEDB" w14:textId="77777777" w:rsidTr="001150B9">
        <w:tc>
          <w:tcPr>
            <w:tcW w:w="0" w:type="auto"/>
          </w:tcPr>
          <w:p w14:paraId="30BC9B06"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 xml:space="preserve">March </w:t>
            </w:r>
            <w:r w:rsidR="007569CB" w:rsidRPr="00B1315D">
              <w:rPr>
                <w:rFonts w:ascii="Times New Roman" w:hAnsi="Times New Roman" w:cs="Times New Roman"/>
                <w:sz w:val="24"/>
                <w:szCs w:val="24"/>
              </w:rPr>
              <w:t>2025</w:t>
            </w:r>
          </w:p>
        </w:tc>
        <w:tc>
          <w:tcPr>
            <w:tcW w:w="0" w:type="auto"/>
          </w:tcPr>
          <w:p w14:paraId="4E9403A1"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1F5C1826"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2B17296C"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33</w:t>
            </w:r>
          </w:p>
        </w:tc>
        <w:tc>
          <w:tcPr>
            <w:tcW w:w="0" w:type="auto"/>
          </w:tcPr>
          <w:p w14:paraId="329CCFE1"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 2</w:t>
            </w:r>
          </w:p>
        </w:tc>
        <w:tc>
          <w:tcPr>
            <w:tcW w:w="0" w:type="auto"/>
          </w:tcPr>
          <w:p w14:paraId="44DFB4B1"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3.66</w:t>
            </w:r>
          </w:p>
        </w:tc>
      </w:tr>
      <w:tr w:rsidR="007569CB" w:rsidRPr="00B1315D" w14:paraId="2327F85D" w14:textId="77777777" w:rsidTr="001150B9">
        <w:tc>
          <w:tcPr>
            <w:tcW w:w="0" w:type="auto"/>
          </w:tcPr>
          <w:p w14:paraId="59C37841"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April</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3AE94781"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6</w:t>
            </w:r>
          </w:p>
        </w:tc>
        <w:tc>
          <w:tcPr>
            <w:tcW w:w="0" w:type="auto"/>
          </w:tcPr>
          <w:p w14:paraId="2268FD4D"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31</w:t>
            </w:r>
          </w:p>
        </w:tc>
        <w:tc>
          <w:tcPr>
            <w:tcW w:w="0" w:type="auto"/>
          </w:tcPr>
          <w:p w14:paraId="30CA39DB"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37</w:t>
            </w:r>
          </w:p>
        </w:tc>
        <w:tc>
          <w:tcPr>
            <w:tcW w:w="0" w:type="auto"/>
          </w:tcPr>
          <w:p w14:paraId="591A59F4"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 0.19</w:t>
            </w:r>
          </w:p>
        </w:tc>
        <w:tc>
          <w:tcPr>
            <w:tcW w:w="0" w:type="auto"/>
          </w:tcPr>
          <w:p w14:paraId="62F9C5D9"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16.89</w:t>
            </w:r>
            <w:r w:rsidRPr="00B1315D">
              <w:rPr>
                <w:rFonts w:ascii="TTE1F8E378t00" w:hAnsi="TTE1F8E378t00" w:cs="TTE1F8E378t00"/>
              </w:rPr>
              <w:t>*</w:t>
            </w:r>
          </w:p>
        </w:tc>
      </w:tr>
      <w:tr w:rsidR="007569CB" w:rsidRPr="00B1315D" w14:paraId="74474598" w14:textId="77777777" w:rsidTr="001150B9">
        <w:tc>
          <w:tcPr>
            <w:tcW w:w="0" w:type="auto"/>
          </w:tcPr>
          <w:p w14:paraId="4F6FDC27"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May</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115DB23E"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528BA17B"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36</w:t>
            </w:r>
          </w:p>
        </w:tc>
        <w:tc>
          <w:tcPr>
            <w:tcW w:w="0" w:type="auto"/>
          </w:tcPr>
          <w:p w14:paraId="51BEC4EC"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49</w:t>
            </w:r>
          </w:p>
        </w:tc>
        <w:tc>
          <w:tcPr>
            <w:tcW w:w="0" w:type="auto"/>
          </w:tcPr>
          <w:p w14:paraId="1E957863"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:0.36</w:t>
            </w:r>
          </w:p>
        </w:tc>
        <w:tc>
          <w:tcPr>
            <w:tcW w:w="0" w:type="auto"/>
          </w:tcPr>
          <w:p w14:paraId="673841F5"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10.79</w:t>
            </w:r>
            <w:r w:rsidRPr="00B1315D">
              <w:rPr>
                <w:rFonts w:ascii="TTE1F8E378t00" w:hAnsi="TTE1F8E378t00" w:cs="TTE1F8E378t00"/>
              </w:rPr>
              <w:t>*</w:t>
            </w:r>
          </w:p>
        </w:tc>
      </w:tr>
      <w:tr w:rsidR="007569CB" w:rsidRPr="00B1315D" w14:paraId="205CD307" w14:textId="77777777" w:rsidTr="001150B9">
        <w:tc>
          <w:tcPr>
            <w:tcW w:w="0" w:type="auto"/>
          </w:tcPr>
          <w:p w14:paraId="6D45C024"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 xml:space="preserve">June </w:t>
            </w:r>
            <w:r w:rsidR="007569CB" w:rsidRPr="00B1315D">
              <w:rPr>
                <w:rFonts w:ascii="Times New Roman" w:hAnsi="Times New Roman" w:cs="Times New Roman"/>
                <w:sz w:val="24"/>
                <w:szCs w:val="24"/>
              </w:rPr>
              <w:t>2025</w:t>
            </w:r>
          </w:p>
        </w:tc>
        <w:tc>
          <w:tcPr>
            <w:tcW w:w="0" w:type="auto"/>
          </w:tcPr>
          <w:p w14:paraId="27E922E2"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22</w:t>
            </w:r>
          </w:p>
        </w:tc>
        <w:tc>
          <w:tcPr>
            <w:tcW w:w="0" w:type="auto"/>
          </w:tcPr>
          <w:p w14:paraId="35EC110B"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47</w:t>
            </w:r>
          </w:p>
        </w:tc>
        <w:tc>
          <w:tcPr>
            <w:tcW w:w="0" w:type="auto"/>
          </w:tcPr>
          <w:p w14:paraId="3C569DC6"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69</w:t>
            </w:r>
          </w:p>
        </w:tc>
        <w:tc>
          <w:tcPr>
            <w:tcW w:w="0" w:type="auto"/>
          </w:tcPr>
          <w:p w14:paraId="61EF9968"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:0.46</w:t>
            </w:r>
          </w:p>
        </w:tc>
        <w:tc>
          <w:tcPr>
            <w:tcW w:w="0" w:type="auto"/>
          </w:tcPr>
          <w:p w14:paraId="3FDD1AE0"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9.05</w:t>
            </w:r>
            <w:r w:rsidRPr="00B1315D">
              <w:rPr>
                <w:rFonts w:ascii="TTE1F8E378t00" w:hAnsi="TTE1F8E378t00" w:cs="TTE1F8E378t00"/>
              </w:rPr>
              <w:t>*</w:t>
            </w:r>
          </w:p>
        </w:tc>
      </w:tr>
      <w:tr w:rsidR="007569CB" w:rsidRPr="00B1315D" w14:paraId="33FE6E60" w14:textId="77777777" w:rsidTr="001150B9">
        <w:tc>
          <w:tcPr>
            <w:tcW w:w="0" w:type="auto"/>
          </w:tcPr>
          <w:p w14:paraId="24186A3E"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 xml:space="preserve">July </w:t>
            </w:r>
            <w:r w:rsidR="007569CB" w:rsidRPr="00B1315D">
              <w:rPr>
                <w:rFonts w:ascii="Times New Roman" w:hAnsi="Times New Roman" w:cs="Times New Roman"/>
                <w:sz w:val="24"/>
                <w:szCs w:val="24"/>
              </w:rPr>
              <w:t>2025</w:t>
            </w:r>
          </w:p>
        </w:tc>
        <w:tc>
          <w:tcPr>
            <w:tcW w:w="0" w:type="auto"/>
          </w:tcPr>
          <w:p w14:paraId="57B096ED"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2C9AEA1A"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11</w:t>
            </w:r>
          </w:p>
        </w:tc>
        <w:tc>
          <w:tcPr>
            <w:tcW w:w="0" w:type="auto"/>
          </w:tcPr>
          <w:p w14:paraId="4E139F6B"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13</w:t>
            </w:r>
          </w:p>
        </w:tc>
        <w:tc>
          <w:tcPr>
            <w:tcW w:w="0" w:type="auto"/>
          </w:tcPr>
          <w:p w14:paraId="61D799A5"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:0.18</w:t>
            </w:r>
          </w:p>
        </w:tc>
        <w:tc>
          <w:tcPr>
            <w:tcW w:w="0" w:type="auto"/>
          </w:tcPr>
          <w:p w14:paraId="272E3D9D" w14:textId="77777777" w:rsidR="007569CB" w:rsidRPr="00B1315D" w:rsidRDefault="007569CB" w:rsidP="00E150EC">
            <w:pPr>
              <w:jc w:val="both"/>
              <w:rPr>
                <w:rFonts w:ascii="Times New Roman" w:hAnsi="Times New Roman" w:cs="Times New Roman"/>
                <w:sz w:val="24"/>
                <w:szCs w:val="24"/>
              </w:rPr>
            </w:pPr>
            <w:r w:rsidRPr="00B1315D">
              <w:rPr>
                <w:rFonts w:ascii="Calibri" w:eastAsia="Times New Roman" w:hAnsi="Calibri" w:cs="Times New Roman"/>
                <w:color w:val="000000"/>
                <w:lang w:eastAsia="fr-FR"/>
              </w:rPr>
              <w:t>6.23</w:t>
            </w:r>
            <w:r w:rsidRPr="00B1315D">
              <w:rPr>
                <w:rFonts w:ascii="TTE1F8E378t00" w:hAnsi="TTE1F8E378t00" w:cs="TTE1F8E378t00"/>
              </w:rPr>
              <w:t>*</w:t>
            </w:r>
          </w:p>
        </w:tc>
      </w:tr>
      <w:tr w:rsidR="007569CB" w:rsidRPr="00B1315D" w14:paraId="5EE4B600" w14:textId="77777777" w:rsidTr="001150B9">
        <w:tc>
          <w:tcPr>
            <w:tcW w:w="0" w:type="auto"/>
          </w:tcPr>
          <w:p w14:paraId="42DD3782"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 xml:space="preserve">August </w:t>
            </w:r>
            <w:r w:rsidR="007569CB" w:rsidRPr="00B1315D">
              <w:rPr>
                <w:rFonts w:ascii="Times New Roman" w:hAnsi="Times New Roman" w:cs="Times New Roman"/>
                <w:sz w:val="24"/>
                <w:szCs w:val="24"/>
              </w:rPr>
              <w:t>2025</w:t>
            </w:r>
          </w:p>
        </w:tc>
        <w:tc>
          <w:tcPr>
            <w:tcW w:w="0" w:type="auto"/>
          </w:tcPr>
          <w:p w14:paraId="3BA75FE0"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4</w:t>
            </w:r>
          </w:p>
        </w:tc>
        <w:tc>
          <w:tcPr>
            <w:tcW w:w="0" w:type="auto"/>
          </w:tcPr>
          <w:p w14:paraId="1F15F290"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14</w:t>
            </w:r>
          </w:p>
        </w:tc>
        <w:tc>
          <w:tcPr>
            <w:tcW w:w="0" w:type="auto"/>
          </w:tcPr>
          <w:p w14:paraId="28073E27"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18</w:t>
            </w:r>
          </w:p>
        </w:tc>
        <w:tc>
          <w:tcPr>
            <w:tcW w:w="0" w:type="auto"/>
          </w:tcPr>
          <w:p w14:paraId="38E82EB7"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:0.28</w:t>
            </w:r>
          </w:p>
        </w:tc>
        <w:tc>
          <w:tcPr>
            <w:tcW w:w="0" w:type="auto"/>
          </w:tcPr>
          <w:p w14:paraId="3E55066F"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5.55</w:t>
            </w:r>
          </w:p>
        </w:tc>
      </w:tr>
      <w:tr w:rsidR="007569CB" w:rsidRPr="00B1315D" w14:paraId="5C8032D9" w14:textId="77777777" w:rsidTr="001150B9">
        <w:tc>
          <w:tcPr>
            <w:tcW w:w="0" w:type="auto"/>
          </w:tcPr>
          <w:p w14:paraId="07270A80"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September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7FCA8492"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w:t>
            </w:r>
          </w:p>
        </w:tc>
        <w:tc>
          <w:tcPr>
            <w:tcW w:w="0" w:type="auto"/>
          </w:tcPr>
          <w:p w14:paraId="174CDE76"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7AFF0D6F"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25B360D9"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:0.66</w:t>
            </w:r>
          </w:p>
        </w:tc>
        <w:tc>
          <w:tcPr>
            <w:tcW w:w="0" w:type="auto"/>
          </w:tcPr>
          <w:p w14:paraId="6D9732AE"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0.2</w:t>
            </w:r>
          </w:p>
        </w:tc>
      </w:tr>
      <w:tr w:rsidR="007569CB" w:rsidRPr="00B1315D" w14:paraId="50F30F20" w14:textId="77777777" w:rsidTr="001150B9">
        <w:tc>
          <w:tcPr>
            <w:tcW w:w="0" w:type="auto"/>
          </w:tcPr>
          <w:p w14:paraId="3D2B8F91"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October</w:t>
            </w:r>
            <w:r w:rsidRPr="00B1315D">
              <w:rPr>
                <w:rFonts w:ascii="Times New Roman" w:hAnsi="Times New Roman" w:cs="Times New Roman"/>
                <w:sz w:val="24"/>
                <w:szCs w:val="24"/>
              </w:rPr>
              <w:t xml:space="preserve"> </w:t>
            </w:r>
            <w:r w:rsidR="007569CB" w:rsidRPr="00B1315D">
              <w:rPr>
                <w:rFonts w:ascii="Times New Roman" w:hAnsi="Times New Roman" w:cs="Times New Roman"/>
                <w:sz w:val="24"/>
                <w:szCs w:val="24"/>
              </w:rPr>
              <w:t>2025</w:t>
            </w:r>
          </w:p>
        </w:tc>
        <w:tc>
          <w:tcPr>
            <w:tcW w:w="0" w:type="auto"/>
          </w:tcPr>
          <w:p w14:paraId="4B2F7442"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10</w:t>
            </w:r>
          </w:p>
        </w:tc>
        <w:tc>
          <w:tcPr>
            <w:tcW w:w="0" w:type="auto"/>
          </w:tcPr>
          <w:p w14:paraId="768BE5DC"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9</w:t>
            </w:r>
          </w:p>
        </w:tc>
        <w:tc>
          <w:tcPr>
            <w:tcW w:w="0" w:type="auto"/>
          </w:tcPr>
          <w:p w14:paraId="6FFE199D"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19</w:t>
            </w:r>
          </w:p>
        </w:tc>
        <w:tc>
          <w:tcPr>
            <w:tcW w:w="0" w:type="auto"/>
          </w:tcPr>
          <w:p w14:paraId="02297D12"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:1.11</w:t>
            </w:r>
          </w:p>
        </w:tc>
        <w:tc>
          <w:tcPr>
            <w:tcW w:w="0" w:type="auto"/>
          </w:tcPr>
          <w:p w14:paraId="0CAFD7B6"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0.05</w:t>
            </w:r>
          </w:p>
        </w:tc>
      </w:tr>
      <w:tr w:rsidR="007569CB" w:rsidRPr="00B1315D" w14:paraId="0D1CF4CD" w14:textId="77777777" w:rsidTr="001150B9">
        <w:tc>
          <w:tcPr>
            <w:tcW w:w="0" w:type="auto"/>
          </w:tcPr>
          <w:p w14:paraId="17981D54" w14:textId="77777777" w:rsidR="007569CB" w:rsidRPr="00B1315D" w:rsidRDefault="00E81C56" w:rsidP="00E150EC">
            <w:pPr>
              <w:jc w:val="both"/>
              <w:rPr>
                <w:rFonts w:ascii="Times New Roman" w:hAnsi="Times New Roman" w:cs="Times New Roman"/>
                <w:sz w:val="24"/>
                <w:szCs w:val="24"/>
              </w:rPr>
            </w:pPr>
            <w:r w:rsidRPr="00B1315D">
              <w:rPr>
                <w:rFonts w:ascii="Times New Roman" w:hAnsi="Times New Roman" w:cs="Times New Roman"/>
                <w:bCs/>
                <w:sz w:val="24"/>
                <w:szCs w:val="24"/>
                <w:lang w:val="en"/>
              </w:rPr>
              <w:t xml:space="preserve">November </w:t>
            </w:r>
            <w:r w:rsidR="007569CB" w:rsidRPr="00B1315D">
              <w:rPr>
                <w:rFonts w:ascii="Times New Roman" w:hAnsi="Times New Roman" w:cs="Times New Roman"/>
                <w:sz w:val="24"/>
                <w:szCs w:val="24"/>
              </w:rPr>
              <w:t>2025</w:t>
            </w:r>
          </w:p>
        </w:tc>
        <w:tc>
          <w:tcPr>
            <w:tcW w:w="0" w:type="auto"/>
          </w:tcPr>
          <w:p w14:paraId="41A9DA7C"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3</w:t>
            </w:r>
          </w:p>
        </w:tc>
        <w:tc>
          <w:tcPr>
            <w:tcW w:w="0" w:type="auto"/>
          </w:tcPr>
          <w:p w14:paraId="2C2F9F04"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5</w:t>
            </w:r>
          </w:p>
        </w:tc>
        <w:tc>
          <w:tcPr>
            <w:tcW w:w="0" w:type="auto"/>
          </w:tcPr>
          <w:p w14:paraId="39F4195F"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8</w:t>
            </w:r>
          </w:p>
        </w:tc>
        <w:tc>
          <w:tcPr>
            <w:tcW w:w="0" w:type="auto"/>
          </w:tcPr>
          <w:p w14:paraId="647E1ED6"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:0.6</w:t>
            </w:r>
          </w:p>
        </w:tc>
        <w:tc>
          <w:tcPr>
            <w:tcW w:w="0" w:type="auto"/>
          </w:tcPr>
          <w:p w14:paraId="5571E2F7"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0.5</w:t>
            </w:r>
          </w:p>
        </w:tc>
      </w:tr>
      <w:tr w:rsidR="007569CB" w:rsidRPr="00B1315D" w14:paraId="2F756C19" w14:textId="77777777" w:rsidTr="001150B9">
        <w:tc>
          <w:tcPr>
            <w:tcW w:w="0" w:type="auto"/>
          </w:tcPr>
          <w:p w14:paraId="2AE8127F" w14:textId="77777777" w:rsidR="007569CB" w:rsidRPr="00B1315D" w:rsidRDefault="007569CB" w:rsidP="00E150EC">
            <w:pPr>
              <w:jc w:val="both"/>
              <w:rPr>
                <w:rFonts w:ascii="Times New Roman" w:hAnsi="Times New Roman" w:cs="Times New Roman"/>
                <w:b/>
                <w:sz w:val="24"/>
                <w:szCs w:val="24"/>
              </w:rPr>
            </w:pPr>
            <w:r w:rsidRPr="00B1315D">
              <w:rPr>
                <w:rFonts w:ascii="Times New Roman" w:hAnsi="Times New Roman" w:cs="Times New Roman"/>
                <w:b/>
                <w:sz w:val="24"/>
                <w:szCs w:val="24"/>
              </w:rPr>
              <w:t>TOTAL</w:t>
            </w:r>
          </w:p>
        </w:tc>
        <w:tc>
          <w:tcPr>
            <w:tcW w:w="0" w:type="auto"/>
          </w:tcPr>
          <w:p w14:paraId="241A6A8E" w14:textId="77777777" w:rsidR="007569CB" w:rsidRPr="00B1315D" w:rsidRDefault="007569CB" w:rsidP="00E150EC">
            <w:pPr>
              <w:jc w:val="both"/>
              <w:rPr>
                <w:rFonts w:ascii="Times New Roman" w:hAnsi="Times New Roman" w:cs="Times New Roman"/>
                <w:b/>
                <w:sz w:val="24"/>
                <w:szCs w:val="24"/>
              </w:rPr>
            </w:pPr>
            <w:r w:rsidRPr="00B1315D">
              <w:rPr>
                <w:rFonts w:ascii="Times New Roman" w:hAnsi="Times New Roman" w:cs="Times New Roman"/>
                <w:b/>
                <w:sz w:val="24"/>
                <w:szCs w:val="24"/>
              </w:rPr>
              <w:t>129</w:t>
            </w:r>
          </w:p>
        </w:tc>
        <w:tc>
          <w:tcPr>
            <w:tcW w:w="0" w:type="auto"/>
          </w:tcPr>
          <w:p w14:paraId="247689F4" w14:textId="77777777" w:rsidR="007569CB" w:rsidRPr="00B1315D" w:rsidRDefault="007569CB" w:rsidP="00E150EC">
            <w:pPr>
              <w:jc w:val="both"/>
              <w:rPr>
                <w:rFonts w:ascii="Times New Roman" w:hAnsi="Times New Roman" w:cs="Times New Roman"/>
                <w:b/>
                <w:sz w:val="24"/>
                <w:szCs w:val="24"/>
              </w:rPr>
            </w:pPr>
            <w:r w:rsidRPr="00B1315D">
              <w:rPr>
                <w:rFonts w:ascii="Times New Roman" w:hAnsi="Times New Roman" w:cs="Times New Roman"/>
                <w:b/>
                <w:sz w:val="24"/>
                <w:szCs w:val="24"/>
              </w:rPr>
              <w:t>222</w:t>
            </w:r>
          </w:p>
        </w:tc>
        <w:tc>
          <w:tcPr>
            <w:tcW w:w="0" w:type="auto"/>
          </w:tcPr>
          <w:p w14:paraId="72970A3D" w14:textId="77777777" w:rsidR="007569CB" w:rsidRPr="00B1315D" w:rsidRDefault="007569CB" w:rsidP="00E150EC">
            <w:pPr>
              <w:jc w:val="both"/>
              <w:rPr>
                <w:rFonts w:ascii="Times New Roman" w:hAnsi="Times New Roman" w:cs="Times New Roman"/>
                <w:b/>
                <w:sz w:val="24"/>
                <w:szCs w:val="24"/>
              </w:rPr>
            </w:pPr>
            <w:r w:rsidRPr="00B1315D">
              <w:rPr>
                <w:rFonts w:ascii="Times New Roman" w:hAnsi="Times New Roman" w:cs="Times New Roman"/>
                <w:b/>
                <w:sz w:val="24"/>
                <w:szCs w:val="24"/>
              </w:rPr>
              <w:t>351</w:t>
            </w:r>
          </w:p>
        </w:tc>
        <w:tc>
          <w:tcPr>
            <w:tcW w:w="0" w:type="auto"/>
          </w:tcPr>
          <w:p w14:paraId="2770B3A2"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:0.74</w:t>
            </w:r>
          </w:p>
        </w:tc>
        <w:tc>
          <w:tcPr>
            <w:tcW w:w="0" w:type="auto"/>
          </w:tcPr>
          <w:p w14:paraId="29A80FDD"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24.64</w:t>
            </w:r>
            <w:r w:rsidRPr="00B1315D">
              <w:rPr>
                <w:rFonts w:ascii="TTE1F8E378t00" w:hAnsi="TTE1F8E378t00" w:cs="TTE1F8E378t00"/>
              </w:rPr>
              <w:t>*</w:t>
            </w:r>
          </w:p>
        </w:tc>
      </w:tr>
      <w:tr w:rsidR="007569CB" w:rsidRPr="00B1315D" w14:paraId="6BFF591F" w14:textId="77777777" w:rsidTr="001150B9">
        <w:tc>
          <w:tcPr>
            <w:tcW w:w="0" w:type="auto"/>
          </w:tcPr>
          <w:p w14:paraId="46C0DA9E" w14:textId="77777777" w:rsidR="007569CB" w:rsidRPr="00B1315D" w:rsidRDefault="00B1315D" w:rsidP="00E150EC">
            <w:pPr>
              <w:jc w:val="both"/>
              <w:rPr>
                <w:rFonts w:ascii="Times New Roman" w:hAnsi="Times New Roman" w:cs="Times New Roman"/>
                <w:b/>
                <w:sz w:val="24"/>
                <w:szCs w:val="24"/>
              </w:rPr>
            </w:pPr>
            <w:r w:rsidRPr="00B1315D">
              <w:rPr>
                <w:rFonts w:ascii="Times New Roman" w:hAnsi="Times New Roman" w:cs="Times New Roman"/>
                <w:b/>
                <w:sz w:val="24"/>
                <w:szCs w:val="24"/>
              </w:rPr>
              <w:t>Dry season</w:t>
            </w:r>
          </w:p>
        </w:tc>
        <w:tc>
          <w:tcPr>
            <w:tcW w:w="0" w:type="auto"/>
          </w:tcPr>
          <w:p w14:paraId="6F8FA993"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78</w:t>
            </w:r>
          </w:p>
        </w:tc>
        <w:tc>
          <w:tcPr>
            <w:tcW w:w="0" w:type="auto"/>
          </w:tcPr>
          <w:p w14:paraId="756965DC"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119</w:t>
            </w:r>
          </w:p>
        </w:tc>
        <w:tc>
          <w:tcPr>
            <w:tcW w:w="0" w:type="auto"/>
          </w:tcPr>
          <w:p w14:paraId="677593B1"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197</w:t>
            </w:r>
          </w:p>
        </w:tc>
        <w:tc>
          <w:tcPr>
            <w:tcW w:w="0" w:type="auto"/>
          </w:tcPr>
          <w:p w14:paraId="24AFE75C"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:0.5</w:t>
            </w:r>
          </w:p>
        </w:tc>
        <w:tc>
          <w:tcPr>
            <w:tcW w:w="0" w:type="auto"/>
          </w:tcPr>
          <w:p w14:paraId="0B4B8A25"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8.53</w:t>
            </w:r>
            <w:r w:rsidRPr="00B1315D">
              <w:rPr>
                <w:rFonts w:ascii="TTE1F8E378t00" w:hAnsi="TTE1F8E378t00" w:cs="TTE1F8E378t00"/>
              </w:rPr>
              <w:t>*</w:t>
            </w:r>
          </w:p>
        </w:tc>
      </w:tr>
      <w:tr w:rsidR="007569CB" w:rsidRPr="00B1315D" w14:paraId="2FB9EB7F" w14:textId="77777777" w:rsidTr="00B1315D">
        <w:trPr>
          <w:trHeight w:val="138"/>
        </w:trPr>
        <w:tc>
          <w:tcPr>
            <w:tcW w:w="0" w:type="auto"/>
          </w:tcPr>
          <w:p w14:paraId="3E0AF67E" w14:textId="77777777" w:rsidR="007569CB" w:rsidRPr="00B1315D" w:rsidRDefault="00B1315D" w:rsidP="00E150EC">
            <w:pPr>
              <w:jc w:val="both"/>
              <w:rPr>
                <w:rFonts w:ascii="Times New Roman" w:hAnsi="Times New Roman" w:cs="Times New Roman"/>
                <w:b/>
                <w:sz w:val="24"/>
                <w:szCs w:val="24"/>
              </w:rPr>
            </w:pPr>
            <w:r w:rsidRPr="00B1315D">
              <w:rPr>
                <w:rFonts w:ascii="Times New Roman" w:hAnsi="Times New Roman" w:cs="Times New Roman"/>
                <w:b/>
                <w:sz w:val="24"/>
                <w:szCs w:val="24"/>
              </w:rPr>
              <w:t>Rainy season</w:t>
            </w:r>
          </w:p>
        </w:tc>
        <w:tc>
          <w:tcPr>
            <w:tcW w:w="0" w:type="auto"/>
          </w:tcPr>
          <w:p w14:paraId="459F1FE8"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51</w:t>
            </w:r>
          </w:p>
        </w:tc>
        <w:tc>
          <w:tcPr>
            <w:tcW w:w="0" w:type="auto"/>
          </w:tcPr>
          <w:p w14:paraId="0497E2D9"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103</w:t>
            </w:r>
          </w:p>
        </w:tc>
        <w:tc>
          <w:tcPr>
            <w:tcW w:w="0" w:type="auto"/>
          </w:tcPr>
          <w:p w14:paraId="51E650F5"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154</w:t>
            </w:r>
          </w:p>
        </w:tc>
        <w:tc>
          <w:tcPr>
            <w:tcW w:w="0" w:type="auto"/>
          </w:tcPr>
          <w:p w14:paraId="0BBCB4B4" w14:textId="77777777" w:rsidR="007569CB" w:rsidRPr="00B1315D" w:rsidRDefault="007569CB" w:rsidP="00E150EC">
            <w:pPr>
              <w:jc w:val="both"/>
              <w:rPr>
                <w:rFonts w:ascii="Times New Roman" w:hAnsi="Times New Roman" w:cs="Times New Roman"/>
                <w:sz w:val="24"/>
                <w:szCs w:val="24"/>
              </w:rPr>
            </w:pPr>
            <w:r w:rsidRPr="00B1315D">
              <w:rPr>
                <w:rFonts w:ascii="TTE1F8E378t00" w:hAnsi="TTE1F8E378t00" w:cs="TTE1F8E378t00"/>
              </w:rPr>
              <w:t>1 :0.5</w:t>
            </w:r>
          </w:p>
        </w:tc>
        <w:tc>
          <w:tcPr>
            <w:tcW w:w="0" w:type="auto"/>
          </w:tcPr>
          <w:p w14:paraId="616D0DDE" w14:textId="77777777" w:rsidR="007569CB" w:rsidRPr="00B1315D" w:rsidRDefault="007569CB" w:rsidP="00E150EC">
            <w:pPr>
              <w:jc w:val="both"/>
              <w:rPr>
                <w:rFonts w:ascii="Times New Roman" w:hAnsi="Times New Roman" w:cs="Times New Roman"/>
                <w:sz w:val="24"/>
                <w:szCs w:val="24"/>
              </w:rPr>
            </w:pPr>
            <w:r w:rsidRPr="00B1315D">
              <w:rPr>
                <w:rFonts w:ascii="Times New Roman" w:hAnsi="Times New Roman" w:cs="Times New Roman"/>
                <w:sz w:val="24"/>
                <w:szCs w:val="24"/>
              </w:rPr>
              <w:t>17.55</w:t>
            </w:r>
            <w:r w:rsidRPr="00B1315D">
              <w:rPr>
                <w:rFonts w:ascii="TTE1F8E378t00" w:hAnsi="TTE1F8E378t00" w:cs="TTE1F8E378t00"/>
              </w:rPr>
              <w:t>*</w:t>
            </w:r>
          </w:p>
        </w:tc>
      </w:tr>
    </w:tbl>
    <w:p w14:paraId="0A8C258E" w14:textId="77777777" w:rsidR="004165F2" w:rsidRPr="00B1315D" w:rsidRDefault="004165F2" w:rsidP="00E150EC">
      <w:pPr>
        <w:spacing w:line="360" w:lineRule="auto"/>
        <w:jc w:val="both"/>
        <w:rPr>
          <w:rFonts w:ascii="Times New Roman" w:hAnsi="Times New Roman" w:cs="Times New Roman"/>
          <w:sz w:val="24"/>
          <w:szCs w:val="24"/>
        </w:rPr>
      </w:pPr>
      <w:r>
        <w:rPr>
          <w:rFonts w:ascii="Times New Roman" w:hAnsi="Times New Roman"/>
          <w:sz w:val="24"/>
        </w:rPr>
        <w:t xml:space="preserve">The sex ratio of the entire </w:t>
      </w:r>
      <w:r>
        <w:rPr>
          <w:rFonts w:ascii="Times New Roman" w:hAnsi="Times New Roman"/>
          <w:i/>
          <w:sz w:val="24"/>
        </w:rPr>
        <w:t>Oreochromis niloticus</w:t>
      </w:r>
      <w:r>
        <w:rPr>
          <w:rFonts w:ascii="Times New Roman" w:hAnsi="Times New Roman"/>
          <w:sz w:val="24"/>
        </w:rPr>
        <w:t xml:space="preserve"> population </w:t>
      </w:r>
      <w:r>
        <w:rPr>
          <w:rFonts w:ascii="Times New Roman" w:hAnsi="Times New Roman"/>
          <w:sz w:val="24"/>
          <w:highlight w:val="yellow"/>
        </w:rPr>
        <w:t>wa</w:t>
      </w:r>
      <w:r>
        <w:rPr>
          <w:rFonts w:ascii="Times New Roman" w:hAnsi="Times New Roman"/>
          <w:sz w:val="24"/>
        </w:rPr>
        <w:t>s 1:0.74. This result indicate</w:t>
      </w:r>
      <w:r>
        <w:rPr>
          <w:rFonts w:ascii="Times New Roman" w:hAnsi="Times New Roman"/>
          <w:sz w:val="24"/>
          <w:highlight w:val="yellow"/>
        </w:rPr>
        <w:t>d</w:t>
      </w:r>
      <w:r>
        <w:rPr>
          <w:rFonts w:ascii="Times New Roman" w:hAnsi="Times New Roman"/>
          <w:sz w:val="24"/>
        </w:rPr>
        <w:t xml:space="preserve"> a predominance of males over females.</w:t>
      </w:r>
      <w:r>
        <w:rPr>
          <w:rFonts w:ascii="inherit" w:hAnsi="inherit"/>
          <w:color w:val="1F1F1F"/>
          <w:sz w:val="42"/>
        </w:rPr>
        <w:t xml:space="preserve"> </w:t>
      </w:r>
      <w:r>
        <w:rPr>
          <w:rFonts w:ascii="Times New Roman" w:hAnsi="Times New Roman"/>
          <w:sz w:val="24"/>
        </w:rPr>
        <w:t>Seasonal variation reveal</w:t>
      </w:r>
      <w:r>
        <w:rPr>
          <w:rFonts w:ascii="Times New Roman" w:hAnsi="Times New Roman"/>
          <w:sz w:val="24"/>
          <w:highlight w:val="yellow"/>
        </w:rPr>
        <w:t>ed</w:t>
      </w:r>
      <w:r>
        <w:rPr>
          <w:rFonts w:ascii="Times New Roman" w:hAnsi="Times New Roman"/>
          <w:sz w:val="24"/>
        </w:rPr>
        <w:t xml:space="preserve"> a predominance of males in both the dry and rainy seasons.</w:t>
      </w:r>
      <w:r>
        <w:rPr>
          <w:rFonts w:ascii="inherit" w:hAnsi="inherit"/>
          <w:color w:val="1F1F1F"/>
          <w:sz w:val="42"/>
        </w:rPr>
        <w:t xml:space="preserve"> </w:t>
      </w:r>
      <w:r>
        <w:rPr>
          <w:rFonts w:ascii="Times New Roman" w:hAnsi="Times New Roman"/>
          <w:sz w:val="24"/>
        </w:rPr>
        <w:t>This result could be explained by the fact that several factors</w:t>
      </w:r>
      <w:r>
        <w:rPr>
          <w:rFonts w:ascii="Times New Roman" w:hAnsi="Times New Roman"/>
          <w:sz w:val="24"/>
          <w:highlight w:val="yellow"/>
        </w:rPr>
        <w:t>,</w:t>
      </w:r>
      <w:r>
        <w:rPr>
          <w:rFonts w:ascii="Times New Roman" w:hAnsi="Times New Roman"/>
          <w:sz w:val="24"/>
        </w:rPr>
        <w:t xml:space="preserve"> such as differential growth, movement associated with foraging, and sex-specific mortality rates</w:t>
      </w:r>
      <w:r>
        <w:rPr>
          <w:rFonts w:ascii="Times New Roman" w:hAnsi="Times New Roman"/>
          <w:sz w:val="24"/>
          <w:highlight w:val="yellow"/>
        </w:rPr>
        <w:t>,</w:t>
      </w:r>
      <w:r>
        <w:rPr>
          <w:rFonts w:ascii="Times New Roman" w:hAnsi="Times New Roman"/>
          <w:sz w:val="24"/>
        </w:rPr>
        <w:t xml:space="preserve"> influence the sex ratio in fish (Sylla</w:t>
      </w:r>
      <w:r>
        <w:rPr>
          <w:rFonts w:ascii="Times New Roman" w:hAnsi="Times New Roman"/>
          <w:sz w:val="24"/>
          <w:highlight w:val="yellow"/>
        </w:rPr>
        <w:t xml:space="preserve"> et al.</w:t>
      </w:r>
      <w:r>
        <w:rPr>
          <w:rFonts w:ascii="Times New Roman" w:hAnsi="Times New Roman"/>
          <w:sz w:val="24"/>
        </w:rPr>
        <w:t>, 200</w:t>
      </w:r>
      <w:r>
        <w:rPr>
          <w:rFonts w:ascii="Times New Roman" w:hAnsi="Times New Roman"/>
          <w:sz w:val="24"/>
          <w:highlight w:val="yellow"/>
        </w:rPr>
        <w:t>8</w:t>
      </w:r>
      <w:r>
        <w:rPr>
          <w:rFonts w:ascii="Times New Roman" w:hAnsi="Times New Roman"/>
          <w:sz w:val="24"/>
        </w:rPr>
        <w:t xml:space="preserve">). The male-biased sex ratio in Cichlid populations of the African Great Lakes could also be explained by their faster growth rate compared </w:t>
      </w:r>
      <w:r>
        <w:rPr>
          <w:rFonts w:ascii="Times New Roman" w:hAnsi="Times New Roman"/>
          <w:sz w:val="24"/>
          <w:highlight w:val="yellow"/>
        </w:rPr>
        <w:t>wi</w:t>
      </w:r>
      <w:r>
        <w:rPr>
          <w:rFonts w:ascii="Times New Roman" w:hAnsi="Times New Roman"/>
          <w:sz w:val="24"/>
        </w:rPr>
        <w:t>t</w:t>
      </w:r>
      <w:r>
        <w:rPr>
          <w:rFonts w:ascii="Times New Roman" w:hAnsi="Times New Roman"/>
          <w:sz w:val="24"/>
          <w:highlight w:val="yellow"/>
        </w:rPr>
        <w:t>h</w:t>
      </w:r>
      <w:r>
        <w:rPr>
          <w:rFonts w:ascii="Times New Roman" w:hAnsi="Times New Roman"/>
          <w:sz w:val="24"/>
        </w:rPr>
        <w:t xml:space="preserve"> females (Ats</w:t>
      </w:r>
      <w:r>
        <w:rPr>
          <w:rFonts w:ascii="Times New Roman" w:hAnsi="Times New Roman"/>
          <w:sz w:val="24"/>
          <w:highlight w:val="yellow"/>
        </w:rPr>
        <w:t xml:space="preserve">é </w:t>
      </w:r>
      <w:r>
        <w:rPr>
          <w:rFonts w:ascii="Times New Roman" w:hAnsi="Times New Roman"/>
          <w:sz w:val="24"/>
        </w:rPr>
        <w:t>e</w:t>
      </w:r>
      <w:r>
        <w:rPr>
          <w:rFonts w:ascii="Times New Roman" w:hAnsi="Times New Roman"/>
          <w:sz w:val="24"/>
          <w:highlight w:val="yellow"/>
        </w:rPr>
        <w:t>t</w:t>
      </w:r>
      <w:r>
        <w:rPr>
          <w:rFonts w:ascii="Times New Roman" w:hAnsi="Times New Roman"/>
          <w:sz w:val="24"/>
        </w:rPr>
        <w:t xml:space="preserve"> al., 2009). The male-biased sex ratio could also be explained by the fact that, as </w:t>
      </w:r>
      <w:r>
        <w:rPr>
          <w:rFonts w:ascii="Times New Roman" w:hAnsi="Times New Roman"/>
          <w:i/>
          <w:sz w:val="24"/>
        </w:rPr>
        <w:t>O. niloticus</w:t>
      </w:r>
      <w:r>
        <w:rPr>
          <w:rFonts w:ascii="Times New Roman" w:hAnsi="Times New Roman"/>
          <w:sz w:val="24"/>
        </w:rPr>
        <w:t xml:space="preserve"> is a mouth-brooding species, the lack of food during the breeding season may force breeding adults to remain largely sedentary in areas where capture is difficult.</w:t>
      </w:r>
      <w:r>
        <w:rPr>
          <w:rFonts w:ascii="inherit" w:hAnsi="inherit"/>
          <w:color w:val="1F1F1F"/>
          <w:sz w:val="42"/>
        </w:rPr>
        <w:t xml:space="preserve"> </w:t>
      </w:r>
      <w:r>
        <w:rPr>
          <w:rFonts w:ascii="Times New Roman" w:hAnsi="Times New Roman"/>
          <w:sz w:val="24"/>
        </w:rPr>
        <w:t xml:space="preserve">Djadji </w:t>
      </w:r>
      <w:r>
        <w:rPr>
          <w:rFonts w:ascii="Times New Roman" w:hAnsi="Times New Roman"/>
          <w:sz w:val="24"/>
          <w:highlight w:val="yellow"/>
        </w:rPr>
        <w:t>et</w:t>
      </w:r>
      <w:r>
        <w:rPr>
          <w:rFonts w:ascii="Times New Roman" w:hAnsi="Times New Roman"/>
          <w:sz w:val="24"/>
        </w:rPr>
        <w:t xml:space="preserve"> al. (2013) and Poulet (2004) also note</w:t>
      </w:r>
      <w:r>
        <w:rPr>
          <w:rFonts w:ascii="Times New Roman" w:hAnsi="Times New Roman"/>
          <w:sz w:val="24"/>
          <w:highlight w:val="yellow"/>
        </w:rPr>
        <w:t>d</w:t>
      </w:r>
      <w:r>
        <w:rPr>
          <w:rFonts w:ascii="Times New Roman" w:hAnsi="Times New Roman"/>
          <w:sz w:val="24"/>
        </w:rPr>
        <w:t xml:space="preserve"> that </w:t>
      </w:r>
      <w:r>
        <w:rPr>
          <w:rFonts w:ascii="Times New Roman" w:hAnsi="Times New Roman"/>
          <w:sz w:val="24"/>
          <w:highlight w:val="yellow"/>
        </w:rPr>
        <w:t>the</w:t>
      </w:r>
      <w:r>
        <w:rPr>
          <w:rFonts w:ascii="Times New Roman" w:hAnsi="Times New Roman"/>
          <w:sz w:val="24"/>
        </w:rPr>
        <w:t xml:space="preserve"> predominance of one sex is a phenomenon frequently encountered in many teleost fish species. The result obtained in the present study is consistent with that obtained by Akonkwa </w:t>
      </w:r>
      <w:r>
        <w:rPr>
          <w:rFonts w:ascii="Times New Roman" w:hAnsi="Times New Roman"/>
          <w:sz w:val="24"/>
          <w:highlight w:val="yellow"/>
        </w:rPr>
        <w:t>et</w:t>
      </w:r>
      <w:r>
        <w:rPr>
          <w:rFonts w:ascii="Times New Roman" w:hAnsi="Times New Roman"/>
          <w:sz w:val="24"/>
        </w:rPr>
        <w:t xml:space="preserve"> </w:t>
      </w:r>
      <w:r>
        <w:rPr>
          <w:rFonts w:ascii="Times New Roman" w:hAnsi="Times New Roman"/>
          <w:i/>
          <w:sz w:val="24"/>
        </w:rPr>
        <w:t>al</w:t>
      </w:r>
      <w:r>
        <w:rPr>
          <w:rFonts w:ascii="Times New Roman" w:hAnsi="Times New Roman"/>
          <w:sz w:val="24"/>
        </w:rPr>
        <w:t>. (2016) in Lake Kivu, Congo. These authors found a sex ratio (1.67:1) biased towards males in the same species.</w:t>
      </w:r>
      <w:r>
        <w:rPr>
          <w:rFonts w:ascii="inherit" w:hAnsi="inherit"/>
          <w:color w:val="1F1F1F"/>
          <w:sz w:val="42"/>
        </w:rPr>
        <w:t xml:space="preserve"> </w:t>
      </w:r>
      <w:r>
        <w:rPr>
          <w:rFonts w:ascii="Times New Roman" w:hAnsi="Times New Roman"/>
          <w:sz w:val="24"/>
        </w:rPr>
        <w:t xml:space="preserve">Kidari (2023) also observed a male predominance in </w:t>
      </w:r>
      <w:r>
        <w:rPr>
          <w:rFonts w:ascii="Times New Roman" w:hAnsi="Times New Roman"/>
          <w:i/>
          <w:sz w:val="24"/>
        </w:rPr>
        <w:t>O. niloticus</w:t>
      </w:r>
      <w:r>
        <w:rPr>
          <w:rFonts w:ascii="Times New Roman" w:hAnsi="Times New Roman"/>
          <w:sz w:val="24"/>
        </w:rPr>
        <w:t>, with 61.36% of the population being male, in the Tlemcen region of Algeria.</w:t>
      </w:r>
    </w:p>
    <w:p w14:paraId="3D8977D3" w14:textId="77777777" w:rsidR="00424070" w:rsidRPr="00B1315D" w:rsidRDefault="00424070" w:rsidP="00E150EC">
      <w:pPr>
        <w:jc w:val="both"/>
        <w:rPr>
          <w:rFonts w:ascii="Times New Roman" w:hAnsi="Times New Roman" w:cs="Times New Roman"/>
          <w:b/>
          <w:bCs/>
          <w:sz w:val="24"/>
          <w:szCs w:val="24"/>
        </w:rPr>
      </w:pPr>
      <w:r>
        <w:rPr>
          <w:rFonts w:ascii="Times New Roman" w:hAnsi="Times New Roman"/>
          <w:b/>
          <w:sz w:val="24"/>
        </w:rPr>
        <w:t xml:space="preserve">3.2 Size at first sexual maturity and </w:t>
      </w:r>
      <w:r>
        <w:rPr>
          <w:rFonts w:ascii="Times New Roman" w:hAnsi="Times New Roman"/>
          <w:b/>
          <w:sz w:val="24"/>
          <w:highlight w:val="yellow"/>
        </w:rPr>
        <w:t>m</w:t>
      </w:r>
      <w:r>
        <w:rPr>
          <w:rFonts w:ascii="Times New Roman" w:hAnsi="Times New Roman"/>
          <w:b/>
          <w:sz w:val="24"/>
        </w:rPr>
        <w:t>onthly variation in sexual maturity stages</w:t>
      </w:r>
    </w:p>
    <w:p w14:paraId="69890840" w14:textId="5E91AA46" w:rsidR="00CB2623" w:rsidRDefault="00000000" w:rsidP="00E150EC">
      <w:pPr>
        <w:spacing w:line="360" w:lineRule="auto"/>
        <w:jc w:val="both"/>
        <w:rPr>
          <w:rFonts w:ascii="Times New Roman" w:hAnsi="Times New Roman"/>
          <w:sz w:val="24"/>
        </w:rPr>
      </w:pPr>
      <w:r>
        <w:rPr>
          <w:rFonts w:ascii="Times New Roman" w:hAnsi="Times New Roman"/>
          <w:sz w:val="24"/>
        </w:rPr>
        <w:t xml:space="preserve">The size at first sexual maturity observed in </w:t>
      </w:r>
      <w:r>
        <w:rPr>
          <w:rFonts w:ascii="Times New Roman" w:hAnsi="Times New Roman"/>
          <w:i/>
          <w:sz w:val="24"/>
        </w:rPr>
        <w:t>O. niloticus</w:t>
      </w:r>
      <w:r>
        <w:rPr>
          <w:rFonts w:ascii="Times New Roman" w:hAnsi="Times New Roman"/>
          <w:sz w:val="24"/>
        </w:rPr>
        <w:t xml:space="preserve"> </w:t>
      </w:r>
      <w:r>
        <w:rPr>
          <w:rFonts w:ascii="Times New Roman" w:hAnsi="Times New Roman"/>
          <w:sz w:val="24"/>
          <w:highlight w:val="yellow"/>
        </w:rPr>
        <w:t>wa</w:t>
      </w:r>
      <w:r>
        <w:rPr>
          <w:rFonts w:ascii="Times New Roman" w:hAnsi="Times New Roman"/>
          <w:sz w:val="24"/>
        </w:rPr>
        <w:t>s 11.81 cm for females (Figure 2) and 14 cm for males (Figure 3). Females reach</w:t>
      </w:r>
      <w:r>
        <w:rPr>
          <w:rFonts w:ascii="Times New Roman" w:hAnsi="Times New Roman"/>
          <w:sz w:val="24"/>
          <w:highlight w:val="yellow"/>
        </w:rPr>
        <w:t>ed</w:t>
      </w:r>
      <w:r>
        <w:rPr>
          <w:rFonts w:ascii="Times New Roman" w:hAnsi="Times New Roman"/>
          <w:sz w:val="24"/>
        </w:rPr>
        <w:t xml:space="preserve"> sexual maturity at a smaller size than males. </w:t>
      </w:r>
    </w:p>
    <w:p w14:paraId="47D86961" w14:textId="153E1C45" w:rsidR="00CB2623" w:rsidRDefault="00CB2623" w:rsidP="00E150EC">
      <w:pPr>
        <w:spacing w:line="360" w:lineRule="auto"/>
        <w:jc w:val="both"/>
        <w:rPr>
          <w:rFonts w:ascii="Times New Roman" w:hAnsi="Times New Roman"/>
          <w:sz w:val="24"/>
        </w:rPr>
      </w:pPr>
      <w:r>
        <w:rPr>
          <w:rFonts w:ascii="Times New Roman" w:hAnsi="Times New Roman" w:cs="Times New Roman"/>
          <w:noProof/>
          <w:sz w:val="24"/>
          <w:szCs w:val="24"/>
          <w:lang w:val="en"/>
        </w:rPr>
        <w:lastRenderedPageBreak/>
        <w:object w:dxaOrig="7533" w:dyaOrig="5943" w14:anchorId="05E30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62.5pt;margin-top:-14.9pt;width:267.8pt;height:211.15pt;z-index:251660288" filled="t" stroked="t">
            <v:imagedata r:id="rId8" o:title=""/>
          </v:shape>
          <o:OLEObject Type="Embed" ProgID="STATISTICA.Graph" ShapeID="_x0000_s2052" DrawAspect="Content" ObjectID="_1852108034" r:id="rId9">
            <o:FieldCodes>\s</o:FieldCodes>
          </o:OLEObject>
        </w:object>
      </w:r>
    </w:p>
    <w:p w14:paraId="0A15D996" w14:textId="77777777" w:rsidR="00CB2623" w:rsidRDefault="00CB2623" w:rsidP="00E150EC">
      <w:pPr>
        <w:spacing w:line="360" w:lineRule="auto"/>
        <w:jc w:val="both"/>
        <w:rPr>
          <w:rFonts w:ascii="Times New Roman" w:hAnsi="Times New Roman"/>
          <w:sz w:val="24"/>
        </w:rPr>
      </w:pPr>
    </w:p>
    <w:p w14:paraId="2608F2FB" w14:textId="77777777" w:rsidR="00CB2623" w:rsidRDefault="00CB2623" w:rsidP="00E150EC">
      <w:pPr>
        <w:spacing w:line="360" w:lineRule="auto"/>
        <w:jc w:val="both"/>
        <w:rPr>
          <w:rFonts w:ascii="Times New Roman" w:hAnsi="Times New Roman"/>
          <w:sz w:val="24"/>
        </w:rPr>
      </w:pPr>
    </w:p>
    <w:p w14:paraId="7A8467FD" w14:textId="77777777" w:rsidR="00CB2623" w:rsidRDefault="00CB2623" w:rsidP="00E150EC">
      <w:pPr>
        <w:spacing w:line="360" w:lineRule="auto"/>
        <w:jc w:val="both"/>
        <w:rPr>
          <w:rFonts w:ascii="Times New Roman" w:hAnsi="Times New Roman"/>
          <w:sz w:val="24"/>
        </w:rPr>
      </w:pPr>
    </w:p>
    <w:p w14:paraId="54971EF0" w14:textId="77777777" w:rsidR="00CB2623" w:rsidRDefault="00CB2623" w:rsidP="00E150EC">
      <w:pPr>
        <w:spacing w:line="360" w:lineRule="auto"/>
        <w:jc w:val="both"/>
        <w:rPr>
          <w:rFonts w:ascii="Times New Roman" w:hAnsi="Times New Roman"/>
          <w:sz w:val="24"/>
        </w:rPr>
      </w:pPr>
    </w:p>
    <w:p w14:paraId="1B79583D" w14:textId="77777777" w:rsidR="00CB2623" w:rsidRDefault="00CB2623" w:rsidP="00E150EC">
      <w:pPr>
        <w:spacing w:line="360" w:lineRule="auto"/>
        <w:jc w:val="both"/>
        <w:rPr>
          <w:rFonts w:ascii="Times New Roman" w:hAnsi="Times New Roman"/>
          <w:sz w:val="24"/>
        </w:rPr>
      </w:pPr>
    </w:p>
    <w:p w14:paraId="03A92A72" w14:textId="77777777" w:rsidR="00CB2623" w:rsidRDefault="00CB2623" w:rsidP="00E150EC">
      <w:pPr>
        <w:spacing w:line="360" w:lineRule="auto"/>
        <w:jc w:val="both"/>
        <w:rPr>
          <w:rFonts w:ascii="Times New Roman" w:hAnsi="Times New Roman"/>
          <w:sz w:val="24"/>
        </w:rPr>
      </w:pPr>
    </w:p>
    <w:p w14:paraId="7BCF2FA0" w14:textId="77777777" w:rsidR="00CB2623" w:rsidRDefault="00CB2623" w:rsidP="00E150EC">
      <w:pPr>
        <w:spacing w:line="360" w:lineRule="auto"/>
        <w:jc w:val="both"/>
        <w:rPr>
          <w:rFonts w:ascii="Times New Roman" w:hAnsi="Times New Roman"/>
          <w:sz w:val="24"/>
        </w:rPr>
      </w:pPr>
    </w:p>
    <w:p w14:paraId="5DC6BF2E" w14:textId="0BCE1383" w:rsidR="00647FC9" w:rsidRPr="00B1315D" w:rsidRDefault="00000000" w:rsidP="00E150EC">
      <w:pPr>
        <w:spacing w:line="360" w:lineRule="auto"/>
        <w:jc w:val="both"/>
        <w:rPr>
          <w:rFonts w:ascii="Times New Roman" w:hAnsi="Times New Roman" w:cs="Times New Roman"/>
          <w:sz w:val="24"/>
          <w:szCs w:val="24"/>
          <w:lang w:val="en"/>
        </w:rPr>
      </w:pPr>
      <w:r>
        <w:rPr>
          <w:rFonts w:ascii="Times New Roman" w:hAnsi="Times New Roman"/>
          <w:sz w:val="24"/>
        </w:rPr>
        <w:t xml:space="preserve">This size </w:t>
      </w:r>
      <w:proofErr w:type="spellStart"/>
      <w:r>
        <w:rPr>
          <w:rFonts w:ascii="Times New Roman" w:hAnsi="Times New Roman"/>
          <w:sz w:val="24"/>
        </w:rPr>
        <w:t>difference</w:t>
      </w:r>
      <w:proofErr w:type="spellEnd"/>
      <w:r>
        <w:rPr>
          <w:rFonts w:ascii="Times New Roman" w:hAnsi="Times New Roman"/>
          <w:sz w:val="24"/>
        </w:rPr>
        <w:t xml:space="preserve"> </w:t>
      </w:r>
      <w:proofErr w:type="spellStart"/>
      <w:r>
        <w:rPr>
          <w:rFonts w:ascii="Times New Roman" w:hAnsi="Times New Roman"/>
          <w:sz w:val="24"/>
          <w:highlight w:val="yellow"/>
        </w:rPr>
        <w:t>wa</w:t>
      </w:r>
      <w:r>
        <w:rPr>
          <w:rFonts w:ascii="Times New Roman" w:hAnsi="Times New Roman"/>
          <w:sz w:val="24"/>
        </w:rPr>
        <w:t>s</w:t>
      </w:r>
      <w:proofErr w:type="spellEnd"/>
      <w:r>
        <w:rPr>
          <w:rFonts w:ascii="Times New Roman" w:hAnsi="Times New Roman"/>
          <w:sz w:val="24"/>
        </w:rPr>
        <w:t xml:space="preserve"> not statistically significant (χ² = 0.16; p &gt; 0.05). The smallest mature individuals recorded measured 11 cm for females and 13.5 cm for males.</w:t>
      </w:r>
    </w:p>
    <w:p w14:paraId="2CA12646" w14:textId="77777777" w:rsidR="008263F3" w:rsidRPr="00B1315D" w:rsidRDefault="008263F3" w:rsidP="00E150EC">
      <w:pPr>
        <w:spacing w:line="360" w:lineRule="auto"/>
        <w:jc w:val="both"/>
        <w:rPr>
          <w:rFonts w:ascii="Times New Roman" w:hAnsi="Times New Roman" w:cs="Times New Roman"/>
          <w:sz w:val="24"/>
          <w:szCs w:val="24"/>
          <w:lang w:val="en"/>
        </w:rPr>
      </w:pPr>
    </w:p>
    <w:p w14:paraId="3D4607BF" w14:textId="77777777" w:rsidR="008263F3" w:rsidRPr="00B1315D" w:rsidRDefault="008263F3" w:rsidP="00E150EC">
      <w:pPr>
        <w:spacing w:line="360" w:lineRule="auto"/>
        <w:jc w:val="both"/>
        <w:rPr>
          <w:rFonts w:ascii="Times New Roman" w:hAnsi="Times New Roman" w:cs="Times New Roman"/>
          <w:sz w:val="24"/>
          <w:szCs w:val="24"/>
          <w:lang w:val="en"/>
        </w:rPr>
      </w:pPr>
    </w:p>
    <w:p w14:paraId="42A40CB1" w14:textId="77777777" w:rsidR="008263F3" w:rsidRPr="00B1315D" w:rsidRDefault="008263F3" w:rsidP="00E150EC">
      <w:pPr>
        <w:spacing w:line="360" w:lineRule="auto"/>
        <w:jc w:val="both"/>
        <w:rPr>
          <w:rFonts w:ascii="Times New Roman" w:hAnsi="Times New Roman" w:cs="Times New Roman"/>
          <w:sz w:val="24"/>
          <w:szCs w:val="24"/>
          <w:lang w:val="en"/>
        </w:rPr>
      </w:pPr>
    </w:p>
    <w:p w14:paraId="2A87C821" w14:textId="77777777" w:rsidR="008263F3" w:rsidRPr="00B1315D" w:rsidRDefault="00ED4167" w:rsidP="00E150EC">
      <w:pPr>
        <w:spacing w:line="360" w:lineRule="auto"/>
        <w:jc w:val="both"/>
        <w:rPr>
          <w:rFonts w:ascii="Times New Roman" w:hAnsi="Times New Roman" w:cs="Times New Roman"/>
          <w:sz w:val="24"/>
          <w:szCs w:val="24"/>
          <w:lang w:val="en"/>
        </w:rPr>
      </w:pPr>
      <w:r w:rsidRPr="00B1315D">
        <w:rPr>
          <w:noProof/>
        </w:rPr>
        <mc:AlternateContent>
          <mc:Choice Requires="wps">
            <w:drawing>
              <wp:anchor distT="0" distB="0" distL="114300" distR="114300" simplePos="0" relativeHeight="251665408" behindDoc="0" locked="0" layoutInCell="1" allowOverlap="1" wp14:anchorId="767E7BBB" wp14:editId="2ABBF49E">
                <wp:simplePos x="0" y="0"/>
                <wp:positionH relativeFrom="column">
                  <wp:posOffset>2900376</wp:posOffset>
                </wp:positionH>
                <wp:positionV relativeFrom="paragraph">
                  <wp:posOffset>168882</wp:posOffset>
                </wp:positionV>
                <wp:extent cx="1033669" cy="286247"/>
                <wp:effectExtent l="0" t="0" r="0" b="0"/>
                <wp:wrapNone/>
                <wp:docPr id="1830265484" name="Zone de texte 1"/>
                <wp:cNvGraphicFramePr/>
                <a:graphic xmlns:a="http://schemas.openxmlformats.org/drawingml/2006/main">
                  <a:graphicData uri="http://schemas.microsoft.com/office/word/2010/wordprocessingShape">
                    <wps:wsp>
                      <wps:cNvSpPr txBox="1"/>
                      <wps:spPr>
                        <a:xfrm>
                          <a:off x="0" y="0"/>
                          <a:ext cx="1033669" cy="286247"/>
                        </a:xfrm>
                        <a:prstGeom prst="rect">
                          <a:avLst/>
                        </a:prstGeom>
                        <a:noFill/>
                        <a:ln>
                          <a:noFill/>
                        </a:ln>
                      </wps:spPr>
                      <wps:txbx>
                        <w:txbxContent>
                          <w:p w14:paraId="4711683D" w14:textId="77777777" w:rsidR="00ED4167" w:rsidRPr="00ED4167" w:rsidRDefault="00ED4167" w:rsidP="00ED4167">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LT=11.81cm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E7BBB" id="_x0000_t202" coordsize="21600,21600" o:spt="202" path="m,l,21600r21600,l21600,xe">
                <v:stroke joinstyle="miter"/>
                <v:path gradientshapeok="t" o:connecttype="rect"/>
              </v:shapetype>
              <v:shape id="Zone de texte 1" o:spid="_x0000_s1026" type="#_x0000_t202" style="position:absolute;left:0;text-align:left;margin-left:228.4pt;margin-top:13.3pt;width:81.4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" filled="f" stroked="f">
                <v:textbox>
                  <w:txbxContent>
                    <w:p w14:paraId="4711683D" w14:textId="77777777" w:rsidR="00ED4167" w:rsidRPr="00ED4167" w:rsidRDefault="00ED4167" w:rsidP="00ED4167">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LT=11.81cm</w:t>
                      </w:r>
                    </w:p>
                  </w:txbxContent>
                </v:textbox>
              </v:shape>
            </w:pict>
          </mc:Fallback>
        </mc:AlternateContent>
      </w:r>
      <w:r w:rsidRPr="00B1315D">
        <w:rPr>
          <w:noProof/>
        </w:rPr>
        <mc:AlternateContent>
          <mc:Choice Requires="wps">
            <w:drawing>
              <wp:anchor distT="0" distB="0" distL="114300" distR="114300" simplePos="0" relativeHeight="251666432" behindDoc="0" locked="0" layoutInCell="1" allowOverlap="1" wp14:anchorId="7D0A30FD" wp14:editId="67BF95FE">
                <wp:simplePos x="0" y="0"/>
                <wp:positionH relativeFrom="column">
                  <wp:posOffset>2555047</wp:posOffset>
                </wp:positionH>
                <wp:positionV relativeFrom="paragraph">
                  <wp:posOffset>336412</wp:posOffset>
                </wp:positionV>
                <wp:extent cx="489005" cy="954156"/>
                <wp:effectExtent l="38100" t="0" r="25400" b="55880"/>
                <wp:wrapNone/>
                <wp:docPr id="1061194655" name="Connecteur droit avec flèche 4"/>
                <wp:cNvGraphicFramePr/>
                <a:graphic xmlns:a="http://schemas.openxmlformats.org/drawingml/2006/main">
                  <a:graphicData uri="http://schemas.microsoft.com/office/word/2010/wordprocessingShape">
                    <wps:wsp>
                      <wps:cNvCnPr/>
                      <wps:spPr>
                        <a:xfrm flipH="1">
                          <a:off x="0" y="0"/>
                          <a:ext cx="489005" cy="9541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type w14:anchorId="36B40A85" id="_x0000_t32" coordsize="21600,21600" o:spt="32" o:oned="t" path="m,l21600,21600e" filled="f">
                <v:path arrowok="t" fillok="f" o:connecttype="none"/>
                <o:lock v:ext="edit" shapetype="t"/>
              </v:shapetype>
              <v:shape id="Connecteur droit avec flèche 4" o:spid="_x0000_s1026" type="#_x0000_t32" style="position:absolute;margin-left:201.2pt;margin-top:26.5pt;width:38.5pt;height:75.1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" strokecolor="black [3213]" strokeweight=".5pt">
                <v:stroke endarrow="block" joinstyle="miter"/>
              </v:shape>
            </w:pict>
          </mc:Fallback>
        </mc:AlternateContent>
      </w:r>
      <w:r w:rsidRPr="00B1315D">
        <w:rPr>
          <w:rFonts w:ascii="Times New Roman" w:hAnsi="Times New Roman" w:cs="Times New Roman"/>
          <w:noProof/>
          <w:sz w:val="24"/>
          <w:szCs w:val="24"/>
          <w:lang w:val="en"/>
        </w:rPr>
        <mc:AlternateContent>
          <mc:Choice Requires="wps">
            <w:drawing>
              <wp:anchor distT="0" distB="0" distL="114300" distR="114300" simplePos="0" relativeHeight="251663360" behindDoc="0" locked="0" layoutInCell="1" allowOverlap="1" wp14:anchorId="613EC911" wp14:editId="7C068313">
                <wp:simplePos x="0" y="0"/>
                <wp:positionH relativeFrom="column">
                  <wp:posOffset>2543120</wp:posOffset>
                </wp:positionH>
                <wp:positionV relativeFrom="paragraph">
                  <wp:posOffset>93896</wp:posOffset>
                </wp:positionV>
                <wp:extent cx="5163" cy="1184745"/>
                <wp:effectExtent l="0" t="0" r="33020" b="34925"/>
                <wp:wrapNone/>
                <wp:docPr id="1067549928" name="Connecteur droit 3"/>
                <wp:cNvGraphicFramePr/>
                <a:graphic xmlns:a="http://schemas.openxmlformats.org/drawingml/2006/main">
                  <a:graphicData uri="http://schemas.microsoft.com/office/word/2010/wordprocessingShape">
                    <wps:wsp>
                      <wps:cNvCnPr/>
                      <wps:spPr>
                        <a:xfrm>
                          <a:off x="0" y="0"/>
                          <a:ext cx="5163" cy="11847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line w14:anchorId="791A008F" id="Connecteur droit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0.25pt,7.4pt" to="200.6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" strokecolor="black [3213]" strokeweight=".5pt">
                <v:stroke joinstyle="miter"/>
              </v:line>
            </w:pict>
          </mc:Fallback>
        </mc:AlternateContent>
      </w:r>
      <w:r w:rsidRPr="00B1315D">
        <w:rPr>
          <w:rFonts w:ascii="Times New Roman" w:hAnsi="Times New Roman" w:cs="Times New Roman"/>
          <w:noProof/>
          <w:sz w:val="24"/>
          <w:szCs w:val="24"/>
          <w:lang w:val="en"/>
        </w:rPr>
        <mc:AlternateContent>
          <mc:Choice Requires="wps">
            <w:drawing>
              <wp:anchor distT="0" distB="0" distL="114300" distR="114300" simplePos="0" relativeHeight="251662336" behindDoc="0" locked="0" layoutInCell="1" allowOverlap="1" wp14:anchorId="3BB3C92B" wp14:editId="11D6E631">
                <wp:simplePos x="0" y="0"/>
                <wp:positionH relativeFrom="column">
                  <wp:posOffset>1221104</wp:posOffset>
                </wp:positionH>
                <wp:positionV relativeFrom="paragraph">
                  <wp:posOffset>96732</wp:posOffset>
                </wp:positionV>
                <wp:extent cx="1329267" cy="25400"/>
                <wp:effectExtent l="0" t="0" r="23495" b="31750"/>
                <wp:wrapNone/>
                <wp:docPr id="1148670022" name="Connecteur droit 2"/>
                <wp:cNvGraphicFramePr/>
                <a:graphic xmlns:a="http://schemas.openxmlformats.org/drawingml/2006/main">
                  <a:graphicData uri="http://schemas.microsoft.com/office/word/2010/wordprocessingShape">
                    <wps:wsp>
                      <wps:cNvCnPr/>
                      <wps:spPr>
                        <a:xfrm flipV="1">
                          <a:off x="0" y="0"/>
                          <a:ext cx="1329267" cy="25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line w14:anchorId="62110BC5" id="Connecteur droit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6.15pt,7.6pt" to="200.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" strokecolor="black [3213]" strokeweight=".5pt">
                <v:stroke joinstyle="miter"/>
              </v:line>
            </w:pict>
          </mc:Fallback>
        </mc:AlternateContent>
      </w:r>
    </w:p>
    <w:p w14:paraId="36156E0F" w14:textId="77777777" w:rsidR="008263F3" w:rsidRPr="00B1315D" w:rsidRDefault="008263F3" w:rsidP="00E150EC">
      <w:pPr>
        <w:spacing w:line="360" w:lineRule="auto"/>
        <w:jc w:val="both"/>
        <w:rPr>
          <w:rFonts w:ascii="Times New Roman" w:hAnsi="Times New Roman" w:cs="Times New Roman"/>
          <w:sz w:val="24"/>
          <w:szCs w:val="24"/>
          <w:lang w:val="en"/>
        </w:rPr>
      </w:pPr>
    </w:p>
    <w:p w14:paraId="6F2C07A5" w14:textId="77777777" w:rsidR="008263F3" w:rsidRPr="00B1315D" w:rsidRDefault="008263F3" w:rsidP="00E150EC">
      <w:pPr>
        <w:spacing w:line="360" w:lineRule="auto"/>
        <w:jc w:val="both"/>
        <w:rPr>
          <w:rFonts w:ascii="Times New Roman" w:hAnsi="Times New Roman" w:cs="Times New Roman"/>
          <w:sz w:val="24"/>
          <w:szCs w:val="24"/>
          <w:lang w:val="en"/>
        </w:rPr>
      </w:pPr>
    </w:p>
    <w:p w14:paraId="072E28C0" w14:textId="77777777" w:rsidR="00C43C02" w:rsidRPr="00B1315D" w:rsidRDefault="00C43C02" w:rsidP="00E150EC">
      <w:pPr>
        <w:spacing w:line="360" w:lineRule="auto"/>
        <w:jc w:val="both"/>
        <w:rPr>
          <w:rFonts w:ascii="Times New Roman" w:hAnsi="Times New Roman" w:cs="Times New Roman"/>
          <w:sz w:val="24"/>
          <w:szCs w:val="24"/>
          <w:lang w:val="en"/>
        </w:rPr>
      </w:pPr>
    </w:p>
    <w:p w14:paraId="10DDFF22" w14:textId="77777777" w:rsidR="0022726D" w:rsidRPr="00B1315D" w:rsidRDefault="0022726D" w:rsidP="00E150EC">
      <w:pPr>
        <w:spacing w:line="360" w:lineRule="auto"/>
        <w:jc w:val="both"/>
        <w:rPr>
          <w:rFonts w:ascii="Times New Roman" w:hAnsi="Times New Roman" w:cs="Times New Roman"/>
          <w:sz w:val="24"/>
          <w:szCs w:val="24"/>
          <w:lang w:val="en"/>
        </w:rPr>
      </w:pPr>
    </w:p>
    <w:p w14:paraId="2F91635D" w14:textId="77777777" w:rsidR="00C43C02" w:rsidRPr="00B1315D" w:rsidRDefault="00C43C02" w:rsidP="00E150EC">
      <w:pPr>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Figure 2: Progression of sexual maturity in relation to length (Lt) in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Zienkôlô dam lake.</w:t>
      </w:r>
    </w:p>
    <w:p w14:paraId="779DC079" w14:textId="77777777" w:rsidR="00C43C02" w:rsidRPr="00B1315D" w:rsidRDefault="00000000" w:rsidP="00E150EC">
      <w:pPr>
        <w:spacing w:line="360" w:lineRule="auto"/>
        <w:jc w:val="both"/>
        <w:rPr>
          <w:rFonts w:ascii="Times New Roman" w:hAnsi="Times New Roman" w:cs="Times New Roman"/>
          <w:sz w:val="24"/>
          <w:szCs w:val="24"/>
          <w:lang w:val="en"/>
        </w:rPr>
      </w:pPr>
      <w:r>
        <w:rPr>
          <w:rFonts w:ascii="Times New Roman" w:hAnsi="Times New Roman" w:cs="Times New Roman"/>
          <w:noProof/>
          <w:sz w:val="24"/>
          <w:szCs w:val="24"/>
          <w:lang w:val="en"/>
        </w:rPr>
        <w:object w:dxaOrig="7533" w:dyaOrig="5943" w14:anchorId="72720F38">
          <v:shape id="_x0000_s2053" type="#_x0000_t75" style="position:absolute;left:0;text-align:left;margin-left:70.95pt;margin-top:3.1pt;width:264.9pt;height:209.1pt;z-index:251661312" filled="t" stroked="t">
            <v:imagedata r:id="rId10" o:title=""/>
          </v:shape>
          <o:OLEObject Type="Embed" ProgID="STATISTICA.Graph" ShapeID="_x0000_s2053" DrawAspect="Content" ObjectID="_1852108035" r:id="rId11">
            <o:FieldCodes>\s</o:FieldCodes>
          </o:OLEObject>
        </w:object>
      </w:r>
    </w:p>
    <w:p w14:paraId="79EDCC0D" w14:textId="77777777" w:rsidR="00F37C73" w:rsidRPr="00B1315D" w:rsidRDefault="00F37C73" w:rsidP="00E150EC">
      <w:pPr>
        <w:spacing w:line="360" w:lineRule="auto"/>
        <w:jc w:val="both"/>
        <w:rPr>
          <w:rFonts w:ascii="Times New Roman" w:hAnsi="Times New Roman" w:cs="Times New Roman"/>
          <w:sz w:val="24"/>
          <w:szCs w:val="24"/>
        </w:rPr>
      </w:pPr>
    </w:p>
    <w:p w14:paraId="32BA16B8" w14:textId="77777777" w:rsidR="00A36748" w:rsidRPr="00B1315D" w:rsidRDefault="00A36748" w:rsidP="00E150EC">
      <w:pPr>
        <w:spacing w:line="360" w:lineRule="auto"/>
        <w:jc w:val="both"/>
        <w:rPr>
          <w:rFonts w:ascii="Times New Roman" w:hAnsi="Times New Roman" w:cs="Times New Roman"/>
          <w:sz w:val="24"/>
          <w:szCs w:val="24"/>
        </w:rPr>
      </w:pPr>
    </w:p>
    <w:p w14:paraId="28065E65" w14:textId="77777777" w:rsidR="00A36748" w:rsidRPr="00B1315D" w:rsidRDefault="009F5DFE" w:rsidP="00E150EC">
      <w:pPr>
        <w:spacing w:line="360" w:lineRule="auto"/>
        <w:jc w:val="both"/>
        <w:rPr>
          <w:rFonts w:ascii="Times New Roman" w:hAnsi="Times New Roman" w:cs="Times New Roman"/>
          <w:sz w:val="24"/>
          <w:szCs w:val="24"/>
        </w:rPr>
      </w:pPr>
      <w:r w:rsidRPr="00B1315D">
        <w:rPr>
          <w:noProof/>
        </w:rPr>
        <mc:AlternateContent>
          <mc:Choice Requires="wps">
            <w:drawing>
              <wp:anchor distT="0" distB="0" distL="114300" distR="114300" simplePos="0" relativeHeight="251671552" behindDoc="0" locked="0" layoutInCell="1" allowOverlap="1" wp14:anchorId="24BE4F40" wp14:editId="54AE3FF2">
                <wp:simplePos x="0" y="0"/>
                <wp:positionH relativeFrom="column">
                  <wp:posOffset>2953909</wp:posOffset>
                </wp:positionH>
                <wp:positionV relativeFrom="paragraph">
                  <wp:posOffset>301349</wp:posOffset>
                </wp:positionV>
                <wp:extent cx="1033669" cy="286247"/>
                <wp:effectExtent l="0" t="0" r="0" b="0"/>
                <wp:wrapNone/>
                <wp:docPr id="1972166212" name="Zone de texte 1"/>
                <wp:cNvGraphicFramePr/>
                <a:graphic xmlns:a="http://schemas.openxmlformats.org/drawingml/2006/main">
                  <a:graphicData uri="http://schemas.microsoft.com/office/word/2010/wordprocessingShape">
                    <wps:wsp>
                      <wps:cNvSpPr txBox="1"/>
                      <wps:spPr>
                        <a:xfrm>
                          <a:off x="0" y="0"/>
                          <a:ext cx="1033669" cy="286247"/>
                        </a:xfrm>
                        <a:prstGeom prst="rect">
                          <a:avLst/>
                        </a:prstGeom>
                        <a:noFill/>
                        <a:ln>
                          <a:noFill/>
                        </a:ln>
                      </wps:spPr>
                      <wps:txbx>
                        <w:txbxContent>
                          <w:p w14:paraId="43E53656" w14:textId="77777777" w:rsidR="009F5DFE" w:rsidRPr="00ED4167" w:rsidRDefault="009F5DFE" w:rsidP="009F5DFE">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w:t>
                            </w:r>
                            <w: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D250B">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E4F40" id="_x0000_s1027" type="#_x0000_t202" style="position:absolute;left:0;text-align:left;margin-left:232.6pt;margin-top:23.75pt;width:81.4pt;height:2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" filled="f" stroked="f">
                <v:textbox>
                  <w:txbxContent>
                    <w:p w14:paraId="43E53656" w14:textId="77777777" w:rsidR="009F5DFE" w:rsidRPr="00ED4167" w:rsidRDefault="009F5DFE" w:rsidP="009F5DFE">
                      <w:pPr>
                        <w:spacing w:line="360" w:lineRule="auto"/>
                        <w:jc w:val="cente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4167">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LT=1</w:t>
                      </w:r>
                      <w:r>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D250B">
                        <w:rPr>
                          <w:rFonts w:ascii="Times New Roman" w:hAnsi="Times New Roman" w:cs="Times New Roman"/>
                          <w:noProof/>
                          <w:color w:val="000000" w:themeColor="text1"/>
                          <w:sz w:val="24"/>
                          <w:szCs w:val="24"/>
                          <w:lang w:val="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cm</w:t>
                      </w:r>
                    </w:p>
                  </w:txbxContent>
                </v:textbox>
              </v:shape>
            </w:pict>
          </mc:Fallback>
        </mc:AlternateContent>
      </w:r>
      <w:r w:rsidRPr="00B1315D">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F8AE501" wp14:editId="42A1F88E">
                <wp:simplePos x="0" y="0"/>
                <wp:positionH relativeFrom="column">
                  <wp:posOffset>2559022</wp:posOffset>
                </wp:positionH>
                <wp:positionV relativeFrom="paragraph">
                  <wp:posOffset>149418</wp:posOffset>
                </wp:positionV>
                <wp:extent cx="3976" cy="1144988"/>
                <wp:effectExtent l="0" t="0" r="34290" b="36195"/>
                <wp:wrapNone/>
                <wp:docPr id="647402914" name="Connecteur droit 7"/>
                <wp:cNvGraphicFramePr/>
                <a:graphic xmlns:a="http://schemas.openxmlformats.org/drawingml/2006/main">
                  <a:graphicData uri="http://schemas.microsoft.com/office/word/2010/wordprocessingShape">
                    <wps:wsp>
                      <wps:cNvCnPr/>
                      <wps:spPr>
                        <a:xfrm>
                          <a:off x="0" y="0"/>
                          <a:ext cx="3976" cy="11449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line w14:anchorId="66EF8525" id="Connecteur droit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01.5pt,11.75pt" to="201.8pt,1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" strokecolor="black [3213]" strokeweight=".5pt">
                <v:stroke joinstyle="miter"/>
              </v:line>
            </w:pict>
          </mc:Fallback>
        </mc:AlternateContent>
      </w:r>
      <w:r w:rsidRPr="00B1315D">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FD832F3" wp14:editId="3FFF017F">
                <wp:simplePos x="0" y="0"/>
                <wp:positionH relativeFrom="column">
                  <wp:posOffset>1203325</wp:posOffset>
                </wp:positionH>
                <wp:positionV relativeFrom="paragraph">
                  <wp:posOffset>149418</wp:posOffset>
                </wp:positionV>
                <wp:extent cx="1367624" cy="7952"/>
                <wp:effectExtent l="0" t="0" r="23495" b="30480"/>
                <wp:wrapNone/>
                <wp:docPr id="1154461453" name="Connecteur droit 6"/>
                <wp:cNvGraphicFramePr/>
                <a:graphic xmlns:a="http://schemas.openxmlformats.org/drawingml/2006/main">
                  <a:graphicData uri="http://schemas.microsoft.com/office/word/2010/wordprocessingShape">
                    <wps:wsp>
                      <wps:cNvCnPr/>
                      <wps:spPr>
                        <a:xfrm>
                          <a:off x="0" y="0"/>
                          <a:ext cx="1367624" cy="7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line w14:anchorId="30E52B69" id="Connecteur droit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94.75pt,11.75pt" to="202.4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" strokecolor="black [3213]" strokeweight=".5pt">
                <v:stroke joinstyle="miter"/>
              </v:line>
            </w:pict>
          </mc:Fallback>
        </mc:AlternateContent>
      </w:r>
    </w:p>
    <w:p w14:paraId="17602275" w14:textId="77777777" w:rsidR="00A36748" w:rsidRPr="00B1315D" w:rsidRDefault="009F5DFE" w:rsidP="00E150EC">
      <w:pPr>
        <w:spacing w:line="360" w:lineRule="auto"/>
        <w:jc w:val="both"/>
        <w:rPr>
          <w:rFonts w:ascii="Times New Roman" w:hAnsi="Times New Roman" w:cs="Times New Roman"/>
          <w:sz w:val="24"/>
          <w:szCs w:val="24"/>
        </w:rPr>
      </w:pPr>
      <w:r w:rsidRPr="00B1315D">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59912AC" wp14:editId="1EF83772">
                <wp:simplePos x="0" y="0"/>
                <wp:positionH relativeFrom="column">
                  <wp:posOffset>2562832</wp:posOffset>
                </wp:positionH>
                <wp:positionV relativeFrom="paragraph">
                  <wp:posOffset>102980</wp:posOffset>
                </wp:positionV>
                <wp:extent cx="588563" cy="826853"/>
                <wp:effectExtent l="38100" t="0" r="21590" b="49530"/>
                <wp:wrapNone/>
                <wp:docPr id="2024690433" name="Connecteur droit avec flèche 8"/>
                <wp:cNvGraphicFramePr/>
                <a:graphic xmlns:a="http://schemas.openxmlformats.org/drawingml/2006/main">
                  <a:graphicData uri="http://schemas.microsoft.com/office/word/2010/wordprocessingShape">
                    <wps:wsp>
                      <wps:cNvCnPr/>
                      <wps:spPr>
                        <a:xfrm flipH="1">
                          <a:off x="0" y="0"/>
                          <a:ext cx="588563" cy="82685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6F37FAF6" id="Connecteur droit avec flèche 8" o:spid="_x0000_s1026" type="#_x0000_t32" style="position:absolute;margin-left:201.8pt;margin-top:8.1pt;width:46.35pt;height:65.1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" strokecolor="black [3213]" strokeweight=".5pt">
                <v:stroke endarrow="block" joinstyle="miter"/>
              </v:shape>
            </w:pict>
          </mc:Fallback>
        </mc:AlternateContent>
      </w:r>
    </w:p>
    <w:p w14:paraId="5E16AD35" w14:textId="77777777" w:rsidR="00A36748" w:rsidRPr="00B1315D" w:rsidRDefault="00A36748" w:rsidP="00E150EC">
      <w:pPr>
        <w:spacing w:line="360" w:lineRule="auto"/>
        <w:jc w:val="both"/>
        <w:rPr>
          <w:rFonts w:ascii="Times New Roman" w:hAnsi="Times New Roman" w:cs="Times New Roman"/>
          <w:sz w:val="24"/>
          <w:szCs w:val="24"/>
        </w:rPr>
      </w:pPr>
    </w:p>
    <w:p w14:paraId="26FFA7C4" w14:textId="77777777" w:rsidR="00A36748" w:rsidRPr="00B1315D" w:rsidRDefault="00A36748" w:rsidP="00E150EC">
      <w:pPr>
        <w:jc w:val="both"/>
        <w:rPr>
          <w:rFonts w:ascii="Times New Roman" w:hAnsi="Times New Roman" w:cs="Times New Roman"/>
          <w:sz w:val="24"/>
          <w:szCs w:val="24"/>
          <w:lang w:val="en"/>
        </w:rPr>
      </w:pPr>
    </w:p>
    <w:p w14:paraId="38D3D80E" w14:textId="77777777" w:rsidR="000B6FDD" w:rsidRPr="00B1315D" w:rsidRDefault="000B6FDD" w:rsidP="00E150EC">
      <w:pPr>
        <w:jc w:val="both"/>
        <w:rPr>
          <w:rFonts w:ascii="Times New Roman" w:hAnsi="Times New Roman" w:cs="Times New Roman"/>
          <w:sz w:val="24"/>
          <w:szCs w:val="24"/>
          <w:lang w:val="en"/>
        </w:rPr>
      </w:pPr>
    </w:p>
    <w:p w14:paraId="3214605C" w14:textId="77777777" w:rsidR="00C43C02" w:rsidRPr="00B1315D" w:rsidRDefault="00C43C02" w:rsidP="00E150EC">
      <w:pPr>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3: Progression of sexual maturity in relation to length (Lt) in 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Zienkôlô reservoir.</w:t>
      </w:r>
    </w:p>
    <w:p w14:paraId="52C18A01" w14:textId="77777777" w:rsidR="000B6FDD" w:rsidRPr="00B1315D" w:rsidRDefault="000B6FDD" w:rsidP="00E150EC">
      <w:pPr>
        <w:spacing w:line="360" w:lineRule="auto"/>
        <w:jc w:val="both"/>
        <w:rPr>
          <w:rFonts w:ascii="Times New Roman" w:hAnsi="Times New Roman" w:cs="Times New Roman"/>
          <w:sz w:val="24"/>
          <w:szCs w:val="24"/>
          <w:lang w:val="en"/>
        </w:rPr>
      </w:pPr>
    </w:p>
    <w:p w14:paraId="65D8275F" w14:textId="77777777" w:rsidR="00701D3D" w:rsidRPr="00B1315D" w:rsidRDefault="00701D3D" w:rsidP="00E150EC">
      <w:pPr>
        <w:spacing w:line="360" w:lineRule="auto"/>
        <w:jc w:val="both"/>
        <w:rPr>
          <w:rFonts w:ascii="Times New Roman" w:hAnsi="Times New Roman" w:cs="Times New Roman"/>
          <w:sz w:val="24"/>
          <w:szCs w:val="24"/>
        </w:rPr>
      </w:pPr>
      <w:r>
        <w:rPr>
          <w:rFonts w:ascii="Times New Roman" w:hAnsi="Times New Roman"/>
          <w:sz w:val="24"/>
        </w:rPr>
        <w:t>Six stages of sexual maturity were observed in females in varying proportions throughout the year (Figure 4).</w:t>
      </w:r>
      <w:r>
        <w:rPr>
          <w:rFonts w:ascii="inherit" w:hAnsi="inherit"/>
          <w:color w:val="1F1F1F"/>
          <w:sz w:val="42"/>
        </w:rPr>
        <w:t xml:space="preserve"> </w:t>
      </w:r>
      <w:r>
        <w:rPr>
          <w:rFonts w:ascii="Times New Roman" w:hAnsi="Times New Roman"/>
          <w:sz w:val="24"/>
        </w:rPr>
        <w:t xml:space="preserve">Stage I females </w:t>
      </w:r>
      <w:r>
        <w:rPr>
          <w:rFonts w:ascii="Times New Roman" w:hAnsi="Times New Roman"/>
          <w:sz w:val="24"/>
          <w:highlight w:val="yellow"/>
        </w:rPr>
        <w:t>we</w:t>
      </w:r>
      <w:r>
        <w:rPr>
          <w:rFonts w:ascii="Times New Roman" w:hAnsi="Times New Roman"/>
          <w:sz w:val="24"/>
        </w:rPr>
        <w:t xml:space="preserve">re present in the samples during December, January, February, and November. Stage </w:t>
      </w:r>
      <w:r>
        <w:rPr>
          <w:rFonts w:ascii="Times New Roman" w:hAnsi="Times New Roman"/>
          <w:sz w:val="24"/>
          <w:highlight w:val="yellow"/>
        </w:rPr>
        <w:t>II</w:t>
      </w:r>
      <w:r>
        <w:rPr>
          <w:rFonts w:ascii="Times New Roman" w:hAnsi="Times New Roman"/>
          <w:sz w:val="24"/>
        </w:rPr>
        <w:t xml:space="preserve"> females </w:t>
      </w:r>
      <w:r>
        <w:rPr>
          <w:rFonts w:ascii="Times New Roman" w:hAnsi="Times New Roman"/>
          <w:sz w:val="24"/>
          <w:highlight w:val="yellow"/>
        </w:rPr>
        <w:t>we</w:t>
      </w:r>
      <w:r>
        <w:rPr>
          <w:rFonts w:ascii="Times New Roman" w:hAnsi="Times New Roman"/>
          <w:sz w:val="24"/>
        </w:rPr>
        <w:t xml:space="preserve">re present in the samples in December, January, February, June, October, and November. Stage </w:t>
      </w:r>
      <w:r>
        <w:rPr>
          <w:rFonts w:ascii="Times New Roman" w:hAnsi="Times New Roman"/>
          <w:sz w:val="24"/>
          <w:highlight w:val="yellow"/>
        </w:rPr>
        <w:t>III</w:t>
      </w:r>
      <w:r>
        <w:rPr>
          <w:rFonts w:ascii="Times New Roman" w:hAnsi="Times New Roman"/>
          <w:sz w:val="24"/>
        </w:rPr>
        <w:t xml:space="preserve"> </w:t>
      </w:r>
      <w:r>
        <w:rPr>
          <w:rFonts w:ascii="Times New Roman" w:hAnsi="Times New Roman"/>
          <w:sz w:val="24"/>
          <w:highlight w:val="yellow"/>
        </w:rPr>
        <w:t>wa</w:t>
      </w:r>
      <w:r>
        <w:rPr>
          <w:rFonts w:ascii="Times New Roman" w:hAnsi="Times New Roman"/>
          <w:sz w:val="24"/>
        </w:rPr>
        <w:t xml:space="preserve">s absent from the samples in May, July, August, November, and December. Stage </w:t>
      </w:r>
      <w:r>
        <w:rPr>
          <w:rFonts w:ascii="Times New Roman" w:hAnsi="Times New Roman"/>
          <w:sz w:val="24"/>
          <w:highlight w:val="yellow"/>
        </w:rPr>
        <w:t>IV</w:t>
      </w:r>
      <w:r>
        <w:rPr>
          <w:rFonts w:ascii="Times New Roman" w:hAnsi="Times New Roman"/>
          <w:sz w:val="24"/>
        </w:rPr>
        <w:t xml:space="preserve"> individuals </w:t>
      </w:r>
      <w:r>
        <w:rPr>
          <w:rFonts w:ascii="Times New Roman" w:hAnsi="Times New Roman"/>
          <w:sz w:val="24"/>
          <w:highlight w:val="yellow"/>
        </w:rPr>
        <w:t>we</w:t>
      </w:r>
      <w:r>
        <w:rPr>
          <w:rFonts w:ascii="Times New Roman" w:hAnsi="Times New Roman"/>
          <w:sz w:val="24"/>
        </w:rPr>
        <w:t xml:space="preserve">re also absent from the catches during July, September, November, and December. Stage </w:t>
      </w:r>
      <w:r>
        <w:rPr>
          <w:rFonts w:ascii="Times New Roman" w:hAnsi="Times New Roman"/>
          <w:sz w:val="24"/>
          <w:highlight w:val="yellow"/>
        </w:rPr>
        <w:t>V</w:t>
      </w:r>
      <w:r>
        <w:rPr>
          <w:rFonts w:ascii="Times New Roman" w:hAnsi="Times New Roman"/>
          <w:sz w:val="24"/>
        </w:rPr>
        <w:t xml:space="preserve"> females appear</w:t>
      </w:r>
      <w:r>
        <w:rPr>
          <w:rFonts w:ascii="Times New Roman" w:hAnsi="Times New Roman"/>
          <w:sz w:val="24"/>
          <w:highlight w:val="yellow"/>
        </w:rPr>
        <w:t>ed</w:t>
      </w:r>
      <w:r>
        <w:rPr>
          <w:rFonts w:ascii="Times New Roman" w:hAnsi="Times New Roman"/>
          <w:sz w:val="24"/>
        </w:rPr>
        <w:t xml:space="preserve"> in the catches only from February to June and in August, whereas </w:t>
      </w:r>
      <w:r>
        <w:rPr>
          <w:rFonts w:ascii="Times New Roman" w:hAnsi="Times New Roman"/>
          <w:sz w:val="24"/>
          <w:highlight w:val="yellow"/>
        </w:rPr>
        <w:t>S</w:t>
      </w:r>
      <w:r>
        <w:rPr>
          <w:rFonts w:ascii="Times New Roman" w:hAnsi="Times New Roman"/>
          <w:sz w:val="24"/>
        </w:rPr>
        <w:t xml:space="preserve">tage </w:t>
      </w:r>
      <w:r>
        <w:rPr>
          <w:rFonts w:ascii="Times New Roman" w:hAnsi="Times New Roman"/>
          <w:sz w:val="24"/>
          <w:highlight w:val="yellow"/>
        </w:rPr>
        <w:t>VI</w:t>
      </w:r>
      <w:r>
        <w:rPr>
          <w:rFonts w:ascii="Times New Roman" w:hAnsi="Times New Roman"/>
          <w:sz w:val="24"/>
        </w:rPr>
        <w:t xml:space="preserve"> individuals were encountered from February to August.</w:t>
      </w:r>
    </w:p>
    <w:p w14:paraId="306B4DA4" w14:textId="77777777" w:rsidR="00701D3D" w:rsidRPr="00B1315D" w:rsidRDefault="00701D3D" w:rsidP="00E150EC">
      <w:pPr>
        <w:spacing w:line="360" w:lineRule="auto"/>
        <w:jc w:val="both"/>
        <w:rPr>
          <w:rFonts w:ascii="Times New Roman" w:hAnsi="Times New Roman" w:cs="Times New Roman"/>
          <w:sz w:val="24"/>
          <w:szCs w:val="24"/>
        </w:rPr>
      </w:pPr>
      <w:r w:rsidRPr="00B1315D">
        <w:rPr>
          <w:noProof/>
        </w:rPr>
        <w:drawing>
          <wp:inline distT="0" distB="0" distL="0" distR="0" wp14:anchorId="0718A8A6" wp14:editId="580A8D9E">
            <wp:extent cx="4572000" cy="2743200"/>
            <wp:effectExtent l="0" t="0" r="0" b="0"/>
            <wp:docPr id="82671804" name="Graphique 1">
              <a:extLst xmlns:a="http://schemas.openxmlformats.org/drawingml/2006/main">
                <a:ext uri="{FF2B5EF4-FFF2-40B4-BE49-F238E27FC236}">
                  <a16:creationId xmlns:a16="http://schemas.microsoft.com/office/drawing/2014/main" id="{968986CD-8D46-86F5-72CE-60844D5BAC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F8E5629" w14:textId="77777777" w:rsidR="00701D3D" w:rsidRPr="00B1315D" w:rsidRDefault="00701D3D" w:rsidP="00E150EC">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Figure 4: Changes in sexual maturity stages of female O. niloticus from the Zienkôlô dam Lake.</w:t>
      </w:r>
    </w:p>
    <w:p w14:paraId="328C249C" w14:textId="77777777" w:rsidR="004165F2" w:rsidRPr="00B1315D" w:rsidRDefault="004165F2" w:rsidP="00E150EC">
      <w:pPr>
        <w:spacing w:line="360" w:lineRule="auto"/>
        <w:jc w:val="both"/>
        <w:rPr>
          <w:rFonts w:ascii="Times New Roman" w:hAnsi="Times New Roman" w:cs="Times New Roman"/>
          <w:sz w:val="24"/>
          <w:szCs w:val="24"/>
        </w:rPr>
      </w:pPr>
      <w:r>
        <w:rPr>
          <w:rFonts w:ascii="Times New Roman" w:hAnsi="Times New Roman"/>
          <w:sz w:val="24"/>
        </w:rPr>
        <w:t xml:space="preserve">The size at first sexual maturity (L50) of </w:t>
      </w:r>
      <w:r>
        <w:rPr>
          <w:rFonts w:ascii="Times New Roman" w:hAnsi="Times New Roman"/>
          <w:i/>
          <w:sz w:val="24"/>
        </w:rPr>
        <w:t>Oreochromis niloticus</w:t>
      </w:r>
      <w:r>
        <w:rPr>
          <w:rFonts w:ascii="Times New Roman" w:hAnsi="Times New Roman"/>
          <w:sz w:val="24"/>
        </w:rPr>
        <w:t xml:space="preserve"> in the Zienkôlô reservoir lake </w:t>
      </w:r>
      <w:r>
        <w:rPr>
          <w:rFonts w:ascii="Times New Roman" w:hAnsi="Times New Roman"/>
          <w:sz w:val="24"/>
          <w:highlight w:val="yellow"/>
        </w:rPr>
        <w:t>wa</w:t>
      </w:r>
      <w:r>
        <w:rPr>
          <w:rFonts w:ascii="Times New Roman" w:hAnsi="Times New Roman"/>
          <w:sz w:val="24"/>
        </w:rPr>
        <w:t>s 14 cm (total length) for males and 11.81 cm (total length) for females. This result indicate</w:t>
      </w:r>
      <w:r>
        <w:rPr>
          <w:rFonts w:ascii="Times New Roman" w:hAnsi="Times New Roman"/>
          <w:sz w:val="24"/>
          <w:highlight w:val="yellow"/>
        </w:rPr>
        <w:t>d</w:t>
      </w:r>
      <w:r>
        <w:rPr>
          <w:rFonts w:ascii="Times New Roman" w:hAnsi="Times New Roman"/>
          <w:sz w:val="24"/>
        </w:rPr>
        <w:t xml:space="preserve"> that females reach</w:t>
      </w:r>
      <w:r>
        <w:rPr>
          <w:rFonts w:ascii="Times New Roman" w:hAnsi="Times New Roman"/>
          <w:sz w:val="24"/>
          <w:highlight w:val="yellow"/>
        </w:rPr>
        <w:t>ed</w:t>
      </w:r>
      <w:r>
        <w:rPr>
          <w:rFonts w:ascii="Times New Roman" w:hAnsi="Times New Roman"/>
          <w:sz w:val="24"/>
        </w:rPr>
        <w:t xml:space="preserve"> sexual maturity before males. Differences in size at maturity among individuals may depend on several factors, such as anthropogenic activities (overfishing), biological and/or ecological environmental factors, and energy allocation for gamete production (Koné </w:t>
      </w:r>
      <w:r>
        <w:rPr>
          <w:rFonts w:ascii="Times New Roman" w:hAnsi="Times New Roman"/>
          <w:sz w:val="24"/>
          <w:highlight w:val="yellow"/>
        </w:rPr>
        <w:t>et</w:t>
      </w:r>
      <w:r>
        <w:rPr>
          <w:rFonts w:ascii="Times New Roman" w:hAnsi="Times New Roman"/>
          <w:sz w:val="24"/>
        </w:rPr>
        <w:t xml:space="preserve"> al</w:t>
      </w:r>
      <w:r>
        <w:rPr>
          <w:rFonts w:ascii="Times New Roman" w:hAnsi="Times New Roman"/>
          <w:i/>
          <w:sz w:val="24"/>
        </w:rPr>
        <w:t>.</w:t>
      </w:r>
      <w:r>
        <w:rPr>
          <w:rFonts w:ascii="Times New Roman" w:hAnsi="Times New Roman"/>
          <w:sz w:val="24"/>
        </w:rPr>
        <w:t xml:space="preserve">, 2011). </w:t>
      </w:r>
      <w:r>
        <w:rPr>
          <w:rFonts w:ascii="Times New Roman" w:hAnsi="Times New Roman"/>
          <w:sz w:val="24"/>
          <w:highlight w:val="yellow"/>
        </w:rPr>
        <w:t>S</w:t>
      </w:r>
      <w:r>
        <w:rPr>
          <w:rFonts w:ascii="Times New Roman" w:hAnsi="Times New Roman"/>
          <w:sz w:val="24"/>
        </w:rPr>
        <w:t xml:space="preserve">imilar </w:t>
      </w:r>
      <w:r>
        <w:rPr>
          <w:rFonts w:ascii="Times New Roman" w:hAnsi="Times New Roman"/>
          <w:sz w:val="24"/>
          <w:highlight w:val="yellow"/>
        </w:rPr>
        <w:t>resul</w:t>
      </w:r>
      <w:r>
        <w:rPr>
          <w:rFonts w:ascii="Times New Roman" w:hAnsi="Times New Roman"/>
          <w:sz w:val="24"/>
        </w:rPr>
        <w:t xml:space="preserve">ts were obtained by </w:t>
      </w:r>
      <w:r>
        <w:rPr>
          <w:rFonts w:ascii="Times New Roman" w:hAnsi="Times New Roman"/>
          <w:sz w:val="24"/>
          <w:highlight w:val="yellow"/>
        </w:rPr>
        <w:t>D</w:t>
      </w:r>
      <w:r>
        <w:rPr>
          <w:rFonts w:ascii="Times New Roman" w:hAnsi="Times New Roman"/>
          <w:sz w:val="24"/>
        </w:rPr>
        <w:t>h</w:t>
      </w:r>
      <w:r>
        <w:rPr>
          <w:rFonts w:ascii="Times New Roman" w:hAnsi="Times New Roman"/>
          <w:sz w:val="24"/>
          <w:highlight w:val="yellow"/>
        </w:rPr>
        <w:t>r</w:t>
      </w:r>
      <w:r>
        <w:rPr>
          <w:rFonts w:ascii="Times New Roman" w:hAnsi="Times New Roman"/>
          <w:sz w:val="24"/>
        </w:rPr>
        <w:t>a</w:t>
      </w:r>
      <w:r>
        <w:rPr>
          <w:rFonts w:ascii="Times New Roman" w:hAnsi="Times New Roman"/>
          <w:sz w:val="24"/>
          <w:highlight w:val="yellow"/>
        </w:rPr>
        <w:t>ï</w:t>
      </w:r>
      <w:r>
        <w:rPr>
          <w:rFonts w:ascii="Times New Roman" w:hAnsi="Times New Roman"/>
          <w:sz w:val="24"/>
        </w:rPr>
        <w:t>e</w:t>
      </w:r>
      <w:r>
        <w:rPr>
          <w:rFonts w:ascii="Times New Roman" w:hAnsi="Times New Roman"/>
          <w:sz w:val="24"/>
          <w:highlight w:val="yellow"/>
        </w:rPr>
        <w:t>f</w:t>
      </w:r>
      <w:r>
        <w:rPr>
          <w:rFonts w:ascii="Times New Roman" w:hAnsi="Times New Roman"/>
          <w:sz w:val="24"/>
        </w:rPr>
        <w:t xml:space="preserve"> </w:t>
      </w:r>
      <w:r>
        <w:rPr>
          <w:rFonts w:ascii="Times New Roman" w:hAnsi="Times New Roman"/>
          <w:sz w:val="24"/>
          <w:highlight w:val="yellow"/>
        </w:rPr>
        <w:t>et</w:t>
      </w:r>
      <w:r>
        <w:rPr>
          <w:rFonts w:ascii="Times New Roman" w:hAnsi="Times New Roman"/>
          <w:sz w:val="24"/>
        </w:rPr>
        <w:t xml:space="preserve"> al</w:t>
      </w:r>
      <w:r>
        <w:rPr>
          <w:rFonts w:ascii="Times New Roman" w:hAnsi="Times New Roman"/>
          <w:i/>
          <w:sz w:val="24"/>
        </w:rPr>
        <w:t>.</w:t>
      </w:r>
      <w:r>
        <w:rPr>
          <w:rFonts w:ascii="Times New Roman" w:hAnsi="Times New Roman"/>
          <w:sz w:val="24"/>
        </w:rPr>
        <w:t xml:space="preserve"> (2010) in the geothermal </w:t>
      </w:r>
      <w:r>
        <w:rPr>
          <w:rFonts w:ascii="Times New Roman" w:hAnsi="Times New Roman"/>
          <w:sz w:val="24"/>
        </w:rPr>
        <w:lastRenderedPageBreak/>
        <w:t xml:space="preserve">waters of southern Tunisia. The determined size at first sexual maturity (Lm50) was 11.3 cm for females and 12.5 cm for males. These authors observed that female </w:t>
      </w:r>
      <w:r>
        <w:rPr>
          <w:rFonts w:ascii="Times New Roman" w:hAnsi="Times New Roman"/>
          <w:i/>
          <w:sz w:val="24"/>
        </w:rPr>
        <w:t>O. niloticus</w:t>
      </w:r>
      <w:r>
        <w:rPr>
          <w:rFonts w:ascii="Times New Roman" w:hAnsi="Times New Roman"/>
          <w:sz w:val="24"/>
        </w:rPr>
        <w:t xml:space="preserve"> reached sexual maturity at a smaller size than males. </w:t>
      </w:r>
      <w:r>
        <w:rPr>
          <w:rFonts w:ascii="Times New Roman" w:hAnsi="Times New Roman"/>
          <w:sz w:val="24"/>
          <w:highlight w:val="yellow"/>
        </w:rPr>
        <w:t>I</w:t>
      </w:r>
      <w:r>
        <w:rPr>
          <w:rFonts w:ascii="Times New Roman" w:hAnsi="Times New Roman"/>
          <w:sz w:val="24"/>
        </w:rPr>
        <w:t xml:space="preserve">n </w:t>
      </w:r>
      <w:r>
        <w:rPr>
          <w:rFonts w:ascii="Times New Roman" w:hAnsi="Times New Roman"/>
          <w:sz w:val="24"/>
          <w:highlight w:val="yellow"/>
        </w:rPr>
        <w:t>contra</w:t>
      </w:r>
      <w:r>
        <w:rPr>
          <w:rFonts w:ascii="Times New Roman" w:hAnsi="Times New Roman"/>
          <w:sz w:val="24"/>
        </w:rPr>
        <w:t>s</w:t>
      </w:r>
      <w:r>
        <w:rPr>
          <w:rFonts w:ascii="Times New Roman" w:hAnsi="Times New Roman"/>
          <w:sz w:val="24"/>
          <w:highlight w:val="yellow"/>
        </w:rPr>
        <w:t>t</w:t>
      </w:r>
      <w:r>
        <w:rPr>
          <w:rFonts w:ascii="Times New Roman" w:hAnsi="Times New Roman"/>
          <w:sz w:val="24"/>
        </w:rPr>
        <w:t xml:space="preserve">, Akonkwa </w:t>
      </w:r>
      <w:r>
        <w:rPr>
          <w:rFonts w:ascii="Times New Roman" w:hAnsi="Times New Roman"/>
          <w:sz w:val="24"/>
          <w:highlight w:val="yellow"/>
        </w:rPr>
        <w:t>et</w:t>
      </w:r>
      <w:r>
        <w:rPr>
          <w:rFonts w:ascii="Times New Roman" w:hAnsi="Times New Roman"/>
          <w:sz w:val="24"/>
        </w:rPr>
        <w:t xml:space="preserve"> al. (2016) found that male </w:t>
      </w:r>
      <w:r>
        <w:rPr>
          <w:rFonts w:ascii="Times New Roman" w:hAnsi="Times New Roman"/>
          <w:i/>
          <w:sz w:val="24"/>
        </w:rPr>
        <w:t>O. niloticus</w:t>
      </w:r>
      <w:r>
        <w:rPr>
          <w:rFonts w:ascii="Times New Roman" w:hAnsi="Times New Roman"/>
          <w:sz w:val="24"/>
        </w:rPr>
        <w:t xml:space="preserve"> reached the size at first maturity before females in Lake Kivu, Congo. The size at first sexual maturity was 13.7 cm for males and 15.8 cm for females. Ats</w:t>
      </w:r>
      <w:r>
        <w:rPr>
          <w:rFonts w:ascii="Times New Roman" w:hAnsi="Times New Roman"/>
          <w:sz w:val="24"/>
          <w:highlight w:val="yellow"/>
        </w:rPr>
        <w:t>é</w:t>
      </w:r>
      <w:r>
        <w:rPr>
          <w:rFonts w:ascii="Times New Roman" w:hAnsi="Times New Roman"/>
          <w:sz w:val="24"/>
        </w:rPr>
        <w:t xml:space="preserve"> et al. (2009) reported that males of the Cichlidae </w:t>
      </w:r>
      <w:r>
        <w:rPr>
          <w:rFonts w:ascii="Times New Roman" w:hAnsi="Times New Roman"/>
          <w:i/>
          <w:sz w:val="24"/>
        </w:rPr>
        <w:t xml:space="preserve">Tylochromis jentinki </w:t>
      </w:r>
      <w:r>
        <w:rPr>
          <w:rFonts w:ascii="Times New Roman" w:hAnsi="Times New Roman"/>
          <w:sz w:val="24"/>
        </w:rPr>
        <w:t xml:space="preserve">reached sexual maturity earlier than females in the Ébrié Lagoon (Côte d’Ivoire). </w:t>
      </w:r>
      <w:r>
        <w:rPr>
          <w:rFonts w:ascii="Times New Roman" w:hAnsi="Times New Roman"/>
          <w:sz w:val="24"/>
          <w:highlight w:val="yellow"/>
        </w:rPr>
        <w:t>The siz</w:t>
      </w:r>
      <w:r>
        <w:rPr>
          <w:rFonts w:ascii="Times New Roman" w:hAnsi="Times New Roman"/>
          <w:sz w:val="24"/>
        </w:rPr>
        <w:t xml:space="preserve">es </w:t>
      </w:r>
      <w:r>
        <w:rPr>
          <w:rFonts w:ascii="Times New Roman" w:hAnsi="Times New Roman"/>
          <w:sz w:val="24"/>
          <w:highlight w:val="yellow"/>
        </w:rPr>
        <w:t>a</w:t>
      </w:r>
      <w:r>
        <w:rPr>
          <w:rFonts w:ascii="Times New Roman" w:hAnsi="Times New Roman"/>
          <w:sz w:val="24"/>
        </w:rPr>
        <w:t>t</w:t>
      </w:r>
      <w:r>
        <w:rPr>
          <w:rFonts w:ascii="Times New Roman" w:hAnsi="Times New Roman"/>
          <w:sz w:val="24"/>
          <w:highlight w:val="yellow"/>
        </w:rPr>
        <w:t xml:space="preserve"> first sexu</w:t>
      </w:r>
      <w:r>
        <w:rPr>
          <w:rFonts w:ascii="Times New Roman" w:hAnsi="Times New Roman"/>
          <w:sz w:val="24"/>
        </w:rPr>
        <w:t>al maturit</w:t>
      </w:r>
      <w:r>
        <w:rPr>
          <w:rFonts w:ascii="Times New Roman" w:hAnsi="Times New Roman"/>
          <w:sz w:val="24"/>
          <w:highlight w:val="yellow"/>
        </w:rPr>
        <w:t>y</w:t>
      </w:r>
      <w:r>
        <w:rPr>
          <w:rFonts w:ascii="Times New Roman" w:hAnsi="Times New Roman"/>
          <w:sz w:val="24"/>
        </w:rPr>
        <w:t xml:space="preserve"> </w:t>
      </w:r>
      <w:r>
        <w:rPr>
          <w:rFonts w:ascii="Times New Roman" w:hAnsi="Times New Roman"/>
          <w:sz w:val="24"/>
          <w:highlight w:val="yellow"/>
        </w:rPr>
        <w:t>w</w:t>
      </w:r>
      <w:r>
        <w:rPr>
          <w:rFonts w:ascii="Times New Roman" w:hAnsi="Times New Roman"/>
          <w:sz w:val="24"/>
        </w:rPr>
        <w:t>e</w:t>
      </w:r>
      <w:r>
        <w:rPr>
          <w:rFonts w:ascii="Times New Roman" w:hAnsi="Times New Roman"/>
          <w:sz w:val="24"/>
          <w:highlight w:val="yellow"/>
        </w:rPr>
        <w:t>r</w:t>
      </w:r>
      <w:r>
        <w:rPr>
          <w:rFonts w:ascii="Times New Roman" w:hAnsi="Times New Roman"/>
          <w:sz w:val="24"/>
        </w:rPr>
        <w:t>e estim</w:t>
      </w:r>
      <w:r>
        <w:rPr>
          <w:rFonts w:ascii="Times New Roman" w:hAnsi="Times New Roman"/>
          <w:sz w:val="24"/>
          <w:highlight w:val="yellow"/>
        </w:rPr>
        <w:t>at</w:t>
      </w:r>
      <w:r>
        <w:rPr>
          <w:rFonts w:ascii="Times New Roman" w:hAnsi="Times New Roman"/>
          <w:sz w:val="24"/>
        </w:rPr>
        <w:t>e</w:t>
      </w:r>
      <w:r>
        <w:rPr>
          <w:rFonts w:ascii="Times New Roman" w:hAnsi="Times New Roman"/>
          <w:sz w:val="24"/>
          <w:highlight w:val="yellow"/>
        </w:rPr>
        <w:t>d</w:t>
      </w:r>
      <w:r>
        <w:rPr>
          <w:rFonts w:ascii="Times New Roman" w:hAnsi="Times New Roman"/>
          <w:sz w:val="24"/>
        </w:rPr>
        <w:t xml:space="preserve"> </w:t>
      </w:r>
      <w:r>
        <w:rPr>
          <w:rFonts w:ascii="Times New Roman" w:hAnsi="Times New Roman"/>
          <w:sz w:val="24"/>
          <w:highlight w:val="yellow"/>
        </w:rPr>
        <w:t>at</w:t>
      </w:r>
      <w:r>
        <w:rPr>
          <w:rFonts w:ascii="Times New Roman" w:hAnsi="Times New Roman"/>
          <w:sz w:val="24"/>
        </w:rPr>
        <w:t xml:space="preserve"> 11</w:t>
      </w:r>
      <w:r>
        <w:rPr>
          <w:rFonts w:ascii="Times New Roman" w:hAnsi="Times New Roman"/>
          <w:sz w:val="24"/>
          <w:highlight w:val="yellow"/>
        </w:rPr>
        <w:t>.</w:t>
      </w:r>
      <w:r>
        <w:rPr>
          <w:rFonts w:ascii="Times New Roman" w:hAnsi="Times New Roman"/>
          <w:sz w:val="24"/>
        </w:rPr>
        <w:t xml:space="preserve">8 cm </w:t>
      </w:r>
      <w:r>
        <w:rPr>
          <w:rFonts w:ascii="Times New Roman" w:hAnsi="Times New Roman"/>
          <w:sz w:val="24"/>
          <w:highlight w:val="yellow"/>
        </w:rPr>
        <w:t>and</w:t>
      </w:r>
      <w:r>
        <w:rPr>
          <w:rFonts w:ascii="Times New Roman" w:hAnsi="Times New Roman"/>
          <w:sz w:val="24"/>
        </w:rPr>
        <w:t xml:space="preserve"> 12</w:t>
      </w:r>
      <w:r>
        <w:rPr>
          <w:rFonts w:ascii="Times New Roman" w:hAnsi="Times New Roman"/>
          <w:sz w:val="24"/>
          <w:highlight w:val="yellow"/>
        </w:rPr>
        <w:t>.</w:t>
      </w:r>
      <w:r>
        <w:rPr>
          <w:rFonts w:ascii="Times New Roman" w:hAnsi="Times New Roman"/>
          <w:sz w:val="24"/>
        </w:rPr>
        <w:t>6 cm</w:t>
      </w:r>
      <w:r>
        <w:rPr>
          <w:rFonts w:ascii="Times New Roman" w:hAnsi="Times New Roman"/>
          <w:sz w:val="24"/>
          <w:highlight w:val="yellow"/>
        </w:rPr>
        <w:t xml:space="preserve"> for males and females,</w:t>
      </w:r>
      <w:r>
        <w:rPr>
          <w:rFonts w:ascii="Times New Roman" w:hAnsi="Times New Roman"/>
          <w:sz w:val="24"/>
        </w:rPr>
        <w:t xml:space="preserve"> respectivel</w:t>
      </w:r>
      <w:r>
        <w:rPr>
          <w:rFonts w:ascii="Times New Roman" w:hAnsi="Times New Roman"/>
          <w:sz w:val="24"/>
          <w:highlight w:val="yellow"/>
        </w:rPr>
        <w:t>y</w:t>
      </w:r>
      <w:r>
        <w:rPr>
          <w:rFonts w:ascii="Times New Roman" w:hAnsi="Times New Roman"/>
          <w:sz w:val="24"/>
        </w:rPr>
        <w:t>. The variability in size at first sexual maturity from one biogeographic zone to another could depend on food availability as well as the physicochemical conditions of the environment. This difference in size can also be explained by the ability of breeding individuals to adapt to environmental factors, namely temperature, salinity, and food resources (Poulet</w:t>
      </w:r>
      <w:r>
        <w:rPr>
          <w:rFonts w:ascii="Times New Roman" w:hAnsi="Times New Roman"/>
          <w:sz w:val="24"/>
          <w:highlight w:val="yellow"/>
        </w:rPr>
        <w:t>,</w:t>
      </w:r>
      <w:r>
        <w:rPr>
          <w:rFonts w:ascii="Times New Roman" w:hAnsi="Times New Roman"/>
          <w:sz w:val="24"/>
        </w:rPr>
        <w:t xml:space="preserve"> 2004).</w:t>
      </w:r>
    </w:p>
    <w:p w14:paraId="4565339D" w14:textId="77777777" w:rsidR="00860391" w:rsidRPr="00B1315D" w:rsidRDefault="00860391" w:rsidP="00E150EC">
      <w:pPr>
        <w:spacing w:after="0" w:line="360" w:lineRule="auto"/>
        <w:jc w:val="both"/>
        <w:rPr>
          <w:rFonts w:ascii="Times New Roman" w:hAnsi="Times New Roman" w:cs="Times New Roman"/>
          <w:b/>
          <w:bCs/>
          <w:sz w:val="24"/>
          <w:szCs w:val="24"/>
          <w:lang w:val="en"/>
        </w:rPr>
      </w:pPr>
      <w:r w:rsidRPr="00B1315D">
        <w:rPr>
          <w:rFonts w:ascii="Times New Roman" w:hAnsi="Times New Roman" w:cs="Times New Roman"/>
          <w:b/>
          <w:bCs/>
          <w:sz w:val="24"/>
          <w:szCs w:val="24"/>
          <w:lang w:val="en"/>
        </w:rPr>
        <w:t>3.</w:t>
      </w:r>
      <w:r w:rsidR="00CB1325" w:rsidRPr="00B1315D">
        <w:rPr>
          <w:rFonts w:ascii="Times New Roman" w:hAnsi="Times New Roman" w:cs="Times New Roman"/>
          <w:b/>
          <w:bCs/>
          <w:sz w:val="24"/>
          <w:szCs w:val="24"/>
          <w:lang w:val="en"/>
        </w:rPr>
        <w:t>3</w:t>
      </w:r>
      <w:r w:rsidRPr="00B1315D">
        <w:rPr>
          <w:rFonts w:ascii="Times New Roman" w:hAnsi="Times New Roman" w:cs="Times New Roman"/>
          <w:b/>
          <w:bCs/>
          <w:sz w:val="24"/>
          <w:szCs w:val="24"/>
          <w:lang w:val="en"/>
        </w:rPr>
        <w:t xml:space="preserve"> Gonadosomatic index (GSI) and reproductive period</w:t>
      </w:r>
    </w:p>
    <w:p w14:paraId="5679D7B0" w14:textId="77777777" w:rsidR="006C3666" w:rsidRPr="00B1315D" w:rsidRDefault="00860391" w:rsidP="00E150EC">
      <w:pPr>
        <w:spacing w:after="0" w:line="360" w:lineRule="auto"/>
        <w:jc w:val="both"/>
        <w:rPr>
          <w:rFonts w:ascii="Times New Roman" w:hAnsi="Times New Roman" w:cs="Times New Roman"/>
          <w:sz w:val="24"/>
          <w:szCs w:val="24"/>
        </w:rPr>
      </w:pPr>
      <w:r>
        <w:rPr>
          <w:rFonts w:ascii="Times New Roman" w:hAnsi="Times New Roman"/>
          <w:sz w:val="24"/>
        </w:rPr>
        <w:t>The variation curve of the gonadosomatic index (GSI) follow</w:t>
      </w:r>
      <w:r>
        <w:rPr>
          <w:rFonts w:ascii="Times New Roman" w:hAnsi="Times New Roman"/>
          <w:sz w:val="24"/>
          <w:highlight w:val="yellow"/>
        </w:rPr>
        <w:t>ed</w:t>
      </w:r>
      <w:r>
        <w:rPr>
          <w:rFonts w:ascii="Times New Roman" w:hAnsi="Times New Roman"/>
          <w:sz w:val="24"/>
        </w:rPr>
        <w:t xml:space="preserve"> a sawtooth pattern and exhibit</w:t>
      </w:r>
      <w:r>
        <w:rPr>
          <w:rFonts w:ascii="Times New Roman" w:hAnsi="Times New Roman"/>
          <w:sz w:val="24"/>
          <w:highlight w:val="yellow"/>
        </w:rPr>
        <w:t>ed</w:t>
      </w:r>
      <w:r>
        <w:rPr>
          <w:rFonts w:ascii="Times New Roman" w:hAnsi="Times New Roman"/>
          <w:sz w:val="24"/>
        </w:rPr>
        <w:t xml:space="preserve"> two peaks (Figure </w:t>
      </w:r>
      <w:r>
        <w:rPr>
          <w:rFonts w:ascii="Times New Roman" w:hAnsi="Times New Roman"/>
          <w:sz w:val="24"/>
          <w:highlight w:val="yellow"/>
        </w:rPr>
        <w:t>5</w:t>
      </w:r>
      <w:r>
        <w:rPr>
          <w:rFonts w:ascii="Times New Roman" w:hAnsi="Times New Roman"/>
          <w:sz w:val="24"/>
        </w:rPr>
        <w:t>). The highest GS</w:t>
      </w:r>
      <w:r>
        <w:rPr>
          <w:rFonts w:ascii="Times New Roman" w:hAnsi="Times New Roman"/>
          <w:sz w:val="24"/>
          <w:highlight w:val="yellow"/>
        </w:rPr>
        <w:t>I</w:t>
      </w:r>
      <w:r>
        <w:rPr>
          <w:rFonts w:ascii="Times New Roman" w:hAnsi="Times New Roman"/>
          <w:sz w:val="24"/>
        </w:rPr>
        <w:t xml:space="preserve"> values </w:t>
      </w:r>
      <w:r>
        <w:rPr>
          <w:rFonts w:ascii="Times New Roman" w:hAnsi="Times New Roman"/>
          <w:sz w:val="24"/>
          <w:highlight w:val="yellow"/>
        </w:rPr>
        <w:t>we</w:t>
      </w:r>
      <w:r>
        <w:rPr>
          <w:rFonts w:ascii="Times New Roman" w:hAnsi="Times New Roman"/>
          <w:sz w:val="24"/>
        </w:rPr>
        <w:t>re observed in May (3.88 ± 1.48) and October (3.36 ± 8.18).</w:t>
      </w:r>
    </w:p>
    <w:p w14:paraId="1B5469FC" w14:textId="77777777" w:rsidR="00ED4A7E" w:rsidRPr="00B1315D" w:rsidRDefault="006C3666" w:rsidP="00E150EC">
      <w:pPr>
        <w:spacing w:line="360" w:lineRule="auto"/>
        <w:jc w:val="both"/>
        <w:rPr>
          <w:rFonts w:ascii="Times New Roman" w:hAnsi="Times New Roman" w:cs="Times New Roman"/>
          <w:sz w:val="24"/>
          <w:szCs w:val="24"/>
        </w:rPr>
      </w:pPr>
      <w:r>
        <w:rPr>
          <w:rFonts w:ascii="Times New Roman" w:hAnsi="Times New Roman"/>
          <w:sz w:val="24"/>
        </w:rPr>
        <w:t xml:space="preserve">These monthly variations </w:t>
      </w:r>
      <w:r>
        <w:rPr>
          <w:rFonts w:ascii="Times New Roman" w:hAnsi="Times New Roman"/>
          <w:sz w:val="24"/>
          <w:highlight w:val="yellow"/>
        </w:rPr>
        <w:t>indicat</w:t>
      </w:r>
      <w:r>
        <w:rPr>
          <w:rFonts w:ascii="Times New Roman" w:hAnsi="Times New Roman"/>
          <w:sz w:val="24"/>
        </w:rPr>
        <w:t>e</w:t>
      </w:r>
      <w:r>
        <w:rPr>
          <w:rFonts w:ascii="Times New Roman" w:hAnsi="Times New Roman"/>
          <w:sz w:val="24"/>
          <w:highlight w:val="yellow"/>
        </w:rPr>
        <w:t>d</w:t>
      </w:r>
      <w:r>
        <w:rPr>
          <w:rFonts w:ascii="Times New Roman" w:hAnsi="Times New Roman"/>
          <w:sz w:val="24"/>
        </w:rPr>
        <w:t xml:space="preserve"> that </w:t>
      </w:r>
      <w:r>
        <w:rPr>
          <w:rFonts w:ascii="Times New Roman" w:hAnsi="Times New Roman"/>
          <w:i/>
          <w:sz w:val="24"/>
        </w:rPr>
        <w:t>Oreochromis niloticus</w:t>
      </w:r>
      <w:r>
        <w:rPr>
          <w:rFonts w:ascii="Times New Roman" w:hAnsi="Times New Roman"/>
          <w:sz w:val="24"/>
        </w:rPr>
        <w:t xml:space="preserve"> in the Zienkôlô dam lake generally reproduce</w:t>
      </w:r>
      <w:r>
        <w:rPr>
          <w:rFonts w:ascii="Times New Roman" w:hAnsi="Times New Roman"/>
          <w:sz w:val="24"/>
          <w:highlight w:val="yellow"/>
        </w:rPr>
        <w:t>d</w:t>
      </w:r>
      <w:r>
        <w:rPr>
          <w:rFonts w:ascii="Times New Roman" w:hAnsi="Times New Roman"/>
          <w:sz w:val="24"/>
        </w:rPr>
        <w:t xml:space="preserve"> during May and October, with greater intensity during the main rainy season</w:t>
      </w:r>
      <w:r>
        <w:rPr>
          <w:rFonts w:ascii="Times New Roman" w:hAnsi="Times New Roman"/>
          <w:sz w:val="24"/>
          <w:highlight w:val="yellow"/>
        </w:rPr>
        <w:t>,</w:t>
      </w:r>
      <w:r>
        <w:rPr>
          <w:rFonts w:ascii="Times New Roman" w:hAnsi="Times New Roman"/>
          <w:sz w:val="24"/>
        </w:rPr>
        <w:t xml:space="preserve"> specifically in May.</w:t>
      </w:r>
      <w:r>
        <w:rPr>
          <w:rFonts w:ascii="inherit" w:hAnsi="inherit"/>
          <w:color w:val="1F1F1F"/>
          <w:sz w:val="42"/>
        </w:rPr>
        <w:t xml:space="preserve"> </w:t>
      </w:r>
      <w:r>
        <w:rPr>
          <w:rFonts w:ascii="Times New Roman" w:hAnsi="Times New Roman"/>
          <w:sz w:val="24"/>
        </w:rPr>
        <w:t>The minimum GSI values were observed in December (0.14 ± 0.08) and November (0.25 ± 0.22).</w:t>
      </w:r>
    </w:p>
    <w:p w14:paraId="1072A35E" w14:textId="77777777" w:rsidR="006C3666" w:rsidRPr="00B1315D" w:rsidRDefault="00D3489F" w:rsidP="00E150EC">
      <w:pPr>
        <w:spacing w:line="360" w:lineRule="auto"/>
        <w:jc w:val="both"/>
        <w:rPr>
          <w:rFonts w:ascii="Times New Roman" w:hAnsi="Times New Roman" w:cs="Times New Roman"/>
          <w:sz w:val="24"/>
          <w:szCs w:val="24"/>
        </w:rPr>
      </w:pPr>
      <w:r w:rsidRPr="00B1315D">
        <w:rPr>
          <w:noProof/>
        </w:rPr>
        <w:drawing>
          <wp:inline distT="0" distB="0" distL="0" distR="0" wp14:anchorId="5FC404AA" wp14:editId="7DF3E856">
            <wp:extent cx="5429250" cy="2724150"/>
            <wp:effectExtent l="0" t="0" r="0" b="0"/>
            <wp:docPr id="71598288" name="Graphique 1">
              <a:extLst xmlns:a="http://schemas.openxmlformats.org/drawingml/2006/main">
                <a:ext uri="{FF2B5EF4-FFF2-40B4-BE49-F238E27FC236}">
                  <a16:creationId xmlns:a16="http://schemas.microsoft.com/office/drawing/2014/main" id="{CA6E2331-6AD5-3972-AFA4-3C23C8554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8F2172E" w14:textId="77777777" w:rsidR="00D3489F" w:rsidRPr="00B1315D" w:rsidRDefault="00D3489F" w:rsidP="00E150EC">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5</w:t>
      </w:r>
      <w:r w:rsidRPr="00B1315D">
        <w:rPr>
          <w:rFonts w:ascii="Times New Roman" w:hAnsi="Times New Roman" w:cs="Times New Roman"/>
          <w:sz w:val="24"/>
          <w:szCs w:val="24"/>
          <w:lang w:val="en"/>
        </w:rPr>
        <w:t>: Monthly variations in the gonadosomatic index (GSI) of female O. niloticus from the Zienkôlô dam lake.</w:t>
      </w:r>
    </w:p>
    <w:p w14:paraId="1A7004DF" w14:textId="77777777" w:rsidR="00A64E7E" w:rsidRPr="00B1315D" w:rsidRDefault="00A64E7E" w:rsidP="00E150EC">
      <w:pPr>
        <w:spacing w:line="360" w:lineRule="auto"/>
        <w:jc w:val="both"/>
        <w:rPr>
          <w:rFonts w:ascii="Times New Roman" w:hAnsi="Times New Roman" w:cs="Times New Roman"/>
          <w:sz w:val="24"/>
          <w:szCs w:val="24"/>
        </w:rPr>
      </w:pPr>
      <w:r>
        <w:rPr>
          <w:rFonts w:ascii="Times New Roman" w:hAnsi="Times New Roman"/>
          <w:sz w:val="24"/>
        </w:rPr>
        <w:lastRenderedPageBreak/>
        <w:t xml:space="preserve">Monthly analysis of the </w:t>
      </w:r>
      <w:r>
        <w:rPr>
          <w:rFonts w:ascii="Times New Roman" w:hAnsi="Times New Roman"/>
          <w:sz w:val="24"/>
          <w:highlight w:val="yellow"/>
        </w:rPr>
        <w:t>g</w:t>
      </w:r>
      <w:r>
        <w:rPr>
          <w:rFonts w:ascii="Times New Roman" w:hAnsi="Times New Roman"/>
          <w:sz w:val="24"/>
        </w:rPr>
        <w:t xml:space="preserve">onadosomatic </w:t>
      </w:r>
      <w:r>
        <w:rPr>
          <w:rFonts w:ascii="Times New Roman" w:hAnsi="Times New Roman"/>
          <w:sz w:val="24"/>
          <w:highlight w:val="yellow"/>
        </w:rPr>
        <w:t>i</w:t>
      </w:r>
      <w:r>
        <w:rPr>
          <w:rFonts w:ascii="Times New Roman" w:hAnsi="Times New Roman"/>
          <w:sz w:val="24"/>
        </w:rPr>
        <w:t xml:space="preserve">ndex (GSI) and sexual maturity stages made it possible to examine the reproductive patterns of </w:t>
      </w:r>
      <w:r>
        <w:rPr>
          <w:rFonts w:ascii="Times New Roman" w:hAnsi="Times New Roman"/>
          <w:i/>
          <w:sz w:val="24"/>
        </w:rPr>
        <w:t>Oreochromis niloticu</w:t>
      </w:r>
      <w:r>
        <w:rPr>
          <w:rFonts w:ascii="Times New Roman" w:hAnsi="Times New Roman"/>
          <w:sz w:val="24"/>
        </w:rPr>
        <w:t xml:space="preserve">s throughout the year. </w:t>
      </w:r>
      <w:r>
        <w:rPr>
          <w:rFonts w:ascii="Times New Roman" w:hAnsi="Times New Roman"/>
          <w:i/>
          <w:sz w:val="24"/>
        </w:rPr>
        <w:t>O. niloticus</w:t>
      </w:r>
      <w:r>
        <w:rPr>
          <w:rFonts w:ascii="Times New Roman" w:hAnsi="Times New Roman"/>
          <w:sz w:val="24"/>
        </w:rPr>
        <w:t xml:space="preserve"> in the Zienkôlô dam lake exhibit</w:t>
      </w:r>
      <w:r>
        <w:rPr>
          <w:rFonts w:ascii="Times New Roman" w:hAnsi="Times New Roman"/>
          <w:sz w:val="24"/>
          <w:highlight w:val="yellow"/>
        </w:rPr>
        <w:t>ed</w:t>
      </w:r>
      <w:r>
        <w:rPr>
          <w:rFonts w:ascii="Times New Roman" w:hAnsi="Times New Roman"/>
          <w:sz w:val="24"/>
        </w:rPr>
        <w:t xml:space="preserve"> year-round reproduction.</w:t>
      </w:r>
      <w:r>
        <w:rPr>
          <w:rFonts w:ascii="inherit" w:hAnsi="inherit"/>
          <w:color w:val="1F1F1F"/>
          <w:sz w:val="42"/>
        </w:rPr>
        <w:t xml:space="preserve"> </w:t>
      </w:r>
      <w:r>
        <w:rPr>
          <w:rFonts w:ascii="Times New Roman" w:hAnsi="Times New Roman"/>
          <w:sz w:val="24"/>
        </w:rPr>
        <w:t>The highest mean GSI values were observed in May and October, with respective values of 3.88 ± 1.48 and 3.36 ± 8.18.</w:t>
      </w:r>
      <w:r>
        <w:rPr>
          <w:rFonts w:ascii="inherit" w:hAnsi="inherit"/>
          <w:color w:val="1F1F1F"/>
          <w:sz w:val="42"/>
        </w:rPr>
        <w:t xml:space="preserve"> </w:t>
      </w:r>
      <w:r>
        <w:rPr>
          <w:rFonts w:ascii="Times New Roman" w:hAnsi="Times New Roman"/>
          <w:sz w:val="24"/>
          <w:highlight w:val="yellow"/>
        </w:rPr>
        <w:t>S</w:t>
      </w:r>
      <w:r>
        <w:rPr>
          <w:rFonts w:ascii="Times New Roman" w:hAnsi="Times New Roman"/>
          <w:sz w:val="24"/>
        </w:rPr>
        <w:t xml:space="preserve">imilar </w:t>
      </w:r>
      <w:r>
        <w:rPr>
          <w:rFonts w:ascii="Times New Roman" w:hAnsi="Times New Roman"/>
          <w:sz w:val="24"/>
          <w:highlight w:val="yellow"/>
        </w:rPr>
        <w:t>resul</w:t>
      </w:r>
      <w:r>
        <w:rPr>
          <w:rFonts w:ascii="Times New Roman" w:hAnsi="Times New Roman"/>
          <w:sz w:val="24"/>
        </w:rPr>
        <w:t>ts were observed by Ats</w:t>
      </w:r>
      <w:r>
        <w:rPr>
          <w:rFonts w:ascii="Times New Roman" w:hAnsi="Times New Roman"/>
          <w:sz w:val="24"/>
          <w:highlight w:val="yellow"/>
        </w:rPr>
        <w:t>é</w:t>
      </w:r>
      <w:r>
        <w:rPr>
          <w:rFonts w:ascii="Times New Roman" w:hAnsi="Times New Roman"/>
          <w:sz w:val="24"/>
        </w:rPr>
        <w:t xml:space="preserve"> et al. (2009) in the Cichlidae </w:t>
      </w:r>
      <w:r>
        <w:rPr>
          <w:rFonts w:ascii="Times New Roman" w:hAnsi="Times New Roman"/>
          <w:i/>
          <w:sz w:val="24"/>
        </w:rPr>
        <w:t>Tylochromis jentinki</w:t>
      </w:r>
      <w:r>
        <w:rPr>
          <w:rFonts w:ascii="Times New Roman" w:hAnsi="Times New Roman"/>
          <w:sz w:val="24"/>
        </w:rPr>
        <w:t xml:space="preserve"> in Ébrié Lagoon (Côte d’Ivoire). These authors observed that the spawning period of </w:t>
      </w:r>
      <w:r>
        <w:rPr>
          <w:rFonts w:ascii="Times New Roman" w:hAnsi="Times New Roman"/>
          <w:i/>
          <w:sz w:val="24"/>
        </w:rPr>
        <w:t>T. jentinki</w:t>
      </w:r>
      <w:r>
        <w:rPr>
          <w:rFonts w:ascii="Times New Roman" w:hAnsi="Times New Roman"/>
          <w:sz w:val="24"/>
        </w:rPr>
        <w:t xml:space="preserve"> extend</w:t>
      </w:r>
      <w:r>
        <w:rPr>
          <w:rFonts w:ascii="Times New Roman" w:hAnsi="Times New Roman"/>
          <w:sz w:val="24"/>
          <w:highlight w:val="yellow"/>
        </w:rPr>
        <w:t>ed</w:t>
      </w:r>
      <w:r>
        <w:rPr>
          <w:rFonts w:ascii="Times New Roman" w:hAnsi="Times New Roman"/>
          <w:sz w:val="24"/>
        </w:rPr>
        <w:t xml:space="preserve"> throughout the year, with a more pronounced peak from October to November</w:t>
      </w:r>
      <w:r>
        <w:rPr>
          <w:rFonts w:ascii="Times New Roman" w:hAnsi="Times New Roman"/>
          <w:sz w:val="24"/>
          <w:highlight w:val="yellow"/>
        </w:rPr>
        <w:t>,</w:t>
      </w:r>
      <w:r>
        <w:rPr>
          <w:rFonts w:ascii="Times New Roman" w:hAnsi="Times New Roman"/>
          <w:sz w:val="24"/>
        </w:rPr>
        <w:t xml:space="preserve"> the period during which the highest proportions of females at </w:t>
      </w:r>
      <w:r>
        <w:rPr>
          <w:rFonts w:ascii="Times New Roman" w:hAnsi="Times New Roman"/>
          <w:sz w:val="24"/>
          <w:highlight w:val="yellow"/>
        </w:rPr>
        <w:t>S</w:t>
      </w:r>
      <w:r>
        <w:rPr>
          <w:rFonts w:ascii="Times New Roman" w:hAnsi="Times New Roman"/>
          <w:sz w:val="24"/>
        </w:rPr>
        <w:t xml:space="preserve">tages </w:t>
      </w:r>
      <w:r>
        <w:rPr>
          <w:rFonts w:ascii="Times New Roman" w:hAnsi="Times New Roman"/>
          <w:sz w:val="24"/>
          <w:highlight w:val="yellow"/>
        </w:rPr>
        <w:t>IV</w:t>
      </w:r>
      <w:r>
        <w:rPr>
          <w:rFonts w:ascii="Times New Roman" w:hAnsi="Times New Roman"/>
          <w:sz w:val="24"/>
        </w:rPr>
        <w:t xml:space="preserve"> and </w:t>
      </w:r>
      <w:r>
        <w:rPr>
          <w:rFonts w:ascii="Times New Roman" w:hAnsi="Times New Roman"/>
          <w:sz w:val="24"/>
          <w:highlight w:val="yellow"/>
        </w:rPr>
        <w:t>V</w:t>
      </w:r>
      <w:r>
        <w:rPr>
          <w:rFonts w:ascii="Times New Roman" w:hAnsi="Times New Roman"/>
          <w:sz w:val="24"/>
        </w:rPr>
        <w:t xml:space="preserve"> were recorded. </w:t>
      </w:r>
      <w:r>
        <w:rPr>
          <w:rFonts w:ascii="Times New Roman" w:hAnsi="Times New Roman"/>
          <w:sz w:val="24"/>
          <w:highlight w:val="yellow"/>
        </w:rPr>
        <w:t>A</w:t>
      </w:r>
      <w:r>
        <w:rPr>
          <w:rFonts w:ascii="Times New Roman" w:hAnsi="Times New Roman"/>
          <w:sz w:val="24"/>
        </w:rPr>
        <w:t xml:space="preserve"> second p</w:t>
      </w:r>
      <w:r>
        <w:rPr>
          <w:rFonts w:ascii="Times New Roman" w:hAnsi="Times New Roman"/>
          <w:sz w:val="24"/>
          <w:highlight w:val="yellow"/>
        </w:rPr>
        <w:t>eak</w:t>
      </w:r>
      <w:r>
        <w:rPr>
          <w:rFonts w:ascii="Times New Roman" w:hAnsi="Times New Roman"/>
          <w:sz w:val="24"/>
        </w:rPr>
        <w:t xml:space="preserve"> </w:t>
      </w:r>
      <w:r>
        <w:rPr>
          <w:rFonts w:ascii="Times New Roman" w:hAnsi="Times New Roman"/>
          <w:sz w:val="24"/>
          <w:highlight w:val="yellow"/>
        </w:rPr>
        <w:t>of low</w:t>
      </w:r>
      <w:r>
        <w:rPr>
          <w:rFonts w:ascii="Times New Roman" w:hAnsi="Times New Roman"/>
          <w:sz w:val="24"/>
        </w:rPr>
        <w:t>e</w:t>
      </w:r>
      <w:r>
        <w:rPr>
          <w:rFonts w:ascii="Times New Roman" w:hAnsi="Times New Roman"/>
          <w:sz w:val="24"/>
          <w:highlight w:val="yellow"/>
        </w:rPr>
        <w:t>r</w:t>
      </w:r>
      <w:r>
        <w:rPr>
          <w:rFonts w:ascii="Times New Roman" w:hAnsi="Times New Roman"/>
          <w:sz w:val="24"/>
        </w:rPr>
        <w:t xml:space="preserve"> amplitude </w:t>
      </w:r>
      <w:r>
        <w:rPr>
          <w:rFonts w:ascii="Times New Roman" w:hAnsi="Times New Roman"/>
          <w:sz w:val="24"/>
          <w:highlight w:val="yellow"/>
        </w:rPr>
        <w:t>occ</w:t>
      </w:r>
      <w:r>
        <w:rPr>
          <w:rFonts w:ascii="Times New Roman" w:hAnsi="Times New Roman"/>
          <w:sz w:val="24"/>
        </w:rPr>
        <w:t>ur</w:t>
      </w:r>
      <w:r>
        <w:rPr>
          <w:rFonts w:ascii="Times New Roman" w:hAnsi="Times New Roman"/>
          <w:sz w:val="24"/>
          <w:highlight w:val="yellow"/>
        </w:rPr>
        <w:t xml:space="preserve">red </w:t>
      </w:r>
      <w:r>
        <w:rPr>
          <w:rFonts w:ascii="Times New Roman" w:hAnsi="Times New Roman"/>
          <w:sz w:val="24"/>
        </w:rPr>
        <w:t xml:space="preserve">in </w:t>
      </w:r>
      <w:r>
        <w:rPr>
          <w:rFonts w:ascii="Times New Roman" w:hAnsi="Times New Roman"/>
          <w:sz w:val="24"/>
          <w:highlight w:val="yellow"/>
        </w:rPr>
        <w:t>Ap</w:t>
      </w:r>
      <w:r>
        <w:rPr>
          <w:rFonts w:ascii="Times New Roman" w:hAnsi="Times New Roman"/>
          <w:sz w:val="24"/>
        </w:rPr>
        <w:t>ril.</w:t>
      </w:r>
    </w:p>
    <w:p w14:paraId="5677AB96" w14:textId="77777777" w:rsidR="0081068B" w:rsidRPr="00B1315D" w:rsidRDefault="0081068B" w:rsidP="00E150EC">
      <w:pPr>
        <w:spacing w:line="360" w:lineRule="auto"/>
        <w:jc w:val="both"/>
        <w:rPr>
          <w:rFonts w:ascii="Times New Roman" w:hAnsi="Times New Roman" w:cs="Times New Roman"/>
          <w:b/>
          <w:bCs/>
          <w:sz w:val="24"/>
          <w:szCs w:val="24"/>
        </w:rPr>
      </w:pPr>
      <w:r>
        <w:rPr>
          <w:rFonts w:ascii="Times New Roman" w:hAnsi="Times New Roman"/>
          <w:b/>
          <w:sz w:val="24"/>
        </w:rPr>
        <w:t xml:space="preserve">3.4 Hepatosomatic </w:t>
      </w:r>
      <w:r>
        <w:rPr>
          <w:rFonts w:ascii="Times New Roman" w:hAnsi="Times New Roman"/>
          <w:b/>
          <w:sz w:val="24"/>
          <w:highlight w:val="yellow"/>
        </w:rPr>
        <w:t>i</w:t>
      </w:r>
      <w:r>
        <w:rPr>
          <w:rFonts w:ascii="Times New Roman" w:hAnsi="Times New Roman"/>
          <w:b/>
          <w:sz w:val="24"/>
        </w:rPr>
        <w:t xml:space="preserve">ndex (HSI) and </w:t>
      </w:r>
      <w:r>
        <w:rPr>
          <w:rFonts w:ascii="Times New Roman" w:hAnsi="Times New Roman"/>
          <w:b/>
          <w:sz w:val="24"/>
          <w:highlight w:val="yellow"/>
        </w:rPr>
        <w:t>c</w:t>
      </w:r>
      <w:r>
        <w:rPr>
          <w:rFonts w:ascii="Times New Roman" w:hAnsi="Times New Roman"/>
          <w:b/>
          <w:sz w:val="24"/>
        </w:rPr>
        <w:t>ondition factor (</w:t>
      </w:r>
      <w:r>
        <w:rPr>
          <w:rFonts w:ascii="Times New Roman" w:hAnsi="Times New Roman"/>
          <w:b/>
          <w:sz w:val="24"/>
          <w:highlight w:val="yellow"/>
        </w:rPr>
        <w:t>K</w:t>
      </w:r>
      <w:r>
        <w:rPr>
          <w:rFonts w:ascii="Times New Roman" w:hAnsi="Times New Roman"/>
          <w:b/>
          <w:sz w:val="24"/>
        </w:rPr>
        <w:t>)</w:t>
      </w:r>
    </w:p>
    <w:p w14:paraId="47FE8BC2" w14:textId="77777777" w:rsidR="0081068B" w:rsidRPr="00B1315D" w:rsidRDefault="0081068B" w:rsidP="00E150EC">
      <w:pPr>
        <w:spacing w:line="360" w:lineRule="auto"/>
        <w:jc w:val="both"/>
        <w:rPr>
          <w:rFonts w:ascii="Times New Roman" w:hAnsi="Times New Roman" w:cs="Times New Roman"/>
          <w:sz w:val="24"/>
          <w:szCs w:val="24"/>
        </w:rPr>
      </w:pPr>
      <w:r>
        <w:rPr>
          <w:rFonts w:ascii="Times New Roman" w:hAnsi="Times New Roman"/>
          <w:sz w:val="24"/>
        </w:rPr>
        <w:t>The monthly v</w:t>
      </w:r>
      <w:r>
        <w:rPr>
          <w:rFonts w:ascii="Times New Roman" w:hAnsi="Times New Roman"/>
          <w:sz w:val="24"/>
          <w:highlight w:val="yellow"/>
        </w:rPr>
        <w:t>aria</w:t>
      </w:r>
      <w:r>
        <w:rPr>
          <w:rFonts w:ascii="Times New Roman" w:hAnsi="Times New Roman"/>
          <w:sz w:val="24"/>
        </w:rPr>
        <w:t xml:space="preserve">tion </w:t>
      </w:r>
      <w:r>
        <w:rPr>
          <w:rFonts w:ascii="Times New Roman" w:hAnsi="Times New Roman"/>
          <w:sz w:val="24"/>
          <w:highlight w:val="yellow"/>
        </w:rPr>
        <w:t>in</w:t>
      </w:r>
      <w:r>
        <w:rPr>
          <w:rFonts w:ascii="Times New Roman" w:hAnsi="Times New Roman"/>
          <w:sz w:val="24"/>
        </w:rPr>
        <w:t xml:space="preserve"> the HSI </w:t>
      </w:r>
      <w:r>
        <w:rPr>
          <w:rFonts w:ascii="Times New Roman" w:hAnsi="Times New Roman"/>
          <w:sz w:val="24"/>
          <w:highlight w:val="yellow"/>
        </w:rPr>
        <w:t>wa</w:t>
      </w:r>
      <w:r>
        <w:rPr>
          <w:rFonts w:ascii="Times New Roman" w:hAnsi="Times New Roman"/>
          <w:sz w:val="24"/>
        </w:rPr>
        <w:t>s similar to that of the G</w:t>
      </w:r>
      <w:r>
        <w:rPr>
          <w:rFonts w:ascii="Times New Roman" w:hAnsi="Times New Roman"/>
          <w:sz w:val="24"/>
          <w:highlight w:val="yellow"/>
        </w:rPr>
        <w:t>S</w:t>
      </w:r>
      <w:r>
        <w:rPr>
          <w:rFonts w:ascii="Times New Roman" w:hAnsi="Times New Roman"/>
          <w:sz w:val="24"/>
        </w:rPr>
        <w:t>I. The HSI curve follow</w:t>
      </w:r>
      <w:r>
        <w:rPr>
          <w:rFonts w:ascii="Times New Roman" w:hAnsi="Times New Roman"/>
          <w:sz w:val="24"/>
          <w:highlight w:val="yellow"/>
        </w:rPr>
        <w:t>ed</w:t>
      </w:r>
      <w:r>
        <w:rPr>
          <w:rFonts w:ascii="Times New Roman" w:hAnsi="Times New Roman"/>
          <w:sz w:val="24"/>
        </w:rPr>
        <w:t xml:space="preserve"> a sawtooth pattern and v</w:t>
      </w:r>
      <w:r>
        <w:rPr>
          <w:rFonts w:ascii="Times New Roman" w:hAnsi="Times New Roman"/>
          <w:sz w:val="24"/>
          <w:highlight w:val="yellow"/>
        </w:rPr>
        <w:t>ari</w:t>
      </w:r>
      <w:r>
        <w:rPr>
          <w:rFonts w:ascii="Times New Roman" w:hAnsi="Times New Roman"/>
          <w:sz w:val="24"/>
        </w:rPr>
        <w:t>e</w:t>
      </w:r>
      <w:r>
        <w:rPr>
          <w:rFonts w:ascii="Times New Roman" w:hAnsi="Times New Roman"/>
          <w:sz w:val="24"/>
          <w:highlight w:val="yellow"/>
        </w:rPr>
        <w:t>d</w:t>
      </w:r>
      <w:r>
        <w:rPr>
          <w:rFonts w:ascii="Times New Roman" w:hAnsi="Times New Roman"/>
          <w:sz w:val="24"/>
        </w:rPr>
        <w:t xml:space="preserve"> in the same direction as the GSI curve (Figure 6).</w:t>
      </w:r>
      <w:r>
        <w:rPr>
          <w:rFonts w:ascii="inherit" w:hAnsi="inherit"/>
          <w:color w:val="1F1F1F"/>
          <w:sz w:val="42"/>
        </w:rPr>
        <w:t xml:space="preserve"> </w:t>
      </w:r>
      <w:r>
        <w:rPr>
          <w:rFonts w:ascii="Times New Roman" w:hAnsi="Times New Roman"/>
          <w:sz w:val="24"/>
        </w:rPr>
        <w:t>The HSI reache</w:t>
      </w:r>
      <w:r>
        <w:rPr>
          <w:rFonts w:ascii="Times New Roman" w:hAnsi="Times New Roman"/>
          <w:sz w:val="24"/>
          <w:highlight w:val="yellow"/>
        </w:rPr>
        <w:t>d</w:t>
      </w:r>
      <w:r>
        <w:rPr>
          <w:rFonts w:ascii="Times New Roman" w:hAnsi="Times New Roman"/>
          <w:sz w:val="24"/>
        </w:rPr>
        <w:t xml:space="preserve"> its maximum value</w:t>
      </w:r>
      <w:r>
        <w:rPr>
          <w:rFonts w:ascii="Times New Roman" w:hAnsi="Times New Roman"/>
          <w:sz w:val="24"/>
          <w:highlight w:val="yellow"/>
        </w:rPr>
        <w:t>s</w:t>
      </w:r>
      <w:r>
        <w:rPr>
          <w:rFonts w:ascii="Times New Roman" w:hAnsi="Times New Roman"/>
          <w:sz w:val="24"/>
        </w:rPr>
        <w:t xml:space="preserve"> in May and October, </w:t>
      </w:r>
      <w:r>
        <w:rPr>
          <w:rFonts w:ascii="Times New Roman" w:hAnsi="Times New Roman"/>
          <w:sz w:val="24"/>
          <w:highlight w:val="yellow"/>
        </w:rPr>
        <w:t>a</w:t>
      </w:r>
      <w:r>
        <w:rPr>
          <w:rFonts w:ascii="Times New Roman" w:hAnsi="Times New Roman"/>
          <w:sz w:val="24"/>
        </w:rPr>
        <w:t>t 1.6 ± 0.66 and 1.8 ± 0.59</w:t>
      </w:r>
      <w:r>
        <w:rPr>
          <w:rFonts w:ascii="Times New Roman" w:hAnsi="Times New Roman"/>
          <w:sz w:val="24"/>
          <w:highlight w:val="yellow"/>
        </w:rPr>
        <w:t>, respectively</w:t>
      </w:r>
      <w:r>
        <w:rPr>
          <w:rFonts w:ascii="Times New Roman" w:hAnsi="Times New Roman"/>
          <w:sz w:val="24"/>
        </w:rPr>
        <w:t>. The minimum HSI value was recorded in June (0.7 ± 0.17).</w:t>
      </w:r>
    </w:p>
    <w:p w14:paraId="0B446B65" w14:textId="77777777" w:rsidR="00860391" w:rsidRPr="00B1315D" w:rsidRDefault="004A6C2D" w:rsidP="00E150EC">
      <w:pPr>
        <w:spacing w:line="360" w:lineRule="auto"/>
        <w:jc w:val="both"/>
        <w:rPr>
          <w:rFonts w:ascii="Times New Roman" w:hAnsi="Times New Roman" w:cs="Times New Roman"/>
          <w:sz w:val="24"/>
          <w:szCs w:val="24"/>
        </w:rPr>
      </w:pPr>
      <w:r w:rsidRPr="00B1315D">
        <w:rPr>
          <w:noProof/>
        </w:rPr>
        <w:drawing>
          <wp:inline distT="0" distB="0" distL="0" distR="0" wp14:anchorId="43DFE854" wp14:editId="7FE0B02F">
            <wp:extent cx="4572000" cy="2819400"/>
            <wp:effectExtent l="0" t="0" r="0" b="0"/>
            <wp:docPr id="1948959799" name="Graphique 1">
              <a:extLst xmlns:a="http://schemas.openxmlformats.org/drawingml/2006/main">
                <a:ext uri="{FF2B5EF4-FFF2-40B4-BE49-F238E27FC236}">
                  <a16:creationId xmlns:a16="http://schemas.microsoft.com/office/drawing/2014/main" id="{02A966F8-FA42-07B4-E00D-CF7DDF5FB2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AD8B3F8" w14:textId="77777777" w:rsidR="004A6C2D" w:rsidRPr="00B1315D" w:rsidRDefault="004A6C2D" w:rsidP="00E150EC">
      <w:pPr>
        <w:spacing w:line="360" w:lineRule="auto"/>
        <w:jc w:val="both"/>
        <w:rPr>
          <w:rFonts w:ascii="Times New Roman" w:hAnsi="Times New Roman" w:cs="Times New Roman"/>
          <w:sz w:val="24"/>
          <w:szCs w:val="24"/>
          <w:lang w:val="en"/>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6</w:t>
      </w:r>
      <w:r w:rsidRPr="00B1315D">
        <w:rPr>
          <w:rFonts w:ascii="Times New Roman" w:hAnsi="Times New Roman" w:cs="Times New Roman"/>
          <w:sz w:val="24"/>
          <w:szCs w:val="24"/>
          <w:lang w:val="en"/>
        </w:rPr>
        <w:t xml:space="preserve">: Monthly variations in the gonadosomatic index (GSI) of female </w:t>
      </w:r>
      <w:r w:rsidRPr="00B1315D">
        <w:rPr>
          <w:rFonts w:ascii="Times New Roman" w:hAnsi="Times New Roman" w:cs="Times New Roman"/>
          <w:i/>
          <w:iCs/>
          <w:sz w:val="24"/>
          <w:szCs w:val="24"/>
          <w:lang w:val="en"/>
        </w:rPr>
        <w:t>O. niloticus</w:t>
      </w:r>
      <w:r w:rsidR="0067405F" w:rsidRPr="00B1315D">
        <w:rPr>
          <w:rFonts w:ascii="Times New Roman" w:hAnsi="Times New Roman" w:cs="Times New Roman"/>
          <w:sz w:val="24"/>
          <w:szCs w:val="24"/>
          <w:lang w:val="en"/>
        </w:rPr>
        <w:t xml:space="preserve"> </w:t>
      </w:r>
      <w:r w:rsidRPr="00B1315D">
        <w:rPr>
          <w:rFonts w:ascii="Times New Roman" w:hAnsi="Times New Roman" w:cs="Times New Roman"/>
          <w:sz w:val="24"/>
          <w:szCs w:val="24"/>
          <w:lang w:val="en"/>
        </w:rPr>
        <w:t>from the Zienkôlô dam lake.</w:t>
      </w:r>
    </w:p>
    <w:p w14:paraId="467D065D" w14:textId="77777777" w:rsidR="0067405F" w:rsidRPr="00B1315D" w:rsidRDefault="0067405F" w:rsidP="00E150EC">
      <w:pPr>
        <w:spacing w:line="360" w:lineRule="auto"/>
        <w:jc w:val="both"/>
        <w:rPr>
          <w:rFonts w:ascii="Times New Roman" w:hAnsi="Times New Roman" w:cs="Times New Roman"/>
          <w:sz w:val="24"/>
          <w:szCs w:val="24"/>
          <w:lang w:val="en"/>
        </w:rPr>
      </w:pPr>
    </w:p>
    <w:p w14:paraId="4569EC63" w14:textId="77777777" w:rsidR="00CA6C0E" w:rsidRPr="00B1315D" w:rsidRDefault="0067405F" w:rsidP="00E150EC">
      <w:pPr>
        <w:spacing w:line="360" w:lineRule="auto"/>
        <w:jc w:val="both"/>
        <w:rPr>
          <w:rFonts w:ascii="Times New Roman" w:hAnsi="Times New Roman" w:cs="Times New Roman"/>
          <w:sz w:val="24"/>
          <w:szCs w:val="24"/>
          <w:lang w:val="en"/>
        </w:rPr>
      </w:pPr>
      <w:r>
        <w:rPr>
          <w:rFonts w:ascii="Times New Roman" w:hAnsi="Times New Roman"/>
          <w:sz w:val="24"/>
        </w:rPr>
        <w:t xml:space="preserve">Figure 7 illustrates the variation in the condition factor of female </w:t>
      </w:r>
      <w:r>
        <w:rPr>
          <w:rFonts w:ascii="Times New Roman" w:hAnsi="Times New Roman"/>
          <w:i/>
          <w:sz w:val="24"/>
        </w:rPr>
        <w:t>O. niloticus</w:t>
      </w:r>
      <w:r>
        <w:rPr>
          <w:rFonts w:ascii="Times New Roman" w:hAnsi="Times New Roman"/>
          <w:sz w:val="24"/>
        </w:rPr>
        <w:t>. The maximum value of the condition factor (</w:t>
      </w:r>
      <w:r>
        <w:rPr>
          <w:rFonts w:ascii="Times New Roman" w:hAnsi="Times New Roman"/>
          <w:sz w:val="24"/>
          <w:highlight w:val="yellow"/>
        </w:rPr>
        <w:t>K</w:t>
      </w:r>
      <w:r>
        <w:rPr>
          <w:rFonts w:ascii="Times New Roman" w:hAnsi="Times New Roman"/>
          <w:sz w:val="24"/>
        </w:rPr>
        <w:t>) was observed in December (2.07 ± 0.17), while the lowest values were recorded in June (1.78 ± 0.18), July (1.52 ± 0.02), and October (1.7 ± 0.25).</w:t>
      </w:r>
    </w:p>
    <w:p w14:paraId="0B9E5A33" w14:textId="77777777" w:rsidR="00FA5EF7" w:rsidRPr="00B1315D" w:rsidRDefault="00FA5EF7" w:rsidP="00E150EC">
      <w:pPr>
        <w:spacing w:line="360" w:lineRule="auto"/>
        <w:jc w:val="both"/>
        <w:rPr>
          <w:rFonts w:ascii="Times New Roman" w:hAnsi="Times New Roman" w:cs="Times New Roman"/>
          <w:sz w:val="24"/>
          <w:szCs w:val="24"/>
        </w:rPr>
      </w:pPr>
      <w:r w:rsidRPr="00B1315D">
        <w:rPr>
          <w:noProof/>
        </w:rPr>
        <w:lastRenderedPageBreak/>
        <w:drawing>
          <wp:inline distT="0" distB="0" distL="0" distR="0" wp14:anchorId="5C41D781" wp14:editId="64F54850">
            <wp:extent cx="4572000" cy="2743200"/>
            <wp:effectExtent l="0" t="0" r="0" b="0"/>
            <wp:docPr id="593337182" name="Graphique 1">
              <a:extLst xmlns:a="http://schemas.openxmlformats.org/drawingml/2006/main">
                <a:ext uri="{FF2B5EF4-FFF2-40B4-BE49-F238E27FC236}">
                  <a16:creationId xmlns:a16="http://schemas.microsoft.com/office/drawing/2014/main" id="{F13D9658-F48D-C6E0-F8A3-78536B0ECA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4F70DE6" w14:textId="77777777" w:rsidR="00FA5EF7" w:rsidRPr="00B1315D" w:rsidRDefault="00FA5EF7" w:rsidP="00E150EC">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lang w:val="en"/>
        </w:rPr>
        <w:t xml:space="preserve">Figure </w:t>
      </w:r>
      <w:r w:rsidR="000D21FF" w:rsidRPr="00B1315D">
        <w:rPr>
          <w:rFonts w:ascii="Times New Roman" w:hAnsi="Times New Roman" w:cs="Times New Roman"/>
          <w:sz w:val="24"/>
          <w:szCs w:val="24"/>
          <w:lang w:val="en"/>
        </w:rPr>
        <w:t>7</w:t>
      </w:r>
      <w:r w:rsidRPr="00B1315D">
        <w:rPr>
          <w:rFonts w:ascii="Times New Roman" w:hAnsi="Times New Roman" w:cs="Times New Roman"/>
          <w:sz w:val="24"/>
          <w:szCs w:val="24"/>
          <w:lang w:val="en"/>
        </w:rPr>
        <w:t xml:space="preserve">: Condition factor (K) of female </w:t>
      </w:r>
      <w:r w:rsidRPr="00B1315D">
        <w:rPr>
          <w:rFonts w:ascii="Times New Roman" w:hAnsi="Times New Roman" w:cs="Times New Roman"/>
          <w:i/>
          <w:iCs/>
          <w:sz w:val="24"/>
          <w:szCs w:val="24"/>
          <w:lang w:val="en"/>
        </w:rPr>
        <w:t>O. niloticus</w:t>
      </w:r>
      <w:r w:rsidRPr="00B1315D">
        <w:rPr>
          <w:rFonts w:ascii="Times New Roman" w:hAnsi="Times New Roman" w:cs="Times New Roman"/>
          <w:sz w:val="24"/>
          <w:szCs w:val="24"/>
          <w:lang w:val="en"/>
        </w:rPr>
        <w:t xml:space="preserve"> from the Zienkôlô reservoir.</w:t>
      </w:r>
    </w:p>
    <w:p w14:paraId="24DD1350" w14:textId="77777777" w:rsidR="008460C2" w:rsidRPr="00B1315D" w:rsidRDefault="004A1D02" w:rsidP="00E150EC">
      <w:pPr>
        <w:spacing w:line="360" w:lineRule="auto"/>
        <w:jc w:val="both"/>
        <w:rPr>
          <w:rFonts w:ascii="Times New Roman" w:hAnsi="Times New Roman" w:cs="Times New Roman"/>
          <w:sz w:val="24"/>
          <w:szCs w:val="24"/>
        </w:rPr>
      </w:pPr>
      <w:r>
        <w:rPr>
          <w:rFonts w:ascii="Times New Roman" w:hAnsi="Times New Roman"/>
          <w:sz w:val="24"/>
        </w:rPr>
        <w:t>Comparison of the monthly variation curves for the GSI and HSI showed that these two indices v</w:t>
      </w:r>
      <w:r>
        <w:rPr>
          <w:rFonts w:ascii="Times New Roman" w:hAnsi="Times New Roman"/>
          <w:sz w:val="24"/>
          <w:highlight w:val="yellow"/>
        </w:rPr>
        <w:t>ari</w:t>
      </w:r>
      <w:r>
        <w:rPr>
          <w:rFonts w:ascii="Times New Roman" w:hAnsi="Times New Roman"/>
          <w:sz w:val="24"/>
        </w:rPr>
        <w:t>e</w:t>
      </w:r>
      <w:r>
        <w:rPr>
          <w:rFonts w:ascii="Times New Roman" w:hAnsi="Times New Roman"/>
          <w:sz w:val="24"/>
          <w:highlight w:val="yellow"/>
        </w:rPr>
        <w:t>d</w:t>
      </w:r>
      <w:r>
        <w:rPr>
          <w:rFonts w:ascii="Times New Roman" w:hAnsi="Times New Roman"/>
          <w:sz w:val="24"/>
        </w:rPr>
        <w:t xml:space="preserve"> sync</w:t>
      </w:r>
      <w:r>
        <w:rPr>
          <w:rFonts w:ascii="Times New Roman" w:hAnsi="Times New Roman"/>
          <w:sz w:val="24"/>
          <w:highlight w:val="yellow"/>
        </w:rPr>
        <w:t>hronously</w:t>
      </w:r>
      <w:r>
        <w:rPr>
          <w:rFonts w:ascii="Times New Roman" w:hAnsi="Times New Roman"/>
          <w:sz w:val="24"/>
        </w:rPr>
        <w:t>.</w:t>
      </w:r>
      <w:r>
        <w:rPr>
          <w:rFonts w:ascii="inherit" w:hAnsi="inherit"/>
          <w:color w:val="1F1F1F"/>
          <w:sz w:val="42"/>
        </w:rPr>
        <w:t xml:space="preserve"> </w:t>
      </w:r>
      <w:r>
        <w:rPr>
          <w:rFonts w:ascii="Times New Roman" w:hAnsi="Times New Roman"/>
          <w:sz w:val="24"/>
        </w:rPr>
        <w:t>The peak of the GSI coincide</w:t>
      </w:r>
      <w:r>
        <w:rPr>
          <w:rFonts w:ascii="Times New Roman" w:hAnsi="Times New Roman"/>
          <w:sz w:val="24"/>
          <w:highlight w:val="yellow"/>
        </w:rPr>
        <w:t>d</w:t>
      </w:r>
      <w:r>
        <w:rPr>
          <w:rFonts w:ascii="Times New Roman" w:hAnsi="Times New Roman"/>
          <w:sz w:val="24"/>
        </w:rPr>
        <w:t xml:space="preserve"> with that of the HSI. The increase in liver weight </w:t>
      </w:r>
      <w:r>
        <w:rPr>
          <w:rFonts w:ascii="Times New Roman" w:hAnsi="Times New Roman"/>
          <w:sz w:val="24"/>
          <w:highlight w:val="yellow"/>
        </w:rPr>
        <w:t>wa</w:t>
      </w:r>
      <w:r>
        <w:rPr>
          <w:rFonts w:ascii="Times New Roman" w:hAnsi="Times New Roman"/>
          <w:sz w:val="24"/>
        </w:rPr>
        <w:t xml:space="preserve">s linked to the </w:t>
      </w:r>
      <w:r>
        <w:rPr>
          <w:rFonts w:ascii="Times New Roman" w:hAnsi="Times New Roman"/>
          <w:sz w:val="24"/>
          <w:highlight w:val="yellow"/>
        </w:rPr>
        <w:t>inc</w:t>
      </w:r>
      <w:r>
        <w:rPr>
          <w:rFonts w:ascii="Times New Roman" w:hAnsi="Times New Roman"/>
          <w:sz w:val="24"/>
        </w:rPr>
        <w:t>r</w:t>
      </w:r>
      <w:r>
        <w:rPr>
          <w:rFonts w:ascii="Times New Roman" w:hAnsi="Times New Roman"/>
          <w:sz w:val="24"/>
          <w:highlight w:val="yellow"/>
        </w:rPr>
        <w:t>ea</w:t>
      </w:r>
      <w:r>
        <w:rPr>
          <w:rFonts w:ascii="Times New Roman" w:hAnsi="Times New Roman"/>
          <w:sz w:val="24"/>
        </w:rPr>
        <w:t xml:space="preserve">se in reproductive activity. This result </w:t>
      </w:r>
      <w:r>
        <w:rPr>
          <w:rFonts w:ascii="Times New Roman" w:hAnsi="Times New Roman"/>
          <w:sz w:val="24"/>
          <w:highlight w:val="yellow"/>
        </w:rPr>
        <w:t>indicate</w:t>
      </w:r>
      <w:r>
        <w:rPr>
          <w:rFonts w:ascii="Times New Roman" w:hAnsi="Times New Roman"/>
          <w:sz w:val="24"/>
        </w:rPr>
        <w:t xml:space="preserve">s that </w:t>
      </w:r>
      <w:r>
        <w:rPr>
          <w:rFonts w:ascii="Times New Roman" w:hAnsi="Times New Roman"/>
          <w:i/>
          <w:sz w:val="24"/>
        </w:rPr>
        <w:t>O. niloticus</w:t>
      </w:r>
      <w:r>
        <w:rPr>
          <w:rFonts w:ascii="Times New Roman" w:hAnsi="Times New Roman"/>
          <w:sz w:val="24"/>
        </w:rPr>
        <w:t xml:space="preserve"> is a fatty fish. It stores energy reserves in the muscles, perivisceral mesenteries, and under the skin. These reserves are then transferred to the liver and gonads to meet energy requirements during the reproductive period, which accounts for the low condition factor observed during this </w:t>
      </w:r>
      <w:r>
        <w:rPr>
          <w:rFonts w:ascii="Times New Roman" w:hAnsi="Times New Roman"/>
          <w:sz w:val="24"/>
          <w:highlight w:val="yellow"/>
        </w:rPr>
        <w:t>per</w:t>
      </w:r>
      <w:r>
        <w:rPr>
          <w:rFonts w:ascii="Times New Roman" w:hAnsi="Times New Roman"/>
          <w:sz w:val="24"/>
        </w:rPr>
        <w:t>i</w:t>
      </w:r>
      <w:r>
        <w:rPr>
          <w:rFonts w:ascii="Times New Roman" w:hAnsi="Times New Roman"/>
          <w:sz w:val="24"/>
          <w:highlight w:val="yellow"/>
        </w:rPr>
        <w:t>od</w:t>
      </w:r>
      <w:r>
        <w:rPr>
          <w:rFonts w:ascii="Times New Roman" w:hAnsi="Times New Roman"/>
          <w:sz w:val="24"/>
        </w:rPr>
        <w:t xml:space="preserve"> (Djadji et al.</w:t>
      </w:r>
      <w:r>
        <w:rPr>
          <w:rFonts w:ascii="Times New Roman" w:hAnsi="Times New Roman"/>
          <w:sz w:val="24"/>
          <w:highlight w:val="yellow"/>
        </w:rPr>
        <w:t>,</w:t>
      </w:r>
      <w:r>
        <w:rPr>
          <w:rFonts w:ascii="Times New Roman" w:hAnsi="Times New Roman"/>
          <w:sz w:val="24"/>
        </w:rPr>
        <w:t xml:space="preserve"> 2013).</w:t>
      </w:r>
    </w:p>
    <w:p w14:paraId="503AA6F9" w14:textId="77777777" w:rsidR="002F73A9" w:rsidRPr="00B1315D" w:rsidRDefault="008460C2" w:rsidP="00E150EC">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4. Conclusion</w:t>
      </w:r>
    </w:p>
    <w:p w14:paraId="6D809662" w14:textId="77777777" w:rsidR="00CB2623" w:rsidRDefault="00CB2623" w:rsidP="00E150EC">
      <w:pPr>
        <w:pStyle w:val="NormalWeb"/>
        <w:jc w:val="both"/>
      </w:pPr>
      <w:r w:rsidRPr="002441F3">
        <w:rPr>
          <w:highlight w:val="yellow"/>
        </w:rPr>
        <w:t xml:space="preserve">This study </w:t>
      </w:r>
      <w:proofErr w:type="spellStart"/>
      <w:r w:rsidRPr="002441F3">
        <w:rPr>
          <w:highlight w:val="yellow"/>
        </w:rPr>
        <w:t>characterised</w:t>
      </w:r>
      <w:proofErr w:type="spellEnd"/>
      <w:r w:rsidRPr="002441F3">
        <w:rPr>
          <w:highlight w:val="yellow"/>
        </w:rPr>
        <w:t xml:space="preserve"> key reproductive features of </w:t>
      </w:r>
      <w:r w:rsidRPr="002441F3">
        <w:rPr>
          <w:rStyle w:val="Emphasis"/>
          <w:highlight w:val="yellow"/>
        </w:rPr>
        <w:t>Oreochromis niloticus</w:t>
      </w:r>
      <w:r w:rsidRPr="002441F3">
        <w:rPr>
          <w:highlight w:val="yellow"/>
        </w:rPr>
        <w:t xml:space="preserve"> in the </w:t>
      </w:r>
      <w:proofErr w:type="spellStart"/>
      <w:r w:rsidRPr="002441F3">
        <w:rPr>
          <w:highlight w:val="yellow"/>
        </w:rPr>
        <w:t>Zienkôlô</w:t>
      </w:r>
      <w:proofErr w:type="spellEnd"/>
      <w:r w:rsidRPr="002441F3">
        <w:rPr>
          <w:highlight w:val="yellow"/>
        </w:rPr>
        <w:t xml:space="preserve"> dam lake over an annual sampling cycle. The sampled population contained more males than females, and the overall sex distribution differed significantly from the theoretical 1:1 ratio. Females attained the estimated size at first sexual maturity at 11.81 cm total length, whereas males attained maturity at 14 cm. Monthly changes in female maturity stages and the gonadosomatic index indicated reproductive activity throughout the year, with comparatively greater activity in May and October. The hepatosomatic index showed a broadly similar temporal pattern, while the condition factor varied among months. Together, these observations provide baseline information on the temporal reproductive pattern and maturity characteristics of Nile tilapia in this reservoir. The findings may support subsequent assessments of population dynamics and local fishery management. However, recommendations concerning minimum capture size or fishing-gear selectivity should be based on additional population-level and gear-selectivity evidence rather than on the present reproductive observations alone.</w:t>
      </w:r>
    </w:p>
    <w:p w14:paraId="025E5C4A" w14:textId="57DEF955" w:rsidR="002441F3" w:rsidRPr="002441F3" w:rsidRDefault="002441F3" w:rsidP="00E150EC">
      <w:pPr>
        <w:pStyle w:val="NormalWeb"/>
        <w:jc w:val="both"/>
        <w:rPr>
          <w:b/>
          <w:bCs/>
        </w:rPr>
      </w:pPr>
      <w:r w:rsidRPr="002441F3">
        <w:rPr>
          <w:b/>
          <w:bCs/>
        </w:rPr>
        <w:t xml:space="preserve">Limitations </w:t>
      </w:r>
    </w:p>
    <w:p w14:paraId="7771F020" w14:textId="77777777" w:rsidR="002441F3" w:rsidRDefault="002441F3" w:rsidP="00E150EC">
      <w:pPr>
        <w:pStyle w:val="NormalWeb"/>
        <w:jc w:val="both"/>
      </w:pPr>
      <w:r>
        <w:t xml:space="preserve">Sampling covered a single annual cycle, and specimens were obtained through artisanal fishing using gillnets and cast nets. Accordingly, the findings describe the reproductive characteristics </w:t>
      </w:r>
      <w:r>
        <w:lastRenderedPageBreak/>
        <w:t>of the sampled population and period rather than long-term interannual variability. The study focused on sex ratio, size at first maturity, GSI, HSI, maturity stages, and condition factor; therefore, additional population-level and gear-selectivity evidence would be required before specific management thresholds are established.</w:t>
      </w:r>
    </w:p>
    <w:p w14:paraId="22F77F82" w14:textId="77777777" w:rsidR="002441F3" w:rsidRDefault="002441F3" w:rsidP="00E150EC">
      <w:pPr>
        <w:pStyle w:val="NormalWeb"/>
        <w:jc w:val="both"/>
      </w:pPr>
    </w:p>
    <w:p w14:paraId="14559FB4" w14:textId="77777777" w:rsidR="00B1315D" w:rsidRDefault="00B1315D" w:rsidP="00E150EC">
      <w:pPr>
        <w:spacing w:after="0" w:line="240" w:lineRule="auto"/>
        <w:jc w:val="both"/>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33DC8B24" w14:textId="77777777" w:rsidR="00B1315D" w:rsidRDefault="00B1315D" w:rsidP="00E150EC">
      <w:pPr>
        <w:spacing w:after="0" w:line="240" w:lineRule="auto"/>
        <w:jc w:val="both"/>
        <w:rPr>
          <w:rFonts w:ascii="Times New Roman" w:hAnsi="Times New Roman" w:cs="Times New Roman"/>
          <w:b/>
        </w:rPr>
      </w:pPr>
    </w:p>
    <w:p w14:paraId="2ED2BA3F" w14:textId="77777777" w:rsidR="00B1315D" w:rsidRDefault="00B1315D" w:rsidP="00E150EC">
      <w:pPr>
        <w:spacing w:after="0" w:line="240" w:lineRule="auto"/>
        <w:jc w:val="both"/>
        <w:rPr>
          <w:rFonts w:ascii="Times New Roman" w:hAnsi="Times New Roman" w:cs="Times New Roman"/>
          <w:b/>
        </w:rPr>
      </w:pPr>
    </w:p>
    <w:p w14:paraId="653FD861" w14:textId="77777777" w:rsidR="00B1315D" w:rsidRDefault="00B1315D" w:rsidP="00E150EC">
      <w:pPr>
        <w:spacing w:after="0" w:line="240" w:lineRule="auto"/>
        <w:jc w:val="both"/>
        <w:rPr>
          <w:rFonts w:ascii="Times New Roman" w:hAnsi="Times New Roman" w:cs="Times New Roman"/>
          <w:b/>
        </w:rPr>
      </w:pPr>
    </w:p>
    <w:p w14:paraId="5D5CE4BE" w14:textId="77777777" w:rsidR="00B1315D" w:rsidRPr="002D08AC" w:rsidRDefault="00B1315D" w:rsidP="00E150EC">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FC02F41" w14:textId="77777777" w:rsidR="00B1315D" w:rsidRPr="00B1315D" w:rsidRDefault="00B1315D" w:rsidP="00E150EC">
      <w:pPr>
        <w:spacing w:line="360" w:lineRule="auto"/>
        <w:jc w:val="both"/>
        <w:rPr>
          <w:rFonts w:ascii="Times New Roman" w:hAnsi="Times New Roman" w:cs="Times New Roman"/>
          <w:sz w:val="24"/>
          <w:szCs w:val="24"/>
        </w:rPr>
      </w:pPr>
    </w:p>
    <w:p w14:paraId="1AE1AF7A" w14:textId="77777777" w:rsidR="00AC120B" w:rsidRPr="00B1315D" w:rsidRDefault="00AC120B" w:rsidP="00E150EC">
      <w:pPr>
        <w:spacing w:line="360" w:lineRule="auto"/>
        <w:jc w:val="both"/>
        <w:rPr>
          <w:rFonts w:ascii="Times New Roman" w:hAnsi="Times New Roman" w:cs="Times New Roman"/>
          <w:sz w:val="24"/>
          <w:szCs w:val="24"/>
        </w:rPr>
      </w:pPr>
      <w:r w:rsidRPr="00B1315D">
        <w:rPr>
          <w:rFonts w:ascii="Times New Roman" w:hAnsi="Times New Roman" w:cs="Times New Roman"/>
          <w:b/>
          <w:bCs/>
          <w:sz w:val="24"/>
          <w:szCs w:val="24"/>
        </w:rPr>
        <w:t xml:space="preserve">Competing Interests </w:t>
      </w:r>
    </w:p>
    <w:p w14:paraId="5F158D25" w14:textId="77777777" w:rsidR="00AC120B" w:rsidRPr="00B1315D" w:rsidRDefault="00AC120B" w:rsidP="00E150EC">
      <w:pPr>
        <w:spacing w:line="360" w:lineRule="auto"/>
        <w:jc w:val="both"/>
        <w:rPr>
          <w:rFonts w:ascii="Times New Roman" w:hAnsi="Times New Roman" w:cs="Times New Roman"/>
          <w:sz w:val="24"/>
          <w:szCs w:val="24"/>
        </w:rPr>
      </w:pPr>
      <w:r w:rsidRPr="00B1315D">
        <w:rPr>
          <w:rFonts w:ascii="Times New Roman" w:hAnsi="Times New Roman" w:cs="Times New Roman"/>
          <w:sz w:val="24"/>
          <w:szCs w:val="24"/>
        </w:rPr>
        <w:t>Authors have declared that no competing interests exist.</w:t>
      </w:r>
    </w:p>
    <w:p w14:paraId="58D4BCA0" w14:textId="77777777" w:rsidR="00274DEF" w:rsidRPr="00B1315D" w:rsidRDefault="00274DEF" w:rsidP="00E150EC">
      <w:pPr>
        <w:spacing w:line="360" w:lineRule="auto"/>
        <w:jc w:val="both"/>
        <w:rPr>
          <w:rFonts w:ascii="Times New Roman" w:hAnsi="Times New Roman" w:cs="Times New Roman"/>
          <w:b/>
          <w:bCs/>
          <w:sz w:val="24"/>
          <w:szCs w:val="24"/>
        </w:rPr>
      </w:pPr>
      <w:r w:rsidRPr="00B1315D">
        <w:rPr>
          <w:rFonts w:ascii="Times New Roman" w:hAnsi="Times New Roman" w:cs="Times New Roman"/>
          <w:b/>
          <w:bCs/>
          <w:sz w:val="24"/>
          <w:szCs w:val="24"/>
        </w:rPr>
        <w:t>References</w:t>
      </w:r>
    </w:p>
    <w:p w14:paraId="74552D73" w14:textId="77777777" w:rsidR="003E70AB" w:rsidRDefault="00000000" w:rsidP="00E150EC">
      <w:pPr>
        <w:spacing w:after="0"/>
        <w:jc w:val="both"/>
      </w:pPr>
      <w:r>
        <w:rPr>
          <w:highlight w:val="yellow"/>
        </w:rPr>
        <w:t>Abdalla, M. Y. M., Abd Elhalim, A. E. I., Shuaib, M. E. K., Hamid, A. M., Sati, N. A., Elhassan, M. M., &amp; Adam, A. E.-B. (2024). A study of age, sex ratio, gonadosomatic index, fecundity, and breeding season of Nile tilapia (</w:t>
      </w:r>
      <w:r>
        <w:rPr>
          <w:i/>
          <w:highlight w:val="yellow"/>
        </w:rPr>
        <w:t>Oreochromis niloticus</w:t>
      </w:r>
      <w:r>
        <w:rPr>
          <w:highlight w:val="yellow"/>
        </w:rPr>
        <w:t xml:space="preserve"> Linnaeus, 1758) from Khashm El-Girba Reservoir and Atbara River, Eastern Sudan. </w:t>
      </w:r>
      <w:r>
        <w:rPr>
          <w:i/>
          <w:highlight w:val="yellow"/>
        </w:rPr>
        <w:t>Asian Journal of Research in Zoology, 7</w:t>
      </w:r>
      <w:r>
        <w:rPr>
          <w:highlight w:val="yellow"/>
        </w:rPr>
        <w:t>(3), 28–46. https://doi.org/10.9734/ajriz/2024/v7i3154</w:t>
      </w:r>
    </w:p>
    <w:p w14:paraId="02BD8121" w14:textId="77777777" w:rsidR="003E70AB" w:rsidRDefault="00000000" w:rsidP="00E150EC">
      <w:pPr>
        <w:spacing w:after="0"/>
        <w:jc w:val="both"/>
      </w:pPr>
      <w:r>
        <w:rPr>
          <w:highlight w:val="yellow"/>
        </w:rPr>
        <w:t xml:space="preserve">Aka-Koffi, N. M. (2003). </w:t>
      </w:r>
      <w:r>
        <w:rPr>
          <w:i/>
          <w:highlight w:val="yellow"/>
        </w:rPr>
        <w:t>Zooplancton des petits lacs de barrage du nord et du centre de la Côte d’Ivoire: Communautés, biomasses, relations trophiques et impact de la prédation par les larves de chaoborus et des poissons</w:t>
      </w:r>
      <w:r>
        <w:rPr>
          <w:highlight w:val="yellow"/>
        </w:rPr>
        <w:t xml:space="preserve"> [Zooplankton of small reservoir lakes in northern and central Côte d’Ivoire: Communities, biomass, trophic relationships, and the impact of predation by Chaoborus larvae and fish] [Doctoral dissertation, Université d’Abobo-Adjamé].</w:t>
      </w:r>
    </w:p>
    <w:p w14:paraId="3B0F7547" w14:textId="77777777" w:rsidR="003E70AB" w:rsidRDefault="00000000" w:rsidP="00E150EC">
      <w:pPr>
        <w:spacing w:after="0"/>
        <w:jc w:val="both"/>
      </w:pPr>
      <w:r>
        <w:rPr>
          <w:highlight w:val="yellow"/>
        </w:rPr>
        <w:t xml:space="preserve">Akonkwa, B., Ahouansou Montcho, S., Muderhwa, N., &amp; Lalèyè, P. (2016). Quelques aspects de la reproduction des poissons du lac Kivu [Some aspects of fish reproduction in Lake Kivu]. </w:t>
      </w:r>
      <w:r>
        <w:rPr>
          <w:i/>
          <w:highlight w:val="yellow"/>
        </w:rPr>
        <w:t>Afrique Science, 12</w:t>
      </w:r>
      <w:r>
        <w:rPr>
          <w:highlight w:val="yellow"/>
        </w:rPr>
        <w:t>(4), 240–255.</w:t>
      </w:r>
    </w:p>
    <w:p w14:paraId="5B12F7AA" w14:textId="77777777" w:rsidR="003E70AB" w:rsidRDefault="00000000" w:rsidP="00E150EC">
      <w:pPr>
        <w:spacing w:after="0"/>
        <w:jc w:val="both"/>
      </w:pPr>
      <w:r>
        <w:rPr>
          <w:highlight w:val="yellow"/>
        </w:rPr>
        <w:t xml:space="preserve">Amenzoui, K. (2010). </w:t>
      </w:r>
      <w:r>
        <w:rPr>
          <w:i/>
          <w:highlight w:val="yellow"/>
        </w:rPr>
        <w:t>Variabilité des caractéristiques biologiques de la sardine, Sardina pilchardus (Walbaum, 1792) exploitée au niveau des zones de Safi, Agadir et Laâyoune (côtes atlantiques marocaines)</w:t>
      </w:r>
      <w:r>
        <w:rPr>
          <w:highlight w:val="yellow"/>
        </w:rPr>
        <w:t xml:space="preserve"> [Variability of the biological characteristics of the sardine, </w:t>
      </w:r>
      <w:r>
        <w:rPr>
          <w:i/>
          <w:highlight w:val="yellow"/>
        </w:rPr>
        <w:t>Sardina pilchardus</w:t>
      </w:r>
      <w:r>
        <w:rPr>
          <w:highlight w:val="yellow"/>
        </w:rPr>
        <w:t xml:space="preserve"> (Walbaum, 1792), exploited in the Safi, Agadir, and Laâyoune zones (Moroccan Atlantic coast)] [Doctoral dissertation, Université Mohammed V–Agdal]. https://doi.org/10.83129/toubkal-14625</w:t>
      </w:r>
    </w:p>
    <w:p w14:paraId="01B4218F" w14:textId="77777777" w:rsidR="003E70AB" w:rsidRDefault="00000000" w:rsidP="00E150EC">
      <w:pPr>
        <w:spacing w:after="0"/>
        <w:jc w:val="both"/>
      </w:pPr>
      <w:r>
        <w:rPr>
          <w:highlight w:val="yellow"/>
        </w:rPr>
        <w:t xml:space="preserve">Atsé, B. C., Konan, K. J., &amp; Kouassi, N. J. (2009). Biologie de la reproduction du Cichlidae </w:t>
      </w:r>
      <w:r>
        <w:rPr>
          <w:i/>
          <w:highlight w:val="yellow"/>
        </w:rPr>
        <w:t>Tylochromis jentinki</w:t>
      </w:r>
      <w:r>
        <w:rPr>
          <w:highlight w:val="yellow"/>
        </w:rPr>
        <w:t xml:space="preserve"> dans la lagune Ébrié (Côte d’Ivoire). </w:t>
      </w:r>
      <w:r>
        <w:rPr>
          <w:i/>
          <w:highlight w:val="yellow"/>
        </w:rPr>
        <w:t>Cybium, 33</w:t>
      </w:r>
      <w:r>
        <w:rPr>
          <w:highlight w:val="yellow"/>
        </w:rPr>
        <w:t>(1), 11–19. https://doi.org/10.26028/cybium/2009-331-002</w:t>
      </w:r>
    </w:p>
    <w:p w14:paraId="76781488" w14:textId="77777777" w:rsidR="003E70AB" w:rsidRDefault="00000000" w:rsidP="00E150EC">
      <w:pPr>
        <w:spacing w:after="0"/>
        <w:jc w:val="both"/>
      </w:pPr>
      <w:r>
        <w:rPr>
          <w:highlight w:val="yellow"/>
        </w:rPr>
        <w:t xml:space="preserve">Boussou, K. C. (2013). </w:t>
      </w:r>
      <w:r>
        <w:rPr>
          <w:i/>
          <w:highlight w:val="yellow"/>
        </w:rPr>
        <w:t>Variations morphométriques, biologie et écologie du Cichlidae Chromidotilapia guntheri (Sauvage, 1882) dans des hydrosystèmes de l’Est et du Sud de la Côte d’Ivoire</w:t>
      </w:r>
      <w:r>
        <w:rPr>
          <w:highlight w:val="yellow"/>
        </w:rPr>
        <w:t xml:space="preserve"> [Doctoral dissertation, Université Nangui Abrogoua].</w:t>
      </w:r>
    </w:p>
    <w:p w14:paraId="77B89E57" w14:textId="77777777" w:rsidR="003E70AB" w:rsidRDefault="00000000" w:rsidP="00E150EC">
      <w:pPr>
        <w:spacing w:after="0"/>
        <w:jc w:val="both"/>
      </w:pPr>
      <w:r>
        <w:rPr>
          <w:highlight w:val="yellow"/>
        </w:rPr>
        <w:t xml:space="preserve">Cecchi, P. (Ed.). (2007). </w:t>
      </w:r>
      <w:r>
        <w:rPr>
          <w:i/>
          <w:highlight w:val="yellow"/>
        </w:rPr>
        <w:t>L’eau en partage: Les petits barrages de Côte d’Ivoire</w:t>
      </w:r>
      <w:r>
        <w:rPr>
          <w:highlight w:val="yellow"/>
        </w:rPr>
        <w:t>. IRD Éditions. https://doi.org/10.4000/books.irdeditions.5558</w:t>
      </w:r>
    </w:p>
    <w:p w14:paraId="009F66F8" w14:textId="77777777" w:rsidR="003E70AB" w:rsidRDefault="00000000" w:rsidP="00E150EC">
      <w:pPr>
        <w:spacing w:after="0"/>
        <w:jc w:val="both"/>
      </w:pPr>
      <w:r>
        <w:rPr>
          <w:highlight w:val="yellow"/>
        </w:rPr>
        <w:lastRenderedPageBreak/>
        <w:t xml:space="preserve">Chikou, A. (2006). </w:t>
      </w:r>
      <w:r>
        <w:rPr>
          <w:i/>
          <w:highlight w:val="yellow"/>
        </w:rPr>
        <w:t>Étude de la démographie et de l’exploitation halieutique de six espèces de poissons-chats (Teleostei, Siluriformes) dans le delta de l’Ouémé au Bénin</w:t>
      </w:r>
      <w:r>
        <w:rPr>
          <w:highlight w:val="yellow"/>
        </w:rPr>
        <w:t xml:space="preserve"> [Doctoral dissertation, Université de Liège]. https://orbi.uliege.be/handle/2268/315042</w:t>
      </w:r>
    </w:p>
    <w:p w14:paraId="7E3DF934" w14:textId="77777777" w:rsidR="003E70AB" w:rsidRDefault="00000000" w:rsidP="00E150EC">
      <w:pPr>
        <w:spacing w:after="0"/>
        <w:jc w:val="both"/>
      </w:pPr>
      <w:r>
        <w:rPr>
          <w:highlight w:val="yellow"/>
        </w:rPr>
        <w:t xml:space="preserve">Dhraïef, M. N., Azaza, M. S., &amp; Kraïem, M. M. (2010). Étude de la reproduction du tilapia du Nil </w:t>
      </w:r>
      <w:r>
        <w:rPr>
          <w:i/>
          <w:highlight w:val="yellow"/>
        </w:rPr>
        <w:t>Oreochromis niloticus</w:t>
      </w:r>
      <w:r>
        <w:rPr>
          <w:highlight w:val="yellow"/>
        </w:rPr>
        <w:t xml:space="preserve"> (L.) en captivité dans les eaux géothermales du sud tunisien. </w:t>
      </w:r>
      <w:r>
        <w:rPr>
          <w:i/>
          <w:highlight w:val="yellow"/>
        </w:rPr>
        <w:t>Bulletin de l’Institut National des Sciences et Technologies de la Mer, 37</w:t>
      </w:r>
      <w:r>
        <w:rPr>
          <w:highlight w:val="yellow"/>
        </w:rPr>
        <w:t>, 89–96.</w:t>
      </w:r>
    </w:p>
    <w:p w14:paraId="2A8E3A2D" w14:textId="77777777" w:rsidR="003E70AB" w:rsidRDefault="00000000" w:rsidP="00E150EC">
      <w:pPr>
        <w:spacing w:after="0"/>
        <w:jc w:val="both"/>
      </w:pPr>
      <w:r>
        <w:rPr>
          <w:highlight w:val="yellow"/>
        </w:rPr>
        <w:t xml:space="preserve">Djadji, E. L. G., Atsé, B. C., Sylla, S., Konan, J. K., &amp; Kouassi, J. N. (2013). Reproduction du Mugilidae </w:t>
      </w:r>
      <w:r>
        <w:rPr>
          <w:i/>
          <w:highlight w:val="yellow"/>
        </w:rPr>
        <w:t>Mugil cephalus</w:t>
      </w:r>
      <w:r>
        <w:rPr>
          <w:highlight w:val="yellow"/>
        </w:rPr>
        <w:t xml:space="preserve"> Linné, 1758 dans deux complexes lagunaires (lagunes Ébrié et de Grand-Lahou) de la Côte d’Ivoire. </w:t>
      </w:r>
      <w:r>
        <w:rPr>
          <w:i/>
          <w:highlight w:val="yellow"/>
        </w:rPr>
        <w:t>International Journal of Biological and Chemical Sciences, 7</w:t>
      </w:r>
      <w:r>
        <w:rPr>
          <w:highlight w:val="yellow"/>
        </w:rPr>
        <w:t>(4), 1701–1716. https://doi.org/10.4314/ijbcs.v7i4.25</w:t>
      </w:r>
    </w:p>
    <w:p w14:paraId="2D5AA026" w14:textId="77777777" w:rsidR="003E70AB" w:rsidRDefault="00000000" w:rsidP="00E150EC">
      <w:pPr>
        <w:spacing w:after="0"/>
        <w:jc w:val="both"/>
      </w:pPr>
      <w:r>
        <w:rPr>
          <w:highlight w:val="yellow"/>
        </w:rPr>
        <w:t xml:space="preserve">Domain, F., Chavance, P., &amp; Bah, A. (2000). Notes sur la reproduction des espèces démersales du peuplement côtier guinéen [Notes on the reproduction of demersal species in the Guinean coastal fish assemblage]. In F. Domain, P. Chavance, &amp; A. Diallo (Eds.), </w:t>
      </w:r>
      <w:r>
        <w:rPr>
          <w:i/>
          <w:highlight w:val="yellow"/>
        </w:rPr>
        <w:t>La pêche côtière en Guinée: Ressources et exploitation</w:t>
      </w:r>
      <w:r>
        <w:rPr>
          <w:highlight w:val="yellow"/>
        </w:rPr>
        <w:t xml:space="preserve"> (pp. 159–171). CNSHB; IRD.</w:t>
      </w:r>
    </w:p>
    <w:p w14:paraId="08BE9671" w14:textId="77777777" w:rsidR="003E70AB" w:rsidRDefault="00000000" w:rsidP="00E150EC">
      <w:pPr>
        <w:spacing w:after="0"/>
        <w:jc w:val="both"/>
      </w:pPr>
      <w:r>
        <w:rPr>
          <w:highlight w:val="yellow"/>
        </w:rPr>
        <w:t xml:space="preserve">Fehri-Bedoui, R., Gharbi, H., &amp; El Abed, A. (2002). Période de reproduction et maturité sexuelle de </w:t>
      </w:r>
      <w:r>
        <w:rPr>
          <w:i/>
          <w:highlight w:val="yellow"/>
        </w:rPr>
        <w:t>Liza aurata</w:t>
      </w:r>
      <w:r>
        <w:rPr>
          <w:highlight w:val="yellow"/>
        </w:rPr>
        <w:t xml:space="preserve"> (poisson, Mugilidae) des côtes Est et Sud tunisiennes [Reproductive period and sexual maturity of </w:t>
      </w:r>
      <w:r>
        <w:rPr>
          <w:i/>
          <w:highlight w:val="yellow"/>
        </w:rPr>
        <w:t>Liza aurata</w:t>
      </w:r>
      <w:r>
        <w:rPr>
          <w:highlight w:val="yellow"/>
        </w:rPr>
        <w:t xml:space="preserve"> (Mugilidae) off the east and south coasts of Tunisia]. </w:t>
      </w:r>
      <w:r>
        <w:rPr>
          <w:i/>
          <w:highlight w:val="yellow"/>
        </w:rPr>
        <w:t>Bulletin de l’Institut National des Sciences et Technologies de la Mer, 29</w:t>
      </w:r>
      <w:r>
        <w:rPr>
          <w:highlight w:val="yellow"/>
        </w:rPr>
        <w:t>, 11–15.</w:t>
      </w:r>
    </w:p>
    <w:p w14:paraId="129E2F37" w14:textId="77777777" w:rsidR="003E70AB" w:rsidRDefault="00000000" w:rsidP="00E150EC">
      <w:pPr>
        <w:spacing w:after="0"/>
        <w:jc w:val="both"/>
      </w:pPr>
      <w:r>
        <w:rPr>
          <w:highlight w:val="yellow"/>
        </w:rPr>
        <w:t xml:space="preserve">Fontana, A. (1969). Étude de la maturité sexuelle des sardinelles </w:t>
      </w:r>
      <w:r>
        <w:rPr>
          <w:i/>
          <w:highlight w:val="yellow"/>
        </w:rPr>
        <w:t>Sardinella eba</w:t>
      </w:r>
      <w:r>
        <w:rPr>
          <w:highlight w:val="yellow"/>
        </w:rPr>
        <w:t xml:space="preserve"> et </w:t>
      </w:r>
      <w:r>
        <w:rPr>
          <w:i/>
          <w:highlight w:val="yellow"/>
        </w:rPr>
        <w:t>Sardinella aurita</w:t>
      </w:r>
      <w:r>
        <w:rPr>
          <w:highlight w:val="yellow"/>
        </w:rPr>
        <w:t xml:space="preserve"> de la région de Pointe-Noire [Study of the sexual maturity of the sardinellas </w:t>
      </w:r>
      <w:r>
        <w:rPr>
          <w:i/>
          <w:highlight w:val="yellow"/>
        </w:rPr>
        <w:t>Sardinella eba</w:t>
      </w:r>
      <w:r>
        <w:rPr>
          <w:highlight w:val="yellow"/>
        </w:rPr>
        <w:t xml:space="preserve"> and </w:t>
      </w:r>
      <w:r>
        <w:rPr>
          <w:i/>
          <w:highlight w:val="yellow"/>
        </w:rPr>
        <w:t>Sardinella aurita</w:t>
      </w:r>
      <w:r>
        <w:rPr>
          <w:highlight w:val="yellow"/>
        </w:rPr>
        <w:t xml:space="preserve"> in the Pointe-Noire region]. </w:t>
      </w:r>
      <w:r>
        <w:rPr>
          <w:i/>
          <w:highlight w:val="yellow"/>
        </w:rPr>
        <w:t>Cahiers ORSTOM, Série Océanographique, 7</w:t>
      </w:r>
      <w:r>
        <w:rPr>
          <w:highlight w:val="yellow"/>
        </w:rPr>
        <w:t>(2), 101–114.</w:t>
      </w:r>
    </w:p>
    <w:p w14:paraId="5986135E" w14:textId="77777777" w:rsidR="003E70AB" w:rsidRDefault="00000000" w:rsidP="00E150EC">
      <w:pPr>
        <w:spacing w:after="0"/>
        <w:jc w:val="both"/>
      </w:pPr>
      <w:r>
        <w:rPr>
          <w:highlight w:val="yellow"/>
        </w:rPr>
        <w:t xml:space="preserve">Handago, T., Dadebo, E., &amp; Tilahun, G. (2024). Reproductive biology and feeding habits of Nile tilapia </w:t>
      </w:r>
      <w:r>
        <w:rPr>
          <w:i/>
          <w:highlight w:val="yellow"/>
        </w:rPr>
        <w:t>Oreochromis niloticus</w:t>
      </w:r>
      <w:r>
        <w:rPr>
          <w:highlight w:val="yellow"/>
        </w:rPr>
        <w:t xml:space="preserve"> (Linnaeus, 1758) (Pisces: Cichlidae) in Lake Boyo, Ethiopia. </w:t>
      </w:r>
      <w:r>
        <w:rPr>
          <w:i/>
          <w:highlight w:val="yellow"/>
        </w:rPr>
        <w:t>Ethiopian Journal of Science and Technology, 17</w:t>
      </w:r>
      <w:r>
        <w:rPr>
          <w:highlight w:val="yellow"/>
        </w:rPr>
        <w:t>(1), 81–97. https://doi.org/10.4314/ejst.v17i1.5</w:t>
      </w:r>
    </w:p>
    <w:p w14:paraId="07A1D472" w14:textId="77777777" w:rsidR="003E70AB" w:rsidRDefault="00000000" w:rsidP="00E150EC">
      <w:pPr>
        <w:spacing w:after="0"/>
        <w:jc w:val="both"/>
      </w:pPr>
      <w:r>
        <w:rPr>
          <w:highlight w:val="yellow"/>
        </w:rPr>
        <w:t xml:space="preserve">Kartas, F., &amp; Quignard, J. P. (1984). </w:t>
      </w:r>
      <w:r>
        <w:rPr>
          <w:i/>
          <w:highlight w:val="yellow"/>
        </w:rPr>
        <w:t>La fécondité des poissons téléostéens</w:t>
      </w:r>
      <w:r>
        <w:rPr>
          <w:highlight w:val="yellow"/>
        </w:rPr>
        <w:t xml:space="preserve"> [Fecundity of teleost fish]. Masson.</w:t>
      </w:r>
    </w:p>
    <w:p w14:paraId="665FBDFA" w14:textId="77777777" w:rsidR="003E70AB" w:rsidRDefault="00000000" w:rsidP="00E150EC">
      <w:pPr>
        <w:spacing w:after="0"/>
        <w:jc w:val="both"/>
      </w:pPr>
      <w:r>
        <w:rPr>
          <w:highlight w:val="yellow"/>
        </w:rPr>
        <w:t xml:space="preserve">Kidari, R. (2023). </w:t>
      </w:r>
      <w:r>
        <w:rPr>
          <w:i/>
          <w:highlight w:val="yellow"/>
        </w:rPr>
        <w:t>Relation taille-poids chez le Tilapia d’élevage Oreochromis niloticus (Linnaeus, 1758) dans la région de Tlemcen</w:t>
      </w:r>
      <w:r>
        <w:rPr>
          <w:highlight w:val="yellow"/>
        </w:rPr>
        <w:t xml:space="preserve"> [Length-weight relationship of farmed tilapia </w:t>
      </w:r>
      <w:r>
        <w:rPr>
          <w:i/>
          <w:highlight w:val="yellow"/>
        </w:rPr>
        <w:t>Oreochromis niloticus</w:t>
      </w:r>
      <w:r>
        <w:rPr>
          <w:highlight w:val="yellow"/>
        </w:rPr>
        <w:t xml:space="preserve"> (Linnaeus, 1758) in the Tlemcen region] [Master’s thesis, Université Aboubekr Belkaid–Tlemcen].</w:t>
      </w:r>
    </w:p>
    <w:p w14:paraId="0208123D" w14:textId="77777777" w:rsidR="003E70AB" w:rsidRDefault="00000000" w:rsidP="00E150EC">
      <w:pPr>
        <w:spacing w:after="0"/>
        <w:jc w:val="both"/>
      </w:pPr>
      <w:r>
        <w:rPr>
          <w:highlight w:val="yellow"/>
        </w:rPr>
        <w:t xml:space="preserve">Konan, K. S. (2013). </w:t>
      </w:r>
      <w:r>
        <w:rPr>
          <w:i/>
          <w:highlight w:val="yellow"/>
        </w:rPr>
        <w:t>Biologie et pêche des poissons capitaines Polydactylus quadrifilis, Galeoides decadactylus et Pentanemus quinquarius de la pêcherie artisanale maritime de Grand-Lahou, Côte d’Ivoire</w:t>
      </w:r>
      <w:r>
        <w:rPr>
          <w:highlight w:val="yellow"/>
        </w:rPr>
        <w:t xml:space="preserve"> [Biology and fishery of threadfins </w:t>
      </w:r>
      <w:r>
        <w:rPr>
          <w:i/>
          <w:highlight w:val="yellow"/>
        </w:rPr>
        <w:t>Polydactylus quadrifilis</w:t>
      </w:r>
      <w:r>
        <w:rPr>
          <w:highlight w:val="yellow"/>
        </w:rPr>
        <w:t xml:space="preserve">, </w:t>
      </w:r>
      <w:r>
        <w:rPr>
          <w:i/>
          <w:highlight w:val="yellow"/>
        </w:rPr>
        <w:t>Galeoides decadactylus</w:t>
      </w:r>
      <w:r>
        <w:rPr>
          <w:highlight w:val="yellow"/>
        </w:rPr>
        <w:t xml:space="preserve">, and </w:t>
      </w:r>
      <w:r>
        <w:rPr>
          <w:i/>
          <w:highlight w:val="yellow"/>
        </w:rPr>
        <w:t>Pentanemus quinquarius</w:t>
      </w:r>
      <w:r>
        <w:rPr>
          <w:highlight w:val="yellow"/>
        </w:rPr>
        <w:t xml:space="preserve"> in the artisanal marine fishery of Grand-Lahou, Côte d’Ivoire] [Doctoral dissertation, Université Nangui Abrogoua].</w:t>
      </w:r>
    </w:p>
    <w:p w14:paraId="0AB06FA7" w14:textId="77777777" w:rsidR="003E70AB" w:rsidRDefault="00000000" w:rsidP="00E150EC">
      <w:pPr>
        <w:spacing w:after="0"/>
        <w:jc w:val="both"/>
      </w:pPr>
      <w:r>
        <w:rPr>
          <w:highlight w:val="yellow"/>
        </w:rPr>
        <w:t xml:space="preserve">Koné, N., Berté, S., Kraidy, A. L. B., Kouamélan, E. P., &amp; Koné, T. (2011). Biologie de la reproduction du Clupeidae </w:t>
      </w:r>
      <w:r>
        <w:rPr>
          <w:i/>
          <w:highlight w:val="yellow"/>
        </w:rPr>
        <w:t>Pellonula leonensis</w:t>
      </w:r>
      <w:r>
        <w:rPr>
          <w:highlight w:val="yellow"/>
        </w:rPr>
        <w:t xml:space="preserve"> (Boulenger, 1916) dans le lac de barrage de Kossou (Côte d’Ivoire) [Reproductive biology of the clupeid </w:t>
      </w:r>
      <w:r>
        <w:rPr>
          <w:i/>
          <w:highlight w:val="yellow"/>
        </w:rPr>
        <w:t>Pellonula leonensis</w:t>
      </w:r>
      <w:r>
        <w:rPr>
          <w:highlight w:val="yellow"/>
        </w:rPr>
        <w:t xml:space="preserve"> (Boulenger, 1916) in the Kossou reservoir (Côte d’Ivoire)]. </w:t>
      </w:r>
      <w:r>
        <w:rPr>
          <w:i/>
          <w:highlight w:val="yellow"/>
        </w:rPr>
        <w:t>Journal of Applied Biosciences, 41</w:t>
      </w:r>
      <w:r>
        <w:rPr>
          <w:highlight w:val="yellow"/>
        </w:rPr>
        <w:t>, 2797–2807.</w:t>
      </w:r>
    </w:p>
    <w:p w14:paraId="2DB803B5" w14:textId="77777777" w:rsidR="003E70AB" w:rsidRDefault="00000000" w:rsidP="00E150EC">
      <w:pPr>
        <w:spacing w:after="0"/>
        <w:jc w:val="both"/>
      </w:pPr>
      <w:r>
        <w:rPr>
          <w:highlight w:val="yellow"/>
        </w:rPr>
        <w:t xml:space="preserve">Le Guen, T. (2002). </w:t>
      </w:r>
      <w:r>
        <w:rPr>
          <w:i/>
          <w:highlight w:val="yellow"/>
        </w:rPr>
        <w:t>Les barrages du Nord de la Côte-d’Ivoire: Développement socio-économique et état sanitaire des populations</w:t>
      </w:r>
      <w:r>
        <w:rPr>
          <w:highlight w:val="yellow"/>
        </w:rPr>
        <w:t xml:space="preserve"> [Dams in northern Côte d’Ivoire: Socio-economic development and the health status of the population] [Doctoral dissertation, Université de Bretagne Occidentale].</w:t>
      </w:r>
    </w:p>
    <w:p w14:paraId="0772FD68" w14:textId="77777777" w:rsidR="003E70AB" w:rsidRDefault="00000000" w:rsidP="00E150EC">
      <w:pPr>
        <w:spacing w:after="0"/>
        <w:jc w:val="both"/>
      </w:pPr>
      <w:r>
        <w:rPr>
          <w:highlight w:val="yellow"/>
        </w:rPr>
        <w:t xml:space="preserve">Lévêque, C., Paugy, D., &amp; Teugels, G. G. (Eds.). (1992). </w:t>
      </w:r>
      <w:r>
        <w:rPr>
          <w:i/>
          <w:highlight w:val="yellow"/>
        </w:rPr>
        <w:t>Faune des poissons d’eaux douces et saumâtres de l’Afrique de l’Ouest</w:t>
      </w:r>
      <w:r>
        <w:rPr>
          <w:highlight w:val="yellow"/>
        </w:rPr>
        <w:t xml:space="preserve"> (Vols. 1–2). ORSTOM; Musée Royal de l’Afrique Centrale.</w:t>
      </w:r>
    </w:p>
    <w:p w14:paraId="61702E06" w14:textId="77777777" w:rsidR="003E70AB" w:rsidRDefault="00000000" w:rsidP="00E150EC">
      <w:pPr>
        <w:spacing w:after="0"/>
        <w:jc w:val="both"/>
      </w:pPr>
      <w:r>
        <w:rPr>
          <w:highlight w:val="yellow"/>
        </w:rPr>
        <w:t xml:space="preserve">Mutie, A., Morara, G. N., Waithaka, E., Obegi, B., &amp; Loki, P. (2024). Length–weight relationship, condition factor and maturity characteristics of an invasive </w:t>
      </w:r>
      <w:r>
        <w:rPr>
          <w:i/>
          <w:highlight w:val="yellow"/>
        </w:rPr>
        <w:t>Oreochromis niloticus</w:t>
      </w:r>
      <w:r>
        <w:rPr>
          <w:highlight w:val="yellow"/>
        </w:rPr>
        <w:t xml:space="preserve"> (Cichlidae) in an alkaline-saline Lake Nakuru, Kenya. </w:t>
      </w:r>
      <w:r>
        <w:rPr>
          <w:i/>
          <w:highlight w:val="yellow"/>
        </w:rPr>
        <w:t>Lakes &amp; Reservoirs: Research &amp; Management, 29</w:t>
      </w:r>
      <w:r>
        <w:rPr>
          <w:highlight w:val="yellow"/>
        </w:rPr>
        <w:t>, e12462. https://doi.org/10.1111/lre.12462</w:t>
      </w:r>
    </w:p>
    <w:p w14:paraId="27A276F5" w14:textId="77777777" w:rsidR="003E70AB" w:rsidRDefault="00000000" w:rsidP="00E150EC">
      <w:pPr>
        <w:spacing w:after="0"/>
        <w:jc w:val="both"/>
      </w:pPr>
      <w:r>
        <w:rPr>
          <w:highlight w:val="yellow"/>
        </w:rPr>
        <w:lastRenderedPageBreak/>
        <w:t xml:space="preserve">Nkanta, G. U., Akpan, U. E., Ubong, O. N., Abiaobo, N. O., Akpan, I. I., &amp; Ukpatu, J. E. (2025). Aspects of fish biology: Sexual dimorphism of mouth brooder (Nile tilapia) </w:t>
      </w:r>
      <w:r>
        <w:rPr>
          <w:i/>
          <w:highlight w:val="yellow"/>
        </w:rPr>
        <w:t>Oreochromis niloticus</w:t>
      </w:r>
      <w:r>
        <w:rPr>
          <w:highlight w:val="yellow"/>
        </w:rPr>
        <w:t xml:space="preserve"> Cichlidae at the Qua Iboe River Estuary, Ibeno Local Government Area of Akwa Ibom State, Nigeria. </w:t>
      </w:r>
      <w:r>
        <w:rPr>
          <w:i/>
          <w:highlight w:val="yellow"/>
        </w:rPr>
        <w:t>Asian Journal of Current Research, 10</w:t>
      </w:r>
      <w:r>
        <w:rPr>
          <w:highlight w:val="yellow"/>
        </w:rPr>
        <w:t>(4), 353–361. https://doi.org/10.56557/ajocr/2025/v10i49991</w:t>
      </w:r>
    </w:p>
    <w:p w14:paraId="1EBA5DD6" w14:textId="77777777" w:rsidR="003E70AB" w:rsidRDefault="00000000" w:rsidP="00E150EC">
      <w:pPr>
        <w:spacing w:after="0"/>
        <w:jc w:val="both"/>
      </w:pPr>
      <w:r>
        <w:rPr>
          <w:highlight w:val="yellow"/>
        </w:rPr>
        <w:t xml:space="preserve">Poulet, N. (2004). </w:t>
      </w:r>
      <w:r>
        <w:rPr>
          <w:i/>
          <w:highlight w:val="yellow"/>
        </w:rPr>
        <w:t>Le sandre (Sander lucioperca L.): Biologie, comportement et dynamique des populations en Camargue (Bouches-du-Rhône, France)</w:t>
      </w:r>
      <w:r>
        <w:rPr>
          <w:highlight w:val="yellow"/>
        </w:rPr>
        <w:t xml:space="preserve"> [Biology, behaviour, and population dynamics in the Camargue (Bouches-du-Rhône, France)] [Doctoral dissertation, Université Toulouse III–Paul Sabatier].</w:t>
      </w:r>
    </w:p>
    <w:p w14:paraId="6EAEA37F" w14:textId="77777777" w:rsidR="003E70AB" w:rsidRDefault="00000000" w:rsidP="00E150EC">
      <w:pPr>
        <w:spacing w:after="0"/>
        <w:jc w:val="both"/>
      </w:pPr>
      <w:r>
        <w:rPr>
          <w:highlight w:val="yellow"/>
        </w:rPr>
        <w:t xml:space="preserve">Sylla, S., Atsé, B. C., &amp; Kouassi, N. J. (2008). Régime alimentaire de </w:t>
      </w:r>
      <w:r>
        <w:rPr>
          <w:i/>
          <w:highlight w:val="yellow"/>
        </w:rPr>
        <w:t>Trachinotus teraia</w:t>
      </w:r>
      <w:r>
        <w:rPr>
          <w:highlight w:val="yellow"/>
        </w:rPr>
        <w:t xml:space="preserve"> (Carangidae) dans la lagune Ébrié (Côte d’Ivoire) [Diet of </w:t>
      </w:r>
      <w:r>
        <w:rPr>
          <w:i/>
          <w:highlight w:val="yellow"/>
        </w:rPr>
        <w:t>Trachinotus teraia</w:t>
      </w:r>
      <w:r>
        <w:rPr>
          <w:highlight w:val="yellow"/>
        </w:rPr>
        <w:t xml:space="preserve"> (Carangidae) in the Ébrié Lagoon (Côte d’Ivoire)]. </w:t>
      </w:r>
      <w:r>
        <w:rPr>
          <w:i/>
          <w:highlight w:val="yellow"/>
        </w:rPr>
        <w:t>Cybium, 32</w:t>
      </w:r>
      <w:r>
        <w:rPr>
          <w:highlight w:val="yellow"/>
        </w:rPr>
        <w:t>(1), 81–87. https://doi.org/10.26028/cybium/2008-321-008</w:t>
      </w:r>
    </w:p>
    <w:p w14:paraId="3CC3274A" w14:textId="77777777" w:rsidR="003E70AB" w:rsidRDefault="00000000" w:rsidP="00E150EC">
      <w:pPr>
        <w:spacing w:after="0"/>
        <w:jc w:val="both"/>
      </w:pPr>
      <w:r>
        <w:rPr>
          <w:highlight w:val="yellow"/>
        </w:rPr>
        <w:t xml:space="preserve">Wagaw, S., Sisay, A., Bazezew, A., Enawgaw, Y., &amp; Wosnie, A. (2024). Biological aspects of </w:t>
      </w:r>
      <w:r>
        <w:rPr>
          <w:i/>
          <w:highlight w:val="yellow"/>
        </w:rPr>
        <w:t>Oreochromis niloticus</w:t>
      </w:r>
      <w:r>
        <w:rPr>
          <w:highlight w:val="yellow"/>
        </w:rPr>
        <w:t xml:space="preserve"> (Linnaeus, 1758) in Geray Reservoir (Ethiopia) for effective sustainable fisheries. </w:t>
      </w:r>
      <w:r>
        <w:rPr>
          <w:i/>
          <w:highlight w:val="yellow"/>
        </w:rPr>
        <w:t>Fisheries and Aquatic Sciences, 27</w:t>
      </w:r>
      <w:r>
        <w:rPr>
          <w:highlight w:val="yellow"/>
        </w:rPr>
        <w:t>(2), 100–110. https://doi.org/10.47853/FAS.2024.e11</w:t>
      </w:r>
    </w:p>
    <w:sectPr w:rsidR="003E70AB">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28289" w14:textId="77777777" w:rsidR="00FF6C88" w:rsidRDefault="00FF6C88" w:rsidP="00245B4A">
      <w:pPr>
        <w:spacing w:after="0" w:line="240" w:lineRule="auto"/>
      </w:pPr>
      <w:r>
        <w:separator/>
      </w:r>
    </w:p>
  </w:endnote>
  <w:endnote w:type="continuationSeparator" w:id="0">
    <w:p w14:paraId="7C6AD024" w14:textId="77777777" w:rsidR="00FF6C88" w:rsidRDefault="00FF6C88" w:rsidP="002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TE1F8E378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9E79" w14:textId="77777777" w:rsidR="00245B4A" w:rsidRDefault="00245B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1E67" w14:textId="77777777" w:rsidR="00245B4A" w:rsidRDefault="00245B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C5A0" w14:textId="77777777" w:rsidR="00245B4A" w:rsidRDefault="00245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7C073" w14:textId="77777777" w:rsidR="00FF6C88" w:rsidRDefault="00FF6C88" w:rsidP="00245B4A">
      <w:pPr>
        <w:spacing w:after="0" w:line="240" w:lineRule="auto"/>
      </w:pPr>
      <w:r>
        <w:separator/>
      </w:r>
    </w:p>
  </w:footnote>
  <w:footnote w:type="continuationSeparator" w:id="0">
    <w:p w14:paraId="45AA0DE5" w14:textId="77777777" w:rsidR="00FF6C88" w:rsidRDefault="00FF6C88" w:rsidP="00245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D894" w14:textId="77777777" w:rsidR="00245B4A" w:rsidRDefault="00000000">
    <w:pPr>
      <w:pStyle w:val="Header"/>
    </w:pPr>
    <w:r>
      <w:rPr>
        <w:noProof/>
      </w:rPr>
      <w:pict w14:anchorId="0BD883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8E38" w14:textId="77777777" w:rsidR="00245B4A" w:rsidRDefault="00000000">
    <w:pPr>
      <w:pStyle w:val="Header"/>
    </w:pPr>
    <w:r>
      <w:rPr>
        <w:noProof/>
      </w:rPr>
      <w:pict w14:anchorId="063B59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FE80" w14:textId="77777777" w:rsidR="00245B4A" w:rsidRDefault="00000000">
    <w:pPr>
      <w:pStyle w:val="Header"/>
    </w:pPr>
    <w:r>
      <w:rPr>
        <w:noProof/>
      </w:rPr>
      <w:pict w14:anchorId="3EF5F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400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07602"/>
    <w:multiLevelType w:val="hybridMultilevel"/>
    <w:tmpl w:val="26281E46"/>
    <w:lvl w:ilvl="0" w:tplc="6A9AF6B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 w15:restartNumberingAfterBreak="0">
    <w:nsid w:val="43A303FE"/>
    <w:multiLevelType w:val="hybridMultilevel"/>
    <w:tmpl w:val="CC3CBEB4"/>
    <w:lvl w:ilvl="0" w:tplc="B7EA062E">
      <w:start w:val="1"/>
      <w:numFmt w:val="decimal"/>
      <w:lvlText w:val="%1."/>
      <w:lvlJc w:val="left"/>
      <w:pPr>
        <w:ind w:left="1020" w:hanging="360"/>
      </w:pPr>
    </w:lvl>
    <w:lvl w:ilvl="1" w:tplc="90FA548C">
      <w:start w:val="1"/>
      <w:numFmt w:val="decimal"/>
      <w:lvlText w:val="%2."/>
      <w:lvlJc w:val="left"/>
      <w:pPr>
        <w:ind w:left="1020" w:hanging="360"/>
      </w:pPr>
    </w:lvl>
    <w:lvl w:ilvl="2" w:tplc="01849210">
      <w:start w:val="1"/>
      <w:numFmt w:val="decimal"/>
      <w:lvlText w:val="%3."/>
      <w:lvlJc w:val="left"/>
      <w:pPr>
        <w:ind w:left="1020" w:hanging="360"/>
      </w:pPr>
    </w:lvl>
    <w:lvl w:ilvl="3" w:tplc="FA16BC86">
      <w:start w:val="1"/>
      <w:numFmt w:val="decimal"/>
      <w:lvlText w:val="%4."/>
      <w:lvlJc w:val="left"/>
      <w:pPr>
        <w:ind w:left="1020" w:hanging="360"/>
      </w:pPr>
    </w:lvl>
    <w:lvl w:ilvl="4" w:tplc="DE7E3A32">
      <w:start w:val="1"/>
      <w:numFmt w:val="decimal"/>
      <w:lvlText w:val="%5."/>
      <w:lvlJc w:val="left"/>
      <w:pPr>
        <w:ind w:left="1020" w:hanging="360"/>
      </w:pPr>
    </w:lvl>
    <w:lvl w:ilvl="5" w:tplc="E558F8F0">
      <w:start w:val="1"/>
      <w:numFmt w:val="decimal"/>
      <w:lvlText w:val="%6."/>
      <w:lvlJc w:val="left"/>
      <w:pPr>
        <w:ind w:left="1020" w:hanging="360"/>
      </w:pPr>
    </w:lvl>
    <w:lvl w:ilvl="6" w:tplc="B0D44D00">
      <w:start w:val="1"/>
      <w:numFmt w:val="decimal"/>
      <w:lvlText w:val="%7."/>
      <w:lvlJc w:val="left"/>
      <w:pPr>
        <w:ind w:left="1020" w:hanging="360"/>
      </w:pPr>
    </w:lvl>
    <w:lvl w:ilvl="7" w:tplc="5C08038E">
      <w:start w:val="1"/>
      <w:numFmt w:val="decimal"/>
      <w:lvlText w:val="%8."/>
      <w:lvlJc w:val="left"/>
      <w:pPr>
        <w:ind w:left="1020" w:hanging="360"/>
      </w:pPr>
    </w:lvl>
    <w:lvl w:ilvl="8" w:tplc="E0C20272">
      <w:start w:val="1"/>
      <w:numFmt w:val="decimal"/>
      <w:lvlText w:val="%9."/>
      <w:lvlJc w:val="left"/>
      <w:pPr>
        <w:ind w:left="1020" w:hanging="360"/>
      </w:pPr>
    </w:lvl>
  </w:abstractNum>
  <w:abstractNum w:abstractNumId="2" w15:restartNumberingAfterBreak="0">
    <w:nsid w:val="43A83F0B"/>
    <w:multiLevelType w:val="hybridMultilevel"/>
    <w:tmpl w:val="FC4A42FC"/>
    <w:lvl w:ilvl="0" w:tplc="F606DFEC">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3" w15:restartNumberingAfterBreak="0">
    <w:nsid w:val="74286C76"/>
    <w:multiLevelType w:val="hybridMultilevel"/>
    <w:tmpl w:val="0D722D4C"/>
    <w:lvl w:ilvl="0" w:tplc="F6B8BB10">
      <w:start w:val="2"/>
      <w:numFmt w:val="bullet"/>
      <w:lvlText w:val="-"/>
      <w:lvlJc w:val="left"/>
      <w:pPr>
        <w:ind w:left="720" w:hanging="360"/>
      </w:pPr>
      <w:rPr>
        <w:rFonts w:ascii="Calibri" w:eastAsiaTheme="minorHAnsi" w:hAnsi="Calibri" w:cs="Calibri"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num w:numId="1" w16cid:durableId="1033654136">
    <w:abstractNumId w:val="2"/>
  </w:num>
  <w:num w:numId="2" w16cid:durableId="1599215605">
    <w:abstractNumId w:val="0"/>
  </w:num>
  <w:num w:numId="3" w16cid:durableId="539828132">
    <w:abstractNumId w:val="3"/>
  </w:num>
  <w:num w:numId="4" w16cid:durableId="657534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wNTE3MrUwtLQEspR0lIJTi4sz8/NACoxqASTpuHMsAAAA"/>
  </w:docVars>
  <w:rsids>
    <w:rsidRoot w:val="003E7D26"/>
    <w:rsid w:val="00070037"/>
    <w:rsid w:val="00075FA0"/>
    <w:rsid w:val="00085601"/>
    <w:rsid w:val="00096B39"/>
    <w:rsid w:val="000A7D04"/>
    <w:rsid w:val="000B2429"/>
    <w:rsid w:val="000B6FDD"/>
    <w:rsid w:val="000D21FF"/>
    <w:rsid w:val="000E2E5F"/>
    <w:rsid w:val="000F02BF"/>
    <w:rsid w:val="00115A04"/>
    <w:rsid w:val="001277D8"/>
    <w:rsid w:val="001428B4"/>
    <w:rsid w:val="00166EBE"/>
    <w:rsid w:val="00173B7F"/>
    <w:rsid w:val="00190BB7"/>
    <w:rsid w:val="001A2AA2"/>
    <w:rsid w:val="001A332F"/>
    <w:rsid w:val="001D7A05"/>
    <w:rsid w:val="00214657"/>
    <w:rsid w:val="00215182"/>
    <w:rsid w:val="0022726D"/>
    <w:rsid w:val="002441F3"/>
    <w:rsid w:val="00245B4A"/>
    <w:rsid w:val="002654BA"/>
    <w:rsid w:val="00274DEF"/>
    <w:rsid w:val="002C61CE"/>
    <w:rsid w:val="002D0AE2"/>
    <w:rsid w:val="002D20BB"/>
    <w:rsid w:val="002E1517"/>
    <w:rsid w:val="002F73A9"/>
    <w:rsid w:val="00301EF5"/>
    <w:rsid w:val="003109FC"/>
    <w:rsid w:val="0032745D"/>
    <w:rsid w:val="003345D3"/>
    <w:rsid w:val="003471C0"/>
    <w:rsid w:val="00357AF8"/>
    <w:rsid w:val="0036016C"/>
    <w:rsid w:val="003C25E4"/>
    <w:rsid w:val="003E6BEC"/>
    <w:rsid w:val="003E70AB"/>
    <w:rsid w:val="003E7D26"/>
    <w:rsid w:val="003F18E7"/>
    <w:rsid w:val="004102A9"/>
    <w:rsid w:val="004165F2"/>
    <w:rsid w:val="00424070"/>
    <w:rsid w:val="00457294"/>
    <w:rsid w:val="00465A35"/>
    <w:rsid w:val="004731C8"/>
    <w:rsid w:val="00495CF0"/>
    <w:rsid w:val="004A1D02"/>
    <w:rsid w:val="004A2058"/>
    <w:rsid w:val="004A35DD"/>
    <w:rsid w:val="004A6C2D"/>
    <w:rsid w:val="004C24F4"/>
    <w:rsid w:val="004C745F"/>
    <w:rsid w:val="004E3113"/>
    <w:rsid w:val="004E48B3"/>
    <w:rsid w:val="0050770B"/>
    <w:rsid w:val="0051318A"/>
    <w:rsid w:val="0051480F"/>
    <w:rsid w:val="0051652B"/>
    <w:rsid w:val="00531CAC"/>
    <w:rsid w:val="00547A36"/>
    <w:rsid w:val="005A7BCD"/>
    <w:rsid w:val="005B21F6"/>
    <w:rsid w:val="005E76D9"/>
    <w:rsid w:val="005E780D"/>
    <w:rsid w:val="00611F1B"/>
    <w:rsid w:val="006358BC"/>
    <w:rsid w:val="00642AD7"/>
    <w:rsid w:val="00647FC9"/>
    <w:rsid w:val="00652DBE"/>
    <w:rsid w:val="006641AA"/>
    <w:rsid w:val="006703C2"/>
    <w:rsid w:val="0067405F"/>
    <w:rsid w:val="00675A5D"/>
    <w:rsid w:val="006B3D3D"/>
    <w:rsid w:val="006C3666"/>
    <w:rsid w:val="006D2053"/>
    <w:rsid w:val="006D2B50"/>
    <w:rsid w:val="00701D3D"/>
    <w:rsid w:val="007379E0"/>
    <w:rsid w:val="00744F17"/>
    <w:rsid w:val="00745910"/>
    <w:rsid w:val="00753826"/>
    <w:rsid w:val="007569CB"/>
    <w:rsid w:val="00767DA2"/>
    <w:rsid w:val="007721E2"/>
    <w:rsid w:val="00775F38"/>
    <w:rsid w:val="00781712"/>
    <w:rsid w:val="0079226F"/>
    <w:rsid w:val="007E7C31"/>
    <w:rsid w:val="0081068B"/>
    <w:rsid w:val="00820595"/>
    <w:rsid w:val="008263F3"/>
    <w:rsid w:val="008460C2"/>
    <w:rsid w:val="00853E7E"/>
    <w:rsid w:val="00860391"/>
    <w:rsid w:val="00865A10"/>
    <w:rsid w:val="00891A77"/>
    <w:rsid w:val="00897DC4"/>
    <w:rsid w:val="008A3834"/>
    <w:rsid w:val="008B3BC4"/>
    <w:rsid w:val="008C2D89"/>
    <w:rsid w:val="008D1118"/>
    <w:rsid w:val="008E7771"/>
    <w:rsid w:val="00915D14"/>
    <w:rsid w:val="009415FA"/>
    <w:rsid w:val="00976126"/>
    <w:rsid w:val="009F5B41"/>
    <w:rsid w:val="009F5DFE"/>
    <w:rsid w:val="00A06B68"/>
    <w:rsid w:val="00A07B74"/>
    <w:rsid w:val="00A17F7C"/>
    <w:rsid w:val="00A212A0"/>
    <w:rsid w:val="00A25D92"/>
    <w:rsid w:val="00A36748"/>
    <w:rsid w:val="00A47D99"/>
    <w:rsid w:val="00A6442A"/>
    <w:rsid w:val="00A64E7E"/>
    <w:rsid w:val="00A87FC6"/>
    <w:rsid w:val="00AA19EE"/>
    <w:rsid w:val="00AB1917"/>
    <w:rsid w:val="00AB5084"/>
    <w:rsid w:val="00AC120B"/>
    <w:rsid w:val="00AD250B"/>
    <w:rsid w:val="00AF6B9E"/>
    <w:rsid w:val="00B1315D"/>
    <w:rsid w:val="00B20A1C"/>
    <w:rsid w:val="00B43D8C"/>
    <w:rsid w:val="00BC7760"/>
    <w:rsid w:val="00BE2081"/>
    <w:rsid w:val="00BE2DAD"/>
    <w:rsid w:val="00BF1078"/>
    <w:rsid w:val="00C0659B"/>
    <w:rsid w:val="00C4157D"/>
    <w:rsid w:val="00C43C02"/>
    <w:rsid w:val="00CA6C0E"/>
    <w:rsid w:val="00CA772E"/>
    <w:rsid w:val="00CB1325"/>
    <w:rsid w:val="00CB2623"/>
    <w:rsid w:val="00CB3C64"/>
    <w:rsid w:val="00CD0E66"/>
    <w:rsid w:val="00CD7D8E"/>
    <w:rsid w:val="00D21632"/>
    <w:rsid w:val="00D3489F"/>
    <w:rsid w:val="00D53DEA"/>
    <w:rsid w:val="00D67A1A"/>
    <w:rsid w:val="00D900C2"/>
    <w:rsid w:val="00DC09B1"/>
    <w:rsid w:val="00DE13DD"/>
    <w:rsid w:val="00DE1D69"/>
    <w:rsid w:val="00DF0583"/>
    <w:rsid w:val="00E0038D"/>
    <w:rsid w:val="00E04631"/>
    <w:rsid w:val="00E0759A"/>
    <w:rsid w:val="00E150B7"/>
    <w:rsid w:val="00E150EC"/>
    <w:rsid w:val="00E22E9E"/>
    <w:rsid w:val="00E31C3B"/>
    <w:rsid w:val="00E32C61"/>
    <w:rsid w:val="00E60473"/>
    <w:rsid w:val="00E81C56"/>
    <w:rsid w:val="00E8291B"/>
    <w:rsid w:val="00E95642"/>
    <w:rsid w:val="00E970C6"/>
    <w:rsid w:val="00EA4FAD"/>
    <w:rsid w:val="00ED4167"/>
    <w:rsid w:val="00ED4A7E"/>
    <w:rsid w:val="00EE527A"/>
    <w:rsid w:val="00F37C73"/>
    <w:rsid w:val="00F432F8"/>
    <w:rsid w:val="00F500CF"/>
    <w:rsid w:val="00F51057"/>
    <w:rsid w:val="00F55EC3"/>
    <w:rsid w:val="00F8491B"/>
    <w:rsid w:val="00F9643B"/>
    <w:rsid w:val="00FA5EF7"/>
    <w:rsid w:val="00FB29D1"/>
    <w:rsid w:val="00FE0359"/>
    <w:rsid w:val="00FE6929"/>
    <w:rsid w:val="00FF6C88"/>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7DB3D29"/>
  <w15:chartTrackingRefBased/>
  <w15:docId w15:val="{F3F8EF4B-2A10-49B8-B020-D28B95A8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D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D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D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D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D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D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D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D26"/>
    <w:rPr>
      <w:rFonts w:eastAsiaTheme="majorEastAsia" w:cstheme="majorBidi"/>
      <w:color w:val="272727" w:themeColor="text1" w:themeTint="D8"/>
    </w:rPr>
  </w:style>
  <w:style w:type="paragraph" w:styleId="Title">
    <w:name w:val="Title"/>
    <w:basedOn w:val="Normal"/>
    <w:next w:val="Normal"/>
    <w:link w:val="TitleChar"/>
    <w:uiPriority w:val="10"/>
    <w:qFormat/>
    <w:rsid w:val="003E7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D26"/>
    <w:pPr>
      <w:spacing w:before="160"/>
      <w:jc w:val="center"/>
    </w:pPr>
    <w:rPr>
      <w:i/>
      <w:iCs/>
      <w:color w:val="404040" w:themeColor="text1" w:themeTint="BF"/>
    </w:rPr>
  </w:style>
  <w:style w:type="character" w:customStyle="1" w:styleId="QuoteChar">
    <w:name w:val="Quote Char"/>
    <w:basedOn w:val="DefaultParagraphFont"/>
    <w:link w:val="Quote"/>
    <w:uiPriority w:val="29"/>
    <w:rsid w:val="003E7D26"/>
    <w:rPr>
      <w:i/>
      <w:iCs/>
      <w:color w:val="404040" w:themeColor="text1" w:themeTint="BF"/>
    </w:rPr>
  </w:style>
  <w:style w:type="paragraph" w:styleId="ListParagraph">
    <w:name w:val="List Paragraph"/>
    <w:basedOn w:val="Normal"/>
    <w:uiPriority w:val="34"/>
    <w:qFormat/>
    <w:rsid w:val="003E7D26"/>
    <w:pPr>
      <w:ind w:left="720"/>
      <w:contextualSpacing/>
    </w:pPr>
  </w:style>
  <w:style w:type="character" w:styleId="IntenseEmphasis">
    <w:name w:val="Intense Emphasis"/>
    <w:basedOn w:val="DefaultParagraphFont"/>
    <w:uiPriority w:val="21"/>
    <w:qFormat/>
    <w:rsid w:val="003E7D26"/>
    <w:rPr>
      <w:i/>
      <w:iCs/>
      <w:color w:val="2F5496" w:themeColor="accent1" w:themeShade="BF"/>
    </w:rPr>
  </w:style>
  <w:style w:type="paragraph" w:styleId="IntenseQuote">
    <w:name w:val="Intense Quote"/>
    <w:basedOn w:val="Normal"/>
    <w:next w:val="Normal"/>
    <w:link w:val="IntenseQuoteChar"/>
    <w:uiPriority w:val="30"/>
    <w:qFormat/>
    <w:rsid w:val="003E7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D26"/>
    <w:rPr>
      <w:i/>
      <w:iCs/>
      <w:color w:val="2F5496" w:themeColor="accent1" w:themeShade="BF"/>
    </w:rPr>
  </w:style>
  <w:style w:type="character" w:styleId="IntenseReference">
    <w:name w:val="Intense Reference"/>
    <w:basedOn w:val="DefaultParagraphFont"/>
    <w:uiPriority w:val="32"/>
    <w:qFormat/>
    <w:rsid w:val="003E7D26"/>
    <w:rPr>
      <w:b/>
      <w:bCs/>
      <w:smallCaps/>
      <w:color w:val="2F5496" w:themeColor="accent1" w:themeShade="BF"/>
      <w:spacing w:val="5"/>
    </w:rPr>
  </w:style>
  <w:style w:type="character" w:styleId="Hyperlink">
    <w:name w:val="Hyperlink"/>
    <w:basedOn w:val="DefaultParagraphFont"/>
    <w:uiPriority w:val="99"/>
    <w:unhideWhenUsed/>
    <w:rsid w:val="00214657"/>
    <w:rPr>
      <w:color w:val="0563C1" w:themeColor="hyperlink"/>
      <w:u w:val="single"/>
    </w:rPr>
  </w:style>
  <w:style w:type="paragraph" w:styleId="HTMLPreformatted">
    <w:name w:val="HTML Preformatted"/>
    <w:basedOn w:val="Normal"/>
    <w:link w:val="HTMLPreformattedChar"/>
    <w:uiPriority w:val="99"/>
    <w:semiHidden/>
    <w:unhideWhenUsed/>
    <w:rsid w:val="005E76D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E76D9"/>
    <w:rPr>
      <w:rFonts w:ascii="Consolas" w:hAnsi="Consolas"/>
      <w:sz w:val="20"/>
      <w:szCs w:val="20"/>
    </w:rPr>
  </w:style>
  <w:style w:type="paragraph" w:customStyle="1" w:styleId="Default">
    <w:name w:val="Default"/>
    <w:rsid w:val="0032745D"/>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59"/>
    <w:rsid w:val="007569CB"/>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74DEF"/>
    <w:rPr>
      <w:i/>
      <w:iCs/>
    </w:rPr>
  </w:style>
  <w:style w:type="character" w:styleId="UnresolvedMention">
    <w:name w:val="Unresolved Mention"/>
    <w:basedOn w:val="DefaultParagraphFont"/>
    <w:uiPriority w:val="99"/>
    <w:semiHidden/>
    <w:unhideWhenUsed/>
    <w:rsid w:val="00495CF0"/>
    <w:rPr>
      <w:color w:val="605E5C"/>
      <w:shd w:val="clear" w:color="auto" w:fill="E1DFDD"/>
    </w:rPr>
  </w:style>
  <w:style w:type="paragraph" w:styleId="Header">
    <w:name w:val="header"/>
    <w:basedOn w:val="Normal"/>
    <w:link w:val="HeaderChar"/>
    <w:uiPriority w:val="99"/>
    <w:unhideWhenUsed/>
    <w:rsid w:val="00245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B4A"/>
  </w:style>
  <w:style w:type="paragraph" w:styleId="Footer">
    <w:name w:val="footer"/>
    <w:basedOn w:val="Normal"/>
    <w:link w:val="FooterChar"/>
    <w:uiPriority w:val="99"/>
    <w:unhideWhenUsed/>
    <w:rsid w:val="00245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B4A"/>
  </w:style>
  <w:style w:type="character" w:styleId="CommentReference">
    <w:name w:val="annotation reference"/>
    <w:basedOn w:val="DefaultParagraphFont"/>
    <w:uiPriority w:val="99"/>
    <w:semiHidden/>
    <w:unhideWhenUsed/>
    <w:rsid w:val="003109FC"/>
    <w:rPr>
      <w:sz w:val="16"/>
      <w:szCs w:val="16"/>
    </w:rPr>
  </w:style>
  <w:style w:type="paragraph" w:styleId="CommentText">
    <w:name w:val="annotation text"/>
    <w:basedOn w:val="Normal"/>
    <w:link w:val="CommentTextChar"/>
    <w:uiPriority w:val="99"/>
    <w:unhideWhenUsed/>
    <w:rsid w:val="003109FC"/>
    <w:pPr>
      <w:spacing w:line="240" w:lineRule="auto"/>
    </w:pPr>
    <w:rPr>
      <w:sz w:val="20"/>
      <w:szCs w:val="20"/>
    </w:rPr>
  </w:style>
  <w:style w:type="character" w:customStyle="1" w:styleId="CommentTextChar">
    <w:name w:val="Comment Text Char"/>
    <w:basedOn w:val="DefaultParagraphFont"/>
    <w:link w:val="CommentText"/>
    <w:uiPriority w:val="99"/>
    <w:rsid w:val="003109FC"/>
    <w:rPr>
      <w:sz w:val="20"/>
      <w:szCs w:val="20"/>
    </w:rPr>
  </w:style>
  <w:style w:type="paragraph" w:styleId="CommentSubject">
    <w:name w:val="annotation subject"/>
    <w:basedOn w:val="CommentText"/>
    <w:next w:val="CommentText"/>
    <w:link w:val="CommentSubjectChar"/>
    <w:uiPriority w:val="99"/>
    <w:semiHidden/>
    <w:unhideWhenUsed/>
    <w:rsid w:val="003109FC"/>
    <w:rPr>
      <w:b/>
      <w:bCs/>
    </w:rPr>
  </w:style>
  <w:style w:type="character" w:customStyle="1" w:styleId="CommentSubjectChar">
    <w:name w:val="Comment Subject Char"/>
    <w:basedOn w:val="CommentTextChar"/>
    <w:link w:val="CommentSubject"/>
    <w:uiPriority w:val="99"/>
    <w:semiHidden/>
    <w:rsid w:val="003109FC"/>
    <w:rPr>
      <w:b/>
      <w:bCs/>
      <w:sz w:val="20"/>
      <w:szCs w:val="20"/>
    </w:rPr>
  </w:style>
  <w:style w:type="paragraph" w:styleId="NormalWeb">
    <w:name w:val="Normal (Web)"/>
    <w:basedOn w:val="Normal"/>
    <w:uiPriority w:val="99"/>
    <w:semiHidden/>
    <w:unhideWhenUsed/>
    <w:rsid w:val="00CB262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2.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esktop\ECHANTILLON%20BINGUEBOUGOU\Nouveau%20dossier\O.nilo%20Femelle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'Periode de reproduction'!$A$14</c:f>
              <c:strCache>
                <c:ptCount val="1"/>
                <c:pt idx="0">
                  <c:v>stades   I</c:v>
                </c:pt>
              </c:strCache>
            </c:strRef>
          </c:tx>
          <c:spPr>
            <a:pattFill prst="diagBrick">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reproduction'!$B$14:$M$14</c:f>
              <c:numCache>
                <c:formatCode>General</c:formatCode>
                <c:ptCount val="12"/>
                <c:pt idx="0">
                  <c:v>21.42</c:v>
                </c:pt>
                <c:pt idx="1">
                  <c:v>11.11</c:v>
                </c:pt>
                <c:pt idx="2">
                  <c:v>8</c:v>
                </c:pt>
                <c:pt idx="3">
                  <c:v>0</c:v>
                </c:pt>
                <c:pt idx="4">
                  <c:v>0</c:v>
                </c:pt>
                <c:pt idx="5">
                  <c:v>0</c:v>
                </c:pt>
                <c:pt idx="6">
                  <c:v>0</c:v>
                </c:pt>
                <c:pt idx="7">
                  <c:v>0</c:v>
                </c:pt>
                <c:pt idx="8">
                  <c:v>0</c:v>
                </c:pt>
                <c:pt idx="9">
                  <c:v>0</c:v>
                </c:pt>
                <c:pt idx="10">
                  <c:v>0</c:v>
                </c:pt>
                <c:pt idx="11">
                  <c:v>66.66</c:v>
                </c:pt>
              </c:numCache>
            </c:numRef>
          </c:val>
          <c:extLst>
            <c:ext xmlns:c16="http://schemas.microsoft.com/office/drawing/2014/chart" uri="{C3380CC4-5D6E-409C-BE32-E72D297353CC}">
              <c16:uniqueId val="{00000000-AC9E-4634-AF78-43C3ED0E973E}"/>
            </c:ext>
          </c:extLst>
        </c:ser>
        <c:ser>
          <c:idx val="1"/>
          <c:order val="1"/>
          <c:tx>
            <c:strRef>
              <c:f>'Periode de reproduction'!$A$15</c:f>
              <c:strCache>
                <c:ptCount val="1"/>
                <c:pt idx="0">
                  <c:v>stades   II</c:v>
                </c:pt>
              </c:strCache>
            </c:strRef>
          </c:tx>
          <c:spPr>
            <a:pattFill prst="pct10">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reproduction'!$B$15:$M$15</c:f>
              <c:numCache>
                <c:formatCode>General</c:formatCode>
                <c:ptCount val="12"/>
                <c:pt idx="0">
                  <c:v>78.569999999999993</c:v>
                </c:pt>
                <c:pt idx="1">
                  <c:v>66.66</c:v>
                </c:pt>
                <c:pt idx="2">
                  <c:v>16</c:v>
                </c:pt>
                <c:pt idx="3">
                  <c:v>13.63</c:v>
                </c:pt>
                <c:pt idx="4">
                  <c:v>0</c:v>
                </c:pt>
                <c:pt idx="5">
                  <c:v>0</c:v>
                </c:pt>
                <c:pt idx="6">
                  <c:v>9.52</c:v>
                </c:pt>
                <c:pt idx="7">
                  <c:v>0</c:v>
                </c:pt>
                <c:pt idx="8">
                  <c:v>0</c:v>
                </c:pt>
                <c:pt idx="9">
                  <c:v>0</c:v>
                </c:pt>
                <c:pt idx="10">
                  <c:v>70</c:v>
                </c:pt>
                <c:pt idx="11">
                  <c:v>33.33</c:v>
                </c:pt>
              </c:numCache>
            </c:numRef>
          </c:val>
          <c:extLst>
            <c:ext xmlns:c16="http://schemas.microsoft.com/office/drawing/2014/chart" uri="{C3380CC4-5D6E-409C-BE32-E72D297353CC}">
              <c16:uniqueId val="{00000001-AC9E-4634-AF78-43C3ED0E973E}"/>
            </c:ext>
          </c:extLst>
        </c:ser>
        <c:ser>
          <c:idx val="2"/>
          <c:order val="2"/>
          <c:tx>
            <c:strRef>
              <c:f>'Periode de reproduction'!$A$16</c:f>
              <c:strCache>
                <c:ptCount val="1"/>
                <c:pt idx="0">
                  <c:v>stades   III</c:v>
                </c:pt>
              </c:strCache>
            </c:strRef>
          </c:tx>
          <c:spPr>
            <a:pattFill prst="sphere">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reproduction'!$B$16:$M$16</c:f>
              <c:numCache>
                <c:formatCode>General</c:formatCode>
                <c:ptCount val="12"/>
                <c:pt idx="0">
                  <c:v>0</c:v>
                </c:pt>
                <c:pt idx="1">
                  <c:v>11.11</c:v>
                </c:pt>
                <c:pt idx="2">
                  <c:v>24</c:v>
                </c:pt>
                <c:pt idx="3">
                  <c:v>4.54</c:v>
                </c:pt>
                <c:pt idx="4">
                  <c:v>16.66</c:v>
                </c:pt>
                <c:pt idx="5">
                  <c:v>0</c:v>
                </c:pt>
                <c:pt idx="6">
                  <c:v>14.28</c:v>
                </c:pt>
                <c:pt idx="7">
                  <c:v>0</c:v>
                </c:pt>
                <c:pt idx="8">
                  <c:v>0</c:v>
                </c:pt>
                <c:pt idx="9">
                  <c:v>50</c:v>
                </c:pt>
                <c:pt idx="10">
                  <c:v>10</c:v>
                </c:pt>
                <c:pt idx="11">
                  <c:v>0</c:v>
                </c:pt>
              </c:numCache>
            </c:numRef>
          </c:val>
          <c:extLst>
            <c:ext xmlns:c16="http://schemas.microsoft.com/office/drawing/2014/chart" uri="{C3380CC4-5D6E-409C-BE32-E72D297353CC}">
              <c16:uniqueId val="{00000002-AC9E-4634-AF78-43C3ED0E973E}"/>
            </c:ext>
          </c:extLst>
        </c:ser>
        <c:ser>
          <c:idx val="3"/>
          <c:order val="3"/>
          <c:tx>
            <c:strRef>
              <c:f>'Periode de reproduction'!$A$17</c:f>
              <c:strCache>
                <c:ptCount val="1"/>
                <c:pt idx="0">
                  <c:v>stades   IV</c:v>
                </c:pt>
              </c:strCache>
            </c:strRef>
          </c:tx>
          <c:spPr>
            <a:pattFill prst="ltHorz">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reproduction'!$B$17:$M$17</c:f>
              <c:numCache>
                <c:formatCode>General</c:formatCode>
                <c:ptCount val="12"/>
                <c:pt idx="0">
                  <c:v>0</c:v>
                </c:pt>
                <c:pt idx="1">
                  <c:v>11.11</c:v>
                </c:pt>
                <c:pt idx="2">
                  <c:v>16</c:v>
                </c:pt>
                <c:pt idx="3">
                  <c:v>45.45</c:v>
                </c:pt>
                <c:pt idx="4">
                  <c:v>33.33</c:v>
                </c:pt>
                <c:pt idx="5">
                  <c:v>30.76</c:v>
                </c:pt>
                <c:pt idx="6">
                  <c:v>14.28</c:v>
                </c:pt>
                <c:pt idx="7">
                  <c:v>0</c:v>
                </c:pt>
                <c:pt idx="8">
                  <c:v>25</c:v>
                </c:pt>
                <c:pt idx="9">
                  <c:v>0</c:v>
                </c:pt>
                <c:pt idx="10">
                  <c:v>10</c:v>
                </c:pt>
                <c:pt idx="11">
                  <c:v>0</c:v>
                </c:pt>
              </c:numCache>
            </c:numRef>
          </c:val>
          <c:extLst>
            <c:ext xmlns:c16="http://schemas.microsoft.com/office/drawing/2014/chart" uri="{C3380CC4-5D6E-409C-BE32-E72D297353CC}">
              <c16:uniqueId val="{00000003-AC9E-4634-AF78-43C3ED0E973E}"/>
            </c:ext>
          </c:extLst>
        </c:ser>
        <c:ser>
          <c:idx val="4"/>
          <c:order val="4"/>
          <c:tx>
            <c:strRef>
              <c:f>'Periode de reproduction'!$A$18</c:f>
              <c:strCache>
                <c:ptCount val="1"/>
                <c:pt idx="0">
                  <c:v>stades   V</c:v>
                </c:pt>
              </c:strCache>
            </c:strRef>
          </c:tx>
          <c:spPr>
            <a:pattFill prst="wdUpDiag">
              <a:fgClr>
                <a:schemeClr val="tx1"/>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reproduction'!$B$18:$M$18</c:f>
              <c:numCache>
                <c:formatCode>General</c:formatCode>
                <c:ptCount val="12"/>
                <c:pt idx="0">
                  <c:v>0</c:v>
                </c:pt>
                <c:pt idx="1">
                  <c:v>0</c:v>
                </c:pt>
                <c:pt idx="2">
                  <c:v>28</c:v>
                </c:pt>
                <c:pt idx="3">
                  <c:v>27.27</c:v>
                </c:pt>
                <c:pt idx="4">
                  <c:v>33.33</c:v>
                </c:pt>
                <c:pt idx="5">
                  <c:v>53.84</c:v>
                </c:pt>
                <c:pt idx="6">
                  <c:v>33.33</c:v>
                </c:pt>
                <c:pt idx="7">
                  <c:v>100</c:v>
                </c:pt>
                <c:pt idx="8">
                  <c:v>25</c:v>
                </c:pt>
                <c:pt idx="9">
                  <c:v>0</c:v>
                </c:pt>
                <c:pt idx="10">
                  <c:v>0</c:v>
                </c:pt>
                <c:pt idx="11">
                  <c:v>0</c:v>
                </c:pt>
              </c:numCache>
            </c:numRef>
          </c:val>
          <c:extLst>
            <c:ext xmlns:c16="http://schemas.microsoft.com/office/drawing/2014/chart" uri="{C3380CC4-5D6E-409C-BE32-E72D297353CC}">
              <c16:uniqueId val="{00000004-AC9E-4634-AF78-43C3ED0E973E}"/>
            </c:ext>
          </c:extLst>
        </c:ser>
        <c:ser>
          <c:idx val="5"/>
          <c:order val="5"/>
          <c:tx>
            <c:strRef>
              <c:f>'Periode de reproduction'!$A$19</c:f>
              <c:strCache>
                <c:ptCount val="1"/>
                <c:pt idx="0">
                  <c:v>stades   VI</c:v>
                </c:pt>
              </c:strCache>
            </c:strRef>
          </c:tx>
          <c:spPr>
            <a:pattFill prst="smCheck">
              <a:fgClr>
                <a:sysClr val="windowText" lastClr="000000"/>
              </a:fgClr>
              <a:bgClr>
                <a:schemeClr val="bg1"/>
              </a:bgClr>
            </a:pattFill>
            <a:ln>
              <a:noFill/>
            </a:ln>
            <a:effectLst/>
          </c:spPr>
          <c:invertIfNegative val="0"/>
          <c:cat>
            <c:strRef>
              <c:f>'Periode de reproduction'!$B$13:$M$13</c:f>
              <c:strCache>
                <c:ptCount val="12"/>
                <c:pt idx="0">
                  <c:v>DEC 2024</c:v>
                </c:pt>
                <c:pt idx="1">
                  <c:v>janv-25</c:v>
                </c:pt>
                <c:pt idx="2">
                  <c:v>FEV 2025</c:v>
                </c:pt>
                <c:pt idx="3">
                  <c:v>mars-25</c:v>
                </c:pt>
                <c:pt idx="4">
                  <c:v>avr-25</c:v>
                </c:pt>
                <c:pt idx="5">
                  <c:v>mai-25</c:v>
                </c:pt>
                <c:pt idx="6">
                  <c:v>juin-25</c:v>
                </c:pt>
                <c:pt idx="7">
                  <c:v>juil-25</c:v>
                </c:pt>
                <c:pt idx="8">
                  <c:v>AOUT 2025</c:v>
                </c:pt>
                <c:pt idx="9">
                  <c:v>sept-25</c:v>
                </c:pt>
                <c:pt idx="10">
                  <c:v>oct-25</c:v>
                </c:pt>
                <c:pt idx="11">
                  <c:v>N0V 2025</c:v>
                </c:pt>
              </c:strCache>
            </c:strRef>
          </c:cat>
          <c:val>
            <c:numRef>
              <c:f>'Periode de reproduction'!$B$19:$M$19</c:f>
              <c:numCache>
                <c:formatCode>General</c:formatCode>
                <c:ptCount val="12"/>
                <c:pt idx="0">
                  <c:v>0</c:v>
                </c:pt>
                <c:pt idx="1">
                  <c:v>0</c:v>
                </c:pt>
                <c:pt idx="2">
                  <c:v>8</c:v>
                </c:pt>
                <c:pt idx="3">
                  <c:v>9.09</c:v>
                </c:pt>
                <c:pt idx="4">
                  <c:v>16.66</c:v>
                </c:pt>
                <c:pt idx="5">
                  <c:v>15.38</c:v>
                </c:pt>
                <c:pt idx="6">
                  <c:v>28.57</c:v>
                </c:pt>
                <c:pt idx="7">
                  <c:v>0</c:v>
                </c:pt>
                <c:pt idx="8">
                  <c:v>50</c:v>
                </c:pt>
                <c:pt idx="9">
                  <c:v>50</c:v>
                </c:pt>
                <c:pt idx="10">
                  <c:v>10</c:v>
                </c:pt>
                <c:pt idx="11">
                  <c:v>0</c:v>
                </c:pt>
              </c:numCache>
            </c:numRef>
          </c:val>
          <c:extLst>
            <c:ext xmlns:c16="http://schemas.microsoft.com/office/drawing/2014/chart" uri="{C3380CC4-5D6E-409C-BE32-E72D297353CC}">
              <c16:uniqueId val="{00000005-AC9E-4634-AF78-43C3ED0E973E}"/>
            </c:ext>
          </c:extLst>
        </c:ser>
        <c:dLbls>
          <c:showLegendKey val="0"/>
          <c:showVal val="0"/>
          <c:showCatName val="0"/>
          <c:showSerName val="0"/>
          <c:showPercent val="0"/>
          <c:showBubbleSize val="0"/>
        </c:dLbls>
        <c:gapWidth val="150"/>
        <c:overlap val="100"/>
        <c:axId val="353047039"/>
        <c:axId val="353032639"/>
      </c:barChart>
      <c:catAx>
        <c:axId val="353047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3032639"/>
        <c:crosses val="autoZero"/>
        <c:auto val="1"/>
        <c:lblAlgn val="ctr"/>
        <c:lblOffset val="100"/>
        <c:noMultiLvlLbl val="0"/>
      </c:catAx>
      <c:valAx>
        <c:axId val="353032639"/>
        <c:scaling>
          <c:orientation val="minMax"/>
          <c:max val="1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3047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RGS-RHS-K'!$Z$5</c:f>
              <c:strCache>
                <c:ptCount val="1"/>
                <c:pt idx="0">
                  <c:v>RGS(moy)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RGS-RHS-K'!$AA$6:$AA$17</c:f>
                <c:numCache>
                  <c:formatCode>General</c:formatCode>
                  <c:ptCount val="12"/>
                  <c:pt idx="0">
                    <c:v>0.08</c:v>
                  </c:pt>
                  <c:pt idx="1">
                    <c:v>1.23</c:v>
                  </c:pt>
                  <c:pt idx="2">
                    <c:v>1.68</c:v>
                  </c:pt>
                  <c:pt idx="3">
                    <c:v>1.47</c:v>
                  </c:pt>
                  <c:pt idx="4">
                    <c:v>1.57</c:v>
                  </c:pt>
                  <c:pt idx="5">
                    <c:v>1.48</c:v>
                  </c:pt>
                  <c:pt idx="6">
                    <c:v>1.77</c:v>
                  </c:pt>
                  <c:pt idx="7">
                    <c:v>1.89</c:v>
                  </c:pt>
                  <c:pt idx="8">
                    <c:v>1.22</c:v>
                  </c:pt>
                  <c:pt idx="9">
                    <c:v>3.14</c:v>
                  </c:pt>
                  <c:pt idx="10">
                    <c:v>8.18</c:v>
                  </c:pt>
                  <c:pt idx="11">
                    <c:v>0.22</c:v>
                  </c:pt>
                </c:numCache>
              </c:numRef>
            </c:plus>
            <c:minus>
              <c:numRef>
                <c:f>'Ecart type RGS-RHS-K'!$AA$6:$AA$17</c:f>
                <c:numCache>
                  <c:formatCode>General</c:formatCode>
                  <c:ptCount val="12"/>
                  <c:pt idx="0">
                    <c:v>0.08</c:v>
                  </c:pt>
                  <c:pt idx="1">
                    <c:v>1.23</c:v>
                  </c:pt>
                  <c:pt idx="2">
                    <c:v>1.68</c:v>
                  </c:pt>
                  <c:pt idx="3">
                    <c:v>1.47</c:v>
                  </c:pt>
                  <c:pt idx="4">
                    <c:v>1.57</c:v>
                  </c:pt>
                  <c:pt idx="5">
                    <c:v>1.48</c:v>
                  </c:pt>
                  <c:pt idx="6">
                    <c:v>1.77</c:v>
                  </c:pt>
                  <c:pt idx="7">
                    <c:v>1.89</c:v>
                  </c:pt>
                  <c:pt idx="8">
                    <c:v>1.22</c:v>
                  </c:pt>
                  <c:pt idx="9">
                    <c:v>3.14</c:v>
                  </c:pt>
                  <c:pt idx="10">
                    <c:v>8.18</c:v>
                  </c:pt>
                  <c:pt idx="11">
                    <c:v>0.22</c:v>
                  </c:pt>
                </c:numCache>
              </c:numRef>
            </c:minus>
            <c:spPr>
              <a:noFill/>
              <a:ln w="9525" cap="flat" cmpd="sng" algn="ctr">
                <a:solidFill>
                  <a:schemeClr val="tx1">
                    <a:lumMod val="65000"/>
                    <a:lumOff val="35000"/>
                  </a:schemeClr>
                </a:solidFill>
                <a:round/>
              </a:ln>
              <a:effectLst/>
            </c:spPr>
          </c:errBars>
          <c:cat>
            <c:strRef>
              <c:f>'Ecart type RGS-RHS-K'!$Y$6:$Y$17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RGS-RHS-K'!$Z$6:$Z$17</c:f>
              <c:numCache>
                <c:formatCode>General</c:formatCode>
                <c:ptCount val="12"/>
                <c:pt idx="0">
                  <c:v>0.14599999999999999</c:v>
                </c:pt>
                <c:pt idx="1">
                  <c:v>0.79</c:v>
                </c:pt>
                <c:pt idx="2">
                  <c:v>1.8</c:v>
                </c:pt>
                <c:pt idx="3">
                  <c:v>2.39</c:v>
                </c:pt>
                <c:pt idx="4">
                  <c:v>2.08</c:v>
                </c:pt>
                <c:pt idx="5">
                  <c:v>3.88</c:v>
                </c:pt>
                <c:pt idx="6">
                  <c:v>2.63</c:v>
                </c:pt>
                <c:pt idx="7">
                  <c:v>1.69</c:v>
                </c:pt>
                <c:pt idx="8">
                  <c:v>1.28</c:v>
                </c:pt>
                <c:pt idx="9">
                  <c:v>2.87</c:v>
                </c:pt>
                <c:pt idx="10">
                  <c:v>3.36</c:v>
                </c:pt>
                <c:pt idx="11">
                  <c:v>0.25</c:v>
                </c:pt>
              </c:numCache>
            </c:numRef>
          </c:val>
          <c:smooth val="0"/>
          <c:extLst>
            <c:ext xmlns:c16="http://schemas.microsoft.com/office/drawing/2014/chart" uri="{C3380CC4-5D6E-409C-BE32-E72D297353CC}">
              <c16:uniqueId val="{00000000-C9A5-417F-89FE-2CA319B22079}"/>
            </c:ext>
          </c:extLst>
        </c:ser>
        <c:dLbls>
          <c:showLegendKey val="0"/>
          <c:showVal val="0"/>
          <c:showCatName val="0"/>
          <c:showSerName val="0"/>
          <c:showPercent val="0"/>
          <c:showBubbleSize val="0"/>
        </c:dLbls>
        <c:marker val="1"/>
        <c:smooth val="0"/>
        <c:axId val="270091968"/>
        <c:axId val="270082848"/>
      </c:lineChart>
      <c:catAx>
        <c:axId val="2700919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82848"/>
        <c:crosses val="autoZero"/>
        <c:auto val="1"/>
        <c:lblAlgn val="ctr"/>
        <c:lblOffset val="100"/>
        <c:noMultiLvlLbl val="0"/>
      </c:catAx>
      <c:valAx>
        <c:axId val="27008284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RGS (moy)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919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RGS-RHS-K'!$AD$5</c:f>
              <c:strCache>
                <c:ptCount val="1"/>
                <c:pt idx="0">
                  <c:v>RHS(moy)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RGS-RHS-K'!$AE$6:$AE$17</c:f>
                <c:numCache>
                  <c:formatCode>General</c:formatCode>
                  <c:ptCount val="12"/>
                  <c:pt idx="0">
                    <c:v>0.44</c:v>
                  </c:pt>
                  <c:pt idx="1">
                    <c:v>0.46</c:v>
                  </c:pt>
                  <c:pt idx="2">
                    <c:v>0.4</c:v>
                  </c:pt>
                  <c:pt idx="3">
                    <c:v>0.45</c:v>
                  </c:pt>
                  <c:pt idx="4">
                    <c:v>0.38</c:v>
                  </c:pt>
                  <c:pt idx="5">
                    <c:v>0.66</c:v>
                  </c:pt>
                  <c:pt idx="6">
                    <c:v>0.17</c:v>
                  </c:pt>
                  <c:pt idx="7">
                    <c:v>0.26</c:v>
                  </c:pt>
                  <c:pt idx="8">
                    <c:v>0.35</c:v>
                  </c:pt>
                  <c:pt idx="9">
                    <c:v>1.25</c:v>
                  </c:pt>
                  <c:pt idx="10">
                    <c:v>0.59</c:v>
                  </c:pt>
                  <c:pt idx="11">
                    <c:v>0.23</c:v>
                  </c:pt>
                </c:numCache>
              </c:numRef>
            </c:plus>
            <c:minus>
              <c:numRef>
                <c:f>'Ecart type RGS-RHS-K'!$AE$6:$AE$17</c:f>
                <c:numCache>
                  <c:formatCode>General</c:formatCode>
                  <c:ptCount val="12"/>
                  <c:pt idx="0">
                    <c:v>0.44</c:v>
                  </c:pt>
                  <c:pt idx="1">
                    <c:v>0.46</c:v>
                  </c:pt>
                  <c:pt idx="2">
                    <c:v>0.4</c:v>
                  </c:pt>
                  <c:pt idx="3">
                    <c:v>0.45</c:v>
                  </c:pt>
                  <c:pt idx="4">
                    <c:v>0.38</c:v>
                  </c:pt>
                  <c:pt idx="5">
                    <c:v>0.66</c:v>
                  </c:pt>
                  <c:pt idx="6">
                    <c:v>0.17</c:v>
                  </c:pt>
                  <c:pt idx="7">
                    <c:v>0.26</c:v>
                  </c:pt>
                  <c:pt idx="8">
                    <c:v>0.35</c:v>
                  </c:pt>
                  <c:pt idx="9">
                    <c:v>1.25</c:v>
                  </c:pt>
                  <c:pt idx="10">
                    <c:v>0.59</c:v>
                  </c:pt>
                  <c:pt idx="11">
                    <c:v>0.23</c:v>
                  </c:pt>
                </c:numCache>
              </c:numRef>
            </c:minus>
            <c:spPr>
              <a:noFill/>
              <a:ln w="9525" cap="flat" cmpd="sng" algn="ctr">
                <a:solidFill>
                  <a:schemeClr val="tx1">
                    <a:lumMod val="65000"/>
                    <a:lumOff val="35000"/>
                  </a:schemeClr>
                </a:solidFill>
                <a:round/>
              </a:ln>
              <a:effectLst/>
            </c:spPr>
          </c:errBars>
          <c:cat>
            <c:strRef>
              <c:f>'Ecart type RGS-RHS-K'!$AC$6:$AC$17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RGS-RHS-K'!$AD$6:$AD$17</c:f>
              <c:numCache>
                <c:formatCode>General</c:formatCode>
                <c:ptCount val="12"/>
                <c:pt idx="0">
                  <c:v>1.24</c:v>
                </c:pt>
                <c:pt idx="1">
                  <c:v>1.43</c:v>
                </c:pt>
                <c:pt idx="2">
                  <c:v>1</c:v>
                </c:pt>
                <c:pt idx="3">
                  <c:v>1.52</c:v>
                </c:pt>
                <c:pt idx="4">
                  <c:v>1.53</c:v>
                </c:pt>
                <c:pt idx="5">
                  <c:v>1.6</c:v>
                </c:pt>
                <c:pt idx="6">
                  <c:v>0.7</c:v>
                </c:pt>
                <c:pt idx="7">
                  <c:v>1.07</c:v>
                </c:pt>
                <c:pt idx="8">
                  <c:v>1.5</c:v>
                </c:pt>
                <c:pt idx="9">
                  <c:v>1.57</c:v>
                </c:pt>
                <c:pt idx="10">
                  <c:v>1.8</c:v>
                </c:pt>
                <c:pt idx="11">
                  <c:v>1.38</c:v>
                </c:pt>
              </c:numCache>
            </c:numRef>
          </c:val>
          <c:smooth val="0"/>
          <c:extLst>
            <c:ext xmlns:c16="http://schemas.microsoft.com/office/drawing/2014/chart" uri="{C3380CC4-5D6E-409C-BE32-E72D297353CC}">
              <c16:uniqueId val="{00000000-D2B0-4C0D-8BB9-F453AE4917BE}"/>
            </c:ext>
          </c:extLst>
        </c:ser>
        <c:dLbls>
          <c:showLegendKey val="0"/>
          <c:showVal val="0"/>
          <c:showCatName val="0"/>
          <c:showSerName val="0"/>
          <c:showPercent val="0"/>
          <c:showBubbleSize val="0"/>
        </c:dLbls>
        <c:marker val="1"/>
        <c:smooth val="0"/>
        <c:axId val="270099168"/>
        <c:axId val="270079968"/>
      </c:lineChart>
      <c:catAx>
        <c:axId val="27009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79968"/>
        <c:crosses val="autoZero"/>
        <c:auto val="1"/>
        <c:lblAlgn val="ctr"/>
        <c:lblOffset val="100"/>
        <c:noMultiLvlLbl val="0"/>
      </c:catAx>
      <c:valAx>
        <c:axId val="2700799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RHS (moy)</a:t>
                </a:r>
              </a:p>
              <a:p>
                <a:pPr>
                  <a:defRPr/>
                </a:pPr>
                <a:endParaRPr lang="fr-C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099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'Ecart type RGS-RHS-K'!$AH$5</c:f>
              <c:strCache>
                <c:ptCount val="1"/>
                <c:pt idx="0">
                  <c:v>K(moy)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'Ecart type RGS-RHS-K'!$AI$6:$AI$17</c:f>
                <c:numCache>
                  <c:formatCode>General</c:formatCode>
                  <c:ptCount val="12"/>
                  <c:pt idx="0">
                    <c:v>0.17</c:v>
                  </c:pt>
                  <c:pt idx="1">
                    <c:v>0.12</c:v>
                  </c:pt>
                  <c:pt idx="2">
                    <c:v>0.14000000000000001</c:v>
                  </c:pt>
                  <c:pt idx="3">
                    <c:v>0.2</c:v>
                  </c:pt>
                  <c:pt idx="4">
                    <c:v>0.08</c:v>
                  </c:pt>
                  <c:pt idx="5">
                    <c:v>0.16</c:v>
                  </c:pt>
                  <c:pt idx="6">
                    <c:v>0.18</c:v>
                  </c:pt>
                  <c:pt idx="7">
                    <c:v>0.02</c:v>
                  </c:pt>
                  <c:pt idx="8">
                    <c:v>0.16</c:v>
                  </c:pt>
                  <c:pt idx="9">
                    <c:v>0.43</c:v>
                  </c:pt>
                  <c:pt idx="10">
                    <c:v>0.25</c:v>
                  </c:pt>
                  <c:pt idx="11">
                    <c:v>0.12</c:v>
                  </c:pt>
                </c:numCache>
              </c:numRef>
            </c:plus>
            <c:minus>
              <c:numRef>
                <c:f>'Ecart type RGS-RHS-K'!$AI$6:$AI$17</c:f>
                <c:numCache>
                  <c:formatCode>General</c:formatCode>
                  <c:ptCount val="12"/>
                  <c:pt idx="0">
                    <c:v>0.17</c:v>
                  </c:pt>
                  <c:pt idx="1">
                    <c:v>0.12</c:v>
                  </c:pt>
                  <c:pt idx="2">
                    <c:v>0.14000000000000001</c:v>
                  </c:pt>
                  <c:pt idx="3">
                    <c:v>0.2</c:v>
                  </c:pt>
                  <c:pt idx="4">
                    <c:v>0.08</c:v>
                  </c:pt>
                  <c:pt idx="5">
                    <c:v>0.16</c:v>
                  </c:pt>
                  <c:pt idx="6">
                    <c:v>0.18</c:v>
                  </c:pt>
                  <c:pt idx="7">
                    <c:v>0.02</c:v>
                  </c:pt>
                  <c:pt idx="8">
                    <c:v>0.16</c:v>
                  </c:pt>
                  <c:pt idx="9">
                    <c:v>0.43</c:v>
                  </c:pt>
                  <c:pt idx="10">
                    <c:v>0.25</c:v>
                  </c:pt>
                  <c:pt idx="11">
                    <c:v>0.12</c:v>
                  </c:pt>
                </c:numCache>
              </c:numRef>
            </c:minus>
            <c:spPr>
              <a:noFill/>
              <a:ln w="9525" cap="flat" cmpd="sng" algn="ctr">
                <a:solidFill>
                  <a:schemeClr val="tx1">
                    <a:lumMod val="65000"/>
                    <a:lumOff val="35000"/>
                  </a:schemeClr>
                </a:solidFill>
                <a:round/>
              </a:ln>
              <a:effectLst/>
            </c:spPr>
          </c:errBars>
          <c:cat>
            <c:strRef>
              <c:f>'Ecart type RGS-RHS-K'!$AG$6:$AG$17</c:f>
              <c:strCache>
                <c:ptCount val="12"/>
                <c:pt idx="0">
                  <c:v>déc-24</c:v>
                </c:pt>
                <c:pt idx="1">
                  <c:v>janv-25</c:v>
                </c:pt>
                <c:pt idx="2">
                  <c:v>fev-25</c:v>
                </c:pt>
                <c:pt idx="3">
                  <c:v>mars-25</c:v>
                </c:pt>
                <c:pt idx="4">
                  <c:v>avr-25</c:v>
                </c:pt>
                <c:pt idx="5">
                  <c:v>mai-25</c:v>
                </c:pt>
                <c:pt idx="6">
                  <c:v>juin-25</c:v>
                </c:pt>
                <c:pt idx="7">
                  <c:v>juil-25</c:v>
                </c:pt>
                <c:pt idx="8">
                  <c:v>août-25</c:v>
                </c:pt>
                <c:pt idx="9">
                  <c:v>sept-25</c:v>
                </c:pt>
                <c:pt idx="10">
                  <c:v>oct-25</c:v>
                </c:pt>
                <c:pt idx="11">
                  <c:v>nov-25</c:v>
                </c:pt>
              </c:strCache>
            </c:strRef>
          </c:cat>
          <c:val>
            <c:numRef>
              <c:f>'Ecart type RGS-RHS-K'!$AH$6:$AH$17</c:f>
              <c:numCache>
                <c:formatCode>General</c:formatCode>
                <c:ptCount val="12"/>
                <c:pt idx="0">
                  <c:v>2.0699999999999998</c:v>
                </c:pt>
                <c:pt idx="1">
                  <c:v>1.86</c:v>
                </c:pt>
                <c:pt idx="2">
                  <c:v>1.96</c:v>
                </c:pt>
                <c:pt idx="3">
                  <c:v>1.89</c:v>
                </c:pt>
                <c:pt idx="4">
                  <c:v>1.81</c:v>
                </c:pt>
                <c:pt idx="5">
                  <c:v>1.8</c:v>
                </c:pt>
                <c:pt idx="6">
                  <c:v>1.78</c:v>
                </c:pt>
                <c:pt idx="7">
                  <c:v>1.52</c:v>
                </c:pt>
                <c:pt idx="8">
                  <c:v>1.81</c:v>
                </c:pt>
                <c:pt idx="9">
                  <c:v>1.89</c:v>
                </c:pt>
                <c:pt idx="10">
                  <c:v>1.7</c:v>
                </c:pt>
                <c:pt idx="11">
                  <c:v>1.83</c:v>
                </c:pt>
              </c:numCache>
            </c:numRef>
          </c:val>
          <c:smooth val="0"/>
          <c:extLst>
            <c:ext xmlns:c16="http://schemas.microsoft.com/office/drawing/2014/chart" uri="{C3380CC4-5D6E-409C-BE32-E72D297353CC}">
              <c16:uniqueId val="{00000000-2292-43D6-B8BC-13C5B6FE945F}"/>
            </c:ext>
          </c:extLst>
        </c:ser>
        <c:dLbls>
          <c:showLegendKey val="0"/>
          <c:showVal val="0"/>
          <c:showCatName val="0"/>
          <c:showSerName val="0"/>
          <c:showPercent val="0"/>
          <c:showBubbleSize val="0"/>
        </c:dLbls>
        <c:marker val="1"/>
        <c:smooth val="0"/>
        <c:axId val="270141888"/>
        <c:axId val="270154368"/>
      </c:lineChart>
      <c:catAx>
        <c:axId val="27014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154368"/>
        <c:crosses val="autoZero"/>
        <c:auto val="1"/>
        <c:lblAlgn val="ctr"/>
        <c:lblOffset val="100"/>
        <c:noMultiLvlLbl val="0"/>
      </c:catAx>
      <c:valAx>
        <c:axId val="2701543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I"/>
                  <a:t>K</a:t>
                </a:r>
                <a:r>
                  <a:rPr lang="fr-CI" baseline="0"/>
                  <a:t> (Moy)</a:t>
                </a:r>
                <a:endParaRPr lang="fr-CI"/>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C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01418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13</Pages>
  <Words>3982</Words>
  <Characters>22703</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PC New 16</cp:lastModifiedBy>
  <cp:revision>158</cp:revision>
  <dcterms:created xsi:type="dcterms:W3CDTF">2026-09-12T08:49:00Z</dcterms:created>
  <dcterms:modified xsi:type="dcterms:W3CDTF">2026-09-28T08:08:00Z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d82ddee5-4044-4c2c-8d57-590e296ff0ff</vt:lpwstr>
  </property>
</Properties>
</file>