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tif" ContentType="image/tiff"/>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endnotes.xml" ContentType="application/vnd.openxmlformats-officedocument.wordprocessingml.endnotes+xml"/>
  <Override PartName="/word/fontTable.xml" ContentType="application/vnd.openxmlformats-officedocument.wordprocessingml.fontTable+xml"/>
  <Override PartName="/word/footnotes.xml" ContentType="application/vnd.openxmlformats-officedocument.wordprocessingml.footnotes+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5C0F52" w:rsidRPr="00456420" w:rsidRDefault="005C0F52" w:rsidP="00831B3D">
      <w:pPr>
        <w:tabs>
          <w:tab w:val="left" w:pos="876"/>
        </w:tabs>
        <w:spacing w:after="40" w:line="480" w:lineRule="auto"/>
        <w:ind w:left="340" w:right="340"/>
        <w:jc w:val="right"/>
        <w:rPr>
          <w:rFonts w:ascii="Arial" w:hAnsi="Arial" w:cs="Arial"/>
          <w:b/>
          <w:bCs/>
          <w:sz w:val="36"/>
          <w:szCs w:val="36"/>
        </w:rPr>
      </w:pPr>
      <w:r w:rsidRPr="00456420">
        <w:rPr>
          <w:rFonts w:ascii="Arial" w:hAnsi="Arial" w:cs="Arial"/>
          <w:b/>
          <w:bCs/>
          <w:sz w:val="36"/>
          <w:szCs w:val="36"/>
        </w:rPr>
        <w:t>Original Research Article</w:t>
      </w:r>
    </w:p>
    <w:p w:rsidR="005C0F52" w:rsidRPr="00456420" w:rsidRDefault="005C0F52" w:rsidP="00831B3D">
      <w:pPr>
        <w:tabs>
          <w:tab w:val="left" w:pos="876"/>
        </w:tabs>
        <w:spacing w:after="40" w:line="480" w:lineRule="auto"/>
        <w:ind w:left="340" w:right="340"/>
        <w:jc w:val="right"/>
        <w:rPr>
          <w:rFonts w:ascii="Arial" w:hAnsi="Arial" w:cs="Arial"/>
          <w:b/>
          <w:bCs/>
          <w:sz w:val="36"/>
          <w:szCs w:val="36"/>
        </w:rPr>
      </w:pPr>
    </w:p>
    <w:p w:rsidR="00BA7C02" w:rsidRPr="00456420" w:rsidRDefault="00B748D3" w:rsidP="00831B3D">
      <w:pPr>
        <w:tabs>
          <w:tab w:val="left" w:pos="876"/>
        </w:tabs>
        <w:spacing w:after="40" w:line="480" w:lineRule="auto"/>
        <w:ind w:left="340" w:right="340"/>
        <w:jc w:val="right"/>
        <w:rPr>
          <w:rFonts w:ascii="Arial" w:hAnsi="Arial" w:cs="Arial"/>
          <w:sz w:val="36"/>
          <w:szCs w:val="36"/>
        </w:rPr>
      </w:pPr>
      <w:r w:rsidRPr="00456420">
        <w:rPr>
          <w:rFonts w:ascii="Arial" w:hAnsi="Arial" w:cs="Arial"/>
          <w:b/>
          <w:bCs/>
          <w:sz w:val="36"/>
          <w:szCs w:val="36"/>
        </w:rPr>
        <w:t>Formulation and Evaluation of Mucoadhesive Buccal Patch of Clomipramine Hydrochloride for Enhanced Buccal Drug Delivery</w:t>
      </w:r>
    </w:p>
    <w:p w:rsidR="00F52E12" w:rsidRPr="00456420" w:rsidRDefault="00F52E12" w:rsidP="006C7212">
      <w:pPr>
        <w:spacing w:after="40" w:line="480" w:lineRule="auto"/>
        <w:ind w:left="340" w:right="340"/>
        <w:jc w:val="right"/>
        <w:rPr>
          <w:rFonts w:ascii="Arial" w:hAnsi="Arial"/>
          <w:i/>
          <w:sz w:val="18"/>
        </w:rPr>
      </w:pPr>
    </w:p>
    <w:p w:rsidR="006877FB" w:rsidRPr="00456420" w:rsidRDefault="007D1626" w:rsidP="007D1626">
      <w:pPr>
        <w:spacing w:after="40" w:line="480" w:lineRule="auto"/>
        <w:ind w:left="340" w:right="340"/>
        <w:jc w:val="both"/>
        <w:rPr>
          <w:rFonts w:ascii="Arial" w:hAnsi="Arial"/>
          <w:b/>
          <w:sz w:val="22"/>
        </w:rPr>
      </w:pPr>
      <w:r w:rsidRPr="00456420">
        <w:rPr>
          <w:rFonts w:ascii="Arial" w:eastAsia="Arial" w:hAnsi="Arial" w:cs="Arial"/>
          <w:noProof/>
          <w:color w:val="000000"/>
          <w:sz w:val="16"/>
          <w:szCs w:val="16"/>
          <w:lang w:eastAsia="en-IN"/>
        </w:rPr>
        <mc:AlternateContent>
          <mc:Choice Requires="wps">
            <w:drawing>
              <wp:inline distT="0" distB="0" distL="0" distR="0" wp14:anchorId="14D04F5B" wp14:editId="168124A9">
                <wp:extent cx="5303520" cy="635"/>
                <wp:effectExtent l="9525" t="9525" r="11430" b="9525"/>
                <wp:docPr id="211832140" name="Straight Arrow Connector 4"/>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5303520" cy="0"/>
                        </a:xfrm>
                        <a:prstGeom prst="straightConnector1">
                          <a:avLst/>
                        </a:prstGeom>
                        <a:noFill/>
                        <a:ln w="19050">
                          <a:solidFill>
                            <a:srgbClr val="000000"/>
                          </a:solidFill>
                          <a:round/>
                          <a:headEnd/>
                          <a:tailEnd/>
                        </a:ln>
                        <a:extLst>
                          <a:ext uri="{909E8E84-426E-40DD-AFC4-6F175D3DCCD1}">
                            <a14:hiddenFill xmlns:a14="http://schemas.microsoft.com/office/drawing/2010/main">
                              <a:noFill/>
                            </a14:hiddenFill>
                          </a:ext>
                        </a:extLst>
                      </wps:spPr>
                      <wps:bodyPr/>
                    </wps:wsp>
                  </a:graphicData>
                </a:graphic>
              </wp:inline>
            </w:drawing>
          </mc:Choice>
          <mc:Fallback xmlns:w16sdtfl="http://schemas.microsoft.com/office/word/2024/wordml/sdtformatlock" xmlns:w16sdtdh="http://schemas.microsoft.com/office/word/2020/wordml/sdtdatahash" xmlns:w16du="http://schemas.microsoft.com/office/word/2023/wordml/word16du" xmlns:w16="http://schemas.microsoft.com/office/word/2018/wordml" xmlns:w16cid="http://schemas.microsoft.com/office/word/2016/wordml/cid" xmlns:w16cex="http://schemas.microsoft.com/office/word/2018/wordml/cex" xmlns:oel="http://schemas.microsoft.com/office/2019/extlst"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xmlns:cx1="http://schemas.microsoft.com/office/drawing/2015/9/8/chartex">
            <w:pict>
              <v:shapetype w14:anchorId="6434D84B" id="_x0000_t32" coordsize="21600,21600" o:spt="32" o:oned="t" path="m,l21600,21600e" filled="f">
                <v:path arrowok="t" fillok="f" o:connecttype="none"/>
                <o:lock v:ext="edit" shapetype="t"/>
              </v:shapetype>
              <v:shape id="Straight Arrow Connector 4" o:spid="_x0000_s1026" type="#_x0000_t32" style="width:417.6pt;height:.05pt;visibility:visible;mso-wrap-style:square;mso-left-percent:-10001;mso-top-percent:-10001;mso-position-horizontal:absolute;mso-position-horizontal-relative:char;mso-position-vertical:absolute;mso-position-vertical-relative:line;mso-left-percent:-10001;mso-top-percent:-10001"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" strokeweight="1.5pt">
                <w10:anchorlock/>
              </v:shape>
            </w:pict>
          </mc:Fallback>
        </mc:AlternateContent>
      </w:r>
    </w:p>
    <w:p w:rsidR="00AF513D" w:rsidRPr="00456420" w:rsidRDefault="00AF513D" w:rsidP="007D1626">
      <w:pPr>
        <w:spacing w:after="40" w:line="480" w:lineRule="auto"/>
        <w:ind w:right="340" w:firstLine="340"/>
        <w:jc w:val="both"/>
      </w:pPr>
      <w:r w:rsidRPr="00456420">
        <w:rPr>
          <w:rFonts w:ascii="Arial" w:hAnsi="Arial"/>
          <w:b/>
          <w:sz w:val="22"/>
        </w:rPr>
        <w:t>ABSTRACT</w:t>
      </w:r>
    </w:p>
    <w:p w:rsidR="00456420" w:rsidRPr="00456420" w:rsidRDefault="00456420" w:rsidP="00456420">
      <w:pPr>
        <w:pStyle w:val="NormalWeb"/>
        <w:jc w:val="both"/>
      </w:pPr>
      <w:r w:rsidRPr="00456420">
        <w:rPr>
          <w:rStyle w:val="Strong"/>
          <w:rFonts w:eastAsiaTheme="majorEastAsia"/>
        </w:rPr>
        <w:t>Background:</w:t>
      </w:r>
      <w:r w:rsidRPr="00456420">
        <w:t xml:space="preserve"> Mucoadhesive buccal patches are being investigated as alternatives to conventional oral dosage forms for drugs affected by hepatic first-pass metabolism.</w:t>
      </w:r>
    </w:p>
    <w:p w:rsidR="00456420" w:rsidRPr="00456420" w:rsidRDefault="00456420" w:rsidP="00456420">
      <w:pPr>
        <w:pStyle w:val="NormalWeb"/>
        <w:jc w:val="both"/>
      </w:pPr>
      <w:r w:rsidRPr="00456420">
        <w:rPr>
          <w:rStyle w:val="Strong"/>
          <w:rFonts w:eastAsiaTheme="majorEastAsia"/>
        </w:rPr>
        <w:t>Objective:</w:t>
      </w:r>
      <w:r w:rsidRPr="00456420">
        <w:t xml:space="preserve"> This study aimed to formulate and evaluate clomipramine hydrochloride buccal patches using hydroxypropyl methylcellulose (HPMC E15) and Carbopol 940.</w:t>
      </w:r>
    </w:p>
    <w:p w:rsidR="00456420" w:rsidRPr="00456420" w:rsidRDefault="00456420" w:rsidP="00456420">
      <w:pPr>
        <w:pStyle w:val="NormalWeb"/>
        <w:jc w:val="both"/>
      </w:pPr>
      <w:r w:rsidRPr="00456420">
        <w:rPr>
          <w:rStyle w:val="Strong"/>
          <w:rFonts w:eastAsiaTheme="majorEastAsia"/>
        </w:rPr>
        <w:t>Methods:</w:t>
      </w:r>
      <w:r w:rsidRPr="00456420">
        <w:t xml:space="preserve"> Six formulations (F1–F6) containing 15 mg of clomipramine hydrochloride were prepared by solvent casting with varying polymer proportions and glycerin as a plasticiser. The patches were characterised for physical appearance, weight uniformity, thickness, folding endurance, surface pH, drug content, flatness, swelling, moisture uptake and loss, and in vitro drug release in phosphate buffer (pH 6.8). Release kinetics, surface morphology, and short-term stability were also assessed.</w:t>
      </w:r>
    </w:p>
    <w:p w:rsidR="00456420" w:rsidRPr="00456420" w:rsidRDefault="00456420" w:rsidP="00456420">
      <w:pPr>
        <w:pStyle w:val="NormalWeb"/>
        <w:jc w:val="both"/>
      </w:pPr>
      <w:r w:rsidRPr="00456420">
        <w:rPr>
          <w:rStyle w:val="Strong"/>
          <w:rFonts w:eastAsiaTheme="majorEastAsia"/>
        </w:rPr>
        <w:t>Results:</w:t>
      </w:r>
      <w:r w:rsidRPr="00456420">
        <w:t xml:space="preserve"> The optimised formulation, F3, contained 750 mg of HPMC E15 and 250 mg of Carbopol 940. It showed a surface pH of 6.52, folding endurance exceeding 300 folds, drug content of 98.26%, and a swelling index of 537.13%. Cumulative drug release reached 82.52% after 6 hours. Among the kinetic models examined, the Higuchi model provided the best fit (R² = 0.9894). Following 30 days of room-temperature storage, no visible changes in appearance were reported, and drug content was 97.52%.</w:t>
      </w:r>
    </w:p>
    <w:p w:rsidR="00456420" w:rsidRPr="00456420" w:rsidRDefault="00456420" w:rsidP="00456420">
      <w:pPr>
        <w:pStyle w:val="NormalWeb"/>
        <w:jc w:val="both"/>
      </w:pPr>
      <w:r w:rsidRPr="00456420">
        <w:rPr>
          <w:rStyle w:val="Strong"/>
          <w:rFonts w:eastAsiaTheme="majorEastAsia"/>
        </w:rPr>
        <w:t>Conclusion:</w:t>
      </w:r>
      <w:r w:rsidRPr="00456420">
        <w:t xml:space="preserve"> F3 demonstrated favourable formulation characteristics and sustained in vitro release over the study period. Further permeation and in vivo studies are required to establish buccal absorption and therapeutic performance.</w:t>
      </w:r>
    </w:p>
    <w:p w:rsidR="00AF513D" w:rsidRPr="00456420" w:rsidRDefault="00AF513D" w:rsidP="00456420">
      <w:pPr>
        <w:spacing w:before="120" w:after="240" w:line="480" w:lineRule="auto"/>
        <w:ind w:right="340"/>
        <w:jc w:val="both"/>
        <w:rPr>
          <w:sz w:val="20"/>
          <w:szCs w:val="20"/>
        </w:rPr>
      </w:pPr>
      <w:r w:rsidRPr="00456420">
        <w:rPr>
          <w:rFonts w:ascii="Arial" w:hAnsi="Arial"/>
          <w:b/>
          <w:i/>
          <w:sz w:val="20"/>
          <w:szCs w:val="20"/>
        </w:rPr>
        <w:t xml:space="preserve">Keywords: </w:t>
      </w:r>
      <w:r w:rsidRPr="00456420">
        <w:rPr>
          <w:rFonts w:ascii="Arial" w:hAnsi="Arial"/>
          <w:i/>
          <w:sz w:val="20"/>
          <w:szCs w:val="20"/>
        </w:rPr>
        <w:t>Clomipramine HCl; buccal patch; mucoadhesion; HPMC E15; Carbopol 940; sustained release; Higuchi model.</w:t>
      </w:r>
    </w:p>
    <w:p w:rsidR="009268EE" w:rsidRPr="00456420" w:rsidRDefault="00E17344" w:rsidP="007D1626">
      <w:pPr>
        <w:spacing w:line="480" w:lineRule="auto"/>
        <w:ind w:left="340" w:right="340"/>
        <w:jc w:val="both"/>
        <w:rPr>
          <w:rFonts w:ascii="Arial" w:hAnsi="Arial" w:cs="Arial"/>
          <w:b/>
          <w:bCs/>
          <w:sz w:val="22"/>
          <w:szCs w:val="22"/>
        </w:rPr>
      </w:pPr>
      <w:r w:rsidRPr="00456420">
        <w:rPr>
          <w:rFonts w:ascii="Arial" w:hAnsi="Arial" w:cs="Arial"/>
          <w:b/>
          <w:bCs/>
          <w:sz w:val="22"/>
          <w:szCs w:val="22"/>
        </w:rPr>
        <w:lastRenderedPageBreak/>
        <w:t xml:space="preserve">1. </w:t>
      </w:r>
      <w:r w:rsidR="00BF0E87" w:rsidRPr="00456420">
        <w:rPr>
          <w:rFonts w:ascii="Arial" w:hAnsi="Arial" w:cs="Arial"/>
          <w:b/>
          <w:bCs/>
          <w:sz w:val="22"/>
          <w:szCs w:val="22"/>
        </w:rPr>
        <w:t>INTRODUCTION</w:t>
      </w:r>
    </w:p>
    <w:p w:rsidR="00113A65" w:rsidRPr="00456420" w:rsidRDefault="00BF0E87" w:rsidP="00456420">
      <w:pPr>
        <w:spacing w:line="480" w:lineRule="auto"/>
        <w:ind w:left="340" w:right="340"/>
        <w:jc w:val="both"/>
        <w:rPr>
          <w:rFonts w:ascii="Arial" w:hAnsi="Arial" w:cs="Arial"/>
          <w:bCs/>
          <w:sz w:val="22"/>
          <w:szCs w:val="22"/>
        </w:rPr>
      </w:pPr>
      <w:r w:rsidRPr="00456420">
        <w:rPr>
          <w:rFonts w:ascii="Arial" w:hAnsi="Arial" w:cs="Arial"/>
          <w:sz w:val="20"/>
          <w:szCs w:val="20"/>
        </w:rPr>
        <w:t>Buccal drug delivery offers a convenient alternative to oral administration and may reduce gastrointestinal degradation and hepatic first-pass metabolism. The buccal mucosa is well vascularised, allowing drug absorption into the systemic circulation. Mucoadhesive polymers help retain a formulation at the absorption site, supporting sustained release and potentially improved bioavailability.</w:t>
      </w:r>
      <w:r w:rsidR="00456420" w:rsidRPr="00456420">
        <w:rPr>
          <w:rFonts w:ascii="Arial" w:hAnsi="Arial" w:cs="Arial"/>
          <w:bCs/>
          <w:sz w:val="22"/>
          <w:szCs w:val="22"/>
        </w:rPr>
        <w:t xml:space="preserve"> </w:t>
      </w:r>
      <w:r w:rsidR="0063169A" w:rsidRPr="00456420">
        <w:rPr>
          <w:rFonts w:ascii="Arial" w:hAnsi="Arial"/>
          <w:sz w:val="20"/>
        </w:rPr>
        <w:t>Recent reviews identify polymer selection, film design, and the relationship between drug release and mucosal permeation as important considerations in the development of buccal films (Joshi et al., 2026; Nair et al., 2023).</w:t>
      </w:r>
    </w:p>
    <w:p w:rsidR="00113A65" w:rsidRPr="00456420" w:rsidRDefault="00BF0E87" w:rsidP="00456420">
      <w:pPr>
        <w:spacing w:line="480" w:lineRule="auto"/>
        <w:ind w:left="340" w:right="340"/>
        <w:jc w:val="both"/>
        <w:rPr>
          <w:rFonts w:ascii="Arial" w:hAnsi="Arial" w:cs="Arial"/>
          <w:sz w:val="20"/>
          <w:szCs w:val="20"/>
        </w:rPr>
      </w:pPr>
      <w:r w:rsidRPr="00456420">
        <w:rPr>
          <w:rFonts w:ascii="Arial" w:hAnsi="Arial" w:cs="Arial"/>
          <w:sz w:val="20"/>
          <w:szCs w:val="20"/>
        </w:rPr>
        <w:t>Among buccal dosage forms, patches are flexible, provide a measured dose, and may offer longer residence times than gels, which can be washed away by saliva. They commonly contain a drug-loaded mucoadhesive layer and may include a backing layer to control drug release.</w:t>
      </w:r>
      <w:r w:rsidR="00456420" w:rsidRPr="00456420">
        <w:rPr>
          <w:rFonts w:ascii="Arial" w:hAnsi="Arial" w:cs="Arial"/>
          <w:sz w:val="20"/>
          <w:szCs w:val="20"/>
        </w:rPr>
        <w:t xml:space="preserve"> </w:t>
      </w:r>
      <w:r w:rsidR="0063169A" w:rsidRPr="00456420">
        <w:rPr>
          <w:rFonts w:ascii="Arial" w:hAnsi="Arial"/>
          <w:sz w:val="20"/>
        </w:rPr>
        <w:t>Previo</w:t>
      </w:r>
      <w:r w:rsidR="0063169A" w:rsidRPr="00456420">
        <w:rPr>
          <w:rFonts w:ascii="Arial" w:hAnsi="Arial"/>
          <w:sz w:val="20"/>
        </w:rPr>
        <w:t>us research on solvent-cast buccal films has assessed physical properties alongside in vitro drug release to characterise formulation performance (Mahapatra et al., 2020).</w:t>
      </w:r>
      <w:r w:rsidR="00456420" w:rsidRPr="00456420">
        <w:rPr>
          <w:rFonts w:ascii="Arial" w:hAnsi="Arial" w:cs="Arial"/>
          <w:sz w:val="20"/>
          <w:szCs w:val="20"/>
        </w:rPr>
        <w:t xml:space="preserve"> </w:t>
      </w:r>
      <w:r w:rsidR="0063169A" w:rsidRPr="00456420">
        <w:rPr>
          <w:rFonts w:ascii="Arial" w:hAnsi="Arial"/>
          <w:sz w:val="20"/>
        </w:rPr>
        <w:t>Systematic formulation research has also identified polymer and plasticiser properti</w:t>
      </w:r>
      <w:r w:rsidR="0063169A" w:rsidRPr="00456420">
        <w:rPr>
          <w:rFonts w:ascii="Arial" w:hAnsi="Arial"/>
          <w:sz w:val="20"/>
        </w:rPr>
        <w:t>es, casting volume, and drying conditions as important variables in buccal-film development (Hassan et al., 2023).</w:t>
      </w:r>
    </w:p>
    <w:p w:rsidR="00113A65" w:rsidRPr="00456420" w:rsidRDefault="005C38E0" w:rsidP="00456420">
      <w:pPr>
        <w:spacing w:line="480" w:lineRule="auto"/>
        <w:ind w:left="340" w:right="340"/>
        <w:jc w:val="both"/>
        <w:rPr>
          <w:rFonts w:ascii="Arial" w:hAnsi="Arial" w:cs="Arial"/>
          <w:sz w:val="20"/>
          <w:szCs w:val="20"/>
        </w:rPr>
      </w:pPr>
      <w:r w:rsidRPr="00456420">
        <w:rPr>
          <w:rFonts w:ascii="Arial" w:hAnsi="Arial" w:cs="Arial"/>
          <w:sz w:val="20"/>
          <w:szCs w:val="20"/>
        </w:rPr>
        <w:t>Clomipramine hydrochloride is a tricyclic antidepressant used to treat obsessive-compulsive disorder, panic disorder, major depressive disorder, and chronic pain. It is also used to treat premature ejaculation. These applications make mucoadhesive buccal patches a potentially useful approach to local or systemic drug delivery.</w:t>
      </w:r>
      <w:r w:rsidR="00456420" w:rsidRPr="00456420">
        <w:rPr>
          <w:rFonts w:ascii="Arial" w:hAnsi="Arial" w:cs="Arial"/>
          <w:sz w:val="20"/>
          <w:szCs w:val="20"/>
        </w:rPr>
        <w:t xml:space="preserve"> </w:t>
      </w:r>
      <w:r w:rsidR="0063169A" w:rsidRPr="00456420">
        <w:rPr>
          <w:rFonts w:ascii="Arial" w:hAnsi="Arial"/>
          <w:sz w:val="20"/>
        </w:rPr>
        <w:t>A recent critical review further emphasises that mucoadhesion measur</w:t>
      </w:r>
      <w:r w:rsidR="0063169A" w:rsidRPr="00456420">
        <w:rPr>
          <w:rFonts w:ascii="Arial" w:hAnsi="Arial"/>
          <w:sz w:val="20"/>
        </w:rPr>
        <w:t>ements require cautious interpretation and that formulation-level observations alone do not demonstrate improved clinical absorption (Semwal et al., 2026).</w:t>
      </w:r>
      <w:r w:rsidR="00456420" w:rsidRPr="00456420">
        <w:rPr>
          <w:rFonts w:ascii="Arial" w:hAnsi="Arial" w:cs="Arial"/>
          <w:sz w:val="20"/>
          <w:szCs w:val="20"/>
        </w:rPr>
        <w:t xml:space="preserve"> </w:t>
      </w:r>
      <w:r w:rsidR="0063169A" w:rsidRPr="00456420">
        <w:rPr>
          <w:rFonts w:ascii="Arial" w:hAnsi="Arial"/>
          <w:sz w:val="20"/>
        </w:rPr>
        <w:t>Within the scope of the present investigation, a formulation-level comparison of HPMC E15–Carbopol 9</w:t>
      </w:r>
      <w:r w:rsidR="0063169A" w:rsidRPr="00456420">
        <w:rPr>
          <w:rFonts w:ascii="Arial" w:hAnsi="Arial"/>
          <w:sz w:val="20"/>
        </w:rPr>
        <w:t>40 ratios was needed to relate patch characteristics to in vitro drug-release behaviour.</w:t>
      </w:r>
    </w:p>
    <w:p w:rsidR="00113A65" w:rsidRPr="00456420" w:rsidRDefault="0063169A">
      <w:pPr>
        <w:spacing w:line="480" w:lineRule="auto"/>
        <w:ind w:left="340" w:right="340"/>
        <w:jc w:val="both"/>
        <w:rPr>
          <w:rFonts w:ascii="Arial" w:hAnsi="Arial" w:cs="Arial"/>
          <w:sz w:val="20"/>
          <w:szCs w:val="20"/>
        </w:rPr>
      </w:pPr>
      <w:r w:rsidRPr="00456420">
        <w:rPr>
          <w:rFonts w:ascii="Arial" w:hAnsi="Arial"/>
          <w:sz w:val="20"/>
        </w:rPr>
        <w:t xml:space="preserve">Accordingly, this study aimed to prepare clomipramine hydrochloride mucoadhesive buccal patches by solvent casting with different proportions of HPMC E15 and Carbopol </w:t>
      </w:r>
      <w:r w:rsidRPr="00456420">
        <w:rPr>
          <w:rFonts w:ascii="Arial" w:hAnsi="Arial"/>
          <w:sz w:val="20"/>
        </w:rPr>
        <w:t>940 and to evaluate their physicochemical properties, in vitro drug release, release kinetics, and short-term stability.</w:t>
      </w:r>
    </w:p>
    <w:p w:rsidR="00BF0E87" w:rsidRPr="00456420" w:rsidRDefault="0017780A" w:rsidP="007D1626">
      <w:pPr>
        <w:spacing w:line="480" w:lineRule="auto"/>
        <w:ind w:left="340" w:right="340"/>
        <w:jc w:val="both"/>
        <w:rPr>
          <w:rFonts w:ascii="Arial" w:hAnsi="Arial" w:cs="Arial"/>
          <w:b/>
          <w:bCs/>
          <w:sz w:val="20"/>
          <w:szCs w:val="20"/>
        </w:rPr>
      </w:pPr>
      <w:r w:rsidRPr="00456420">
        <w:rPr>
          <w:rFonts w:ascii="Arial" w:hAnsi="Arial" w:cs="Arial"/>
          <w:b/>
          <w:bCs/>
          <w:sz w:val="20"/>
          <w:szCs w:val="20"/>
        </w:rPr>
        <w:t xml:space="preserve">2. </w:t>
      </w:r>
      <w:r w:rsidR="00C45C8B" w:rsidRPr="00456420">
        <w:rPr>
          <w:rFonts w:ascii="Arial" w:hAnsi="Arial" w:cs="Arial"/>
          <w:b/>
          <w:bCs/>
          <w:sz w:val="20"/>
          <w:szCs w:val="20"/>
        </w:rPr>
        <w:t xml:space="preserve">MATERIALS </w:t>
      </w:r>
      <w:r w:rsidR="00081685" w:rsidRPr="00456420">
        <w:rPr>
          <w:rFonts w:ascii="Arial" w:hAnsi="Arial" w:cs="Arial"/>
          <w:b/>
          <w:bCs/>
          <w:sz w:val="20"/>
          <w:szCs w:val="20"/>
        </w:rPr>
        <w:t>AND METHODS</w:t>
      </w:r>
    </w:p>
    <w:p w:rsidR="00081685" w:rsidRPr="00456420" w:rsidRDefault="0017780A" w:rsidP="007D1626">
      <w:pPr>
        <w:spacing w:line="480" w:lineRule="auto"/>
        <w:ind w:left="340" w:right="340"/>
        <w:jc w:val="both"/>
        <w:rPr>
          <w:rFonts w:ascii="Arial" w:hAnsi="Arial" w:cs="Arial"/>
          <w:b/>
          <w:bCs/>
          <w:sz w:val="22"/>
          <w:szCs w:val="22"/>
        </w:rPr>
      </w:pPr>
      <w:r w:rsidRPr="00456420">
        <w:rPr>
          <w:rFonts w:ascii="Arial" w:hAnsi="Arial" w:cs="Arial"/>
          <w:b/>
          <w:bCs/>
          <w:sz w:val="22"/>
          <w:szCs w:val="22"/>
        </w:rPr>
        <w:lastRenderedPageBreak/>
        <w:t>2.1</w:t>
      </w:r>
      <w:r w:rsidR="00B81CD8" w:rsidRPr="00456420">
        <w:rPr>
          <w:rFonts w:ascii="Arial" w:hAnsi="Arial" w:cs="Arial"/>
          <w:b/>
          <w:bCs/>
          <w:sz w:val="22"/>
          <w:szCs w:val="22"/>
        </w:rPr>
        <w:t xml:space="preserve"> </w:t>
      </w:r>
      <w:r w:rsidR="009C069B" w:rsidRPr="00456420">
        <w:rPr>
          <w:rFonts w:ascii="Arial" w:hAnsi="Arial" w:cs="Arial"/>
          <w:b/>
          <w:bCs/>
          <w:sz w:val="22"/>
          <w:szCs w:val="22"/>
        </w:rPr>
        <w:t>Procurement of Drug and Excipient</w:t>
      </w:r>
    </w:p>
    <w:p w:rsidR="002C492A" w:rsidRPr="00456420" w:rsidRDefault="00050D6D" w:rsidP="007D1626">
      <w:pPr>
        <w:spacing w:line="480" w:lineRule="auto"/>
        <w:ind w:left="340" w:right="340"/>
        <w:jc w:val="both"/>
        <w:rPr>
          <w:rFonts w:ascii="Arial" w:eastAsia="Times New Roman" w:hAnsi="Arial" w:cs="Arial"/>
          <w:sz w:val="20"/>
          <w:szCs w:val="20"/>
        </w:rPr>
      </w:pPr>
      <w:r w:rsidRPr="00456420">
        <w:rPr>
          <w:rFonts w:ascii="Arial" w:eastAsia="Times New Roman" w:hAnsi="Arial" w:cs="Arial"/>
          <w:sz w:val="20"/>
          <w:szCs w:val="20"/>
        </w:rPr>
        <w:t>Clomipramine HCl was provided by Shubham Pharmachem Pvt. Ltd., Mumbai; HPMC E15 and Carbopol 940 were obtained from Jain Industrial Chemicals, Chennai; Tween 80 was obtained from Ocean Chemicals Pvt. Ltd.; and ethanol, glycerin, sucrose, and vanillin were obtained from chemical laboratories.</w:t>
      </w:r>
    </w:p>
    <w:p w:rsidR="0033466F" w:rsidRPr="00456420" w:rsidRDefault="00903665" w:rsidP="004617EB">
      <w:pPr>
        <w:spacing w:line="480" w:lineRule="auto"/>
        <w:ind w:right="340" w:firstLine="340"/>
        <w:jc w:val="both"/>
        <w:rPr>
          <w:rFonts w:ascii="Arial" w:hAnsi="Arial" w:cs="Arial"/>
          <w:b/>
          <w:bCs/>
          <w:sz w:val="22"/>
          <w:szCs w:val="22"/>
        </w:rPr>
      </w:pPr>
      <w:r w:rsidRPr="00456420">
        <w:rPr>
          <w:rFonts w:ascii="Arial" w:hAnsi="Arial" w:cs="Arial"/>
          <w:b/>
          <w:bCs/>
          <w:sz w:val="22"/>
          <w:szCs w:val="22"/>
        </w:rPr>
        <w:t xml:space="preserve">2.2 </w:t>
      </w:r>
      <w:r w:rsidR="00B12E09" w:rsidRPr="00456420">
        <w:rPr>
          <w:rFonts w:ascii="Arial" w:hAnsi="Arial" w:cs="Arial"/>
          <w:b/>
          <w:bCs/>
          <w:sz w:val="22"/>
          <w:szCs w:val="22"/>
        </w:rPr>
        <w:t>Characterization of Drug</w:t>
      </w:r>
    </w:p>
    <w:p w:rsidR="00FE583B" w:rsidRPr="00456420"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456420">
        <w:rPr>
          <w:rFonts w:ascii="Arial" w:eastAsia="Times New Roman" w:hAnsi="Arial" w:cs="Arial"/>
          <w:b/>
          <w:bCs/>
          <w:color w:val="000000" w:themeColor="text1"/>
          <w:sz w:val="20"/>
          <w:szCs w:val="20"/>
          <w:u w:val="single"/>
        </w:rPr>
        <w:t xml:space="preserve">2.2.1 </w:t>
      </w:r>
      <w:r w:rsidR="00FE583B" w:rsidRPr="00456420">
        <w:rPr>
          <w:rFonts w:ascii="Arial" w:eastAsia="Times New Roman" w:hAnsi="Arial" w:cs="Arial"/>
          <w:b/>
          <w:bCs/>
          <w:color w:val="000000" w:themeColor="text1"/>
          <w:sz w:val="20"/>
          <w:szCs w:val="20"/>
          <w:u w:val="single"/>
        </w:rPr>
        <w:t>Organoleptic Properties</w:t>
      </w:r>
    </w:p>
    <w:p w:rsidR="00FE583B" w:rsidRPr="00456420" w:rsidRDefault="00FE583B" w:rsidP="007D1626">
      <w:pPr>
        <w:spacing w:line="480" w:lineRule="auto"/>
        <w:ind w:left="340" w:right="340"/>
        <w:jc w:val="both"/>
        <w:rPr>
          <w:rFonts w:ascii="Arial" w:hAnsi="Arial" w:cs="Arial"/>
          <w:sz w:val="20"/>
          <w:szCs w:val="20"/>
        </w:rPr>
      </w:pPr>
      <w:r w:rsidRPr="00456420">
        <w:rPr>
          <w:rFonts w:ascii="Arial" w:hAnsi="Arial" w:cs="Arial"/>
          <w:sz w:val="20"/>
          <w:szCs w:val="20"/>
        </w:rPr>
        <w:t>The colour, odour, appearance, and taste of the drug were recorded using descriptive terminology.</w:t>
      </w:r>
    </w:p>
    <w:p w:rsidR="00FE583B" w:rsidRPr="00456420"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456420">
        <w:rPr>
          <w:rFonts w:ascii="Arial" w:eastAsia="Times New Roman" w:hAnsi="Arial" w:cs="Arial"/>
          <w:b/>
          <w:bCs/>
          <w:color w:val="000000" w:themeColor="text1"/>
          <w:sz w:val="20"/>
          <w:szCs w:val="20"/>
          <w:u w:val="single"/>
        </w:rPr>
        <w:t xml:space="preserve">2.2.2 </w:t>
      </w:r>
      <w:r w:rsidR="00FE583B" w:rsidRPr="00456420">
        <w:rPr>
          <w:rFonts w:ascii="Arial" w:eastAsia="Times New Roman" w:hAnsi="Arial" w:cs="Arial"/>
          <w:b/>
          <w:bCs/>
          <w:color w:val="000000" w:themeColor="text1"/>
          <w:sz w:val="20"/>
          <w:szCs w:val="20"/>
          <w:u w:val="single"/>
        </w:rPr>
        <w:t xml:space="preserve">Solubility </w:t>
      </w:r>
      <w:r w:rsidR="00F37306" w:rsidRPr="00456420">
        <w:rPr>
          <w:rFonts w:ascii="Arial" w:eastAsia="Times New Roman" w:hAnsi="Arial" w:cs="Arial"/>
          <w:b/>
          <w:bCs/>
          <w:color w:val="000000" w:themeColor="text1"/>
          <w:sz w:val="20"/>
          <w:szCs w:val="20"/>
          <w:u w:val="single"/>
        </w:rPr>
        <w:t>S</w:t>
      </w:r>
      <w:r w:rsidR="00FE583B" w:rsidRPr="00456420">
        <w:rPr>
          <w:rFonts w:ascii="Arial" w:eastAsia="Times New Roman" w:hAnsi="Arial" w:cs="Arial"/>
          <w:b/>
          <w:bCs/>
          <w:color w:val="000000" w:themeColor="text1"/>
          <w:sz w:val="20"/>
          <w:szCs w:val="20"/>
          <w:u w:val="single"/>
        </w:rPr>
        <w:t>tudy</w:t>
      </w:r>
    </w:p>
    <w:p w:rsidR="00F32539" w:rsidRPr="00456420" w:rsidRDefault="00FE583B" w:rsidP="007D1626">
      <w:pPr>
        <w:spacing w:line="480" w:lineRule="auto"/>
        <w:ind w:left="340" w:right="340"/>
        <w:jc w:val="both"/>
        <w:rPr>
          <w:rFonts w:ascii="Arial" w:hAnsi="Arial" w:cs="Arial"/>
          <w:b/>
          <w:bCs/>
          <w:sz w:val="20"/>
          <w:szCs w:val="20"/>
        </w:rPr>
      </w:pPr>
      <w:r w:rsidRPr="00456420">
        <w:rPr>
          <w:rFonts w:ascii="Arial" w:eastAsia="Times New Roman" w:hAnsi="Arial" w:cs="Arial"/>
          <w:sz w:val="20"/>
          <w:szCs w:val="20"/>
        </w:rPr>
        <w:t>The solubility characteristics of a drug in an aqueous system are important because a degree of water solubility is required to elicit a therapeutic response. The solubility of the drug was recorded using descriptive terminology.</w:t>
      </w:r>
    </w:p>
    <w:p w:rsidR="007309DE" w:rsidRPr="00456420" w:rsidRDefault="00903665" w:rsidP="007D1626">
      <w:pPr>
        <w:spacing w:after="0" w:line="480" w:lineRule="auto"/>
        <w:ind w:left="340" w:right="340"/>
        <w:jc w:val="both"/>
        <w:rPr>
          <w:rFonts w:ascii="Arial" w:eastAsia="Times New Roman" w:hAnsi="Arial" w:cs="Arial"/>
          <w:b/>
          <w:bCs/>
          <w:color w:val="000000" w:themeColor="text1"/>
          <w:sz w:val="20"/>
          <w:szCs w:val="20"/>
          <w:u w:val="single"/>
        </w:rPr>
      </w:pPr>
      <w:r w:rsidRPr="00456420">
        <w:rPr>
          <w:rFonts w:ascii="Arial" w:eastAsia="Times New Roman" w:hAnsi="Arial" w:cs="Arial"/>
          <w:b/>
          <w:bCs/>
          <w:color w:val="000000" w:themeColor="text1"/>
          <w:sz w:val="20"/>
          <w:szCs w:val="20"/>
          <w:u w:val="single"/>
        </w:rPr>
        <w:t xml:space="preserve">2.2.3 </w:t>
      </w:r>
      <w:r w:rsidR="007309DE" w:rsidRPr="00456420">
        <w:rPr>
          <w:rFonts w:ascii="Arial" w:eastAsia="Times New Roman" w:hAnsi="Arial" w:cs="Arial"/>
          <w:b/>
          <w:bCs/>
          <w:color w:val="000000" w:themeColor="text1"/>
          <w:sz w:val="20"/>
          <w:szCs w:val="20"/>
          <w:u w:val="single"/>
        </w:rPr>
        <w:t xml:space="preserve">Determination of </w:t>
      </w:r>
      <w:r w:rsidR="00CF5A94" w:rsidRPr="00456420">
        <w:rPr>
          <w:rFonts w:ascii="Arial" w:eastAsia="Times New Roman" w:hAnsi="Arial" w:cs="Arial"/>
          <w:b/>
          <w:bCs/>
          <w:color w:val="000000" w:themeColor="text1"/>
          <w:sz w:val="20"/>
          <w:szCs w:val="20"/>
          <w:u w:val="single"/>
        </w:rPr>
        <w:t>M</w:t>
      </w:r>
      <w:r w:rsidR="007309DE" w:rsidRPr="00456420">
        <w:rPr>
          <w:rFonts w:ascii="Arial" w:eastAsia="Times New Roman" w:hAnsi="Arial" w:cs="Arial"/>
          <w:b/>
          <w:bCs/>
          <w:color w:val="000000" w:themeColor="text1"/>
          <w:sz w:val="20"/>
          <w:szCs w:val="20"/>
          <w:u w:val="single"/>
        </w:rPr>
        <w:t>elting point</w:t>
      </w:r>
    </w:p>
    <w:p w:rsidR="007309DE" w:rsidRPr="00456420" w:rsidRDefault="007309DE" w:rsidP="007D1626">
      <w:pPr>
        <w:spacing w:after="0" w:line="480" w:lineRule="auto"/>
        <w:ind w:left="340" w:right="340"/>
        <w:jc w:val="both"/>
        <w:rPr>
          <w:rFonts w:ascii="Arial" w:hAnsi="Arial" w:cs="Arial"/>
          <w:sz w:val="20"/>
          <w:szCs w:val="20"/>
        </w:rPr>
      </w:pPr>
      <w:r w:rsidRPr="00456420">
        <w:rPr>
          <w:rFonts w:ascii="Arial" w:eastAsia="Times New Roman" w:hAnsi="Arial" w:cs="Arial"/>
          <w:color w:val="000000" w:themeColor="text1"/>
          <w:sz w:val="20"/>
          <w:szCs w:val="20"/>
        </w:rPr>
        <w:t>A small amount of the drug was placed in a capillary tube sealed at one end. The capillary tube was placed in the melting-point apparatus, and the temperature at which the drug melted was recorded.</w:t>
      </w:r>
    </w:p>
    <w:p w:rsidR="00F37306" w:rsidRPr="00456420" w:rsidRDefault="00903665" w:rsidP="007D1626">
      <w:pPr>
        <w:shd w:val="clear" w:color="auto" w:fill="FFFFFF" w:themeFill="background1"/>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2.</w:t>
      </w:r>
      <w:r w:rsidR="00B875F2" w:rsidRPr="00456420">
        <w:rPr>
          <w:rFonts w:ascii="Arial" w:hAnsi="Arial" w:cs="Arial"/>
          <w:b/>
          <w:bCs/>
          <w:sz w:val="20"/>
          <w:szCs w:val="20"/>
          <w:u w:val="single"/>
        </w:rPr>
        <w:t xml:space="preserve">2.4 </w:t>
      </w:r>
      <w:r w:rsidR="00F37306" w:rsidRPr="00456420">
        <w:rPr>
          <w:rFonts w:ascii="Arial" w:hAnsi="Arial" w:cs="Arial"/>
          <w:b/>
          <w:bCs/>
          <w:sz w:val="20"/>
          <w:szCs w:val="20"/>
          <w:u w:val="single"/>
        </w:rPr>
        <w:t>Drug-Excipient Compatibility Study</w:t>
      </w:r>
    </w:p>
    <w:p w:rsidR="00F37306" w:rsidRPr="00456420" w:rsidRDefault="00F37306" w:rsidP="007D1626">
      <w:pPr>
        <w:pStyle w:val="BodyText"/>
        <w:spacing w:line="480" w:lineRule="auto"/>
        <w:ind w:left="340" w:right="340"/>
        <w:jc w:val="both"/>
        <w:rPr>
          <w:rFonts w:ascii="Arial" w:hAnsi="Arial" w:cs="Arial"/>
          <w:sz w:val="20"/>
          <w:szCs w:val="20"/>
        </w:rPr>
      </w:pPr>
      <w:r w:rsidRPr="00456420">
        <w:rPr>
          <w:rFonts w:ascii="Arial" w:hAnsi="Arial" w:cs="Arial"/>
          <w:w w:val="105"/>
          <w:sz w:val="20"/>
          <w:szCs w:val="20"/>
        </w:rPr>
        <w:t>The drug and excipients selected for the formulation were evaluated for physical and chemical compatibility.</w:t>
      </w:r>
    </w:p>
    <w:p w:rsidR="00F37306" w:rsidRPr="00456420" w:rsidRDefault="00B875F2" w:rsidP="007D1626">
      <w:pPr>
        <w:shd w:val="clear" w:color="auto" w:fill="FFFFFF" w:themeFill="background1"/>
        <w:spacing w:after="0" w:line="480" w:lineRule="auto"/>
        <w:ind w:left="340" w:right="340"/>
        <w:jc w:val="both"/>
        <w:rPr>
          <w:rFonts w:ascii="Arial" w:hAnsi="Arial" w:cs="Arial"/>
          <w:b/>
          <w:bCs/>
          <w:i/>
          <w:iCs/>
          <w:sz w:val="20"/>
          <w:szCs w:val="20"/>
        </w:rPr>
      </w:pPr>
      <w:r w:rsidRPr="00456420">
        <w:rPr>
          <w:rFonts w:ascii="Arial" w:hAnsi="Arial" w:cs="Arial"/>
          <w:b/>
          <w:bCs/>
          <w:i/>
          <w:iCs/>
          <w:w w:val="105"/>
          <w:sz w:val="20"/>
          <w:szCs w:val="20"/>
        </w:rPr>
        <w:t>2.2.4.</w:t>
      </w:r>
      <w:r w:rsidR="006D5998" w:rsidRPr="00456420">
        <w:rPr>
          <w:rFonts w:ascii="Arial" w:hAnsi="Arial" w:cs="Arial"/>
          <w:b/>
          <w:bCs/>
          <w:i/>
          <w:iCs/>
          <w:w w:val="105"/>
          <w:sz w:val="20"/>
          <w:szCs w:val="20"/>
        </w:rPr>
        <w:t xml:space="preserve">1 </w:t>
      </w:r>
      <w:r w:rsidR="00CF5A94" w:rsidRPr="00456420">
        <w:rPr>
          <w:rFonts w:ascii="Arial" w:hAnsi="Arial" w:cs="Arial"/>
          <w:b/>
          <w:bCs/>
          <w:i/>
          <w:iCs/>
          <w:w w:val="105"/>
          <w:sz w:val="20"/>
          <w:szCs w:val="20"/>
        </w:rPr>
        <w:t xml:space="preserve">Chemical </w:t>
      </w:r>
      <w:r w:rsidR="00CF5A94" w:rsidRPr="00456420">
        <w:rPr>
          <w:rFonts w:ascii="Arial" w:hAnsi="Arial" w:cs="Arial"/>
          <w:b/>
          <w:bCs/>
          <w:i/>
          <w:iCs/>
          <w:sz w:val="20"/>
          <w:szCs w:val="20"/>
        </w:rPr>
        <w:t>Compatibility Study</w:t>
      </w:r>
    </w:p>
    <w:p w:rsidR="00F37306" w:rsidRPr="00456420" w:rsidRDefault="00F37306" w:rsidP="007D1626">
      <w:pPr>
        <w:spacing w:after="0" w:line="480" w:lineRule="auto"/>
        <w:ind w:left="340" w:right="340"/>
        <w:jc w:val="both"/>
        <w:rPr>
          <w:rFonts w:ascii="Arial" w:hAnsi="Arial" w:cs="Arial"/>
          <w:sz w:val="20"/>
          <w:szCs w:val="20"/>
        </w:rPr>
      </w:pPr>
      <w:r w:rsidRPr="00456420">
        <w:rPr>
          <w:rFonts w:ascii="Arial" w:hAnsi="Arial" w:cs="Arial"/>
          <w:sz w:val="20"/>
          <w:szCs w:val="20"/>
        </w:rPr>
        <w:t>FTIR spectrophotometric analysis was performed to investigate compatibility between the drug and the excipients. The Bruker attenuated total reflection alpha technique was used for the analysis. Spectra of the pure drug, the physical mixture of the optimised blank, and CLOMOPT were recorded at 25.0 ± 0.5 °C by placing the samples on a zinc solenoid crystal plate over the wavenumber range of 4000 to 400 cm -1 and comparing them with the reference Pharmacopoeia.</w:t>
      </w:r>
    </w:p>
    <w:p w:rsidR="00CB571D" w:rsidRPr="00456420" w:rsidRDefault="00B875F2" w:rsidP="007D1626">
      <w:pPr>
        <w:spacing w:after="0" w:line="480" w:lineRule="auto"/>
        <w:ind w:left="340" w:right="340"/>
        <w:jc w:val="both"/>
        <w:rPr>
          <w:rFonts w:ascii="Arial" w:hAnsi="Arial" w:cs="Arial"/>
          <w:sz w:val="20"/>
          <w:szCs w:val="20"/>
          <w:u w:val="single"/>
        </w:rPr>
      </w:pPr>
      <w:r w:rsidRPr="00456420">
        <w:rPr>
          <w:rFonts w:ascii="Arial" w:eastAsia="Times New Roman" w:hAnsi="Arial" w:cs="Arial"/>
          <w:b/>
          <w:bCs/>
          <w:color w:val="000000" w:themeColor="text1"/>
          <w:sz w:val="20"/>
          <w:szCs w:val="20"/>
          <w:u w:val="single"/>
        </w:rPr>
        <w:t>2.2.</w:t>
      </w:r>
      <w:r w:rsidR="008A4A74" w:rsidRPr="00456420">
        <w:rPr>
          <w:rFonts w:ascii="Arial" w:eastAsia="Times New Roman" w:hAnsi="Arial" w:cs="Arial"/>
          <w:b/>
          <w:bCs/>
          <w:color w:val="000000" w:themeColor="text1"/>
          <w:sz w:val="20"/>
          <w:szCs w:val="20"/>
          <w:u w:val="single"/>
        </w:rPr>
        <w:t xml:space="preserve">5 </w:t>
      </w:r>
      <w:r w:rsidR="00CB571D" w:rsidRPr="00456420">
        <w:rPr>
          <w:rFonts w:ascii="Arial" w:eastAsia="Times New Roman" w:hAnsi="Arial" w:cs="Arial"/>
          <w:b/>
          <w:bCs/>
          <w:color w:val="000000" w:themeColor="text1"/>
          <w:sz w:val="20"/>
          <w:szCs w:val="20"/>
          <w:u w:val="single"/>
        </w:rPr>
        <w:t xml:space="preserve">Determination of </w:t>
      </w:r>
      <w:r w:rsidR="00CB571D" w:rsidRPr="00456420">
        <w:rPr>
          <w:rFonts w:ascii="Arial" w:eastAsia="Times New Roman" w:hAnsi="Arial" w:cs="Arial"/>
          <w:b/>
          <w:bCs/>
          <w:sz w:val="20"/>
          <w:szCs w:val="20"/>
          <w:u w:val="single"/>
        </w:rPr>
        <w:t>λ max</w:t>
      </w:r>
      <w:r w:rsidR="00CB571D" w:rsidRPr="00456420">
        <w:rPr>
          <w:rFonts w:ascii="Arial" w:eastAsia="Times New Roman" w:hAnsi="Arial" w:cs="Arial"/>
          <w:b/>
          <w:bCs/>
          <w:color w:val="000000" w:themeColor="text1"/>
          <w:sz w:val="20"/>
          <w:szCs w:val="20"/>
          <w:u w:val="single"/>
        </w:rPr>
        <w:t xml:space="preserve"> </w:t>
      </w:r>
    </w:p>
    <w:p w:rsidR="00CB571D" w:rsidRPr="00456420" w:rsidRDefault="00CB571D" w:rsidP="007D1626">
      <w:pPr>
        <w:shd w:val="clear" w:color="auto" w:fill="FFFFFF" w:themeFill="background1"/>
        <w:spacing w:after="0" w:line="480" w:lineRule="auto"/>
        <w:ind w:left="340" w:right="340"/>
        <w:jc w:val="both"/>
        <w:rPr>
          <w:rFonts w:ascii="Arial" w:eastAsia="Times New Roman" w:hAnsi="Arial" w:cs="Arial"/>
          <w:sz w:val="20"/>
          <w:szCs w:val="20"/>
        </w:rPr>
      </w:pPr>
      <w:r w:rsidRPr="00456420">
        <w:rPr>
          <w:rFonts w:ascii="Arial" w:eastAsia="Times New Roman" w:hAnsi="Arial" w:cs="Arial"/>
          <w:sz w:val="20"/>
          <w:szCs w:val="20"/>
        </w:rPr>
        <w:lastRenderedPageBreak/>
        <w:t>A quantity of 10 mg of clomipramine HCl was weighed and transferred to a 10 mL volumetric flask. The drug was dissolved, and the volume was made up to 10 mL with phosphate buffer (pH 6.8) to obtain a 1000 µg/mL stock solution (stock solution I). A 1 mL aliquot of this stock solution was diluted to 10 mL with phosphate buffer (pH 6.8) to obtain a 100 µg/mL solution (stock solution II). From stock solution II, 1 mL was pipetted into a 10 mL volumetric flask, and the volume was made up to 10 mL using phosphate buffer (pH 6.8) to obtain a concentration of 10 µg/mL. This solution was scanned at 254 nm using a UV–visible spectrophotometer to determine the absorption maximum (λ max).</w:t>
      </w:r>
    </w:p>
    <w:p w:rsidR="006D5998" w:rsidRPr="00456420" w:rsidRDefault="006D5998" w:rsidP="00AA1746">
      <w:pPr>
        <w:shd w:val="clear" w:color="auto" w:fill="FFFFFF" w:themeFill="background1"/>
        <w:spacing w:after="0" w:line="480" w:lineRule="auto"/>
        <w:ind w:left="340" w:right="340"/>
        <w:jc w:val="both"/>
        <w:rPr>
          <w:rFonts w:ascii="Arial" w:eastAsia="Times New Roman" w:hAnsi="Arial" w:cs="Arial"/>
          <w:b/>
          <w:bCs/>
          <w:sz w:val="20"/>
          <w:szCs w:val="20"/>
          <w:u w:val="single"/>
        </w:rPr>
      </w:pPr>
    </w:p>
    <w:p w:rsidR="00CB571D" w:rsidRPr="00456420" w:rsidRDefault="008A4A74" w:rsidP="00AA1746">
      <w:pPr>
        <w:shd w:val="clear" w:color="auto" w:fill="FFFFFF" w:themeFill="background1"/>
        <w:spacing w:after="0" w:line="480" w:lineRule="auto"/>
        <w:ind w:left="340" w:right="340"/>
        <w:jc w:val="both"/>
        <w:rPr>
          <w:rFonts w:ascii="Arial" w:eastAsia="Times New Roman" w:hAnsi="Arial" w:cs="Arial"/>
          <w:sz w:val="20"/>
          <w:szCs w:val="20"/>
          <w:u w:val="single"/>
        </w:rPr>
      </w:pPr>
      <w:r w:rsidRPr="00456420">
        <w:rPr>
          <w:rFonts w:ascii="Arial" w:eastAsia="Times New Roman" w:hAnsi="Arial" w:cs="Arial"/>
          <w:b/>
          <w:bCs/>
          <w:sz w:val="20"/>
          <w:szCs w:val="20"/>
          <w:u w:val="single"/>
        </w:rPr>
        <w:t xml:space="preserve">2.2.6 </w:t>
      </w:r>
      <w:r w:rsidR="00CB571D" w:rsidRPr="00456420">
        <w:rPr>
          <w:rFonts w:ascii="Arial" w:eastAsia="Times New Roman" w:hAnsi="Arial" w:cs="Arial"/>
          <w:b/>
          <w:bCs/>
          <w:sz w:val="20"/>
          <w:szCs w:val="20"/>
          <w:u w:val="single"/>
        </w:rPr>
        <w:t>Standard Curve for Clomipramine HCl</w:t>
      </w:r>
    </w:p>
    <w:p w:rsidR="00CB571D" w:rsidRPr="00456420" w:rsidRDefault="008A4A74" w:rsidP="00AA1746">
      <w:pPr>
        <w:spacing w:after="0" w:line="480" w:lineRule="auto"/>
        <w:ind w:left="340" w:right="340"/>
        <w:jc w:val="both"/>
        <w:rPr>
          <w:rFonts w:ascii="Arial" w:hAnsi="Arial" w:cs="Arial"/>
          <w:b/>
          <w:bCs/>
          <w:i/>
          <w:iCs/>
          <w:sz w:val="20"/>
          <w:szCs w:val="20"/>
        </w:rPr>
      </w:pPr>
      <w:r w:rsidRPr="00456420">
        <w:rPr>
          <w:rFonts w:ascii="Arial" w:eastAsia="Times New Roman" w:hAnsi="Arial" w:cs="Arial"/>
          <w:b/>
          <w:bCs/>
          <w:i/>
          <w:iCs/>
          <w:sz w:val="20"/>
          <w:szCs w:val="20"/>
        </w:rPr>
        <w:t xml:space="preserve">2.2.6.1 </w:t>
      </w:r>
      <w:r w:rsidR="00CB571D" w:rsidRPr="00456420">
        <w:rPr>
          <w:rFonts w:ascii="Arial" w:eastAsia="Times New Roman" w:hAnsi="Arial" w:cs="Arial"/>
          <w:b/>
          <w:bCs/>
          <w:i/>
          <w:iCs/>
          <w:sz w:val="20"/>
          <w:szCs w:val="20"/>
        </w:rPr>
        <w:t>Preparation of Phosphate buffer pH 6.8</w:t>
      </w:r>
    </w:p>
    <w:p w:rsidR="00CB571D" w:rsidRPr="00456420" w:rsidRDefault="00CB571D" w:rsidP="00AA1746">
      <w:pPr>
        <w:spacing w:after="0" w:line="480" w:lineRule="auto"/>
        <w:ind w:left="340" w:right="340"/>
        <w:jc w:val="both"/>
        <w:rPr>
          <w:rFonts w:ascii="Arial" w:hAnsi="Arial" w:cs="Arial"/>
          <w:sz w:val="20"/>
          <w:szCs w:val="20"/>
        </w:rPr>
      </w:pPr>
      <w:r w:rsidRPr="00456420">
        <w:rPr>
          <w:rFonts w:ascii="Arial" w:eastAsia="Times New Roman" w:hAnsi="Arial" w:cs="Arial"/>
          <w:sz w:val="20"/>
          <w:szCs w:val="20"/>
        </w:rPr>
        <w:t>Phosphate buffer (pH 6.8) was prepared by dissolving 28.80 g of disodium hydrogen phosphate and 11.45 g of potassium dihydrogen phosphate in sufficient water. The solution was mixed thoroughly, and the final volume was made up to 1000 mL with distilled water.</w:t>
      </w:r>
    </w:p>
    <w:p w:rsidR="00CB571D" w:rsidRPr="00456420" w:rsidRDefault="008A4A74" w:rsidP="00AA1746">
      <w:pPr>
        <w:spacing w:after="0" w:line="480" w:lineRule="auto"/>
        <w:ind w:left="340" w:right="340"/>
        <w:jc w:val="both"/>
        <w:rPr>
          <w:rFonts w:ascii="Arial" w:hAnsi="Arial" w:cs="Arial"/>
          <w:i/>
          <w:iCs/>
          <w:sz w:val="20"/>
          <w:szCs w:val="20"/>
        </w:rPr>
      </w:pPr>
      <w:r w:rsidRPr="00456420">
        <w:rPr>
          <w:rFonts w:ascii="Arial" w:eastAsia="Times New Roman" w:hAnsi="Arial" w:cs="Arial"/>
          <w:b/>
          <w:bCs/>
          <w:i/>
          <w:iCs/>
          <w:sz w:val="20"/>
          <w:szCs w:val="20"/>
        </w:rPr>
        <w:t xml:space="preserve">2.2.6.2 </w:t>
      </w:r>
      <w:r w:rsidR="00CB571D" w:rsidRPr="00456420">
        <w:rPr>
          <w:rFonts w:ascii="Arial" w:eastAsia="Times New Roman" w:hAnsi="Arial" w:cs="Arial"/>
          <w:b/>
          <w:bCs/>
          <w:i/>
          <w:iCs/>
          <w:sz w:val="20"/>
          <w:szCs w:val="20"/>
        </w:rPr>
        <w:t>Preparation of Stock solution</w:t>
      </w:r>
    </w:p>
    <w:p w:rsidR="00CB571D" w:rsidRPr="00456420" w:rsidRDefault="00CB571D" w:rsidP="00AA1746">
      <w:pPr>
        <w:spacing w:after="0" w:line="480" w:lineRule="auto"/>
        <w:ind w:left="340" w:right="340"/>
        <w:jc w:val="both"/>
        <w:rPr>
          <w:rFonts w:ascii="Arial" w:hAnsi="Arial" w:cs="Arial"/>
          <w:sz w:val="20"/>
          <w:szCs w:val="20"/>
        </w:rPr>
      </w:pPr>
      <w:r w:rsidRPr="00456420">
        <w:rPr>
          <w:rFonts w:ascii="Arial" w:eastAsia="Times New Roman" w:hAnsi="Arial" w:cs="Arial"/>
          <w:sz w:val="20"/>
          <w:szCs w:val="20"/>
        </w:rPr>
        <w:t>A quantity of 10 mg of clomipramine HCl was weighed and transferred to a 100 mL volumetric flask. The drug was dissolved in phosphate buffer (pH 6.8), and the volume was made up to 100 mL with the same buffer to obtain a stock solution of 100 µg/mL. Aliquots of 5, 10, 15, 20, and 25 mL of the stock solution were transferred to separate 100 mL volumetric flasks. Each was made up to volume with phosphate buffer (pH 6.8). The absorbance of these solutions was measured at 254 nm against a blank.</w:t>
      </w:r>
    </w:p>
    <w:p w:rsidR="008118D3" w:rsidRPr="00456420" w:rsidRDefault="008A4A74" w:rsidP="00AA1746">
      <w:pPr>
        <w:spacing w:after="0" w:line="480" w:lineRule="auto"/>
        <w:ind w:left="340" w:right="340"/>
        <w:jc w:val="both"/>
        <w:rPr>
          <w:rFonts w:ascii="Arial" w:eastAsia="Times New Roman" w:hAnsi="Arial" w:cs="Arial"/>
          <w:b/>
          <w:bCs/>
          <w:sz w:val="22"/>
          <w:szCs w:val="22"/>
        </w:rPr>
      </w:pPr>
      <w:r w:rsidRPr="00456420">
        <w:rPr>
          <w:rFonts w:ascii="Arial" w:eastAsia="Times New Roman" w:hAnsi="Arial" w:cs="Arial"/>
          <w:b/>
          <w:bCs/>
          <w:sz w:val="22"/>
          <w:szCs w:val="22"/>
        </w:rPr>
        <w:t xml:space="preserve">2.3 </w:t>
      </w:r>
      <w:r w:rsidR="008118D3" w:rsidRPr="00456420">
        <w:rPr>
          <w:rFonts w:ascii="Arial" w:eastAsia="Times New Roman" w:hAnsi="Arial" w:cs="Arial"/>
          <w:b/>
          <w:bCs/>
          <w:sz w:val="22"/>
          <w:szCs w:val="22"/>
        </w:rPr>
        <w:t>Formulation of Mucoadhesive Buccal Patch of Clomipramine HCl</w:t>
      </w:r>
    </w:p>
    <w:p w:rsidR="008118D3" w:rsidRPr="00456420" w:rsidRDefault="008118D3" w:rsidP="00AA1746">
      <w:pPr>
        <w:spacing w:after="0" w:line="480" w:lineRule="auto"/>
        <w:ind w:left="340" w:right="340"/>
        <w:jc w:val="both"/>
        <w:rPr>
          <w:rFonts w:ascii="Arial" w:hAnsi="Arial" w:cs="Arial"/>
          <w:b/>
          <w:bCs/>
          <w:sz w:val="20"/>
          <w:szCs w:val="20"/>
        </w:rPr>
      </w:pPr>
      <w:r w:rsidRPr="00456420">
        <w:rPr>
          <w:rFonts w:ascii="Arial" w:eastAsia="Times New Roman" w:hAnsi="Arial" w:cs="Arial"/>
          <w:sz w:val="20"/>
          <w:szCs w:val="20"/>
        </w:rPr>
        <w:t>Mucoadhesive buccal patches containing clomipramine HCl were prepared by the solvent-casting method.</w:t>
      </w:r>
    </w:p>
    <w:p w:rsidR="008118D3" w:rsidRPr="00456420" w:rsidRDefault="008A4A74" w:rsidP="00AA1746">
      <w:pPr>
        <w:spacing w:after="0" w:line="480" w:lineRule="auto"/>
        <w:ind w:left="340" w:right="340"/>
        <w:jc w:val="both"/>
        <w:rPr>
          <w:rFonts w:ascii="Arial" w:hAnsi="Arial" w:cs="Arial"/>
          <w:b/>
          <w:bCs/>
          <w:sz w:val="20"/>
          <w:szCs w:val="20"/>
          <w:u w:val="single"/>
          <w:vertAlign w:val="superscript"/>
        </w:rPr>
      </w:pPr>
      <w:r w:rsidRPr="00456420">
        <w:rPr>
          <w:rFonts w:ascii="Arial" w:eastAsia="Times New Roman" w:hAnsi="Arial" w:cs="Arial"/>
          <w:b/>
          <w:bCs/>
          <w:sz w:val="20"/>
          <w:szCs w:val="20"/>
          <w:u w:val="single"/>
        </w:rPr>
        <w:t xml:space="preserve">2.3.1 </w:t>
      </w:r>
      <w:r w:rsidR="003A242A" w:rsidRPr="00456420">
        <w:rPr>
          <w:rFonts w:ascii="Arial" w:eastAsia="Times New Roman" w:hAnsi="Arial" w:cs="Arial"/>
          <w:b/>
          <w:bCs/>
          <w:sz w:val="20"/>
          <w:szCs w:val="20"/>
          <w:u w:val="single"/>
        </w:rPr>
        <w:t>Preparation Process</w:t>
      </w:r>
    </w:p>
    <w:p w:rsidR="008118D3" w:rsidRPr="00456420" w:rsidRDefault="008118D3" w:rsidP="00AA1746">
      <w:pPr>
        <w:spacing w:after="0" w:line="480" w:lineRule="auto"/>
        <w:ind w:left="340" w:right="340"/>
        <w:jc w:val="both"/>
        <w:rPr>
          <w:rFonts w:ascii="Arial" w:eastAsia="Times New Roman" w:hAnsi="Arial" w:cs="Arial"/>
          <w:sz w:val="20"/>
          <w:szCs w:val="20"/>
        </w:rPr>
      </w:pPr>
      <w:r w:rsidRPr="00456420">
        <w:rPr>
          <w:rFonts w:ascii="Arial" w:eastAsia="Times New Roman" w:hAnsi="Arial" w:cs="Arial"/>
          <w:sz w:val="20"/>
          <w:szCs w:val="20"/>
        </w:rPr>
        <w:t xml:space="preserve">Patches were prepared by the solvent-casting method using different proportions of HPMC E15 and Carbopol 940. Glycerol was used as a plasticiser. Carbopol 940 (250 mg) was dispersed in water while stirring at 300 rpm for 10 minutes and was allowed to hydrate for 2 hours. HPMC E15 (750 mg) was dissolved in a 2:1 water–ethanol mixture while stirring at 400 rpm for 20 minutes and was then set aside for 30 minutes. The hydrated Carbopol was incorporated into </w:t>
      </w:r>
      <w:r w:rsidRPr="00456420">
        <w:rPr>
          <w:rFonts w:ascii="Arial" w:eastAsia="Times New Roman" w:hAnsi="Arial" w:cs="Arial"/>
          <w:sz w:val="20"/>
          <w:szCs w:val="20"/>
        </w:rPr>
        <w:lastRenderedPageBreak/>
        <w:t>the HPMC solution and stirred at 400 rpm for 20 minutes, followed by a 30-minute resting period. Clomipramine hydrochloride (15 mg) was dissolved in 1 mL of water and added to the polymer blend while stirring at 300 rpm for 15 minutes. Glycerin (0.20 g) and Tween 80 (0.15 g) were added separately with stirring. Sucrose (0.05 g) and vanillin (0.05 g) were dissolved in 2 mL of water and incorporated into the mixture. The final solution was allowed to rest for 60 minutes to remove air bubbles. The solution was poured into Petri dishes and dried at room temperature for 3 days. The dried films were cut into 2 × 2 cm patches and stored in airtight zip-lock covers.</w:t>
      </w:r>
    </w:p>
    <w:p w:rsidR="006D5998" w:rsidRPr="00456420" w:rsidRDefault="006D5998"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p>
    <w:p w:rsidR="006D5998" w:rsidRPr="00456420" w:rsidRDefault="006D5998"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p>
    <w:p w:rsidR="00920ECD" w:rsidRPr="00456420" w:rsidRDefault="00920ECD" w:rsidP="00AA1746">
      <w:pPr>
        <w:shd w:val="clear" w:color="auto" w:fill="FFFFFF" w:themeFill="background1"/>
        <w:spacing w:after="0" w:line="480" w:lineRule="auto"/>
        <w:ind w:left="340" w:right="340"/>
        <w:jc w:val="both"/>
        <w:rPr>
          <w:rFonts w:ascii="Arial" w:eastAsia="Times New Roman" w:hAnsi="Arial" w:cs="Arial"/>
          <w:b/>
          <w:bCs/>
          <w:color w:val="000000" w:themeColor="text1"/>
          <w:sz w:val="20"/>
          <w:szCs w:val="20"/>
        </w:rPr>
      </w:pPr>
      <w:r w:rsidRPr="00456420">
        <w:rPr>
          <w:rFonts w:ascii="Arial" w:eastAsia="Times New Roman" w:hAnsi="Arial" w:cs="Arial"/>
          <w:b/>
          <w:bCs/>
          <w:color w:val="000000" w:themeColor="text1"/>
          <w:sz w:val="20"/>
          <w:szCs w:val="20"/>
        </w:rPr>
        <w:t>Table 1: Formulation of Mucoadhesive Buccal Patch of Clomipramine HCl</w:t>
      </w:r>
    </w:p>
    <w:tbl>
      <w:tblPr>
        <w:tblStyle w:val="PlainTable2"/>
        <w:tblW w:w="7942" w:type="dxa"/>
        <w:tblInd w:w="547" w:type="dxa"/>
        <w:tblLook w:val="06A0" w:firstRow="1" w:lastRow="0" w:firstColumn="1" w:lastColumn="0" w:noHBand="1" w:noVBand="1"/>
      </w:tblPr>
      <w:tblGrid>
        <w:gridCol w:w="2378"/>
        <w:gridCol w:w="918"/>
        <w:gridCol w:w="918"/>
        <w:gridCol w:w="972"/>
        <w:gridCol w:w="947"/>
        <w:gridCol w:w="918"/>
        <w:gridCol w:w="891"/>
      </w:tblGrid>
      <w:tr w:rsidR="00920ECD" w:rsidRPr="00456420" w:rsidTr="00511722">
        <w:trPr>
          <w:cnfStyle w:val="100000000000" w:firstRow="1" w:lastRow="0" w:firstColumn="0" w:lastColumn="0" w:oddVBand="0" w:evenVBand="0" w:oddHBand="0" w:evenHBand="0" w:firstRowFirstColumn="0" w:firstRowLastColumn="0" w:lastRowFirstColumn="0" w:lastRowLastColumn="0"/>
          <w:trHeight w:val="494"/>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856D0E" w:rsidP="00511722">
            <w:pPr>
              <w:rPr>
                <w:rFonts w:ascii="Arial" w:hAnsi="Arial" w:cs="Arial"/>
                <w:color w:val="000000" w:themeColor="text1"/>
                <w:sz w:val="20"/>
                <w:szCs w:val="20"/>
              </w:rPr>
            </w:pPr>
            <w:r w:rsidRPr="00456420">
              <w:rPr>
                <w:rFonts w:ascii="Arial" w:hAnsi="Arial" w:cs="Arial"/>
                <w:sz w:val="20"/>
                <w:szCs w:val="20"/>
              </w:rPr>
              <w:t>Formulation</w:t>
            </w:r>
          </w:p>
        </w:tc>
        <w:tc>
          <w:tcPr>
            <w:tcW w:w="918"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F1</w:t>
            </w:r>
          </w:p>
        </w:tc>
        <w:tc>
          <w:tcPr>
            <w:tcW w:w="918"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F2</w:t>
            </w:r>
          </w:p>
        </w:tc>
        <w:tc>
          <w:tcPr>
            <w:tcW w:w="972"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F3</w:t>
            </w:r>
          </w:p>
        </w:tc>
        <w:tc>
          <w:tcPr>
            <w:tcW w:w="947"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F4</w:t>
            </w:r>
          </w:p>
        </w:tc>
        <w:tc>
          <w:tcPr>
            <w:tcW w:w="918"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F5</w:t>
            </w:r>
          </w:p>
        </w:tc>
        <w:tc>
          <w:tcPr>
            <w:tcW w:w="891" w:type="dxa"/>
            <w:vAlign w:val="center"/>
          </w:tcPr>
          <w:p w:rsidR="00920ECD" w:rsidRPr="00456420" w:rsidRDefault="00920ECD" w:rsidP="00511722">
            <w:pPr>
              <w:cnfStyle w:val="100000000000" w:firstRow="1"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F6</w:t>
            </w:r>
          </w:p>
        </w:tc>
      </w:tr>
      <w:tr w:rsidR="00920ECD" w:rsidRPr="00456420" w:rsidTr="00511722">
        <w:trPr>
          <w:trHeight w:val="379"/>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Clomipramine HCl (mg)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15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w:t>
            </w:r>
          </w:p>
        </w:tc>
      </w:tr>
      <w:tr w:rsidR="00920ECD" w:rsidRPr="00456420"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HPMC E15 (mg)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1000</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500 </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750 </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850</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670</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950 </w:t>
            </w:r>
          </w:p>
        </w:tc>
      </w:tr>
      <w:tr w:rsidR="00920ECD" w:rsidRPr="00456420" w:rsidTr="00511722">
        <w:trPr>
          <w:trHeight w:val="360"/>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Carbopol 940 (mg)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 </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500 </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250 </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150</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330</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50 </w:t>
            </w:r>
          </w:p>
        </w:tc>
      </w:tr>
      <w:tr w:rsidR="00920ECD" w:rsidRPr="00456420" w:rsidTr="00511722">
        <w:trPr>
          <w:trHeight w:val="354"/>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Glycerin (g)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0.20</w:t>
            </w:r>
          </w:p>
        </w:tc>
      </w:tr>
      <w:tr w:rsidR="00FF24F9" w:rsidRPr="00456420" w:rsidTr="00511722">
        <w:trPr>
          <w:trHeight w:val="354"/>
        </w:trPr>
        <w:tc>
          <w:tcPr>
            <w:cnfStyle w:val="001000000000" w:firstRow="0" w:lastRow="0" w:firstColumn="1" w:lastColumn="0" w:oddVBand="0" w:evenVBand="0" w:oddHBand="0" w:evenHBand="0" w:firstRowFirstColumn="0" w:firstRowLastColumn="0" w:lastRowFirstColumn="0" w:lastRowLastColumn="0"/>
            <w:tcW w:w="2378" w:type="dxa"/>
            <w:vAlign w:val="center"/>
          </w:tcPr>
          <w:p w:rsidR="00FF24F9" w:rsidRPr="00456420" w:rsidRDefault="00FF24F9" w:rsidP="00511722">
            <w:pPr>
              <w:rPr>
                <w:rFonts w:ascii="Arial" w:hAnsi="Arial" w:cs="Arial"/>
                <w:b w:val="0"/>
                <w:bCs w:val="0"/>
                <w:sz w:val="20"/>
                <w:szCs w:val="20"/>
              </w:rPr>
            </w:pPr>
            <w:r w:rsidRPr="00456420">
              <w:rPr>
                <w:rFonts w:ascii="Arial" w:hAnsi="Arial" w:cs="Arial"/>
                <w:b w:val="0"/>
                <w:bCs w:val="0"/>
                <w:sz w:val="20"/>
                <w:szCs w:val="20"/>
              </w:rPr>
              <w:t>Ethanol (ml)</w:t>
            </w:r>
          </w:p>
        </w:tc>
        <w:tc>
          <w:tcPr>
            <w:tcW w:w="918"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c>
          <w:tcPr>
            <w:tcW w:w="918"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c>
          <w:tcPr>
            <w:tcW w:w="972"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c>
          <w:tcPr>
            <w:tcW w:w="947"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c>
          <w:tcPr>
            <w:tcW w:w="918"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c>
          <w:tcPr>
            <w:tcW w:w="891" w:type="dxa"/>
            <w:vAlign w:val="center"/>
          </w:tcPr>
          <w:p w:rsidR="00FF24F9" w:rsidRPr="00456420" w:rsidRDefault="00FF24F9"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w:t>
            </w:r>
          </w:p>
        </w:tc>
      </w:tr>
      <w:tr w:rsidR="00920ECD" w:rsidRPr="00456420" w:rsidTr="00511722">
        <w:trPr>
          <w:trHeight w:val="360"/>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Tween 80 (g)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0.15</w:t>
            </w:r>
          </w:p>
        </w:tc>
      </w:tr>
      <w:tr w:rsidR="00920ECD" w:rsidRPr="00456420"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Distilled water (ml)</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color w:val="000000" w:themeColor="text1"/>
                <w:sz w:val="20"/>
                <w:szCs w:val="20"/>
              </w:rPr>
            </w:pPr>
            <w:r w:rsidRPr="00456420">
              <w:rPr>
                <w:rFonts w:ascii="Arial" w:hAnsi="Arial" w:cs="Arial"/>
                <w:sz w:val="20"/>
                <w:szCs w:val="20"/>
              </w:rPr>
              <w:t xml:space="preserve">q. s </w:t>
            </w:r>
          </w:p>
        </w:tc>
      </w:tr>
      <w:tr w:rsidR="00920ECD" w:rsidRPr="00456420" w:rsidTr="00511722">
        <w:trPr>
          <w:trHeight w:val="367"/>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color w:val="000000" w:themeColor="text1"/>
                <w:sz w:val="20"/>
                <w:szCs w:val="20"/>
              </w:rPr>
            </w:pPr>
            <w:r w:rsidRPr="00456420">
              <w:rPr>
                <w:rFonts w:ascii="Arial" w:hAnsi="Arial" w:cs="Arial"/>
                <w:b w:val="0"/>
                <w:bCs w:val="0"/>
                <w:sz w:val="20"/>
                <w:szCs w:val="20"/>
              </w:rPr>
              <w:t>Sucrose (g)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 0.05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r>
      <w:tr w:rsidR="00920ECD" w:rsidRPr="00456420" w:rsidTr="00511722">
        <w:trPr>
          <w:trHeight w:val="346"/>
        </w:trPr>
        <w:tc>
          <w:tcPr>
            <w:cnfStyle w:val="001000000000" w:firstRow="0" w:lastRow="0" w:firstColumn="1" w:lastColumn="0" w:oddVBand="0" w:evenVBand="0" w:oddHBand="0" w:evenHBand="0" w:firstRowFirstColumn="0" w:firstRowLastColumn="0" w:lastRowFirstColumn="0" w:lastRowLastColumn="0"/>
            <w:tcW w:w="2378" w:type="dxa"/>
            <w:vAlign w:val="center"/>
          </w:tcPr>
          <w:p w:rsidR="00920ECD" w:rsidRPr="00456420" w:rsidRDefault="00920ECD" w:rsidP="00511722">
            <w:pPr>
              <w:rPr>
                <w:rFonts w:ascii="Arial" w:hAnsi="Arial" w:cs="Arial"/>
                <w:b w:val="0"/>
                <w:bCs w:val="0"/>
                <w:sz w:val="20"/>
                <w:szCs w:val="20"/>
              </w:rPr>
            </w:pPr>
            <w:r w:rsidRPr="00456420">
              <w:rPr>
                <w:rFonts w:ascii="Arial" w:hAnsi="Arial" w:cs="Arial"/>
                <w:b w:val="0"/>
                <w:bCs w:val="0"/>
                <w:sz w:val="20"/>
                <w:szCs w:val="20"/>
              </w:rPr>
              <w:t>Vanillin (g)</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72"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47"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918"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c>
          <w:tcPr>
            <w:tcW w:w="891" w:type="dxa"/>
            <w:vAlign w:val="center"/>
          </w:tcPr>
          <w:p w:rsidR="00920ECD" w:rsidRPr="00456420" w:rsidRDefault="00920ECD" w:rsidP="00511722">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0.05</w:t>
            </w:r>
          </w:p>
        </w:tc>
      </w:tr>
    </w:tbl>
    <w:p w:rsidR="00BD154F" w:rsidRPr="00456420" w:rsidRDefault="00BD154F" w:rsidP="00BD154F">
      <w:pPr>
        <w:spacing w:after="0" w:line="480" w:lineRule="auto"/>
        <w:ind w:right="340" w:firstLine="340"/>
        <w:jc w:val="both"/>
        <w:rPr>
          <w:rFonts w:ascii="Arial" w:hAnsi="Arial" w:cs="Arial"/>
          <w:b/>
          <w:bCs/>
          <w:sz w:val="22"/>
          <w:szCs w:val="22"/>
        </w:rPr>
      </w:pPr>
    </w:p>
    <w:p w:rsidR="006342FF" w:rsidRPr="00456420" w:rsidRDefault="008A4A74" w:rsidP="00BD154F">
      <w:pPr>
        <w:spacing w:after="0" w:line="480" w:lineRule="auto"/>
        <w:ind w:right="340" w:firstLine="340"/>
        <w:jc w:val="both"/>
        <w:rPr>
          <w:rFonts w:ascii="Arial" w:eastAsia="Times New Roman" w:hAnsi="Arial" w:cs="Arial"/>
          <w:b/>
          <w:bCs/>
          <w:sz w:val="22"/>
          <w:szCs w:val="22"/>
        </w:rPr>
      </w:pPr>
      <w:r w:rsidRPr="00456420">
        <w:rPr>
          <w:rFonts w:ascii="Arial" w:hAnsi="Arial" w:cs="Arial"/>
          <w:b/>
          <w:bCs/>
          <w:sz w:val="22"/>
          <w:szCs w:val="22"/>
        </w:rPr>
        <w:t xml:space="preserve">2.4 </w:t>
      </w:r>
      <w:r w:rsidR="006342FF" w:rsidRPr="00456420">
        <w:rPr>
          <w:rFonts w:ascii="Arial" w:hAnsi="Arial" w:cs="Arial"/>
          <w:b/>
          <w:bCs/>
          <w:sz w:val="22"/>
          <w:szCs w:val="22"/>
        </w:rPr>
        <w:t xml:space="preserve">Characterization of </w:t>
      </w:r>
      <w:r w:rsidR="006342FF" w:rsidRPr="00456420">
        <w:rPr>
          <w:rFonts w:ascii="Arial" w:eastAsia="Times New Roman" w:hAnsi="Arial" w:cs="Arial"/>
          <w:b/>
          <w:bCs/>
          <w:sz w:val="22"/>
          <w:szCs w:val="22"/>
        </w:rPr>
        <w:t>Mucoadhesive Buccal Patch of Clomipramine HCl</w:t>
      </w:r>
    </w:p>
    <w:p w:rsidR="00F27AA9" w:rsidRPr="00456420" w:rsidRDefault="008A4A74" w:rsidP="00701627">
      <w:pPr>
        <w:spacing w:after="0" w:line="480" w:lineRule="auto"/>
        <w:ind w:left="340" w:right="340"/>
        <w:jc w:val="both"/>
        <w:rPr>
          <w:rFonts w:ascii="Arial" w:eastAsia="Times New Roman" w:hAnsi="Arial" w:cs="Arial"/>
          <w:b/>
          <w:bCs/>
          <w:color w:val="000000" w:themeColor="text1"/>
          <w:sz w:val="20"/>
          <w:szCs w:val="20"/>
          <w:u w:val="single"/>
          <w:vertAlign w:val="superscript"/>
        </w:rPr>
      </w:pPr>
      <w:r w:rsidRPr="00456420">
        <w:rPr>
          <w:rFonts w:ascii="Arial" w:eastAsia="Times New Roman" w:hAnsi="Arial" w:cs="Arial"/>
          <w:b/>
          <w:bCs/>
          <w:color w:val="000000" w:themeColor="text1"/>
          <w:sz w:val="20"/>
          <w:szCs w:val="20"/>
          <w:u w:val="single"/>
        </w:rPr>
        <w:t xml:space="preserve">2.4.1 </w:t>
      </w:r>
      <w:r w:rsidR="00F27AA9" w:rsidRPr="00456420">
        <w:rPr>
          <w:rFonts w:ascii="Arial" w:eastAsia="Times New Roman" w:hAnsi="Arial" w:cs="Arial"/>
          <w:b/>
          <w:bCs/>
          <w:color w:val="000000" w:themeColor="text1"/>
          <w:sz w:val="20"/>
          <w:szCs w:val="20"/>
          <w:u w:val="single"/>
        </w:rPr>
        <w:t>Physical Appearance</w:t>
      </w:r>
    </w:p>
    <w:p w:rsidR="00F27AA9" w:rsidRPr="00456420" w:rsidRDefault="00F27AA9" w:rsidP="00701627">
      <w:pPr>
        <w:spacing w:after="0" w:line="480" w:lineRule="auto"/>
        <w:ind w:left="340" w:right="340"/>
        <w:jc w:val="both"/>
        <w:rPr>
          <w:rFonts w:ascii="Arial" w:eastAsia="Times New Roman" w:hAnsi="Arial" w:cs="Arial"/>
          <w:color w:val="000000" w:themeColor="text1"/>
          <w:sz w:val="20"/>
          <w:szCs w:val="20"/>
        </w:rPr>
      </w:pPr>
      <w:r w:rsidRPr="00456420">
        <w:rPr>
          <w:rFonts w:ascii="Arial" w:eastAsia="Times New Roman" w:hAnsi="Arial" w:cs="Arial"/>
          <w:color w:val="000000" w:themeColor="text1"/>
          <w:sz w:val="20"/>
          <w:szCs w:val="20"/>
        </w:rPr>
        <w:t>All formulated clomipramine HCl patches were examined for surface texture, colour, flexibility, and smoothness.</w:t>
      </w:r>
    </w:p>
    <w:p w:rsidR="00F27AA9" w:rsidRPr="00456420" w:rsidRDefault="008A4A74" w:rsidP="00701627">
      <w:pPr>
        <w:spacing w:after="0" w:line="480" w:lineRule="auto"/>
        <w:ind w:left="340" w:right="340"/>
        <w:jc w:val="both"/>
        <w:rPr>
          <w:rFonts w:ascii="Arial" w:eastAsia="Times New Roman" w:hAnsi="Arial" w:cs="Arial"/>
          <w:b/>
          <w:bCs/>
          <w:color w:val="000000" w:themeColor="text1"/>
          <w:sz w:val="20"/>
          <w:szCs w:val="20"/>
          <w:u w:val="single"/>
          <w:vertAlign w:val="superscript"/>
        </w:rPr>
      </w:pPr>
      <w:r w:rsidRPr="00456420">
        <w:rPr>
          <w:rFonts w:ascii="Arial" w:eastAsia="Times New Roman" w:hAnsi="Arial" w:cs="Arial"/>
          <w:b/>
          <w:bCs/>
          <w:color w:val="000000" w:themeColor="text1"/>
          <w:sz w:val="20"/>
          <w:szCs w:val="20"/>
          <w:u w:val="single"/>
        </w:rPr>
        <w:t xml:space="preserve">2.4.2 </w:t>
      </w:r>
      <w:r w:rsidR="00F27AA9" w:rsidRPr="00456420">
        <w:rPr>
          <w:rFonts w:ascii="Arial" w:eastAsia="Times New Roman" w:hAnsi="Arial" w:cs="Arial"/>
          <w:b/>
          <w:bCs/>
          <w:color w:val="000000" w:themeColor="text1"/>
          <w:sz w:val="20"/>
          <w:szCs w:val="20"/>
          <w:u w:val="single"/>
        </w:rPr>
        <w:t>Weight Uniformity</w:t>
      </w:r>
    </w:p>
    <w:p w:rsidR="00F27AA9" w:rsidRPr="00456420" w:rsidRDefault="00F27AA9" w:rsidP="00701627">
      <w:pPr>
        <w:spacing w:after="0" w:line="480" w:lineRule="auto"/>
        <w:ind w:left="340" w:right="340"/>
        <w:jc w:val="both"/>
        <w:rPr>
          <w:rFonts w:ascii="Arial" w:hAnsi="Arial" w:cs="Arial"/>
          <w:sz w:val="20"/>
          <w:szCs w:val="20"/>
        </w:rPr>
      </w:pPr>
      <w:r w:rsidRPr="00456420">
        <w:rPr>
          <w:rFonts w:ascii="Arial" w:hAnsi="Arial" w:cs="Arial"/>
          <w:sz w:val="20"/>
          <w:szCs w:val="20"/>
        </w:rPr>
        <w:t>Individual patches measuring 2 × 2 cm2 were cut and weighed using a balance, and the average weight variation was calculated.</w:t>
      </w:r>
    </w:p>
    <w:p w:rsidR="00F27AA9" w:rsidRPr="00456420" w:rsidRDefault="008A4A74" w:rsidP="00701627">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2.4.3 </w:t>
      </w:r>
      <w:r w:rsidR="00F27AA9" w:rsidRPr="00456420">
        <w:rPr>
          <w:rFonts w:ascii="Arial" w:hAnsi="Arial" w:cs="Arial"/>
          <w:b/>
          <w:bCs/>
          <w:sz w:val="20"/>
          <w:szCs w:val="20"/>
          <w:u w:val="single"/>
        </w:rPr>
        <w:t>Thickness</w:t>
      </w:r>
    </w:p>
    <w:p w:rsidR="00F27AA9" w:rsidRPr="00456420" w:rsidRDefault="00F27AA9" w:rsidP="00701627">
      <w:pPr>
        <w:spacing w:after="0" w:line="480" w:lineRule="auto"/>
        <w:ind w:left="340" w:right="340"/>
        <w:jc w:val="both"/>
        <w:rPr>
          <w:rFonts w:ascii="Arial" w:hAnsi="Arial" w:cs="Arial"/>
          <w:sz w:val="20"/>
          <w:szCs w:val="20"/>
        </w:rPr>
      </w:pPr>
      <w:r w:rsidRPr="00456420">
        <w:rPr>
          <w:rFonts w:ascii="Arial" w:hAnsi="Arial" w:cs="Arial"/>
          <w:sz w:val="20"/>
          <w:szCs w:val="20"/>
        </w:rPr>
        <w:t>Patch thickness was measured using a screw gauge with a least count of 0.002 mm.</w:t>
      </w:r>
    </w:p>
    <w:p w:rsidR="00F27AA9" w:rsidRPr="00456420" w:rsidRDefault="008A4A74" w:rsidP="00701627">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2.4.4 </w:t>
      </w:r>
      <w:r w:rsidR="00F27AA9" w:rsidRPr="00456420">
        <w:rPr>
          <w:rFonts w:ascii="Arial" w:hAnsi="Arial" w:cs="Arial"/>
          <w:b/>
          <w:bCs/>
          <w:sz w:val="20"/>
          <w:szCs w:val="20"/>
          <w:u w:val="single"/>
        </w:rPr>
        <w:t>Folding Endurance</w:t>
      </w:r>
    </w:p>
    <w:p w:rsidR="00F27AA9" w:rsidRPr="00456420" w:rsidRDefault="00F27AA9" w:rsidP="00701627">
      <w:pPr>
        <w:spacing w:after="0" w:line="480" w:lineRule="auto"/>
        <w:ind w:left="340" w:right="340"/>
        <w:jc w:val="both"/>
        <w:rPr>
          <w:rFonts w:ascii="Arial" w:hAnsi="Arial" w:cs="Arial"/>
          <w:sz w:val="20"/>
          <w:szCs w:val="20"/>
        </w:rPr>
      </w:pPr>
      <w:r w:rsidRPr="00456420">
        <w:rPr>
          <w:rFonts w:ascii="Arial" w:hAnsi="Arial" w:cs="Arial"/>
          <w:sz w:val="20"/>
          <w:szCs w:val="20"/>
        </w:rPr>
        <w:lastRenderedPageBreak/>
        <w:t>Folding endurance was determined by repeatedly folding a patch at the same point until it broke or had been folded 300 times, the latter being considered satisfactory for good film properties.</w:t>
      </w:r>
    </w:p>
    <w:p w:rsidR="00F27AA9" w:rsidRPr="00456420" w:rsidRDefault="008A4A74" w:rsidP="00701627">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2.4.5 </w:t>
      </w:r>
      <w:r w:rsidR="00F27AA9" w:rsidRPr="00456420">
        <w:rPr>
          <w:rFonts w:ascii="Arial" w:hAnsi="Arial" w:cs="Arial"/>
          <w:b/>
          <w:bCs/>
          <w:sz w:val="20"/>
          <w:szCs w:val="20"/>
          <w:u w:val="single"/>
        </w:rPr>
        <w:t>Surface pH</w:t>
      </w:r>
    </w:p>
    <w:p w:rsidR="00701627" w:rsidRPr="00456420" w:rsidRDefault="00F27AA9" w:rsidP="00701627">
      <w:pPr>
        <w:spacing w:after="0" w:line="480" w:lineRule="auto"/>
        <w:ind w:left="340" w:right="340"/>
        <w:jc w:val="both"/>
        <w:rPr>
          <w:rFonts w:ascii="Arial" w:hAnsi="Arial" w:cs="Arial"/>
          <w:sz w:val="20"/>
          <w:szCs w:val="20"/>
        </w:rPr>
      </w:pPr>
      <w:r w:rsidRPr="00456420">
        <w:rPr>
          <w:rFonts w:ascii="Arial" w:hAnsi="Arial" w:cs="Arial"/>
          <w:sz w:val="20"/>
          <w:szCs w:val="20"/>
        </w:rPr>
        <w:t>For this test, each patch was kept in contact with 5 mL of distilled water for 60 minutes at room temperature.</w:t>
      </w:r>
    </w:p>
    <w:p w:rsidR="00173C45" w:rsidRPr="00456420" w:rsidRDefault="0092639C" w:rsidP="00173C45">
      <w:pPr>
        <w:spacing w:after="0" w:line="480" w:lineRule="auto"/>
        <w:ind w:left="340" w:right="340"/>
        <w:jc w:val="both"/>
        <w:rPr>
          <w:rFonts w:ascii="Arial" w:hAnsi="Arial" w:cs="Arial"/>
          <w:sz w:val="20"/>
          <w:szCs w:val="20"/>
        </w:rPr>
      </w:pPr>
      <w:r w:rsidRPr="00456420">
        <w:rPr>
          <w:rFonts w:ascii="Arial" w:hAnsi="Arial" w:cs="Arial"/>
          <w:sz w:val="20"/>
          <w:szCs w:val="20"/>
        </w:rPr>
        <w:t>The pH was then measured using a pH meter. The procedure was performed in triplicate, and the mean value was calculated.</w:t>
      </w:r>
    </w:p>
    <w:p w:rsidR="00F27AA9" w:rsidRPr="00456420" w:rsidRDefault="008A4A74" w:rsidP="00615F1C">
      <w:pPr>
        <w:spacing w:after="0" w:line="480" w:lineRule="auto"/>
        <w:ind w:right="340" w:firstLine="340"/>
        <w:jc w:val="both"/>
        <w:rPr>
          <w:rFonts w:ascii="Arial" w:hAnsi="Arial" w:cs="Arial"/>
          <w:sz w:val="20"/>
          <w:szCs w:val="20"/>
        </w:rPr>
      </w:pPr>
      <w:r w:rsidRPr="00456420">
        <w:rPr>
          <w:rFonts w:ascii="Arial" w:hAnsi="Arial" w:cs="Arial"/>
          <w:b/>
          <w:bCs/>
          <w:sz w:val="20"/>
          <w:szCs w:val="20"/>
          <w:u w:val="single"/>
        </w:rPr>
        <w:t>2.</w:t>
      </w:r>
      <w:r w:rsidR="005C6160" w:rsidRPr="00456420">
        <w:rPr>
          <w:rFonts w:ascii="Arial" w:hAnsi="Arial" w:cs="Arial"/>
          <w:b/>
          <w:bCs/>
          <w:sz w:val="20"/>
          <w:szCs w:val="20"/>
          <w:u w:val="single"/>
        </w:rPr>
        <w:t xml:space="preserve">4.6 </w:t>
      </w:r>
      <w:r w:rsidR="00F27AA9" w:rsidRPr="00456420">
        <w:rPr>
          <w:rFonts w:ascii="Arial" w:hAnsi="Arial" w:cs="Arial"/>
          <w:b/>
          <w:bCs/>
          <w:sz w:val="20"/>
          <w:szCs w:val="20"/>
          <w:u w:val="single"/>
        </w:rPr>
        <w:t>Drug Content Uniformity</w:t>
      </w:r>
    </w:p>
    <w:p w:rsidR="00511722" w:rsidRPr="00456420" w:rsidRDefault="00F27AA9" w:rsidP="00B80E2A">
      <w:pPr>
        <w:spacing w:after="0" w:line="480" w:lineRule="auto"/>
        <w:ind w:left="340" w:right="340"/>
        <w:jc w:val="both"/>
        <w:rPr>
          <w:rFonts w:ascii="Arial" w:hAnsi="Arial" w:cs="Arial"/>
          <w:sz w:val="20"/>
          <w:szCs w:val="20"/>
        </w:rPr>
      </w:pPr>
      <w:r w:rsidRPr="00456420">
        <w:rPr>
          <w:rFonts w:ascii="Arial" w:hAnsi="Arial" w:cs="Arial"/>
          <w:sz w:val="20"/>
          <w:szCs w:val="20"/>
        </w:rPr>
        <w:t>Drug-content uniformity was determined by dissolving a patch (2 × 2 cm) through homogenisation in 50 mL of isotonic phosphate buffer (pH 6.8) for 2 hours, with occasional shaking.</w:t>
      </w:r>
    </w:p>
    <w:p w:rsidR="00F27AA9" w:rsidRPr="00456420" w:rsidRDefault="00F27AA9" w:rsidP="00B80E2A">
      <w:pPr>
        <w:spacing w:after="0" w:line="480" w:lineRule="auto"/>
        <w:ind w:left="340" w:right="340"/>
        <w:jc w:val="both"/>
        <w:rPr>
          <w:rFonts w:ascii="Arial" w:hAnsi="Arial" w:cs="Arial"/>
          <w:sz w:val="20"/>
          <w:szCs w:val="20"/>
        </w:rPr>
      </w:pPr>
      <w:r w:rsidRPr="00456420">
        <w:rPr>
          <w:rFonts w:ascii="Arial" w:hAnsi="Arial" w:cs="Arial"/>
          <w:sz w:val="20"/>
          <w:szCs w:val="20"/>
        </w:rPr>
        <w:t>A 4 mL aliquot was withdrawn and diluted to 10 mL with phosphate buffer (pH 6.8). The resulting solution was filtered through Whatman filter paper, and the drug content was determined using a UV spectrophotometer at 254 nm.</w:t>
      </w:r>
    </w:p>
    <w:p w:rsidR="00F27AA9" w:rsidRPr="00456420" w:rsidRDefault="005C6160" w:rsidP="00B80E2A">
      <w:pPr>
        <w:spacing w:after="0" w:line="480" w:lineRule="auto"/>
        <w:ind w:left="340" w:right="340"/>
        <w:jc w:val="both"/>
        <w:rPr>
          <w:rFonts w:ascii="Arial" w:hAnsi="Arial" w:cs="Arial"/>
          <w:sz w:val="20"/>
          <w:szCs w:val="20"/>
          <w:u w:val="single"/>
          <w:vertAlign w:val="superscript"/>
        </w:rPr>
      </w:pPr>
      <w:r w:rsidRPr="00456420">
        <w:rPr>
          <w:rFonts w:ascii="Arial" w:hAnsi="Arial" w:cs="Arial"/>
          <w:b/>
          <w:bCs/>
          <w:sz w:val="20"/>
          <w:szCs w:val="20"/>
          <w:u w:val="single"/>
        </w:rPr>
        <w:t xml:space="preserve">2.4.7 </w:t>
      </w:r>
      <w:r w:rsidR="00F27AA9" w:rsidRPr="00456420">
        <w:rPr>
          <w:rFonts w:ascii="Arial" w:hAnsi="Arial" w:cs="Arial"/>
          <w:b/>
          <w:bCs/>
          <w:sz w:val="20"/>
          <w:szCs w:val="20"/>
          <w:u w:val="single"/>
        </w:rPr>
        <w:t>Swelling Index</w:t>
      </w:r>
    </w:p>
    <w:p w:rsidR="002559C5" w:rsidRPr="00456420" w:rsidRDefault="00F27AA9" w:rsidP="0092639C">
      <w:pPr>
        <w:spacing w:after="0" w:line="480" w:lineRule="auto"/>
        <w:ind w:left="340" w:right="340"/>
        <w:jc w:val="both"/>
        <w:rPr>
          <w:rFonts w:ascii="Arial" w:hAnsi="Arial" w:cs="Arial"/>
          <w:sz w:val="20"/>
          <w:szCs w:val="20"/>
        </w:rPr>
      </w:pPr>
      <w:r w:rsidRPr="00456420">
        <w:rPr>
          <w:rFonts w:ascii="Arial" w:hAnsi="Arial" w:cs="Arial"/>
          <w:sz w:val="20"/>
          <w:szCs w:val="20"/>
        </w:rPr>
        <w:t>A 2 × 2 cm2 patch was weighed on a pre-weighed microscope slide. Phosphate buffer (50 mL, pH 6.8) was added to a Petri dish containing the patch on the microscope slide. At regular intervals over 60 minutes, the slide was removed and weighed. The difference in weight indicated the increase due to buffer absorption, and patch swelling was calculated using the following equation:</w:t>
      </w:r>
    </w:p>
    <w:p w:rsidR="00F27AA9" w:rsidRPr="00456420" w:rsidRDefault="00307D7D" w:rsidP="00AD36B3">
      <w:pPr>
        <w:spacing w:after="0" w:line="480" w:lineRule="auto"/>
        <w:ind w:left="1780" w:right="340" w:firstLine="380"/>
        <w:jc w:val="both"/>
        <w:rPr>
          <w:rFonts w:ascii="Arial" w:hAnsi="Arial" w:cs="Arial"/>
          <w:sz w:val="20"/>
          <w:szCs w:val="20"/>
        </w:rPr>
      </w:pPr>
      <w:r w:rsidRPr="00456420">
        <w:rPr>
          <w:rFonts w:ascii="Arial" w:hAnsi="Arial" w:cs="Arial"/>
          <w:sz w:val="20"/>
          <w:szCs w:val="20"/>
        </w:rPr>
        <w:t xml:space="preserve"> </w:t>
      </w:r>
      <w:r w:rsidR="00F27AA9" w:rsidRPr="00456420">
        <w:rPr>
          <w:rFonts w:ascii="Arial" w:hAnsi="Arial" w:cs="Arial"/>
          <w:b/>
          <w:bCs/>
          <w:sz w:val="20"/>
          <w:szCs w:val="20"/>
        </w:rPr>
        <w:t xml:space="preserve">Swelling Index = (W2-W1/ W1) x 100% </w:t>
      </w:r>
    </w:p>
    <w:p w:rsidR="00DC7B1E" w:rsidRPr="00456420" w:rsidRDefault="00DC7B1E" w:rsidP="00B80E2A">
      <w:pPr>
        <w:spacing w:after="0" w:line="480" w:lineRule="auto"/>
        <w:ind w:left="340" w:right="340"/>
        <w:jc w:val="both"/>
        <w:rPr>
          <w:rFonts w:ascii="Arial" w:hAnsi="Arial" w:cs="Arial"/>
          <w:sz w:val="20"/>
          <w:szCs w:val="20"/>
        </w:rPr>
      </w:pPr>
      <w:r w:rsidRPr="00456420">
        <w:rPr>
          <w:rFonts w:ascii="Arial" w:hAnsi="Arial" w:cs="Arial"/>
          <w:sz w:val="20"/>
          <w:szCs w:val="20"/>
        </w:rPr>
        <w:t>Here, W1 is the weight of the buccal patch before immersion in phosphate buffer (pH 6.8), and W2 is its weight after immersion and blotting with filter paper.</w:t>
      </w:r>
    </w:p>
    <w:p w:rsidR="00DC7B1E" w:rsidRPr="00456420" w:rsidRDefault="005C6160" w:rsidP="00B80E2A">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2.4.8 </w:t>
      </w:r>
      <w:r w:rsidR="00DC7B1E" w:rsidRPr="00456420">
        <w:rPr>
          <w:rFonts w:ascii="Arial" w:hAnsi="Arial" w:cs="Arial"/>
          <w:b/>
          <w:bCs/>
          <w:sz w:val="20"/>
          <w:szCs w:val="20"/>
          <w:u w:val="single"/>
        </w:rPr>
        <w:t>Flatness</w:t>
      </w:r>
    </w:p>
    <w:p w:rsidR="002002C4" w:rsidRPr="00456420" w:rsidRDefault="00DC7B1E" w:rsidP="009B794A">
      <w:pPr>
        <w:spacing w:after="0" w:line="480" w:lineRule="auto"/>
        <w:ind w:left="340" w:right="340"/>
        <w:jc w:val="both"/>
        <w:rPr>
          <w:rFonts w:ascii="Arial" w:hAnsi="Arial" w:cs="Arial"/>
          <w:sz w:val="20"/>
          <w:szCs w:val="20"/>
        </w:rPr>
      </w:pPr>
      <w:r w:rsidRPr="00456420">
        <w:rPr>
          <w:rFonts w:ascii="Arial" w:hAnsi="Arial" w:cs="Arial"/>
          <w:sz w:val="20"/>
          <w:szCs w:val="20"/>
        </w:rPr>
        <w:t>To determine patch flatness, one strip was cut from the centre and two strips from each side of the patch. The length of each strip was measured, and any variation in length was recorded. These data were used to determine percentage constriction, and the results were expressed as percentage flatness. A constriction of 0% indicates 100% flatness. It was calculated using the following formula:</w:t>
      </w:r>
    </w:p>
    <w:p w:rsidR="00DC7B1E" w:rsidRPr="00456420" w:rsidRDefault="00DC7B1E" w:rsidP="009B794A">
      <w:pPr>
        <w:spacing w:after="0" w:line="480" w:lineRule="auto"/>
        <w:ind w:left="340" w:right="340"/>
        <w:jc w:val="both"/>
        <w:rPr>
          <w:rFonts w:ascii="Arial" w:hAnsi="Arial" w:cs="Arial"/>
          <w:sz w:val="20"/>
          <w:szCs w:val="20"/>
        </w:rPr>
      </w:pPr>
      <w:r w:rsidRPr="00456420">
        <w:rPr>
          <w:rFonts w:ascii="Arial" w:hAnsi="Arial" w:cs="Arial"/>
          <w:b/>
          <w:bCs/>
          <w:sz w:val="20"/>
          <w:szCs w:val="20"/>
        </w:rPr>
        <w:t>% constriction = L1- L2/ L1 × 100</w:t>
      </w:r>
    </w:p>
    <w:p w:rsidR="00DC7B1E" w:rsidRPr="00456420" w:rsidRDefault="00DC7B1E" w:rsidP="002002C4">
      <w:pPr>
        <w:spacing w:after="0" w:line="480" w:lineRule="auto"/>
        <w:ind w:left="340" w:right="340"/>
        <w:jc w:val="both"/>
        <w:rPr>
          <w:rFonts w:ascii="Arial" w:hAnsi="Arial" w:cs="Arial"/>
          <w:sz w:val="20"/>
          <w:szCs w:val="20"/>
        </w:rPr>
      </w:pPr>
      <w:r w:rsidRPr="00456420">
        <w:rPr>
          <w:rFonts w:ascii="Arial" w:hAnsi="Arial" w:cs="Arial"/>
          <w:sz w:val="20"/>
          <w:szCs w:val="20"/>
        </w:rPr>
        <w:lastRenderedPageBreak/>
        <w:t>Here, L1 is the initial strip length (cm), and L2 is the final strip length (cm).</w:t>
      </w:r>
    </w:p>
    <w:p w:rsidR="00DC7B1E" w:rsidRPr="00456420" w:rsidRDefault="005C6160" w:rsidP="00B80E2A">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2.4.9 </w:t>
      </w:r>
      <w:r w:rsidR="00BC36A2" w:rsidRPr="00456420">
        <w:rPr>
          <w:rFonts w:ascii="Arial" w:hAnsi="Arial" w:cs="Arial"/>
          <w:b/>
          <w:bCs/>
          <w:sz w:val="20"/>
          <w:szCs w:val="20"/>
          <w:u w:val="single"/>
        </w:rPr>
        <w:t>Moisture Absorption Studies</w:t>
      </w:r>
    </w:p>
    <w:p w:rsidR="00DC7B1E" w:rsidRPr="00456420" w:rsidRDefault="00DC7B1E" w:rsidP="005A1BA8">
      <w:pPr>
        <w:spacing w:after="0" w:line="480" w:lineRule="auto"/>
        <w:ind w:left="340" w:right="340"/>
        <w:jc w:val="both"/>
        <w:rPr>
          <w:rFonts w:ascii="Arial" w:hAnsi="Arial" w:cs="Arial"/>
          <w:sz w:val="20"/>
          <w:szCs w:val="20"/>
        </w:rPr>
      </w:pPr>
      <w:r w:rsidRPr="00456420">
        <w:rPr>
          <w:rFonts w:ascii="Arial" w:hAnsi="Arial" w:cs="Arial"/>
          <w:sz w:val="20"/>
          <w:szCs w:val="20"/>
        </w:rPr>
        <w:t>Patches were selected from each batch and weighed accurately (W1 mg). These patches were kept in dessicator at room temperature for 24 hours. Then patches were taken out and exposed to 84% relative humidity using a saturate solution of Potassium chloride in another dessicator. Exposure was continued until a constant weight (W2 mg) was obtained. The percent moisture uptake was calculated using following formula:</w:t>
      </w:r>
      <w:r w:rsidR="005A1BA8" w:rsidRPr="00456420">
        <w:rPr>
          <w:rFonts w:ascii="Arial" w:hAnsi="Arial" w:cs="Arial"/>
          <w:sz w:val="20"/>
          <w:szCs w:val="20"/>
        </w:rPr>
        <w:t xml:space="preserve"> </w:t>
      </w:r>
      <w:r w:rsidRPr="00456420">
        <w:rPr>
          <w:rFonts w:ascii="Arial" w:hAnsi="Arial" w:cs="Arial"/>
          <w:b/>
          <w:bCs/>
          <w:sz w:val="20"/>
          <w:szCs w:val="20"/>
        </w:rPr>
        <w:t>% Moisture uptake = (W2- W1)/ W2 × 100</w:t>
      </w:r>
    </w:p>
    <w:p w:rsidR="00DC7B1E" w:rsidRPr="00456420" w:rsidRDefault="005C6160" w:rsidP="002002C4">
      <w:pPr>
        <w:spacing w:after="0" w:line="480" w:lineRule="auto"/>
        <w:ind w:right="340" w:firstLine="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2.4.10 </w:t>
      </w:r>
      <w:r w:rsidR="00BC36A2" w:rsidRPr="00456420">
        <w:rPr>
          <w:rFonts w:ascii="Arial" w:hAnsi="Arial" w:cs="Arial"/>
          <w:b/>
          <w:bCs/>
          <w:sz w:val="20"/>
          <w:szCs w:val="20"/>
          <w:u w:val="single"/>
        </w:rPr>
        <w:t>Moisture Loss Studies</w:t>
      </w:r>
    </w:p>
    <w:p w:rsidR="00DC7B1E" w:rsidRPr="00456420" w:rsidRDefault="00DC7B1E" w:rsidP="00391615">
      <w:pPr>
        <w:spacing w:after="0" w:line="480" w:lineRule="auto"/>
        <w:ind w:left="340" w:right="340"/>
        <w:jc w:val="both"/>
        <w:rPr>
          <w:rFonts w:ascii="Arial" w:hAnsi="Arial" w:cs="Arial"/>
          <w:sz w:val="20"/>
          <w:szCs w:val="20"/>
        </w:rPr>
      </w:pPr>
      <w:r w:rsidRPr="00456420">
        <w:rPr>
          <w:rFonts w:ascii="Arial" w:hAnsi="Arial" w:cs="Arial"/>
          <w:sz w:val="20"/>
          <w:szCs w:val="20"/>
        </w:rPr>
        <w:t>For this test, one patch from each batch was selected and weighed accurately (W1 mg). The patches were kept in a desiccator containing calcium chloride at room temperature for 24 hours. After this period, they were weighed again until a constant weight (W2 mg) was obtained. Percentage moisture content was calculated using the following formula:</w:t>
      </w:r>
    </w:p>
    <w:p w:rsidR="00DC7B1E" w:rsidRPr="00456420" w:rsidRDefault="00DC7B1E" w:rsidP="00391615">
      <w:pPr>
        <w:spacing w:after="0" w:line="480" w:lineRule="auto"/>
        <w:ind w:left="340" w:right="340"/>
        <w:jc w:val="both"/>
        <w:rPr>
          <w:rFonts w:ascii="Arial" w:hAnsi="Arial" w:cs="Arial"/>
          <w:b/>
          <w:bCs/>
          <w:sz w:val="20"/>
          <w:szCs w:val="20"/>
        </w:rPr>
      </w:pPr>
      <w:r w:rsidRPr="00456420">
        <w:rPr>
          <w:rFonts w:ascii="Arial" w:hAnsi="Arial" w:cs="Arial"/>
          <w:b/>
          <w:bCs/>
          <w:sz w:val="20"/>
          <w:szCs w:val="20"/>
        </w:rPr>
        <w:t>% Moisture content = (W1- W2)/ W1 × 100</w:t>
      </w:r>
    </w:p>
    <w:p w:rsidR="00DC7B1E" w:rsidRPr="00456420" w:rsidRDefault="005C6160" w:rsidP="00AD36B3">
      <w:pPr>
        <w:spacing w:after="0" w:line="480" w:lineRule="auto"/>
        <w:ind w:right="340" w:firstLine="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2.4.11 </w:t>
      </w:r>
      <w:r w:rsidR="00BC36A2" w:rsidRPr="00456420">
        <w:rPr>
          <w:rFonts w:ascii="Arial" w:hAnsi="Arial" w:cs="Arial"/>
          <w:b/>
          <w:bCs/>
          <w:sz w:val="20"/>
          <w:szCs w:val="20"/>
          <w:u w:val="single"/>
        </w:rPr>
        <w:t>In- Vitro Drug Release</w:t>
      </w:r>
    </w:p>
    <w:p w:rsidR="00044396" w:rsidRPr="00456420" w:rsidRDefault="00044396" w:rsidP="002B52DB">
      <w:pPr>
        <w:spacing w:after="0" w:line="480" w:lineRule="auto"/>
        <w:ind w:left="340" w:right="340"/>
        <w:jc w:val="both"/>
        <w:rPr>
          <w:rFonts w:ascii="Arial" w:hAnsi="Arial" w:cs="Arial"/>
          <w:sz w:val="20"/>
          <w:szCs w:val="20"/>
        </w:rPr>
      </w:pPr>
      <w:r w:rsidRPr="00456420">
        <w:rPr>
          <w:rFonts w:ascii="Arial" w:hAnsi="Arial" w:cs="Arial"/>
          <w:sz w:val="20"/>
          <w:szCs w:val="20"/>
        </w:rPr>
        <w:t>Drug release from the buccal patches was studied using USP dissolution apparatus type II, maintained at 37 ± 0.5 °C and stirred at 50 rpm. Each 2 × 2 cm² patch was fixed to a coverslip with cyanoacrylate adhesive. The mucoadhesive layer was kept in contact with the dissolution medium, while the backing layer was fixed to the slip. The coverslip was immersed in 500 mL of phosphate buffer (pH 6.8) to prevent floating and allow the patch to settle. Aliquots of 5 mL were withdrawn at 15, 30, 60, 120, 180, 240, 300, and 360 minutes. Equal volumes of fresh buffer at the same temperature were added to maintain sink conditions. Drug concentration was analysed using UV–visible spectrophotometry at λ max (254 nm).</w:t>
      </w:r>
    </w:p>
    <w:p w:rsidR="000E1EB0" w:rsidRPr="00456420" w:rsidRDefault="005C6160" w:rsidP="00391615">
      <w:pPr>
        <w:spacing w:after="0" w:line="480" w:lineRule="auto"/>
        <w:ind w:right="340" w:firstLine="340"/>
        <w:jc w:val="both"/>
        <w:rPr>
          <w:rFonts w:ascii="Arial" w:hAnsi="Arial" w:cs="Arial"/>
          <w:b/>
          <w:bCs/>
          <w:sz w:val="20"/>
          <w:szCs w:val="20"/>
          <w:u w:val="single"/>
        </w:rPr>
      </w:pPr>
      <w:r w:rsidRPr="00456420">
        <w:rPr>
          <w:rFonts w:ascii="Arial" w:hAnsi="Arial" w:cs="Arial"/>
          <w:b/>
          <w:bCs/>
          <w:sz w:val="20"/>
          <w:szCs w:val="20"/>
          <w:u w:val="single"/>
        </w:rPr>
        <w:t xml:space="preserve">2.4.12 </w:t>
      </w:r>
      <w:r w:rsidR="00633757" w:rsidRPr="00456420">
        <w:rPr>
          <w:rFonts w:ascii="Arial" w:hAnsi="Arial" w:cs="Arial"/>
          <w:b/>
          <w:bCs/>
          <w:sz w:val="20"/>
          <w:szCs w:val="20"/>
          <w:u w:val="single"/>
        </w:rPr>
        <w:t>Release Kinetic Study</w:t>
      </w:r>
    </w:p>
    <w:p w:rsidR="00A26423" w:rsidRPr="00456420" w:rsidRDefault="00A26423" w:rsidP="00391615">
      <w:pPr>
        <w:spacing w:after="0" w:line="480" w:lineRule="auto"/>
        <w:ind w:left="340" w:right="340"/>
        <w:jc w:val="both"/>
        <w:rPr>
          <w:rFonts w:ascii="Arial" w:hAnsi="Arial" w:cs="Arial"/>
          <w:sz w:val="20"/>
          <w:szCs w:val="20"/>
        </w:rPr>
      </w:pPr>
      <w:r w:rsidRPr="00456420">
        <w:rPr>
          <w:rFonts w:ascii="Arial" w:hAnsi="Arial" w:cs="Arial"/>
          <w:sz w:val="20"/>
          <w:szCs w:val="20"/>
        </w:rPr>
        <w:t>To analyse drug-release behaviour, the dissolution profiles of all batches were fitted to zero-order, first-order, Higuchi, Hixson–Crowell, and Korsmeyer–Peppas kinetic models.</w:t>
      </w:r>
    </w:p>
    <w:p w:rsidR="00885334" w:rsidRPr="00456420" w:rsidRDefault="005C6160" w:rsidP="00391615">
      <w:pPr>
        <w:spacing w:after="0" w:line="480" w:lineRule="auto"/>
        <w:ind w:left="340" w:right="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2.4.13 </w:t>
      </w:r>
      <w:r w:rsidR="00885334" w:rsidRPr="00456420">
        <w:rPr>
          <w:rFonts w:ascii="Arial" w:hAnsi="Arial" w:cs="Arial"/>
          <w:b/>
          <w:bCs/>
          <w:sz w:val="20"/>
          <w:szCs w:val="20"/>
          <w:u w:val="single"/>
        </w:rPr>
        <w:t>Scanning Electron Microscopy (S</w:t>
      </w:r>
      <w:r w:rsidR="004D5AF1" w:rsidRPr="00456420">
        <w:rPr>
          <w:rFonts w:ascii="Arial" w:hAnsi="Arial" w:cs="Arial"/>
          <w:b/>
          <w:bCs/>
          <w:sz w:val="20"/>
          <w:szCs w:val="20"/>
          <w:u w:val="single"/>
        </w:rPr>
        <w:t>EM</w:t>
      </w:r>
      <w:r w:rsidR="00885334" w:rsidRPr="00456420">
        <w:rPr>
          <w:rFonts w:ascii="Arial" w:hAnsi="Arial" w:cs="Arial"/>
          <w:b/>
          <w:bCs/>
          <w:sz w:val="20"/>
          <w:szCs w:val="20"/>
          <w:u w:val="single"/>
        </w:rPr>
        <w:t>)</w:t>
      </w:r>
    </w:p>
    <w:p w:rsidR="00C1606E" w:rsidRPr="00456420" w:rsidRDefault="00C1606E" w:rsidP="00D26924">
      <w:pPr>
        <w:spacing w:after="0" w:line="480" w:lineRule="auto"/>
        <w:ind w:left="340" w:right="340"/>
        <w:jc w:val="both"/>
        <w:rPr>
          <w:rFonts w:ascii="Arial" w:hAnsi="Arial" w:cs="Arial"/>
          <w:sz w:val="20"/>
          <w:szCs w:val="20"/>
        </w:rPr>
      </w:pPr>
      <w:r w:rsidRPr="00456420">
        <w:rPr>
          <w:rFonts w:ascii="Arial" w:hAnsi="Arial" w:cs="Arial"/>
          <w:sz w:val="20"/>
          <w:szCs w:val="20"/>
        </w:rPr>
        <w:t>Patch morphology was analysed using SEM. The selected sample was mounted on brass stubs with double-sided adhesive and sputter-coated with gold–palladium for 30 seconds under argon. The coated stub was then placed in the SEM chamber for examination.</w:t>
      </w:r>
    </w:p>
    <w:p w:rsidR="00885334" w:rsidRPr="00456420" w:rsidRDefault="005C6160" w:rsidP="00F766EC">
      <w:pPr>
        <w:spacing w:after="0" w:line="480" w:lineRule="auto"/>
        <w:ind w:right="340" w:firstLine="340"/>
        <w:jc w:val="both"/>
        <w:rPr>
          <w:rFonts w:ascii="Arial" w:hAnsi="Arial" w:cs="Arial"/>
          <w:sz w:val="20"/>
          <w:szCs w:val="20"/>
          <w:u w:val="single"/>
          <w:vertAlign w:val="superscript"/>
        </w:rPr>
      </w:pPr>
      <w:r w:rsidRPr="00456420">
        <w:rPr>
          <w:rFonts w:ascii="Arial" w:hAnsi="Arial" w:cs="Arial"/>
          <w:b/>
          <w:bCs/>
          <w:sz w:val="20"/>
          <w:szCs w:val="20"/>
          <w:u w:val="single"/>
        </w:rPr>
        <w:t>2.4.</w:t>
      </w:r>
      <w:r w:rsidR="00A855D8" w:rsidRPr="00456420">
        <w:rPr>
          <w:rFonts w:ascii="Arial" w:hAnsi="Arial" w:cs="Arial"/>
          <w:b/>
          <w:bCs/>
          <w:sz w:val="20"/>
          <w:szCs w:val="20"/>
          <w:u w:val="single"/>
        </w:rPr>
        <w:t xml:space="preserve">14 </w:t>
      </w:r>
      <w:r w:rsidR="004D5AF1" w:rsidRPr="00456420">
        <w:rPr>
          <w:rFonts w:ascii="Arial" w:hAnsi="Arial" w:cs="Arial"/>
          <w:b/>
          <w:bCs/>
          <w:sz w:val="20"/>
          <w:szCs w:val="20"/>
          <w:u w:val="single"/>
        </w:rPr>
        <w:t>Stability Studies</w:t>
      </w:r>
    </w:p>
    <w:p w:rsidR="004833F9" w:rsidRPr="00456420" w:rsidRDefault="00056428" w:rsidP="00845ADF">
      <w:pPr>
        <w:spacing w:after="0" w:line="480" w:lineRule="auto"/>
        <w:ind w:left="340" w:right="340"/>
        <w:jc w:val="both"/>
        <w:rPr>
          <w:rFonts w:ascii="Arial" w:hAnsi="Arial" w:cs="Arial"/>
          <w:sz w:val="20"/>
          <w:szCs w:val="20"/>
        </w:rPr>
      </w:pPr>
      <w:r w:rsidRPr="00456420">
        <w:rPr>
          <w:rFonts w:ascii="Arial" w:hAnsi="Arial" w:cs="Arial"/>
          <w:sz w:val="20"/>
          <w:szCs w:val="20"/>
        </w:rPr>
        <w:lastRenderedPageBreak/>
        <w:t>Stability testing was performed in accordance with ICH guidelines to evaluate the stability of the drug and formulation under environmental conditions. Buccal patches were wrapped in aluminium foil and stored at room temperature for one month. After storage, they were examined for appearance, thickness, and drug content.</w:t>
      </w:r>
    </w:p>
    <w:p w:rsidR="00CF3ACF" w:rsidRPr="00456420" w:rsidRDefault="00A855D8" w:rsidP="00845ADF">
      <w:pPr>
        <w:spacing w:after="0" w:line="480" w:lineRule="auto"/>
        <w:ind w:left="340" w:right="340"/>
        <w:jc w:val="both"/>
        <w:rPr>
          <w:rFonts w:ascii="Arial" w:hAnsi="Arial" w:cs="Arial"/>
          <w:b/>
          <w:bCs/>
          <w:sz w:val="22"/>
          <w:szCs w:val="22"/>
        </w:rPr>
      </w:pPr>
      <w:r w:rsidRPr="00456420">
        <w:rPr>
          <w:rFonts w:ascii="Arial" w:hAnsi="Arial" w:cs="Arial"/>
          <w:b/>
          <w:bCs/>
          <w:sz w:val="22"/>
          <w:szCs w:val="22"/>
        </w:rPr>
        <w:t xml:space="preserve">3. </w:t>
      </w:r>
      <w:r w:rsidR="002C2AC8" w:rsidRPr="00456420">
        <w:rPr>
          <w:rFonts w:ascii="Arial" w:hAnsi="Arial" w:cs="Arial"/>
          <w:b/>
          <w:bCs/>
          <w:sz w:val="22"/>
          <w:szCs w:val="22"/>
        </w:rPr>
        <w:t>RESULT</w:t>
      </w:r>
      <w:r w:rsidR="00B7707D" w:rsidRPr="00456420">
        <w:rPr>
          <w:rFonts w:ascii="Arial" w:hAnsi="Arial" w:cs="Arial"/>
          <w:b/>
          <w:bCs/>
          <w:sz w:val="22"/>
          <w:szCs w:val="22"/>
        </w:rPr>
        <w:t>S</w:t>
      </w:r>
      <w:r w:rsidR="002C2AC8" w:rsidRPr="00456420">
        <w:rPr>
          <w:rFonts w:ascii="Arial" w:hAnsi="Arial" w:cs="Arial"/>
          <w:b/>
          <w:bCs/>
          <w:sz w:val="22"/>
          <w:szCs w:val="22"/>
        </w:rPr>
        <w:t xml:space="preserve"> AND DISCUSSION</w:t>
      </w:r>
    </w:p>
    <w:p w:rsidR="00B7707D" w:rsidRPr="00456420" w:rsidRDefault="00A855D8" w:rsidP="00845ADF">
      <w:pPr>
        <w:spacing w:after="0" w:line="480" w:lineRule="auto"/>
        <w:ind w:left="340" w:right="340"/>
        <w:jc w:val="both"/>
        <w:rPr>
          <w:rFonts w:ascii="Arial" w:hAnsi="Arial" w:cs="Arial"/>
          <w:b/>
          <w:bCs/>
          <w:sz w:val="22"/>
          <w:szCs w:val="22"/>
        </w:rPr>
      </w:pPr>
      <w:r w:rsidRPr="00456420">
        <w:rPr>
          <w:rFonts w:ascii="Arial" w:hAnsi="Arial" w:cs="Arial"/>
          <w:b/>
          <w:bCs/>
          <w:sz w:val="22"/>
          <w:szCs w:val="22"/>
        </w:rPr>
        <w:t xml:space="preserve">3.1 </w:t>
      </w:r>
      <w:r w:rsidR="00D619FE" w:rsidRPr="00456420">
        <w:rPr>
          <w:rFonts w:ascii="Arial" w:hAnsi="Arial" w:cs="Arial"/>
          <w:b/>
          <w:bCs/>
          <w:sz w:val="22"/>
          <w:szCs w:val="22"/>
        </w:rPr>
        <w:t>Characterization of Drug</w:t>
      </w:r>
    </w:p>
    <w:p w:rsidR="002462F7" w:rsidRPr="00456420" w:rsidRDefault="00A855D8" w:rsidP="00845ADF">
      <w:pPr>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3.1.1 </w:t>
      </w:r>
      <w:r w:rsidR="002462F7" w:rsidRPr="00456420">
        <w:rPr>
          <w:rFonts w:ascii="Arial" w:hAnsi="Arial" w:cs="Arial"/>
          <w:b/>
          <w:bCs/>
          <w:sz w:val="20"/>
          <w:szCs w:val="20"/>
          <w:u w:val="single"/>
        </w:rPr>
        <w:t>Organoleptic Properties</w:t>
      </w:r>
    </w:p>
    <w:p w:rsidR="00F968C3" w:rsidRPr="00456420" w:rsidRDefault="00711B9D" w:rsidP="00845ADF">
      <w:pPr>
        <w:spacing w:after="0" w:line="480" w:lineRule="auto"/>
        <w:ind w:left="340" w:right="340"/>
        <w:jc w:val="both"/>
        <w:rPr>
          <w:rFonts w:ascii="Arial" w:hAnsi="Arial" w:cs="Arial"/>
          <w:sz w:val="20"/>
          <w:szCs w:val="20"/>
        </w:rPr>
      </w:pPr>
      <w:r w:rsidRPr="00456420">
        <w:rPr>
          <w:rFonts w:ascii="Arial" w:hAnsi="Arial" w:cs="Arial"/>
          <w:sz w:val="20"/>
          <w:szCs w:val="20"/>
        </w:rPr>
        <w:t>Clomipramine HCl was observed to be a white, odourless, crystalline powder.</w:t>
      </w:r>
    </w:p>
    <w:p w:rsidR="000F2DBA" w:rsidRPr="00456420" w:rsidRDefault="0063169A">
      <w:pPr>
        <w:jc w:val="both"/>
      </w:pPr>
      <w:r w:rsidRPr="00456420">
        <w:rPr>
          <w:rFonts w:ascii="Arial" w:hAnsi="Arial"/>
          <w:sz w:val="20"/>
        </w:rPr>
        <w:t xml:space="preserve">Organoleptic observation provides a </w:t>
      </w:r>
      <w:r w:rsidRPr="00456420">
        <w:rPr>
          <w:rFonts w:ascii="Arial" w:hAnsi="Arial"/>
          <w:sz w:val="20"/>
        </w:rPr>
        <w:t>preliminary indication of identity and quality but is not sufficiently specific to establish drug identity. Accordingly, this observation is best interpreted alongside instrumental characterisation and validated analytical procedures reported for clomipram</w:t>
      </w:r>
      <w:r w:rsidRPr="00456420">
        <w:rPr>
          <w:rFonts w:ascii="Arial" w:hAnsi="Arial"/>
          <w:sz w:val="20"/>
        </w:rPr>
        <w:t>ine (Ali et al., 2016; Ghumman et al., 2023; Rahman &amp; Afaq, 2010).</w:t>
      </w:r>
    </w:p>
    <w:p w:rsidR="0057452C" w:rsidRPr="00456420" w:rsidRDefault="008511EA" w:rsidP="00160428">
      <w:pPr>
        <w:spacing w:line="480" w:lineRule="auto"/>
        <w:ind w:right="340" w:firstLine="340"/>
        <w:jc w:val="both"/>
        <w:rPr>
          <w:rFonts w:ascii="Arial" w:hAnsi="Arial" w:cs="Arial"/>
          <w:b/>
          <w:sz w:val="20"/>
          <w:szCs w:val="20"/>
          <w:u w:val="single"/>
        </w:rPr>
      </w:pPr>
      <w:r w:rsidRPr="00456420">
        <w:rPr>
          <w:rFonts w:ascii="Arial" w:hAnsi="Arial" w:cs="Arial"/>
          <w:b/>
          <w:sz w:val="20"/>
          <w:szCs w:val="20"/>
          <w:u w:val="single"/>
        </w:rPr>
        <w:t xml:space="preserve">3.1.2 </w:t>
      </w:r>
      <w:r w:rsidR="003F76C5" w:rsidRPr="00456420">
        <w:rPr>
          <w:rFonts w:ascii="Arial" w:hAnsi="Arial" w:cs="Arial"/>
          <w:b/>
          <w:sz w:val="20"/>
          <w:szCs w:val="20"/>
          <w:u w:val="single"/>
        </w:rPr>
        <w:t>Determination of Melting Point</w:t>
      </w:r>
    </w:p>
    <w:p w:rsidR="002A7A04" w:rsidRPr="00456420" w:rsidRDefault="0062763C" w:rsidP="002A7A04">
      <w:pPr>
        <w:pBdr>
          <w:top w:val="nil"/>
          <w:left w:val="nil"/>
          <w:bottom w:val="nil"/>
          <w:right w:val="nil"/>
          <w:between w:val="nil"/>
        </w:pBdr>
        <w:spacing w:after="120" w:line="480" w:lineRule="auto"/>
        <w:ind w:left="340" w:right="340"/>
        <w:jc w:val="both"/>
        <w:rPr>
          <w:rFonts w:ascii="Arial" w:eastAsia="Arial" w:hAnsi="Arial" w:cs="Arial"/>
          <w:color w:val="000000"/>
          <w:sz w:val="20"/>
          <w:szCs w:val="20"/>
        </w:rPr>
      </w:pPr>
      <w:r w:rsidRPr="00456420">
        <w:rPr>
          <w:rFonts w:ascii="Arial" w:eastAsia="Arial" w:hAnsi="Arial" w:cs="Arial"/>
          <w:color w:val="000000"/>
          <w:sz w:val="20"/>
          <w:szCs w:val="20"/>
        </w:rPr>
        <w:t>The observed melting point of clomipramine HCl was 192 ºC, which agreed with the standard range of 192–196 ºC.</w:t>
      </w:r>
    </w:p>
    <w:p w:rsidR="002B52DB" w:rsidRPr="00456420" w:rsidRDefault="002B52DB" w:rsidP="002A7A04">
      <w:pPr>
        <w:pBdr>
          <w:top w:val="nil"/>
          <w:left w:val="nil"/>
          <w:bottom w:val="nil"/>
          <w:right w:val="nil"/>
          <w:between w:val="nil"/>
        </w:pBdr>
        <w:spacing w:after="120" w:line="480" w:lineRule="auto"/>
        <w:ind w:left="340" w:right="340"/>
        <w:jc w:val="both"/>
        <w:rPr>
          <w:rFonts w:ascii="Arial" w:hAnsi="Arial" w:cs="Arial"/>
          <w:b/>
          <w:bCs/>
          <w:sz w:val="20"/>
          <w:szCs w:val="20"/>
          <w:u w:val="single"/>
        </w:rPr>
      </w:pPr>
    </w:p>
    <w:p w:rsidR="000F2DBA" w:rsidRPr="00456420" w:rsidRDefault="0063169A">
      <w:pPr>
        <w:jc w:val="both"/>
      </w:pPr>
      <w:r w:rsidRPr="00456420">
        <w:rPr>
          <w:rFonts w:ascii="Arial" w:hAnsi="Arial"/>
          <w:sz w:val="20"/>
        </w:rPr>
        <w:t>A measured melting point close to 192 °C</w:t>
      </w:r>
      <w:r w:rsidRPr="00456420">
        <w:rPr>
          <w:rFonts w:ascii="Arial" w:hAnsi="Arial"/>
          <w:sz w:val="20"/>
        </w:rPr>
        <w:t xml:space="preserve"> supports the characterisation of the sample as crystalline clomipramine hydrochloride; nevertheless, thermal behaviour can vary with solid-state form and experimental conditions. Agreement with the reported melting point should therefore complement spectr</w:t>
      </w:r>
      <w:r w:rsidRPr="00456420">
        <w:rPr>
          <w:rFonts w:ascii="Arial" w:hAnsi="Arial"/>
          <w:sz w:val="20"/>
        </w:rPr>
        <w:t>oscopic and thermal characterisation rather than serve as an independent identity test (Ghumman et al., 2023; Patel &amp; Karvekar, 2019; Rahman &amp; Afaq, 2010).</w:t>
      </w:r>
    </w:p>
    <w:p w:rsidR="003F76C5" w:rsidRPr="00456420" w:rsidRDefault="008511EA" w:rsidP="002A7A04">
      <w:pPr>
        <w:pBdr>
          <w:top w:val="nil"/>
          <w:left w:val="nil"/>
          <w:bottom w:val="nil"/>
          <w:right w:val="nil"/>
          <w:between w:val="nil"/>
        </w:pBdr>
        <w:spacing w:after="120" w:line="480" w:lineRule="auto"/>
        <w:ind w:left="340" w:right="340"/>
        <w:jc w:val="both"/>
        <w:rPr>
          <w:rFonts w:ascii="Arial" w:eastAsia="Arial" w:hAnsi="Arial" w:cs="Arial"/>
          <w:color w:val="000000"/>
          <w:sz w:val="20"/>
          <w:szCs w:val="20"/>
        </w:rPr>
      </w:pPr>
      <w:r w:rsidRPr="00456420">
        <w:rPr>
          <w:rFonts w:ascii="Arial" w:hAnsi="Arial" w:cs="Arial"/>
          <w:b/>
          <w:bCs/>
          <w:sz w:val="20"/>
          <w:szCs w:val="20"/>
          <w:u w:val="single"/>
        </w:rPr>
        <w:t xml:space="preserve">3.1.3 </w:t>
      </w:r>
      <w:r w:rsidR="003F76C5" w:rsidRPr="00456420">
        <w:rPr>
          <w:rFonts w:ascii="Arial" w:hAnsi="Arial" w:cs="Arial"/>
          <w:b/>
          <w:bCs/>
          <w:sz w:val="20"/>
          <w:szCs w:val="20"/>
          <w:u w:val="single"/>
        </w:rPr>
        <w:t xml:space="preserve">Solubility Studies </w:t>
      </w:r>
    </w:p>
    <w:p w:rsidR="002A7A04" w:rsidRPr="00456420" w:rsidRDefault="00F42F8A" w:rsidP="00EF0F30">
      <w:pPr>
        <w:spacing w:after="0" w:line="480" w:lineRule="auto"/>
        <w:ind w:left="340" w:right="340"/>
        <w:jc w:val="both"/>
        <w:rPr>
          <w:rFonts w:ascii="Arial" w:hAnsi="Arial" w:cs="Arial"/>
          <w:b/>
          <w:bCs/>
          <w:sz w:val="20"/>
          <w:szCs w:val="20"/>
        </w:rPr>
      </w:pPr>
      <w:r w:rsidRPr="00456420">
        <w:rPr>
          <w:rFonts w:ascii="Arial" w:hAnsi="Arial" w:cs="Arial"/>
          <w:sz w:val="20"/>
          <w:szCs w:val="20"/>
        </w:rPr>
        <w:t>Clomipramine HCl was freely soluble in distilled water, ethanol, methanol, chloroform, and 0.1N HCl and was soluble in acetone.</w:t>
      </w:r>
    </w:p>
    <w:p w:rsidR="000F2DBA" w:rsidRPr="00456420" w:rsidRDefault="0063169A">
      <w:pPr>
        <w:jc w:val="both"/>
      </w:pPr>
      <w:r w:rsidRPr="00456420">
        <w:rPr>
          <w:rFonts w:ascii="Arial" w:hAnsi="Arial"/>
          <w:sz w:val="20"/>
        </w:rPr>
        <w:t>The broad solubility observed in aqueous and organic media is consistent with the amphiphilic solution behaviour of clomipramine hydrochloride. Because ionisation, pH, and medium composition can alter a</w:t>
      </w:r>
      <w:r w:rsidRPr="00456420">
        <w:rPr>
          <w:rFonts w:ascii="Arial" w:hAnsi="Arial"/>
          <w:sz w:val="20"/>
        </w:rPr>
        <w:t>pparent solubility and molecular association, these qualitative findings should be interpreted as medium-specific rather than as intrinsic solubility constants (Ali et al., 2016; Naqvi et al., 2010; Rahman &amp; Afaq, 2010).</w:t>
      </w:r>
    </w:p>
    <w:p w:rsidR="007F257D" w:rsidRPr="00456420" w:rsidRDefault="008A4207" w:rsidP="00574494">
      <w:pPr>
        <w:shd w:val="clear" w:color="auto" w:fill="FFFFFF" w:themeFill="background1"/>
        <w:spacing w:after="0" w:line="480" w:lineRule="auto"/>
        <w:ind w:right="340" w:firstLine="340"/>
        <w:jc w:val="both"/>
        <w:rPr>
          <w:rFonts w:ascii="Arial" w:hAnsi="Arial" w:cs="Arial"/>
          <w:b/>
          <w:bCs/>
          <w:sz w:val="20"/>
          <w:szCs w:val="20"/>
          <w:u w:val="single"/>
          <w:vertAlign w:val="superscript"/>
        </w:rPr>
      </w:pPr>
      <w:r w:rsidRPr="00456420">
        <w:rPr>
          <w:rFonts w:ascii="Arial" w:hAnsi="Arial" w:cs="Arial"/>
          <w:b/>
          <w:bCs/>
          <w:sz w:val="20"/>
          <w:szCs w:val="20"/>
          <w:u w:val="single"/>
        </w:rPr>
        <w:t xml:space="preserve">3.1.4 </w:t>
      </w:r>
      <w:r w:rsidR="00320702" w:rsidRPr="00456420">
        <w:rPr>
          <w:rFonts w:ascii="Arial" w:hAnsi="Arial" w:cs="Arial"/>
          <w:b/>
          <w:bCs/>
          <w:sz w:val="20"/>
          <w:szCs w:val="20"/>
          <w:u w:val="single"/>
        </w:rPr>
        <w:t>Drug-Excipient Compatibility Study</w:t>
      </w:r>
    </w:p>
    <w:p w:rsidR="00BD5588" w:rsidRPr="00456420" w:rsidRDefault="008A4207" w:rsidP="00BD5588">
      <w:pPr>
        <w:shd w:val="clear" w:color="auto" w:fill="FFFFFF" w:themeFill="background1"/>
        <w:spacing w:after="0" w:line="480" w:lineRule="auto"/>
        <w:ind w:left="340" w:right="340"/>
        <w:jc w:val="both"/>
        <w:rPr>
          <w:rFonts w:ascii="Arial" w:hAnsi="Arial" w:cs="Arial"/>
          <w:b/>
          <w:bCs/>
          <w:i/>
          <w:iCs/>
          <w:sz w:val="20"/>
          <w:szCs w:val="20"/>
        </w:rPr>
      </w:pPr>
      <w:r w:rsidRPr="00456420">
        <w:rPr>
          <w:rFonts w:ascii="Arial" w:hAnsi="Arial" w:cs="Arial"/>
          <w:b/>
          <w:bCs/>
          <w:i/>
          <w:iCs/>
          <w:sz w:val="20"/>
          <w:szCs w:val="20"/>
        </w:rPr>
        <w:t xml:space="preserve">3.1.4.1 </w:t>
      </w:r>
      <w:r w:rsidR="007F257D" w:rsidRPr="00456420">
        <w:rPr>
          <w:rFonts w:ascii="Arial" w:hAnsi="Arial" w:cs="Arial"/>
          <w:b/>
          <w:bCs/>
          <w:i/>
          <w:iCs/>
          <w:sz w:val="20"/>
          <w:szCs w:val="20"/>
        </w:rPr>
        <w:t>Chemical Compatibility Study</w:t>
      </w:r>
    </w:p>
    <w:p w:rsidR="00574494" w:rsidRPr="00456420" w:rsidRDefault="00574494" w:rsidP="00574494">
      <w:pPr>
        <w:shd w:val="clear" w:color="auto" w:fill="FFFFFF" w:themeFill="background1"/>
        <w:spacing w:after="0" w:line="480" w:lineRule="auto"/>
        <w:ind w:left="340" w:right="340"/>
        <w:jc w:val="both"/>
        <w:rPr>
          <w:rFonts w:ascii="Arial" w:hAnsi="Arial" w:cs="Arial"/>
          <w:b/>
          <w:bCs/>
          <w:sz w:val="20"/>
          <w:szCs w:val="20"/>
        </w:rPr>
      </w:pPr>
      <w:r w:rsidRPr="00456420">
        <w:rPr>
          <w:rFonts w:ascii="Arial" w:hAnsi="Arial" w:cs="Arial"/>
          <w:b/>
          <w:bCs/>
          <w:sz w:val="20"/>
          <w:szCs w:val="20"/>
        </w:rPr>
        <w:t>A)</w:t>
      </w:r>
    </w:p>
    <w:p w:rsidR="00CE0C46" w:rsidRPr="00456420" w:rsidRDefault="00A9665F" w:rsidP="00CE0C46">
      <w:pPr>
        <w:shd w:val="clear" w:color="auto" w:fill="FFFFFF" w:themeFill="background1"/>
        <w:spacing w:after="0" w:line="480" w:lineRule="auto"/>
        <w:ind w:left="340" w:right="340" w:firstLine="380"/>
        <w:jc w:val="both"/>
        <w:rPr>
          <w:rFonts w:ascii="Arial" w:hAnsi="Arial" w:cs="Arial"/>
          <w:b/>
          <w:bCs/>
          <w:sz w:val="20"/>
          <w:szCs w:val="20"/>
        </w:rPr>
      </w:pPr>
      <w:r w:rsidRPr="00456420">
        <w:rPr>
          <w:b/>
          <w:bCs/>
          <w:noProof/>
          <w:lang w:eastAsia="en-IN"/>
        </w:rPr>
        <w:lastRenderedPageBreak/>
        <w:drawing>
          <wp:inline distT="0" distB="0" distL="0" distR="0" wp14:anchorId="38B471B8" wp14:editId="6731A868">
            <wp:extent cx="4236720" cy="2640696"/>
            <wp:effectExtent l="0" t="0" r="0" b="7620"/>
            <wp:docPr id="7" name="Picture 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Picture 6"/>
                    <pic:cNvPicPr>
                      <a:picLocks noChangeAspect="1"/>
                    </pic:cNvPicPr>
                  </pic:nvPicPr>
                  <pic:blipFill rotWithShape="1">
                    <a:blip r:embed="rId8" cstate="print">
                      <a:extLst>
                        <a:ext uri="{28A0092B-C50C-407E-A947-70E740481C1C}">
                          <a14:useLocalDpi xmlns:a14="http://schemas.microsoft.com/office/drawing/2010/main" val="0"/>
                        </a:ext>
                      </a:extLst>
                    </a:blip>
                    <a:srcRect l="3549" t="6682" r="3845" b="2306"/>
                    <a:stretch>
                      <a:fillRect/>
                    </a:stretch>
                  </pic:blipFill>
                  <pic:spPr bwMode="auto">
                    <a:xfrm>
                      <a:off x="0" y="0"/>
                      <a:ext cx="4368287" cy="2722700"/>
                    </a:xfrm>
                    <a:prstGeom prst="rect">
                      <a:avLst/>
                    </a:prstGeom>
                    <a:ln>
                      <a:noFill/>
                    </a:ln>
                    <a:extLst>
                      <a:ext uri="{53640926-AAD7-44D8-BBD7-CCE9431645EC}">
                        <a14:shadowObscured xmlns:a14="http://schemas.microsoft.com/office/drawing/2010/main"/>
                      </a:ext>
                    </a:extLst>
                  </pic:spPr>
                </pic:pic>
              </a:graphicData>
            </a:graphic>
          </wp:inline>
        </w:drawing>
      </w:r>
    </w:p>
    <w:p w:rsidR="0001567D" w:rsidRPr="00456420" w:rsidRDefault="00C76160" w:rsidP="00CE0C46">
      <w:pPr>
        <w:shd w:val="clear" w:color="auto" w:fill="FFFFFF" w:themeFill="background1"/>
        <w:spacing w:after="0" w:line="480" w:lineRule="auto"/>
        <w:ind w:left="340" w:right="340"/>
        <w:jc w:val="both"/>
        <w:rPr>
          <w:rFonts w:ascii="Arial" w:hAnsi="Arial" w:cs="Arial"/>
          <w:b/>
          <w:bCs/>
          <w:sz w:val="20"/>
          <w:szCs w:val="20"/>
        </w:rPr>
      </w:pPr>
      <w:r w:rsidRPr="00456420">
        <w:rPr>
          <w:rFonts w:ascii="Arial" w:hAnsi="Arial" w:cs="Arial"/>
          <w:b/>
          <w:bCs/>
          <w:noProof/>
          <w:sz w:val="20"/>
          <w:szCs w:val="20"/>
        </w:rPr>
        <w:t>B)</w:t>
      </w:r>
    </w:p>
    <w:p w:rsidR="00946694" w:rsidRPr="00456420" w:rsidRDefault="00BD5588" w:rsidP="002E09D2">
      <w:pPr>
        <w:spacing w:after="0" w:line="480" w:lineRule="auto"/>
        <w:ind w:right="113" w:firstLine="720"/>
        <w:jc w:val="both"/>
        <w:rPr>
          <w:rFonts w:ascii="Arial" w:hAnsi="Arial" w:cs="Arial"/>
          <w:b/>
          <w:bCs/>
          <w:sz w:val="20"/>
          <w:szCs w:val="20"/>
        </w:rPr>
      </w:pPr>
      <w:r w:rsidRPr="00456420">
        <w:rPr>
          <w:noProof/>
        </w:rPr>
        <w:t xml:space="preserve">  </w:t>
      </w:r>
      <w:r w:rsidR="000524BB" w:rsidRPr="00456420">
        <w:rPr>
          <w:noProof/>
          <w:lang w:eastAsia="en-IN"/>
        </w:rPr>
        <w:drawing>
          <wp:inline distT="0" distB="0" distL="0" distR="0" wp14:anchorId="58FB4505" wp14:editId="470465CB">
            <wp:extent cx="4199255" cy="2842260"/>
            <wp:effectExtent l="0" t="0" r="0" b="0"/>
            <wp:docPr id="438449332" name="Picture 4">
              <a:extLst xmlns:a="http://schemas.openxmlformats.org/drawingml/2006/main">
                <a:ext uri="{FF2B5EF4-FFF2-40B4-BE49-F238E27FC236}">
                  <a16:creationId xmlns:a16="http://schemas.microsoft.com/office/drawing/2014/main" id="{E780B806-640B-876B-3B38-1C35353B80D0}"/>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icture 4">
                      <a:extLst>
                        <a:ext uri="{FF2B5EF4-FFF2-40B4-BE49-F238E27FC236}">
                          <a16:creationId xmlns:a16="http://schemas.microsoft.com/office/drawing/2014/main" id="{E780B806-640B-876B-3B38-1C35353B80D0}"/>
                        </a:ext>
                      </a:extLst>
                    </pic:cNvPr>
                    <pic:cNvPicPr>
                      <a:picLocks noChangeAspect="1"/>
                    </pic:cNvPicPr>
                  </pic:nvPicPr>
                  <pic:blipFill rotWithShape="1">
                    <a:blip r:embed="rId9"/>
                    <a:srcRect l="3073" t="6741" r="3914" b="209"/>
                    <a:stretch>
                      <a:fillRect/>
                    </a:stretch>
                  </pic:blipFill>
                  <pic:spPr bwMode="auto">
                    <a:xfrm>
                      <a:off x="0" y="0"/>
                      <a:ext cx="4277296" cy="2895082"/>
                    </a:xfrm>
                    <a:prstGeom prst="rect">
                      <a:avLst/>
                    </a:prstGeom>
                    <a:ln>
                      <a:noFill/>
                    </a:ln>
                    <a:extLst>
                      <a:ext uri="{53640926-AAD7-44D8-BBD7-CCE9431645EC}">
                        <a14:shadowObscured xmlns:a14="http://schemas.microsoft.com/office/drawing/2010/main"/>
                      </a:ext>
                    </a:extLst>
                  </pic:spPr>
                </pic:pic>
              </a:graphicData>
            </a:graphic>
          </wp:inline>
        </w:drawing>
      </w:r>
    </w:p>
    <w:p w:rsidR="00F42FB6" w:rsidRPr="00456420" w:rsidRDefault="0071208A" w:rsidP="008165A0">
      <w:pPr>
        <w:spacing w:after="0" w:line="480" w:lineRule="auto"/>
        <w:ind w:left="340" w:right="340"/>
        <w:jc w:val="both"/>
        <w:rPr>
          <w:rFonts w:ascii="Arial" w:hAnsi="Arial" w:cs="Arial"/>
          <w:b/>
          <w:sz w:val="20"/>
          <w:szCs w:val="20"/>
        </w:rPr>
      </w:pPr>
      <w:r w:rsidRPr="00456420">
        <w:rPr>
          <w:rFonts w:ascii="Arial" w:hAnsi="Arial" w:cs="Arial"/>
          <w:b/>
          <w:bCs/>
          <w:sz w:val="20"/>
          <w:szCs w:val="20"/>
        </w:rPr>
        <w:t>Fig</w:t>
      </w:r>
      <w:r w:rsidR="00AC3107" w:rsidRPr="00456420">
        <w:rPr>
          <w:rFonts w:ascii="Arial" w:hAnsi="Arial" w:cs="Arial"/>
          <w:b/>
          <w:bCs/>
          <w:sz w:val="20"/>
          <w:szCs w:val="20"/>
        </w:rPr>
        <w:t>.</w:t>
      </w:r>
      <w:r w:rsidRPr="00456420">
        <w:rPr>
          <w:rFonts w:ascii="Arial" w:hAnsi="Arial" w:cs="Arial"/>
          <w:b/>
          <w:bCs/>
          <w:sz w:val="20"/>
          <w:szCs w:val="20"/>
        </w:rPr>
        <w:t xml:space="preserve"> </w:t>
      </w:r>
      <w:r w:rsidR="00F25A7F" w:rsidRPr="00456420">
        <w:rPr>
          <w:rFonts w:ascii="Arial" w:hAnsi="Arial" w:cs="Arial"/>
          <w:b/>
          <w:bCs/>
          <w:sz w:val="20"/>
          <w:szCs w:val="20"/>
        </w:rPr>
        <w:t>1</w:t>
      </w:r>
      <w:r w:rsidRPr="00456420">
        <w:rPr>
          <w:rFonts w:ascii="Arial" w:hAnsi="Arial" w:cs="Arial"/>
          <w:b/>
          <w:bCs/>
          <w:sz w:val="20"/>
          <w:szCs w:val="20"/>
        </w:rPr>
        <w:t xml:space="preserve">: </w:t>
      </w:r>
      <w:r w:rsidR="00C76160" w:rsidRPr="00456420">
        <w:rPr>
          <w:rFonts w:ascii="Arial" w:hAnsi="Arial" w:cs="Arial"/>
          <w:b/>
          <w:bCs/>
          <w:sz w:val="20"/>
          <w:szCs w:val="20"/>
        </w:rPr>
        <w:t xml:space="preserve">A) </w:t>
      </w:r>
      <w:r w:rsidRPr="00456420">
        <w:rPr>
          <w:rFonts w:ascii="Arial" w:hAnsi="Arial" w:cs="Arial"/>
          <w:b/>
          <w:bCs/>
          <w:sz w:val="20"/>
          <w:szCs w:val="20"/>
        </w:rPr>
        <w:t>FT-IR Spectrum of Clomipramine HCl</w:t>
      </w:r>
      <w:r w:rsidR="008165A0" w:rsidRPr="00456420">
        <w:rPr>
          <w:rFonts w:ascii="Arial" w:hAnsi="Arial" w:cs="Arial"/>
          <w:b/>
          <w:bCs/>
          <w:sz w:val="20"/>
          <w:szCs w:val="20"/>
        </w:rPr>
        <w:t xml:space="preserve"> and </w:t>
      </w:r>
      <w:r w:rsidR="00EF02AB" w:rsidRPr="00456420">
        <w:rPr>
          <w:rFonts w:ascii="Arial" w:hAnsi="Arial" w:cs="Arial"/>
          <w:b/>
          <w:bCs/>
          <w:sz w:val="20"/>
          <w:szCs w:val="20"/>
        </w:rPr>
        <w:t xml:space="preserve">B) </w:t>
      </w:r>
      <w:r w:rsidR="0028539B" w:rsidRPr="00456420">
        <w:rPr>
          <w:rFonts w:ascii="Arial" w:hAnsi="Arial" w:cs="Arial"/>
          <w:b/>
          <w:bCs/>
          <w:sz w:val="20"/>
          <w:szCs w:val="20"/>
        </w:rPr>
        <w:t xml:space="preserve">Clomipramine HCl, </w:t>
      </w:r>
      <w:r w:rsidR="0028539B" w:rsidRPr="00456420">
        <w:rPr>
          <w:rFonts w:ascii="Arial" w:hAnsi="Arial" w:cs="Arial"/>
          <w:b/>
          <w:sz w:val="20"/>
          <w:szCs w:val="20"/>
        </w:rPr>
        <w:t>Tween 80, HPMC E15,</w:t>
      </w:r>
      <w:r w:rsidR="00946694" w:rsidRPr="00456420">
        <w:rPr>
          <w:rFonts w:ascii="Arial" w:hAnsi="Arial" w:cs="Arial"/>
          <w:b/>
          <w:sz w:val="20"/>
          <w:szCs w:val="20"/>
        </w:rPr>
        <w:t xml:space="preserve"> </w:t>
      </w:r>
      <w:r w:rsidR="0028539B" w:rsidRPr="00456420">
        <w:rPr>
          <w:rFonts w:ascii="Arial" w:hAnsi="Arial" w:cs="Arial"/>
          <w:b/>
          <w:sz w:val="20"/>
          <w:szCs w:val="20"/>
        </w:rPr>
        <w:t>Carbopol 940</w:t>
      </w:r>
    </w:p>
    <w:p w:rsidR="002B52DB" w:rsidRPr="00456420" w:rsidRDefault="002B52DB" w:rsidP="00CE0C46">
      <w:pPr>
        <w:spacing w:after="0" w:line="480" w:lineRule="auto"/>
        <w:ind w:right="340" w:firstLine="340"/>
        <w:jc w:val="both"/>
        <w:rPr>
          <w:rFonts w:ascii="Arial" w:hAnsi="Arial" w:cs="Arial"/>
          <w:b/>
          <w:bCs/>
          <w:sz w:val="20"/>
          <w:szCs w:val="20"/>
        </w:rPr>
      </w:pPr>
    </w:p>
    <w:p w:rsidR="00946694" w:rsidRPr="00456420" w:rsidRDefault="00A9665F" w:rsidP="00CE0C46">
      <w:pPr>
        <w:spacing w:after="0" w:line="480" w:lineRule="auto"/>
        <w:ind w:right="340" w:firstLine="340"/>
        <w:jc w:val="both"/>
        <w:rPr>
          <w:rFonts w:ascii="Arial" w:hAnsi="Arial" w:cs="Arial"/>
          <w:b/>
          <w:bCs/>
          <w:sz w:val="20"/>
          <w:szCs w:val="20"/>
        </w:rPr>
      </w:pPr>
      <w:r w:rsidRPr="00456420">
        <w:rPr>
          <w:rFonts w:ascii="Arial" w:hAnsi="Arial" w:cs="Arial"/>
          <w:b/>
          <w:bCs/>
          <w:sz w:val="20"/>
          <w:szCs w:val="20"/>
        </w:rPr>
        <w:t xml:space="preserve">Table </w:t>
      </w:r>
      <w:r w:rsidR="00CE0C46" w:rsidRPr="00456420">
        <w:rPr>
          <w:rFonts w:ascii="Arial" w:hAnsi="Arial" w:cs="Arial"/>
          <w:b/>
          <w:bCs/>
          <w:sz w:val="20"/>
          <w:szCs w:val="20"/>
        </w:rPr>
        <w:t>2</w:t>
      </w:r>
      <w:r w:rsidRPr="00456420">
        <w:rPr>
          <w:rFonts w:ascii="Arial" w:hAnsi="Arial" w:cs="Arial"/>
          <w:b/>
          <w:bCs/>
          <w:sz w:val="20"/>
          <w:szCs w:val="20"/>
        </w:rPr>
        <w:t>:</w:t>
      </w:r>
      <w:r w:rsidRPr="00456420">
        <w:rPr>
          <w:rFonts w:ascii="Arial" w:hAnsi="Arial" w:cs="Arial"/>
          <w:b/>
          <w:bCs/>
          <w:spacing w:val="-2"/>
          <w:sz w:val="20"/>
          <w:szCs w:val="20"/>
        </w:rPr>
        <w:t xml:space="preserve"> </w:t>
      </w:r>
      <w:r w:rsidRPr="00456420">
        <w:rPr>
          <w:rFonts w:ascii="Arial" w:hAnsi="Arial" w:cs="Arial"/>
          <w:b/>
          <w:bCs/>
          <w:sz w:val="20"/>
          <w:szCs w:val="20"/>
        </w:rPr>
        <w:t>FT-IR</w:t>
      </w:r>
      <w:r w:rsidRPr="00456420">
        <w:rPr>
          <w:rFonts w:ascii="Arial" w:hAnsi="Arial" w:cs="Arial"/>
          <w:b/>
          <w:bCs/>
          <w:spacing w:val="-4"/>
          <w:sz w:val="20"/>
          <w:szCs w:val="20"/>
        </w:rPr>
        <w:t xml:space="preserve"> </w:t>
      </w:r>
      <w:r w:rsidRPr="00456420">
        <w:rPr>
          <w:rFonts w:ascii="Arial" w:hAnsi="Arial" w:cs="Arial"/>
          <w:b/>
          <w:bCs/>
          <w:sz w:val="20"/>
          <w:szCs w:val="20"/>
        </w:rPr>
        <w:t>spectral</w:t>
      </w:r>
      <w:r w:rsidRPr="00456420">
        <w:rPr>
          <w:rFonts w:ascii="Arial" w:hAnsi="Arial" w:cs="Arial"/>
          <w:b/>
          <w:bCs/>
          <w:spacing w:val="-10"/>
          <w:sz w:val="20"/>
          <w:szCs w:val="20"/>
        </w:rPr>
        <w:t xml:space="preserve"> </w:t>
      </w:r>
      <w:r w:rsidRPr="00456420">
        <w:rPr>
          <w:rFonts w:ascii="Arial" w:hAnsi="Arial" w:cs="Arial"/>
          <w:b/>
          <w:bCs/>
          <w:sz w:val="20"/>
          <w:szCs w:val="20"/>
        </w:rPr>
        <w:t>interpretation</w:t>
      </w:r>
      <w:r w:rsidRPr="00456420">
        <w:rPr>
          <w:rFonts w:ascii="Arial" w:hAnsi="Arial" w:cs="Arial"/>
          <w:b/>
          <w:bCs/>
          <w:spacing w:val="-4"/>
          <w:sz w:val="20"/>
          <w:szCs w:val="20"/>
        </w:rPr>
        <w:t xml:space="preserve"> </w:t>
      </w:r>
      <w:r w:rsidRPr="00456420">
        <w:rPr>
          <w:rFonts w:ascii="Arial" w:hAnsi="Arial" w:cs="Arial"/>
          <w:b/>
          <w:bCs/>
          <w:sz w:val="20"/>
          <w:szCs w:val="20"/>
        </w:rPr>
        <w:t>of Clomipramine HCl</w:t>
      </w:r>
      <w:r w:rsidR="002033F4" w:rsidRPr="00456420">
        <w:rPr>
          <w:rFonts w:ascii="Arial" w:hAnsi="Arial" w:cs="Arial"/>
          <w:b/>
          <w:bCs/>
          <w:sz w:val="20"/>
          <w:szCs w:val="20"/>
        </w:rPr>
        <w:t xml:space="preserve"> and Clomipramine HCl, </w:t>
      </w:r>
    </w:p>
    <w:tbl>
      <w:tblPr>
        <w:tblStyle w:val="PlainTable2"/>
        <w:tblpPr w:leftFromText="180" w:rightFromText="180" w:vertAnchor="text" w:horzAnchor="page" w:tblpX="1885" w:tblpY="392"/>
        <w:tblW w:w="0" w:type="auto"/>
        <w:tblLook w:val="04A0" w:firstRow="1" w:lastRow="0" w:firstColumn="1" w:lastColumn="0" w:noHBand="0" w:noVBand="1"/>
      </w:tblPr>
      <w:tblGrid>
        <w:gridCol w:w="1192"/>
        <w:gridCol w:w="3002"/>
        <w:gridCol w:w="3151"/>
      </w:tblGrid>
      <w:tr w:rsidR="00D00742" w:rsidRPr="00456420" w:rsidTr="00D00742">
        <w:trPr>
          <w:cnfStyle w:val="100000000000" w:firstRow="1" w:lastRow="0" w:firstColumn="0" w:lastColumn="0" w:oddVBand="0" w:evenVBand="0" w:oddHBand="0"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S. No.</w:t>
            </w:r>
          </w:p>
        </w:tc>
        <w:tc>
          <w:tcPr>
            <w:tcW w:w="3002" w:type="dxa"/>
          </w:tcPr>
          <w:p w:rsidR="00D00742" w:rsidRPr="00456420" w:rsidRDefault="00D00742" w:rsidP="00D00742">
            <w:pPr>
              <w:pStyle w:val="BodyTex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b w:val="0"/>
                <w:bCs w:val="0"/>
                <w:sz w:val="20"/>
                <w:szCs w:val="20"/>
              </w:rPr>
              <w:t>Wave Number (cm</w:t>
            </w:r>
            <w:r w:rsidRPr="00456420">
              <w:rPr>
                <w:rFonts w:ascii="Arial" w:hAnsi="Arial" w:cs="Arial"/>
                <w:b w:val="0"/>
                <w:bCs w:val="0"/>
                <w:sz w:val="20"/>
                <w:szCs w:val="20"/>
                <w:vertAlign w:val="superscript"/>
              </w:rPr>
              <w:t>-1</w:t>
            </w:r>
            <w:r w:rsidRPr="00456420">
              <w:rPr>
                <w:rFonts w:ascii="Arial" w:hAnsi="Arial" w:cs="Arial"/>
                <w:b w:val="0"/>
                <w:bCs w:val="0"/>
                <w:sz w:val="20"/>
                <w:szCs w:val="20"/>
              </w:rPr>
              <w:t>)</w:t>
            </w:r>
          </w:p>
        </w:tc>
        <w:tc>
          <w:tcPr>
            <w:tcW w:w="3151" w:type="dxa"/>
          </w:tcPr>
          <w:p w:rsidR="00D00742" w:rsidRPr="00456420" w:rsidRDefault="00D00742" w:rsidP="00D00742">
            <w:pPr>
              <w:pStyle w:val="BodyText"/>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b w:val="0"/>
                <w:bCs w:val="0"/>
                <w:sz w:val="20"/>
                <w:szCs w:val="20"/>
              </w:rPr>
              <w:t>Types of Vibrations</w:t>
            </w:r>
          </w:p>
        </w:tc>
      </w:tr>
      <w:tr w:rsidR="00D00742" w:rsidRPr="00456420" w:rsidTr="00D00742">
        <w:trPr>
          <w:cnfStyle w:val="000000100000" w:firstRow="0" w:lastRow="0" w:firstColumn="0" w:lastColumn="0" w:oddVBand="0" w:evenVBand="0" w:oddHBand="1" w:evenHBand="0" w:firstRowFirstColumn="0" w:firstRowLastColumn="0" w:lastRowFirstColumn="0" w:lastRowLastColumn="0"/>
          <w:trHeight w:val="32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1.</w:t>
            </w:r>
          </w:p>
        </w:tc>
        <w:tc>
          <w:tcPr>
            <w:tcW w:w="3002"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456420">
              <w:rPr>
                <w:rFonts w:ascii="Arial" w:hAnsi="Arial" w:cs="Arial"/>
                <w:sz w:val="20"/>
                <w:szCs w:val="20"/>
              </w:rPr>
              <w:t>1580.64 - 1582.86</w:t>
            </w:r>
          </w:p>
        </w:tc>
        <w:tc>
          <w:tcPr>
            <w:tcW w:w="3151"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Cs/>
                <w:sz w:val="20"/>
                <w:szCs w:val="20"/>
              </w:rPr>
              <w:t>C=C Stretching</w:t>
            </w:r>
          </w:p>
        </w:tc>
      </w:tr>
      <w:tr w:rsidR="00D00742" w:rsidRPr="00456420" w:rsidTr="00D00742">
        <w:trPr>
          <w:trHeight w:val="31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2.</w:t>
            </w:r>
          </w:p>
        </w:tc>
        <w:tc>
          <w:tcPr>
            <w:tcW w:w="3002" w:type="dxa"/>
          </w:tcPr>
          <w:p w:rsidR="00D00742" w:rsidRPr="00456420"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456420">
              <w:rPr>
                <w:rFonts w:ascii="Arial" w:hAnsi="Arial" w:cs="Arial"/>
                <w:sz w:val="20"/>
                <w:szCs w:val="20"/>
              </w:rPr>
              <w:t>950.21 - 1087.68</w:t>
            </w:r>
          </w:p>
        </w:tc>
        <w:tc>
          <w:tcPr>
            <w:tcW w:w="3151" w:type="dxa"/>
          </w:tcPr>
          <w:p w:rsidR="00D00742" w:rsidRPr="00456420"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456420">
              <w:rPr>
                <w:rFonts w:ascii="Arial" w:hAnsi="Arial" w:cs="Arial"/>
                <w:bCs/>
                <w:sz w:val="20"/>
                <w:szCs w:val="20"/>
              </w:rPr>
              <w:t>C-Cl Stretching</w:t>
            </w:r>
          </w:p>
        </w:tc>
      </w:tr>
      <w:tr w:rsidR="00D00742" w:rsidRPr="00456420" w:rsidTr="00D0074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3.</w:t>
            </w:r>
          </w:p>
        </w:tc>
        <w:tc>
          <w:tcPr>
            <w:tcW w:w="3002"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456420">
              <w:rPr>
                <w:rFonts w:ascii="Arial" w:hAnsi="Arial" w:cs="Arial"/>
                <w:sz w:val="20"/>
                <w:szCs w:val="20"/>
              </w:rPr>
              <w:t>1203.69 - 2922.30</w:t>
            </w:r>
          </w:p>
        </w:tc>
        <w:tc>
          <w:tcPr>
            <w:tcW w:w="3151"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Cs/>
                <w:sz w:val="20"/>
                <w:szCs w:val="20"/>
              </w:rPr>
              <w:t>C-N Stretching</w:t>
            </w:r>
          </w:p>
        </w:tc>
      </w:tr>
      <w:tr w:rsidR="00D00742" w:rsidRPr="00456420" w:rsidTr="00D00742">
        <w:trPr>
          <w:trHeight w:val="32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4.</w:t>
            </w:r>
          </w:p>
        </w:tc>
        <w:tc>
          <w:tcPr>
            <w:tcW w:w="3002" w:type="dxa"/>
          </w:tcPr>
          <w:p w:rsidR="00D00742" w:rsidRPr="00456420"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Cs/>
                <w:sz w:val="20"/>
                <w:szCs w:val="20"/>
              </w:rPr>
            </w:pPr>
            <w:r w:rsidRPr="00456420">
              <w:rPr>
                <w:rFonts w:ascii="Arial" w:hAnsi="Arial" w:cs="Arial"/>
                <w:sz w:val="20"/>
                <w:szCs w:val="20"/>
              </w:rPr>
              <w:t>2857.79 - 2979.80</w:t>
            </w:r>
          </w:p>
        </w:tc>
        <w:tc>
          <w:tcPr>
            <w:tcW w:w="3151" w:type="dxa"/>
          </w:tcPr>
          <w:p w:rsidR="00D00742" w:rsidRPr="00456420" w:rsidRDefault="00D00742" w:rsidP="00D00742">
            <w:pPr>
              <w:pStyle w:val="BodyText"/>
              <w:cnfStyle w:val="000000000000" w:firstRow="0" w:lastRow="0" w:firstColumn="0" w:lastColumn="0" w:oddVBand="0" w:evenVBand="0" w:oddHBand="0" w:evenHBand="0" w:firstRowFirstColumn="0" w:firstRowLastColumn="0" w:lastRowFirstColumn="0" w:lastRowLastColumn="0"/>
              <w:rPr>
                <w:rFonts w:ascii="Arial" w:hAnsi="Arial" w:cs="Arial"/>
                <w:b/>
                <w:bCs/>
                <w:sz w:val="20"/>
                <w:szCs w:val="20"/>
              </w:rPr>
            </w:pPr>
            <w:r w:rsidRPr="00456420">
              <w:rPr>
                <w:rFonts w:ascii="Arial" w:hAnsi="Arial" w:cs="Arial"/>
                <w:bCs/>
                <w:sz w:val="20"/>
                <w:szCs w:val="20"/>
              </w:rPr>
              <w:t>C-H Stretching</w:t>
            </w:r>
          </w:p>
        </w:tc>
      </w:tr>
      <w:tr w:rsidR="00D00742" w:rsidRPr="00456420" w:rsidTr="00D00742">
        <w:trPr>
          <w:cnfStyle w:val="000000100000" w:firstRow="0" w:lastRow="0" w:firstColumn="0" w:lastColumn="0" w:oddVBand="0" w:evenVBand="0" w:oddHBand="1" w:evenHBand="0" w:firstRowFirstColumn="0" w:firstRowLastColumn="0" w:lastRowFirstColumn="0" w:lastRowLastColumn="0"/>
          <w:trHeight w:val="316"/>
        </w:trPr>
        <w:tc>
          <w:tcPr>
            <w:cnfStyle w:val="001000000000" w:firstRow="0" w:lastRow="0" w:firstColumn="1" w:lastColumn="0" w:oddVBand="0" w:evenVBand="0" w:oddHBand="0" w:evenHBand="0" w:firstRowFirstColumn="0" w:firstRowLastColumn="0" w:lastRowFirstColumn="0" w:lastRowLastColumn="0"/>
            <w:tcW w:w="1192" w:type="dxa"/>
          </w:tcPr>
          <w:p w:rsidR="00D00742" w:rsidRPr="00456420" w:rsidRDefault="00D00742" w:rsidP="00D00742">
            <w:pPr>
              <w:pStyle w:val="BodyText"/>
              <w:rPr>
                <w:rFonts w:ascii="Arial" w:hAnsi="Arial" w:cs="Arial"/>
                <w:b w:val="0"/>
                <w:bCs w:val="0"/>
                <w:sz w:val="20"/>
                <w:szCs w:val="20"/>
              </w:rPr>
            </w:pPr>
            <w:r w:rsidRPr="00456420">
              <w:rPr>
                <w:rFonts w:ascii="Arial" w:hAnsi="Arial" w:cs="Arial"/>
                <w:b w:val="0"/>
                <w:bCs w:val="0"/>
                <w:sz w:val="20"/>
                <w:szCs w:val="20"/>
              </w:rPr>
              <w:t>5.</w:t>
            </w:r>
          </w:p>
        </w:tc>
        <w:tc>
          <w:tcPr>
            <w:tcW w:w="3002"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Cs/>
                <w:sz w:val="20"/>
                <w:szCs w:val="20"/>
              </w:rPr>
            </w:pPr>
            <w:r w:rsidRPr="00456420">
              <w:rPr>
                <w:rFonts w:ascii="Arial" w:hAnsi="Arial" w:cs="Arial"/>
                <w:sz w:val="20"/>
                <w:szCs w:val="20"/>
              </w:rPr>
              <w:t>1092.64 - 2660.27</w:t>
            </w:r>
          </w:p>
        </w:tc>
        <w:tc>
          <w:tcPr>
            <w:tcW w:w="3151" w:type="dxa"/>
          </w:tcPr>
          <w:p w:rsidR="00D00742" w:rsidRPr="00456420" w:rsidRDefault="00D00742" w:rsidP="00D00742">
            <w:pPr>
              <w:pStyle w:val="BodyText"/>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Cs/>
                <w:sz w:val="20"/>
                <w:szCs w:val="20"/>
              </w:rPr>
              <w:t>N-H Stretching</w:t>
            </w:r>
          </w:p>
        </w:tc>
      </w:tr>
    </w:tbl>
    <w:p w:rsidR="00497A5B" w:rsidRPr="00456420" w:rsidRDefault="00D00742" w:rsidP="008165A0">
      <w:pPr>
        <w:spacing w:after="0" w:line="480" w:lineRule="auto"/>
        <w:ind w:left="340" w:right="340"/>
        <w:jc w:val="both"/>
        <w:rPr>
          <w:rFonts w:ascii="Arial" w:hAnsi="Arial" w:cs="Arial"/>
          <w:b/>
          <w:sz w:val="20"/>
          <w:szCs w:val="20"/>
        </w:rPr>
      </w:pPr>
      <w:r w:rsidRPr="00456420">
        <w:rPr>
          <w:rFonts w:ascii="Arial" w:hAnsi="Arial" w:cs="Arial"/>
          <w:b/>
          <w:sz w:val="20"/>
          <w:szCs w:val="20"/>
        </w:rPr>
        <w:t xml:space="preserve"> </w:t>
      </w:r>
      <w:r w:rsidR="002033F4" w:rsidRPr="00456420">
        <w:rPr>
          <w:rFonts w:ascii="Arial" w:hAnsi="Arial" w:cs="Arial"/>
          <w:b/>
          <w:sz w:val="20"/>
          <w:szCs w:val="20"/>
        </w:rPr>
        <w:t>Tween 80, HPMC E15, Carbopol 940</w:t>
      </w:r>
    </w:p>
    <w:p w:rsidR="002E4685" w:rsidRPr="00456420" w:rsidRDefault="002E4685" w:rsidP="007D1626">
      <w:pPr>
        <w:spacing w:after="0" w:line="480" w:lineRule="auto"/>
        <w:ind w:right="113"/>
        <w:jc w:val="both"/>
        <w:rPr>
          <w:rFonts w:ascii="Arial" w:hAnsi="Arial" w:cs="Arial"/>
          <w:b/>
          <w:bCs/>
          <w:sz w:val="20"/>
          <w:szCs w:val="20"/>
          <w:u w:val="single"/>
        </w:rPr>
      </w:pPr>
    </w:p>
    <w:p w:rsidR="00D00742" w:rsidRPr="00456420" w:rsidRDefault="00D00742" w:rsidP="008165A0">
      <w:pPr>
        <w:spacing w:after="0" w:line="480" w:lineRule="auto"/>
        <w:ind w:left="340" w:right="340"/>
        <w:jc w:val="both"/>
        <w:rPr>
          <w:rFonts w:ascii="Arial" w:hAnsi="Arial" w:cs="Arial"/>
          <w:b/>
          <w:bCs/>
          <w:sz w:val="20"/>
          <w:szCs w:val="20"/>
          <w:u w:val="single"/>
        </w:rPr>
      </w:pPr>
    </w:p>
    <w:p w:rsidR="00D00742" w:rsidRPr="00456420" w:rsidRDefault="00D00742" w:rsidP="008165A0">
      <w:pPr>
        <w:spacing w:after="0" w:line="480" w:lineRule="auto"/>
        <w:ind w:left="340" w:right="340"/>
        <w:jc w:val="both"/>
        <w:rPr>
          <w:rFonts w:ascii="Arial" w:hAnsi="Arial" w:cs="Arial"/>
          <w:b/>
          <w:bCs/>
          <w:sz w:val="20"/>
          <w:szCs w:val="20"/>
          <w:u w:val="single"/>
        </w:rPr>
      </w:pPr>
    </w:p>
    <w:p w:rsidR="00D00742" w:rsidRPr="00456420" w:rsidRDefault="00D00742" w:rsidP="008165A0">
      <w:pPr>
        <w:spacing w:after="0" w:line="480" w:lineRule="auto"/>
        <w:ind w:left="340" w:right="340"/>
        <w:jc w:val="both"/>
        <w:rPr>
          <w:rFonts w:ascii="Arial" w:hAnsi="Arial" w:cs="Arial"/>
          <w:b/>
          <w:bCs/>
          <w:sz w:val="20"/>
          <w:szCs w:val="20"/>
          <w:u w:val="single"/>
        </w:rPr>
      </w:pPr>
    </w:p>
    <w:p w:rsidR="00D00742" w:rsidRPr="00456420" w:rsidRDefault="00D00742" w:rsidP="00D00742">
      <w:pPr>
        <w:spacing w:after="0" w:line="480" w:lineRule="auto"/>
        <w:ind w:left="340" w:right="340"/>
        <w:jc w:val="both"/>
        <w:rPr>
          <w:rFonts w:ascii="Arial" w:hAnsi="Arial" w:cs="Arial"/>
          <w:b/>
          <w:bCs/>
          <w:sz w:val="20"/>
          <w:szCs w:val="20"/>
          <w:u w:val="single"/>
        </w:rPr>
      </w:pPr>
    </w:p>
    <w:p w:rsidR="000F2DBA" w:rsidRPr="00456420" w:rsidRDefault="0063169A">
      <w:pPr>
        <w:jc w:val="both"/>
      </w:pPr>
      <w:r w:rsidRPr="00456420">
        <w:rPr>
          <w:rFonts w:ascii="Arial" w:hAnsi="Arial"/>
          <w:sz w:val="20"/>
        </w:rPr>
        <w:t xml:space="preserve">Retention of the principal drug-related FTIR bands in the multicomponent spectrum, without conspicuous new bands or major shifts, supports the absence of a detectable strong chemical interaction under the tested conditions. Similar applications of FTIR </w:t>
      </w:r>
      <w:r w:rsidRPr="00456420">
        <w:rPr>
          <w:rFonts w:ascii="Arial" w:hAnsi="Arial"/>
          <w:sz w:val="20"/>
        </w:rPr>
        <w:t>as a compatibility-screening method have been reported in clomipramine and buccal-film formulations, although complementary thermal or solid-state methods may be useful when subtle interactions are suspected (Ghumman et al., 2023; Nair et al., 2021; Salehi &amp; Boddohi, 2017)</w:t>
      </w:r>
      <w:r w:rsidRPr="00456420">
        <w:rPr>
          <w:rFonts w:ascii="Arial" w:hAnsi="Arial"/>
          <w:sz w:val="20"/>
        </w:rPr>
        <w:t>.</w:t>
      </w:r>
    </w:p>
    <w:p w:rsidR="002A5E9C" w:rsidRPr="00456420" w:rsidRDefault="00A8512E" w:rsidP="002A5E9C">
      <w:pPr>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3.1.5 </w:t>
      </w:r>
      <w:r w:rsidR="00B710C1" w:rsidRPr="00456420">
        <w:rPr>
          <w:rFonts w:ascii="Arial" w:hAnsi="Arial" w:cs="Arial"/>
          <w:b/>
          <w:bCs/>
          <w:sz w:val="20"/>
          <w:szCs w:val="20"/>
          <w:u w:val="single"/>
        </w:rPr>
        <w:t xml:space="preserve">Determination of </w:t>
      </w:r>
      <w:r w:rsidR="0057452C" w:rsidRPr="00456420">
        <w:rPr>
          <w:rFonts w:ascii="Arial" w:hAnsi="Arial" w:cs="Arial"/>
          <w:b/>
          <w:bCs/>
          <w:sz w:val="20"/>
          <w:szCs w:val="20"/>
          <w:u w:val="single"/>
        </w:rPr>
        <w:t xml:space="preserve">λmax </w:t>
      </w:r>
      <w:r w:rsidR="0010685D" w:rsidRPr="00456420">
        <w:rPr>
          <w:rFonts w:ascii="Arial" w:hAnsi="Arial" w:cs="Arial"/>
          <w:b/>
          <w:bCs/>
          <w:sz w:val="20"/>
          <w:szCs w:val="20"/>
          <w:u w:val="single"/>
        </w:rPr>
        <w:t>f</w:t>
      </w:r>
      <w:r w:rsidR="00B710C1" w:rsidRPr="00456420">
        <w:rPr>
          <w:rFonts w:ascii="Arial" w:hAnsi="Arial" w:cs="Arial"/>
          <w:b/>
          <w:bCs/>
          <w:sz w:val="20"/>
          <w:szCs w:val="20"/>
          <w:u w:val="single"/>
        </w:rPr>
        <w:t>or Clomipramine H</w:t>
      </w:r>
      <w:r w:rsidR="003B34AE" w:rsidRPr="00456420">
        <w:rPr>
          <w:rFonts w:ascii="Arial" w:hAnsi="Arial" w:cs="Arial"/>
          <w:b/>
          <w:bCs/>
          <w:sz w:val="20"/>
          <w:szCs w:val="20"/>
          <w:u w:val="single"/>
        </w:rPr>
        <w:t>C</w:t>
      </w:r>
      <w:r w:rsidR="00B710C1" w:rsidRPr="00456420">
        <w:rPr>
          <w:rFonts w:ascii="Arial" w:hAnsi="Arial" w:cs="Arial"/>
          <w:b/>
          <w:bCs/>
          <w:sz w:val="20"/>
          <w:szCs w:val="20"/>
          <w:u w:val="single"/>
        </w:rPr>
        <w:t xml:space="preserve">l </w:t>
      </w:r>
      <w:r w:rsidR="0010685D" w:rsidRPr="00456420">
        <w:rPr>
          <w:rFonts w:ascii="Arial" w:hAnsi="Arial" w:cs="Arial"/>
          <w:b/>
          <w:bCs/>
          <w:sz w:val="20"/>
          <w:szCs w:val="20"/>
          <w:u w:val="single"/>
        </w:rPr>
        <w:t>b</w:t>
      </w:r>
      <w:r w:rsidR="00B710C1" w:rsidRPr="00456420">
        <w:rPr>
          <w:rFonts w:ascii="Arial" w:hAnsi="Arial" w:cs="Arial"/>
          <w:b/>
          <w:bCs/>
          <w:sz w:val="20"/>
          <w:szCs w:val="20"/>
          <w:u w:val="single"/>
        </w:rPr>
        <w:t xml:space="preserve">y </w:t>
      </w:r>
      <w:r w:rsidR="0010685D" w:rsidRPr="00456420">
        <w:rPr>
          <w:rFonts w:ascii="Arial" w:hAnsi="Arial" w:cs="Arial"/>
          <w:b/>
          <w:bCs/>
          <w:sz w:val="20"/>
          <w:szCs w:val="20"/>
          <w:u w:val="single"/>
        </w:rPr>
        <w:t>u</w:t>
      </w:r>
      <w:r w:rsidR="00B710C1" w:rsidRPr="00456420">
        <w:rPr>
          <w:rFonts w:ascii="Arial" w:hAnsi="Arial" w:cs="Arial"/>
          <w:b/>
          <w:bCs/>
          <w:sz w:val="20"/>
          <w:szCs w:val="20"/>
          <w:u w:val="single"/>
        </w:rPr>
        <w:t>sing Uv Spectroscopy</w:t>
      </w:r>
    </w:p>
    <w:p w:rsidR="00D00742" w:rsidRPr="00456420" w:rsidRDefault="002A5E9C" w:rsidP="002A5E9C">
      <w:pPr>
        <w:spacing w:after="0" w:line="480" w:lineRule="auto"/>
        <w:ind w:left="340" w:right="340"/>
        <w:jc w:val="both"/>
        <w:rPr>
          <w:rFonts w:ascii="Arial" w:hAnsi="Arial" w:cs="Arial"/>
          <w:b/>
          <w:bCs/>
          <w:sz w:val="20"/>
          <w:szCs w:val="20"/>
        </w:rPr>
      </w:pPr>
      <w:r w:rsidRPr="00456420">
        <w:rPr>
          <w:rFonts w:ascii="Arial" w:hAnsi="Arial" w:cs="Arial"/>
          <w:b/>
          <w:bCs/>
          <w:sz w:val="20"/>
          <w:szCs w:val="20"/>
        </w:rPr>
        <w:t>A)</w:t>
      </w:r>
      <w:r w:rsidR="00A96D99" w:rsidRPr="00456420">
        <w:rPr>
          <w:rFonts w:ascii="Arial" w:hAnsi="Arial" w:cs="Arial"/>
          <w:sz w:val="20"/>
          <w:szCs w:val="20"/>
        </w:rPr>
        <w:tab/>
      </w:r>
    </w:p>
    <w:p w:rsidR="0010685D" w:rsidRPr="00456420" w:rsidRDefault="0057452C" w:rsidP="002A5E9C">
      <w:pPr>
        <w:spacing w:after="0" w:line="480" w:lineRule="auto"/>
        <w:ind w:right="113" w:firstLine="720"/>
        <w:jc w:val="both"/>
        <w:rPr>
          <w:rFonts w:ascii="Arial" w:hAnsi="Arial" w:cs="Arial"/>
          <w:sz w:val="20"/>
          <w:szCs w:val="20"/>
        </w:rPr>
      </w:pPr>
      <w:r w:rsidRPr="00456420">
        <w:rPr>
          <w:rFonts w:ascii="Arial" w:hAnsi="Arial" w:cs="Arial"/>
          <w:sz w:val="20"/>
          <w:szCs w:val="20"/>
        </w:rPr>
        <w:t xml:space="preserve">   </w:t>
      </w:r>
      <w:r w:rsidRPr="00456420">
        <w:rPr>
          <w:rFonts w:ascii="Arial" w:hAnsi="Arial" w:cs="Arial"/>
          <w:noProof/>
          <w:sz w:val="20"/>
          <w:szCs w:val="20"/>
          <w:lang w:eastAsia="en-IN"/>
        </w:rPr>
        <w:drawing>
          <wp:inline distT="0" distB="0" distL="0" distR="0" wp14:anchorId="688C23F9" wp14:editId="7006383E">
            <wp:extent cx="4019973" cy="2468880"/>
            <wp:effectExtent l="0" t="0" r="0" b="7620"/>
            <wp:docPr id="1744886156" name="Picture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pic:cNvPicPr>
                      <a:picLocks noChangeAspect="1"/>
                    </pic:cNvPicPr>
                  </pic:nvPicPr>
                  <pic:blipFill>
                    <a:blip r:embed="rId10" cstate="print">
                      <a:extLst>
                        <a:ext uri="{28A0092B-C50C-407E-A947-70E740481C1C}">
                          <a14:useLocalDpi xmlns:a14="http://schemas.microsoft.com/office/drawing/2010/main" val="0"/>
                        </a:ext>
                      </a:extLst>
                    </a:blip>
                    <a:stretch>
                      <a:fillRect/>
                    </a:stretch>
                  </pic:blipFill>
                  <pic:spPr>
                    <a:xfrm>
                      <a:off x="0" y="0"/>
                      <a:ext cx="4073890" cy="2501993"/>
                    </a:xfrm>
                    <a:prstGeom prst="rect">
                      <a:avLst/>
                    </a:prstGeom>
                  </pic:spPr>
                </pic:pic>
              </a:graphicData>
            </a:graphic>
          </wp:inline>
        </w:drawing>
      </w:r>
    </w:p>
    <w:p w:rsidR="002A5E9C" w:rsidRPr="00456420" w:rsidRDefault="003E1B18" w:rsidP="003E1B18">
      <w:pPr>
        <w:spacing w:after="0" w:line="480" w:lineRule="auto"/>
        <w:ind w:left="340" w:right="340"/>
        <w:jc w:val="both"/>
        <w:rPr>
          <w:rFonts w:ascii="Arial" w:hAnsi="Arial" w:cs="Arial"/>
          <w:b/>
          <w:bCs/>
          <w:sz w:val="20"/>
          <w:szCs w:val="20"/>
        </w:rPr>
      </w:pPr>
      <w:r w:rsidRPr="00456420">
        <w:rPr>
          <w:rFonts w:ascii="Arial" w:hAnsi="Arial" w:cs="Arial"/>
          <w:b/>
          <w:bCs/>
          <w:sz w:val="20"/>
          <w:szCs w:val="20"/>
        </w:rPr>
        <w:t>B)</w:t>
      </w:r>
    </w:p>
    <w:p w:rsidR="00761EA5" w:rsidRPr="00456420" w:rsidRDefault="00FA4BDA" w:rsidP="003E1B18">
      <w:pPr>
        <w:spacing w:after="0" w:line="480" w:lineRule="auto"/>
        <w:ind w:right="113" w:firstLine="720"/>
        <w:jc w:val="both"/>
        <w:rPr>
          <w:rFonts w:ascii="Arial" w:hAnsi="Arial" w:cs="Arial"/>
          <w:b/>
          <w:bCs/>
          <w:sz w:val="20"/>
          <w:szCs w:val="20"/>
        </w:rPr>
      </w:pPr>
      <w:r w:rsidRPr="00456420">
        <w:rPr>
          <w:rFonts w:ascii="Arial" w:hAnsi="Arial" w:cs="Arial"/>
          <w:b/>
          <w:bCs/>
          <w:sz w:val="20"/>
          <w:szCs w:val="20"/>
        </w:rPr>
        <w:t xml:space="preserve">   </w:t>
      </w:r>
      <w:r w:rsidR="007565AC" w:rsidRPr="00456420">
        <w:rPr>
          <w:rFonts w:ascii="Arial" w:hAnsi="Arial" w:cs="Arial"/>
          <w:noProof/>
          <w:sz w:val="20"/>
          <w:szCs w:val="20"/>
          <w:lang w:eastAsia="en-IN"/>
        </w:rPr>
        <w:drawing>
          <wp:inline distT="0" distB="0" distL="0" distR="0" wp14:anchorId="08CDD760" wp14:editId="76E0C1DF">
            <wp:extent cx="4053840" cy="2385023"/>
            <wp:effectExtent l="0" t="0" r="3810" b="0"/>
            <wp:docPr id="1768519361" name="Picture 3" descr="A graph of calibration&#10;&#10;AI-generated content may be incorrect.">
              <a:extLst xmlns:a="http://schemas.openxmlformats.org/drawingml/2006/main">
                <a:ext uri="{FF2B5EF4-FFF2-40B4-BE49-F238E27FC236}">
                  <a16:creationId xmlns:a16="http://schemas.microsoft.com/office/drawing/2014/main" id="{B904B215-2B85-1E33-FF6E-085DE71C39B4}"/>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3" descr="A graph of calibration&#10;&#10;AI-generated content may be incorrect.">
                      <a:extLst>
                        <a:ext uri="{FF2B5EF4-FFF2-40B4-BE49-F238E27FC236}">
                          <a16:creationId xmlns:a16="http://schemas.microsoft.com/office/drawing/2014/main" id="{B904B215-2B85-1E33-FF6E-085DE71C39B4}"/>
                        </a:ext>
                      </a:extLst>
                    </pic:cNvPr>
                    <pic:cNvPicPr>
                      <a:picLocks noChangeAspect="1"/>
                    </pic:cNvPicPr>
                  </pic:nvPicPr>
                  <pic:blipFill>
                    <a:blip r:embed="rId11"/>
                    <a:stretch>
                      <a:fillRect/>
                    </a:stretch>
                  </pic:blipFill>
                  <pic:spPr>
                    <a:xfrm>
                      <a:off x="0" y="0"/>
                      <a:ext cx="4134601" cy="2432538"/>
                    </a:xfrm>
                    <a:prstGeom prst="rect">
                      <a:avLst/>
                    </a:prstGeom>
                  </pic:spPr>
                </pic:pic>
              </a:graphicData>
            </a:graphic>
          </wp:inline>
        </w:drawing>
      </w:r>
    </w:p>
    <w:p w:rsidR="00F25A7F" w:rsidRPr="00456420" w:rsidRDefault="00F25A7F" w:rsidP="00606C24">
      <w:pPr>
        <w:spacing w:after="0" w:line="480" w:lineRule="auto"/>
        <w:ind w:left="340" w:right="340"/>
        <w:jc w:val="both"/>
        <w:rPr>
          <w:rFonts w:ascii="Arial" w:hAnsi="Arial" w:cs="Arial"/>
          <w:b/>
          <w:bCs/>
          <w:sz w:val="20"/>
          <w:szCs w:val="20"/>
        </w:rPr>
      </w:pPr>
      <w:r w:rsidRPr="00456420">
        <w:rPr>
          <w:rFonts w:ascii="Arial" w:hAnsi="Arial" w:cs="Arial"/>
          <w:b/>
          <w:bCs/>
          <w:sz w:val="20"/>
          <w:szCs w:val="20"/>
        </w:rPr>
        <w:t>Fig</w:t>
      </w:r>
      <w:r w:rsidR="00C83EFE" w:rsidRPr="00456420">
        <w:rPr>
          <w:rFonts w:ascii="Arial" w:hAnsi="Arial" w:cs="Arial"/>
          <w:b/>
          <w:bCs/>
          <w:sz w:val="20"/>
          <w:szCs w:val="20"/>
        </w:rPr>
        <w:t xml:space="preserve">. </w:t>
      </w:r>
      <w:r w:rsidR="00092D5C" w:rsidRPr="00456420">
        <w:rPr>
          <w:rFonts w:ascii="Arial" w:hAnsi="Arial" w:cs="Arial"/>
          <w:b/>
          <w:bCs/>
          <w:sz w:val="20"/>
          <w:szCs w:val="20"/>
        </w:rPr>
        <w:t>2</w:t>
      </w:r>
      <w:r w:rsidRPr="00456420">
        <w:rPr>
          <w:rFonts w:ascii="Arial" w:hAnsi="Arial" w:cs="Arial"/>
          <w:b/>
          <w:bCs/>
          <w:sz w:val="20"/>
          <w:szCs w:val="20"/>
        </w:rPr>
        <w:t>:</w:t>
      </w:r>
      <w:r w:rsidR="003E1B18" w:rsidRPr="00456420">
        <w:rPr>
          <w:rFonts w:ascii="Arial" w:hAnsi="Arial" w:cs="Arial"/>
          <w:b/>
          <w:bCs/>
          <w:sz w:val="20"/>
          <w:szCs w:val="20"/>
        </w:rPr>
        <w:t xml:space="preserve"> A)</w:t>
      </w:r>
      <w:r w:rsidRPr="00456420">
        <w:rPr>
          <w:rFonts w:ascii="Arial" w:hAnsi="Arial" w:cs="Arial"/>
          <w:sz w:val="20"/>
          <w:szCs w:val="20"/>
        </w:rPr>
        <w:t xml:space="preserve"> </w:t>
      </w:r>
      <w:r w:rsidRPr="00456420">
        <w:rPr>
          <w:rFonts w:ascii="Arial" w:hAnsi="Arial" w:cs="Arial"/>
          <w:b/>
          <w:bCs/>
          <w:sz w:val="20"/>
          <w:szCs w:val="20"/>
        </w:rPr>
        <w:t xml:space="preserve">UV Spectrum </w:t>
      </w:r>
      <w:r w:rsidR="00E73D56" w:rsidRPr="00456420">
        <w:rPr>
          <w:rFonts w:ascii="Arial" w:hAnsi="Arial" w:cs="Arial"/>
          <w:b/>
          <w:bCs/>
          <w:sz w:val="20"/>
          <w:szCs w:val="20"/>
        </w:rPr>
        <w:t xml:space="preserve">and </w:t>
      </w:r>
      <w:r w:rsidR="00606C24" w:rsidRPr="00456420">
        <w:rPr>
          <w:rFonts w:ascii="Arial" w:hAnsi="Arial" w:cs="Arial"/>
          <w:b/>
          <w:bCs/>
          <w:sz w:val="20"/>
          <w:szCs w:val="20"/>
        </w:rPr>
        <w:t xml:space="preserve">B) </w:t>
      </w:r>
      <w:r w:rsidR="00E73D56" w:rsidRPr="00456420">
        <w:rPr>
          <w:rFonts w:ascii="Arial" w:hAnsi="Arial" w:cs="Arial"/>
          <w:b/>
          <w:bCs/>
          <w:sz w:val="20"/>
          <w:szCs w:val="20"/>
        </w:rPr>
        <w:t xml:space="preserve">Calibration curve </w:t>
      </w:r>
      <w:r w:rsidRPr="00456420">
        <w:rPr>
          <w:rFonts w:ascii="Arial" w:hAnsi="Arial" w:cs="Arial"/>
          <w:b/>
          <w:bCs/>
          <w:sz w:val="20"/>
          <w:szCs w:val="20"/>
        </w:rPr>
        <w:t>of Clomipramine HCl using Phosphate Buffer pH 6.8</w:t>
      </w:r>
    </w:p>
    <w:p w:rsidR="002B52DB" w:rsidRPr="00456420" w:rsidRDefault="002B52DB" w:rsidP="00606C24">
      <w:pPr>
        <w:spacing w:after="0" w:line="480" w:lineRule="auto"/>
        <w:ind w:left="340" w:right="340"/>
        <w:jc w:val="both"/>
        <w:rPr>
          <w:rFonts w:ascii="Arial" w:hAnsi="Arial" w:cs="Arial"/>
          <w:b/>
          <w:bCs/>
          <w:sz w:val="20"/>
          <w:szCs w:val="20"/>
          <w:u w:val="single"/>
        </w:rPr>
      </w:pPr>
    </w:p>
    <w:p w:rsidR="000F2DBA" w:rsidRPr="00456420" w:rsidRDefault="0063169A">
      <w:pPr>
        <w:jc w:val="both"/>
      </w:pPr>
      <w:r w:rsidRPr="00456420">
        <w:rPr>
          <w:rFonts w:ascii="Arial" w:hAnsi="Arial"/>
          <w:sz w:val="20"/>
        </w:rPr>
        <w:t xml:space="preserve">The use of 254 nm for clomipramine </w:t>
      </w:r>
      <w:r w:rsidRPr="00456420">
        <w:rPr>
          <w:rFonts w:ascii="Arial" w:hAnsi="Arial"/>
          <w:sz w:val="20"/>
        </w:rPr>
        <w:t xml:space="preserve">quantification has precedent in ultraviolet-detection methods, although the optimal analytical wavelength depends on the solvent, matrix, and assay configuration. </w:t>
      </w:r>
      <w:r w:rsidRPr="00456420">
        <w:rPr>
          <w:rFonts w:ascii="Arial" w:hAnsi="Arial"/>
          <w:sz w:val="20"/>
        </w:rPr>
        <w:lastRenderedPageBreak/>
        <w:t>The recorded spectrum therefore provides method-specific justification for using 254 nm in th</w:t>
      </w:r>
      <w:r w:rsidRPr="00456420">
        <w:rPr>
          <w:rFonts w:ascii="Arial" w:hAnsi="Arial"/>
          <w:sz w:val="20"/>
        </w:rPr>
        <w:t>e present phosphate-buffer assay (Aymard et al., 1997; Palego et al., 2000; Tanaka et al., 1997).</w:t>
      </w:r>
    </w:p>
    <w:p w:rsidR="0057452C" w:rsidRPr="00456420" w:rsidRDefault="0059371B" w:rsidP="00606C24">
      <w:pPr>
        <w:spacing w:after="0" w:line="480" w:lineRule="auto"/>
        <w:ind w:left="340" w:right="340"/>
        <w:jc w:val="both"/>
        <w:rPr>
          <w:rFonts w:ascii="Arial" w:hAnsi="Arial" w:cs="Arial"/>
          <w:sz w:val="20"/>
          <w:szCs w:val="20"/>
          <w:u w:val="single"/>
        </w:rPr>
      </w:pPr>
      <w:r w:rsidRPr="00456420">
        <w:rPr>
          <w:rFonts w:ascii="Arial" w:hAnsi="Arial" w:cs="Arial"/>
          <w:b/>
          <w:bCs/>
          <w:sz w:val="20"/>
          <w:szCs w:val="20"/>
          <w:u w:val="single"/>
        </w:rPr>
        <w:t xml:space="preserve">3.1.6 </w:t>
      </w:r>
      <w:r w:rsidR="0010685D" w:rsidRPr="00456420">
        <w:rPr>
          <w:rFonts w:ascii="Arial" w:hAnsi="Arial" w:cs="Arial"/>
          <w:b/>
          <w:bCs/>
          <w:sz w:val="20"/>
          <w:szCs w:val="20"/>
          <w:u w:val="single"/>
        </w:rPr>
        <w:t>Standard Calibration Curve of Clomipramine H</w:t>
      </w:r>
      <w:r w:rsidRPr="00456420">
        <w:rPr>
          <w:rFonts w:ascii="Arial" w:hAnsi="Arial" w:cs="Arial"/>
          <w:b/>
          <w:bCs/>
          <w:sz w:val="20"/>
          <w:szCs w:val="20"/>
          <w:u w:val="single"/>
        </w:rPr>
        <w:t>C</w:t>
      </w:r>
      <w:r w:rsidR="0010685D" w:rsidRPr="00456420">
        <w:rPr>
          <w:rFonts w:ascii="Arial" w:hAnsi="Arial" w:cs="Arial"/>
          <w:b/>
          <w:bCs/>
          <w:sz w:val="20"/>
          <w:szCs w:val="20"/>
          <w:u w:val="single"/>
        </w:rPr>
        <w:t xml:space="preserve">l using Phosphate Buffer </w:t>
      </w:r>
      <w:r w:rsidR="0057452C" w:rsidRPr="00456420">
        <w:rPr>
          <w:rFonts w:ascii="Arial" w:hAnsi="Arial" w:cs="Arial"/>
          <w:b/>
          <w:bCs/>
          <w:sz w:val="20"/>
          <w:szCs w:val="20"/>
          <w:u w:val="single"/>
        </w:rPr>
        <w:t>pH 6.8</w:t>
      </w:r>
    </w:p>
    <w:p w:rsidR="0057452C" w:rsidRPr="00456420" w:rsidRDefault="0057452C" w:rsidP="00606C24">
      <w:pPr>
        <w:spacing w:after="0" w:line="480" w:lineRule="auto"/>
        <w:ind w:left="340" w:right="340"/>
        <w:jc w:val="both"/>
        <w:rPr>
          <w:rFonts w:ascii="Arial" w:hAnsi="Arial" w:cs="Arial"/>
          <w:sz w:val="20"/>
          <w:szCs w:val="20"/>
        </w:rPr>
      </w:pPr>
      <w:r w:rsidRPr="00456420">
        <w:rPr>
          <w:rFonts w:ascii="Arial" w:hAnsi="Arial" w:cs="Arial"/>
          <w:sz w:val="20"/>
          <w:szCs w:val="20"/>
        </w:rPr>
        <w:t>The absorbance of drug solutions with concentrations ranging from 5 to 25 µg/mL was measured at 254 nm against a blank.</w:t>
      </w:r>
    </w:p>
    <w:p w:rsidR="0057452C" w:rsidRPr="00456420" w:rsidRDefault="0057452C" w:rsidP="00606C24">
      <w:pPr>
        <w:tabs>
          <w:tab w:val="left" w:pos="2664"/>
        </w:tabs>
        <w:spacing w:after="0" w:line="480" w:lineRule="auto"/>
        <w:ind w:left="340" w:right="340"/>
        <w:jc w:val="both"/>
        <w:rPr>
          <w:rFonts w:ascii="Arial" w:hAnsi="Arial" w:cs="Arial"/>
          <w:b/>
          <w:bCs/>
          <w:sz w:val="20"/>
          <w:szCs w:val="20"/>
        </w:rPr>
      </w:pPr>
      <w:r w:rsidRPr="00456420">
        <w:rPr>
          <w:rFonts w:ascii="Arial" w:hAnsi="Arial" w:cs="Arial"/>
          <w:b/>
          <w:bCs/>
          <w:sz w:val="20"/>
          <w:szCs w:val="20"/>
        </w:rPr>
        <w:t>Table</w:t>
      </w:r>
      <w:r w:rsidR="002059B7" w:rsidRPr="00456420">
        <w:rPr>
          <w:rFonts w:ascii="Arial" w:hAnsi="Arial" w:cs="Arial"/>
          <w:b/>
          <w:bCs/>
          <w:sz w:val="20"/>
          <w:szCs w:val="20"/>
        </w:rPr>
        <w:t xml:space="preserve"> </w:t>
      </w:r>
      <w:r w:rsidR="00EB4711" w:rsidRPr="00456420">
        <w:rPr>
          <w:rFonts w:ascii="Arial" w:hAnsi="Arial" w:cs="Arial"/>
          <w:b/>
          <w:bCs/>
          <w:sz w:val="20"/>
          <w:szCs w:val="20"/>
        </w:rPr>
        <w:t>3</w:t>
      </w:r>
      <w:r w:rsidRPr="00456420">
        <w:rPr>
          <w:rFonts w:ascii="Arial" w:hAnsi="Arial" w:cs="Arial"/>
          <w:b/>
          <w:bCs/>
          <w:sz w:val="20"/>
          <w:szCs w:val="20"/>
        </w:rPr>
        <w:t>:</w:t>
      </w:r>
      <w:r w:rsidRPr="00456420">
        <w:rPr>
          <w:rFonts w:ascii="Arial" w:hAnsi="Arial" w:cs="Arial"/>
          <w:sz w:val="20"/>
          <w:szCs w:val="20"/>
        </w:rPr>
        <w:t xml:space="preserve"> </w:t>
      </w:r>
      <w:r w:rsidRPr="00456420">
        <w:rPr>
          <w:rFonts w:ascii="Arial" w:hAnsi="Arial" w:cs="Arial"/>
          <w:b/>
          <w:bCs/>
          <w:sz w:val="20"/>
          <w:szCs w:val="20"/>
        </w:rPr>
        <w:t>Data for Calibration curve of Clomipramine HCl using Phosphate Buffer pH 6.8</w:t>
      </w:r>
    </w:p>
    <w:tbl>
      <w:tblPr>
        <w:tblStyle w:val="PlainTable2"/>
        <w:tblW w:w="0" w:type="auto"/>
        <w:tblInd w:w="492" w:type="dxa"/>
        <w:tblLook w:val="04A0" w:firstRow="1" w:lastRow="0" w:firstColumn="1" w:lastColumn="0" w:noHBand="0" w:noVBand="1"/>
      </w:tblPr>
      <w:tblGrid>
        <w:gridCol w:w="1215"/>
        <w:gridCol w:w="2749"/>
        <w:gridCol w:w="2694"/>
      </w:tblGrid>
      <w:tr w:rsidR="0057452C" w:rsidRPr="00456420" w:rsidTr="004B3A35">
        <w:trPr>
          <w:cnfStyle w:val="100000000000" w:firstRow="1" w:lastRow="0" w:firstColumn="0" w:lastColumn="0" w:oddVBand="0" w:evenVBand="0" w:oddHBand="0" w:evenHBand="0" w:firstRowFirstColumn="0" w:firstRowLastColumn="0" w:lastRowFirstColumn="0" w:lastRowLastColumn="0"/>
          <w:trHeight w:val="464"/>
        </w:trPr>
        <w:tc>
          <w:tcPr>
            <w:cnfStyle w:val="001000000000" w:firstRow="0" w:lastRow="0" w:firstColumn="1" w:lastColumn="0" w:oddVBand="0" w:evenVBand="0" w:oddHBand="0" w:evenHBand="0" w:firstRowFirstColumn="0" w:firstRowLastColumn="0" w:lastRowFirstColumn="0" w:lastRowLastColumn="0"/>
            <w:tcW w:w="1215" w:type="dxa"/>
            <w:vAlign w:val="center"/>
          </w:tcPr>
          <w:p w:rsidR="0057452C" w:rsidRPr="00456420" w:rsidRDefault="0057452C" w:rsidP="004B3A35">
            <w:pPr>
              <w:rPr>
                <w:rFonts w:ascii="Arial" w:hAnsi="Arial" w:cs="Arial"/>
                <w:sz w:val="20"/>
                <w:szCs w:val="20"/>
              </w:rPr>
            </w:pPr>
            <w:r w:rsidRPr="00456420">
              <w:rPr>
                <w:rFonts w:ascii="Arial" w:hAnsi="Arial" w:cs="Arial"/>
                <w:sz w:val="20"/>
                <w:szCs w:val="20"/>
              </w:rPr>
              <w:t>S. No</w:t>
            </w:r>
          </w:p>
        </w:tc>
        <w:tc>
          <w:tcPr>
            <w:tcW w:w="2749" w:type="dxa"/>
            <w:vAlign w:val="center"/>
          </w:tcPr>
          <w:p w:rsidR="0057452C" w:rsidRPr="00456420" w:rsidRDefault="0057452C" w:rsidP="004B3A3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Concentration (µg/ml)</w:t>
            </w:r>
          </w:p>
        </w:tc>
        <w:tc>
          <w:tcPr>
            <w:tcW w:w="2694" w:type="dxa"/>
            <w:vAlign w:val="center"/>
          </w:tcPr>
          <w:p w:rsidR="0057452C" w:rsidRPr="00456420" w:rsidRDefault="0057452C" w:rsidP="004B3A35">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Absorbance</w:t>
            </w:r>
            <w:r w:rsidR="00A83CA8" w:rsidRPr="00456420">
              <w:rPr>
                <w:rFonts w:ascii="Arial" w:hAnsi="Arial" w:cs="Arial"/>
                <w:sz w:val="20"/>
                <w:szCs w:val="20"/>
              </w:rPr>
              <w:t xml:space="preserve"> (A)</w:t>
            </w:r>
          </w:p>
        </w:tc>
      </w:tr>
      <w:tr w:rsidR="002B6CD4" w:rsidRPr="00456420" w:rsidTr="004B3A35">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215" w:type="dxa"/>
            <w:vAlign w:val="center"/>
          </w:tcPr>
          <w:p w:rsidR="002B6CD4" w:rsidRPr="00456420" w:rsidRDefault="00FD6B6D" w:rsidP="004B3A35">
            <w:pPr>
              <w:rPr>
                <w:rFonts w:ascii="Arial" w:hAnsi="Arial" w:cs="Arial"/>
                <w:b w:val="0"/>
                <w:bCs w:val="0"/>
                <w:sz w:val="20"/>
                <w:szCs w:val="20"/>
              </w:rPr>
            </w:pPr>
            <w:r w:rsidRPr="00456420">
              <w:rPr>
                <w:rFonts w:ascii="Arial" w:hAnsi="Arial" w:cs="Arial"/>
                <w:b w:val="0"/>
                <w:bCs w:val="0"/>
                <w:sz w:val="20"/>
                <w:szCs w:val="20"/>
              </w:rPr>
              <w:t>1.</w:t>
            </w:r>
          </w:p>
        </w:tc>
        <w:tc>
          <w:tcPr>
            <w:tcW w:w="2749" w:type="dxa"/>
            <w:vAlign w:val="center"/>
          </w:tcPr>
          <w:p w:rsidR="002B6CD4" w:rsidRPr="00456420" w:rsidRDefault="00FD6B6D"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2694" w:type="dxa"/>
            <w:vAlign w:val="center"/>
          </w:tcPr>
          <w:p w:rsidR="002B6CD4" w:rsidRPr="00456420" w:rsidRDefault="00FD6B6D"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r>
      <w:tr w:rsidR="0057452C" w:rsidRPr="00456420" w:rsidTr="004B3A35">
        <w:trPr>
          <w:trHeight w:val="297"/>
        </w:trPr>
        <w:tc>
          <w:tcPr>
            <w:cnfStyle w:val="001000000000" w:firstRow="0" w:lastRow="0" w:firstColumn="1" w:lastColumn="0" w:oddVBand="0" w:evenVBand="0" w:oddHBand="0" w:evenHBand="0" w:firstRowFirstColumn="0" w:firstRowLastColumn="0" w:lastRowFirstColumn="0" w:lastRowLastColumn="0"/>
            <w:tcW w:w="1215" w:type="dxa"/>
            <w:vAlign w:val="center"/>
          </w:tcPr>
          <w:p w:rsidR="0057452C" w:rsidRPr="00456420" w:rsidRDefault="00FD6B6D" w:rsidP="004B3A35">
            <w:pPr>
              <w:rPr>
                <w:rFonts w:ascii="Arial" w:hAnsi="Arial" w:cs="Arial"/>
                <w:b w:val="0"/>
                <w:bCs w:val="0"/>
                <w:sz w:val="20"/>
                <w:szCs w:val="20"/>
              </w:rPr>
            </w:pPr>
            <w:r w:rsidRPr="00456420">
              <w:rPr>
                <w:rFonts w:ascii="Arial" w:hAnsi="Arial" w:cs="Arial"/>
                <w:b w:val="0"/>
                <w:bCs w:val="0"/>
                <w:sz w:val="20"/>
                <w:szCs w:val="20"/>
              </w:rPr>
              <w:t>2</w:t>
            </w:r>
            <w:r w:rsidR="0057452C" w:rsidRPr="00456420">
              <w:rPr>
                <w:rFonts w:ascii="Arial" w:hAnsi="Arial" w:cs="Arial"/>
                <w:b w:val="0"/>
                <w:bCs w:val="0"/>
                <w:sz w:val="20"/>
                <w:szCs w:val="20"/>
              </w:rPr>
              <w:t>.</w:t>
            </w:r>
          </w:p>
        </w:tc>
        <w:tc>
          <w:tcPr>
            <w:tcW w:w="2749" w:type="dxa"/>
            <w:vAlign w:val="center"/>
          </w:tcPr>
          <w:p w:rsidR="0057452C" w:rsidRPr="00456420"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5 </w:t>
            </w:r>
          </w:p>
        </w:tc>
        <w:tc>
          <w:tcPr>
            <w:tcW w:w="2694" w:type="dxa"/>
            <w:vAlign w:val="center"/>
          </w:tcPr>
          <w:p w:rsidR="0057452C" w:rsidRPr="00456420"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0.128</w:t>
            </w:r>
          </w:p>
        </w:tc>
      </w:tr>
      <w:tr w:rsidR="0057452C" w:rsidRPr="00456420" w:rsidTr="004B3A35">
        <w:trPr>
          <w:cnfStyle w:val="000000100000" w:firstRow="0" w:lastRow="0" w:firstColumn="0" w:lastColumn="0" w:oddVBand="0" w:evenVBand="0" w:oddHBand="1" w:evenHBand="0" w:firstRowFirstColumn="0" w:firstRowLastColumn="0" w:lastRowFirstColumn="0" w:lastRowLastColumn="0"/>
          <w:trHeight w:val="301"/>
        </w:trPr>
        <w:tc>
          <w:tcPr>
            <w:cnfStyle w:val="001000000000" w:firstRow="0" w:lastRow="0" w:firstColumn="1" w:lastColumn="0" w:oddVBand="0" w:evenVBand="0" w:oddHBand="0" w:evenHBand="0" w:firstRowFirstColumn="0" w:firstRowLastColumn="0" w:lastRowFirstColumn="0" w:lastRowLastColumn="0"/>
            <w:tcW w:w="1215" w:type="dxa"/>
            <w:vAlign w:val="center"/>
          </w:tcPr>
          <w:p w:rsidR="0057452C" w:rsidRPr="00456420" w:rsidRDefault="00FD6B6D" w:rsidP="004B3A35">
            <w:pPr>
              <w:rPr>
                <w:rFonts w:ascii="Arial" w:hAnsi="Arial" w:cs="Arial"/>
                <w:b w:val="0"/>
                <w:bCs w:val="0"/>
                <w:sz w:val="20"/>
                <w:szCs w:val="20"/>
              </w:rPr>
            </w:pPr>
            <w:r w:rsidRPr="00456420">
              <w:rPr>
                <w:rFonts w:ascii="Arial" w:hAnsi="Arial" w:cs="Arial"/>
                <w:b w:val="0"/>
                <w:bCs w:val="0"/>
                <w:sz w:val="20"/>
                <w:szCs w:val="20"/>
              </w:rPr>
              <w:t>3</w:t>
            </w:r>
            <w:r w:rsidR="0057452C" w:rsidRPr="00456420">
              <w:rPr>
                <w:rFonts w:ascii="Arial" w:hAnsi="Arial" w:cs="Arial"/>
                <w:b w:val="0"/>
                <w:bCs w:val="0"/>
                <w:sz w:val="20"/>
                <w:szCs w:val="20"/>
              </w:rPr>
              <w:t>.</w:t>
            </w:r>
          </w:p>
        </w:tc>
        <w:tc>
          <w:tcPr>
            <w:tcW w:w="2749" w:type="dxa"/>
            <w:vAlign w:val="center"/>
          </w:tcPr>
          <w:p w:rsidR="0057452C" w:rsidRPr="00456420"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10 </w:t>
            </w:r>
          </w:p>
        </w:tc>
        <w:tc>
          <w:tcPr>
            <w:tcW w:w="2694" w:type="dxa"/>
            <w:vAlign w:val="center"/>
          </w:tcPr>
          <w:p w:rsidR="0057452C" w:rsidRPr="00456420"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0.245 </w:t>
            </w:r>
          </w:p>
        </w:tc>
      </w:tr>
      <w:tr w:rsidR="0057452C" w:rsidRPr="00456420" w:rsidTr="004B3A35">
        <w:trPr>
          <w:trHeight w:val="291"/>
        </w:trPr>
        <w:tc>
          <w:tcPr>
            <w:cnfStyle w:val="001000000000" w:firstRow="0" w:lastRow="0" w:firstColumn="1" w:lastColumn="0" w:oddVBand="0" w:evenVBand="0" w:oddHBand="0" w:evenHBand="0" w:firstRowFirstColumn="0" w:firstRowLastColumn="0" w:lastRowFirstColumn="0" w:lastRowLastColumn="0"/>
            <w:tcW w:w="1215" w:type="dxa"/>
            <w:vAlign w:val="center"/>
          </w:tcPr>
          <w:p w:rsidR="0057452C" w:rsidRPr="00456420" w:rsidRDefault="00FD6B6D" w:rsidP="004B3A35">
            <w:pPr>
              <w:rPr>
                <w:rFonts w:ascii="Arial" w:hAnsi="Arial" w:cs="Arial"/>
                <w:b w:val="0"/>
                <w:bCs w:val="0"/>
                <w:sz w:val="20"/>
                <w:szCs w:val="20"/>
              </w:rPr>
            </w:pPr>
            <w:r w:rsidRPr="00456420">
              <w:rPr>
                <w:rFonts w:ascii="Arial" w:hAnsi="Arial" w:cs="Arial"/>
                <w:b w:val="0"/>
                <w:bCs w:val="0"/>
                <w:sz w:val="20"/>
                <w:szCs w:val="20"/>
              </w:rPr>
              <w:t>4</w:t>
            </w:r>
            <w:r w:rsidR="0057452C" w:rsidRPr="00456420">
              <w:rPr>
                <w:rFonts w:ascii="Arial" w:hAnsi="Arial" w:cs="Arial"/>
                <w:b w:val="0"/>
                <w:bCs w:val="0"/>
                <w:sz w:val="20"/>
                <w:szCs w:val="20"/>
              </w:rPr>
              <w:t>.</w:t>
            </w:r>
          </w:p>
        </w:tc>
        <w:tc>
          <w:tcPr>
            <w:tcW w:w="2749" w:type="dxa"/>
            <w:vAlign w:val="center"/>
          </w:tcPr>
          <w:p w:rsidR="0057452C" w:rsidRPr="00456420"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15 </w:t>
            </w:r>
          </w:p>
        </w:tc>
        <w:tc>
          <w:tcPr>
            <w:tcW w:w="2694" w:type="dxa"/>
            <w:vAlign w:val="center"/>
          </w:tcPr>
          <w:p w:rsidR="0057452C" w:rsidRPr="00456420" w:rsidRDefault="0057452C"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0.361 </w:t>
            </w:r>
          </w:p>
        </w:tc>
      </w:tr>
      <w:tr w:rsidR="0057452C" w:rsidRPr="00456420" w:rsidTr="004B3A35">
        <w:trPr>
          <w:cnfStyle w:val="000000100000" w:firstRow="0" w:lastRow="0" w:firstColumn="0" w:lastColumn="0" w:oddVBand="0" w:evenVBand="0" w:oddHBand="1" w:evenHBand="0" w:firstRowFirstColumn="0" w:firstRowLastColumn="0" w:lastRowFirstColumn="0" w:lastRowLastColumn="0"/>
          <w:trHeight w:val="353"/>
        </w:trPr>
        <w:tc>
          <w:tcPr>
            <w:cnfStyle w:val="001000000000" w:firstRow="0" w:lastRow="0" w:firstColumn="1" w:lastColumn="0" w:oddVBand="0" w:evenVBand="0" w:oddHBand="0" w:evenHBand="0" w:firstRowFirstColumn="0" w:firstRowLastColumn="0" w:lastRowFirstColumn="0" w:lastRowLastColumn="0"/>
            <w:tcW w:w="1215" w:type="dxa"/>
            <w:vAlign w:val="center"/>
          </w:tcPr>
          <w:p w:rsidR="0057452C" w:rsidRPr="00456420" w:rsidRDefault="00FD6B6D" w:rsidP="004B3A35">
            <w:pPr>
              <w:rPr>
                <w:rFonts w:ascii="Arial" w:hAnsi="Arial" w:cs="Arial"/>
                <w:b w:val="0"/>
                <w:bCs w:val="0"/>
                <w:sz w:val="20"/>
                <w:szCs w:val="20"/>
              </w:rPr>
            </w:pPr>
            <w:r w:rsidRPr="00456420">
              <w:rPr>
                <w:rFonts w:ascii="Arial" w:hAnsi="Arial" w:cs="Arial"/>
                <w:b w:val="0"/>
                <w:bCs w:val="0"/>
                <w:sz w:val="20"/>
                <w:szCs w:val="20"/>
              </w:rPr>
              <w:t>5</w:t>
            </w:r>
            <w:r w:rsidR="0057452C" w:rsidRPr="00456420">
              <w:rPr>
                <w:rFonts w:ascii="Arial" w:hAnsi="Arial" w:cs="Arial"/>
                <w:b w:val="0"/>
                <w:bCs w:val="0"/>
                <w:sz w:val="20"/>
                <w:szCs w:val="20"/>
              </w:rPr>
              <w:t>.</w:t>
            </w:r>
          </w:p>
        </w:tc>
        <w:tc>
          <w:tcPr>
            <w:tcW w:w="2749" w:type="dxa"/>
            <w:vAlign w:val="center"/>
          </w:tcPr>
          <w:p w:rsidR="0057452C" w:rsidRPr="00456420"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20 </w:t>
            </w:r>
          </w:p>
        </w:tc>
        <w:tc>
          <w:tcPr>
            <w:tcW w:w="2694" w:type="dxa"/>
            <w:vAlign w:val="center"/>
          </w:tcPr>
          <w:p w:rsidR="0057452C" w:rsidRPr="00456420" w:rsidRDefault="0057452C" w:rsidP="004B3A35">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0.488 </w:t>
            </w:r>
          </w:p>
        </w:tc>
      </w:tr>
      <w:tr w:rsidR="000C6ECF" w:rsidRPr="00456420" w:rsidTr="004B3A35">
        <w:trPr>
          <w:trHeight w:val="353"/>
        </w:trPr>
        <w:tc>
          <w:tcPr>
            <w:cnfStyle w:val="001000000000" w:firstRow="0" w:lastRow="0" w:firstColumn="1" w:lastColumn="0" w:oddVBand="0" w:evenVBand="0" w:oddHBand="0" w:evenHBand="0" w:firstRowFirstColumn="0" w:firstRowLastColumn="0" w:lastRowFirstColumn="0" w:lastRowLastColumn="0"/>
            <w:tcW w:w="1215" w:type="dxa"/>
            <w:vAlign w:val="center"/>
          </w:tcPr>
          <w:p w:rsidR="000C6ECF" w:rsidRPr="00456420" w:rsidRDefault="000C6ECF" w:rsidP="004B3A35">
            <w:pPr>
              <w:rPr>
                <w:rFonts w:ascii="Arial" w:hAnsi="Arial" w:cs="Arial"/>
                <w:b w:val="0"/>
                <w:bCs w:val="0"/>
                <w:sz w:val="20"/>
                <w:szCs w:val="20"/>
              </w:rPr>
            </w:pPr>
            <w:r w:rsidRPr="00456420">
              <w:rPr>
                <w:rFonts w:ascii="Arial" w:hAnsi="Arial" w:cs="Arial"/>
                <w:b w:val="0"/>
                <w:bCs w:val="0"/>
                <w:sz w:val="20"/>
                <w:szCs w:val="20"/>
              </w:rPr>
              <w:t>6.</w:t>
            </w:r>
          </w:p>
        </w:tc>
        <w:tc>
          <w:tcPr>
            <w:tcW w:w="2749" w:type="dxa"/>
            <w:vAlign w:val="center"/>
          </w:tcPr>
          <w:p w:rsidR="000C6ECF" w:rsidRPr="00456420" w:rsidRDefault="000C6ECF"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25</w:t>
            </w:r>
          </w:p>
        </w:tc>
        <w:tc>
          <w:tcPr>
            <w:tcW w:w="2694" w:type="dxa"/>
            <w:vAlign w:val="center"/>
          </w:tcPr>
          <w:p w:rsidR="000C6ECF" w:rsidRPr="00456420" w:rsidRDefault="004B3A35" w:rsidP="004B3A35">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0.598</w:t>
            </w:r>
          </w:p>
        </w:tc>
      </w:tr>
    </w:tbl>
    <w:p w:rsidR="004B3A35" w:rsidRPr="00456420" w:rsidRDefault="004B3A35" w:rsidP="007D1626">
      <w:pPr>
        <w:tabs>
          <w:tab w:val="left" w:pos="2664"/>
        </w:tabs>
        <w:spacing w:after="0" w:line="480" w:lineRule="auto"/>
        <w:ind w:right="113"/>
        <w:jc w:val="both"/>
        <w:rPr>
          <w:rFonts w:ascii="Arial" w:hAnsi="Arial" w:cs="Arial"/>
          <w:b/>
          <w:bCs/>
          <w:sz w:val="20"/>
          <w:szCs w:val="20"/>
        </w:rPr>
      </w:pPr>
    </w:p>
    <w:p w:rsidR="00085DAD" w:rsidRPr="00456420" w:rsidRDefault="00085DAD"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b/>
          <w:bCs/>
          <w:sz w:val="20"/>
          <w:szCs w:val="20"/>
        </w:rPr>
        <w:t>Inference</w:t>
      </w:r>
    </w:p>
    <w:p w:rsidR="0057452C" w:rsidRPr="00456420" w:rsidRDefault="0057452C"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The solutions showed linearity (R² = 0.9996) over the concentration range of 5–25 µg/mL and obeyed the Beer–Lambert law.</w:t>
      </w:r>
    </w:p>
    <w:p w:rsidR="000F2DBA" w:rsidRPr="00456420" w:rsidRDefault="0063169A">
      <w:pPr>
        <w:jc w:val="both"/>
      </w:pPr>
      <w:r w:rsidRPr="00456420">
        <w:rPr>
          <w:rFonts w:ascii="Arial" w:hAnsi="Arial"/>
          <w:sz w:val="20"/>
        </w:rPr>
        <w:t>The high coefficient of determination (R² = 0.9996) indicates a strong linear concentration–response relationship over the te</w:t>
      </w:r>
      <w:r w:rsidRPr="00456420">
        <w:rPr>
          <w:rFonts w:ascii="Arial" w:hAnsi="Arial"/>
          <w:sz w:val="20"/>
        </w:rPr>
        <w:t>sted range of 5–25 µg/mL. Such linearity is important for quantitative drug-content and release measurements, although complete analytical validation also requires consideration of accuracy, precision, selectivity, and sensitivity (Ali et al., 2016; Michael et al., 2023; Rahman &amp; Afaq, 2010)</w:t>
      </w:r>
      <w:r w:rsidRPr="00456420">
        <w:rPr>
          <w:rFonts w:ascii="Arial" w:hAnsi="Arial"/>
          <w:sz w:val="20"/>
        </w:rPr>
        <w:t>.</w:t>
      </w:r>
    </w:p>
    <w:p w:rsidR="00085DAD" w:rsidRPr="00456420" w:rsidRDefault="0059371B" w:rsidP="00EB4711">
      <w:pPr>
        <w:tabs>
          <w:tab w:val="left" w:pos="2664"/>
        </w:tabs>
        <w:spacing w:after="0" w:line="480" w:lineRule="auto"/>
        <w:ind w:left="340" w:right="340"/>
        <w:jc w:val="both"/>
        <w:rPr>
          <w:rFonts w:ascii="Arial" w:hAnsi="Arial" w:cs="Arial"/>
          <w:b/>
          <w:bCs/>
          <w:sz w:val="22"/>
          <w:szCs w:val="22"/>
        </w:rPr>
      </w:pPr>
      <w:r w:rsidRPr="00456420">
        <w:rPr>
          <w:rFonts w:ascii="Arial" w:hAnsi="Arial" w:cs="Arial"/>
          <w:b/>
          <w:bCs/>
          <w:sz w:val="22"/>
          <w:szCs w:val="22"/>
        </w:rPr>
        <w:t xml:space="preserve">3.2 </w:t>
      </w:r>
      <w:r w:rsidR="000719FA" w:rsidRPr="00456420">
        <w:rPr>
          <w:rFonts w:ascii="Arial" w:hAnsi="Arial" w:cs="Arial"/>
          <w:b/>
          <w:bCs/>
          <w:sz w:val="22"/>
          <w:szCs w:val="22"/>
        </w:rPr>
        <w:t xml:space="preserve">Characterization of </w:t>
      </w:r>
      <w:r w:rsidR="0083778A" w:rsidRPr="00456420">
        <w:rPr>
          <w:rFonts w:ascii="Arial" w:hAnsi="Arial" w:cs="Arial"/>
          <w:b/>
          <w:bCs/>
          <w:sz w:val="22"/>
          <w:szCs w:val="22"/>
        </w:rPr>
        <w:t xml:space="preserve">Mucoadhesive Buccal Patch </w:t>
      </w:r>
      <w:r w:rsidR="00656E98" w:rsidRPr="00456420">
        <w:rPr>
          <w:rFonts w:ascii="Arial" w:hAnsi="Arial" w:cs="Arial"/>
          <w:b/>
          <w:bCs/>
          <w:sz w:val="22"/>
          <w:szCs w:val="22"/>
        </w:rPr>
        <w:t>of Clomipramine HCl</w:t>
      </w:r>
    </w:p>
    <w:p w:rsidR="00656E98" w:rsidRPr="00456420" w:rsidRDefault="00BA7E2E" w:rsidP="00EB4711">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3.2.1 </w:t>
      </w:r>
      <w:r w:rsidR="00656E98" w:rsidRPr="00456420">
        <w:rPr>
          <w:rFonts w:ascii="Arial" w:hAnsi="Arial" w:cs="Arial"/>
          <w:b/>
          <w:bCs/>
          <w:sz w:val="20"/>
          <w:szCs w:val="20"/>
          <w:u w:val="single"/>
        </w:rPr>
        <w:t>Physical Appearance</w:t>
      </w:r>
    </w:p>
    <w:p w:rsidR="00656E98" w:rsidRPr="00456420" w:rsidRDefault="00656E98"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These parameters were assessed by visual inspection and by touching the patches.</w:t>
      </w:r>
    </w:p>
    <w:p w:rsidR="000F2DBA" w:rsidRPr="00456420" w:rsidRDefault="0063169A">
      <w:pPr>
        <w:jc w:val="both"/>
      </w:pPr>
      <w:r w:rsidRPr="00456420">
        <w:rPr>
          <w:rFonts w:ascii="Arial" w:hAnsi="Arial"/>
          <w:sz w:val="20"/>
        </w:rPr>
        <w:t xml:space="preserve">A smooth, flexible appearance is </w:t>
      </w:r>
      <w:r w:rsidRPr="00456420">
        <w:rPr>
          <w:rFonts w:ascii="Arial" w:hAnsi="Arial"/>
          <w:sz w:val="20"/>
        </w:rPr>
        <w:t>desirable for buccal patches because visible defects may reflect non-uniform casting or an unsuitable polymer–plasticiser balance and may affect handling during application. Comparable visual and tactile criteria are routinely used in the evaluation of sol</w:t>
      </w:r>
      <w:r w:rsidRPr="00456420">
        <w:rPr>
          <w:rFonts w:ascii="Arial" w:hAnsi="Arial"/>
          <w:sz w:val="20"/>
        </w:rPr>
        <w:t>vent-cast mucoadhesive patches (Adhikari et al., 2010; Hassan et al., 2023; Salehi &amp; Boddohi, 2017).</w:t>
      </w:r>
    </w:p>
    <w:p w:rsidR="00075073" w:rsidRPr="00456420" w:rsidRDefault="00BA7E2E" w:rsidP="00EB4711">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3.2.2 </w:t>
      </w:r>
      <w:r w:rsidR="00313457" w:rsidRPr="00456420">
        <w:rPr>
          <w:rFonts w:ascii="Arial" w:hAnsi="Arial" w:cs="Arial"/>
          <w:b/>
          <w:bCs/>
          <w:sz w:val="20"/>
          <w:szCs w:val="20"/>
          <w:u w:val="single"/>
        </w:rPr>
        <w:t>Weight Uniformity</w:t>
      </w:r>
    </w:p>
    <w:p w:rsidR="00075073" w:rsidRPr="00456420" w:rsidRDefault="00075073"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Three individual patches from each batch were weighed using a digital balance, and the average weight was calculated.</w:t>
      </w:r>
    </w:p>
    <w:p w:rsidR="000F2DBA" w:rsidRPr="00456420" w:rsidRDefault="0063169A">
      <w:pPr>
        <w:jc w:val="both"/>
      </w:pPr>
      <w:r w:rsidRPr="00456420">
        <w:rPr>
          <w:rFonts w:ascii="Arial" w:hAnsi="Arial"/>
          <w:sz w:val="20"/>
        </w:rPr>
        <w:t xml:space="preserve">Limited variation in </w:t>
      </w:r>
      <w:r w:rsidRPr="00456420">
        <w:rPr>
          <w:rFonts w:ascii="Arial" w:hAnsi="Arial"/>
          <w:sz w:val="20"/>
        </w:rPr>
        <w:t>patch weight is important because mass uniformity indirectly reflects the reproducibility of casting and may influence dose uniformity when the drug is dispersed throughout the polymeric matrix. Weight uniformity is therefore commonly evaluated alongside t</w:t>
      </w:r>
      <w:r w:rsidRPr="00456420">
        <w:rPr>
          <w:rFonts w:ascii="Arial" w:hAnsi="Arial"/>
          <w:sz w:val="20"/>
        </w:rPr>
        <w:t>hickness and drug-content uniformity in buccal-patch development (Adhikari et al., 2010; Ikram et al., 2015; Ramachandran et al., 2018).</w:t>
      </w:r>
    </w:p>
    <w:p w:rsidR="00B666C2" w:rsidRPr="00456420" w:rsidRDefault="008255E1" w:rsidP="00EB4711">
      <w:pPr>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lastRenderedPageBreak/>
        <w:t>3.2.3 T</w:t>
      </w:r>
      <w:r w:rsidR="00313457" w:rsidRPr="00456420">
        <w:rPr>
          <w:rFonts w:ascii="Arial" w:hAnsi="Arial" w:cs="Arial"/>
          <w:b/>
          <w:bCs/>
          <w:sz w:val="20"/>
          <w:szCs w:val="20"/>
          <w:u w:val="single"/>
        </w:rPr>
        <w:t>hickness</w:t>
      </w:r>
    </w:p>
    <w:p w:rsidR="00B666C2" w:rsidRPr="00456420" w:rsidRDefault="00B666C2" w:rsidP="00EB4711">
      <w:pPr>
        <w:spacing w:after="0" w:line="480" w:lineRule="auto"/>
        <w:ind w:left="340" w:right="340"/>
        <w:jc w:val="both"/>
        <w:rPr>
          <w:rFonts w:ascii="Arial" w:hAnsi="Arial" w:cs="Arial"/>
          <w:sz w:val="20"/>
          <w:szCs w:val="20"/>
        </w:rPr>
      </w:pPr>
      <w:r w:rsidRPr="00456420">
        <w:rPr>
          <w:rFonts w:ascii="Arial" w:hAnsi="Arial" w:cs="Arial"/>
          <w:sz w:val="20"/>
          <w:szCs w:val="20"/>
        </w:rPr>
        <w:t>Patch thickness was measured using a vernier calliper with a least count of 0.002 mm. The thickness ranged from 0.14 to 0.20 mm, as shown in Table 4.</w:t>
      </w:r>
    </w:p>
    <w:p w:rsidR="000F2DBA" w:rsidRPr="00456420" w:rsidRDefault="0063169A">
      <w:pPr>
        <w:jc w:val="both"/>
      </w:pPr>
      <w:r w:rsidRPr="00456420">
        <w:rPr>
          <w:rFonts w:ascii="Arial" w:hAnsi="Arial"/>
          <w:sz w:val="20"/>
        </w:rPr>
        <w:t>The observed thickness range is consistent with the thin-film characteristics expected of buccal dosage forms and should be considered alongside mechanical flexibility and drug loading. Polymer quantity and compo</w:t>
      </w:r>
      <w:r w:rsidRPr="00456420">
        <w:rPr>
          <w:rFonts w:ascii="Arial" w:hAnsi="Arial"/>
          <w:sz w:val="20"/>
        </w:rPr>
        <w:t>sition can alter film thickness and consequently influence hydration and release behaviour; the relatively narrow range therefore supports reasonable manufacturing consistency among the batches (Habib et al., 2010; Hassan et al., 2023; Morales &amp; McConville, 2011)</w:t>
      </w:r>
      <w:r w:rsidRPr="00456420">
        <w:rPr>
          <w:rFonts w:ascii="Arial" w:hAnsi="Arial"/>
          <w:sz w:val="20"/>
        </w:rPr>
        <w:t>.</w:t>
      </w:r>
    </w:p>
    <w:p w:rsidR="00DC0F2A" w:rsidRPr="00456420" w:rsidRDefault="008255E1" w:rsidP="00EB4711">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3.2.4 </w:t>
      </w:r>
      <w:r w:rsidR="00DC0F2A" w:rsidRPr="00456420">
        <w:rPr>
          <w:rFonts w:ascii="Arial" w:hAnsi="Arial" w:cs="Arial"/>
          <w:b/>
          <w:bCs/>
          <w:sz w:val="20"/>
          <w:szCs w:val="20"/>
          <w:u w:val="single"/>
        </w:rPr>
        <w:t>Folding Endurance</w:t>
      </w:r>
    </w:p>
    <w:p w:rsidR="00FB721C" w:rsidRPr="00456420" w:rsidRDefault="00DC0F2A"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Folding endurance was measured manually for a patch from each batch. No cracks were observed, even after the patch had been folded at the same point more than 300 times.</w:t>
      </w:r>
    </w:p>
    <w:p w:rsidR="000F2DBA" w:rsidRPr="00456420" w:rsidRDefault="0063169A">
      <w:pPr>
        <w:jc w:val="both"/>
      </w:pPr>
      <w:r w:rsidRPr="00456420">
        <w:rPr>
          <w:rFonts w:ascii="Arial" w:hAnsi="Arial"/>
          <w:sz w:val="20"/>
        </w:rPr>
        <w:t xml:space="preserve">Folding endurance exceeding 300 folds indicates that the </w:t>
      </w:r>
      <w:r w:rsidRPr="00456420">
        <w:rPr>
          <w:rFonts w:ascii="Arial" w:hAnsi="Arial"/>
          <w:sz w:val="20"/>
        </w:rPr>
        <w:t xml:space="preserve">patches tolerated repeated mechanical deformation without visible cracking, which is favourable for handling and use in the dynamic oral environment. Similar testing is widely used as a practical indicator of film flexibility and integrity in mucoadhesive </w:t>
      </w:r>
      <w:r w:rsidRPr="00456420">
        <w:rPr>
          <w:rFonts w:ascii="Arial" w:hAnsi="Arial"/>
          <w:sz w:val="20"/>
        </w:rPr>
        <w:t>buccal systems (Asif et al., 2015; Habib et al., 2010; Vasantha et al., 2011).</w:t>
      </w:r>
    </w:p>
    <w:p w:rsidR="00DC0F2A" w:rsidRPr="00456420" w:rsidRDefault="008255E1" w:rsidP="00EB4711">
      <w:pPr>
        <w:tabs>
          <w:tab w:val="left" w:pos="2664"/>
        </w:tabs>
        <w:spacing w:after="0" w:line="480" w:lineRule="auto"/>
        <w:ind w:left="340" w:right="340"/>
        <w:jc w:val="both"/>
        <w:rPr>
          <w:rFonts w:ascii="Arial" w:hAnsi="Arial" w:cs="Arial"/>
          <w:sz w:val="20"/>
          <w:szCs w:val="20"/>
          <w:u w:val="single"/>
        </w:rPr>
      </w:pPr>
      <w:r w:rsidRPr="00456420">
        <w:rPr>
          <w:rFonts w:ascii="Arial" w:hAnsi="Arial" w:cs="Arial"/>
          <w:b/>
          <w:bCs/>
          <w:sz w:val="20"/>
          <w:szCs w:val="20"/>
          <w:u w:val="single"/>
        </w:rPr>
        <w:t xml:space="preserve">3.2.5 </w:t>
      </w:r>
      <w:r w:rsidR="00DC0F2A" w:rsidRPr="00456420">
        <w:rPr>
          <w:rFonts w:ascii="Arial" w:hAnsi="Arial" w:cs="Arial"/>
          <w:b/>
          <w:bCs/>
          <w:sz w:val="20"/>
          <w:szCs w:val="20"/>
          <w:u w:val="single"/>
        </w:rPr>
        <w:t>Surface pH</w:t>
      </w:r>
    </w:p>
    <w:p w:rsidR="00EB4711" w:rsidRPr="00456420" w:rsidRDefault="00DC0F2A"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The surface pH of each buccal patch was determined to evaluate its suitability for drug permeation and mucoadhesion.</w:t>
      </w:r>
    </w:p>
    <w:p w:rsidR="00DC0F2A" w:rsidRPr="00456420" w:rsidRDefault="00EB4711"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The pH values of all formulations were within the salivary pH range.</w:t>
      </w:r>
    </w:p>
    <w:p w:rsidR="00EB4711" w:rsidRPr="00456420" w:rsidRDefault="00EB4711" w:rsidP="00EB4711">
      <w:pPr>
        <w:tabs>
          <w:tab w:val="left" w:pos="2664"/>
        </w:tabs>
        <w:spacing w:after="0" w:line="480" w:lineRule="auto"/>
        <w:ind w:left="340" w:right="340"/>
        <w:jc w:val="both"/>
        <w:rPr>
          <w:rFonts w:ascii="Arial" w:hAnsi="Arial" w:cs="Arial"/>
          <w:b/>
          <w:bCs/>
          <w:sz w:val="20"/>
          <w:szCs w:val="20"/>
          <w:u w:val="single"/>
        </w:rPr>
      </w:pPr>
    </w:p>
    <w:p w:rsidR="00EB4711" w:rsidRPr="00456420" w:rsidRDefault="00EB4711" w:rsidP="007D1626">
      <w:pPr>
        <w:tabs>
          <w:tab w:val="left" w:pos="2664"/>
        </w:tabs>
        <w:spacing w:after="0" w:line="480" w:lineRule="auto"/>
        <w:ind w:right="113"/>
        <w:jc w:val="both"/>
        <w:rPr>
          <w:rFonts w:ascii="Arial" w:hAnsi="Arial" w:cs="Arial"/>
          <w:b/>
          <w:bCs/>
          <w:sz w:val="20"/>
          <w:szCs w:val="20"/>
          <w:u w:val="single"/>
        </w:rPr>
      </w:pPr>
    </w:p>
    <w:p w:rsidR="000F2DBA" w:rsidRPr="00456420" w:rsidRDefault="0063169A">
      <w:pPr>
        <w:jc w:val="both"/>
      </w:pPr>
      <w:r w:rsidRPr="00456420">
        <w:rPr>
          <w:rFonts w:ascii="Arial" w:hAnsi="Arial"/>
          <w:sz w:val="20"/>
        </w:rPr>
        <w:t xml:space="preserve">Surface pH values close to the physiological salivary range are desirable because marked acidity or alkalinity may increase the risk of local irritation and may influence polymer hydration and mucoadhesion. The observed values </w:t>
      </w:r>
      <w:r w:rsidRPr="00456420">
        <w:rPr>
          <w:rFonts w:ascii="Arial" w:hAnsi="Arial"/>
          <w:sz w:val="20"/>
        </w:rPr>
        <w:t>therefore support further buccal evaluation of the formulations, although direct mucosal-tolerance studies would be required for confirmation (Adhikari et al., 2010; Habib et al., 2010; Salehi &amp; Boddohi, 2017).</w:t>
      </w:r>
    </w:p>
    <w:p w:rsidR="00FB721C" w:rsidRPr="00456420" w:rsidRDefault="008255E1" w:rsidP="00EB4711">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3.2.</w:t>
      </w:r>
      <w:r w:rsidR="00791E1C" w:rsidRPr="00456420">
        <w:rPr>
          <w:rFonts w:ascii="Arial" w:hAnsi="Arial" w:cs="Arial"/>
          <w:b/>
          <w:bCs/>
          <w:sz w:val="20"/>
          <w:szCs w:val="20"/>
          <w:u w:val="single"/>
        </w:rPr>
        <w:t xml:space="preserve">6 </w:t>
      </w:r>
      <w:r w:rsidR="00FB721C" w:rsidRPr="00456420">
        <w:rPr>
          <w:rFonts w:ascii="Arial" w:hAnsi="Arial" w:cs="Arial"/>
          <w:b/>
          <w:bCs/>
          <w:sz w:val="20"/>
          <w:szCs w:val="20"/>
          <w:u w:val="single"/>
        </w:rPr>
        <w:t>Drug Content Uniformity</w:t>
      </w:r>
    </w:p>
    <w:p w:rsidR="00FB721C" w:rsidRPr="00456420" w:rsidRDefault="00FB721C" w:rsidP="00EB4711">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UV–visible spectrophotometry was used to determine drug-content uniformity in the mucoadhesive buccal patches. Drug content ranged from 89% to 98% among the formulations, as shown in Table 4.</w:t>
      </w:r>
    </w:p>
    <w:p w:rsidR="00DC0F2A" w:rsidRPr="00456420" w:rsidRDefault="00574C63" w:rsidP="00EB4711">
      <w:pPr>
        <w:tabs>
          <w:tab w:val="left" w:pos="2664"/>
        </w:tabs>
        <w:spacing w:after="0" w:line="360" w:lineRule="auto"/>
        <w:ind w:left="340" w:right="340"/>
        <w:jc w:val="both"/>
        <w:rPr>
          <w:rFonts w:ascii="Arial" w:hAnsi="Arial" w:cs="Arial"/>
          <w:sz w:val="20"/>
          <w:szCs w:val="20"/>
        </w:rPr>
      </w:pPr>
      <w:r w:rsidRPr="00456420">
        <w:rPr>
          <w:rFonts w:ascii="Arial" w:hAnsi="Arial" w:cs="Arial"/>
          <w:b/>
          <w:bCs/>
          <w:sz w:val="20"/>
          <w:szCs w:val="20"/>
        </w:rPr>
        <w:t xml:space="preserve">Table </w:t>
      </w:r>
      <w:r w:rsidR="00EB4711" w:rsidRPr="00456420">
        <w:rPr>
          <w:rFonts w:ascii="Arial" w:hAnsi="Arial" w:cs="Arial"/>
          <w:b/>
          <w:bCs/>
          <w:sz w:val="20"/>
          <w:szCs w:val="20"/>
        </w:rPr>
        <w:t>4</w:t>
      </w:r>
      <w:r w:rsidRPr="00456420">
        <w:rPr>
          <w:rFonts w:ascii="Arial" w:hAnsi="Arial" w:cs="Arial"/>
          <w:b/>
          <w:bCs/>
          <w:sz w:val="20"/>
          <w:szCs w:val="20"/>
        </w:rPr>
        <w:t xml:space="preserve">: </w:t>
      </w:r>
      <w:r w:rsidR="00941391" w:rsidRPr="00456420">
        <w:rPr>
          <w:rFonts w:ascii="Arial" w:hAnsi="Arial" w:cs="Arial"/>
          <w:b/>
          <w:bCs/>
          <w:sz w:val="20"/>
          <w:szCs w:val="20"/>
        </w:rPr>
        <w:t>P</w:t>
      </w:r>
      <w:r w:rsidR="00CC262F" w:rsidRPr="00456420">
        <w:rPr>
          <w:rFonts w:ascii="Arial" w:hAnsi="Arial" w:cs="Arial"/>
          <w:b/>
          <w:bCs/>
          <w:sz w:val="20"/>
          <w:szCs w:val="20"/>
        </w:rPr>
        <w:t xml:space="preserve">hysical Parameters </w:t>
      </w:r>
      <w:r w:rsidRPr="00456420">
        <w:rPr>
          <w:rFonts w:ascii="Arial" w:hAnsi="Arial" w:cs="Arial"/>
          <w:b/>
          <w:bCs/>
          <w:sz w:val="20"/>
          <w:szCs w:val="20"/>
        </w:rPr>
        <w:t>of Mucoadhesive Buccal Patch</w:t>
      </w:r>
    </w:p>
    <w:tbl>
      <w:tblPr>
        <w:tblStyle w:val="PlainTable2"/>
        <w:tblpPr w:leftFromText="180" w:rightFromText="180" w:vertAnchor="text" w:horzAnchor="margin" w:tblpXSpec="center" w:tblpY="133"/>
        <w:tblW w:w="8217" w:type="dxa"/>
        <w:tblLook w:val="04A0" w:firstRow="1" w:lastRow="0" w:firstColumn="1" w:lastColumn="0" w:noHBand="0" w:noVBand="1"/>
      </w:tblPr>
      <w:tblGrid>
        <w:gridCol w:w="1482"/>
        <w:gridCol w:w="1342"/>
        <w:gridCol w:w="1415"/>
        <w:gridCol w:w="1285"/>
        <w:gridCol w:w="1275"/>
        <w:gridCol w:w="1418"/>
      </w:tblGrid>
      <w:tr w:rsidR="00F84B4C" w:rsidRPr="00456420" w:rsidTr="00DC008C">
        <w:trPr>
          <w:cnfStyle w:val="100000000000" w:firstRow="1" w:lastRow="0" w:firstColumn="0" w:lastColumn="0" w:oddVBand="0" w:evenVBand="0" w:oddHBand="0" w:evenHBand="0" w:firstRowFirstColumn="0" w:firstRowLastColumn="0" w:lastRowFirstColumn="0" w:lastRowLastColumn="0"/>
          <w:trHeight w:val="725"/>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sz w:val="20"/>
                <w:szCs w:val="20"/>
              </w:rPr>
            </w:pPr>
            <w:r w:rsidRPr="00456420">
              <w:rPr>
                <w:rFonts w:ascii="Arial" w:hAnsi="Arial" w:cs="Arial"/>
                <w:sz w:val="20"/>
                <w:szCs w:val="20"/>
              </w:rPr>
              <w:t>Formulation Code</w:t>
            </w:r>
          </w:p>
        </w:tc>
        <w:tc>
          <w:tcPr>
            <w:tcW w:w="1342" w:type="dxa"/>
            <w:vAlign w:val="center"/>
          </w:tcPr>
          <w:p w:rsidR="00F84B4C" w:rsidRPr="00456420"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Weight Uniformiy (g)</w:t>
            </w:r>
          </w:p>
        </w:tc>
        <w:tc>
          <w:tcPr>
            <w:tcW w:w="1415" w:type="dxa"/>
            <w:vAlign w:val="center"/>
          </w:tcPr>
          <w:p w:rsidR="00F84B4C" w:rsidRPr="00456420"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Thickness (mm)</w:t>
            </w:r>
          </w:p>
        </w:tc>
        <w:tc>
          <w:tcPr>
            <w:tcW w:w="1285" w:type="dxa"/>
            <w:vAlign w:val="center"/>
          </w:tcPr>
          <w:p w:rsidR="00F84B4C" w:rsidRPr="00456420"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Folding Endurance</w:t>
            </w:r>
          </w:p>
        </w:tc>
        <w:tc>
          <w:tcPr>
            <w:tcW w:w="1275" w:type="dxa"/>
            <w:vAlign w:val="center"/>
          </w:tcPr>
          <w:p w:rsidR="00F84B4C" w:rsidRPr="00456420"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Surface pH</w:t>
            </w:r>
          </w:p>
        </w:tc>
        <w:tc>
          <w:tcPr>
            <w:tcW w:w="1418" w:type="dxa"/>
            <w:vAlign w:val="center"/>
          </w:tcPr>
          <w:p w:rsidR="00F84B4C" w:rsidRPr="00456420" w:rsidRDefault="00F84B4C" w:rsidP="00DC008C">
            <w:pPr>
              <w:cnfStyle w:val="100000000000" w:firstRow="1"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 Drug Content </w:t>
            </w:r>
          </w:p>
        </w:tc>
      </w:tr>
      <w:tr w:rsidR="00F84B4C" w:rsidRPr="00456420"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t>F1</w:t>
            </w:r>
          </w:p>
        </w:tc>
        <w:tc>
          <w:tcPr>
            <w:tcW w:w="1342"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0.0396 </w:t>
            </w:r>
          </w:p>
        </w:tc>
        <w:tc>
          <w:tcPr>
            <w:tcW w:w="141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0.16 </w:t>
            </w:r>
          </w:p>
        </w:tc>
        <w:tc>
          <w:tcPr>
            <w:tcW w:w="128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6.75</w:t>
            </w:r>
          </w:p>
        </w:tc>
        <w:tc>
          <w:tcPr>
            <w:tcW w:w="1418"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89.14 </w:t>
            </w:r>
          </w:p>
        </w:tc>
      </w:tr>
      <w:tr w:rsidR="00F84B4C" w:rsidRPr="00456420" w:rsidTr="00DC008C">
        <w:trPr>
          <w:trHeight w:val="388"/>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t>F2</w:t>
            </w:r>
          </w:p>
        </w:tc>
        <w:tc>
          <w:tcPr>
            <w:tcW w:w="1342"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0.0403 </w:t>
            </w:r>
          </w:p>
        </w:tc>
        <w:tc>
          <w:tcPr>
            <w:tcW w:w="141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0.18 </w:t>
            </w:r>
          </w:p>
        </w:tc>
        <w:tc>
          <w:tcPr>
            <w:tcW w:w="128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6.28</w:t>
            </w:r>
          </w:p>
        </w:tc>
        <w:tc>
          <w:tcPr>
            <w:tcW w:w="1418"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92.10 </w:t>
            </w:r>
          </w:p>
        </w:tc>
      </w:tr>
      <w:tr w:rsidR="00F84B4C" w:rsidRPr="00456420"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lastRenderedPageBreak/>
              <w:t>F3</w:t>
            </w:r>
          </w:p>
        </w:tc>
        <w:tc>
          <w:tcPr>
            <w:tcW w:w="1342"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0.0513 </w:t>
            </w:r>
          </w:p>
        </w:tc>
        <w:tc>
          <w:tcPr>
            <w:tcW w:w="141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0.18 </w:t>
            </w:r>
          </w:p>
        </w:tc>
        <w:tc>
          <w:tcPr>
            <w:tcW w:w="128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6.52</w:t>
            </w:r>
          </w:p>
        </w:tc>
        <w:tc>
          <w:tcPr>
            <w:tcW w:w="1418"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98.26 </w:t>
            </w:r>
          </w:p>
        </w:tc>
      </w:tr>
      <w:tr w:rsidR="00F84B4C" w:rsidRPr="00456420" w:rsidTr="00DC008C">
        <w:trPr>
          <w:trHeight w:val="388"/>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t>F4</w:t>
            </w:r>
          </w:p>
        </w:tc>
        <w:tc>
          <w:tcPr>
            <w:tcW w:w="1342"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0.05 </w:t>
            </w:r>
          </w:p>
        </w:tc>
        <w:tc>
          <w:tcPr>
            <w:tcW w:w="141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0.14 </w:t>
            </w:r>
          </w:p>
        </w:tc>
        <w:tc>
          <w:tcPr>
            <w:tcW w:w="128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6.67</w:t>
            </w:r>
          </w:p>
        </w:tc>
        <w:tc>
          <w:tcPr>
            <w:tcW w:w="1418"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96.54 </w:t>
            </w:r>
          </w:p>
        </w:tc>
      </w:tr>
      <w:tr w:rsidR="00F84B4C" w:rsidRPr="00456420" w:rsidTr="00DC008C">
        <w:trPr>
          <w:cnfStyle w:val="000000100000" w:firstRow="0" w:lastRow="0" w:firstColumn="0" w:lastColumn="0" w:oddVBand="0" w:evenVBand="0" w:oddHBand="1" w:evenHBand="0" w:firstRowFirstColumn="0" w:firstRowLastColumn="0" w:lastRowFirstColumn="0" w:lastRowLastColumn="0"/>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t>F5</w:t>
            </w:r>
          </w:p>
        </w:tc>
        <w:tc>
          <w:tcPr>
            <w:tcW w:w="1342"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0.0553 </w:t>
            </w:r>
          </w:p>
        </w:tc>
        <w:tc>
          <w:tcPr>
            <w:tcW w:w="141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0.2 </w:t>
            </w:r>
          </w:p>
        </w:tc>
        <w:tc>
          <w:tcPr>
            <w:tcW w:w="128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6.56</w:t>
            </w:r>
          </w:p>
        </w:tc>
        <w:tc>
          <w:tcPr>
            <w:tcW w:w="1418" w:type="dxa"/>
            <w:vAlign w:val="center"/>
          </w:tcPr>
          <w:p w:rsidR="00F84B4C" w:rsidRPr="00456420" w:rsidRDefault="00F84B4C"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95.06 </w:t>
            </w:r>
          </w:p>
        </w:tc>
      </w:tr>
      <w:tr w:rsidR="00F84B4C" w:rsidRPr="00456420" w:rsidTr="00DC008C">
        <w:trPr>
          <w:trHeight w:val="377"/>
        </w:trPr>
        <w:tc>
          <w:tcPr>
            <w:cnfStyle w:val="001000000000" w:firstRow="0" w:lastRow="0" w:firstColumn="1" w:lastColumn="0" w:oddVBand="0" w:evenVBand="0" w:oddHBand="0" w:evenHBand="0" w:firstRowFirstColumn="0" w:firstRowLastColumn="0" w:lastRowFirstColumn="0" w:lastRowLastColumn="0"/>
            <w:tcW w:w="1482" w:type="dxa"/>
            <w:vAlign w:val="center"/>
          </w:tcPr>
          <w:p w:rsidR="00F84B4C" w:rsidRPr="00456420" w:rsidRDefault="00F84B4C" w:rsidP="00DC008C">
            <w:pPr>
              <w:rPr>
                <w:rFonts w:ascii="Arial" w:hAnsi="Arial" w:cs="Arial"/>
                <w:b w:val="0"/>
                <w:bCs w:val="0"/>
                <w:sz w:val="20"/>
                <w:szCs w:val="20"/>
              </w:rPr>
            </w:pPr>
            <w:r w:rsidRPr="00456420">
              <w:rPr>
                <w:rFonts w:ascii="Arial" w:hAnsi="Arial" w:cs="Arial"/>
                <w:b w:val="0"/>
                <w:bCs w:val="0"/>
                <w:sz w:val="20"/>
                <w:szCs w:val="20"/>
              </w:rPr>
              <w:t>F6</w:t>
            </w:r>
          </w:p>
        </w:tc>
        <w:tc>
          <w:tcPr>
            <w:tcW w:w="1342"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0.0486 </w:t>
            </w:r>
          </w:p>
        </w:tc>
        <w:tc>
          <w:tcPr>
            <w:tcW w:w="141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0.16 </w:t>
            </w:r>
          </w:p>
        </w:tc>
        <w:tc>
          <w:tcPr>
            <w:tcW w:w="128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&gt;300</w:t>
            </w:r>
          </w:p>
        </w:tc>
        <w:tc>
          <w:tcPr>
            <w:tcW w:w="1275"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6.43</w:t>
            </w:r>
          </w:p>
        </w:tc>
        <w:tc>
          <w:tcPr>
            <w:tcW w:w="1418" w:type="dxa"/>
            <w:vAlign w:val="center"/>
          </w:tcPr>
          <w:p w:rsidR="00F84B4C" w:rsidRPr="00456420" w:rsidRDefault="00F84B4C"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93.83 </w:t>
            </w:r>
          </w:p>
        </w:tc>
      </w:tr>
    </w:tbl>
    <w:p w:rsidR="001015D9" w:rsidRPr="00456420" w:rsidRDefault="001015D9" w:rsidP="006C18EA">
      <w:pPr>
        <w:tabs>
          <w:tab w:val="left" w:pos="2664"/>
        </w:tabs>
        <w:spacing w:after="0" w:line="360" w:lineRule="auto"/>
        <w:ind w:right="113"/>
        <w:jc w:val="both"/>
        <w:rPr>
          <w:rFonts w:ascii="Arial" w:hAnsi="Arial" w:cs="Arial"/>
          <w:b/>
          <w:bCs/>
          <w:sz w:val="20"/>
          <w:szCs w:val="20"/>
        </w:rPr>
      </w:pPr>
    </w:p>
    <w:p w:rsidR="000F2DBA" w:rsidRPr="00456420" w:rsidRDefault="0063169A">
      <w:pPr>
        <w:jc w:val="both"/>
      </w:pPr>
      <w:r w:rsidRPr="00456420">
        <w:rPr>
          <w:rFonts w:ascii="Arial" w:hAnsi="Arial"/>
          <w:sz w:val="20"/>
        </w:rPr>
        <w:t>The range of drug-content values indicates formulation-dependent differences in recovery, with F3 showing the highest measured content. High and reproducible drug-content uniformity is important in matrix-type buccal films</w:t>
      </w:r>
      <w:r w:rsidRPr="00456420">
        <w:rPr>
          <w:rFonts w:ascii="Arial" w:hAnsi="Arial"/>
          <w:sz w:val="20"/>
        </w:rPr>
        <w:t xml:space="preserve"> because variability may directly affect dose uniformity and complicate comparisons of release profiles (Ikram et al., 2015; Ramachandran et al., 2018; Salehi &amp; Boddohi, 2017).</w:t>
      </w:r>
    </w:p>
    <w:p w:rsidR="00075073" w:rsidRPr="00456420" w:rsidRDefault="009C1863" w:rsidP="00DC008C">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3.2.7 </w:t>
      </w:r>
      <w:r w:rsidR="004D4EA2" w:rsidRPr="00456420">
        <w:rPr>
          <w:rFonts w:ascii="Arial" w:hAnsi="Arial" w:cs="Arial"/>
          <w:b/>
          <w:bCs/>
          <w:sz w:val="20"/>
          <w:szCs w:val="20"/>
          <w:u w:val="single"/>
        </w:rPr>
        <w:t>Flatness</w:t>
      </w:r>
    </w:p>
    <w:p w:rsidR="00075073" w:rsidRPr="00456420" w:rsidRDefault="00075073" w:rsidP="009B66E3">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Flatness is an important characteristic of mucoadhesive buccal patches because the patch should have a smooth, uniform surface and retain its dimensions without appreciable constriction over time. Flatness was assessed to determine whether the prepared patches met these requirements. All formulations showed identical strip lengths before and after cutting, indicating 100% flatness and 0% constriction.</w:t>
      </w:r>
    </w:p>
    <w:p w:rsidR="000F2DBA" w:rsidRPr="00456420" w:rsidRDefault="0063169A">
      <w:pPr>
        <w:jc w:val="both"/>
      </w:pPr>
      <w:r w:rsidRPr="00456420">
        <w:rPr>
          <w:rFonts w:ascii="Arial" w:hAnsi="Arial"/>
          <w:sz w:val="20"/>
        </w:rPr>
        <w:t>Complete flatness without measurable constriction indicates good dimensional stability following film formation. Dimensional stability is relevant because curling or cont</w:t>
      </w:r>
      <w:r w:rsidRPr="00456420">
        <w:rPr>
          <w:rFonts w:ascii="Arial" w:hAnsi="Arial"/>
          <w:sz w:val="20"/>
        </w:rPr>
        <w:t>raction may reduce the effective mucosal contact area and complicate reproducible application, whereas controlled film structure and mechanical integrity support consistent buccal performance (Morales &amp; McConville, 2011; Nair et al., 2021; Salehi &amp; Boddohi</w:t>
      </w:r>
      <w:r w:rsidRPr="00456420">
        <w:rPr>
          <w:rFonts w:ascii="Arial" w:hAnsi="Arial"/>
          <w:sz w:val="20"/>
        </w:rPr>
        <w:t>, 2017).</w:t>
      </w:r>
    </w:p>
    <w:p w:rsidR="00B20CC9" w:rsidRPr="00456420" w:rsidRDefault="00AA5132" w:rsidP="009B66E3">
      <w:pPr>
        <w:tabs>
          <w:tab w:val="left" w:pos="2664"/>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3.2.8 </w:t>
      </w:r>
      <w:r w:rsidR="00B20CC9" w:rsidRPr="00456420">
        <w:rPr>
          <w:rFonts w:ascii="Arial" w:hAnsi="Arial" w:cs="Arial"/>
          <w:b/>
          <w:bCs/>
          <w:sz w:val="20"/>
          <w:szCs w:val="20"/>
          <w:u w:val="single"/>
        </w:rPr>
        <w:t>Swelling Index</w:t>
      </w:r>
    </w:p>
    <w:p w:rsidR="003B6532" w:rsidRPr="00456420" w:rsidRDefault="003B6532" w:rsidP="009B66E3">
      <w:pPr>
        <w:spacing w:after="0" w:line="480" w:lineRule="auto"/>
        <w:ind w:left="340" w:right="340"/>
        <w:jc w:val="both"/>
        <w:rPr>
          <w:rFonts w:ascii="Arial" w:hAnsi="Arial" w:cs="Arial"/>
          <w:sz w:val="20"/>
          <w:szCs w:val="20"/>
        </w:rPr>
      </w:pPr>
      <w:r w:rsidRPr="00456420">
        <w:rPr>
          <w:rFonts w:ascii="Arial" w:hAnsi="Arial" w:cs="Arial"/>
          <w:sz w:val="20"/>
          <w:szCs w:val="20"/>
        </w:rPr>
        <w:t>The swelling index of each patch was determined from the increase in weight after a predetermined period. F3 exhibited a swelling index of 537.13%, attributed to the balanced HPMC E15–Carbopol 940 ratio.</w:t>
      </w:r>
    </w:p>
    <w:p w:rsidR="000F2DBA" w:rsidRPr="00456420" w:rsidRDefault="0063169A">
      <w:pPr>
        <w:jc w:val="both"/>
      </w:pPr>
      <w:r w:rsidRPr="00456420">
        <w:rPr>
          <w:rFonts w:ascii="Arial" w:hAnsi="Arial"/>
          <w:sz w:val="20"/>
        </w:rPr>
        <w:t>The substantial swelli</w:t>
      </w:r>
      <w:r w:rsidRPr="00456420">
        <w:rPr>
          <w:rFonts w:ascii="Arial" w:hAnsi="Arial"/>
          <w:sz w:val="20"/>
        </w:rPr>
        <w:t>ng observed across the formulations indicates hydration of the hydrophilic polymer matrices. Hydration is required to mobilise polymer chains and expose functional groups involved in mucoadhesion; however, excessive swelling may weaken matrix integrity. Th</w:t>
      </w:r>
      <w:r w:rsidRPr="00456420">
        <w:rPr>
          <w:rFonts w:ascii="Arial" w:hAnsi="Arial"/>
          <w:sz w:val="20"/>
        </w:rPr>
        <w:t>e intermediate swelling observed for F3 may therefore represent a balance between hydration and structural retention rather than simply the maximum swelling response (Andrews et al., 2009; Muzib &amp; Kumari, 2011; Smart, 2005).</w:t>
      </w:r>
    </w:p>
    <w:p w:rsidR="00397782" w:rsidRPr="00456420" w:rsidRDefault="00AA5132" w:rsidP="009B66E3">
      <w:pPr>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3.2.9 </w:t>
      </w:r>
      <w:r w:rsidR="00397782" w:rsidRPr="00456420">
        <w:rPr>
          <w:rFonts w:ascii="Arial" w:hAnsi="Arial" w:cs="Arial"/>
          <w:b/>
          <w:bCs/>
          <w:sz w:val="20"/>
          <w:szCs w:val="20"/>
          <w:u w:val="single"/>
        </w:rPr>
        <w:t>Moisture Absorption Studies</w:t>
      </w:r>
    </w:p>
    <w:p w:rsidR="003F3D91" w:rsidRPr="00456420" w:rsidRDefault="003F3D91" w:rsidP="009B66E3">
      <w:pPr>
        <w:spacing w:after="0" w:line="480" w:lineRule="auto"/>
        <w:ind w:left="340" w:right="340"/>
        <w:jc w:val="both"/>
        <w:rPr>
          <w:rFonts w:ascii="Arial" w:hAnsi="Arial" w:cs="Arial"/>
          <w:sz w:val="20"/>
          <w:szCs w:val="20"/>
        </w:rPr>
      </w:pPr>
      <w:r w:rsidRPr="00456420">
        <w:rPr>
          <w:rFonts w:ascii="Arial" w:hAnsi="Arial" w:cs="Arial"/>
          <w:sz w:val="20"/>
          <w:szCs w:val="20"/>
        </w:rPr>
        <w:t>Moisture absorption increased patch weight, with formulations containing more Carbopol 940 showing greater uptake because of its hygroscopic nature.</w:t>
      </w:r>
    </w:p>
    <w:p w:rsidR="003F3D91" w:rsidRPr="00456420" w:rsidRDefault="00FC1732" w:rsidP="009B66E3">
      <w:pPr>
        <w:spacing w:after="0" w:line="480" w:lineRule="auto"/>
        <w:ind w:left="340" w:right="340"/>
        <w:jc w:val="both"/>
        <w:rPr>
          <w:rFonts w:ascii="Arial" w:hAnsi="Arial" w:cs="Arial"/>
          <w:sz w:val="20"/>
          <w:szCs w:val="20"/>
        </w:rPr>
      </w:pPr>
      <w:r w:rsidRPr="00456420">
        <w:rPr>
          <w:rFonts w:ascii="Arial" w:hAnsi="Arial" w:cs="Arial"/>
          <w:sz w:val="20"/>
          <w:szCs w:val="20"/>
        </w:rPr>
        <w:t>Patches containing more HPMC E15 showed less weight gain and maintained better structural stability.</w:t>
      </w:r>
    </w:p>
    <w:p w:rsidR="000F2DBA" w:rsidRPr="00456420" w:rsidRDefault="0063169A">
      <w:pPr>
        <w:jc w:val="both"/>
      </w:pPr>
      <w:r w:rsidRPr="00456420">
        <w:rPr>
          <w:rFonts w:ascii="Arial" w:hAnsi="Arial"/>
          <w:sz w:val="20"/>
        </w:rPr>
        <w:lastRenderedPageBreak/>
        <w:t>The</w:t>
      </w:r>
      <w:r w:rsidRPr="00456420">
        <w:rPr>
          <w:rFonts w:ascii="Arial" w:hAnsi="Arial"/>
          <w:sz w:val="20"/>
        </w:rPr>
        <w:t xml:space="preserve"> higher moisture uptake observed in Carbopol-rich films is consistent with the strong hydrophilicity of carbomer-containing matrices, whereas lower uptake may favour dimensional and mechanical stability during storage. Nevertheless, moisture sorption requi</w:t>
      </w:r>
      <w:r w:rsidRPr="00456420">
        <w:rPr>
          <w:rFonts w:ascii="Arial" w:hAnsi="Arial"/>
          <w:sz w:val="20"/>
        </w:rPr>
        <w:t>res control because excessive uptake may soften films and alter drug release, while very low moisture content may promote brittleness (Adhikari et al., 2010; Ikram et al., 2015; Vasantha et al., 2011).</w:t>
      </w:r>
    </w:p>
    <w:p w:rsidR="002D2C52" w:rsidRPr="00456420" w:rsidRDefault="00AA5132" w:rsidP="009B66E3">
      <w:pPr>
        <w:spacing w:after="0" w:line="480" w:lineRule="auto"/>
        <w:ind w:left="340" w:right="340"/>
        <w:rPr>
          <w:rFonts w:ascii="Arial" w:hAnsi="Arial" w:cs="Arial"/>
          <w:b/>
          <w:bCs/>
          <w:sz w:val="20"/>
          <w:szCs w:val="20"/>
          <w:u w:val="single"/>
        </w:rPr>
      </w:pPr>
      <w:r w:rsidRPr="00456420">
        <w:rPr>
          <w:rFonts w:ascii="Arial" w:hAnsi="Arial" w:cs="Arial"/>
          <w:b/>
          <w:bCs/>
          <w:sz w:val="20"/>
          <w:szCs w:val="20"/>
          <w:u w:val="single"/>
        </w:rPr>
        <w:t>3.</w:t>
      </w:r>
      <w:r w:rsidR="00A45637" w:rsidRPr="00456420">
        <w:rPr>
          <w:rFonts w:ascii="Arial" w:hAnsi="Arial" w:cs="Arial"/>
          <w:b/>
          <w:bCs/>
          <w:sz w:val="20"/>
          <w:szCs w:val="20"/>
          <w:u w:val="single"/>
        </w:rPr>
        <w:t xml:space="preserve">2.10 </w:t>
      </w:r>
      <w:r w:rsidR="002D2C52" w:rsidRPr="00456420">
        <w:rPr>
          <w:rFonts w:ascii="Arial" w:hAnsi="Arial" w:cs="Arial"/>
          <w:b/>
          <w:bCs/>
          <w:sz w:val="20"/>
          <w:szCs w:val="20"/>
          <w:u w:val="single"/>
        </w:rPr>
        <w:t>Moisture Loss Studies</w:t>
      </w:r>
    </w:p>
    <w:p w:rsidR="009B66E3" w:rsidRPr="00456420" w:rsidRDefault="00D02643" w:rsidP="009B66E3">
      <w:pPr>
        <w:tabs>
          <w:tab w:val="left" w:pos="2664"/>
        </w:tabs>
        <w:spacing w:after="0" w:line="480" w:lineRule="auto"/>
        <w:ind w:left="340" w:right="340"/>
        <w:jc w:val="both"/>
        <w:rPr>
          <w:rFonts w:ascii="Arial" w:hAnsi="Arial" w:cs="Arial"/>
          <w:sz w:val="20"/>
          <w:szCs w:val="20"/>
        </w:rPr>
      </w:pPr>
      <w:r w:rsidRPr="00456420">
        <w:rPr>
          <w:rFonts w:ascii="Arial" w:hAnsi="Arial" w:cs="Arial"/>
          <w:sz w:val="20"/>
          <w:szCs w:val="20"/>
        </w:rPr>
        <w:t>The moisture-loss study showed a decrease in patch weight, with formulations containing more HPMC E15 losing more weight because of their lower hygroscopicity. Carbopol 940-based patches retained more moisture and consequently showed comparatively less weight loss.</w:t>
      </w:r>
    </w:p>
    <w:p w:rsidR="00B20CC9" w:rsidRPr="00456420" w:rsidRDefault="00765B33" w:rsidP="009B66E3">
      <w:pPr>
        <w:tabs>
          <w:tab w:val="left" w:pos="2664"/>
        </w:tabs>
        <w:spacing w:after="0" w:line="480" w:lineRule="auto"/>
        <w:ind w:left="340" w:right="340"/>
        <w:jc w:val="both"/>
        <w:rPr>
          <w:rFonts w:ascii="Arial" w:hAnsi="Arial" w:cs="Arial"/>
          <w:sz w:val="20"/>
          <w:szCs w:val="20"/>
        </w:rPr>
      </w:pPr>
      <w:r w:rsidRPr="00456420">
        <w:rPr>
          <w:rFonts w:ascii="Arial" w:hAnsi="Arial" w:cs="Arial"/>
          <w:b/>
          <w:bCs/>
          <w:sz w:val="20"/>
          <w:szCs w:val="20"/>
        </w:rPr>
        <w:t>Tab</w:t>
      </w:r>
      <w:r w:rsidR="00FD4F3E" w:rsidRPr="00456420">
        <w:rPr>
          <w:rFonts w:ascii="Arial" w:hAnsi="Arial" w:cs="Arial"/>
          <w:b/>
          <w:bCs/>
          <w:sz w:val="20"/>
          <w:szCs w:val="20"/>
        </w:rPr>
        <w:t xml:space="preserve">le </w:t>
      </w:r>
      <w:r w:rsidR="009B66E3" w:rsidRPr="00456420">
        <w:rPr>
          <w:rFonts w:ascii="Arial" w:hAnsi="Arial" w:cs="Arial"/>
          <w:b/>
          <w:bCs/>
          <w:sz w:val="20"/>
          <w:szCs w:val="20"/>
        </w:rPr>
        <w:t>5</w:t>
      </w:r>
      <w:r w:rsidR="00FD4F3E" w:rsidRPr="00456420">
        <w:rPr>
          <w:rFonts w:ascii="Arial" w:hAnsi="Arial" w:cs="Arial"/>
          <w:b/>
          <w:bCs/>
          <w:sz w:val="20"/>
          <w:szCs w:val="20"/>
        </w:rPr>
        <w:t>: Characterization of Mucoadhesive Buccal Patch</w:t>
      </w:r>
    </w:p>
    <w:tbl>
      <w:tblPr>
        <w:tblStyle w:val="PlainTable2"/>
        <w:tblW w:w="8179" w:type="dxa"/>
        <w:tblInd w:w="284" w:type="dxa"/>
        <w:tblLook w:val="04A0" w:firstRow="1" w:lastRow="0" w:firstColumn="1" w:lastColumn="0" w:noHBand="0" w:noVBand="1"/>
      </w:tblPr>
      <w:tblGrid>
        <w:gridCol w:w="1994"/>
        <w:gridCol w:w="2268"/>
        <w:gridCol w:w="2126"/>
        <w:gridCol w:w="1791"/>
      </w:tblGrid>
      <w:tr w:rsidR="001C384E" w:rsidRPr="00456420" w:rsidTr="00E76B72">
        <w:trPr>
          <w:cnfStyle w:val="100000000000" w:firstRow="1" w:lastRow="0" w:firstColumn="0" w:lastColumn="0" w:oddVBand="0" w:evenVBand="0" w:oddHBand="0" w:evenHBand="0" w:firstRowFirstColumn="0" w:firstRowLastColumn="0" w:lastRowFirstColumn="0" w:lastRowLastColumn="0"/>
          <w:trHeight w:val="380"/>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1C384E" w:rsidP="00DC008C">
            <w:pPr>
              <w:rPr>
                <w:rFonts w:ascii="Arial" w:hAnsi="Arial" w:cs="Arial"/>
                <w:b w:val="0"/>
                <w:bCs w:val="0"/>
                <w:sz w:val="20"/>
                <w:szCs w:val="20"/>
              </w:rPr>
            </w:pPr>
            <w:r w:rsidRPr="00456420">
              <w:rPr>
                <w:rFonts w:ascii="Arial" w:hAnsi="Arial" w:cs="Arial"/>
                <w:sz w:val="20"/>
                <w:szCs w:val="20"/>
              </w:rPr>
              <w:t>Formulation Code</w:t>
            </w:r>
          </w:p>
        </w:tc>
        <w:tc>
          <w:tcPr>
            <w:tcW w:w="2268" w:type="dxa"/>
            <w:vAlign w:val="center"/>
          </w:tcPr>
          <w:p w:rsidR="001C384E" w:rsidRPr="00456420" w:rsidRDefault="002377CE"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Swelling Index</w:t>
            </w:r>
            <w:r w:rsidR="00C91A27" w:rsidRPr="00456420">
              <w:rPr>
                <w:rFonts w:ascii="Arial" w:hAnsi="Arial" w:cs="Arial"/>
                <w:sz w:val="20"/>
                <w:szCs w:val="20"/>
              </w:rPr>
              <w:t xml:space="preserve"> (%)</w:t>
            </w:r>
          </w:p>
        </w:tc>
        <w:tc>
          <w:tcPr>
            <w:tcW w:w="2126" w:type="dxa"/>
            <w:vAlign w:val="center"/>
          </w:tcPr>
          <w:p w:rsidR="001C384E" w:rsidRPr="00456420" w:rsidRDefault="00F62B31"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 xml:space="preserve">% </w:t>
            </w:r>
            <w:r w:rsidR="002377CE" w:rsidRPr="00456420">
              <w:rPr>
                <w:rFonts w:ascii="Arial" w:hAnsi="Arial" w:cs="Arial"/>
                <w:sz w:val="20"/>
                <w:szCs w:val="20"/>
              </w:rPr>
              <w:t xml:space="preserve">Moisture </w:t>
            </w:r>
            <w:r w:rsidRPr="00456420">
              <w:rPr>
                <w:rFonts w:ascii="Arial" w:hAnsi="Arial" w:cs="Arial"/>
                <w:sz w:val="20"/>
                <w:szCs w:val="20"/>
              </w:rPr>
              <w:t>Uptake</w:t>
            </w:r>
          </w:p>
        </w:tc>
        <w:tc>
          <w:tcPr>
            <w:tcW w:w="1791" w:type="dxa"/>
            <w:vAlign w:val="center"/>
          </w:tcPr>
          <w:p w:rsidR="001C384E" w:rsidRPr="00456420" w:rsidRDefault="00F62B31" w:rsidP="00DC008C">
            <w:pP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 Moisture Loss</w:t>
            </w:r>
          </w:p>
        </w:tc>
      </w:tr>
      <w:tr w:rsidR="001C384E" w:rsidRPr="00456420" w:rsidTr="00DC00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F1</w:t>
            </w:r>
          </w:p>
        </w:tc>
        <w:tc>
          <w:tcPr>
            <w:tcW w:w="2268" w:type="dxa"/>
            <w:vAlign w:val="center"/>
          </w:tcPr>
          <w:p w:rsidR="001C384E" w:rsidRPr="00456420" w:rsidRDefault="00B577AE"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464.89 </w:t>
            </w:r>
          </w:p>
        </w:tc>
        <w:tc>
          <w:tcPr>
            <w:tcW w:w="2126" w:type="dxa"/>
            <w:vAlign w:val="center"/>
          </w:tcPr>
          <w:p w:rsidR="001C384E" w:rsidRPr="00456420"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9.17 </w:t>
            </w:r>
          </w:p>
        </w:tc>
        <w:tc>
          <w:tcPr>
            <w:tcW w:w="1791" w:type="dxa"/>
            <w:vAlign w:val="center"/>
          </w:tcPr>
          <w:p w:rsidR="001C384E" w:rsidRPr="00456420" w:rsidRDefault="00B609ED"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9.95</w:t>
            </w:r>
            <w:r w:rsidR="0036708B" w:rsidRPr="00456420">
              <w:rPr>
                <w:rFonts w:ascii="Arial" w:hAnsi="Arial" w:cs="Arial"/>
                <w:sz w:val="20"/>
                <w:szCs w:val="20"/>
              </w:rPr>
              <w:t xml:space="preserve"> </w:t>
            </w:r>
          </w:p>
        </w:tc>
      </w:tr>
      <w:tr w:rsidR="001C384E" w:rsidRPr="00456420" w:rsidTr="00DC008C">
        <w:trPr>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F2</w:t>
            </w:r>
          </w:p>
        </w:tc>
        <w:tc>
          <w:tcPr>
            <w:tcW w:w="2268" w:type="dxa"/>
            <w:vAlign w:val="center"/>
          </w:tcPr>
          <w:p w:rsidR="001C384E" w:rsidRPr="00456420" w:rsidRDefault="00B577AE"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627.75 </w:t>
            </w:r>
          </w:p>
        </w:tc>
        <w:tc>
          <w:tcPr>
            <w:tcW w:w="2126" w:type="dxa"/>
            <w:vAlign w:val="center"/>
          </w:tcPr>
          <w:p w:rsidR="001C384E" w:rsidRPr="00456420"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11.62</w:t>
            </w:r>
          </w:p>
        </w:tc>
        <w:tc>
          <w:tcPr>
            <w:tcW w:w="1791" w:type="dxa"/>
            <w:vAlign w:val="center"/>
          </w:tcPr>
          <w:p w:rsidR="001C384E" w:rsidRPr="00456420"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10.84</w:t>
            </w:r>
          </w:p>
        </w:tc>
      </w:tr>
      <w:tr w:rsidR="001C384E" w:rsidRPr="00456420" w:rsidTr="00DC008C">
        <w:trPr>
          <w:cnfStyle w:val="000000100000" w:firstRow="0" w:lastRow="0" w:firstColumn="0" w:lastColumn="0" w:oddVBand="0" w:evenVBand="0" w:oddHBand="1" w:evenHBand="0" w:firstRowFirstColumn="0" w:firstRowLastColumn="0" w:lastRowFirstColumn="0" w:lastRowLastColumn="0"/>
          <w:trHeight w:val="355"/>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F3</w:t>
            </w:r>
          </w:p>
        </w:tc>
        <w:tc>
          <w:tcPr>
            <w:tcW w:w="2268" w:type="dxa"/>
            <w:vAlign w:val="center"/>
          </w:tcPr>
          <w:p w:rsidR="001C384E" w:rsidRPr="00456420" w:rsidRDefault="00B577AE"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537. </w:t>
            </w:r>
            <w:r w:rsidR="009B6DA7" w:rsidRPr="00456420">
              <w:rPr>
                <w:rFonts w:ascii="Arial" w:hAnsi="Arial" w:cs="Arial"/>
                <w:sz w:val="20"/>
                <w:szCs w:val="20"/>
              </w:rPr>
              <w:t xml:space="preserve">13 </w:t>
            </w:r>
          </w:p>
        </w:tc>
        <w:tc>
          <w:tcPr>
            <w:tcW w:w="2126" w:type="dxa"/>
            <w:vAlign w:val="center"/>
          </w:tcPr>
          <w:p w:rsidR="001C384E" w:rsidRPr="00456420"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11.39 </w:t>
            </w:r>
          </w:p>
        </w:tc>
        <w:tc>
          <w:tcPr>
            <w:tcW w:w="1791" w:type="dxa"/>
            <w:vAlign w:val="center"/>
          </w:tcPr>
          <w:p w:rsidR="001C384E" w:rsidRPr="00456420" w:rsidRDefault="0036708B"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10.48 </w:t>
            </w:r>
          </w:p>
        </w:tc>
      </w:tr>
      <w:tr w:rsidR="001C384E" w:rsidRPr="00456420" w:rsidTr="00DC008C">
        <w:trPr>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F4</w:t>
            </w:r>
          </w:p>
        </w:tc>
        <w:tc>
          <w:tcPr>
            <w:tcW w:w="2268" w:type="dxa"/>
            <w:vAlign w:val="center"/>
          </w:tcPr>
          <w:p w:rsidR="001C384E" w:rsidRPr="00456420" w:rsidRDefault="009B6DA7"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544.07 </w:t>
            </w:r>
          </w:p>
        </w:tc>
        <w:tc>
          <w:tcPr>
            <w:tcW w:w="2126" w:type="dxa"/>
            <w:vAlign w:val="center"/>
          </w:tcPr>
          <w:p w:rsidR="001C384E" w:rsidRPr="00456420"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11.34 </w:t>
            </w:r>
          </w:p>
        </w:tc>
        <w:tc>
          <w:tcPr>
            <w:tcW w:w="1791" w:type="dxa"/>
            <w:vAlign w:val="center"/>
          </w:tcPr>
          <w:p w:rsidR="001C384E" w:rsidRPr="00456420"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10.31 </w:t>
            </w:r>
          </w:p>
        </w:tc>
      </w:tr>
      <w:tr w:rsidR="001C384E" w:rsidRPr="00456420" w:rsidTr="00DC008C">
        <w:trPr>
          <w:cnfStyle w:val="000000100000" w:firstRow="0" w:lastRow="0" w:firstColumn="0" w:lastColumn="0" w:oddVBand="0" w:evenVBand="0" w:oddHBand="1" w:evenHBand="0" w:firstRowFirstColumn="0" w:firstRowLastColumn="0" w:lastRowFirstColumn="0" w:lastRowLastColumn="0"/>
          <w:trHeight w:val="344"/>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F5</w:t>
            </w:r>
          </w:p>
        </w:tc>
        <w:tc>
          <w:tcPr>
            <w:tcW w:w="2268" w:type="dxa"/>
            <w:vAlign w:val="center"/>
          </w:tcPr>
          <w:p w:rsidR="001C384E" w:rsidRPr="00456420" w:rsidRDefault="009B6DA7"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579.99 </w:t>
            </w:r>
          </w:p>
        </w:tc>
        <w:tc>
          <w:tcPr>
            <w:tcW w:w="2126" w:type="dxa"/>
            <w:vAlign w:val="center"/>
          </w:tcPr>
          <w:p w:rsidR="001C384E" w:rsidRPr="00456420" w:rsidRDefault="00406644"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11.52 </w:t>
            </w:r>
          </w:p>
        </w:tc>
        <w:tc>
          <w:tcPr>
            <w:tcW w:w="1791" w:type="dxa"/>
            <w:vAlign w:val="center"/>
          </w:tcPr>
          <w:p w:rsidR="001C384E" w:rsidRPr="00456420" w:rsidRDefault="0036708B" w:rsidP="00DC008C">
            <w:pP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10.66 </w:t>
            </w:r>
          </w:p>
        </w:tc>
      </w:tr>
      <w:tr w:rsidR="001C384E" w:rsidRPr="00456420" w:rsidTr="00DC008C">
        <w:trPr>
          <w:trHeight w:val="355"/>
        </w:trPr>
        <w:tc>
          <w:tcPr>
            <w:cnfStyle w:val="001000000000" w:firstRow="0" w:lastRow="0" w:firstColumn="1" w:lastColumn="0" w:oddVBand="0" w:evenVBand="0" w:oddHBand="0" w:evenHBand="0" w:firstRowFirstColumn="0" w:firstRowLastColumn="0" w:lastRowFirstColumn="0" w:lastRowLastColumn="0"/>
            <w:tcW w:w="1994" w:type="dxa"/>
            <w:vAlign w:val="center"/>
          </w:tcPr>
          <w:p w:rsidR="001C384E" w:rsidRPr="00456420" w:rsidRDefault="007C53FD" w:rsidP="00DC008C">
            <w:pPr>
              <w:rPr>
                <w:rFonts w:ascii="Arial" w:hAnsi="Arial" w:cs="Arial"/>
                <w:b w:val="0"/>
                <w:bCs w:val="0"/>
                <w:sz w:val="20"/>
                <w:szCs w:val="20"/>
              </w:rPr>
            </w:pPr>
            <w:r w:rsidRPr="00456420">
              <w:rPr>
                <w:rFonts w:ascii="Arial" w:hAnsi="Arial" w:cs="Arial"/>
                <w:b w:val="0"/>
                <w:bCs w:val="0"/>
                <w:sz w:val="20"/>
                <w:szCs w:val="20"/>
              </w:rPr>
              <w:t>F6</w:t>
            </w:r>
          </w:p>
        </w:tc>
        <w:tc>
          <w:tcPr>
            <w:tcW w:w="2268" w:type="dxa"/>
            <w:vAlign w:val="center"/>
          </w:tcPr>
          <w:p w:rsidR="001C384E" w:rsidRPr="00456420" w:rsidRDefault="009B6DA7"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458.36 </w:t>
            </w:r>
          </w:p>
        </w:tc>
        <w:tc>
          <w:tcPr>
            <w:tcW w:w="2126" w:type="dxa"/>
            <w:vAlign w:val="center"/>
          </w:tcPr>
          <w:p w:rsidR="001C384E" w:rsidRPr="00456420" w:rsidRDefault="00406644"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9.15 </w:t>
            </w:r>
          </w:p>
        </w:tc>
        <w:tc>
          <w:tcPr>
            <w:tcW w:w="1791" w:type="dxa"/>
            <w:vAlign w:val="center"/>
          </w:tcPr>
          <w:p w:rsidR="001C384E" w:rsidRPr="00456420" w:rsidRDefault="0036708B" w:rsidP="00DC008C">
            <w:pP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 xml:space="preserve">10.20 </w:t>
            </w:r>
          </w:p>
        </w:tc>
      </w:tr>
    </w:tbl>
    <w:p w:rsidR="00075073" w:rsidRPr="00456420" w:rsidRDefault="00075073" w:rsidP="006C18EA">
      <w:pPr>
        <w:tabs>
          <w:tab w:val="left" w:pos="2664"/>
        </w:tabs>
        <w:spacing w:after="0" w:line="360" w:lineRule="auto"/>
        <w:ind w:right="113"/>
        <w:jc w:val="both"/>
        <w:rPr>
          <w:b/>
          <w:bCs/>
        </w:rPr>
      </w:pPr>
    </w:p>
    <w:p w:rsidR="000F2DBA" w:rsidRPr="00456420" w:rsidRDefault="0063169A">
      <w:pPr>
        <w:jc w:val="both"/>
      </w:pPr>
      <w:r w:rsidRPr="00456420">
        <w:rPr>
          <w:rFonts w:ascii="Arial" w:hAnsi="Arial"/>
          <w:sz w:val="20"/>
        </w:rPr>
        <w:t xml:space="preserve">The moisture-loss values indicate that all formulations retained a measurable fraction of bound or absorbed water under desiccating conditions. This balance is important because residual moisture may contribute to flexibility, whereas </w:t>
      </w:r>
      <w:r w:rsidRPr="00456420">
        <w:rPr>
          <w:rFonts w:ascii="Arial" w:hAnsi="Arial"/>
          <w:sz w:val="20"/>
        </w:rPr>
        <w:t>excessive drying may increase brittleness and excessive retained moisture may compromise physical stability (Adhikari et al., 2010; Ikram et al., 2015; Vasantha et al., 2011).</w:t>
      </w:r>
    </w:p>
    <w:p w:rsidR="005E5915" w:rsidRPr="00456420" w:rsidRDefault="001069D7" w:rsidP="00311545">
      <w:pPr>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3.2.11 </w:t>
      </w:r>
      <w:r w:rsidR="007A00CB" w:rsidRPr="00456420">
        <w:rPr>
          <w:rFonts w:ascii="Arial" w:hAnsi="Arial" w:cs="Arial"/>
          <w:b/>
          <w:bCs/>
          <w:sz w:val="20"/>
          <w:szCs w:val="20"/>
          <w:u w:val="single"/>
        </w:rPr>
        <w:t>In-Vitro Drug Release</w:t>
      </w:r>
    </w:p>
    <w:p w:rsidR="007A00CB" w:rsidRPr="00456420" w:rsidRDefault="00DC008C" w:rsidP="00311545">
      <w:pPr>
        <w:spacing w:line="480" w:lineRule="auto"/>
        <w:ind w:right="340"/>
        <w:jc w:val="both"/>
        <w:rPr>
          <w:rFonts w:ascii="Arial" w:hAnsi="Arial" w:cs="Arial"/>
          <w:b/>
          <w:bCs/>
          <w:sz w:val="20"/>
          <w:szCs w:val="20"/>
        </w:rPr>
      </w:pPr>
      <w:r w:rsidRPr="00456420">
        <w:rPr>
          <w:rFonts w:ascii="Arial" w:hAnsi="Arial" w:cs="Arial"/>
          <w:b/>
          <w:bCs/>
          <w:sz w:val="20"/>
          <w:szCs w:val="20"/>
        </w:rPr>
        <w:t xml:space="preserve">      </w:t>
      </w:r>
      <w:r w:rsidR="007A00CB" w:rsidRPr="00456420">
        <w:rPr>
          <w:rFonts w:ascii="Arial" w:hAnsi="Arial" w:cs="Arial"/>
          <w:b/>
          <w:bCs/>
          <w:sz w:val="20"/>
          <w:szCs w:val="20"/>
        </w:rPr>
        <w:t>Table</w:t>
      </w:r>
      <w:r w:rsidR="00EA0368" w:rsidRPr="00456420">
        <w:rPr>
          <w:rFonts w:ascii="Arial" w:hAnsi="Arial" w:cs="Arial"/>
          <w:b/>
          <w:bCs/>
          <w:sz w:val="20"/>
          <w:szCs w:val="20"/>
        </w:rPr>
        <w:t xml:space="preserve"> 6</w:t>
      </w:r>
      <w:r w:rsidR="007A00CB" w:rsidRPr="00456420">
        <w:rPr>
          <w:rFonts w:ascii="Arial" w:hAnsi="Arial" w:cs="Arial"/>
          <w:b/>
          <w:bCs/>
          <w:sz w:val="20"/>
          <w:szCs w:val="20"/>
        </w:rPr>
        <w:t>: Cumulative % drug release</w:t>
      </w:r>
    </w:p>
    <w:tbl>
      <w:tblPr>
        <w:tblStyle w:val="PlainTable2"/>
        <w:tblpPr w:leftFromText="180" w:rightFromText="180" w:vertAnchor="text" w:horzAnchor="margin" w:tblpXSpec="center" w:tblpY="19"/>
        <w:tblW w:w="0" w:type="auto"/>
        <w:tblLook w:val="04A0" w:firstRow="1" w:lastRow="0" w:firstColumn="1" w:lastColumn="0" w:noHBand="0" w:noVBand="1"/>
      </w:tblPr>
      <w:tblGrid>
        <w:gridCol w:w="1196"/>
        <w:gridCol w:w="1196"/>
        <w:gridCol w:w="1198"/>
        <w:gridCol w:w="1198"/>
        <w:gridCol w:w="1198"/>
        <w:gridCol w:w="1198"/>
        <w:gridCol w:w="1214"/>
      </w:tblGrid>
      <w:tr w:rsidR="00DC008C" w:rsidRPr="00456420" w:rsidTr="00E76B72">
        <w:trPr>
          <w:cnfStyle w:val="100000000000" w:firstRow="1" w:lastRow="0" w:firstColumn="0" w:lastColumn="0" w:oddVBand="0" w:evenVBand="0" w:oddHBand="0"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Merge w:val="restart"/>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sz w:val="20"/>
                <w:szCs w:val="20"/>
              </w:rPr>
              <w:t>Time (Hrs)</w:t>
            </w:r>
          </w:p>
        </w:tc>
        <w:tc>
          <w:tcPr>
            <w:tcW w:w="7202" w:type="dxa"/>
            <w:gridSpan w:val="6"/>
            <w:vAlign w:val="center"/>
          </w:tcPr>
          <w:p w:rsidR="00DC008C" w:rsidRPr="00456420" w:rsidRDefault="00DC008C" w:rsidP="00E76B72">
            <w:pPr>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Cumulative % Drug Release</w:t>
            </w:r>
          </w:p>
        </w:tc>
      </w:tr>
      <w:tr w:rsidR="00DC008C" w:rsidRPr="00456420"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Merge/>
            <w:vAlign w:val="center"/>
          </w:tcPr>
          <w:p w:rsidR="00DC008C" w:rsidRPr="00456420" w:rsidRDefault="00DC008C" w:rsidP="00E76B72">
            <w:pPr>
              <w:ind w:right="113"/>
              <w:jc w:val="center"/>
              <w:rPr>
                <w:rFonts w:ascii="Arial" w:hAnsi="Arial" w:cs="Arial"/>
                <w:b w:val="0"/>
                <w:bCs w:val="0"/>
                <w:sz w:val="20"/>
                <w:szCs w:val="20"/>
              </w:rPr>
            </w:pPr>
          </w:p>
        </w:tc>
        <w:tc>
          <w:tcPr>
            <w:tcW w:w="1196"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F1</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F2</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F3</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F4</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F5</w:t>
            </w:r>
          </w:p>
        </w:tc>
        <w:tc>
          <w:tcPr>
            <w:tcW w:w="1211"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F6</w:t>
            </w:r>
          </w:p>
        </w:tc>
      </w:tr>
      <w:tr w:rsidR="00DC008C" w:rsidRPr="00456420"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0</w:t>
            </w:r>
          </w:p>
        </w:tc>
        <w:tc>
          <w:tcPr>
            <w:tcW w:w="1196"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c>
          <w:tcPr>
            <w:tcW w:w="1211"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w:t>
            </w:r>
          </w:p>
        </w:tc>
      </w:tr>
      <w:tr w:rsidR="00DC008C" w:rsidRPr="00456420"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0.25</w:t>
            </w:r>
          </w:p>
        </w:tc>
        <w:tc>
          <w:tcPr>
            <w:tcW w:w="1196"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19.9</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20.32</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21.43</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21.01</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20.46</w:t>
            </w:r>
          </w:p>
        </w:tc>
        <w:tc>
          <w:tcPr>
            <w:tcW w:w="1211"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20.73</w:t>
            </w:r>
          </w:p>
        </w:tc>
      </w:tr>
      <w:tr w:rsidR="00DC008C" w:rsidRPr="00456420"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0.50</w:t>
            </w:r>
          </w:p>
        </w:tc>
        <w:tc>
          <w:tcPr>
            <w:tcW w:w="1196"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26.03</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25.34</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27.15</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25.76</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25.89</w:t>
            </w:r>
          </w:p>
        </w:tc>
        <w:tc>
          <w:tcPr>
            <w:tcW w:w="1211"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26.17</w:t>
            </w:r>
          </w:p>
        </w:tc>
      </w:tr>
      <w:tr w:rsidR="00DC008C" w:rsidRPr="00456420"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1</w:t>
            </w:r>
          </w:p>
        </w:tc>
        <w:tc>
          <w:tcPr>
            <w:tcW w:w="1196"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28.96</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28.27</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29.38</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29.24</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28.41</w:t>
            </w:r>
          </w:p>
        </w:tc>
        <w:tc>
          <w:tcPr>
            <w:tcW w:w="1211"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29.80</w:t>
            </w:r>
          </w:p>
        </w:tc>
      </w:tr>
      <w:tr w:rsidR="00DC008C" w:rsidRPr="00456420"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2</w:t>
            </w:r>
          </w:p>
        </w:tc>
        <w:tc>
          <w:tcPr>
            <w:tcW w:w="1196"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32.59</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34.82</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45.14</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38.86</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37.47</w:t>
            </w:r>
          </w:p>
        </w:tc>
        <w:tc>
          <w:tcPr>
            <w:tcW w:w="1211"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38.17</w:t>
            </w:r>
          </w:p>
        </w:tc>
      </w:tr>
      <w:tr w:rsidR="00DC008C" w:rsidRPr="00456420"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3</w:t>
            </w:r>
          </w:p>
        </w:tc>
        <w:tc>
          <w:tcPr>
            <w:tcW w:w="1196"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44.03</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44.72</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54.48</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45.42</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44.72</w:t>
            </w:r>
          </w:p>
        </w:tc>
        <w:tc>
          <w:tcPr>
            <w:tcW w:w="1211"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44.30</w:t>
            </w:r>
          </w:p>
        </w:tc>
      </w:tr>
      <w:tr w:rsidR="00DC008C" w:rsidRPr="00456420"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4</w:t>
            </w:r>
          </w:p>
        </w:tc>
        <w:tc>
          <w:tcPr>
            <w:tcW w:w="1196"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52.25</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52.67</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63.97</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55.04</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54.63</w:t>
            </w:r>
          </w:p>
        </w:tc>
        <w:tc>
          <w:tcPr>
            <w:tcW w:w="1211"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53.65</w:t>
            </w:r>
          </w:p>
        </w:tc>
      </w:tr>
      <w:tr w:rsidR="00DC008C" w:rsidRPr="00456420" w:rsidTr="00E76B72">
        <w:trPr>
          <w:cnfStyle w:val="000000100000" w:firstRow="0" w:lastRow="0" w:firstColumn="0" w:lastColumn="0" w:oddVBand="0" w:evenVBand="0" w:oddHBand="1" w:evenHBand="0" w:firstRowFirstColumn="0" w:firstRowLastColumn="0" w:lastRowFirstColumn="0" w:lastRowLastColumn="0"/>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5</w:t>
            </w:r>
          </w:p>
        </w:tc>
        <w:tc>
          <w:tcPr>
            <w:tcW w:w="1196"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62.85</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63.55</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72.06</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63.13</w:t>
            </w:r>
          </w:p>
        </w:tc>
        <w:tc>
          <w:tcPr>
            <w:tcW w:w="1198"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62.44</w:t>
            </w:r>
          </w:p>
        </w:tc>
        <w:tc>
          <w:tcPr>
            <w:tcW w:w="1211" w:type="dxa"/>
            <w:vAlign w:val="center"/>
          </w:tcPr>
          <w:p w:rsidR="00DC008C" w:rsidRPr="00456420" w:rsidRDefault="00DC008C" w:rsidP="00E76B72">
            <w:pPr>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sz w:val="20"/>
                <w:szCs w:val="20"/>
              </w:rPr>
            </w:pPr>
            <w:r w:rsidRPr="00456420">
              <w:rPr>
                <w:rFonts w:ascii="Arial" w:hAnsi="Arial" w:cs="Arial"/>
                <w:sz w:val="20"/>
                <w:szCs w:val="20"/>
              </w:rPr>
              <w:t>62.16</w:t>
            </w:r>
          </w:p>
        </w:tc>
      </w:tr>
      <w:tr w:rsidR="00DC008C" w:rsidRPr="00456420" w:rsidTr="00E76B72">
        <w:trPr>
          <w:trHeight w:val="352"/>
        </w:trPr>
        <w:tc>
          <w:tcPr>
            <w:cnfStyle w:val="001000000000" w:firstRow="0" w:lastRow="0" w:firstColumn="1" w:lastColumn="0" w:oddVBand="0" w:evenVBand="0" w:oddHBand="0" w:evenHBand="0" w:firstRowFirstColumn="0" w:firstRowLastColumn="0" w:lastRowFirstColumn="0" w:lastRowLastColumn="0"/>
            <w:tcW w:w="1196" w:type="dxa"/>
            <w:vAlign w:val="center"/>
          </w:tcPr>
          <w:p w:rsidR="00DC008C" w:rsidRPr="00456420" w:rsidRDefault="00DC008C" w:rsidP="00E76B72">
            <w:pPr>
              <w:ind w:right="113"/>
              <w:jc w:val="center"/>
              <w:rPr>
                <w:rFonts w:ascii="Arial" w:hAnsi="Arial" w:cs="Arial"/>
                <w:b w:val="0"/>
                <w:bCs w:val="0"/>
                <w:sz w:val="20"/>
                <w:szCs w:val="20"/>
              </w:rPr>
            </w:pPr>
            <w:r w:rsidRPr="00456420">
              <w:rPr>
                <w:rFonts w:ascii="Arial" w:hAnsi="Arial" w:cs="Arial"/>
                <w:b w:val="0"/>
                <w:bCs w:val="0"/>
                <w:sz w:val="20"/>
                <w:szCs w:val="20"/>
              </w:rPr>
              <w:t>6</w:t>
            </w:r>
          </w:p>
        </w:tc>
        <w:tc>
          <w:tcPr>
            <w:tcW w:w="1196"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79.87</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80.29</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82.52</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81.96</w:t>
            </w:r>
          </w:p>
        </w:tc>
        <w:tc>
          <w:tcPr>
            <w:tcW w:w="1198"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81.68</w:t>
            </w:r>
          </w:p>
        </w:tc>
        <w:tc>
          <w:tcPr>
            <w:tcW w:w="1211" w:type="dxa"/>
            <w:vAlign w:val="center"/>
          </w:tcPr>
          <w:p w:rsidR="00DC008C" w:rsidRPr="00456420" w:rsidRDefault="00DC008C" w:rsidP="00E76B72">
            <w:pPr>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81.40</w:t>
            </w:r>
          </w:p>
        </w:tc>
      </w:tr>
    </w:tbl>
    <w:p w:rsidR="00DC008C" w:rsidRPr="00456420" w:rsidRDefault="00DC008C" w:rsidP="006C18EA">
      <w:pPr>
        <w:spacing w:line="360" w:lineRule="auto"/>
        <w:ind w:right="113"/>
        <w:jc w:val="both"/>
        <w:rPr>
          <w:rFonts w:ascii="Arial" w:hAnsi="Arial" w:cs="Arial"/>
          <w:b/>
          <w:bCs/>
          <w:sz w:val="20"/>
          <w:szCs w:val="20"/>
        </w:rPr>
      </w:pPr>
    </w:p>
    <w:p w:rsidR="00A4246E" w:rsidRPr="00456420" w:rsidRDefault="00A4246E" w:rsidP="00EA0368">
      <w:pPr>
        <w:spacing w:after="0" w:line="360" w:lineRule="auto"/>
        <w:ind w:left="720" w:right="113" w:firstLine="720"/>
        <w:jc w:val="both"/>
        <w:rPr>
          <w:rFonts w:ascii="Arial" w:hAnsi="Arial" w:cs="Arial"/>
          <w:b/>
          <w:bCs/>
        </w:rPr>
      </w:pPr>
      <w:r w:rsidRPr="00456420">
        <w:rPr>
          <w:rFonts w:ascii="Arial" w:hAnsi="Arial" w:cs="Arial"/>
        </w:rPr>
        <w:lastRenderedPageBreak/>
        <w:t xml:space="preserve">    </w:t>
      </w:r>
      <w:r w:rsidRPr="00456420">
        <w:rPr>
          <w:rFonts w:ascii="Arial" w:hAnsi="Arial" w:cs="Arial"/>
          <w:noProof/>
          <w:lang w:eastAsia="en-IN"/>
        </w:rPr>
        <w:drawing>
          <wp:inline distT="0" distB="0" distL="0" distR="0" wp14:anchorId="7E8051E0" wp14:editId="0CBAA986">
            <wp:extent cx="3672840" cy="2444534"/>
            <wp:effectExtent l="0" t="0" r="3810" b="0"/>
            <wp:docPr id="2109057204" name="Picture 5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109057204" name="Picture 2109057204"/>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750022" cy="2495904"/>
                    </a:xfrm>
                    <a:prstGeom prst="rect">
                      <a:avLst/>
                    </a:prstGeom>
                  </pic:spPr>
                </pic:pic>
              </a:graphicData>
            </a:graphic>
          </wp:inline>
        </w:drawing>
      </w:r>
    </w:p>
    <w:p w:rsidR="00A4246E" w:rsidRPr="00456420" w:rsidRDefault="00C8158E" w:rsidP="00EA0368">
      <w:pPr>
        <w:jc w:val="center"/>
        <w:rPr>
          <w:rFonts w:ascii="Arial" w:hAnsi="Arial" w:cs="Arial"/>
          <w:b/>
          <w:bCs/>
          <w:sz w:val="20"/>
          <w:szCs w:val="20"/>
        </w:rPr>
      </w:pPr>
      <w:r w:rsidRPr="00456420">
        <w:rPr>
          <w:rFonts w:ascii="Arial" w:hAnsi="Arial" w:cs="Arial"/>
          <w:b/>
          <w:bCs/>
          <w:sz w:val="20"/>
          <w:szCs w:val="20"/>
        </w:rPr>
        <w:t>Fig</w:t>
      </w:r>
      <w:r w:rsidR="00C83EFE" w:rsidRPr="00456420">
        <w:rPr>
          <w:rFonts w:ascii="Arial" w:hAnsi="Arial" w:cs="Arial"/>
          <w:b/>
          <w:bCs/>
          <w:sz w:val="20"/>
          <w:szCs w:val="20"/>
        </w:rPr>
        <w:t>.</w:t>
      </w:r>
      <w:r w:rsidRPr="00456420">
        <w:rPr>
          <w:rFonts w:ascii="Arial" w:hAnsi="Arial" w:cs="Arial"/>
          <w:b/>
          <w:bCs/>
          <w:sz w:val="20"/>
          <w:szCs w:val="20"/>
        </w:rPr>
        <w:t xml:space="preserve"> </w:t>
      </w:r>
      <w:r w:rsidR="00EA0368" w:rsidRPr="00456420">
        <w:rPr>
          <w:rFonts w:ascii="Arial" w:hAnsi="Arial" w:cs="Arial"/>
          <w:b/>
          <w:bCs/>
          <w:sz w:val="20"/>
          <w:szCs w:val="20"/>
        </w:rPr>
        <w:t>3</w:t>
      </w:r>
      <w:r w:rsidRPr="00456420">
        <w:rPr>
          <w:rFonts w:ascii="Arial" w:hAnsi="Arial" w:cs="Arial"/>
          <w:b/>
          <w:bCs/>
          <w:sz w:val="20"/>
          <w:szCs w:val="20"/>
        </w:rPr>
        <w:t>:</w:t>
      </w:r>
      <w:r w:rsidRPr="00456420">
        <w:rPr>
          <w:rFonts w:ascii="Arial" w:hAnsi="Arial" w:cs="Arial"/>
          <w:sz w:val="20"/>
          <w:szCs w:val="20"/>
        </w:rPr>
        <w:t xml:space="preserve"> </w:t>
      </w:r>
      <w:r w:rsidRPr="00456420">
        <w:rPr>
          <w:rFonts w:ascii="Arial" w:hAnsi="Arial" w:cs="Arial"/>
          <w:b/>
          <w:bCs/>
          <w:sz w:val="20"/>
          <w:szCs w:val="20"/>
        </w:rPr>
        <w:t>Comparative in-vitro drug release of formulations F1-F6</w:t>
      </w:r>
    </w:p>
    <w:p w:rsidR="00EA0368" w:rsidRPr="00456420" w:rsidRDefault="00EA0368" w:rsidP="00EA0368">
      <w:pPr>
        <w:spacing w:after="0" w:line="360" w:lineRule="auto"/>
        <w:ind w:right="340"/>
        <w:jc w:val="both"/>
        <w:rPr>
          <w:rFonts w:ascii="Arial" w:hAnsi="Arial" w:cs="Arial"/>
          <w:b/>
          <w:bCs/>
          <w:sz w:val="20"/>
          <w:szCs w:val="20"/>
        </w:rPr>
      </w:pPr>
    </w:p>
    <w:p w:rsidR="000F2DBA" w:rsidRPr="00456420" w:rsidRDefault="0063169A">
      <w:pPr>
        <w:jc w:val="both"/>
      </w:pPr>
      <w:r w:rsidRPr="00456420">
        <w:rPr>
          <w:rFonts w:ascii="Arial" w:hAnsi="Arial"/>
          <w:sz w:val="20"/>
        </w:rPr>
        <w:t xml:space="preserve">All formulations showed progressive drug release over 6 </w:t>
      </w:r>
      <w:r w:rsidRPr="00456420">
        <w:rPr>
          <w:rFonts w:ascii="Arial" w:hAnsi="Arial"/>
          <w:sz w:val="20"/>
        </w:rPr>
        <w:t>hours, with F3 reaching the highest cumulative value (82.52%) at the final sampling point. Separation of the profiles after approximately 2 hours suggests that polymer composition increasingly influenced diffusion and matrix relaxation as hydration progres</w:t>
      </w:r>
      <w:r w:rsidRPr="00456420">
        <w:rPr>
          <w:rFonts w:ascii="Arial" w:hAnsi="Arial"/>
          <w:sz w:val="20"/>
        </w:rPr>
        <w:t>sed. This pattern is consistent with HPMC-based buccal matrices, in which polymer viscosity and swelling regulate sustained release (Lodhi et al., 2013; Muzib &amp; Kumari, 2011; Semalty et al., 2008).</w:t>
      </w:r>
    </w:p>
    <w:p w:rsidR="00C34425" w:rsidRPr="00456420" w:rsidRDefault="001069D7" w:rsidP="00EA0368">
      <w:pPr>
        <w:spacing w:after="0" w:line="360" w:lineRule="auto"/>
        <w:ind w:right="340" w:firstLine="340"/>
        <w:jc w:val="both"/>
        <w:rPr>
          <w:rFonts w:ascii="Arial" w:hAnsi="Arial" w:cs="Arial"/>
          <w:b/>
          <w:bCs/>
          <w:sz w:val="20"/>
          <w:szCs w:val="20"/>
          <w:u w:val="single"/>
        </w:rPr>
      </w:pPr>
      <w:r w:rsidRPr="00456420">
        <w:rPr>
          <w:rFonts w:ascii="Arial" w:hAnsi="Arial" w:cs="Arial"/>
          <w:b/>
          <w:bCs/>
          <w:sz w:val="20"/>
          <w:szCs w:val="20"/>
          <w:u w:val="single"/>
        </w:rPr>
        <w:t xml:space="preserve">3.2.12 </w:t>
      </w:r>
      <w:r w:rsidR="007E4083" w:rsidRPr="00456420">
        <w:rPr>
          <w:rFonts w:ascii="Arial" w:hAnsi="Arial" w:cs="Arial"/>
          <w:b/>
          <w:bCs/>
          <w:sz w:val="20"/>
          <w:szCs w:val="20"/>
          <w:u w:val="single"/>
        </w:rPr>
        <w:t>Release Kinetic of F3</w:t>
      </w:r>
    </w:p>
    <w:p w:rsidR="00C34425" w:rsidRPr="00456420" w:rsidRDefault="00C34425" w:rsidP="00EA0368">
      <w:pPr>
        <w:spacing w:after="0"/>
        <w:ind w:left="340" w:right="340"/>
        <w:rPr>
          <w:rFonts w:ascii="Arial" w:hAnsi="Arial" w:cs="Arial"/>
          <w:b/>
          <w:bCs/>
          <w:spacing w:val="-2"/>
          <w:sz w:val="20"/>
          <w:szCs w:val="20"/>
        </w:rPr>
      </w:pPr>
      <w:r w:rsidRPr="00456420">
        <w:rPr>
          <w:rFonts w:ascii="Arial" w:hAnsi="Arial" w:cs="Arial"/>
          <w:b/>
          <w:bCs/>
          <w:sz w:val="20"/>
          <w:szCs w:val="20"/>
        </w:rPr>
        <w:t xml:space="preserve">Table </w:t>
      </w:r>
      <w:r w:rsidR="00D751B2" w:rsidRPr="00456420">
        <w:rPr>
          <w:rFonts w:ascii="Arial" w:hAnsi="Arial" w:cs="Arial"/>
          <w:b/>
          <w:bCs/>
          <w:sz w:val="20"/>
          <w:szCs w:val="20"/>
        </w:rPr>
        <w:t>7</w:t>
      </w:r>
      <w:r w:rsidRPr="00456420">
        <w:rPr>
          <w:rFonts w:ascii="Arial" w:hAnsi="Arial" w:cs="Arial"/>
          <w:b/>
          <w:bCs/>
          <w:sz w:val="20"/>
          <w:szCs w:val="20"/>
        </w:rPr>
        <w:t>: Release</w:t>
      </w:r>
      <w:r w:rsidRPr="00456420">
        <w:rPr>
          <w:rFonts w:ascii="Arial" w:hAnsi="Arial" w:cs="Arial"/>
          <w:b/>
          <w:bCs/>
          <w:spacing w:val="-2"/>
          <w:sz w:val="20"/>
          <w:szCs w:val="20"/>
        </w:rPr>
        <w:t xml:space="preserve"> </w:t>
      </w:r>
      <w:r w:rsidRPr="00456420">
        <w:rPr>
          <w:rFonts w:ascii="Arial" w:hAnsi="Arial" w:cs="Arial"/>
          <w:b/>
          <w:bCs/>
          <w:sz w:val="20"/>
          <w:szCs w:val="20"/>
        </w:rPr>
        <w:t>kinetics</w:t>
      </w:r>
      <w:r w:rsidRPr="00456420">
        <w:rPr>
          <w:rFonts w:ascii="Arial" w:hAnsi="Arial" w:cs="Arial"/>
          <w:b/>
          <w:bCs/>
          <w:spacing w:val="-4"/>
          <w:sz w:val="20"/>
          <w:szCs w:val="20"/>
        </w:rPr>
        <w:t xml:space="preserve"> </w:t>
      </w:r>
      <w:r w:rsidRPr="00456420">
        <w:rPr>
          <w:rFonts w:ascii="Arial" w:hAnsi="Arial" w:cs="Arial"/>
          <w:b/>
          <w:bCs/>
          <w:sz w:val="20"/>
          <w:szCs w:val="20"/>
        </w:rPr>
        <w:t>of</w:t>
      </w:r>
      <w:r w:rsidRPr="00456420">
        <w:rPr>
          <w:rFonts w:ascii="Arial" w:hAnsi="Arial" w:cs="Arial"/>
          <w:b/>
          <w:bCs/>
          <w:spacing w:val="-4"/>
          <w:sz w:val="20"/>
          <w:szCs w:val="20"/>
        </w:rPr>
        <w:t xml:space="preserve"> </w:t>
      </w:r>
      <w:r w:rsidRPr="00456420">
        <w:rPr>
          <w:rFonts w:ascii="Arial" w:hAnsi="Arial" w:cs="Arial"/>
          <w:b/>
          <w:bCs/>
          <w:sz w:val="20"/>
          <w:szCs w:val="20"/>
        </w:rPr>
        <w:t>F3</w:t>
      </w:r>
      <w:r w:rsidRPr="00456420">
        <w:rPr>
          <w:rFonts w:ascii="Arial" w:hAnsi="Arial" w:cs="Arial"/>
          <w:b/>
          <w:bCs/>
          <w:spacing w:val="-1"/>
          <w:sz w:val="20"/>
          <w:szCs w:val="20"/>
        </w:rPr>
        <w:t xml:space="preserve"> </w:t>
      </w:r>
    </w:p>
    <w:tbl>
      <w:tblPr>
        <w:tblStyle w:val="PlainTable2"/>
        <w:tblW w:w="8227" w:type="dxa"/>
        <w:tblInd w:w="415" w:type="dxa"/>
        <w:tblLayout w:type="fixed"/>
        <w:tblLook w:val="04A0" w:firstRow="1" w:lastRow="0" w:firstColumn="1" w:lastColumn="0" w:noHBand="0" w:noVBand="1"/>
      </w:tblPr>
      <w:tblGrid>
        <w:gridCol w:w="770"/>
        <w:gridCol w:w="950"/>
        <w:gridCol w:w="1306"/>
        <w:gridCol w:w="1207"/>
        <w:gridCol w:w="869"/>
        <w:gridCol w:w="867"/>
        <w:gridCol w:w="993"/>
        <w:gridCol w:w="1265"/>
      </w:tblGrid>
      <w:tr w:rsidR="00C34425" w:rsidRPr="00456420" w:rsidTr="00E11514">
        <w:trPr>
          <w:cnfStyle w:val="100000000000" w:firstRow="1" w:lastRow="0" w:firstColumn="0" w:lastColumn="0" w:oddVBand="0" w:evenVBand="0" w:oddHBand="0" w:evenHBand="0" w:firstRowFirstColumn="0" w:firstRowLastColumn="0" w:lastRowFirstColumn="0" w:lastRowLastColumn="0"/>
          <w:trHeight w:val="668"/>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spacing w:val="-2"/>
                <w:sz w:val="18"/>
                <w:szCs w:val="18"/>
              </w:rPr>
            </w:pPr>
            <w:r w:rsidRPr="00456420">
              <w:rPr>
                <w:rFonts w:ascii="Arial" w:hAnsi="Arial" w:cs="Arial"/>
                <w:spacing w:val="-2"/>
                <w:sz w:val="18"/>
                <w:szCs w:val="18"/>
              </w:rPr>
              <w:t>Time (Hrs)</w:t>
            </w:r>
          </w:p>
        </w:tc>
        <w:tc>
          <w:tcPr>
            <w:tcW w:w="950"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Cum. % drug release</w:t>
            </w:r>
          </w:p>
        </w:tc>
        <w:tc>
          <w:tcPr>
            <w:tcW w:w="1306"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Cum. % drug remaining</w:t>
            </w:r>
          </w:p>
        </w:tc>
        <w:tc>
          <w:tcPr>
            <w:tcW w:w="1207"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Log Cum. % drug remaining</w:t>
            </w:r>
          </w:p>
        </w:tc>
        <w:tc>
          <w:tcPr>
            <w:tcW w:w="869"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√Time</w:t>
            </w:r>
          </w:p>
        </w:tc>
        <w:tc>
          <w:tcPr>
            <w:tcW w:w="867"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 xml:space="preserve">Log </w:t>
            </w:r>
            <w:r w:rsidRPr="00456420">
              <w:rPr>
                <w:rFonts w:ascii="Arial" w:hAnsi="Arial" w:cs="Arial"/>
                <w:spacing w:val="-2"/>
                <w:sz w:val="18"/>
                <w:szCs w:val="18"/>
              </w:rPr>
              <w:br/>
              <w:t>Time</w:t>
            </w:r>
          </w:p>
        </w:tc>
        <w:tc>
          <w:tcPr>
            <w:tcW w:w="993"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Log Cum. % drug release</w:t>
            </w:r>
          </w:p>
        </w:tc>
        <w:tc>
          <w:tcPr>
            <w:tcW w:w="1265" w:type="dxa"/>
            <w:vAlign w:val="center"/>
          </w:tcPr>
          <w:p w:rsidR="00C34425" w:rsidRPr="00456420" w:rsidRDefault="00C34425" w:rsidP="00A47668">
            <w:pPr>
              <w:ind w:right="113"/>
              <w:cnfStyle w:val="100000000000" w:firstRow="1"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Cube root log Cum. % drug remaining</w:t>
            </w:r>
          </w:p>
        </w:tc>
      </w:tr>
      <w:tr w:rsidR="00C34425" w:rsidRPr="00456420"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0</w:t>
            </w:r>
          </w:p>
        </w:tc>
        <w:tc>
          <w:tcPr>
            <w:tcW w:w="950"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w:t>
            </w:r>
          </w:p>
        </w:tc>
        <w:tc>
          <w:tcPr>
            <w:tcW w:w="1306"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100</w:t>
            </w:r>
          </w:p>
        </w:tc>
        <w:tc>
          <w:tcPr>
            <w:tcW w:w="120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w:t>
            </w:r>
          </w:p>
        </w:tc>
        <w:tc>
          <w:tcPr>
            <w:tcW w:w="869"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w:t>
            </w:r>
          </w:p>
        </w:tc>
        <w:tc>
          <w:tcPr>
            <w:tcW w:w="86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w:t>
            </w:r>
          </w:p>
        </w:tc>
        <w:tc>
          <w:tcPr>
            <w:tcW w:w="993"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w:t>
            </w:r>
          </w:p>
        </w:tc>
        <w:tc>
          <w:tcPr>
            <w:tcW w:w="1265"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4.642</w:t>
            </w:r>
          </w:p>
        </w:tc>
      </w:tr>
      <w:tr w:rsidR="00C34425" w:rsidRPr="00456420" w:rsidTr="00E11514">
        <w:trPr>
          <w:trHeight w:val="282"/>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0.25</w:t>
            </w:r>
          </w:p>
        </w:tc>
        <w:tc>
          <w:tcPr>
            <w:tcW w:w="950"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21.43</w:t>
            </w:r>
          </w:p>
        </w:tc>
        <w:tc>
          <w:tcPr>
            <w:tcW w:w="1306"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78.57</w:t>
            </w:r>
          </w:p>
        </w:tc>
        <w:tc>
          <w:tcPr>
            <w:tcW w:w="120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1.895</w:t>
            </w:r>
          </w:p>
        </w:tc>
        <w:tc>
          <w:tcPr>
            <w:tcW w:w="869"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0.l5</w:t>
            </w:r>
          </w:p>
        </w:tc>
        <w:tc>
          <w:tcPr>
            <w:tcW w:w="86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-0.602</w:t>
            </w:r>
          </w:p>
        </w:tc>
        <w:tc>
          <w:tcPr>
            <w:tcW w:w="993"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1.331</w:t>
            </w:r>
          </w:p>
        </w:tc>
        <w:tc>
          <w:tcPr>
            <w:tcW w:w="1265"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4.289</w:t>
            </w:r>
          </w:p>
        </w:tc>
      </w:tr>
      <w:tr w:rsidR="00C34425" w:rsidRPr="00456420"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0.50</w:t>
            </w:r>
          </w:p>
        </w:tc>
        <w:tc>
          <w:tcPr>
            <w:tcW w:w="950"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27.15</w:t>
            </w:r>
          </w:p>
        </w:tc>
        <w:tc>
          <w:tcPr>
            <w:tcW w:w="1306"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72.85</w:t>
            </w:r>
          </w:p>
        </w:tc>
        <w:tc>
          <w:tcPr>
            <w:tcW w:w="120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1.862</w:t>
            </w:r>
          </w:p>
        </w:tc>
        <w:tc>
          <w:tcPr>
            <w:tcW w:w="869"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0.707</w:t>
            </w:r>
          </w:p>
        </w:tc>
        <w:tc>
          <w:tcPr>
            <w:tcW w:w="86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-0.301</w:t>
            </w:r>
          </w:p>
        </w:tc>
        <w:tc>
          <w:tcPr>
            <w:tcW w:w="993"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1.434</w:t>
            </w:r>
          </w:p>
        </w:tc>
        <w:tc>
          <w:tcPr>
            <w:tcW w:w="1265"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4.191</w:t>
            </w:r>
          </w:p>
        </w:tc>
      </w:tr>
      <w:tr w:rsidR="00C34425" w:rsidRPr="00456420"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1</w:t>
            </w:r>
          </w:p>
        </w:tc>
        <w:tc>
          <w:tcPr>
            <w:tcW w:w="950"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29.38</w:t>
            </w:r>
          </w:p>
        </w:tc>
        <w:tc>
          <w:tcPr>
            <w:tcW w:w="1306"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70.62</w:t>
            </w:r>
          </w:p>
        </w:tc>
        <w:tc>
          <w:tcPr>
            <w:tcW w:w="120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1.849</w:t>
            </w:r>
          </w:p>
        </w:tc>
        <w:tc>
          <w:tcPr>
            <w:tcW w:w="869"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w:t>
            </w:r>
          </w:p>
        </w:tc>
        <w:tc>
          <w:tcPr>
            <w:tcW w:w="86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w:t>
            </w:r>
          </w:p>
        </w:tc>
        <w:tc>
          <w:tcPr>
            <w:tcW w:w="993"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1.468</w:t>
            </w:r>
          </w:p>
        </w:tc>
        <w:tc>
          <w:tcPr>
            <w:tcW w:w="1265"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4.123</w:t>
            </w:r>
          </w:p>
        </w:tc>
      </w:tr>
      <w:tr w:rsidR="00C34425" w:rsidRPr="00456420"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2</w:t>
            </w:r>
          </w:p>
        </w:tc>
        <w:tc>
          <w:tcPr>
            <w:tcW w:w="950"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45.47</w:t>
            </w:r>
          </w:p>
        </w:tc>
        <w:tc>
          <w:tcPr>
            <w:tcW w:w="1306"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54.53</w:t>
            </w:r>
          </w:p>
        </w:tc>
        <w:tc>
          <w:tcPr>
            <w:tcW w:w="120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1.737</w:t>
            </w:r>
          </w:p>
        </w:tc>
        <w:tc>
          <w:tcPr>
            <w:tcW w:w="869"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1.414</w:t>
            </w:r>
          </w:p>
        </w:tc>
        <w:tc>
          <w:tcPr>
            <w:tcW w:w="86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0.301</w:t>
            </w:r>
          </w:p>
        </w:tc>
        <w:tc>
          <w:tcPr>
            <w:tcW w:w="993"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1.658</w:t>
            </w:r>
          </w:p>
        </w:tc>
        <w:tc>
          <w:tcPr>
            <w:tcW w:w="1265"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3.8</w:t>
            </w:r>
          </w:p>
        </w:tc>
      </w:tr>
      <w:tr w:rsidR="00C34425" w:rsidRPr="00456420"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3</w:t>
            </w:r>
          </w:p>
        </w:tc>
        <w:tc>
          <w:tcPr>
            <w:tcW w:w="950"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54.48</w:t>
            </w:r>
          </w:p>
        </w:tc>
        <w:tc>
          <w:tcPr>
            <w:tcW w:w="1306"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45.52</w:t>
            </w:r>
          </w:p>
        </w:tc>
        <w:tc>
          <w:tcPr>
            <w:tcW w:w="120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1.658</w:t>
            </w:r>
          </w:p>
        </w:tc>
        <w:tc>
          <w:tcPr>
            <w:tcW w:w="869"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1.732</w:t>
            </w:r>
          </w:p>
        </w:tc>
        <w:tc>
          <w:tcPr>
            <w:tcW w:w="86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0.477</w:t>
            </w:r>
          </w:p>
        </w:tc>
        <w:tc>
          <w:tcPr>
            <w:tcW w:w="993"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1.736</w:t>
            </w:r>
          </w:p>
        </w:tc>
        <w:tc>
          <w:tcPr>
            <w:tcW w:w="1265"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3.583</w:t>
            </w:r>
          </w:p>
        </w:tc>
      </w:tr>
      <w:tr w:rsidR="00C34425" w:rsidRPr="00456420" w:rsidTr="00E11514">
        <w:trPr>
          <w:cnfStyle w:val="000000100000" w:firstRow="0" w:lastRow="0" w:firstColumn="0" w:lastColumn="0" w:oddVBand="0" w:evenVBand="0" w:oddHBand="1" w:evenHBand="0" w:firstRowFirstColumn="0" w:firstRowLastColumn="0" w:lastRowFirstColumn="0" w:lastRowLastColumn="0"/>
          <w:trHeight w:val="282"/>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4</w:t>
            </w:r>
          </w:p>
        </w:tc>
        <w:tc>
          <w:tcPr>
            <w:tcW w:w="950"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63.97</w:t>
            </w:r>
          </w:p>
        </w:tc>
        <w:tc>
          <w:tcPr>
            <w:tcW w:w="1306"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36.03</w:t>
            </w:r>
          </w:p>
        </w:tc>
        <w:tc>
          <w:tcPr>
            <w:tcW w:w="120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1.557</w:t>
            </w:r>
          </w:p>
        </w:tc>
        <w:tc>
          <w:tcPr>
            <w:tcW w:w="869"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w:t>
            </w:r>
          </w:p>
        </w:tc>
        <w:tc>
          <w:tcPr>
            <w:tcW w:w="86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0.602</w:t>
            </w:r>
          </w:p>
        </w:tc>
        <w:tc>
          <w:tcPr>
            <w:tcW w:w="993"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1.806</w:t>
            </w:r>
          </w:p>
        </w:tc>
        <w:tc>
          <w:tcPr>
            <w:tcW w:w="1265"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3.301</w:t>
            </w:r>
          </w:p>
        </w:tc>
      </w:tr>
      <w:tr w:rsidR="00C34425" w:rsidRPr="00456420" w:rsidTr="00E11514">
        <w:trPr>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5</w:t>
            </w:r>
          </w:p>
        </w:tc>
        <w:tc>
          <w:tcPr>
            <w:tcW w:w="950"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72.06</w:t>
            </w:r>
          </w:p>
        </w:tc>
        <w:tc>
          <w:tcPr>
            <w:tcW w:w="1306"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27.94</w:t>
            </w:r>
          </w:p>
        </w:tc>
        <w:tc>
          <w:tcPr>
            <w:tcW w:w="120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1.446</w:t>
            </w:r>
          </w:p>
        </w:tc>
        <w:tc>
          <w:tcPr>
            <w:tcW w:w="869"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2.236</w:t>
            </w:r>
          </w:p>
        </w:tc>
        <w:tc>
          <w:tcPr>
            <w:tcW w:w="867"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0.699</w:t>
            </w:r>
          </w:p>
        </w:tc>
        <w:tc>
          <w:tcPr>
            <w:tcW w:w="993"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1.858</w:t>
            </w:r>
          </w:p>
        </w:tc>
        <w:tc>
          <w:tcPr>
            <w:tcW w:w="1265" w:type="dxa"/>
            <w:vAlign w:val="center"/>
          </w:tcPr>
          <w:p w:rsidR="00C34425" w:rsidRPr="00456420" w:rsidRDefault="00C34425" w:rsidP="00A47668">
            <w:pPr>
              <w:ind w:right="113"/>
              <w:cnfStyle w:val="000000000000" w:firstRow="0" w:lastRow="0" w:firstColumn="0" w:lastColumn="0" w:oddVBand="0" w:evenVBand="0" w:oddHBand="0"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3.03</w:t>
            </w:r>
          </w:p>
        </w:tc>
      </w:tr>
      <w:tr w:rsidR="00C34425" w:rsidRPr="00456420" w:rsidTr="00E11514">
        <w:trPr>
          <w:cnfStyle w:val="000000100000" w:firstRow="0" w:lastRow="0" w:firstColumn="0" w:lastColumn="0" w:oddVBand="0" w:evenVBand="0" w:oddHBand="1" w:evenHBand="0" w:firstRowFirstColumn="0" w:firstRowLastColumn="0" w:lastRowFirstColumn="0" w:lastRowLastColumn="0"/>
          <w:trHeight w:val="270"/>
        </w:trPr>
        <w:tc>
          <w:tcPr>
            <w:cnfStyle w:val="001000000000" w:firstRow="0" w:lastRow="0" w:firstColumn="1" w:lastColumn="0" w:oddVBand="0" w:evenVBand="0" w:oddHBand="0" w:evenHBand="0" w:firstRowFirstColumn="0" w:firstRowLastColumn="0" w:lastRowFirstColumn="0" w:lastRowLastColumn="0"/>
            <w:tcW w:w="770" w:type="dxa"/>
            <w:vAlign w:val="center"/>
          </w:tcPr>
          <w:p w:rsidR="00C34425" w:rsidRPr="00456420" w:rsidRDefault="00C34425" w:rsidP="00A47668">
            <w:pPr>
              <w:ind w:right="113"/>
              <w:rPr>
                <w:rFonts w:ascii="Arial" w:hAnsi="Arial" w:cs="Arial"/>
                <w:b w:val="0"/>
                <w:bCs w:val="0"/>
                <w:spacing w:val="-2"/>
                <w:sz w:val="18"/>
                <w:szCs w:val="18"/>
              </w:rPr>
            </w:pPr>
            <w:r w:rsidRPr="00456420">
              <w:rPr>
                <w:rFonts w:ascii="Arial" w:hAnsi="Arial" w:cs="Arial"/>
                <w:b w:val="0"/>
                <w:bCs w:val="0"/>
                <w:spacing w:val="-2"/>
                <w:sz w:val="18"/>
                <w:szCs w:val="18"/>
              </w:rPr>
              <w:t>6</w:t>
            </w:r>
          </w:p>
        </w:tc>
        <w:tc>
          <w:tcPr>
            <w:tcW w:w="950"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82.52</w:t>
            </w:r>
          </w:p>
        </w:tc>
        <w:tc>
          <w:tcPr>
            <w:tcW w:w="1306"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17.48</w:t>
            </w:r>
          </w:p>
        </w:tc>
        <w:tc>
          <w:tcPr>
            <w:tcW w:w="120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1.242</w:t>
            </w:r>
          </w:p>
        </w:tc>
        <w:tc>
          <w:tcPr>
            <w:tcW w:w="869"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2.449</w:t>
            </w:r>
          </w:p>
        </w:tc>
        <w:tc>
          <w:tcPr>
            <w:tcW w:w="867"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0.788</w:t>
            </w:r>
          </w:p>
        </w:tc>
        <w:tc>
          <w:tcPr>
            <w:tcW w:w="993"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1.917</w:t>
            </w:r>
          </w:p>
        </w:tc>
        <w:tc>
          <w:tcPr>
            <w:tcW w:w="1265" w:type="dxa"/>
            <w:vAlign w:val="center"/>
          </w:tcPr>
          <w:p w:rsidR="00C34425" w:rsidRPr="00456420" w:rsidRDefault="00C34425" w:rsidP="00A47668">
            <w:pPr>
              <w:ind w:right="113"/>
              <w:cnfStyle w:val="000000100000" w:firstRow="0" w:lastRow="0" w:firstColumn="0" w:lastColumn="0" w:oddVBand="0" w:evenVBand="0" w:oddHBand="1" w:evenHBand="0" w:firstRowFirstColumn="0" w:firstRowLastColumn="0" w:lastRowFirstColumn="0" w:lastRowLastColumn="0"/>
              <w:rPr>
                <w:rFonts w:ascii="Arial" w:hAnsi="Arial" w:cs="Arial"/>
                <w:spacing w:val="-2"/>
                <w:sz w:val="18"/>
                <w:szCs w:val="18"/>
              </w:rPr>
            </w:pPr>
            <w:r w:rsidRPr="00456420">
              <w:rPr>
                <w:rFonts w:ascii="Arial" w:hAnsi="Arial" w:cs="Arial"/>
                <w:spacing w:val="-2"/>
                <w:sz w:val="18"/>
                <w:szCs w:val="18"/>
              </w:rPr>
              <w:t>2.596</w:t>
            </w:r>
          </w:p>
        </w:tc>
      </w:tr>
    </w:tbl>
    <w:p w:rsidR="000F47B5" w:rsidRPr="00456420" w:rsidRDefault="000F47B5" w:rsidP="009D7FE6">
      <w:pPr>
        <w:spacing w:after="0" w:line="360" w:lineRule="auto"/>
        <w:ind w:right="340"/>
        <w:jc w:val="both"/>
        <w:rPr>
          <w:rFonts w:ascii="Times New Roman" w:hAnsi="Times New Roman" w:cs="Times New Roman"/>
        </w:rPr>
      </w:pPr>
    </w:p>
    <w:p w:rsidR="00522E00" w:rsidRPr="00456420" w:rsidRDefault="00D31C32" w:rsidP="000F47B5">
      <w:pPr>
        <w:spacing w:after="0" w:line="360" w:lineRule="auto"/>
        <w:ind w:left="340" w:right="340"/>
        <w:jc w:val="both"/>
        <w:rPr>
          <w:b/>
          <w:bCs/>
        </w:rPr>
      </w:pPr>
      <w:r w:rsidRPr="00456420">
        <w:rPr>
          <w:b/>
          <w:bCs/>
          <w:noProof/>
          <w:lang w:eastAsia="en-IN"/>
        </w:rPr>
        <w:lastRenderedPageBreak/>
        <w:drawing>
          <wp:inline distT="0" distB="0" distL="0" distR="0" wp14:anchorId="51F63115" wp14:editId="61978976">
            <wp:extent cx="5309432" cy="5402580"/>
            <wp:effectExtent l="0" t="0" r="5715" b="7620"/>
            <wp:docPr id="1334976784" name="Picture 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34976784" name="Picture 1334976784"/>
                    <pic:cNvPicPr/>
                  </pic:nvPicPr>
                  <pic:blipFill rotWithShape="1">
                    <a:blip r:embed="rId13" cstate="print">
                      <a:extLst>
                        <a:ext uri="{28A0092B-C50C-407E-A947-70E740481C1C}">
                          <a14:useLocalDpi xmlns:a14="http://schemas.microsoft.com/office/drawing/2010/main" val="0"/>
                        </a:ext>
                      </a:extLst>
                    </a:blip>
                    <a:srcRect t="2889" b="1376"/>
                    <a:stretch>
                      <a:fillRect/>
                    </a:stretch>
                  </pic:blipFill>
                  <pic:spPr bwMode="auto">
                    <a:xfrm>
                      <a:off x="0" y="0"/>
                      <a:ext cx="5342982" cy="5436719"/>
                    </a:xfrm>
                    <a:prstGeom prst="rect">
                      <a:avLst/>
                    </a:prstGeom>
                    <a:ln>
                      <a:noFill/>
                    </a:ln>
                    <a:extLst>
                      <a:ext uri="{53640926-AAD7-44D8-BBD7-CCE9431645EC}">
                        <a14:shadowObscured xmlns:a14="http://schemas.microsoft.com/office/drawing/2010/main"/>
                      </a:ext>
                    </a:extLst>
                  </pic:spPr>
                </pic:pic>
              </a:graphicData>
            </a:graphic>
          </wp:inline>
        </w:drawing>
      </w:r>
    </w:p>
    <w:p w:rsidR="00380A17" w:rsidRPr="00456420" w:rsidRDefault="00F20336" w:rsidP="00B743E1">
      <w:pPr>
        <w:spacing w:before="60" w:after="200" w:line="480" w:lineRule="auto"/>
        <w:ind w:left="340" w:right="340"/>
        <w:jc w:val="both"/>
        <w:rPr>
          <w:rFonts w:ascii="Arial" w:eastAsia="Arial" w:hAnsi="Arial" w:cs="Arial"/>
          <w:sz w:val="20"/>
          <w:szCs w:val="20"/>
        </w:rPr>
      </w:pPr>
      <w:r w:rsidRPr="00456420">
        <w:rPr>
          <w:rFonts w:ascii="Arial" w:eastAsia="Arial" w:hAnsi="Arial" w:cs="Arial"/>
          <w:b/>
          <w:sz w:val="20"/>
          <w:szCs w:val="20"/>
        </w:rPr>
        <w:t>Fig</w:t>
      </w:r>
      <w:r w:rsidR="00912EEF" w:rsidRPr="00456420">
        <w:rPr>
          <w:rFonts w:ascii="Arial" w:eastAsia="Arial" w:hAnsi="Arial" w:cs="Arial"/>
          <w:b/>
          <w:sz w:val="20"/>
          <w:szCs w:val="20"/>
        </w:rPr>
        <w:t>.</w:t>
      </w:r>
      <w:r w:rsidR="00C83EFE" w:rsidRPr="00456420">
        <w:rPr>
          <w:rFonts w:ascii="Arial" w:eastAsia="Arial" w:hAnsi="Arial" w:cs="Arial"/>
          <w:b/>
          <w:sz w:val="20"/>
          <w:szCs w:val="20"/>
        </w:rPr>
        <w:t>4</w:t>
      </w:r>
      <w:r w:rsidR="00E11514" w:rsidRPr="00456420">
        <w:rPr>
          <w:rFonts w:ascii="Arial" w:eastAsia="Arial" w:hAnsi="Arial" w:cs="Arial"/>
          <w:b/>
          <w:sz w:val="20"/>
          <w:szCs w:val="20"/>
        </w:rPr>
        <w:t xml:space="preserve">: </w:t>
      </w:r>
      <w:r w:rsidRPr="00456420">
        <w:rPr>
          <w:rFonts w:ascii="Arial" w:eastAsia="Arial" w:hAnsi="Arial" w:cs="Arial"/>
          <w:b/>
          <w:sz w:val="20"/>
          <w:szCs w:val="20"/>
        </w:rPr>
        <w:t>Release kinetics of F4 formulation: A) zero-order, B) first-order, C) Higuchi, D) Korsmeyer–Peppas and (E) Hixson–Crowell plots</w:t>
      </w:r>
    </w:p>
    <w:p w:rsidR="009B11A8" w:rsidRPr="00456420" w:rsidRDefault="009B11A8" w:rsidP="00B743E1">
      <w:pPr>
        <w:spacing w:before="60" w:after="200" w:line="480" w:lineRule="auto"/>
        <w:ind w:left="340" w:right="340"/>
        <w:jc w:val="both"/>
        <w:rPr>
          <w:rFonts w:ascii="Arial" w:eastAsia="Arial" w:hAnsi="Arial" w:cs="Arial"/>
          <w:sz w:val="20"/>
          <w:szCs w:val="20"/>
        </w:rPr>
      </w:pPr>
      <w:r w:rsidRPr="00456420">
        <w:rPr>
          <w:rFonts w:ascii="Arial" w:hAnsi="Arial" w:cs="Arial"/>
          <w:b/>
          <w:bCs/>
          <w:sz w:val="20"/>
          <w:szCs w:val="20"/>
        </w:rPr>
        <w:t>Inference:</w:t>
      </w:r>
      <w:r w:rsidRPr="00456420">
        <w:rPr>
          <w:rFonts w:ascii="Arial" w:hAnsi="Arial" w:cs="Arial"/>
          <w:sz w:val="20"/>
          <w:szCs w:val="20"/>
        </w:rPr>
        <w:t xml:space="preserve"> </w:t>
      </w:r>
    </w:p>
    <w:p w:rsidR="009B11A8" w:rsidRPr="00456420" w:rsidRDefault="009B11A8" w:rsidP="00B743E1">
      <w:pPr>
        <w:tabs>
          <w:tab w:val="left" w:pos="1451"/>
        </w:tabs>
        <w:spacing w:after="0" w:line="480" w:lineRule="auto"/>
        <w:ind w:left="340" w:right="340"/>
        <w:jc w:val="both"/>
        <w:rPr>
          <w:rFonts w:ascii="Arial" w:hAnsi="Arial" w:cs="Arial"/>
          <w:sz w:val="20"/>
          <w:szCs w:val="20"/>
        </w:rPr>
      </w:pPr>
      <w:r w:rsidRPr="00456420">
        <w:rPr>
          <w:rFonts w:ascii="Arial" w:hAnsi="Arial" w:cs="Arial"/>
          <w:sz w:val="20"/>
          <w:szCs w:val="20"/>
        </w:rPr>
        <w:t>The drug-release kinetics of the optimised mucoadhesive buccal patch (F3) were analysed using several kinetic models. The Higuchi model provided the best fit (R² = 0.9894), indicating release associated with matrix hydration and gradual dissolution.</w:t>
      </w:r>
    </w:p>
    <w:p w:rsidR="000F2DBA" w:rsidRPr="00456420" w:rsidRDefault="0063169A">
      <w:pPr>
        <w:jc w:val="both"/>
      </w:pPr>
      <w:r w:rsidRPr="00456420">
        <w:rPr>
          <w:rFonts w:ascii="Arial" w:hAnsi="Arial"/>
          <w:sz w:val="20"/>
        </w:rPr>
        <w:t>The superior fit to the Higuchi model supports a predominantly diffusion-associated r</w:t>
      </w:r>
      <w:r w:rsidRPr="00456420">
        <w:rPr>
          <w:rFonts w:ascii="Arial" w:hAnsi="Arial"/>
          <w:sz w:val="20"/>
        </w:rPr>
        <w:t xml:space="preserve">elease process from a hydrated matrix, although the model fit alone does not exclude concurrent swelling or erosion. Similar mucoadhesive films have exhibited Higuchi-type or mixed diffusion–relaxation behaviour, indicating that mechanistic interpretation </w:t>
      </w:r>
      <w:r w:rsidRPr="00456420">
        <w:rPr>
          <w:rFonts w:ascii="Arial" w:hAnsi="Arial"/>
          <w:sz w:val="20"/>
        </w:rPr>
        <w:t>should consider both kinetic modelling and polymer hydration characteristics (Muzib &amp; Kumari, 2011; Semalty et al., 2008; Vasantha et al., 2011).</w:t>
      </w:r>
    </w:p>
    <w:p w:rsidR="00695448" w:rsidRPr="00456420" w:rsidRDefault="002C0861" w:rsidP="00B743E1">
      <w:pPr>
        <w:tabs>
          <w:tab w:val="left" w:pos="1451"/>
        </w:tabs>
        <w:spacing w:after="0" w:line="480" w:lineRule="auto"/>
        <w:ind w:left="340" w:right="340"/>
        <w:jc w:val="both"/>
        <w:rPr>
          <w:rFonts w:ascii="Arial" w:hAnsi="Arial" w:cs="Arial"/>
          <w:b/>
          <w:bCs/>
          <w:sz w:val="20"/>
          <w:szCs w:val="20"/>
          <w:u w:val="single"/>
        </w:rPr>
      </w:pPr>
      <w:r w:rsidRPr="00456420">
        <w:rPr>
          <w:rFonts w:ascii="Arial" w:hAnsi="Arial" w:cs="Arial"/>
          <w:b/>
          <w:bCs/>
          <w:sz w:val="20"/>
          <w:szCs w:val="20"/>
          <w:u w:val="single"/>
        </w:rPr>
        <w:t xml:space="preserve">3.2.13 </w:t>
      </w:r>
      <w:r w:rsidR="00695448" w:rsidRPr="00456420">
        <w:rPr>
          <w:rFonts w:ascii="Arial" w:hAnsi="Arial" w:cs="Arial"/>
          <w:b/>
          <w:bCs/>
          <w:sz w:val="20"/>
          <w:szCs w:val="20"/>
          <w:u w:val="single"/>
        </w:rPr>
        <w:t>Scanning Electron Microscopy (SEM) Analysis</w:t>
      </w:r>
    </w:p>
    <w:p w:rsidR="00841EF5" w:rsidRPr="00456420" w:rsidRDefault="0037695A" w:rsidP="00B743E1">
      <w:pPr>
        <w:tabs>
          <w:tab w:val="left" w:pos="1451"/>
        </w:tabs>
        <w:spacing w:after="0" w:line="480" w:lineRule="auto"/>
        <w:ind w:left="340" w:right="340"/>
        <w:jc w:val="both"/>
        <w:rPr>
          <w:rFonts w:ascii="Arial" w:hAnsi="Arial" w:cs="Arial"/>
          <w:sz w:val="20"/>
          <w:szCs w:val="20"/>
        </w:rPr>
      </w:pPr>
      <w:r w:rsidRPr="00456420">
        <w:rPr>
          <w:rFonts w:ascii="Arial" w:hAnsi="Arial" w:cs="Arial"/>
          <w:sz w:val="20"/>
          <w:szCs w:val="20"/>
        </w:rPr>
        <w:lastRenderedPageBreak/>
        <w:t>The formulated buccal patches were examined by scanning electron microscopy to characterise their surface morphology.</w:t>
      </w:r>
    </w:p>
    <w:p w:rsidR="00695448" w:rsidRPr="00456420" w:rsidRDefault="00695448" w:rsidP="00730DD1">
      <w:pPr>
        <w:tabs>
          <w:tab w:val="left" w:pos="1451"/>
        </w:tabs>
        <w:spacing w:after="0" w:line="360" w:lineRule="auto"/>
        <w:ind w:left="567" w:right="113"/>
        <w:jc w:val="both"/>
        <w:rPr>
          <w:rFonts w:ascii="Times New Roman" w:hAnsi="Times New Roman" w:cs="Times New Roman"/>
          <w:b/>
          <w:bCs/>
        </w:rPr>
      </w:pPr>
      <w:r w:rsidRPr="00456420">
        <w:rPr>
          <w:rFonts w:ascii="Times New Roman" w:hAnsi="Times New Roman" w:cs="Times New Roman"/>
          <w:b/>
          <w:bCs/>
        </w:rPr>
        <w:t xml:space="preserve">  </w:t>
      </w:r>
      <w:r w:rsidR="00571796" w:rsidRPr="00456420">
        <w:rPr>
          <w:rFonts w:ascii="Times New Roman" w:hAnsi="Times New Roman" w:cs="Times New Roman"/>
          <w:b/>
          <w:bCs/>
        </w:rPr>
        <w:t xml:space="preserve">        </w:t>
      </w:r>
      <w:r w:rsidRPr="00456420">
        <w:rPr>
          <w:rFonts w:ascii="Times New Roman" w:hAnsi="Times New Roman" w:cs="Times New Roman"/>
          <w:b/>
          <w:bCs/>
        </w:rPr>
        <w:t xml:space="preserve">    </w:t>
      </w:r>
      <w:r w:rsidRPr="00456420">
        <w:rPr>
          <w:rFonts w:ascii="Times New Roman" w:hAnsi="Times New Roman" w:cs="Times New Roman"/>
          <w:b/>
          <w:bCs/>
          <w:noProof/>
          <w:lang w:eastAsia="en-IN"/>
        </w:rPr>
        <w:drawing>
          <wp:inline distT="0" distB="0" distL="0" distR="0" wp14:anchorId="70411D0C" wp14:editId="4C54F6A4">
            <wp:extent cx="3573780" cy="2394019"/>
            <wp:effectExtent l="0" t="0" r="7620" b="6350"/>
            <wp:docPr id="829215368" name="Picture 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829215368" name="Picture 829215368"/>
                    <pic:cNvPicPr/>
                  </pic:nvPicPr>
                  <pic:blipFill>
                    <a:blip r:embed="rId14">
                      <a:extLst>
                        <a:ext uri="{28A0092B-C50C-407E-A947-70E740481C1C}">
                          <a14:useLocalDpi xmlns:a14="http://schemas.microsoft.com/office/drawing/2010/main" val="0"/>
                        </a:ext>
                      </a:extLst>
                    </a:blip>
                    <a:stretch>
                      <a:fillRect/>
                    </a:stretch>
                  </pic:blipFill>
                  <pic:spPr>
                    <a:xfrm>
                      <a:off x="0" y="0"/>
                      <a:ext cx="3598068" cy="2410289"/>
                    </a:xfrm>
                    <a:prstGeom prst="rect">
                      <a:avLst/>
                    </a:prstGeom>
                  </pic:spPr>
                </pic:pic>
              </a:graphicData>
            </a:graphic>
          </wp:inline>
        </w:drawing>
      </w:r>
    </w:p>
    <w:p w:rsidR="00C8158E" w:rsidRPr="00456420" w:rsidRDefault="00695448" w:rsidP="00C8158E">
      <w:pPr>
        <w:rPr>
          <w:rFonts w:ascii="Arial" w:hAnsi="Arial" w:cs="Arial"/>
          <w:b/>
          <w:bCs/>
          <w:sz w:val="20"/>
          <w:szCs w:val="20"/>
        </w:rPr>
      </w:pPr>
      <w:r w:rsidRPr="00456420">
        <w:rPr>
          <w:rFonts w:ascii="Times New Roman" w:hAnsi="Times New Roman" w:cs="Times New Roman"/>
          <w:b/>
          <w:bCs/>
        </w:rPr>
        <w:t xml:space="preserve">                     </w:t>
      </w:r>
      <w:r w:rsidR="005A2A62" w:rsidRPr="00456420">
        <w:rPr>
          <w:rFonts w:ascii="Times New Roman" w:hAnsi="Times New Roman" w:cs="Times New Roman"/>
          <w:b/>
          <w:bCs/>
        </w:rPr>
        <w:tab/>
      </w:r>
      <w:r w:rsidR="005A2A62" w:rsidRPr="00456420">
        <w:rPr>
          <w:rFonts w:ascii="Times New Roman" w:hAnsi="Times New Roman" w:cs="Times New Roman"/>
          <w:b/>
          <w:bCs/>
        </w:rPr>
        <w:tab/>
      </w:r>
      <w:r w:rsidR="00466EF9" w:rsidRPr="00456420">
        <w:rPr>
          <w:rFonts w:ascii="Arial" w:hAnsi="Arial" w:cs="Arial"/>
          <w:b/>
          <w:bCs/>
          <w:sz w:val="20"/>
          <w:szCs w:val="20"/>
        </w:rPr>
        <w:t xml:space="preserve"> </w:t>
      </w:r>
      <w:r w:rsidRPr="00456420">
        <w:rPr>
          <w:rFonts w:ascii="Arial" w:hAnsi="Arial" w:cs="Arial"/>
          <w:b/>
          <w:bCs/>
          <w:sz w:val="20"/>
          <w:szCs w:val="20"/>
        </w:rPr>
        <w:t>Fig</w:t>
      </w:r>
      <w:r w:rsidR="002C0861" w:rsidRPr="00456420">
        <w:rPr>
          <w:rFonts w:ascii="Arial" w:hAnsi="Arial" w:cs="Arial"/>
          <w:b/>
          <w:bCs/>
          <w:sz w:val="20"/>
          <w:szCs w:val="20"/>
        </w:rPr>
        <w:t>. 5</w:t>
      </w:r>
      <w:r w:rsidRPr="00456420">
        <w:rPr>
          <w:rFonts w:ascii="Arial" w:hAnsi="Arial" w:cs="Arial"/>
          <w:b/>
          <w:bCs/>
          <w:sz w:val="20"/>
          <w:szCs w:val="20"/>
        </w:rPr>
        <w:t>: SEM</w:t>
      </w:r>
      <w:r w:rsidRPr="00456420">
        <w:rPr>
          <w:rFonts w:ascii="Arial" w:hAnsi="Arial" w:cs="Arial"/>
          <w:b/>
          <w:bCs/>
          <w:spacing w:val="-8"/>
          <w:sz w:val="20"/>
          <w:szCs w:val="20"/>
        </w:rPr>
        <w:t xml:space="preserve"> </w:t>
      </w:r>
      <w:r w:rsidRPr="00456420">
        <w:rPr>
          <w:rFonts w:ascii="Arial" w:hAnsi="Arial" w:cs="Arial"/>
          <w:b/>
          <w:bCs/>
          <w:sz w:val="20"/>
          <w:szCs w:val="20"/>
        </w:rPr>
        <w:t>image</w:t>
      </w:r>
      <w:r w:rsidRPr="00456420">
        <w:rPr>
          <w:rFonts w:ascii="Arial" w:hAnsi="Arial" w:cs="Arial"/>
          <w:b/>
          <w:bCs/>
          <w:spacing w:val="-2"/>
          <w:sz w:val="20"/>
          <w:szCs w:val="20"/>
        </w:rPr>
        <w:t xml:space="preserve"> </w:t>
      </w:r>
      <w:r w:rsidRPr="00456420">
        <w:rPr>
          <w:rFonts w:ascii="Arial" w:hAnsi="Arial" w:cs="Arial"/>
          <w:b/>
          <w:bCs/>
          <w:sz w:val="20"/>
          <w:szCs w:val="20"/>
        </w:rPr>
        <w:t>of</w:t>
      </w:r>
      <w:r w:rsidRPr="00456420">
        <w:rPr>
          <w:rFonts w:ascii="Arial" w:hAnsi="Arial" w:cs="Arial"/>
          <w:b/>
          <w:bCs/>
          <w:spacing w:val="-9"/>
          <w:sz w:val="20"/>
          <w:szCs w:val="20"/>
        </w:rPr>
        <w:t xml:space="preserve"> </w:t>
      </w:r>
      <w:r w:rsidRPr="00456420">
        <w:rPr>
          <w:rFonts w:ascii="Arial" w:hAnsi="Arial" w:cs="Arial"/>
          <w:b/>
          <w:bCs/>
          <w:sz w:val="20"/>
          <w:szCs w:val="20"/>
        </w:rPr>
        <w:t>F3 formulation</w:t>
      </w:r>
      <w:r w:rsidRPr="00456420">
        <w:rPr>
          <w:rFonts w:ascii="Arial" w:hAnsi="Arial" w:cs="Arial"/>
          <w:b/>
          <w:bCs/>
          <w:sz w:val="20"/>
          <w:szCs w:val="20"/>
        </w:rPr>
        <w:tab/>
      </w:r>
    </w:p>
    <w:p w:rsidR="000F2DBA" w:rsidRPr="00456420" w:rsidRDefault="0063169A">
      <w:pPr>
        <w:jc w:val="both"/>
      </w:pPr>
      <w:r w:rsidRPr="00456420">
        <w:rPr>
          <w:rFonts w:ascii="Arial" w:hAnsi="Arial"/>
          <w:sz w:val="20"/>
        </w:rPr>
        <w:t xml:space="preserve">SEM provides a qualitative assessment of surface topography and may reveal pores, cracks, drug crystals, or </w:t>
      </w:r>
      <w:r w:rsidRPr="00456420">
        <w:rPr>
          <w:rFonts w:ascii="Arial" w:hAnsi="Arial"/>
          <w:sz w:val="20"/>
        </w:rPr>
        <w:t>heterogeneity that could influence hydration and release. In comparable buccal-film studies, relatively uniform surfaces and few visible defects have been interpreted as evidence of satisfactory dispersion within the polymeric matrix, although SEM should b</w:t>
      </w:r>
      <w:r w:rsidRPr="00456420">
        <w:rPr>
          <w:rFonts w:ascii="Arial" w:hAnsi="Arial"/>
          <w:sz w:val="20"/>
        </w:rPr>
        <w:t>e considered complementary to physicochemical and release data (Kumar et al., 2013; Nair et al., 2021; Salehi &amp; Boddohi, 2017).</w:t>
      </w:r>
    </w:p>
    <w:p w:rsidR="00C366C0" w:rsidRPr="00456420" w:rsidRDefault="002C0861" w:rsidP="00C76023">
      <w:pPr>
        <w:tabs>
          <w:tab w:val="left" w:pos="1451"/>
        </w:tabs>
        <w:spacing w:after="0" w:line="480" w:lineRule="auto"/>
        <w:ind w:left="340" w:right="340"/>
        <w:jc w:val="both"/>
        <w:rPr>
          <w:rFonts w:ascii="Arial" w:hAnsi="Arial" w:cs="Arial"/>
          <w:sz w:val="20"/>
          <w:szCs w:val="20"/>
          <w:u w:val="single"/>
        </w:rPr>
      </w:pPr>
      <w:r w:rsidRPr="00456420">
        <w:rPr>
          <w:rFonts w:ascii="Arial" w:hAnsi="Arial" w:cs="Arial"/>
          <w:b/>
          <w:bCs/>
          <w:sz w:val="20"/>
          <w:szCs w:val="20"/>
          <w:u w:val="single"/>
        </w:rPr>
        <w:t xml:space="preserve">3.2.14 </w:t>
      </w:r>
      <w:r w:rsidR="004F6C69" w:rsidRPr="00456420">
        <w:rPr>
          <w:rFonts w:ascii="Arial" w:hAnsi="Arial" w:cs="Arial"/>
          <w:b/>
          <w:bCs/>
          <w:sz w:val="20"/>
          <w:szCs w:val="20"/>
          <w:u w:val="single"/>
        </w:rPr>
        <w:t>Stability Studies of F3</w:t>
      </w:r>
    </w:p>
    <w:p w:rsidR="00C366C0" w:rsidRPr="00456420" w:rsidRDefault="00C366C0" w:rsidP="00C76023">
      <w:pPr>
        <w:tabs>
          <w:tab w:val="left" w:pos="1451"/>
        </w:tabs>
        <w:spacing w:after="0" w:line="480" w:lineRule="auto"/>
        <w:ind w:left="340" w:right="340"/>
        <w:jc w:val="both"/>
        <w:rPr>
          <w:rFonts w:ascii="Arial" w:hAnsi="Arial" w:cs="Arial"/>
          <w:b/>
          <w:bCs/>
          <w:sz w:val="20"/>
          <w:szCs w:val="20"/>
        </w:rPr>
      </w:pPr>
      <w:r w:rsidRPr="00456420">
        <w:rPr>
          <w:rFonts w:ascii="Arial" w:hAnsi="Arial" w:cs="Arial"/>
          <w:sz w:val="20"/>
          <w:szCs w:val="20"/>
        </w:rPr>
        <w:t>Formulation F3 was subjected to stability studies in accordance with ICH guidelines, and the results are shown in Table 8.</w:t>
      </w:r>
    </w:p>
    <w:p w:rsidR="00C366C0" w:rsidRPr="00456420" w:rsidRDefault="00C366C0" w:rsidP="00C76023">
      <w:pPr>
        <w:tabs>
          <w:tab w:val="left" w:pos="1451"/>
        </w:tabs>
        <w:spacing w:after="0" w:line="480" w:lineRule="auto"/>
        <w:ind w:left="340" w:right="340"/>
        <w:jc w:val="both"/>
        <w:rPr>
          <w:rFonts w:ascii="Arial" w:hAnsi="Arial" w:cs="Arial"/>
          <w:b/>
          <w:bCs/>
          <w:sz w:val="20"/>
          <w:szCs w:val="20"/>
        </w:rPr>
      </w:pPr>
      <w:r w:rsidRPr="00456420">
        <w:rPr>
          <w:rFonts w:ascii="Arial" w:hAnsi="Arial" w:cs="Arial"/>
          <w:b/>
          <w:bCs/>
          <w:sz w:val="20"/>
          <w:szCs w:val="20"/>
        </w:rPr>
        <w:t xml:space="preserve">Table </w:t>
      </w:r>
      <w:r w:rsidR="00B743E1" w:rsidRPr="00456420">
        <w:rPr>
          <w:rFonts w:ascii="Arial" w:hAnsi="Arial" w:cs="Arial"/>
          <w:b/>
          <w:bCs/>
          <w:sz w:val="20"/>
          <w:szCs w:val="20"/>
        </w:rPr>
        <w:t>8</w:t>
      </w:r>
      <w:r w:rsidRPr="00456420">
        <w:rPr>
          <w:rFonts w:ascii="Arial" w:hAnsi="Arial" w:cs="Arial"/>
          <w:b/>
          <w:bCs/>
          <w:sz w:val="20"/>
          <w:szCs w:val="20"/>
        </w:rPr>
        <w:t>: Stability studies of F3</w:t>
      </w:r>
    </w:p>
    <w:tbl>
      <w:tblPr>
        <w:tblStyle w:val="PlainTable2"/>
        <w:tblW w:w="8052" w:type="dxa"/>
        <w:tblInd w:w="284" w:type="dxa"/>
        <w:tblLook w:val="04A0" w:firstRow="1" w:lastRow="0" w:firstColumn="1" w:lastColumn="0" w:noHBand="0" w:noVBand="1"/>
      </w:tblPr>
      <w:tblGrid>
        <w:gridCol w:w="1341"/>
        <w:gridCol w:w="1046"/>
        <w:gridCol w:w="1201"/>
        <w:gridCol w:w="852"/>
        <w:gridCol w:w="1260"/>
        <w:gridCol w:w="1030"/>
        <w:gridCol w:w="1322"/>
      </w:tblGrid>
      <w:tr w:rsidR="00C366C0" w:rsidRPr="00456420" w:rsidTr="00AB3586">
        <w:trPr>
          <w:cnfStyle w:val="100000000000" w:firstRow="1" w:lastRow="0" w:firstColumn="0" w:lastColumn="0" w:oddVBand="0" w:evenVBand="0" w:oddHBand="0"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341" w:type="dxa"/>
            <w:vMerge w:val="restart"/>
            <w:vAlign w:val="center"/>
          </w:tcPr>
          <w:p w:rsidR="00C366C0" w:rsidRPr="00456420" w:rsidRDefault="00C366C0" w:rsidP="00AB3586">
            <w:pPr>
              <w:tabs>
                <w:tab w:val="left" w:pos="1451"/>
              </w:tabs>
              <w:spacing w:line="360" w:lineRule="auto"/>
              <w:ind w:right="113"/>
              <w:jc w:val="center"/>
              <w:rPr>
                <w:rFonts w:ascii="Arial" w:hAnsi="Arial" w:cs="Arial"/>
                <w:b w:val="0"/>
                <w:bCs w:val="0"/>
                <w:sz w:val="20"/>
                <w:szCs w:val="20"/>
              </w:rPr>
            </w:pPr>
            <w:r w:rsidRPr="00456420">
              <w:rPr>
                <w:rFonts w:ascii="Arial" w:hAnsi="Arial" w:cs="Arial"/>
                <w:sz w:val="20"/>
                <w:szCs w:val="20"/>
              </w:rPr>
              <w:t>Stability conditions (F3)</w:t>
            </w:r>
          </w:p>
        </w:tc>
        <w:tc>
          <w:tcPr>
            <w:tcW w:w="2270" w:type="dxa"/>
            <w:gridSpan w:val="2"/>
            <w:vAlign w:val="center"/>
          </w:tcPr>
          <w:p w:rsidR="00C366C0" w:rsidRPr="00456420"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Physical Appearance</w:t>
            </w:r>
          </w:p>
        </w:tc>
        <w:tc>
          <w:tcPr>
            <w:tcW w:w="2061" w:type="dxa"/>
            <w:gridSpan w:val="2"/>
            <w:vAlign w:val="center"/>
          </w:tcPr>
          <w:p w:rsidR="00C366C0" w:rsidRPr="00456420"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Thickness (mm)</w:t>
            </w:r>
          </w:p>
        </w:tc>
        <w:tc>
          <w:tcPr>
            <w:tcW w:w="2380" w:type="dxa"/>
            <w:gridSpan w:val="2"/>
            <w:vAlign w:val="center"/>
          </w:tcPr>
          <w:p w:rsidR="00C366C0" w:rsidRPr="00456420" w:rsidRDefault="00C366C0" w:rsidP="00AB3586">
            <w:pPr>
              <w:tabs>
                <w:tab w:val="left" w:pos="1451"/>
              </w:tabs>
              <w:spacing w:line="360" w:lineRule="auto"/>
              <w:ind w:right="113"/>
              <w:jc w:val="center"/>
              <w:cnfStyle w:val="100000000000" w:firstRow="1" w:lastRow="0" w:firstColumn="0" w:lastColumn="0" w:oddVBand="0" w:evenVBand="0" w:oddHBand="0" w:evenHBand="0" w:firstRowFirstColumn="0" w:firstRowLastColumn="0" w:lastRowFirstColumn="0" w:lastRowLastColumn="0"/>
              <w:rPr>
                <w:rFonts w:ascii="Arial" w:hAnsi="Arial" w:cs="Arial"/>
                <w:b w:val="0"/>
                <w:bCs w:val="0"/>
                <w:sz w:val="20"/>
                <w:szCs w:val="20"/>
              </w:rPr>
            </w:pPr>
            <w:r w:rsidRPr="00456420">
              <w:rPr>
                <w:rFonts w:ascii="Arial" w:hAnsi="Arial" w:cs="Arial"/>
                <w:sz w:val="20"/>
                <w:szCs w:val="20"/>
              </w:rPr>
              <w:t>Drug content (%)</w:t>
            </w:r>
          </w:p>
        </w:tc>
      </w:tr>
      <w:tr w:rsidR="00C366C0" w:rsidRPr="00456420" w:rsidTr="00AB3586">
        <w:trPr>
          <w:cnfStyle w:val="000000100000" w:firstRow="0" w:lastRow="0" w:firstColumn="0" w:lastColumn="0" w:oddVBand="0" w:evenVBand="0" w:oddHBand="1" w:evenHBand="0" w:firstRowFirstColumn="0" w:firstRowLastColumn="0" w:lastRowFirstColumn="0" w:lastRowLastColumn="0"/>
          <w:trHeight w:val="177"/>
        </w:trPr>
        <w:tc>
          <w:tcPr>
            <w:cnfStyle w:val="001000000000" w:firstRow="0" w:lastRow="0" w:firstColumn="1" w:lastColumn="0" w:oddVBand="0" w:evenVBand="0" w:oddHBand="0" w:evenHBand="0" w:firstRowFirstColumn="0" w:firstRowLastColumn="0" w:lastRowFirstColumn="0" w:lastRowLastColumn="0"/>
            <w:tcW w:w="1341" w:type="dxa"/>
            <w:vMerge/>
            <w:vAlign w:val="center"/>
          </w:tcPr>
          <w:p w:rsidR="00C366C0" w:rsidRPr="00456420" w:rsidRDefault="00C366C0" w:rsidP="00AB3586">
            <w:pPr>
              <w:tabs>
                <w:tab w:val="left" w:pos="1451"/>
              </w:tabs>
              <w:spacing w:line="360" w:lineRule="auto"/>
              <w:ind w:right="113"/>
              <w:jc w:val="center"/>
              <w:rPr>
                <w:rFonts w:ascii="Arial" w:hAnsi="Arial" w:cs="Arial"/>
                <w:b w:val="0"/>
                <w:bCs w:val="0"/>
                <w:sz w:val="20"/>
                <w:szCs w:val="20"/>
              </w:rPr>
            </w:pPr>
          </w:p>
        </w:tc>
        <w:tc>
          <w:tcPr>
            <w:tcW w:w="1054"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Initial</w:t>
            </w:r>
          </w:p>
        </w:tc>
        <w:tc>
          <w:tcPr>
            <w:tcW w:w="1216"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Final</w:t>
            </w:r>
          </w:p>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(30 days)</w:t>
            </w:r>
          </w:p>
        </w:tc>
        <w:tc>
          <w:tcPr>
            <w:tcW w:w="783"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Initial</w:t>
            </w:r>
          </w:p>
        </w:tc>
        <w:tc>
          <w:tcPr>
            <w:tcW w:w="1278"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Final</w:t>
            </w:r>
          </w:p>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(30 days)</w:t>
            </w:r>
          </w:p>
        </w:tc>
        <w:tc>
          <w:tcPr>
            <w:tcW w:w="1038"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Initial</w:t>
            </w:r>
          </w:p>
        </w:tc>
        <w:tc>
          <w:tcPr>
            <w:tcW w:w="1342" w:type="dxa"/>
            <w:vAlign w:val="center"/>
          </w:tcPr>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Final</w:t>
            </w:r>
          </w:p>
          <w:p w:rsidR="00C366C0" w:rsidRPr="00456420" w:rsidRDefault="00C366C0" w:rsidP="00AB3586">
            <w:pPr>
              <w:tabs>
                <w:tab w:val="left" w:pos="1451"/>
              </w:tabs>
              <w:spacing w:line="360" w:lineRule="auto"/>
              <w:ind w:right="113"/>
              <w:jc w:val="center"/>
              <w:cnfStyle w:val="000000100000" w:firstRow="0" w:lastRow="0" w:firstColumn="0" w:lastColumn="0" w:oddVBand="0" w:evenVBand="0" w:oddHBand="1" w:evenHBand="0" w:firstRowFirstColumn="0" w:firstRowLastColumn="0" w:lastRowFirstColumn="0" w:lastRowLastColumn="0"/>
              <w:rPr>
                <w:rFonts w:ascii="Arial" w:hAnsi="Arial" w:cs="Arial"/>
                <w:b/>
                <w:bCs/>
                <w:sz w:val="20"/>
                <w:szCs w:val="20"/>
              </w:rPr>
            </w:pPr>
            <w:r w:rsidRPr="00456420">
              <w:rPr>
                <w:rFonts w:ascii="Arial" w:hAnsi="Arial" w:cs="Arial"/>
                <w:b/>
                <w:bCs/>
                <w:sz w:val="20"/>
                <w:szCs w:val="20"/>
              </w:rPr>
              <w:t>(30 days)</w:t>
            </w:r>
          </w:p>
        </w:tc>
      </w:tr>
      <w:tr w:rsidR="00C366C0" w:rsidRPr="00456420" w:rsidTr="00AB3586">
        <w:trPr>
          <w:trHeight w:val="177"/>
        </w:trPr>
        <w:tc>
          <w:tcPr>
            <w:cnfStyle w:val="001000000000" w:firstRow="0" w:lastRow="0" w:firstColumn="1" w:lastColumn="0" w:oddVBand="0" w:evenVBand="0" w:oddHBand="0" w:evenHBand="0" w:firstRowFirstColumn="0" w:firstRowLastColumn="0" w:lastRowFirstColumn="0" w:lastRowLastColumn="0"/>
            <w:tcW w:w="1341" w:type="dxa"/>
            <w:vAlign w:val="center"/>
          </w:tcPr>
          <w:p w:rsidR="00C366C0" w:rsidRPr="00456420" w:rsidRDefault="00C366C0" w:rsidP="00AB3586">
            <w:pPr>
              <w:tabs>
                <w:tab w:val="left" w:pos="1451"/>
              </w:tabs>
              <w:spacing w:line="360" w:lineRule="auto"/>
              <w:ind w:right="113"/>
              <w:jc w:val="center"/>
              <w:rPr>
                <w:rFonts w:ascii="Arial" w:hAnsi="Arial" w:cs="Arial"/>
                <w:b w:val="0"/>
                <w:bCs w:val="0"/>
                <w:sz w:val="20"/>
                <w:szCs w:val="20"/>
              </w:rPr>
            </w:pPr>
            <w:r w:rsidRPr="00456420">
              <w:rPr>
                <w:rFonts w:ascii="Arial" w:hAnsi="Arial" w:cs="Arial"/>
                <w:b w:val="0"/>
                <w:bCs w:val="0"/>
                <w:sz w:val="20"/>
                <w:szCs w:val="20"/>
              </w:rPr>
              <w:t>At room temp.</w:t>
            </w:r>
          </w:p>
        </w:tc>
        <w:tc>
          <w:tcPr>
            <w:tcW w:w="1054"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NC</w:t>
            </w:r>
          </w:p>
        </w:tc>
        <w:tc>
          <w:tcPr>
            <w:tcW w:w="1216"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NC</w:t>
            </w:r>
          </w:p>
        </w:tc>
        <w:tc>
          <w:tcPr>
            <w:tcW w:w="783"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0.14</w:t>
            </w:r>
          </w:p>
        </w:tc>
        <w:tc>
          <w:tcPr>
            <w:tcW w:w="1278"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0.14</w:t>
            </w:r>
          </w:p>
        </w:tc>
        <w:tc>
          <w:tcPr>
            <w:tcW w:w="1038"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98.26</w:t>
            </w:r>
          </w:p>
        </w:tc>
        <w:tc>
          <w:tcPr>
            <w:tcW w:w="1342" w:type="dxa"/>
            <w:vAlign w:val="center"/>
          </w:tcPr>
          <w:p w:rsidR="00C366C0" w:rsidRPr="00456420" w:rsidRDefault="00C366C0" w:rsidP="00AB3586">
            <w:pPr>
              <w:tabs>
                <w:tab w:val="left" w:pos="1451"/>
              </w:tabs>
              <w:spacing w:line="360" w:lineRule="auto"/>
              <w:ind w:right="113"/>
              <w:jc w:val="center"/>
              <w:cnfStyle w:val="000000000000" w:firstRow="0" w:lastRow="0" w:firstColumn="0" w:lastColumn="0" w:oddVBand="0" w:evenVBand="0" w:oddHBand="0" w:evenHBand="0" w:firstRowFirstColumn="0" w:firstRowLastColumn="0" w:lastRowFirstColumn="0" w:lastRowLastColumn="0"/>
              <w:rPr>
                <w:rFonts w:ascii="Arial" w:hAnsi="Arial" w:cs="Arial"/>
                <w:sz w:val="20"/>
                <w:szCs w:val="20"/>
              </w:rPr>
            </w:pPr>
            <w:r w:rsidRPr="00456420">
              <w:rPr>
                <w:rFonts w:ascii="Arial" w:hAnsi="Arial" w:cs="Arial"/>
                <w:sz w:val="20"/>
                <w:szCs w:val="20"/>
              </w:rPr>
              <w:t>97.52</w:t>
            </w:r>
          </w:p>
        </w:tc>
      </w:tr>
    </w:tbl>
    <w:p w:rsidR="004F6C69" w:rsidRPr="00456420" w:rsidRDefault="004F6C69" w:rsidP="004F6C69">
      <w:pPr>
        <w:pStyle w:val="BodyText"/>
        <w:spacing w:line="360" w:lineRule="auto"/>
      </w:pPr>
    </w:p>
    <w:p w:rsidR="00C366C0" w:rsidRPr="00456420" w:rsidRDefault="00C366C0" w:rsidP="00C76023">
      <w:pPr>
        <w:pStyle w:val="BodyText"/>
        <w:spacing w:line="480" w:lineRule="auto"/>
        <w:ind w:left="340" w:right="340"/>
        <w:rPr>
          <w:rFonts w:ascii="Arial" w:hAnsi="Arial" w:cs="Arial"/>
          <w:b/>
          <w:bCs/>
          <w:spacing w:val="-2"/>
          <w:sz w:val="20"/>
          <w:szCs w:val="20"/>
        </w:rPr>
      </w:pPr>
      <w:r w:rsidRPr="00456420">
        <w:rPr>
          <w:rFonts w:ascii="Arial" w:hAnsi="Arial" w:cs="Arial"/>
          <w:b/>
          <w:bCs/>
          <w:sz w:val="20"/>
          <w:szCs w:val="20"/>
        </w:rPr>
        <w:t>*NC-No</w:t>
      </w:r>
      <w:r w:rsidRPr="00456420">
        <w:rPr>
          <w:rFonts w:ascii="Arial" w:hAnsi="Arial" w:cs="Arial"/>
          <w:b/>
          <w:bCs/>
          <w:spacing w:val="-13"/>
          <w:sz w:val="20"/>
          <w:szCs w:val="20"/>
        </w:rPr>
        <w:t xml:space="preserve"> </w:t>
      </w:r>
      <w:r w:rsidRPr="00456420">
        <w:rPr>
          <w:rFonts w:ascii="Arial" w:hAnsi="Arial" w:cs="Arial"/>
          <w:b/>
          <w:bCs/>
          <w:spacing w:val="-2"/>
          <w:sz w:val="20"/>
          <w:szCs w:val="20"/>
        </w:rPr>
        <w:t>change</w:t>
      </w:r>
    </w:p>
    <w:p w:rsidR="007F14E7" w:rsidRPr="00456420" w:rsidRDefault="007F14E7" w:rsidP="00C76023">
      <w:pPr>
        <w:pStyle w:val="BodyText"/>
        <w:spacing w:line="480" w:lineRule="auto"/>
        <w:ind w:left="340" w:right="340"/>
        <w:rPr>
          <w:rFonts w:ascii="Arial" w:hAnsi="Arial" w:cs="Arial"/>
          <w:b/>
          <w:bCs/>
          <w:sz w:val="20"/>
          <w:szCs w:val="20"/>
        </w:rPr>
      </w:pPr>
    </w:p>
    <w:p w:rsidR="007F14E7" w:rsidRPr="00456420" w:rsidRDefault="007F14E7" w:rsidP="00C76023">
      <w:pPr>
        <w:pStyle w:val="BodyText"/>
        <w:spacing w:line="480" w:lineRule="auto"/>
        <w:ind w:left="340" w:right="340"/>
        <w:rPr>
          <w:rFonts w:ascii="Arial" w:hAnsi="Arial" w:cs="Arial"/>
          <w:b/>
          <w:bCs/>
          <w:sz w:val="20"/>
          <w:szCs w:val="20"/>
        </w:rPr>
      </w:pPr>
    </w:p>
    <w:p w:rsidR="007F14E7" w:rsidRPr="00456420" w:rsidRDefault="007F14E7" w:rsidP="00C76023">
      <w:pPr>
        <w:pStyle w:val="BodyText"/>
        <w:spacing w:line="480" w:lineRule="auto"/>
        <w:ind w:left="340" w:right="340"/>
        <w:rPr>
          <w:rFonts w:ascii="Arial" w:hAnsi="Arial" w:cs="Arial"/>
          <w:b/>
          <w:bCs/>
          <w:sz w:val="20"/>
          <w:szCs w:val="20"/>
        </w:rPr>
      </w:pPr>
    </w:p>
    <w:p w:rsidR="000F2DBA" w:rsidRPr="00456420" w:rsidRDefault="0063169A">
      <w:pPr>
        <w:jc w:val="both"/>
      </w:pPr>
      <w:r w:rsidRPr="00456420">
        <w:rPr>
          <w:rFonts w:ascii="Arial" w:hAnsi="Arial"/>
          <w:sz w:val="20"/>
        </w:rPr>
        <w:t>The absence of visible changes and the small reduction in drug content from 98.26% to 97.52% over 30 days suggest short-term physical and chemical stability under the room-temperature conditions tested. However, this finding is preliminary</w:t>
      </w:r>
      <w:r w:rsidRPr="00456420">
        <w:rPr>
          <w:rFonts w:ascii="Arial" w:hAnsi="Arial"/>
          <w:sz w:val="20"/>
        </w:rPr>
        <w:t xml:space="preserve"> because a 30-day study cannot replace longer-term, </w:t>
      </w:r>
      <w:r w:rsidRPr="00456420">
        <w:rPr>
          <w:rFonts w:ascii="Arial" w:hAnsi="Arial"/>
          <w:sz w:val="20"/>
        </w:rPr>
        <w:t>controlled stability testing under defined temperature and humidity conditions. Extended studies are required to establish shelf life and packaging requirements (Adhikari et al., 2010; Kumar et al., 2013; Vasantha et al., 2011)</w:t>
      </w:r>
      <w:r w:rsidRPr="00456420">
        <w:rPr>
          <w:rFonts w:ascii="Arial" w:hAnsi="Arial"/>
          <w:sz w:val="20"/>
        </w:rPr>
        <w:t>.</w:t>
      </w:r>
    </w:p>
    <w:p w:rsidR="001164AE" w:rsidRPr="00456420" w:rsidRDefault="007F14E7" w:rsidP="00AB3586">
      <w:pPr>
        <w:pStyle w:val="BodyText"/>
        <w:spacing w:line="480" w:lineRule="auto"/>
        <w:ind w:left="340" w:right="340"/>
        <w:jc w:val="both"/>
        <w:rPr>
          <w:rFonts w:ascii="Arial" w:hAnsi="Arial" w:cs="Arial"/>
          <w:b/>
          <w:bCs/>
          <w:sz w:val="22"/>
          <w:szCs w:val="22"/>
        </w:rPr>
      </w:pPr>
      <w:r w:rsidRPr="00456420">
        <w:rPr>
          <w:rFonts w:ascii="Arial" w:hAnsi="Arial" w:cs="Arial"/>
          <w:b/>
          <w:bCs/>
          <w:sz w:val="22"/>
          <w:szCs w:val="22"/>
        </w:rPr>
        <w:t xml:space="preserve">4. </w:t>
      </w:r>
      <w:r w:rsidR="00712E48" w:rsidRPr="00456420">
        <w:rPr>
          <w:rFonts w:ascii="Arial" w:hAnsi="Arial" w:cs="Arial"/>
          <w:b/>
          <w:bCs/>
          <w:sz w:val="22"/>
          <w:szCs w:val="22"/>
        </w:rPr>
        <w:t>CONCLUSION</w:t>
      </w:r>
    </w:p>
    <w:p w:rsidR="004E18DE" w:rsidRPr="00456420" w:rsidRDefault="00A56795" w:rsidP="00AB3586">
      <w:pPr>
        <w:pStyle w:val="BodyText"/>
        <w:spacing w:line="480" w:lineRule="auto"/>
        <w:ind w:left="340" w:right="340"/>
        <w:jc w:val="both"/>
        <w:rPr>
          <w:rFonts w:ascii="Arial" w:hAnsi="Arial" w:cs="Arial"/>
          <w:sz w:val="20"/>
          <w:szCs w:val="20"/>
          <w:lang w:val="en-IN"/>
        </w:rPr>
      </w:pPr>
      <w:r w:rsidRPr="00456420">
        <w:rPr>
          <w:rFonts w:ascii="Arial" w:hAnsi="Arial" w:cs="Arial"/>
          <w:sz w:val="20"/>
          <w:szCs w:val="20"/>
          <w:lang w:val="en-IN"/>
        </w:rPr>
        <w:t>The present study aimed to formulate and evaluate mucoadhesive buccal patches containing clomipramine HCl for sustained drug delivery. Preformulation studies characterised the physicochemical properties of the drug and its suitability for formulation. FTIR analysis indicated no significant interaction between the drug and the selected excipients.</w:t>
      </w:r>
    </w:p>
    <w:p w:rsidR="00A56795" w:rsidRPr="00456420" w:rsidRDefault="00D921E6" w:rsidP="00AB3586">
      <w:pPr>
        <w:pStyle w:val="BodyText"/>
        <w:spacing w:line="480" w:lineRule="auto"/>
        <w:ind w:left="340" w:right="340"/>
        <w:jc w:val="both"/>
        <w:rPr>
          <w:rFonts w:ascii="Arial" w:hAnsi="Arial" w:cs="Arial"/>
          <w:sz w:val="20"/>
          <w:szCs w:val="20"/>
          <w:lang w:val="en-IN"/>
        </w:rPr>
      </w:pPr>
      <w:r w:rsidRPr="00456420">
        <w:rPr>
          <w:rFonts w:ascii="Arial" w:hAnsi="Arial" w:cs="Arial"/>
          <w:sz w:val="20"/>
          <w:szCs w:val="20"/>
          <w:lang w:val="en-IN"/>
        </w:rPr>
        <w:t>The UV method showed maximum absorbance at 254 nm and good linearity (R² = 0.9996). Six patch formulations (F1–F6) were prepared by solvent casting using HPMC E15 and Carbopol 940. The patches exhibited smooth, homogeneous surfaces, good flexibility, and surface pH values suitable for further buccal evaluation. Drug content ranged from 89.14% to 98.26%, with F3 exhibiting the highest value. All formulations showed 100% flatness, while swelling indices ranged from 458.36% to 627.75%. F3 had a swelling index of 537.13% and achieved cumulative drug release of 82.52% after 6 hours. The optimised F3 formulation contained 15 mg clomipramine HCl, 750 mg HPMC E15, and 250 mg Carbopol 940. It showed a thickness of 0.14 mm, a surface pH of 6.52, and folding endurance exceeding 300 folds. Drug release increased gradually over 6 hours, indicating a sustained-release profile. Of the tested kinetic models, the Higuchi model provided the best fit (R² = 0.9894). After 30 days at room temperature, F3 showed no visible change in appearance or recorded change in thickness, with drug content decreasing to 97.52%. Overall, F3 was selected as the optimised formulation based on its physicochemical characteristics and drug-release performance.</w:t>
      </w:r>
    </w:p>
    <w:p w:rsidR="00640689" w:rsidRPr="00456420" w:rsidRDefault="001C7F34" w:rsidP="00AB3586">
      <w:pPr>
        <w:pStyle w:val="BodyText"/>
        <w:spacing w:line="480" w:lineRule="auto"/>
        <w:ind w:left="340" w:right="340"/>
        <w:jc w:val="both"/>
        <w:rPr>
          <w:rFonts w:ascii="Arial" w:hAnsi="Arial" w:cs="Arial"/>
          <w:b/>
          <w:bCs/>
          <w:sz w:val="20"/>
          <w:szCs w:val="20"/>
          <w:lang w:val="en-IN"/>
        </w:rPr>
      </w:pPr>
      <w:r w:rsidRPr="00456420">
        <w:rPr>
          <w:rFonts w:ascii="Arial" w:hAnsi="Arial" w:cs="Arial"/>
          <w:b/>
          <w:bCs/>
          <w:sz w:val="20"/>
          <w:szCs w:val="20"/>
          <w:lang w:val="en-IN"/>
        </w:rPr>
        <w:t>Future Scope</w:t>
      </w:r>
    </w:p>
    <w:p w:rsidR="0007350D" w:rsidRPr="00456420" w:rsidRDefault="0007350D" w:rsidP="00AB3586">
      <w:pPr>
        <w:pStyle w:val="BodyText"/>
        <w:numPr>
          <w:ilvl w:val="0"/>
          <w:numId w:val="3"/>
        </w:numPr>
        <w:spacing w:line="480" w:lineRule="auto"/>
        <w:ind w:left="700" w:right="340"/>
        <w:jc w:val="both"/>
        <w:rPr>
          <w:rFonts w:ascii="Arial" w:hAnsi="Arial" w:cs="Arial"/>
          <w:sz w:val="20"/>
          <w:szCs w:val="20"/>
        </w:rPr>
      </w:pPr>
      <w:r w:rsidRPr="00456420">
        <w:rPr>
          <w:rFonts w:ascii="Arial" w:hAnsi="Arial" w:cs="Arial"/>
          <w:sz w:val="20"/>
          <w:szCs w:val="20"/>
        </w:rPr>
        <w:t>Ex vivo permeation studies could be conducted.</w:t>
      </w:r>
    </w:p>
    <w:p w:rsidR="001643CA" w:rsidRPr="00456420" w:rsidRDefault="0007350D" w:rsidP="00AB3586">
      <w:pPr>
        <w:pStyle w:val="BodyText"/>
        <w:numPr>
          <w:ilvl w:val="0"/>
          <w:numId w:val="3"/>
        </w:numPr>
        <w:spacing w:line="480" w:lineRule="auto"/>
        <w:ind w:left="700" w:right="340"/>
        <w:jc w:val="both"/>
        <w:rPr>
          <w:rFonts w:ascii="Arial" w:hAnsi="Arial" w:cs="Arial"/>
          <w:sz w:val="20"/>
          <w:szCs w:val="20"/>
        </w:rPr>
      </w:pPr>
      <w:r w:rsidRPr="00456420">
        <w:rPr>
          <w:rFonts w:ascii="Arial" w:hAnsi="Arial" w:cs="Arial"/>
          <w:sz w:val="20"/>
          <w:szCs w:val="20"/>
        </w:rPr>
        <w:t>In vivo evaluation is required.</w:t>
      </w:r>
    </w:p>
    <w:p w:rsidR="00707349" w:rsidRPr="00456420" w:rsidRDefault="001643CA" w:rsidP="00D00D84">
      <w:pPr>
        <w:pStyle w:val="BodyText"/>
        <w:numPr>
          <w:ilvl w:val="0"/>
          <w:numId w:val="3"/>
        </w:numPr>
        <w:spacing w:line="480" w:lineRule="auto"/>
        <w:ind w:left="700" w:right="340"/>
        <w:jc w:val="both"/>
        <w:rPr>
          <w:rFonts w:ascii="Arial" w:hAnsi="Arial" w:cs="Arial"/>
          <w:sz w:val="20"/>
          <w:szCs w:val="20"/>
        </w:rPr>
      </w:pPr>
      <w:r w:rsidRPr="00456420">
        <w:rPr>
          <w:rFonts w:ascii="Arial" w:hAnsi="Arial" w:cs="Arial"/>
          <w:sz w:val="20"/>
          <w:szCs w:val="20"/>
        </w:rPr>
        <w:t>Long-term stability studies are required.</w:t>
      </w:r>
    </w:p>
    <w:p w:rsidR="00456420" w:rsidRPr="00456420" w:rsidRDefault="00456420" w:rsidP="00456420">
      <w:pPr>
        <w:pStyle w:val="BodyText"/>
        <w:spacing w:line="480" w:lineRule="auto"/>
        <w:ind w:right="340"/>
        <w:jc w:val="both"/>
        <w:rPr>
          <w:rFonts w:ascii="Arial" w:hAnsi="Arial" w:cs="Arial"/>
          <w:b/>
          <w:sz w:val="20"/>
          <w:szCs w:val="20"/>
        </w:rPr>
      </w:pPr>
      <w:r w:rsidRPr="00456420">
        <w:rPr>
          <w:rFonts w:ascii="Arial" w:hAnsi="Arial" w:cs="Arial"/>
          <w:b/>
          <w:sz w:val="20"/>
          <w:szCs w:val="20"/>
        </w:rPr>
        <w:t>Limitations</w:t>
      </w:r>
    </w:p>
    <w:p w:rsidR="00456420" w:rsidRPr="00456420" w:rsidRDefault="00456420" w:rsidP="00456420">
      <w:pPr>
        <w:pStyle w:val="NormalWeb"/>
        <w:jc w:val="both"/>
      </w:pPr>
      <w:r w:rsidRPr="00456420">
        <w:t xml:space="preserve">The findings are based on physicochemical characterisation and in vitro release testing of the prepared patches. Buccal-mucosal permeation, direct mucoadhesive strength, residence time, and in vivo performance were not established in the reported study. Stability observations were limited to 30 days at room temperature and therefore do not determine long-term shelf life. The </w:t>
      </w:r>
      <w:r w:rsidRPr="00456420">
        <w:lastRenderedPageBreak/>
        <w:t>different F3 thickness values reported in the manuscript and the discrepancy in its two-hour release values require verification against the original records before the findings are finalised.</w:t>
      </w:r>
    </w:p>
    <w:p w:rsidR="00456420" w:rsidRPr="00456420" w:rsidRDefault="00456420" w:rsidP="00456420">
      <w:pPr>
        <w:pStyle w:val="BodyText"/>
        <w:spacing w:line="480" w:lineRule="auto"/>
        <w:ind w:right="340"/>
        <w:jc w:val="both"/>
        <w:rPr>
          <w:rFonts w:ascii="Arial" w:hAnsi="Arial" w:cs="Arial"/>
          <w:sz w:val="20"/>
          <w:szCs w:val="20"/>
        </w:rPr>
      </w:pPr>
    </w:p>
    <w:p w:rsidR="004B117D" w:rsidRPr="00456420" w:rsidRDefault="004B117D" w:rsidP="009171DE">
      <w:pPr>
        <w:keepNext/>
        <w:pBdr>
          <w:top w:val="nil"/>
          <w:left w:val="nil"/>
          <w:bottom w:val="nil"/>
          <w:right w:val="nil"/>
          <w:between w:val="nil"/>
        </w:pBdr>
        <w:spacing w:before="200" w:after="100" w:line="480" w:lineRule="auto"/>
        <w:ind w:left="360"/>
        <w:rPr>
          <w:rFonts w:ascii="Arial" w:eastAsia="Arial" w:hAnsi="Arial" w:cs="Arial"/>
          <w:b/>
          <w:smallCaps/>
          <w:color w:val="000000"/>
          <w:sz w:val="22"/>
          <w:szCs w:val="22"/>
        </w:rPr>
      </w:pPr>
      <w:r w:rsidRPr="00456420">
        <w:rPr>
          <w:rFonts w:ascii="Arial" w:eastAsia="Arial" w:hAnsi="Arial" w:cs="Arial"/>
          <w:b/>
          <w:smallCaps/>
          <w:color w:val="000000"/>
          <w:sz w:val="22"/>
          <w:szCs w:val="22"/>
        </w:rPr>
        <w:t xml:space="preserve">COMPETING INTERESTS  </w:t>
      </w:r>
    </w:p>
    <w:p w:rsidR="004B117D" w:rsidRPr="00456420" w:rsidRDefault="004B117D" w:rsidP="009171DE">
      <w:pPr>
        <w:pBdr>
          <w:top w:val="nil"/>
          <w:left w:val="nil"/>
          <w:bottom w:val="nil"/>
          <w:right w:val="nil"/>
          <w:between w:val="nil"/>
        </w:pBdr>
        <w:spacing w:after="120" w:line="480" w:lineRule="auto"/>
        <w:ind w:left="360"/>
        <w:jc w:val="both"/>
        <w:rPr>
          <w:rFonts w:ascii="Arial" w:eastAsia="Arial" w:hAnsi="Arial" w:cs="Arial"/>
          <w:color w:val="000000"/>
          <w:sz w:val="20"/>
          <w:szCs w:val="20"/>
        </w:rPr>
      </w:pPr>
      <w:r w:rsidRPr="00456420">
        <w:rPr>
          <w:rFonts w:ascii="Arial" w:eastAsia="Arial" w:hAnsi="Arial" w:cs="Arial"/>
          <w:color w:val="000000"/>
          <w:sz w:val="20"/>
          <w:szCs w:val="20"/>
        </w:rPr>
        <w:t>Authors have declared that no competing interests exist.</w:t>
      </w:r>
    </w:p>
    <w:p w:rsidR="00817D06" w:rsidRPr="00456420" w:rsidRDefault="00817D06" w:rsidP="00C72235">
      <w:pPr>
        <w:spacing w:after="0" w:line="240" w:lineRule="auto"/>
        <w:rPr>
          <w:rFonts w:ascii="Times New Roman" w:hAnsi="Times New Roman" w:cs="Times New Roman"/>
          <w:b/>
        </w:rPr>
      </w:pPr>
    </w:p>
    <w:p w:rsidR="00C72235" w:rsidRPr="00456420" w:rsidRDefault="00C72235" w:rsidP="00C72235">
      <w:pPr>
        <w:spacing w:after="0" w:line="240" w:lineRule="auto"/>
        <w:rPr>
          <w:rFonts w:ascii="Times New Roman" w:hAnsi="Times New Roman" w:cs="Times New Roman"/>
          <w:b/>
        </w:rPr>
      </w:pPr>
      <w:r w:rsidRPr="00456420">
        <w:rPr>
          <w:rFonts w:ascii="Times New Roman" w:hAnsi="Times New Roman" w:cs="Times New Roman"/>
          <w:b/>
        </w:rPr>
        <w:t>Declaration of AI Use</w:t>
      </w:r>
    </w:p>
    <w:p w:rsidR="00C72235" w:rsidRPr="00456420" w:rsidRDefault="00C72235" w:rsidP="00C72235">
      <w:pPr>
        <w:spacing w:after="0" w:line="240" w:lineRule="auto"/>
        <w:rPr>
          <w:rFonts w:ascii="Times New Roman" w:hAnsi="Times New Roman" w:cs="Times New Roman"/>
          <w:b/>
        </w:rPr>
      </w:pPr>
    </w:p>
    <w:p w:rsidR="00C72235" w:rsidRPr="00456420" w:rsidRDefault="00C72235" w:rsidP="00C72235">
      <w:pPr>
        <w:spacing w:after="0" w:line="240" w:lineRule="auto"/>
        <w:rPr>
          <w:rFonts w:ascii="Arial" w:hAnsi="Arial" w:cs="Arial"/>
          <w:sz w:val="20"/>
          <w:szCs w:val="20"/>
        </w:rPr>
      </w:pPr>
      <w:r w:rsidRPr="00456420">
        <w:rPr>
          <w:rFonts w:ascii="Arial" w:hAnsi="Arial" w:cs="Arial"/>
          <w:sz w:val="20"/>
          <w:szCs w:val="20"/>
        </w:rPr>
        <w:t>This manuscript was prepared through the intellectual contributions of the author(s) to the study design, data analysis, interpretation of results, and scholarly content. Grammarly and ChatGPT were used solely to assist with grammatical refinement and reference formatting during manuscript revision. The author(s) accept full responsibility for the accuracy, integrity, and final content of the manuscript.</w:t>
      </w:r>
    </w:p>
    <w:p w:rsidR="00C72235" w:rsidRPr="00456420" w:rsidRDefault="00C72235" w:rsidP="00A113A5">
      <w:pPr>
        <w:spacing w:line="480" w:lineRule="auto"/>
        <w:ind w:left="360"/>
        <w:jc w:val="both"/>
        <w:rPr>
          <w:rFonts w:ascii="Arial" w:hAnsi="Arial" w:cs="Arial"/>
          <w:sz w:val="20"/>
          <w:szCs w:val="20"/>
        </w:rPr>
      </w:pPr>
    </w:p>
    <w:p w:rsidR="00023D44" w:rsidRPr="00456420" w:rsidRDefault="00023D44" w:rsidP="00002BF3">
      <w:pPr>
        <w:tabs>
          <w:tab w:val="left" w:pos="1932"/>
        </w:tabs>
        <w:spacing w:line="480" w:lineRule="auto"/>
        <w:ind w:left="340" w:right="340"/>
        <w:jc w:val="both"/>
        <w:rPr>
          <w:rFonts w:ascii="Arial" w:hAnsi="Arial" w:cs="Arial"/>
          <w:sz w:val="22"/>
          <w:szCs w:val="22"/>
        </w:rPr>
      </w:pPr>
      <w:r w:rsidRPr="00456420">
        <w:rPr>
          <w:rFonts w:ascii="Arial" w:hAnsi="Arial" w:cs="Arial"/>
          <w:b/>
          <w:bCs/>
          <w:sz w:val="22"/>
          <w:szCs w:val="22"/>
        </w:rPr>
        <w:t>REFERENCE</w:t>
      </w:r>
    </w:p>
    <w:p w:rsidR="00E113BC" w:rsidRPr="00456420" w:rsidRDefault="00F075DB" w:rsidP="009A0149">
      <w:pPr>
        <w:keepLines/>
        <w:spacing w:after="60" w:line="276" w:lineRule="auto" w:before="0"/>
        <w:ind w:left="360" w:right="340" w:hanging="360"/>
        <w:jc w:val="left"/>
        <w:rPr>
          <w:rFonts w:ascii="Arial" w:hAnsi="Arial" w:cs="Arial"/>
          <w:sz w:val="20"/>
          <w:szCs w:val="20"/>
        </w:rPr>
      </w:pPr>
      <w:r>
        <w:rPr>
          <w:i w:val="0"/>
          <w:sz w:val="20"/>
        </w:rPr>
        <w:t xml:space="preserve">Adhikari, S. N. R., Nayak, B. S., Nayak, A. K., &amp; Mohanty, B. (2010). Formulation and evaluation of buccal patches for delivery of atenolol. </w:t>
      </w:r>
      <w:r>
        <w:rPr>
          <w:i/>
          <w:sz w:val="20"/>
        </w:rPr>
        <w:t>AAPS PharmSciTech</w:t>
      </w:r>
      <w:r>
        <w:rPr>
          <w:sz w:val="20"/>
        </w:rPr>
        <w:t xml:space="preserve">, </w:t>
      </w:r>
      <w:r>
        <w:rPr>
          <w:i/>
          <w:sz w:val="20"/>
        </w:rPr>
        <w:t>11</w:t>
      </w:r>
      <w:r>
        <w:rPr>
          <w:sz w:val="20"/>
        </w:rPr>
        <w:t>(3)</w:t>
      </w:r>
      <w:r>
        <w:rPr>
          <w:sz w:val="20"/>
        </w:rPr>
        <w:t>, 1038–1044</w:t>
      </w:r>
      <w:r>
        <w:rPr>
          <w:sz w:val="20"/>
        </w:rPr>
        <w:t xml:space="preserve">. </w:t>
      </w:r>
      <w:hyperlink r:id="rId17" w:history="1">
        <w:r>
          <w:rPr>
            <w:color w:val="0563C1"/>
            <w:sz w:val="20"/>
          </w:rPr>
          <w:t>https://doi.org/10.1208/s12249-010-9459-z</w:t>
        </w:r>
      </w:hyperlink>
    </w:p>
    <w:p w:rsidR="00F174E8" w:rsidRPr="00456420" w:rsidRDefault="00BB643A" w:rsidP="009A0149">
      <w:pPr>
        <w:keepLines/>
        <w:spacing w:after="60" w:line="276" w:lineRule="auto" w:before="0"/>
        <w:ind w:left="360" w:right="340" w:hanging="360"/>
        <w:jc w:val="left"/>
        <w:rPr>
          <w:rFonts w:ascii="Arial" w:hAnsi="Arial" w:cs="Arial"/>
          <w:sz w:val="20"/>
          <w:szCs w:val="20"/>
        </w:rPr>
      </w:pPr>
      <w:r>
        <w:rPr>
          <w:i w:val="0"/>
          <w:sz w:val="20"/>
        </w:rPr>
        <w:t xml:space="preserve">Ali, E. A., Adawy, A. M., El-Shahat, M. F., &amp; Amin, A. S. (2016). Simple spectrophotometric methods for determination of fluoxetine and clomipramine hydrochlorides in dosage forms and in some post-mortem biological fluids samples. </w:t>
      </w:r>
      <w:r>
        <w:rPr>
          <w:i/>
          <w:sz w:val="20"/>
        </w:rPr>
        <w:t>Egyptian Journal of Forensic Sciences</w:t>
      </w:r>
      <w:r>
        <w:rPr>
          <w:sz w:val="20"/>
        </w:rPr>
        <w:t xml:space="preserve">, </w:t>
      </w:r>
      <w:r>
        <w:rPr>
          <w:i/>
          <w:sz w:val="20"/>
        </w:rPr>
        <w:t>6</w:t>
      </w:r>
      <w:r>
        <w:rPr>
          <w:sz w:val="20"/>
        </w:rPr>
        <w:t>(4)</w:t>
      </w:r>
      <w:r>
        <w:rPr>
          <w:sz w:val="20"/>
        </w:rPr>
        <w:t>, 370–380</w:t>
      </w:r>
      <w:r>
        <w:rPr>
          <w:sz w:val="20"/>
        </w:rPr>
        <w:t xml:space="preserve">. </w:t>
      </w:r>
      <w:hyperlink r:id="rId18" w:history="1">
        <w:r>
          <w:rPr>
            <w:color w:val="0563C1"/>
            <w:sz w:val="20"/>
          </w:rPr>
          <w:t>https://doi.org/10.1016/j.ejfs.2016.05.007</w:t>
        </w:r>
      </w:hyperlink>
    </w:p>
    <w:p w:rsidR="00F174E8" w:rsidRPr="00456420" w:rsidRDefault="00F174E8" w:rsidP="009A0149">
      <w:pPr>
        <w:keepLines/>
        <w:spacing w:after="60" w:line="276" w:lineRule="auto" w:before="0"/>
        <w:ind w:left="360" w:right="340" w:hanging="360"/>
        <w:jc w:val="left"/>
        <w:rPr>
          <w:rFonts w:ascii="Arial" w:hAnsi="Arial" w:cs="Arial"/>
          <w:sz w:val="20"/>
          <w:szCs w:val="20"/>
        </w:rPr>
      </w:pPr>
      <w:r>
        <w:rPr>
          <w:i w:val="0"/>
          <w:sz w:val="20"/>
        </w:rPr>
        <w:t xml:space="preserve">Andrews, G. P., Laverty, T. P., &amp; Jones, D. S. (2009). Mucoadhesive polymeric platforms for controlled drug delivery. </w:t>
      </w:r>
      <w:r>
        <w:rPr>
          <w:i/>
          <w:sz w:val="20"/>
        </w:rPr>
        <w:t>European Journal of Pharmaceutics and Biopharmaceutics</w:t>
      </w:r>
      <w:r>
        <w:rPr>
          <w:sz w:val="20"/>
        </w:rPr>
        <w:t xml:space="preserve">, </w:t>
      </w:r>
      <w:r>
        <w:rPr>
          <w:i/>
          <w:sz w:val="20"/>
        </w:rPr>
        <w:t>71</w:t>
      </w:r>
      <w:r>
        <w:rPr>
          <w:sz w:val="20"/>
        </w:rPr>
        <w:t>(3)</w:t>
      </w:r>
      <w:r>
        <w:rPr>
          <w:sz w:val="20"/>
        </w:rPr>
        <w:t>, 505–518</w:t>
      </w:r>
      <w:r>
        <w:rPr>
          <w:sz w:val="20"/>
        </w:rPr>
        <w:t xml:space="preserve">. </w:t>
      </w:r>
      <w:hyperlink r:id="rId19" w:history="1">
        <w:r>
          <w:rPr>
            <w:color w:val="0563C1"/>
            <w:sz w:val="20"/>
          </w:rPr>
          <w:t>https://doi.org/10.1016/j.ejpb.2008.09.028</w:t>
        </w:r>
      </w:hyperlink>
    </w:p>
    <w:p w:rsidR="00DE045E" w:rsidRPr="00456420" w:rsidRDefault="00A03434" w:rsidP="009A0149">
      <w:pPr>
        <w:keepLines/>
        <w:spacing w:after="60" w:line="276" w:lineRule="auto" w:before="0"/>
        <w:ind w:left="360" w:right="340" w:hanging="360"/>
        <w:jc w:val="left"/>
        <w:rPr>
          <w:rFonts w:ascii="Arial" w:hAnsi="Arial" w:cs="Arial"/>
          <w:sz w:val="20"/>
          <w:szCs w:val="20"/>
        </w:rPr>
      </w:pPr>
      <w:r>
        <w:rPr>
          <w:i w:val="0"/>
          <w:sz w:val="20"/>
        </w:rPr>
        <w:t xml:space="preserve">Asif, H. M., Rao, T. R., Ayesha, N., Anjum, M., &amp; Rahman, M. A. (2015). Design and evaluation of mucoadhesive buccal patches of venlafaxine. </w:t>
      </w:r>
      <w:r>
        <w:rPr>
          <w:i/>
          <w:sz w:val="20"/>
        </w:rPr>
        <w:t>British Journal of Pharmaceutical Research</w:t>
      </w:r>
      <w:r>
        <w:rPr>
          <w:sz w:val="20"/>
        </w:rPr>
        <w:t xml:space="preserve">, </w:t>
      </w:r>
      <w:r>
        <w:rPr>
          <w:i/>
          <w:sz w:val="20"/>
        </w:rPr>
        <w:t>6</w:t>
      </w:r>
      <w:r>
        <w:rPr>
          <w:sz w:val="20"/>
        </w:rPr>
        <w:t>(2)</w:t>
      </w:r>
      <w:r>
        <w:rPr>
          <w:sz w:val="20"/>
        </w:rPr>
        <w:t>, 96–106</w:t>
      </w:r>
      <w:r>
        <w:rPr>
          <w:sz w:val="20"/>
        </w:rPr>
        <w:t xml:space="preserve">. </w:t>
      </w:r>
      <w:hyperlink r:id="rId20" w:history="1">
        <w:r>
          <w:rPr>
            <w:color w:val="0563C1"/>
            <w:sz w:val="20"/>
          </w:rPr>
          <w:t>https://doi.org/10.9734/BJPR/2015/12637</w:t>
        </w:r>
      </w:hyperlink>
    </w:p>
    <w:p w:rsidR="000C3D97" w:rsidRPr="00456420" w:rsidRDefault="000C3D97" w:rsidP="009A0149">
      <w:pPr>
        <w:keepLines/>
        <w:spacing w:after="60" w:line="276" w:lineRule="auto" w:before="0"/>
        <w:ind w:left="360" w:right="340" w:hanging="360"/>
        <w:jc w:val="left"/>
        <w:rPr>
          <w:rFonts w:ascii="Arial" w:hAnsi="Arial" w:cs="Arial"/>
          <w:sz w:val="20"/>
          <w:szCs w:val="20"/>
        </w:rPr>
      </w:pPr>
      <w:r>
        <w:rPr>
          <w:i w:val="0"/>
          <w:sz w:val="20"/>
        </w:rPr>
        <w:t xml:space="preserve">Aymard, G., Livi, P., Pham, Y. T., &amp; Diquet, B. (1997). Sensitive and rapid method for the simultaneous quantification of five antidepressants with their respective metabolites in plasma using high-performance liquid chromatography with diode-array detection. </w:t>
      </w:r>
      <w:r>
        <w:rPr>
          <w:i/>
          <w:sz w:val="20"/>
        </w:rPr>
        <w:t>Journal of Chromatography B: Biomedical Sciences and Applications</w:t>
      </w:r>
      <w:r>
        <w:rPr>
          <w:sz w:val="20"/>
        </w:rPr>
        <w:t xml:space="preserve">, </w:t>
      </w:r>
      <w:r>
        <w:rPr>
          <w:i/>
          <w:sz w:val="20"/>
        </w:rPr>
        <w:t>700</w:t>
      </w:r>
      <w:r>
        <w:rPr>
          <w:sz w:val="20"/>
        </w:rPr>
        <w:t>(1–2)</w:t>
      </w:r>
      <w:r>
        <w:rPr>
          <w:sz w:val="20"/>
        </w:rPr>
        <w:t>, 183–189</w:t>
      </w:r>
      <w:r>
        <w:rPr>
          <w:sz w:val="20"/>
        </w:rPr>
        <w:t xml:space="preserve">. </w:t>
      </w:r>
      <w:hyperlink r:id="rId21" w:history="1">
        <w:r>
          <w:rPr>
            <w:color w:val="0563C1"/>
            <w:sz w:val="20"/>
          </w:rPr>
          <w:t>https://doi.org/10.1016/S0378-4347(97)00327-7</w:t>
        </w:r>
      </w:hyperlink>
    </w:p>
    <w:p w:rsidR="00935968" w:rsidRPr="00456420" w:rsidRDefault="00935968" w:rsidP="009A0149">
      <w:pPr>
        <w:keepLines/>
        <w:spacing w:after="60" w:line="276" w:lineRule="auto" w:before="0"/>
        <w:ind w:left="360" w:right="340" w:hanging="360"/>
        <w:jc w:val="left"/>
        <w:rPr>
          <w:rFonts w:ascii="Arial" w:hAnsi="Arial" w:cs="Arial"/>
          <w:sz w:val="20"/>
          <w:szCs w:val="20"/>
        </w:rPr>
      </w:pPr>
      <w:r>
        <w:rPr>
          <w:i w:val="0"/>
          <w:sz w:val="20"/>
        </w:rPr>
        <w:t xml:space="preserve">Ghumman, S. A., Hameed, H., Noreen, S., Al-Hussain, S. A., Kausar, R., Irfan, A., Shabbir, R., Rana, M., Amanat, A., &amp; Zaki, M. E. A. (2023). In vitro/in vivo evaluation of clomipramine orodispersible tablets for the treatment of depression and obsessive-compulsive disorder. </w:t>
      </w:r>
      <w:r>
        <w:rPr>
          <w:i/>
          <w:sz w:val="20"/>
        </w:rPr>
        <w:t>Pharmaceuticals</w:t>
      </w:r>
      <w:r>
        <w:rPr>
          <w:sz w:val="20"/>
        </w:rPr>
        <w:t xml:space="preserve">, </w:t>
      </w:r>
      <w:r>
        <w:rPr>
          <w:i/>
          <w:sz w:val="20"/>
        </w:rPr>
        <w:t>16</w:t>
      </w:r>
      <w:r>
        <w:rPr>
          <w:sz w:val="20"/>
        </w:rPr>
        <w:t>(2)</w:t>
      </w:r>
      <w:r>
        <w:rPr>
          <w:sz w:val="20"/>
        </w:rPr>
        <w:t>, Article 265</w:t>
      </w:r>
      <w:r>
        <w:rPr>
          <w:sz w:val="20"/>
        </w:rPr>
        <w:t xml:space="preserve">. </w:t>
      </w:r>
      <w:hyperlink r:id="rId22" w:history="1">
        <w:r>
          <w:rPr>
            <w:color w:val="0563C1"/>
            <w:sz w:val="20"/>
          </w:rPr>
          <w:t>https://doi.org/10.3390/ph16020265</w:t>
        </w:r>
      </w:hyperlink>
    </w:p>
    <w:p w:rsidR="00573169" w:rsidRPr="00456420" w:rsidRDefault="00573169" w:rsidP="009A0149">
      <w:pPr>
        <w:keepLines/>
        <w:spacing w:after="60" w:line="276" w:lineRule="auto" w:before="0"/>
        <w:ind w:left="360" w:right="340" w:hanging="360"/>
        <w:jc w:val="left"/>
        <w:rPr>
          <w:rFonts w:ascii="Arial" w:hAnsi="Arial" w:cs="Arial"/>
          <w:sz w:val="20"/>
          <w:szCs w:val="20"/>
        </w:rPr>
      </w:pPr>
      <w:r>
        <w:rPr>
          <w:i w:val="0"/>
          <w:sz w:val="20"/>
        </w:rPr>
        <w:t xml:space="preserve">Habib, F., Abdel Azeem, M., Fetih, G., &amp; Safwat, M. (2010). Mucoadhesive buccal patches of lornoxicam: I. Development and in-vitro characterization. </w:t>
      </w:r>
      <w:r>
        <w:rPr>
          <w:i/>
          <w:sz w:val="20"/>
        </w:rPr>
        <w:t>Bulletin of Pharmaceutical Sciences. Assiut University</w:t>
      </w:r>
      <w:r>
        <w:rPr>
          <w:sz w:val="20"/>
        </w:rPr>
        <w:t xml:space="preserve">, </w:t>
      </w:r>
      <w:r>
        <w:rPr>
          <w:i/>
          <w:sz w:val="20"/>
        </w:rPr>
        <w:t>33</w:t>
      </w:r>
      <w:r>
        <w:rPr>
          <w:sz w:val="20"/>
        </w:rPr>
        <w:t>(1)</w:t>
      </w:r>
      <w:r>
        <w:rPr>
          <w:sz w:val="20"/>
        </w:rPr>
        <w:t>, 59–68</w:t>
      </w:r>
      <w:r>
        <w:rPr>
          <w:sz w:val="20"/>
        </w:rPr>
        <w:t xml:space="preserve">. </w:t>
      </w:r>
      <w:hyperlink r:id="rId23" w:history="1">
        <w:r>
          <w:rPr>
            <w:color w:val="0563C1"/>
            <w:sz w:val="20"/>
          </w:rPr>
          <w:t>https://doi.org/10.21608/bfsa.2010.147025</w:t>
        </w:r>
      </w:hyperlink>
    </w:p>
    <w:p w:rsidR="00573169" w:rsidRPr="00456420" w:rsidRDefault="00573169" w:rsidP="009A0149">
      <w:pPr>
        <w:keepLines/>
        <w:spacing w:after="60" w:line="276" w:lineRule="auto" w:before="0"/>
        <w:ind w:left="360" w:right="340" w:hanging="360"/>
        <w:jc w:val="left"/>
        <w:rPr>
          <w:rFonts w:ascii="Arial" w:hAnsi="Arial" w:cs="Arial"/>
          <w:sz w:val="20"/>
          <w:szCs w:val="20"/>
        </w:rPr>
      </w:pPr>
      <w:r>
        <w:rPr>
          <w:i w:val="0"/>
          <w:sz w:val="20"/>
        </w:rPr>
        <w:t xml:space="preserve">Hassan, A. A. A., Kristó, K., Ibrahim, Y. H.-E. Y., Regdon, G., Jr., &amp; Sovány, T. (2023). Quality by design-guided systematic development and optimization of mucoadhesive buccal films. </w:t>
      </w:r>
      <w:r>
        <w:rPr>
          <w:i/>
          <w:sz w:val="20"/>
        </w:rPr>
        <w:t>Pharmaceutics</w:t>
      </w:r>
      <w:r>
        <w:rPr>
          <w:sz w:val="20"/>
        </w:rPr>
        <w:t xml:space="preserve">, </w:t>
      </w:r>
      <w:r>
        <w:rPr>
          <w:i/>
          <w:sz w:val="20"/>
        </w:rPr>
        <w:t>15</w:t>
      </w:r>
      <w:r>
        <w:rPr>
          <w:sz w:val="20"/>
        </w:rPr>
        <w:t>(10)</w:t>
      </w:r>
      <w:r>
        <w:rPr>
          <w:sz w:val="20"/>
        </w:rPr>
        <w:t>, Article 2375</w:t>
      </w:r>
      <w:r>
        <w:rPr>
          <w:sz w:val="20"/>
        </w:rPr>
        <w:t xml:space="preserve">. </w:t>
      </w:r>
      <w:hyperlink r:id="rId24" w:history="1">
        <w:r>
          <w:rPr>
            <w:color w:val="0563C1"/>
            <w:sz w:val="20"/>
          </w:rPr>
          <w:t>https://doi.org/10.3390/pharmaceutics15102375</w:t>
        </w:r>
      </w:hyperlink>
    </w:p>
    <w:p w:rsidR="00573169" w:rsidRPr="00456420" w:rsidRDefault="00573169" w:rsidP="009A0149">
      <w:pPr>
        <w:keepLines/>
        <w:spacing w:after="60" w:line="276" w:lineRule="auto" w:before="0"/>
        <w:ind w:left="360" w:right="340" w:hanging="360"/>
        <w:jc w:val="left"/>
        <w:rPr>
          <w:rFonts w:ascii="Arial" w:hAnsi="Arial" w:cs="Arial"/>
          <w:sz w:val="20"/>
          <w:szCs w:val="20"/>
        </w:rPr>
      </w:pPr>
      <w:r>
        <w:rPr>
          <w:i w:val="0"/>
          <w:sz w:val="20"/>
        </w:rPr>
        <w:t xml:space="preserve">Ikram, M., Gilhotra, N., &amp; Gilhotra, R. M. (2015). Formulation and optimization of mucoadhesive buccal patches of losartan potassium by using response surface methodology. </w:t>
      </w:r>
      <w:r>
        <w:rPr>
          <w:i/>
          <w:sz w:val="20"/>
        </w:rPr>
        <w:t>Advanced Biomedical Research</w:t>
      </w:r>
      <w:r>
        <w:rPr>
          <w:sz w:val="20"/>
        </w:rPr>
        <w:t xml:space="preserve">, </w:t>
      </w:r>
      <w:r>
        <w:rPr>
          <w:i/>
          <w:sz w:val="20"/>
        </w:rPr>
        <w:t>4</w:t>
      </w:r>
      <w:r>
        <w:rPr>
          <w:sz w:val="20"/>
        </w:rPr>
        <w:t>, Article 239</w:t>
      </w:r>
      <w:r>
        <w:rPr>
          <w:sz w:val="20"/>
        </w:rPr>
        <w:t xml:space="preserve">. </w:t>
      </w:r>
      <w:hyperlink r:id="rId25" w:history="1">
        <w:r>
          <w:rPr>
            <w:color w:val="0563C1"/>
            <w:sz w:val="20"/>
          </w:rPr>
          <w:t>https://doi.org/10.4103/2277-9175.168606</w:t>
        </w:r>
      </w:hyperlink>
    </w:p>
    <w:p w:rsidR="003708B6" w:rsidRPr="00456420" w:rsidRDefault="003708B6" w:rsidP="009A0149">
      <w:pPr>
        <w:keepLines/>
        <w:spacing w:after="60" w:line="276" w:lineRule="auto" w:before="0"/>
        <w:ind w:left="360" w:right="340" w:hanging="360"/>
        <w:jc w:val="left"/>
        <w:rPr>
          <w:rFonts w:ascii="Arial" w:hAnsi="Arial" w:cs="Arial"/>
          <w:sz w:val="20"/>
          <w:szCs w:val="20"/>
        </w:rPr>
      </w:pPr>
      <w:r>
        <w:rPr>
          <w:i w:val="0"/>
          <w:sz w:val="20"/>
        </w:rPr>
        <w:t xml:space="preserve">Joshi, Y. N., Akhzarmehr, A., &amp; Omidian, H. (2026). Buccal film drug delivery: Linking formulation design with pharmacokinetic control and clinical translation. </w:t>
      </w:r>
      <w:r>
        <w:rPr>
          <w:i/>
          <w:sz w:val="20"/>
        </w:rPr>
        <w:t>Journal of Pharmaceutical Sciences</w:t>
      </w:r>
      <w:r>
        <w:rPr>
          <w:sz w:val="20"/>
        </w:rPr>
        <w:t xml:space="preserve">, </w:t>
      </w:r>
      <w:r>
        <w:rPr>
          <w:i/>
          <w:sz w:val="20"/>
        </w:rPr>
        <w:t>115</w:t>
      </w:r>
      <w:r>
        <w:rPr>
          <w:sz w:val="20"/>
        </w:rPr>
        <w:t>(9)</w:t>
      </w:r>
      <w:r>
        <w:rPr>
          <w:sz w:val="20"/>
        </w:rPr>
        <w:t>, Article 104411</w:t>
      </w:r>
      <w:r>
        <w:rPr>
          <w:sz w:val="20"/>
        </w:rPr>
        <w:t xml:space="preserve">. </w:t>
      </w:r>
      <w:hyperlink r:id="rId26" w:history="1">
        <w:r>
          <w:rPr>
            <w:color w:val="0563C1"/>
            <w:sz w:val="20"/>
          </w:rPr>
          <w:t>https://doi.org/10.1016/j.xphs.2026.104411</w:t>
        </w:r>
      </w:hyperlink>
    </w:p>
    <w:p w:rsidR="000F2DBA" w:rsidRPr="00456420" w:rsidRDefault="0063169A">
      <w:pPr>
        <w:keepLines/>
        <w:spacing w:after="60" w:line="276" w:lineRule="auto" w:before="0"/>
        <w:ind w:left="360" w:hanging="360"/>
        <w:jc w:val="left"/>
      </w:pPr>
      <w:r>
        <w:rPr>
          <w:i w:val="0"/>
          <w:sz w:val="20"/>
        </w:rPr>
        <w:t xml:space="preserve">Kumar, A., Bali, V., Kumar, M., &amp; Pathak, K. (2013). Comparative evaluation of porous versus nonporous mucoadhesive films as buccal delivery system of glibenclamide. </w:t>
      </w:r>
      <w:r>
        <w:rPr>
          <w:i/>
          <w:sz w:val="20"/>
        </w:rPr>
        <w:t>AAPS PharmSciTech</w:t>
      </w:r>
      <w:r>
        <w:rPr>
          <w:sz w:val="20"/>
        </w:rPr>
        <w:t xml:space="preserve">, </w:t>
      </w:r>
      <w:r>
        <w:rPr>
          <w:i/>
          <w:sz w:val="20"/>
        </w:rPr>
        <w:t>14</w:t>
      </w:r>
      <w:r>
        <w:rPr>
          <w:sz w:val="20"/>
        </w:rPr>
        <w:t>(4)</w:t>
      </w:r>
      <w:r>
        <w:rPr>
          <w:sz w:val="20"/>
        </w:rPr>
        <w:t>, 1321–1332</w:t>
      </w:r>
      <w:r>
        <w:rPr>
          <w:sz w:val="20"/>
        </w:rPr>
        <w:t xml:space="preserve">. </w:t>
      </w:r>
      <w:hyperlink r:id="rId27" w:history="1">
        <w:r>
          <w:rPr>
            <w:color w:val="0563C1"/>
            <w:sz w:val="20"/>
          </w:rPr>
          <w:t>https://doi.org/10.1208/s12249-013-0014-6</w:t>
        </w:r>
      </w:hyperlink>
    </w:p>
    <w:p w:rsidR="000F2DBA" w:rsidRPr="00456420" w:rsidRDefault="0063169A">
      <w:pPr>
        <w:keepLines/>
        <w:spacing w:after="60" w:line="276" w:lineRule="auto" w:before="0"/>
        <w:ind w:left="360" w:hanging="360"/>
        <w:jc w:val="left"/>
      </w:pPr>
      <w:r>
        <w:rPr>
          <w:i w:val="0"/>
          <w:sz w:val="20"/>
        </w:rPr>
        <w:t xml:space="preserve">Lodhi, M., Dubey, A., Narayan, R., Prabhu, P., &amp; Priya, S. (2013). Formulation and evaluation of buccal film of ivabradine hydrochloride for the treatment of stable angina pectoris. </w:t>
      </w:r>
      <w:r>
        <w:rPr>
          <w:i/>
          <w:sz w:val="20"/>
        </w:rPr>
        <w:t>International Journal of Pharmaceutical Investigation</w:t>
      </w:r>
      <w:r>
        <w:rPr>
          <w:sz w:val="20"/>
        </w:rPr>
        <w:t xml:space="preserve">, </w:t>
      </w:r>
      <w:r>
        <w:rPr>
          <w:i/>
          <w:sz w:val="20"/>
        </w:rPr>
        <w:t>3</w:t>
      </w:r>
      <w:r>
        <w:rPr>
          <w:sz w:val="20"/>
        </w:rPr>
        <w:t>(1)</w:t>
      </w:r>
      <w:r>
        <w:rPr>
          <w:sz w:val="20"/>
        </w:rPr>
        <w:t>, 47–53</w:t>
      </w:r>
      <w:r>
        <w:rPr>
          <w:sz w:val="20"/>
        </w:rPr>
        <w:t xml:space="preserve">. </w:t>
      </w:r>
      <w:hyperlink r:id="rId28" w:history="1">
        <w:r>
          <w:rPr>
            <w:color w:val="0563C1"/>
            <w:sz w:val="20"/>
          </w:rPr>
          <w:t>https://doi.org/10.4103/2230-973X.108963</w:t>
        </w:r>
      </w:hyperlink>
    </w:p>
    <w:p w:rsidR="000F2DBA" w:rsidRPr="00456420" w:rsidRDefault="0063169A">
      <w:pPr>
        <w:keepLines/>
        <w:spacing w:after="60" w:line="276" w:lineRule="auto" w:before="0"/>
        <w:ind w:left="360" w:hanging="360"/>
        <w:jc w:val="left"/>
      </w:pPr>
      <w:r>
        <w:rPr>
          <w:i w:val="0"/>
          <w:sz w:val="20"/>
        </w:rPr>
        <w:t xml:space="preserve">Mahapatra, A. P. K., Nagvenkar, S. P., &amp; Gude, R. (2020). Formulation and physicochemical characterization of buccal mucoadhesive films containing alfuzocin hydrochloride. </w:t>
      </w:r>
      <w:r>
        <w:rPr>
          <w:i/>
          <w:sz w:val="20"/>
        </w:rPr>
        <w:t>Journal of Advances in Medical and Pharmaceutical Sciences</w:t>
      </w:r>
      <w:r>
        <w:rPr>
          <w:sz w:val="20"/>
        </w:rPr>
        <w:t xml:space="preserve">, </w:t>
      </w:r>
      <w:r>
        <w:rPr>
          <w:i/>
          <w:sz w:val="20"/>
        </w:rPr>
        <w:t>22</w:t>
      </w:r>
      <w:r>
        <w:rPr>
          <w:sz w:val="20"/>
        </w:rPr>
        <w:t>(2)</w:t>
      </w:r>
      <w:r>
        <w:rPr>
          <w:sz w:val="20"/>
        </w:rPr>
        <w:t>, 9–20</w:t>
      </w:r>
      <w:r>
        <w:rPr>
          <w:sz w:val="20"/>
        </w:rPr>
        <w:t xml:space="preserve">. </w:t>
      </w:r>
      <w:hyperlink r:id="rId29" w:history="1">
        <w:r>
          <w:rPr>
            <w:color w:val="0563C1"/>
            <w:sz w:val="20"/>
          </w:rPr>
          <w:t>https://doi.org/10.9734/jamps/2020/v22i230155</w:t>
        </w:r>
      </w:hyperlink>
    </w:p>
    <w:p w:rsidR="000F2DBA" w:rsidRPr="00456420" w:rsidRDefault="0063169A">
      <w:pPr>
        <w:keepLines/>
        <w:spacing w:after="60" w:line="276" w:lineRule="auto" w:before="0"/>
        <w:ind w:left="360" w:hanging="360"/>
        <w:jc w:val="left"/>
      </w:pPr>
      <w:r>
        <w:rPr>
          <w:i w:val="0"/>
          <w:sz w:val="20"/>
        </w:rPr>
        <w:t xml:space="preserve">Michael, A. M., Mahmoud, A. M., &amp; Fahmy, N. M. (2023). Determination of clomipramine using eco-friendly solid-contact ionophore-doped potentiometric sensor. </w:t>
      </w:r>
      <w:r>
        <w:rPr>
          <w:i/>
          <w:sz w:val="20"/>
        </w:rPr>
        <w:t>BMC Chemistry</w:t>
      </w:r>
      <w:r>
        <w:rPr>
          <w:sz w:val="20"/>
        </w:rPr>
        <w:t xml:space="preserve">, </w:t>
      </w:r>
      <w:r>
        <w:rPr>
          <w:i/>
          <w:sz w:val="20"/>
        </w:rPr>
        <w:t>17</w:t>
      </w:r>
      <w:r>
        <w:rPr>
          <w:sz w:val="20"/>
        </w:rPr>
        <w:t>, Article 27</w:t>
      </w:r>
      <w:r>
        <w:rPr>
          <w:sz w:val="20"/>
        </w:rPr>
        <w:t xml:space="preserve">. </w:t>
      </w:r>
      <w:hyperlink r:id="rId30" w:history="1">
        <w:r>
          <w:rPr>
            <w:color w:val="0563C1"/>
            <w:sz w:val="20"/>
          </w:rPr>
          <w:t>https://doi.org/10.1186/s13065-023-00938-x</w:t>
        </w:r>
      </w:hyperlink>
    </w:p>
    <w:p w:rsidR="000F2DBA" w:rsidRPr="00456420" w:rsidRDefault="0063169A">
      <w:pPr>
        <w:keepLines/>
        <w:spacing w:after="60" w:line="276" w:lineRule="auto" w:before="0"/>
        <w:ind w:left="360" w:hanging="360"/>
        <w:jc w:val="left"/>
      </w:pPr>
      <w:r>
        <w:rPr>
          <w:i w:val="0"/>
          <w:sz w:val="20"/>
        </w:rPr>
        <w:t xml:space="preserve">Morales, J. O., &amp; McConville, J. T. (2011). Manufacture and characterization of mucoadhesive buccal films. </w:t>
      </w:r>
      <w:r>
        <w:rPr>
          <w:i/>
          <w:sz w:val="20"/>
        </w:rPr>
        <w:t>European Journal of Pharmaceutics and Biopharmaceutics</w:t>
      </w:r>
      <w:r>
        <w:rPr>
          <w:sz w:val="20"/>
        </w:rPr>
        <w:t xml:space="preserve">, </w:t>
      </w:r>
      <w:r>
        <w:rPr>
          <w:i/>
          <w:sz w:val="20"/>
        </w:rPr>
        <w:t>77</w:t>
      </w:r>
      <w:r>
        <w:rPr>
          <w:sz w:val="20"/>
        </w:rPr>
        <w:t>(2)</w:t>
      </w:r>
      <w:r>
        <w:rPr>
          <w:sz w:val="20"/>
        </w:rPr>
        <w:t>, 187–199</w:t>
      </w:r>
      <w:r>
        <w:rPr>
          <w:sz w:val="20"/>
        </w:rPr>
        <w:t xml:space="preserve">. </w:t>
      </w:r>
      <w:hyperlink r:id="rId31" w:history="1">
        <w:r>
          <w:rPr>
            <w:color w:val="0563C1"/>
            <w:sz w:val="20"/>
          </w:rPr>
          <w:t>https://doi.org/10.1016/j.ejpb.2010.11.023</w:t>
        </w:r>
      </w:hyperlink>
    </w:p>
    <w:p w:rsidR="000F2DBA" w:rsidRPr="00456420" w:rsidRDefault="0063169A">
      <w:pPr>
        <w:keepLines/>
        <w:spacing w:after="60" w:line="276" w:lineRule="auto" w:before="0"/>
        <w:ind w:left="360" w:hanging="360"/>
        <w:jc w:val="left"/>
      </w:pPr>
      <w:r>
        <w:rPr>
          <w:i w:val="0"/>
          <w:sz w:val="20"/>
        </w:rPr>
        <w:t xml:space="preserve">Muzib, Y. I., &amp; Kumari, K. S. (2011). Mucoadhesive buccal films of glibenclamide: Development and evaluation. </w:t>
      </w:r>
      <w:r>
        <w:rPr>
          <w:i/>
          <w:sz w:val="20"/>
        </w:rPr>
        <w:t>International Journal of Pharmaceutical Investigation</w:t>
      </w:r>
      <w:r>
        <w:rPr>
          <w:sz w:val="20"/>
        </w:rPr>
        <w:t xml:space="preserve">, </w:t>
      </w:r>
      <w:r>
        <w:rPr>
          <w:i/>
          <w:sz w:val="20"/>
        </w:rPr>
        <w:t>1</w:t>
      </w:r>
      <w:r>
        <w:rPr>
          <w:sz w:val="20"/>
        </w:rPr>
        <w:t>(1)</w:t>
      </w:r>
      <w:r>
        <w:rPr>
          <w:sz w:val="20"/>
        </w:rPr>
        <w:t>, 42–47</w:t>
      </w:r>
      <w:r>
        <w:rPr>
          <w:sz w:val="20"/>
        </w:rPr>
        <w:t xml:space="preserve">. </w:t>
      </w:r>
      <w:hyperlink r:id="rId32" w:history="1">
        <w:r>
          <w:rPr>
            <w:color w:val="0563C1"/>
            <w:sz w:val="20"/>
          </w:rPr>
          <w:t>https://doi.org/10.4103/2230-973X.76728</w:t>
        </w:r>
      </w:hyperlink>
    </w:p>
    <w:p w:rsidR="000F2DBA" w:rsidRPr="00456420" w:rsidRDefault="0063169A">
      <w:pPr>
        <w:keepLines/>
        <w:spacing w:after="60" w:line="276" w:lineRule="auto" w:before="0"/>
        <w:ind w:left="360" w:hanging="360"/>
        <w:jc w:val="left"/>
      </w:pPr>
      <w:r>
        <w:rPr>
          <w:i w:val="0"/>
          <w:sz w:val="20"/>
        </w:rPr>
        <w:t xml:space="preserve">Nair, A. B., Shah, J., Jacob, S., Al-Dhubiab, B. E., Patel, V., Sreeharsha, N., &amp; Shinu, P. (2021). Development of mucoadhesive buccal film for rizatriptan: In vitro and in vivo evaluation. </w:t>
      </w:r>
      <w:r>
        <w:rPr>
          <w:i/>
          <w:sz w:val="20"/>
        </w:rPr>
        <w:t>Pharmaceutics</w:t>
      </w:r>
      <w:r>
        <w:rPr>
          <w:sz w:val="20"/>
        </w:rPr>
        <w:t xml:space="preserve">, </w:t>
      </w:r>
      <w:r>
        <w:rPr>
          <w:i/>
          <w:sz w:val="20"/>
        </w:rPr>
        <w:t>13</w:t>
      </w:r>
      <w:r>
        <w:rPr>
          <w:sz w:val="20"/>
        </w:rPr>
        <w:t>(5)</w:t>
      </w:r>
      <w:r>
        <w:rPr>
          <w:sz w:val="20"/>
        </w:rPr>
        <w:t>, Article 728</w:t>
      </w:r>
      <w:r>
        <w:rPr>
          <w:sz w:val="20"/>
        </w:rPr>
        <w:t xml:space="preserve">. </w:t>
      </w:r>
      <w:hyperlink r:id="rId33" w:history="1">
        <w:r>
          <w:rPr>
            <w:color w:val="0563C1"/>
            <w:sz w:val="20"/>
          </w:rPr>
          <w:t>https://doi.org/10.3390/pharmaceutics13050728</w:t>
        </w:r>
      </w:hyperlink>
    </w:p>
    <w:p w:rsidR="000F2DBA" w:rsidRPr="00456420" w:rsidRDefault="0063169A">
      <w:pPr>
        <w:keepLines/>
        <w:spacing w:after="60" w:line="276" w:lineRule="auto" w:before="0"/>
        <w:ind w:left="360" w:hanging="360"/>
        <w:jc w:val="left"/>
      </w:pPr>
      <w:r>
        <w:rPr>
          <w:i w:val="0"/>
          <w:sz w:val="20"/>
        </w:rPr>
        <w:t xml:space="preserve">Nair, V. V., Cabrera, P., Ramírez-Lecaros, C., Jara, M. O., Brayden, D. J., &amp; Morales, J. O. (2023). Buccal delivery of small molecules and biologics: Of mucoadhesive polymers, films, and nanoparticles – An update. </w:t>
      </w:r>
      <w:r>
        <w:rPr>
          <w:i/>
          <w:sz w:val="20"/>
        </w:rPr>
        <w:t>International Journal of Pharmaceutics</w:t>
      </w:r>
      <w:r>
        <w:rPr>
          <w:sz w:val="20"/>
        </w:rPr>
        <w:t xml:space="preserve">, </w:t>
      </w:r>
      <w:r>
        <w:rPr>
          <w:i/>
          <w:sz w:val="20"/>
        </w:rPr>
        <w:t>636</w:t>
      </w:r>
      <w:r>
        <w:rPr>
          <w:sz w:val="20"/>
        </w:rPr>
        <w:t>, Article 122789</w:t>
      </w:r>
      <w:r>
        <w:rPr>
          <w:sz w:val="20"/>
        </w:rPr>
        <w:t xml:space="preserve">. </w:t>
      </w:r>
      <w:hyperlink r:id="rId34" w:history="1">
        <w:r>
          <w:rPr>
            <w:color w:val="0563C1"/>
            <w:sz w:val="20"/>
          </w:rPr>
          <w:t>https://doi.org/10.1016/j.ijpharm.2023.122789</w:t>
        </w:r>
      </w:hyperlink>
    </w:p>
    <w:p w:rsidR="000F2DBA" w:rsidRPr="00456420" w:rsidRDefault="0063169A">
      <w:pPr>
        <w:keepLines/>
        <w:spacing w:after="60" w:line="276" w:lineRule="auto" w:before="0"/>
        <w:ind w:left="360" w:hanging="360"/>
        <w:jc w:val="left"/>
      </w:pPr>
      <w:r>
        <w:rPr>
          <w:i w:val="0"/>
          <w:sz w:val="20"/>
        </w:rPr>
        <w:t xml:space="preserve">Naqvi, A. Z., Al-Ahmadi, M. D. A., Akram, M., &amp; Kabir-ud-Din. (2010). Surfactants and ureas affect the cloud point of amphiphilic drug, clomipramine hydrochloride. </w:t>
      </w:r>
      <w:r>
        <w:rPr>
          <w:i/>
          <w:sz w:val="20"/>
        </w:rPr>
        <w:t>Colloids and Surfaces B: Biointerfaces</w:t>
      </w:r>
      <w:r>
        <w:rPr>
          <w:sz w:val="20"/>
        </w:rPr>
        <w:t xml:space="preserve">, </w:t>
      </w:r>
      <w:r>
        <w:rPr>
          <w:i/>
          <w:sz w:val="20"/>
        </w:rPr>
        <w:t>81</w:t>
      </w:r>
      <w:r>
        <w:rPr>
          <w:sz w:val="20"/>
        </w:rPr>
        <w:t>(1)</w:t>
      </w:r>
      <w:r>
        <w:rPr>
          <w:sz w:val="20"/>
        </w:rPr>
        <w:t>, 152–157</w:t>
      </w:r>
      <w:r>
        <w:rPr>
          <w:sz w:val="20"/>
        </w:rPr>
        <w:t xml:space="preserve">. </w:t>
      </w:r>
      <w:hyperlink r:id="rId35" w:history="1">
        <w:r>
          <w:rPr>
            <w:color w:val="0563C1"/>
            <w:sz w:val="20"/>
          </w:rPr>
          <w:t>https://doi.org/10.1016/j.colsurfb.2010.07.003</w:t>
        </w:r>
      </w:hyperlink>
    </w:p>
    <w:p w:rsidR="000F2DBA" w:rsidRPr="00456420" w:rsidRDefault="0063169A">
      <w:pPr>
        <w:keepLines/>
        <w:spacing w:after="60" w:line="276" w:lineRule="auto" w:before="0"/>
        <w:ind w:left="360" w:hanging="360"/>
        <w:jc w:val="left"/>
      </w:pPr>
      <w:r>
        <w:rPr>
          <w:i w:val="0"/>
          <w:sz w:val="20"/>
        </w:rPr>
        <w:t xml:space="preserve">Palego, L., Marazziti, D., Biondi, L., Giannaccini, G., Sarno, N., Armani, A., Lucacchini, A., Cassano, G. B., &amp; Dell'Osso, L. (2000). Simultaneous plasma level analysis of clomipramine, N-desmethylclomipramine, and fluvoxamine by reversed-phase liquid chromatography. </w:t>
      </w:r>
      <w:r>
        <w:rPr>
          <w:i/>
          <w:sz w:val="20"/>
        </w:rPr>
        <w:t>Therapeutic Drug Monitoring</w:t>
      </w:r>
      <w:r>
        <w:rPr>
          <w:sz w:val="20"/>
        </w:rPr>
        <w:t xml:space="preserve">, </w:t>
      </w:r>
      <w:r>
        <w:rPr>
          <w:i/>
          <w:sz w:val="20"/>
        </w:rPr>
        <w:t>22</w:t>
      </w:r>
      <w:r>
        <w:rPr>
          <w:sz w:val="20"/>
        </w:rPr>
        <w:t>(2)</w:t>
      </w:r>
      <w:r>
        <w:rPr>
          <w:sz w:val="20"/>
        </w:rPr>
        <w:t>, 190–194</w:t>
      </w:r>
      <w:r>
        <w:rPr>
          <w:sz w:val="20"/>
        </w:rPr>
        <w:t xml:space="preserve">. </w:t>
      </w:r>
      <w:hyperlink r:id="rId36" w:history="1">
        <w:r>
          <w:rPr>
            <w:color w:val="0563C1"/>
            <w:sz w:val="20"/>
          </w:rPr>
          <w:t>https://doi.org/10.1097/00007691-200004000-00009</w:t>
        </w:r>
      </w:hyperlink>
    </w:p>
    <w:p w:rsidR="000F2DBA" w:rsidRPr="00456420" w:rsidRDefault="0063169A">
      <w:pPr>
        <w:keepLines/>
        <w:spacing w:after="60" w:line="276" w:lineRule="auto" w:before="0"/>
        <w:ind w:left="360" w:hanging="360"/>
        <w:jc w:val="left"/>
      </w:pPr>
      <w:r>
        <w:rPr>
          <w:i w:val="0"/>
          <w:sz w:val="20"/>
        </w:rPr>
        <w:t xml:space="preserve">Patel, K. A., &amp; Karvekar, M. D. (2019). A study on synthesis and characterization of various polymorphic forms of trimipramine maleate and clomipramine hydrochloride. </w:t>
      </w:r>
      <w:r>
        <w:rPr>
          <w:i/>
          <w:sz w:val="20"/>
        </w:rPr>
        <w:t>Journal of Pharmaceutical Research</w:t>
      </w:r>
      <w:r>
        <w:rPr>
          <w:sz w:val="20"/>
        </w:rPr>
        <w:t xml:space="preserve">, </w:t>
      </w:r>
      <w:r>
        <w:rPr>
          <w:i/>
          <w:sz w:val="20"/>
        </w:rPr>
        <w:t>18</w:t>
      </w:r>
      <w:r>
        <w:rPr>
          <w:sz w:val="20"/>
        </w:rPr>
        <w:t>(3)</w:t>
      </w:r>
      <w:r>
        <w:rPr>
          <w:sz w:val="20"/>
        </w:rPr>
        <w:t>, 1–7</w:t>
      </w:r>
      <w:r>
        <w:rPr>
          <w:sz w:val="20"/>
        </w:rPr>
        <w:t xml:space="preserve">. </w:t>
      </w:r>
      <w:hyperlink r:id="rId37" w:history="1">
        <w:r>
          <w:rPr>
            <w:color w:val="0563C1"/>
            <w:sz w:val="20"/>
          </w:rPr>
          <w:t>https://doi.org/10.18579/jopcr/v18.3.patel</w:t>
        </w:r>
      </w:hyperlink>
    </w:p>
    <w:p w:rsidR="000F2DBA" w:rsidRPr="00456420" w:rsidRDefault="0063169A">
      <w:pPr>
        <w:keepLines/>
        <w:spacing w:after="60" w:line="276" w:lineRule="auto" w:before="0"/>
        <w:ind w:left="360" w:hanging="360"/>
        <w:jc w:val="left"/>
      </w:pPr>
      <w:r>
        <w:rPr>
          <w:i w:val="0"/>
          <w:sz w:val="20"/>
        </w:rPr>
        <w:t xml:space="preserve">Rahman, N., &amp; Afaq, N. (2010). Optimization and validation of spectrofluorimetric method for the determination of clomipramine hydrochloride via ion-pair complexation with alizarin red S. </w:t>
      </w:r>
      <w:r>
        <w:rPr>
          <w:i/>
          <w:sz w:val="20"/>
        </w:rPr>
        <w:t>Analytical Methods</w:t>
      </w:r>
      <w:r>
        <w:rPr>
          <w:sz w:val="20"/>
        </w:rPr>
        <w:t xml:space="preserve">, </w:t>
      </w:r>
      <w:r>
        <w:rPr>
          <w:i/>
          <w:sz w:val="20"/>
        </w:rPr>
        <w:t>2</w:t>
      </w:r>
      <w:r>
        <w:rPr>
          <w:sz w:val="20"/>
        </w:rPr>
        <w:t>, 513–518</w:t>
      </w:r>
      <w:r>
        <w:rPr>
          <w:sz w:val="20"/>
        </w:rPr>
        <w:t xml:space="preserve">. </w:t>
      </w:r>
      <w:hyperlink r:id="rId38" w:history="1">
        <w:r>
          <w:rPr>
            <w:color w:val="0563C1"/>
            <w:sz w:val="20"/>
          </w:rPr>
          <w:t>https://doi.org/10.1039/C0AY00017E</w:t>
        </w:r>
      </w:hyperlink>
    </w:p>
    <w:p w:rsidR="000F2DBA" w:rsidRPr="00456420" w:rsidRDefault="0063169A">
      <w:pPr>
        <w:keepLines/>
        <w:spacing w:after="60" w:line="276" w:lineRule="auto" w:before="0"/>
        <w:ind w:left="360" w:hanging="360"/>
        <w:jc w:val="left"/>
      </w:pPr>
      <w:r>
        <w:rPr>
          <w:i w:val="0"/>
          <w:sz w:val="20"/>
        </w:rPr>
        <w:t xml:space="preserve">Ramachandran, C., Nair, S. G., Kumar, G. S., &amp; Viswanad, V. (2018). Formulation and evaluation of mucoadhesive buccal patch containing imipramine hydrochloride. </w:t>
      </w:r>
      <w:r>
        <w:rPr>
          <w:i/>
          <w:sz w:val="20"/>
        </w:rPr>
        <w:t>International Journal of Research in Pharmaceutical Sciences</w:t>
      </w:r>
      <w:r>
        <w:rPr>
          <w:sz w:val="20"/>
        </w:rPr>
        <w:t xml:space="preserve">, </w:t>
      </w:r>
      <w:r>
        <w:rPr>
          <w:i/>
          <w:sz w:val="20"/>
        </w:rPr>
        <w:t>9</w:t>
      </w:r>
      <w:r>
        <w:rPr>
          <w:sz w:val="20"/>
        </w:rPr>
        <w:t>(4)</w:t>
      </w:r>
      <w:r>
        <w:rPr>
          <w:sz w:val="20"/>
        </w:rPr>
        <w:t>, 1409–1422</w:t>
      </w:r>
      <w:r>
        <w:rPr>
          <w:sz w:val="20"/>
        </w:rPr>
        <w:t xml:space="preserve">. </w:t>
      </w:r>
      <w:hyperlink r:id="rId39" w:history="1">
        <w:r>
          <w:rPr>
            <w:color w:val="0563C1"/>
            <w:sz w:val="20"/>
          </w:rPr>
          <w:t>https://doi.org/10.26452/ijrps.v9i4.1695</w:t>
        </w:r>
      </w:hyperlink>
    </w:p>
    <w:p w:rsidR="000F2DBA" w:rsidRPr="00456420" w:rsidRDefault="0063169A">
      <w:pPr>
        <w:keepLines/>
        <w:spacing w:after="60" w:line="276" w:lineRule="auto" w:before="0"/>
        <w:ind w:left="360" w:hanging="360"/>
        <w:jc w:val="left"/>
      </w:pPr>
      <w:r>
        <w:rPr>
          <w:i w:val="0"/>
          <w:sz w:val="20"/>
        </w:rPr>
        <w:t xml:space="preserve">Salehi, S., &amp; Boddohi, S. (2017). New formulation and approach for mucoadhesive buccal film of rizatriptan benzoate. </w:t>
      </w:r>
      <w:r>
        <w:rPr>
          <w:i/>
          <w:sz w:val="20"/>
        </w:rPr>
        <w:t>Progress in Biomaterials</w:t>
      </w:r>
      <w:r>
        <w:rPr>
          <w:sz w:val="20"/>
        </w:rPr>
        <w:t xml:space="preserve">, </w:t>
      </w:r>
      <w:r>
        <w:rPr>
          <w:i/>
          <w:sz w:val="20"/>
        </w:rPr>
        <w:t>6</w:t>
      </w:r>
      <w:r>
        <w:rPr>
          <w:sz w:val="20"/>
        </w:rPr>
        <w:t>, 175–187</w:t>
      </w:r>
      <w:r>
        <w:rPr>
          <w:sz w:val="20"/>
        </w:rPr>
        <w:t xml:space="preserve">. </w:t>
      </w:r>
      <w:hyperlink r:id="rId40" w:history="1">
        <w:r>
          <w:rPr>
            <w:color w:val="0563C1"/>
            <w:sz w:val="20"/>
          </w:rPr>
          <w:t>https://doi.org/10.1007/s40204-017-0077-7</w:t>
        </w:r>
      </w:hyperlink>
    </w:p>
    <w:p w:rsidR="000F2DBA" w:rsidRPr="00456420" w:rsidRDefault="0063169A">
      <w:pPr>
        <w:keepLines/>
        <w:spacing w:after="60" w:line="276" w:lineRule="auto" w:before="0"/>
        <w:ind w:left="360" w:hanging="360"/>
        <w:jc w:val="left"/>
      </w:pPr>
      <w:r>
        <w:rPr>
          <w:i w:val="0"/>
          <w:sz w:val="20"/>
        </w:rPr>
        <w:t xml:space="preserve">Semalty, M., Semalty, A., &amp; Kumar, G. (2008). Formulation and characterization of mucoadhesive buccal films of glipizide. </w:t>
      </w:r>
      <w:r>
        <w:rPr>
          <w:i/>
          <w:sz w:val="20"/>
        </w:rPr>
        <w:t>Indian Journal of Pharmaceutical Sciences</w:t>
      </w:r>
      <w:r>
        <w:rPr>
          <w:sz w:val="20"/>
        </w:rPr>
        <w:t xml:space="preserve">, </w:t>
      </w:r>
      <w:r>
        <w:rPr>
          <w:i/>
          <w:sz w:val="20"/>
        </w:rPr>
        <w:t>70</w:t>
      </w:r>
      <w:r>
        <w:rPr>
          <w:sz w:val="20"/>
        </w:rPr>
        <w:t>(1)</w:t>
      </w:r>
      <w:r>
        <w:rPr>
          <w:sz w:val="20"/>
        </w:rPr>
        <w:t>, 43–48</w:t>
      </w:r>
      <w:r>
        <w:rPr>
          <w:sz w:val="20"/>
        </w:rPr>
        <w:t xml:space="preserve">. </w:t>
      </w:r>
      <w:hyperlink r:id="rId41" w:history="1">
        <w:r>
          <w:rPr>
            <w:color w:val="0563C1"/>
            <w:sz w:val="20"/>
          </w:rPr>
          <w:t>https://doi.org/10.4103/0250-474X.40330</w:t>
        </w:r>
      </w:hyperlink>
    </w:p>
    <w:p w:rsidR="000F2DBA" w:rsidRPr="00456420" w:rsidRDefault="0063169A">
      <w:pPr>
        <w:keepLines/>
        <w:spacing w:after="60" w:line="276" w:lineRule="auto" w:before="0"/>
        <w:ind w:left="360" w:hanging="360"/>
        <w:jc w:val="left"/>
      </w:pPr>
      <w:r>
        <w:rPr>
          <w:i w:val="0"/>
          <w:sz w:val="20"/>
        </w:rPr>
        <w:t xml:space="preserve">Semwal, A., Agrahari, M., Joshi, V., Koul, R., &amp; Trivedi, R. K. (2026). Mucoadhesive drug delivery systems: A critical appraisal of adhesion mechanisms, formulation strategies and translational prospects. </w:t>
      </w:r>
      <w:r>
        <w:rPr>
          <w:i/>
          <w:sz w:val="20"/>
        </w:rPr>
        <w:t>Asian Journal of Microbiology and Biotechnology</w:t>
      </w:r>
      <w:r>
        <w:rPr>
          <w:sz w:val="20"/>
        </w:rPr>
        <w:t xml:space="preserve">, </w:t>
      </w:r>
      <w:r>
        <w:rPr>
          <w:i/>
          <w:sz w:val="20"/>
        </w:rPr>
        <w:t>11</w:t>
      </w:r>
      <w:r>
        <w:rPr>
          <w:sz w:val="20"/>
        </w:rPr>
        <w:t>(2)</w:t>
      </w:r>
      <w:r>
        <w:rPr>
          <w:sz w:val="20"/>
        </w:rPr>
        <w:t>, 142–171</w:t>
      </w:r>
      <w:r>
        <w:rPr>
          <w:sz w:val="20"/>
        </w:rPr>
        <w:t xml:space="preserve">. </w:t>
      </w:r>
      <w:hyperlink r:id="rId42" w:history="1">
        <w:r>
          <w:rPr>
            <w:color w:val="0563C1"/>
            <w:sz w:val="20"/>
          </w:rPr>
          <w:t>https://doi.org/10.56557/ajmab/2026/v11i210910</w:t>
        </w:r>
      </w:hyperlink>
    </w:p>
    <w:p w:rsidR="000F2DBA" w:rsidRPr="00456420" w:rsidRDefault="0063169A">
      <w:pPr>
        <w:keepLines/>
        <w:spacing w:after="60" w:line="276" w:lineRule="auto" w:before="0"/>
        <w:ind w:left="360" w:hanging="360"/>
        <w:jc w:val="left"/>
      </w:pPr>
      <w:r>
        <w:rPr>
          <w:i w:val="0"/>
          <w:sz w:val="20"/>
        </w:rPr>
        <w:t xml:space="preserve">Smart, J. D. (2005). The basics and underlying mechanisms of mucoadhesion. </w:t>
      </w:r>
      <w:r>
        <w:rPr>
          <w:i/>
          <w:sz w:val="20"/>
        </w:rPr>
        <w:t>Advanced Drug Delivery Reviews</w:t>
      </w:r>
      <w:r>
        <w:rPr>
          <w:sz w:val="20"/>
        </w:rPr>
        <w:t xml:space="preserve">, </w:t>
      </w:r>
      <w:r>
        <w:rPr>
          <w:i/>
          <w:sz w:val="20"/>
        </w:rPr>
        <w:t>57</w:t>
      </w:r>
      <w:r>
        <w:rPr>
          <w:sz w:val="20"/>
        </w:rPr>
        <w:t>(11)</w:t>
      </w:r>
      <w:r>
        <w:rPr>
          <w:sz w:val="20"/>
        </w:rPr>
        <w:t>, 1556–1568</w:t>
      </w:r>
      <w:r>
        <w:rPr>
          <w:sz w:val="20"/>
        </w:rPr>
        <w:t xml:space="preserve">. </w:t>
      </w:r>
      <w:hyperlink r:id="rId43" w:history="1">
        <w:r>
          <w:rPr>
            <w:color w:val="0563C1"/>
            <w:sz w:val="20"/>
          </w:rPr>
          <w:t>https://doi.org/10.1016/j.addr.2005.07.001</w:t>
        </w:r>
      </w:hyperlink>
    </w:p>
    <w:p w:rsidR="00113A65" w:rsidRPr="00456420" w:rsidRDefault="0063169A">
      <w:pPr>
        <w:pStyle w:val="ListParagraph"/>
        <w:keepLines/>
        <w:spacing w:after="60" w:line="276" w:lineRule="auto" w:before="0"/>
        <w:ind w:left="360" w:hanging="360"/>
        <w:jc w:val="left"/>
      </w:pPr>
      <w:r>
        <w:rPr>
          <w:i w:val="0"/>
          <w:sz w:val="20"/>
        </w:rPr>
        <w:t xml:space="preserve">Tanaka, E., Terada, M., Nakamura, T., Misawa, S., &amp; Wakasugi, C. (1997). Forensic analysis of eleven cyclic antidepressants in human biological samples using a new reversed-phase chromatographic column of 2 µm porous microspherical silica gel. </w:t>
      </w:r>
      <w:r>
        <w:rPr>
          <w:i/>
          <w:sz w:val="20"/>
        </w:rPr>
        <w:t>Journal of Chromatography B: Biomedical Sciences and Applications</w:t>
      </w:r>
      <w:r>
        <w:rPr>
          <w:sz w:val="20"/>
        </w:rPr>
        <w:t xml:space="preserve">, </w:t>
      </w:r>
      <w:r>
        <w:rPr>
          <w:i/>
          <w:sz w:val="20"/>
        </w:rPr>
        <w:t>692</w:t>
      </w:r>
      <w:r>
        <w:rPr>
          <w:sz w:val="20"/>
        </w:rPr>
        <w:t>(2)</w:t>
      </w:r>
      <w:r>
        <w:rPr>
          <w:sz w:val="20"/>
        </w:rPr>
        <w:t>, 405–412</w:t>
      </w:r>
      <w:r>
        <w:rPr>
          <w:sz w:val="20"/>
        </w:rPr>
        <w:t xml:space="preserve">. </w:t>
      </w:r>
      <w:hyperlink r:id="rId44" w:history="1">
        <w:r>
          <w:rPr>
            <w:color w:val="0563C1"/>
            <w:sz w:val="20"/>
          </w:rPr>
          <w:t>https://doi.org/10.1016/S0378-4347(96)00510-5</w:t>
        </w:r>
      </w:hyperlink>
    </w:p>
    <w:p w:rsidR="00113A65" w:rsidRPr="00456420" w:rsidRDefault="0063169A">
      <w:pPr>
        <w:pStyle w:val="ListParagraph"/>
        <w:keepLines/>
        <w:spacing w:after="60" w:line="276" w:lineRule="auto" w:before="0"/>
        <w:ind w:left="360" w:hanging="360"/>
        <w:jc w:val="left"/>
      </w:pPr>
      <w:r>
        <w:rPr>
          <w:i w:val="0"/>
          <w:sz w:val="20"/>
        </w:rPr>
        <w:t xml:space="preserve">Vasantha, P. V., Puratchikody, A., Mathew, S. T., &amp; Balaraman, A. K. (2011). Development and characterization of Eudragit based mucoadhesive buccal patches of salbutamol sulfate. </w:t>
      </w:r>
      <w:r>
        <w:rPr>
          <w:i/>
          <w:sz w:val="20"/>
        </w:rPr>
        <w:t>Saudi Pharmaceutical Journal</w:t>
      </w:r>
      <w:r>
        <w:rPr>
          <w:sz w:val="20"/>
        </w:rPr>
        <w:t xml:space="preserve">, </w:t>
      </w:r>
      <w:r>
        <w:rPr>
          <w:i/>
          <w:sz w:val="20"/>
        </w:rPr>
        <w:t>19</w:t>
      </w:r>
      <w:r>
        <w:rPr>
          <w:sz w:val="20"/>
        </w:rPr>
        <w:t>(4)</w:t>
      </w:r>
      <w:r>
        <w:rPr>
          <w:sz w:val="20"/>
        </w:rPr>
        <w:t>, 207–214</w:t>
      </w:r>
      <w:r>
        <w:rPr>
          <w:sz w:val="20"/>
        </w:rPr>
        <w:t xml:space="preserve">. </w:t>
      </w:r>
      <w:hyperlink r:id="rId45" w:history="1">
        <w:r>
          <w:rPr>
            <w:color w:val="0563C1"/>
            <w:sz w:val="20"/>
          </w:rPr>
          <w:t>https://doi.org/10.1016/j.jsps.2011.07.003</w:t>
        </w:r>
      </w:hyperlink>
    </w:p>
    <w:p w:rsidR="00366662" w:rsidRPr="00DB14C0" w:rsidRDefault="00366662" w:rsidP="003708B6">
      <w:pPr>
        <w:spacing w:after="4" w:line="360" w:lineRule="auto"/>
        <w:ind w:right="113"/>
        <w:jc w:val="both"/>
        <w:rPr>
          <w:rFonts w:ascii="Arial" w:hAnsi="Arial" w:cs="Arial"/>
          <w:sz w:val="20"/>
          <w:szCs w:val="20"/>
        </w:rPr>
      </w:pPr>
    </w:p>
    <w:p w:rsidR="00133C69" w:rsidRPr="00DB14C0" w:rsidRDefault="00133C69" w:rsidP="00573169">
      <w:pPr>
        <w:spacing w:after="4" w:line="360" w:lineRule="auto"/>
        <w:ind w:right="113"/>
        <w:jc w:val="both"/>
        <w:rPr>
          <w:rFonts w:ascii="Arial" w:hAnsi="Arial" w:cs="Arial"/>
          <w:sz w:val="20"/>
          <w:szCs w:val="20"/>
        </w:rPr>
      </w:pPr>
    </w:p>
    <w:p w:rsidR="00935968" w:rsidRPr="00DB14C0" w:rsidRDefault="00935968" w:rsidP="00935968">
      <w:pPr>
        <w:spacing w:after="4" w:line="360" w:lineRule="auto"/>
        <w:ind w:right="113"/>
        <w:jc w:val="both"/>
        <w:rPr>
          <w:rFonts w:ascii="Arial" w:hAnsi="Arial" w:cs="Arial"/>
          <w:sz w:val="20"/>
          <w:szCs w:val="20"/>
        </w:rPr>
      </w:pPr>
      <w:bookmarkStart w:id="0" w:name="_GoBack"/>
      <w:bookmarkEnd w:id="0"/>
    </w:p>
    <w:sectPr w:rsidR="00935968" w:rsidRPr="00DB14C0">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63169A" w:rsidRDefault="0063169A" w:rsidP="006A2CBA">
      <w:pPr>
        <w:spacing w:after="0" w:line="240" w:lineRule="auto"/>
      </w:pPr>
      <w:r>
        <w:separator/>
      </w:r>
    </w:p>
  </w:endnote>
  <w:endnote w:type="continuationSeparator" w:id="0">
    <w:p w:rsidR="0063169A" w:rsidRDefault="0063169A" w:rsidP="006A2C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altName w:val="Arial"/>
    <w:charset w:val="00"/>
    <w:family w:val="swiss"/>
    <w:pitch w:val="variable"/>
    <w:sig w:usb0="20000287" w:usb1="00000003" w:usb2="00000000" w:usb3="00000000" w:csb0="0000019F" w:csb1="00000000"/>
  </w:font>
  <w:font w:name="Aptos Display">
    <w:altName w:val="Arial"/>
    <w:charset w:val="00"/>
    <w:family w:val="swiss"/>
    <w:pitch w:val="variable"/>
    <w:sig w:usb0="20000287" w:usb1="00000003" w:usb2="00000000" w:usb3="00000000" w:csb0="0000019F" w:csb1="00000000"/>
  </w:font>
  <w:font w:name="Arial">
    <w:panose1 w:val="020B0604020202020204"/>
    <w:charset w:val="00"/>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63169A" w:rsidRDefault="0063169A" w:rsidP="006A2CBA">
      <w:pPr>
        <w:spacing w:after="0" w:line="240" w:lineRule="auto"/>
      </w:pPr>
      <w:r>
        <w:separator/>
      </w:r>
    </w:p>
  </w:footnote>
  <w:footnote w:type="continuationSeparator" w:id="0">
    <w:p w:rsidR="0063169A" w:rsidRDefault="0063169A" w:rsidP="006A2C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3395076"/>
    <w:multiLevelType w:val="hybridMultilevel"/>
    <w:tmpl w:val="088E6880"/>
    <w:lvl w:ilvl="0" w:tplc="4009000F">
      <w:start w:val="1"/>
      <w:numFmt w:val="decimal"/>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1" w15:restartNumberingAfterBreak="0">
    <w:nsid w:val="5B726936"/>
    <w:multiLevelType w:val="hybridMultilevel"/>
    <w:tmpl w:val="2CF4D216"/>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abstractNum w:abstractNumId="2" w15:restartNumberingAfterBreak="0">
    <w:nsid w:val="6A2560E2"/>
    <w:multiLevelType w:val="hybridMultilevel"/>
    <w:tmpl w:val="0C8E1266"/>
    <w:lvl w:ilvl="0" w:tplc="40090001">
      <w:start w:val="1"/>
      <w:numFmt w:val="bullet"/>
      <w:lvlText w:val=""/>
      <w:lvlJc w:val="left"/>
      <w:pPr>
        <w:ind w:left="720" w:hanging="360"/>
      </w:pPr>
      <w:rPr>
        <w:rFonts w:ascii="Symbol" w:hAnsi="Symbol" w:hint="default"/>
      </w:rPr>
    </w:lvl>
    <w:lvl w:ilvl="1" w:tplc="40090003" w:tentative="1">
      <w:start w:val="1"/>
      <w:numFmt w:val="bullet"/>
      <w:lvlText w:val="o"/>
      <w:lvlJc w:val="left"/>
      <w:pPr>
        <w:ind w:left="1440" w:hanging="360"/>
      </w:pPr>
      <w:rPr>
        <w:rFonts w:ascii="Courier New" w:hAnsi="Courier New" w:cs="Courier New" w:hint="default"/>
      </w:rPr>
    </w:lvl>
    <w:lvl w:ilvl="2" w:tplc="40090005" w:tentative="1">
      <w:start w:val="1"/>
      <w:numFmt w:val="bullet"/>
      <w:lvlText w:val=""/>
      <w:lvlJc w:val="left"/>
      <w:pPr>
        <w:ind w:left="2160" w:hanging="360"/>
      </w:pPr>
      <w:rPr>
        <w:rFonts w:ascii="Wingdings" w:hAnsi="Wingdings" w:hint="default"/>
      </w:rPr>
    </w:lvl>
    <w:lvl w:ilvl="3" w:tplc="40090001" w:tentative="1">
      <w:start w:val="1"/>
      <w:numFmt w:val="bullet"/>
      <w:lvlText w:val=""/>
      <w:lvlJc w:val="left"/>
      <w:pPr>
        <w:ind w:left="2880" w:hanging="360"/>
      </w:pPr>
      <w:rPr>
        <w:rFonts w:ascii="Symbol" w:hAnsi="Symbol" w:hint="default"/>
      </w:rPr>
    </w:lvl>
    <w:lvl w:ilvl="4" w:tplc="40090003" w:tentative="1">
      <w:start w:val="1"/>
      <w:numFmt w:val="bullet"/>
      <w:lvlText w:val="o"/>
      <w:lvlJc w:val="left"/>
      <w:pPr>
        <w:ind w:left="3600" w:hanging="360"/>
      </w:pPr>
      <w:rPr>
        <w:rFonts w:ascii="Courier New" w:hAnsi="Courier New" w:cs="Courier New" w:hint="default"/>
      </w:rPr>
    </w:lvl>
    <w:lvl w:ilvl="5" w:tplc="40090005" w:tentative="1">
      <w:start w:val="1"/>
      <w:numFmt w:val="bullet"/>
      <w:lvlText w:val=""/>
      <w:lvlJc w:val="left"/>
      <w:pPr>
        <w:ind w:left="4320" w:hanging="360"/>
      </w:pPr>
      <w:rPr>
        <w:rFonts w:ascii="Wingdings" w:hAnsi="Wingdings" w:hint="default"/>
      </w:rPr>
    </w:lvl>
    <w:lvl w:ilvl="6" w:tplc="40090001" w:tentative="1">
      <w:start w:val="1"/>
      <w:numFmt w:val="bullet"/>
      <w:lvlText w:val=""/>
      <w:lvlJc w:val="left"/>
      <w:pPr>
        <w:ind w:left="5040" w:hanging="360"/>
      </w:pPr>
      <w:rPr>
        <w:rFonts w:ascii="Symbol" w:hAnsi="Symbol" w:hint="default"/>
      </w:rPr>
    </w:lvl>
    <w:lvl w:ilvl="7" w:tplc="40090003" w:tentative="1">
      <w:start w:val="1"/>
      <w:numFmt w:val="bullet"/>
      <w:lvlText w:val="o"/>
      <w:lvlJc w:val="left"/>
      <w:pPr>
        <w:ind w:left="5760" w:hanging="360"/>
      </w:pPr>
      <w:rPr>
        <w:rFonts w:ascii="Courier New" w:hAnsi="Courier New" w:cs="Courier New" w:hint="default"/>
      </w:rPr>
    </w:lvl>
    <w:lvl w:ilvl="8" w:tplc="40090005" w:tentative="1">
      <w:start w:val="1"/>
      <w:numFmt w:val="bullet"/>
      <w:lvlText w:val=""/>
      <w:lvlJc w:val="left"/>
      <w:pPr>
        <w:ind w:left="6480" w:hanging="360"/>
      </w:pPr>
      <w:rPr>
        <w:rFonts w:ascii="Wingdings" w:hAnsi="Wingdings" w:hint="default"/>
      </w:rPr>
    </w:lvl>
  </w:abstractNum>
  <w:abstractNum w:abstractNumId="3" w15:restartNumberingAfterBreak="0">
    <w:nsid w:val="79755040"/>
    <w:multiLevelType w:val="hybridMultilevel"/>
    <w:tmpl w:val="CA06FF88"/>
    <w:lvl w:ilvl="0" w:tplc="40090019">
      <w:start w:val="1"/>
      <w:numFmt w:val="lowerLetter"/>
      <w:lvlText w:val="%1."/>
      <w:lvlJc w:val="left"/>
      <w:pPr>
        <w:ind w:left="720" w:hanging="360"/>
      </w:pPr>
    </w:lvl>
    <w:lvl w:ilvl="1" w:tplc="40090019" w:tentative="1">
      <w:start w:val="1"/>
      <w:numFmt w:val="lowerLetter"/>
      <w:lvlText w:val="%2."/>
      <w:lvlJc w:val="left"/>
      <w:pPr>
        <w:ind w:left="1440" w:hanging="360"/>
      </w:pPr>
    </w:lvl>
    <w:lvl w:ilvl="2" w:tplc="4009001B" w:tentative="1">
      <w:start w:val="1"/>
      <w:numFmt w:val="lowerRoman"/>
      <w:lvlText w:val="%3."/>
      <w:lvlJc w:val="right"/>
      <w:pPr>
        <w:ind w:left="2160" w:hanging="180"/>
      </w:pPr>
    </w:lvl>
    <w:lvl w:ilvl="3" w:tplc="4009000F" w:tentative="1">
      <w:start w:val="1"/>
      <w:numFmt w:val="decimal"/>
      <w:lvlText w:val="%4."/>
      <w:lvlJc w:val="left"/>
      <w:pPr>
        <w:ind w:left="2880" w:hanging="360"/>
      </w:pPr>
    </w:lvl>
    <w:lvl w:ilvl="4" w:tplc="40090019" w:tentative="1">
      <w:start w:val="1"/>
      <w:numFmt w:val="lowerLetter"/>
      <w:lvlText w:val="%5."/>
      <w:lvlJc w:val="left"/>
      <w:pPr>
        <w:ind w:left="3600" w:hanging="360"/>
      </w:pPr>
    </w:lvl>
    <w:lvl w:ilvl="5" w:tplc="4009001B" w:tentative="1">
      <w:start w:val="1"/>
      <w:numFmt w:val="lowerRoman"/>
      <w:lvlText w:val="%6."/>
      <w:lvlJc w:val="right"/>
      <w:pPr>
        <w:ind w:left="4320" w:hanging="180"/>
      </w:pPr>
    </w:lvl>
    <w:lvl w:ilvl="6" w:tplc="4009000F" w:tentative="1">
      <w:start w:val="1"/>
      <w:numFmt w:val="decimal"/>
      <w:lvlText w:val="%7."/>
      <w:lvlJc w:val="left"/>
      <w:pPr>
        <w:ind w:left="5040" w:hanging="360"/>
      </w:pPr>
    </w:lvl>
    <w:lvl w:ilvl="7" w:tplc="40090019" w:tentative="1">
      <w:start w:val="1"/>
      <w:numFmt w:val="lowerLetter"/>
      <w:lvlText w:val="%8."/>
      <w:lvlJc w:val="left"/>
      <w:pPr>
        <w:ind w:left="5760" w:hanging="360"/>
      </w:pPr>
    </w:lvl>
    <w:lvl w:ilvl="8" w:tplc="4009001B" w:tentative="1">
      <w:start w:val="1"/>
      <w:numFmt w:val="lowerRoman"/>
      <w:lvlText w:val="%9."/>
      <w:lvlJc w:val="right"/>
      <w:pPr>
        <w:ind w:left="6480" w:hanging="180"/>
      </w:pPr>
    </w:lvl>
  </w:abstractNum>
  <w:num w:numId="1">
    <w:abstractNumId w:val="3"/>
  </w:num>
  <w:num w:numId="2">
    <w:abstractNumId w:val="1"/>
  </w:num>
  <w:num w:numId="3">
    <w:abstractNumId w:val="2"/>
  </w:num>
  <w:num w:numId="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A7C02"/>
    <w:rsid w:val="00002BF3"/>
    <w:rsid w:val="00007DB7"/>
    <w:rsid w:val="0001038A"/>
    <w:rsid w:val="0001567D"/>
    <w:rsid w:val="00023D44"/>
    <w:rsid w:val="00027B28"/>
    <w:rsid w:val="00030644"/>
    <w:rsid w:val="00031CA0"/>
    <w:rsid w:val="000335E3"/>
    <w:rsid w:val="00044396"/>
    <w:rsid w:val="00050D6D"/>
    <w:rsid w:val="000524BB"/>
    <w:rsid w:val="00052ED3"/>
    <w:rsid w:val="00056428"/>
    <w:rsid w:val="00060391"/>
    <w:rsid w:val="000719FA"/>
    <w:rsid w:val="0007350D"/>
    <w:rsid w:val="00075073"/>
    <w:rsid w:val="00075D20"/>
    <w:rsid w:val="0008089B"/>
    <w:rsid w:val="00081685"/>
    <w:rsid w:val="00085937"/>
    <w:rsid w:val="00085DAD"/>
    <w:rsid w:val="00087D49"/>
    <w:rsid w:val="00087ED4"/>
    <w:rsid w:val="00092D5C"/>
    <w:rsid w:val="000A054F"/>
    <w:rsid w:val="000A2104"/>
    <w:rsid w:val="000C3D97"/>
    <w:rsid w:val="000C6ECF"/>
    <w:rsid w:val="000D63AE"/>
    <w:rsid w:val="000E1EB0"/>
    <w:rsid w:val="000F0B0E"/>
    <w:rsid w:val="000F1BD7"/>
    <w:rsid w:val="000F2DBA"/>
    <w:rsid w:val="000F47B5"/>
    <w:rsid w:val="00100A40"/>
    <w:rsid w:val="001015D9"/>
    <w:rsid w:val="0010685D"/>
    <w:rsid w:val="001069D7"/>
    <w:rsid w:val="00113A65"/>
    <w:rsid w:val="001164AE"/>
    <w:rsid w:val="00133C69"/>
    <w:rsid w:val="001369A4"/>
    <w:rsid w:val="00141DF7"/>
    <w:rsid w:val="00160428"/>
    <w:rsid w:val="001610B8"/>
    <w:rsid w:val="001643CA"/>
    <w:rsid w:val="00164F14"/>
    <w:rsid w:val="00173C45"/>
    <w:rsid w:val="00175662"/>
    <w:rsid w:val="0017780A"/>
    <w:rsid w:val="001864D5"/>
    <w:rsid w:val="001A1286"/>
    <w:rsid w:val="001A510E"/>
    <w:rsid w:val="001B5324"/>
    <w:rsid w:val="001B566F"/>
    <w:rsid w:val="001C342D"/>
    <w:rsid w:val="001C384E"/>
    <w:rsid w:val="001C7F34"/>
    <w:rsid w:val="001E11AB"/>
    <w:rsid w:val="001E4D54"/>
    <w:rsid w:val="002002C4"/>
    <w:rsid w:val="002033F4"/>
    <w:rsid w:val="002059B7"/>
    <w:rsid w:val="00210AA1"/>
    <w:rsid w:val="00231370"/>
    <w:rsid w:val="002377CE"/>
    <w:rsid w:val="00237D41"/>
    <w:rsid w:val="002462F7"/>
    <w:rsid w:val="00250666"/>
    <w:rsid w:val="002559C5"/>
    <w:rsid w:val="002670BD"/>
    <w:rsid w:val="00272787"/>
    <w:rsid w:val="00283E29"/>
    <w:rsid w:val="0028539B"/>
    <w:rsid w:val="00290CA7"/>
    <w:rsid w:val="002A5E9C"/>
    <w:rsid w:val="002A7A04"/>
    <w:rsid w:val="002B4209"/>
    <w:rsid w:val="002B52DB"/>
    <w:rsid w:val="002B6CD4"/>
    <w:rsid w:val="002B7F58"/>
    <w:rsid w:val="002C0861"/>
    <w:rsid w:val="002C2AC8"/>
    <w:rsid w:val="002C492A"/>
    <w:rsid w:val="002C69A6"/>
    <w:rsid w:val="002D2C52"/>
    <w:rsid w:val="002E09D2"/>
    <w:rsid w:val="002E19F9"/>
    <w:rsid w:val="002E4685"/>
    <w:rsid w:val="002F33ED"/>
    <w:rsid w:val="002F3F78"/>
    <w:rsid w:val="002F5BB9"/>
    <w:rsid w:val="00307D7D"/>
    <w:rsid w:val="00311545"/>
    <w:rsid w:val="00313457"/>
    <w:rsid w:val="00320702"/>
    <w:rsid w:val="00324771"/>
    <w:rsid w:val="00327506"/>
    <w:rsid w:val="0033012F"/>
    <w:rsid w:val="0033466F"/>
    <w:rsid w:val="00334ABE"/>
    <w:rsid w:val="003412CA"/>
    <w:rsid w:val="003523B7"/>
    <w:rsid w:val="00363D87"/>
    <w:rsid w:val="00366662"/>
    <w:rsid w:val="0036708B"/>
    <w:rsid w:val="003708B6"/>
    <w:rsid w:val="0037695A"/>
    <w:rsid w:val="00380A17"/>
    <w:rsid w:val="00384C12"/>
    <w:rsid w:val="00384C67"/>
    <w:rsid w:val="00391615"/>
    <w:rsid w:val="00397782"/>
    <w:rsid w:val="003A242A"/>
    <w:rsid w:val="003B34AE"/>
    <w:rsid w:val="003B34CA"/>
    <w:rsid w:val="003B6532"/>
    <w:rsid w:val="003C00BC"/>
    <w:rsid w:val="003D11D8"/>
    <w:rsid w:val="003E068C"/>
    <w:rsid w:val="003E1B18"/>
    <w:rsid w:val="003E202A"/>
    <w:rsid w:val="003F3D91"/>
    <w:rsid w:val="003F4C70"/>
    <w:rsid w:val="003F76C5"/>
    <w:rsid w:val="004014D8"/>
    <w:rsid w:val="00406644"/>
    <w:rsid w:val="00411A9C"/>
    <w:rsid w:val="004122FA"/>
    <w:rsid w:val="004176E1"/>
    <w:rsid w:val="004327F9"/>
    <w:rsid w:val="004414BF"/>
    <w:rsid w:val="00443D7A"/>
    <w:rsid w:val="00450F62"/>
    <w:rsid w:val="00456420"/>
    <w:rsid w:val="004617EB"/>
    <w:rsid w:val="00464EDD"/>
    <w:rsid w:val="00466EF9"/>
    <w:rsid w:val="004716B7"/>
    <w:rsid w:val="00474802"/>
    <w:rsid w:val="0047670D"/>
    <w:rsid w:val="00481CF9"/>
    <w:rsid w:val="004833F9"/>
    <w:rsid w:val="00497A5B"/>
    <w:rsid w:val="004B0042"/>
    <w:rsid w:val="004B007E"/>
    <w:rsid w:val="004B0812"/>
    <w:rsid w:val="004B117D"/>
    <w:rsid w:val="004B2639"/>
    <w:rsid w:val="004B3951"/>
    <w:rsid w:val="004B3A35"/>
    <w:rsid w:val="004B597E"/>
    <w:rsid w:val="004C78B9"/>
    <w:rsid w:val="004D4EA2"/>
    <w:rsid w:val="004D5AF1"/>
    <w:rsid w:val="004E18DE"/>
    <w:rsid w:val="004F6C69"/>
    <w:rsid w:val="00502B41"/>
    <w:rsid w:val="00506207"/>
    <w:rsid w:val="0050650D"/>
    <w:rsid w:val="00511722"/>
    <w:rsid w:val="00515537"/>
    <w:rsid w:val="00515A27"/>
    <w:rsid w:val="00520A26"/>
    <w:rsid w:val="00522E00"/>
    <w:rsid w:val="005233D6"/>
    <w:rsid w:val="00537BCE"/>
    <w:rsid w:val="00543B21"/>
    <w:rsid w:val="005510A7"/>
    <w:rsid w:val="0055793A"/>
    <w:rsid w:val="00560CFF"/>
    <w:rsid w:val="005644FF"/>
    <w:rsid w:val="00571796"/>
    <w:rsid w:val="00571DAA"/>
    <w:rsid w:val="00573169"/>
    <w:rsid w:val="00574494"/>
    <w:rsid w:val="0057452C"/>
    <w:rsid w:val="00574C63"/>
    <w:rsid w:val="00574ED5"/>
    <w:rsid w:val="0059364A"/>
    <w:rsid w:val="0059371B"/>
    <w:rsid w:val="00596E4B"/>
    <w:rsid w:val="005A1BA8"/>
    <w:rsid w:val="005A2A62"/>
    <w:rsid w:val="005B4926"/>
    <w:rsid w:val="005B5E64"/>
    <w:rsid w:val="005B6526"/>
    <w:rsid w:val="005C0F52"/>
    <w:rsid w:val="005C2D12"/>
    <w:rsid w:val="005C38E0"/>
    <w:rsid w:val="005C4330"/>
    <w:rsid w:val="005C6160"/>
    <w:rsid w:val="005C7C4D"/>
    <w:rsid w:val="005D0E0D"/>
    <w:rsid w:val="005D5238"/>
    <w:rsid w:val="005E5915"/>
    <w:rsid w:val="005E7876"/>
    <w:rsid w:val="00606C24"/>
    <w:rsid w:val="00611AEF"/>
    <w:rsid w:val="00615F1C"/>
    <w:rsid w:val="006257AB"/>
    <w:rsid w:val="0062738F"/>
    <w:rsid w:val="0062763C"/>
    <w:rsid w:val="0063169A"/>
    <w:rsid w:val="00633757"/>
    <w:rsid w:val="006342FF"/>
    <w:rsid w:val="00640689"/>
    <w:rsid w:val="0064073D"/>
    <w:rsid w:val="00651C6B"/>
    <w:rsid w:val="00656E98"/>
    <w:rsid w:val="00661BB0"/>
    <w:rsid w:val="00663751"/>
    <w:rsid w:val="006753C5"/>
    <w:rsid w:val="00683118"/>
    <w:rsid w:val="006877FB"/>
    <w:rsid w:val="00695448"/>
    <w:rsid w:val="006A2CBA"/>
    <w:rsid w:val="006A3433"/>
    <w:rsid w:val="006B7235"/>
    <w:rsid w:val="006C0240"/>
    <w:rsid w:val="006C18EA"/>
    <w:rsid w:val="006C7212"/>
    <w:rsid w:val="006D5998"/>
    <w:rsid w:val="006D7E6B"/>
    <w:rsid w:val="006E1E68"/>
    <w:rsid w:val="006F5918"/>
    <w:rsid w:val="00701627"/>
    <w:rsid w:val="007031B9"/>
    <w:rsid w:val="00707349"/>
    <w:rsid w:val="00711B9D"/>
    <w:rsid w:val="0071208A"/>
    <w:rsid w:val="00712E48"/>
    <w:rsid w:val="00721A78"/>
    <w:rsid w:val="00726C02"/>
    <w:rsid w:val="007309DE"/>
    <w:rsid w:val="00730DD1"/>
    <w:rsid w:val="00735E3A"/>
    <w:rsid w:val="007565AC"/>
    <w:rsid w:val="00761EA5"/>
    <w:rsid w:val="00765B33"/>
    <w:rsid w:val="00770B1B"/>
    <w:rsid w:val="00771947"/>
    <w:rsid w:val="00772DE8"/>
    <w:rsid w:val="00791E1C"/>
    <w:rsid w:val="00792B2C"/>
    <w:rsid w:val="00796ED0"/>
    <w:rsid w:val="007A00CB"/>
    <w:rsid w:val="007A216C"/>
    <w:rsid w:val="007A2520"/>
    <w:rsid w:val="007A4C8B"/>
    <w:rsid w:val="007B0674"/>
    <w:rsid w:val="007B7D82"/>
    <w:rsid w:val="007C0DC3"/>
    <w:rsid w:val="007C53FD"/>
    <w:rsid w:val="007D1626"/>
    <w:rsid w:val="007D6EA1"/>
    <w:rsid w:val="007D7ADF"/>
    <w:rsid w:val="007E4083"/>
    <w:rsid w:val="007E4823"/>
    <w:rsid w:val="007E540F"/>
    <w:rsid w:val="007F14E7"/>
    <w:rsid w:val="007F257D"/>
    <w:rsid w:val="008118D3"/>
    <w:rsid w:val="008165A0"/>
    <w:rsid w:val="00817D06"/>
    <w:rsid w:val="008255E1"/>
    <w:rsid w:val="00826FF1"/>
    <w:rsid w:val="00831B3D"/>
    <w:rsid w:val="0083458D"/>
    <w:rsid w:val="0083778A"/>
    <w:rsid w:val="00841A67"/>
    <w:rsid w:val="00841EF5"/>
    <w:rsid w:val="00844532"/>
    <w:rsid w:val="00845ADF"/>
    <w:rsid w:val="008511EA"/>
    <w:rsid w:val="00856D0E"/>
    <w:rsid w:val="00885334"/>
    <w:rsid w:val="008A3ACF"/>
    <w:rsid w:val="008A4207"/>
    <w:rsid w:val="008A4A74"/>
    <w:rsid w:val="008C0BF1"/>
    <w:rsid w:val="008C127E"/>
    <w:rsid w:val="008D39D0"/>
    <w:rsid w:val="008D5B60"/>
    <w:rsid w:val="008E4A52"/>
    <w:rsid w:val="00901037"/>
    <w:rsid w:val="00903665"/>
    <w:rsid w:val="009043CD"/>
    <w:rsid w:val="00912EEF"/>
    <w:rsid w:val="009145C4"/>
    <w:rsid w:val="00916583"/>
    <w:rsid w:val="009171DE"/>
    <w:rsid w:val="00920ECD"/>
    <w:rsid w:val="00923CC8"/>
    <w:rsid w:val="0092639C"/>
    <w:rsid w:val="009268EE"/>
    <w:rsid w:val="00935968"/>
    <w:rsid w:val="00941391"/>
    <w:rsid w:val="00946694"/>
    <w:rsid w:val="009547D1"/>
    <w:rsid w:val="00961DD6"/>
    <w:rsid w:val="00961E03"/>
    <w:rsid w:val="00964CEB"/>
    <w:rsid w:val="00966A06"/>
    <w:rsid w:val="00972FCF"/>
    <w:rsid w:val="009732AF"/>
    <w:rsid w:val="00974103"/>
    <w:rsid w:val="00982177"/>
    <w:rsid w:val="009822BD"/>
    <w:rsid w:val="00987B47"/>
    <w:rsid w:val="009917B0"/>
    <w:rsid w:val="00991AA6"/>
    <w:rsid w:val="00992727"/>
    <w:rsid w:val="00992BB3"/>
    <w:rsid w:val="009A0149"/>
    <w:rsid w:val="009A304A"/>
    <w:rsid w:val="009B11A8"/>
    <w:rsid w:val="009B66E3"/>
    <w:rsid w:val="009B6DA7"/>
    <w:rsid w:val="009B794A"/>
    <w:rsid w:val="009C069B"/>
    <w:rsid w:val="009C1863"/>
    <w:rsid w:val="009C48BA"/>
    <w:rsid w:val="009D4653"/>
    <w:rsid w:val="009D7FE6"/>
    <w:rsid w:val="009F435F"/>
    <w:rsid w:val="009F5F14"/>
    <w:rsid w:val="00A03434"/>
    <w:rsid w:val="00A113A5"/>
    <w:rsid w:val="00A13CC8"/>
    <w:rsid w:val="00A154D7"/>
    <w:rsid w:val="00A21F60"/>
    <w:rsid w:val="00A26423"/>
    <w:rsid w:val="00A4246E"/>
    <w:rsid w:val="00A444CD"/>
    <w:rsid w:val="00A45637"/>
    <w:rsid w:val="00A47668"/>
    <w:rsid w:val="00A51707"/>
    <w:rsid w:val="00A54A96"/>
    <w:rsid w:val="00A54E32"/>
    <w:rsid w:val="00A56795"/>
    <w:rsid w:val="00A56BAE"/>
    <w:rsid w:val="00A64A4A"/>
    <w:rsid w:val="00A70C6C"/>
    <w:rsid w:val="00A83CA8"/>
    <w:rsid w:val="00A8512E"/>
    <w:rsid w:val="00A855D8"/>
    <w:rsid w:val="00A9665F"/>
    <w:rsid w:val="00A96D99"/>
    <w:rsid w:val="00AA1746"/>
    <w:rsid w:val="00AA2AA4"/>
    <w:rsid w:val="00AA5132"/>
    <w:rsid w:val="00AA5FD4"/>
    <w:rsid w:val="00AA6DDE"/>
    <w:rsid w:val="00AA7CC0"/>
    <w:rsid w:val="00AB34BD"/>
    <w:rsid w:val="00AB3586"/>
    <w:rsid w:val="00AC3107"/>
    <w:rsid w:val="00AD36B3"/>
    <w:rsid w:val="00AE39AF"/>
    <w:rsid w:val="00AE79D0"/>
    <w:rsid w:val="00AF1E94"/>
    <w:rsid w:val="00AF513D"/>
    <w:rsid w:val="00B12E09"/>
    <w:rsid w:val="00B20CC9"/>
    <w:rsid w:val="00B23D30"/>
    <w:rsid w:val="00B577AE"/>
    <w:rsid w:val="00B609ED"/>
    <w:rsid w:val="00B666C2"/>
    <w:rsid w:val="00B6692E"/>
    <w:rsid w:val="00B710C1"/>
    <w:rsid w:val="00B743E1"/>
    <w:rsid w:val="00B748D3"/>
    <w:rsid w:val="00B7707D"/>
    <w:rsid w:val="00B807FD"/>
    <w:rsid w:val="00B80E2A"/>
    <w:rsid w:val="00B81CD8"/>
    <w:rsid w:val="00B8246D"/>
    <w:rsid w:val="00B875F2"/>
    <w:rsid w:val="00B91BFE"/>
    <w:rsid w:val="00B92A9C"/>
    <w:rsid w:val="00BA7C02"/>
    <w:rsid w:val="00BA7E2E"/>
    <w:rsid w:val="00BB2193"/>
    <w:rsid w:val="00BB2D98"/>
    <w:rsid w:val="00BB643A"/>
    <w:rsid w:val="00BB7577"/>
    <w:rsid w:val="00BC36A2"/>
    <w:rsid w:val="00BC626B"/>
    <w:rsid w:val="00BD154F"/>
    <w:rsid w:val="00BD5588"/>
    <w:rsid w:val="00BE0E07"/>
    <w:rsid w:val="00BE7FEC"/>
    <w:rsid w:val="00BF0E87"/>
    <w:rsid w:val="00BF702E"/>
    <w:rsid w:val="00BF7D2E"/>
    <w:rsid w:val="00C02764"/>
    <w:rsid w:val="00C11124"/>
    <w:rsid w:val="00C1606E"/>
    <w:rsid w:val="00C27275"/>
    <w:rsid w:val="00C34425"/>
    <w:rsid w:val="00C366C0"/>
    <w:rsid w:val="00C45C8B"/>
    <w:rsid w:val="00C50192"/>
    <w:rsid w:val="00C652A0"/>
    <w:rsid w:val="00C656CB"/>
    <w:rsid w:val="00C663BF"/>
    <w:rsid w:val="00C72235"/>
    <w:rsid w:val="00C72FF4"/>
    <w:rsid w:val="00C76023"/>
    <w:rsid w:val="00C76160"/>
    <w:rsid w:val="00C8158E"/>
    <w:rsid w:val="00C83EFE"/>
    <w:rsid w:val="00C91A27"/>
    <w:rsid w:val="00CB1A61"/>
    <w:rsid w:val="00CB3621"/>
    <w:rsid w:val="00CB3680"/>
    <w:rsid w:val="00CB3707"/>
    <w:rsid w:val="00CB571D"/>
    <w:rsid w:val="00CB5FFE"/>
    <w:rsid w:val="00CC262F"/>
    <w:rsid w:val="00CC5E96"/>
    <w:rsid w:val="00CD1F16"/>
    <w:rsid w:val="00CE002A"/>
    <w:rsid w:val="00CE0C46"/>
    <w:rsid w:val="00CE6F5B"/>
    <w:rsid w:val="00CF3ACF"/>
    <w:rsid w:val="00CF5819"/>
    <w:rsid w:val="00CF5A94"/>
    <w:rsid w:val="00D00742"/>
    <w:rsid w:val="00D00D84"/>
    <w:rsid w:val="00D02643"/>
    <w:rsid w:val="00D05540"/>
    <w:rsid w:val="00D0674E"/>
    <w:rsid w:val="00D12C95"/>
    <w:rsid w:val="00D15EE6"/>
    <w:rsid w:val="00D1600E"/>
    <w:rsid w:val="00D22196"/>
    <w:rsid w:val="00D23DE9"/>
    <w:rsid w:val="00D26924"/>
    <w:rsid w:val="00D31C32"/>
    <w:rsid w:val="00D34E72"/>
    <w:rsid w:val="00D40373"/>
    <w:rsid w:val="00D42A3C"/>
    <w:rsid w:val="00D436C9"/>
    <w:rsid w:val="00D619FE"/>
    <w:rsid w:val="00D6391C"/>
    <w:rsid w:val="00D751B2"/>
    <w:rsid w:val="00D8286E"/>
    <w:rsid w:val="00D921E6"/>
    <w:rsid w:val="00D96707"/>
    <w:rsid w:val="00DA4E64"/>
    <w:rsid w:val="00DA56BF"/>
    <w:rsid w:val="00DB040A"/>
    <w:rsid w:val="00DB14C0"/>
    <w:rsid w:val="00DB5168"/>
    <w:rsid w:val="00DC008C"/>
    <w:rsid w:val="00DC0F2A"/>
    <w:rsid w:val="00DC11C4"/>
    <w:rsid w:val="00DC7B1E"/>
    <w:rsid w:val="00DE045E"/>
    <w:rsid w:val="00DE2CE5"/>
    <w:rsid w:val="00E01103"/>
    <w:rsid w:val="00E10CA1"/>
    <w:rsid w:val="00E113BC"/>
    <w:rsid w:val="00E11514"/>
    <w:rsid w:val="00E156B0"/>
    <w:rsid w:val="00E17344"/>
    <w:rsid w:val="00E27E80"/>
    <w:rsid w:val="00E32613"/>
    <w:rsid w:val="00E41717"/>
    <w:rsid w:val="00E5078A"/>
    <w:rsid w:val="00E517D8"/>
    <w:rsid w:val="00E51E55"/>
    <w:rsid w:val="00E60C8E"/>
    <w:rsid w:val="00E63731"/>
    <w:rsid w:val="00E66E16"/>
    <w:rsid w:val="00E6731D"/>
    <w:rsid w:val="00E70106"/>
    <w:rsid w:val="00E73D56"/>
    <w:rsid w:val="00E76B72"/>
    <w:rsid w:val="00E80726"/>
    <w:rsid w:val="00E85485"/>
    <w:rsid w:val="00E940A0"/>
    <w:rsid w:val="00EA0368"/>
    <w:rsid w:val="00EB4711"/>
    <w:rsid w:val="00EF02AB"/>
    <w:rsid w:val="00EF0F30"/>
    <w:rsid w:val="00EF499D"/>
    <w:rsid w:val="00F075DB"/>
    <w:rsid w:val="00F14AA5"/>
    <w:rsid w:val="00F1510A"/>
    <w:rsid w:val="00F16360"/>
    <w:rsid w:val="00F16BF0"/>
    <w:rsid w:val="00F174E8"/>
    <w:rsid w:val="00F20336"/>
    <w:rsid w:val="00F20E22"/>
    <w:rsid w:val="00F23974"/>
    <w:rsid w:val="00F25A7F"/>
    <w:rsid w:val="00F26329"/>
    <w:rsid w:val="00F27AA9"/>
    <w:rsid w:val="00F32539"/>
    <w:rsid w:val="00F371BF"/>
    <w:rsid w:val="00F37306"/>
    <w:rsid w:val="00F42F8A"/>
    <w:rsid w:val="00F42FB6"/>
    <w:rsid w:val="00F50624"/>
    <w:rsid w:val="00F52E12"/>
    <w:rsid w:val="00F56441"/>
    <w:rsid w:val="00F62B31"/>
    <w:rsid w:val="00F7317C"/>
    <w:rsid w:val="00F766EC"/>
    <w:rsid w:val="00F84B4C"/>
    <w:rsid w:val="00F92483"/>
    <w:rsid w:val="00F968C3"/>
    <w:rsid w:val="00FA4BDA"/>
    <w:rsid w:val="00FB6FE0"/>
    <w:rsid w:val="00FB721C"/>
    <w:rsid w:val="00FC1732"/>
    <w:rsid w:val="00FD4F3E"/>
    <w:rsid w:val="00FD5D9F"/>
    <w:rsid w:val="00FD6B6D"/>
    <w:rsid w:val="00FE583B"/>
    <w:rsid w:val="00FF24F9"/>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631D909A"/>
  <w15:chartTrackingRefBased/>
  <w15:docId w15:val="{FCFDAB0B-4A14-438C-9643-2FC18BB7D8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en-IN"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1">
    <w:name w:val="heading 1"/>
    <w:basedOn w:val="Normal"/>
    <w:next w:val="Normal"/>
    <w:link w:val="Heading1Char"/>
    <w:uiPriority w:val="9"/>
    <w:qFormat/>
    <w:rsid w:val="00BA7C02"/>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BA7C02"/>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BA7C02"/>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BA7C02"/>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BA7C02"/>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BA7C02"/>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BA7C02"/>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BA7C02"/>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BA7C02"/>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BA7C02"/>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BA7C02"/>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BA7C02"/>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BA7C02"/>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BA7C02"/>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BA7C02"/>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BA7C02"/>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BA7C02"/>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BA7C02"/>
    <w:rPr>
      <w:rFonts w:eastAsiaTheme="majorEastAsia" w:cstheme="majorBidi"/>
      <w:color w:val="272727" w:themeColor="text1" w:themeTint="D8"/>
    </w:rPr>
  </w:style>
  <w:style w:type="paragraph" w:styleId="Title">
    <w:name w:val="Title"/>
    <w:basedOn w:val="Normal"/>
    <w:next w:val="Normal"/>
    <w:link w:val="TitleChar"/>
    <w:uiPriority w:val="10"/>
    <w:qFormat/>
    <w:rsid w:val="00BA7C02"/>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BA7C02"/>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BA7C02"/>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BA7C02"/>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BA7C02"/>
    <w:pPr>
      <w:spacing w:before="160"/>
      <w:jc w:val="center"/>
    </w:pPr>
    <w:rPr>
      <w:i/>
      <w:iCs/>
      <w:color w:val="404040" w:themeColor="text1" w:themeTint="BF"/>
    </w:rPr>
  </w:style>
  <w:style w:type="character" w:customStyle="1" w:styleId="QuoteChar">
    <w:name w:val="Quote Char"/>
    <w:basedOn w:val="DefaultParagraphFont"/>
    <w:link w:val="Quote"/>
    <w:uiPriority w:val="29"/>
    <w:rsid w:val="00BA7C02"/>
    <w:rPr>
      <w:i/>
      <w:iCs/>
      <w:color w:val="404040" w:themeColor="text1" w:themeTint="BF"/>
    </w:rPr>
  </w:style>
  <w:style w:type="paragraph" w:styleId="ListParagraph">
    <w:name w:val="List Paragraph"/>
    <w:basedOn w:val="Normal"/>
    <w:uiPriority w:val="1"/>
    <w:qFormat/>
    <w:rsid w:val="00BA7C02"/>
    <w:pPr>
      <w:ind w:left="720"/>
      <w:contextualSpacing/>
    </w:pPr>
  </w:style>
  <w:style w:type="character" w:styleId="IntenseEmphasis">
    <w:name w:val="Intense Emphasis"/>
    <w:basedOn w:val="DefaultParagraphFont"/>
    <w:uiPriority w:val="21"/>
    <w:qFormat/>
    <w:rsid w:val="00BA7C02"/>
    <w:rPr>
      <w:i/>
      <w:iCs/>
      <w:color w:val="0F4761" w:themeColor="accent1" w:themeShade="BF"/>
    </w:rPr>
  </w:style>
  <w:style w:type="paragraph" w:styleId="IntenseQuote">
    <w:name w:val="Intense Quote"/>
    <w:basedOn w:val="Normal"/>
    <w:next w:val="Normal"/>
    <w:link w:val="IntenseQuoteChar"/>
    <w:uiPriority w:val="30"/>
    <w:qFormat/>
    <w:rsid w:val="00BA7C02"/>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BA7C02"/>
    <w:rPr>
      <w:i/>
      <w:iCs/>
      <w:color w:val="0F4761" w:themeColor="accent1" w:themeShade="BF"/>
    </w:rPr>
  </w:style>
  <w:style w:type="character" w:styleId="IntenseReference">
    <w:name w:val="Intense Reference"/>
    <w:basedOn w:val="DefaultParagraphFont"/>
    <w:uiPriority w:val="32"/>
    <w:qFormat/>
    <w:rsid w:val="00BA7C02"/>
    <w:rPr>
      <w:b/>
      <w:bCs/>
      <w:smallCaps/>
      <w:color w:val="0F4761" w:themeColor="accent1" w:themeShade="BF"/>
      <w:spacing w:val="5"/>
    </w:rPr>
  </w:style>
  <w:style w:type="table" w:styleId="TableGrid">
    <w:name w:val="Table Grid"/>
    <w:basedOn w:val="TableNormal"/>
    <w:uiPriority w:val="39"/>
    <w:rsid w:val="0033466F"/>
    <w:pPr>
      <w:spacing w:after="0" w:line="240" w:lineRule="auto"/>
    </w:pPr>
    <w:rPr>
      <w:rFonts w:eastAsiaTheme="minorEastAsia"/>
      <w:kern w:val="0"/>
      <w:lang w:val="en-US" w:eastAsia="ja-JP"/>
      <w14:ligatures w14:val="none"/>
    </w:rPr>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paragraph" w:styleId="Header">
    <w:name w:val="header"/>
    <w:basedOn w:val="Normal"/>
    <w:link w:val="HeaderChar"/>
    <w:uiPriority w:val="99"/>
    <w:unhideWhenUsed/>
    <w:rsid w:val="006A2CBA"/>
    <w:pPr>
      <w:tabs>
        <w:tab w:val="center" w:pos="4513"/>
        <w:tab w:val="right" w:pos="9026"/>
      </w:tabs>
      <w:spacing w:after="0" w:line="240" w:lineRule="auto"/>
    </w:pPr>
  </w:style>
  <w:style w:type="character" w:customStyle="1" w:styleId="HeaderChar">
    <w:name w:val="Header Char"/>
    <w:basedOn w:val="DefaultParagraphFont"/>
    <w:link w:val="Header"/>
    <w:uiPriority w:val="99"/>
    <w:rsid w:val="006A2CBA"/>
  </w:style>
  <w:style w:type="paragraph" w:styleId="Footer">
    <w:name w:val="footer"/>
    <w:basedOn w:val="Normal"/>
    <w:link w:val="FooterChar"/>
    <w:uiPriority w:val="99"/>
    <w:unhideWhenUsed/>
    <w:rsid w:val="006A2CBA"/>
    <w:pPr>
      <w:tabs>
        <w:tab w:val="center" w:pos="4513"/>
        <w:tab w:val="right" w:pos="9026"/>
      </w:tabs>
      <w:spacing w:after="0" w:line="240" w:lineRule="auto"/>
    </w:pPr>
  </w:style>
  <w:style w:type="character" w:customStyle="1" w:styleId="FooterChar">
    <w:name w:val="Footer Char"/>
    <w:basedOn w:val="DefaultParagraphFont"/>
    <w:link w:val="Footer"/>
    <w:uiPriority w:val="99"/>
    <w:rsid w:val="006A2CBA"/>
  </w:style>
  <w:style w:type="paragraph" w:styleId="BodyText">
    <w:name w:val="Body Text"/>
    <w:basedOn w:val="Normal"/>
    <w:link w:val="BodyTextChar"/>
    <w:uiPriority w:val="1"/>
    <w:qFormat/>
    <w:rsid w:val="00F37306"/>
    <w:pPr>
      <w:widowControl w:val="0"/>
      <w:autoSpaceDE w:val="0"/>
      <w:autoSpaceDN w:val="0"/>
      <w:spacing w:after="0" w:line="240" w:lineRule="auto"/>
    </w:pPr>
    <w:rPr>
      <w:rFonts w:ascii="Times New Roman" w:eastAsia="Times New Roman" w:hAnsi="Times New Roman" w:cs="Times New Roman"/>
      <w:kern w:val="0"/>
      <w:lang w:val="en-US"/>
      <w14:ligatures w14:val="none"/>
    </w:rPr>
  </w:style>
  <w:style w:type="character" w:customStyle="1" w:styleId="BodyTextChar">
    <w:name w:val="Body Text Char"/>
    <w:basedOn w:val="DefaultParagraphFont"/>
    <w:link w:val="BodyText"/>
    <w:uiPriority w:val="1"/>
    <w:rsid w:val="00F37306"/>
    <w:rPr>
      <w:rFonts w:ascii="Times New Roman" w:eastAsia="Times New Roman" w:hAnsi="Times New Roman" w:cs="Times New Roman"/>
      <w:kern w:val="0"/>
      <w:lang w:val="en-US"/>
      <w14:ligatures w14:val="none"/>
    </w:rPr>
  </w:style>
  <w:style w:type="table" w:styleId="PlainTable2">
    <w:name w:val="Plain Table 2"/>
    <w:basedOn w:val="TableNormal"/>
    <w:uiPriority w:val="42"/>
    <w:rsid w:val="00C656CB"/>
    <w:pPr>
      <w:spacing w:after="0" w:line="240" w:lineRule="auto"/>
    </w:pPr>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table" w:styleId="TableGridLight">
    <w:name w:val="Grid Table Light"/>
    <w:basedOn w:val="TableNormal"/>
    <w:uiPriority w:val="40"/>
    <w:rsid w:val="007E540F"/>
    <w:pPr>
      <w:spacing w:after="0" w:line="240" w:lineRule="auto"/>
    </w:pPr>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character" w:styleId="Hyperlink">
    <w:name w:val="Hyperlink"/>
    <w:basedOn w:val="DefaultParagraphFont"/>
    <w:uiPriority w:val="99"/>
    <w:unhideWhenUsed/>
    <w:rsid w:val="0055793A"/>
    <w:rPr>
      <w:color w:val="467886" w:themeColor="hyperlink"/>
      <w:u w:val="single"/>
    </w:rPr>
  </w:style>
  <w:style w:type="character" w:customStyle="1" w:styleId="UnresolvedMention">
    <w:name w:val="Unresolved Mention"/>
    <w:basedOn w:val="DefaultParagraphFont"/>
    <w:uiPriority w:val="99"/>
    <w:semiHidden/>
    <w:unhideWhenUsed/>
    <w:rsid w:val="0055793A"/>
    <w:rPr>
      <w:color w:val="605E5C"/>
      <w:shd w:val="clear" w:color="auto" w:fill="E1DFDD"/>
    </w:rPr>
  </w:style>
  <w:style w:type="paragraph" w:styleId="NormalWeb">
    <w:name w:val="Normal (Web)"/>
    <w:basedOn w:val="Normal"/>
    <w:uiPriority w:val="99"/>
    <w:semiHidden/>
    <w:unhideWhenUsed/>
    <w:rsid w:val="00456420"/>
    <w:pPr>
      <w:spacing w:before="100" w:beforeAutospacing="1" w:after="100" w:afterAutospacing="1" w:line="240" w:lineRule="auto"/>
    </w:pPr>
    <w:rPr>
      <w:rFonts w:ascii="Times New Roman" w:eastAsia="Times New Roman" w:hAnsi="Times New Roman" w:cs="Times New Roman"/>
      <w:kern w:val="0"/>
      <w:lang w:eastAsia="en-IN"/>
      <w14:ligatures w14:val="none"/>
    </w:rPr>
  </w:style>
  <w:style w:type="character" w:styleId="Strong">
    <w:name w:val="Strong"/>
    <w:basedOn w:val="DefaultParagraphFont"/>
    <w:uiPriority w:val="22"/>
    <w:qFormat/>
    <w:rsid w:val="00456420"/>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21706433">
      <w:bodyDiv w:val="1"/>
      <w:marLeft w:val="0"/>
      <w:marRight w:val="0"/>
      <w:marTop w:val="0"/>
      <w:marBottom w:val="0"/>
      <w:divBdr>
        <w:top w:val="none" w:sz="0" w:space="0" w:color="auto"/>
        <w:left w:val="none" w:sz="0" w:space="0" w:color="auto"/>
        <w:bottom w:val="none" w:sz="0" w:space="0" w:color="auto"/>
        <w:right w:val="none" w:sz="0" w:space="0" w:color="auto"/>
      </w:divBdr>
    </w:div>
    <w:div w:id="157925098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jpeg"/><Relationship Id="rId13" Type="http://schemas.openxmlformats.org/officeDocument/2006/relationships/image" Target="media/image6.pn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image" Target="media/image5.jpeg"/><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image" Target="media/image4.png"/><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image" Target="media/image3.jpeg"/><Relationship Id="rId4" Type="http://schemas.openxmlformats.org/officeDocument/2006/relationships/settings" Target="settings.xml"/><Relationship Id="rId9" Type="http://schemas.openxmlformats.org/officeDocument/2006/relationships/image" Target="media/image2.jpeg"/><Relationship Id="rId14" Type="http://schemas.openxmlformats.org/officeDocument/2006/relationships/image" Target="media/image7.tif"/><Relationship Id="rId17" Type="http://schemas.openxmlformats.org/officeDocument/2006/relationships/hyperlink" Target="https://doi.org/10.1208/s12249-010-9459-z" TargetMode="External"/><Relationship Id="rId18" Type="http://schemas.openxmlformats.org/officeDocument/2006/relationships/hyperlink" Target="https://doi.org/10.1016/j.ejfs.2016.05.007" TargetMode="External"/><Relationship Id="rId19" Type="http://schemas.openxmlformats.org/officeDocument/2006/relationships/hyperlink" Target="https://doi.org/10.1016/j.ejpb.2008.09.028" TargetMode="External"/><Relationship Id="rId20" Type="http://schemas.openxmlformats.org/officeDocument/2006/relationships/hyperlink" Target="https://doi.org/10.9734/BJPR/2015/12637" TargetMode="External"/><Relationship Id="rId21" Type="http://schemas.openxmlformats.org/officeDocument/2006/relationships/hyperlink" Target="https://doi.org/10.1016/S0378-4347(97)00327-7" TargetMode="External"/><Relationship Id="rId22" Type="http://schemas.openxmlformats.org/officeDocument/2006/relationships/hyperlink" Target="https://doi.org/10.3390/ph16020265" TargetMode="External"/><Relationship Id="rId23" Type="http://schemas.openxmlformats.org/officeDocument/2006/relationships/hyperlink" Target="https://doi.org/10.21608/bfsa.2010.147025" TargetMode="External"/><Relationship Id="rId24" Type="http://schemas.openxmlformats.org/officeDocument/2006/relationships/hyperlink" Target="https://doi.org/10.3390/pharmaceutics15102375" TargetMode="External"/><Relationship Id="rId25" Type="http://schemas.openxmlformats.org/officeDocument/2006/relationships/hyperlink" Target="https://doi.org/10.4103/2277-9175.168606" TargetMode="External"/><Relationship Id="rId26" Type="http://schemas.openxmlformats.org/officeDocument/2006/relationships/hyperlink" Target="https://doi.org/10.1016/j.xphs.2026.104411" TargetMode="External"/><Relationship Id="rId27" Type="http://schemas.openxmlformats.org/officeDocument/2006/relationships/hyperlink" Target="https://doi.org/10.1208/s12249-013-0014-6" TargetMode="External"/><Relationship Id="rId28" Type="http://schemas.openxmlformats.org/officeDocument/2006/relationships/hyperlink" Target="https://doi.org/10.4103/2230-973X.108963" TargetMode="External"/><Relationship Id="rId29" Type="http://schemas.openxmlformats.org/officeDocument/2006/relationships/hyperlink" Target="https://doi.org/10.9734/jamps/2020/v22i230155" TargetMode="External"/><Relationship Id="rId30" Type="http://schemas.openxmlformats.org/officeDocument/2006/relationships/hyperlink" Target="https://doi.org/10.1186/s13065-023-00938-x" TargetMode="External"/><Relationship Id="rId31" Type="http://schemas.openxmlformats.org/officeDocument/2006/relationships/hyperlink" Target="https://doi.org/10.1016/j.ejpb.2010.11.023" TargetMode="External"/><Relationship Id="rId32" Type="http://schemas.openxmlformats.org/officeDocument/2006/relationships/hyperlink" Target="https://doi.org/10.4103/2230-973X.76728" TargetMode="External"/><Relationship Id="rId33" Type="http://schemas.openxmlformats.org/officeDocument/2006/relationships/hyperlink" Target="https://doi.org/10.3390/pharmaceutics13050728" TargetMode="External"/><Relationship Id="rId34" Type="http://schemas.openxmlformats.org/officeDocument/2006/relationships/hyperlink" Target="https://doi.org/10.1016/j.ijpharm.2023.122789" TargetMode="External"/><Relationship Id="rId35" Type="http://schemas.openxmlformats.org/officeDocument/2006/relationships/hyperlink" Target="https://doi.org/10.1016/j.colsurfb.2010.07.003" TargetMode="External"/><Relationship Id="rId36" Type="http://schemas.openxmlformats.org/officeDocument/2006/relationships/hyperlink" Target="https://doi.org/10.1097/00007691-200004000-00009" TargetMode="External"/><Relationship Id="rId37" Type="http://schemas.openxmlformats.org/officeDocument/2006/relationships/hyperlink" Target="https://doi.org/10.18579/jopcr/v18.3.patel" TargetMode="External"/><Relationship Id="rId38" Type="http://schemas.openxmlformats.org/officeDocument/2006/relationships/hyperlink" Target="https://doi.org/10.1039/C0AY00017E" TargetMode="External"/><Relationship Id="rId39" Type="http://schemas.openxmlformats.org/officeDocument/2006/relationships/hyperlink" Target="https://doi.org/10.26452/ijrps.v9i4.1695" TargetMode="External"/><Relationship Id="rId40" Type="http://schemas.openxmlformats.org/officeDocument/2006/relationships/hyperlink" Target="https://doi.org/10.1007/s40204-017-0077-7" TargetMode="External"/><Relationship Id="rId41" Type="http://schemas.openxmlformats.org/officeDocument/2006/relationships/hyperlink" Target="https://doi.org/10.4103/0250-474X.40330" TargetMode="External"/><Relationship Id="rId42" Type="http://schemas.openxmlformats.org/officeDocument/2006/relationships/hyperlink" Target="https://doi.org/10.56557/ajmab/2026/v11i210910" TargetMode="External"/><Relationship Id="rId43" Type="http://schemas.openxmlformats.org/officeDocument/2006/relationships/hyperlink" Target="https://doi.org/10.1016/j.addr.2005.07.001" TargetMode="External"/><Relationship Id="rId44" Type="http://schemas.openxmlformats.org/officeDocument/2006/relationships/hyperlink" Target="https://doi.org/10.1016/S0378-4347(96)00510-5" TargetMode="External"/><Relationship Id="rId45" Type="http://schemas.openxmlformats.org/officeDocument/2006/relationships/hyperlink" Target="https://doi.org/10.1016/j.jsps.2011.07.003"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2941DC3F-926D-4E3D-8935-1A40DB85D6D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626</TotalTime>
  <Pages>23</Pages>
  <Words>6434</Words>
  <Characters>36677</Characters>
  <Application>Microsoft Office Word</Application>
  <DocSecurity>0</DocSecurity>
  <Lines>305</Lines>
  <Paragraphs>86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43025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Kousalya Mohan</dc:creator>
  <cp:keywords/>
  <dc:description/>
  <cp:lastModifiedBy>user</cp:lastModifiedBy>
  <cp:revision>505</cp:revision>
  <dcterms:created xsi:type="dcterms:W3CDTF">2026-09-29T12:20:00Z</dcterms:created>
  <dcterms:modified xsi:type="dcterms:W3CDTF">2026-10-11T14:04:00Z</dcterms:modified>
</cp:coreProperties>
</file>