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1A23E" w14:textId="77777777" w:rsidR="00A93067" w:rsidRDefault="00A93067">
      <w:pPr>
        <w:pStyle w:val="Title"/>
        <w:spacing w:after="0"/>
        <w:jc w:val="both"/>
        <w:rPr>
          <w:rFonts w:ascii="Arial" w:eastAsia="Arial" w:hAnsi="Arial" w:cs="Arial"/>
        </w:rPr>
      </w:pPr>
    </w:p>
    <w:p w14:paraId="09FA2242" w14:textId="77777777" w:rsidR="004D1E26" w:rsidRPr="00A9192B" w:rsidRDefault="004D1E26" w:rsidP="003235F9">
      <w:pPr>
        <w:pBdr>
          <w:top w:val="nil"/>
          <w:left w:val="nil"/>
          <w:bottom w:val="nil"/>
          <w:right w:val="nil"/>
          <w:between w:val="nil"/>
        </w:pBdr>
        <w:spacing w:line="480" w:lineRule="auto"/>
        <w:jc w:val="right"/>
        <w:rPr>
          <w:rFonts w:ascii="Arial" w:eastAsia="Arial" w:hAnsi="Arial" w:cs="Arial"/>
          <w:b/>
          <w:color w:val="000000"/>
          <w:sz w:val="36"/>
          <w:szCs w:val="36"/>
        </w:rPr>
      </w:pPr>
      <w:r w:rsidRPr="00A9192B">
        <w:rPr>
          <w:rFonts w:ascii="Arial" w:eastAsia="Arial" w:hAnsi="Arial" w:cs="Arial"/>
          <w:b/>
          <w:color w:val="000000"/>
          <w:sz w:val="36"/>
          <w:szCs w:val="36"/>
        </w:rPr>
        <w:t>Original Research Article</w:t>
      </w:r>
    </w:p>
    <w:p w14:paraId="5C00E9A9" w14:textId="77777777" w:rsidR="00A93067" w:rsidRPr="00A9192B" w:rsidRDefault="00CB705E" w:rsidP="003235F9">
      <w:pPr>
        <w:pBdr>
          <w:top w:val="nil"/>
          <w:left w:val="nil"/>
          <w:bottom w:val="nil"/>
          <w:right w:val="nil"/>
          <w:between w:val="nil"/>
        </w:pBdr>
        <w:spacing w:line="480" w:lineRule="auto"/>
        <w:jc w:val="right"/>
        <w:rPr>
          <w:rFonts w:ascii="Arial" w:eastAsia="Arial" w:hAnsi="Arial" w:cs="Arial"/>
          <w:b/>
          <w:color w:val="000000"/>
          <w:sz w:val="36"/>
          <w:szCs w:val="36"/>
        </w:rPr>
      </w:pPr>
      <w:r w:rsidRPr="00A9192B">
        <w:rPr>
          <w:rFonts w:ascii="Arial" w:eastAsia="Arial" w:hAnsi="Arial" w:cs="Arial"/>
          <w:b/>
          <w:color w:val="000000"/>
          <w:sz w:val="36"/>
          <w:szCs w:val="36"/>
        </w:rPr>
        <w:t xml:space="preserve">Formulation and Evaluation of Famciclovir Loaded </w:t>
      </w:r>
      <w:proofErr w:type="spellStart"/>
      <w:r w:rsidRPr="00A9192B">
        <w:rPr>
          <w:rFonts w:ascii="Arial" w:eastAsia="Arial" w:hAnsi="Arial" w:cs="Arial"/>
          <w:b/>
          <w:color w:val="000000"/>
          <w:sz w:val="36"/>
          <w:szCs w:val="36"/>
        </w:rPr>
        <w:t>Transferosomal</w:t>
      </w:r>
      <w:proofErr w:type="spellEnd"/>
      <w:r w:rsidRPr="00A9192B">
        <w:rPr>
          <w:rFonts w:ascii="Arial" w:eastAsia="Arial" w:hAnsi="Arial" w:cs="Arial"/>
          <w:b/>
          <w:color w:val="000000"/>
          <w:sz w:val="36"/>
          <w:szCs w:val="36"/>
        </w:rPr>
        <w:t xml:space="preserve"> Gel as a Novel Topical Antiviral Drug Delivery System</w:t>
      </w:r>
    </w:p>
    <w:p w14:paraId="2A10CE44" w14:textId="77777777" w:rsidR="00A93067" w:rsidRPr="00A9192B" w:rsidRDefault="00A93067" w:rsidP="003235F9">
      <w:pPr>
        <w:pBdr>
          <w:top w:val="nil"/>
          <w:left w:val="nil"/>
          <w:bottom w:val="nil"/>
          <w:right w:val="nil"/>
          <w:between w:val="nil"/>
        </w:pBdr>
        <w:jc w:val="both"/>
        <w:rPr>
          <w:rFonts w:ascii="Arial" w:eastAsia="Arial" w:hAnsi="Arial" w:cs="Arial"/>
          <w:b/>
          <w:color w:val="000000"/>
          <w:sz w:val="36"/>
          <w:szCs w:val="36"/>
        </w:rPr>
      </w:pPr>
    </w:p>
    <w:p w14:paraId="61C5C052" w14:textId="77777777" w:rsidR="00A93067" w:rsidRPr="00A9192B" w:rsidRDefault="00000000" w:rsidP="003235F9">
      <w:pPr>
        <w:pBdr>
          <w:top w:val="nil"/>
          <w:left w:val="nil"/>
          <w:bottom w:val="nil"/>
          <w:right w:val="nil"/>
          <w:between w:val="nil"/>
        </w:pBdr>
        <w:jc w:val="both"/>
        <w:rPr>
          <w:rFonts w:ascii="Arial" w:eastAsia="Arial" w:hAnsi="Arial" w:cs="Arial"/>
          <w:color w:val="000000"/>
          <w:sz w:val="16"/>
          <w:szCs w:val="16"/>
        </w:rPr>
        <w:sectPr w:rsidR="00A93067" w:rsidRPr="00A9192B">
          <w:headerReference w:type="even" r:id="rId7"/>
          <w:headerReference w:type="default" r:id="rId8"/>
          <w:footerReference w:type="even" r:id="rId9"/>
          <w:footerReference w:type="default" r:id="rId10"/>
          <w:headerReference w:type="first" r:id="rId11"/>
          <w:footerReference w:type="first" r:id="rId12"/>
          <w:pgSz w:w="12240" w:h="15840"/>
          <w:pgMar w:top="1440" w:right="2016" w:bottom="2016" w:left="2016" w:header="720" w:footer="1296" w:gutter="0"/>
          <w:pgNumType w:start="1"/>
          <w:cols w:space="720"/>
        </w:sectPr>
      </w:pPr>
      <w:r>
        <w:rPr>
          <w:rFonts w:ascii="Arial" w:eastAsia="Arial" w:hAnsi="Arial" w:cs="Arial"/>
          <w:color w:val="000000"/>
          <w:sz w:val="16"/>
          <w:szCs w:val="16"/>
        </w:rPr>
      </w:r>
      <w:r>
        <w:rPr>
          <w:rFonts w:ascii="Arial" w:eastAsia="Arial" w:hAnsi="Arial" w:cs="Arial"/>
          <w:color w:val="000000"/>
          <w:sz w:val="16"/>
          <w:szCs w:val="16"/>
        </w:rPr>
        <w:pict w14:anchorId="71A0E44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wrap type="none"/>
            <w10:anchorlock/>
          </v:shape>
        </w:pict>
      </w:r>
    </w:p>
    <w:p w14:paraId="4B04765F" w14:textId="42E84B2D" w:rsidR="008E10DB" w:rsidRPr="008E10DB" w:rsidRDefault="0023250E" w:rsidP="008E10DB">
      <w:pPr>
        <w:keepNext/>
        <w:pBdr>
          <w:top w:val="nil"/>
          <w:left w:val="nil"/>
          <w:bottom w:val="nil"/>
          <w:right w:val="nil"/>
          <w:between w:val="nil"/>
        </w:pBdr>
        <w:spacing w:before="12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ABSTRACT</w:t>
      </w:r>
    </w:p>
    <w:p w14:paraId="053E0A15" w14:textId="77777777" w:rsidR="008E10DB" w:rsidRPr="008E10DB" w:rsidRDefault="008E10DB" w:rsidP="008E10DB">
      <w:pPr>
        <w:spacing w:before="100" w:beforeAutospacing="1" w:after="100" w:afterAutospacing="1"/>
        <w:rPr>
          <w:rFonts w:ascii="Times New Roman" w:eastAsia="Times New Roman" w:hAnsi="Times New Roman" w:cs="Times New Roman"/>
          <w:sz w:val="24"/>
          <w:szCs w:val="24"/>
          <w:lang w:eastAsia="en-US"/>
        </w:rPr>
      </w:pPr>
      <w:r w:rsidRPr="008E10DB">
        <w:rPr>
          <w:rFonts w:ascii="Times New Roman" w:eastAsia="Times New Roman" w:hAnsi="Times New Roman" w:cs="Times New Roman"/>
          <w:b/>
          <w:bCs/>
          <w:sz w:val="24"/>
          <w:szCs w:val="24"/>
          <w:lang w:eastAsia="en-US"/>
        </w:rPr>
        <w:t>Background:</w:t>
      </w:r>
      <w:r w:rsidRPr="008E10DB">
        <w:rPr>
          <w:rFonts w:ascii="Times New Roman" w:eastAsia="Times New Roman" w:hAnsi="Times New Roman" w:cs="Times New Roman"/>
          <w:sz w:val="24"/>
          <w:szCs w:val="24"/>
          <w:lang w:eastAsia="en-US"/>
        </w:rPr>
        <w:t xml:space="preserve"> Famciclovir is an antiviral drug used in the management of herpesvirus infections. Conventional oral administration has certain limitations, prompting interest in alternative drug delivery approaches. Transferosomes are highly deformable phospholipid vesicles with potential applications in topical drug delivery. However, the formulation characteristics and in vitro release performance of famciclovir-loaded transferosomes incorporated into a Carbopol 934 gel require further evaluation.</w:t>
      </w:r>
    </w:p>
    <w:p w14:paraId="35679C07"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Aims: </w:t>
      </w:r>
      <w:r w:rsidRPr="00A9192B">
        <w:rPr>
          <w:rFonts w:ascii="Arial" w:eastAsia="Arial" w:hAnsi="Arial" w:cs="Arial"/>
          <w:color w:val="000000"/>
        </w:rPr>
        <w:t xml:space="preserve">To </w:t>
      </w:r>
      <w:r w:rsidRPr="00A9192B">
        <w:rPr>
          <w:rFonts w:ascii="Arial" w:eastAsia="Arial" w:hAnsi="Arial" w:cs="Arial"/>
          <w:color w:val="000000"/>
          <w:highlight w:val="yellow"/>
        </w:rPr>
        <w:t xml:space="preserve">develop and evaluate a famciclovir-loaded </w:t>
      </w:r>
      <w:proofErr w:type="spellStart"/>
      <w:r w:rsidRPr="00A9192B">
        <w:rPr>
          <w:rFonts w:ascii="Arial" w:eastAsia="Arial" w:hAnsi="Arial" w:cs="Arial"/>
          <w:color w:val="000000"/>
          <w:highlight w:val="yellow"/>
        </w:rPr>
        <w:t>transferosomal</w:t>
      </w:r>
      <w:proofErr w:type="spellEnd"/>
      <w:r w:rsidRPr="00A9192B">
        <w:rPr>
          <w:rFonts w:ascii="Arial" w:eastAsia="Arial" w:hAnsi="Arial" w:cs="Arial"/>
          <w:color w:val="000000"/>
          <w:highlight w:val="yellow"/>
        </w:rPr>
        <w:t xml:space="preserve"> gel</w:t>
      </w:r>
      <w:r w:rsidRPr="00A9192B">
        <w:rPr>
          <w:rFonts w:ascii="Arial" w:eastAsia="Arial" w:hAnsi="Arial" w:cs="Arial"/>
          <w:color w:val="000000"/>
        </w:rPr>
        <w:t xml:space="preserve"> as a topical drug delivery system, addressing the limitations associated with conventional oral administration of this antiviral drug.</w:t>
      </w:r>
    </w:p>
    <w:p w14:paraId="62D97F33"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Study design: </w:t>
      </w:r>
      <w:r w:rsidRPr="00A9192B">
        <w:rPr>
          <w:rFonts w:ascii="Arial" w:eastAsia="Arial" w:hAnsi="Arial" w:cs="Arial"/>
          <w:color w:val="000000"/>
          <w:highlight w:val="yellow"/>
        </w:rPr>
        <w:t>An experimental</w:t>
      </w:r>
      <w:r w:rsidRPr="00A9192B">
        <w:rPr>
          <w:rFonts w:ascii="Arial" w:eastAsia="Arial" w:hAnsi="Arial" w:cs="Arial"/>
          <w:color w:val="000000"/>
        </w:rPr>
        <w:t xml:space="preserve"> formulation development and </w:t>
      </w:r>
      <w:r w:rsidRPr="00A9192B">
        <w:rPr>
          <w:rFonts w:ascii="Arial" w:eastAsia="Arial" w:hAnsi="Arial" w:cs="Arial"/>
          <w:color w:val="000000"/>
          <w:highlight w:val="yellow"/>
        </w:rPr>
        <w:t>in vitro</w:t>
      </w:r>
      <w:r w:rsidRPr="00A9192B">
        <w:rPr>
          <w:rFonts w:ascii="Arial" w:eastAsia="Arial" w:hAnsi="Arial" w:cs="Arial"/>
          <w:color w:val="000000"/>
        </w:rPr>
        <w:t xml:space="preserve"> evaluation study.</w:t>
      </w:r>
    </w:p>
    <w:p w14:paraId="4CF1AC61"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Place and Duration of Study: </w:t>
      </w:r>
      <w:r w:rsidRPr="00A9192B">
        <w:rPr>
          <w:rFonts w:ascii="Arial" w:eastAsia="Arial" w:hAnsi="Arial" w:cs="Arial"/>
          <w:color w:val="000000"/>
        </w:rPr>
        <w:t xml:space="preserve">Department of Pharmaceutics, </w:t>
      </w:r>
      <w:proofErr w:type="spellStart"/>
      <w:r w:rsidRPr="00A9192B">
        <w:rPr>
          <w:rFonts w:ascii="Arial" w:eastAsia="Arial" w:hAnsi="Arial" w:cs="Arial"/>
          <w:color w:val="000000"/>
        </w:rPr>
        <w:t>Adhiparasakthi</w:t>
      </w:r>
      <w:proofErr w:type="spellEnd"/>
      <w:r w:rsidRPr="00A9192B">
        <w:rPr>
          <w:rFonts w:ascii="Arial" w:eastAsia="Arial" w:hAnsi="Arial" w:cs="Arial"/>
          <w:color w:val="000000"/>
        </w:rPr>
        <w:t xml:space="preserve"> College of Pharmacy, </w:t>
      </w:r>
      <w:proofErr w:type="spellStart"/>
      <w:r w:rsidRPr="00A9192B">
        <w:rPr>
          <w:rFonts w:ascii="Arial" w:eastAsia="Arial" w:hAnsi="Arial" w:cs="Arial"/>
          <w:color w:val="000000"/>
        </w:rPr>
        <w:t>Melmaruvathur</w:t>
      </w:r>
      <w:proofErr w:type="spellEnd"/>
      <w:r w:rsidRPr="00A9192B">
        <w:rPr>
          <w:rFonts w:ascii="Arial" w:eastAsia="Arial" w:hAnsi="Arial" w:cs="Arial"/>
          <w:color w:val="000000"/>
        </w:rPr>
        <w:t xml:space="preserve">, </w:t>
      </w:r>
      <w:r w:rsidR="0023250E" w:rsidRPr="00A9192B">
        <w:rPr>
          <w:rFonts w:ascii="Arial" w:eastAsia="Arial" w:hAnsi="Arial" w:cs="Arial"/>
          <w:color w:val="000000"/>
        </w:rPr>
        <w:t>[2024-2026]</w:t>
      </w:r>
      <w:r w:rsidRPr="00A9192B">
        <w:rPr>
          <w:rFonts w:ascii="Arial" w:eastAsia="Arial" w:hAnsi="Arial" w:cs="Arial"/>
          <w:color w:val="000000"/>
        </w:rPr>
        <w:t>.</w:t>
      </w:r>
    </w:p>
    <w:p w14:paraId="6E6EF1CF"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Methodology: </w:t>
      </w:r>
      <w:r w:rsidRPr="00A9192B">
        <w:rPr>
          <w:rFonts w:ascii="Arial" w:eastAsia="Arial" w:hAnsi="Arial" w:cs="Arial"/>
          <w:color w:val="000000"/>
        </w:rPr>
        <w:t xml:space="preserve">Transferosomes were prepared by the ethanol injection method using soya lecithin and Tween 80 and </w:t>
      </w:r>
      <w:r w:rsidRPr="00A9192B">
        <w:rPr>
          <w:rFonts w:ascii="Arial" w:eastAsia="Arial" w:hAnsi="Arial" w:cs="Arial"/>
          <w:color w:val="000000"/>
          <w:highlight w:val="yellow"/>
        </w:rPr>
        <w:t>incorporated into a Carbopol 934 gel</w:t>
      </w:r>
      <w:r w:rsidRPr="00A9192B">
        <w:rPr>
          <w:rFonts w:ascii="Arial" w:eastAsia="Arial" w:hAnsi="Arial" w:cs="Arial"/>
          <w:color w:val="000000"/>
        </w:rPr>
        <w:t xml:space="preserve">. Six formulations (F1–F6) were prepared and evaluated for entrapment efficiency and vesicular characteristics. The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gels were evaluated for drug content and </w:t>
      </w:r>
      <w:r w:rsidRPr="00A9192B">
        <w:rPr>
          <w:rFonts w:ascii="Arial" w:eastAsia="Arial" w:hAnsi="Arial" w:cs="Arial"/>
          <w:color w:val="000000"/>
          <w:highlight w:val="yellow"/>
        </w:rPr>
        <w:t>in vitro</w:t>
      </w:r>
      <w:r w:rsidRPr="00A9192B">
        <w:rPr>
          <w:rFonts w:ascii="Arial" w:eastAsia="Arial" w:hAnsi="Arial" w:cs="Arial"/>
          <w:color w:val="000000"/>
        </w:rPr>
        <w:t xml:space="preserve"> drug release.</w:t>
      </w:r>
    </w:p>
    <w:p w14:paraId="313F739B"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lastRenderedPageBreak/>
        <w:t xml:space="preserve">Results: </w:t>
      </w:r>
      <w:r w:rsidRPr="00A9192B">
        <w:rPr>
          <w:rFonts w:ascii="Arial" w:eastAsia="Arial" w:hAnsi="Arial" w:cs="Arial"/>
          <w:color w:val="000000"/>
        </w:rPr>
        <w:t xml:space="preserve">The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rPr>
        <w:t xml:space="preserve"> F4 formulation showed an entrapment </w:t>
      </w:r>
      <w:r w:rsidRPr="00A9192B">
        <w:rPr>
          <w:rFonts w:ascii="Arial" w:eastAsia="Arial" w:hAnsi="Arial" w:cs="Arial"/>
          <w:color w:val="000000"/>
          <w:highlight w:val="yellow"/>
        </w:rPr>
        <w:t>efficiency of 91.7%, a particle size</w:t>
      </w:r>
      <w:r w:rsidRPr="00A9192B">
        <w:rPr>
          <w:rFonts w:ascii="Arial" w:eastAsia="Arial" w:hAnsi="Arial" w:cs="Arial"/>
          <w:color w:val="000000"/>
        </w:rPr>
        <w:t xml:space="preserve"> of 167.4 nm, polydispersity index (PDI) of </w:t>
      </w:r>
      <w:r w:rsidRPr="00A9192B">
        <w:rPr>
          <w:rFonts w:ascii="Arial" w:eastAsia="Arial" w:hAnsi="Arial" w:cs="Arial"/>
          <w:color w:val="000000"/>
          <w:highlight w:val="yellow"/>
        </w:rPr>
        <w:t>0.380 and a zeta potential</w:t>
      </w:r>
      <w:r w:rsidRPr="00A9192B">
        <w:rPr>
          <w:rFonts w:ascii="Arial" w:eastAsia="Arial" w:hAnsi="Arial" w:cs="Arial"/>
          <w:color w:val="000000"/>
        </w:rPr>
        <w:t xml:space="preserve"> of −33.5 mV. The optimized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exhibited 96.8% drug content and sustained </w:t>
      </w:r>
      <w:r w:rsidRPr="00A9192B">
        <w:rPr>
          <w:rFonts w:ascii="Arial" w:eastAsia="Arial" w:hAnsi="Arial" w:cs="Arial"/>
          <w:color w:val="000000"/>
          <w:highlight w:val="yellow"/>
        </w:rPr>
        <w:t>in vitro</w:t>
      </w:r>
      <w:r w:rsidRPr="00A9192B">
        <w:rPr>
          <w:rFonts w:ascii="Arial" w:eastAsia="Arial" w:hAnsi="Arial" w:cs="Arial"/>
          <w:color w:val="000000"/>
        </w:rPr>
        <w:t xml:space="preserve"> drug release, reaching 93.08% at 8 h.</w:t>
      </w:r>
    </w:p>
    <w:p w14:paraId="6A42E03E" w14:textId="77777777" w:rsidR="00A93067" w:rsidRPr="00A9192B" w:rsidRDefault="00CB705E" w:rsidP="003235F9">
      <w:pPr>
        <w:pBdr>
          <w:top w:val="nil"/>
          <w:left w:val="nil"/>
          <w:bottom w:val="nil"/>
          <w:right w:val="nil"/>
          <w:between w:val="nil"/>
        </w:pBdr>
        <w:spacing w:after="40" w:line="480" w:lineRule="auto"/>
        <w:jc w:val="both"/>
        <w:rPr>
          <w:rFonts w:ascii="Arial" w:eastAsia="Arial" w:hAnsi="Arial" w:cs="Arial"/>
          <w:color w:val="000000"/>
        </w:rPr>
      </w:pPr>
      <w:r w:rsidRPr="00A9192B">
        <w:rPr>
          <w:rFonts w:ascii="Arial" w:eastAsia="Arial" w:hAnsi="Arial" w:cs="Arial"/>
          <w:b/>
          <w:color w:val="000000"/>
        </w:rPr>
        <w:t xml:space="preserve">Conclusion: </w:t>
      </w:r>
      <w:r w:rsidRPr="00A9192B">
        <w:rPr>
          <w:rFonts w:ascii="Arial" w:eastAsia="Arial" w:hAnsi="Arial" w:cs="Arial"/>
          <w:color w:val="000000"/>
        </w:rPr>
        <w:t xml:space="preserve">The findings suggest </w:t>
      </w:r>
      <w:r w:rsidRPr="00A9192B">
        <w:rPr>
          <w:rFonts w:ascii="Arial" w:eastAsia="Arial" w:hAnsi="Arial" w:cs="Arial"/>
          <w:color w:val="000000"/>
          <w:highlight w:val="yellow"/>
        </w:rPr>
        <w:t xml:space="preserve">that the famciclovir-loaded </w:t>
      </w:r>
      <w:proofErr w:type="spellStart"/>
      <w:r w:rsidRPr="00A9192B">
        <w:rPr>
          <w:rFonts w:ascii="Arial" w:eastAsia="Arial" w:hAnsi="Arial" w:cs="Arial"/>
          <w:color w:val="000000"/>
          <w:highlight w:val="yellow"/>
        </w:rPr>
        <w:t>transferosomal</w:t>
      </w:r>
      <w:proofErr w:type="spellEnd"/>
      <w:r w:rsidRPr="00A9192B">
        <w:rPr>
          <w:rFonts w:ascii="Arial" w:eastAsia="Arial" w:hAnsi="Arial" w:cs="Arial"/>
          <w:color w:val="000000"/>
          <w:highlight w:val="yellow"/>
        </w:rPr>
        <w:t xml:space="preserve"> gel</w:t>
      </w:r>
      <w:r w:rsidRPr="00A9192B">
        <w:rPr>
          <w:rFonts w:ascii="Arial" w:eastAsia="Arial" w:hAnsi="Arial" w:cs="Arial"/>
          <w:color w:val="000000"/>
        </w:rPr>
        <w:t xml:space="preserve"> may serve as a promising approach for topical delivery of Famciclovir.</w:t>
      </w:r>
    </w:p>
    <w:p w14:paraId="22A189AF" w14:textId="77777777" w:rsidR="00A93067" w:rsidRPr="00A9192B" w:rsidRDefault="00A93067" w:rsidP="003235F9">
      <w:pPr>
        <w:pBdr>
          <w:top w:val="nil"/>
          <w:left w:val="nil"/>
          <w:bottom w:val="nil"/>
          <w:right w:val="nil"/>
          <w:between w:val="nil"/>
        </w:pBdr>
        <w:jc w:val="both"/>
        <w:rPr>
          <w:rFonts w:ascii="Arial" w:eastAsia="Arial" w:hAnsi="Arial" w:cs="Arial"/>
          <w:color w:val="000000"/>
        </w:rPr>
      </w:pPr>
    </w:p>
    <w:p w14:paraId="2A2BCC47" w14:textId="77777777" w:rsidR="00A93067" w:rsidRPr="00A9192B" w:rsidRDefault="00CB705E" w:rsidP="003235F9">
      <w:pPr>
        <w:pBdr>
          <w:top w:val="nil"/>
          <w:left w:val="nil"/>
          <w:bottom w:val="nil"/>
          <w:right w:val="nil"/>
          <w:between w:val="nil"/>
        </w:pBdr>
        <w:spacing w:after="200" w:line="480" w:lineRule="auto"/>
        <w:jc w:val="both"/>
        <w:rPr>
          <w:rFonts w:ascii="Arial" w:eastAsia="Arial" w:hAnsi="Arial" w:cs="Arial"/>
          <w:color w:val="000000"/>
        </w:rPr>
      </w:pPr>
      <w:r w:rsidRPr="00A9192B">
        <w:rPr>
          <w:rFonts w:ascii="Arial" w:eastAsia="Arial" w:hAnsi="Arial" w:cs="Arial"/>
          <w:b/>
          <w:bCs/>
          <w:i/>
          <w:color w:val="000000"/>
        </w:rPr>
        <w:t>Keywords:</w:t>
      </w:r>
      <w:r w:rsidRPr="00A9192B">
        <w:rPr>
          <w:rFonts w:ascii="Arial" w:eastAsia="Arial" w:hAnsi="Arial" w:cs="Arial"/>
          <w:i/>
          <w:color w:val="000000"/>
        </w:rPr>
        <w:t xml:space="preserve"> Famciclovir, </w:t>
      </w:r>
      <w:proofErr w:type="spellStart"/>
      <w:r w:rsidRPr="00A9192B">
        <w:rPr>
          <w:rFonts w:ascii="Arial" w:eastAsia="Arial" w:hAnsi="Arial" w:cs="Arial"/>
          <w:i/>
          <w:color w:val="000000"/>
        </w:rPr>
        <w:t>Transferosomal</w:t>
      </w:r>
      <w:proofErr w:type="spellEnd"/>
      <w:r w:rsidRPr="00A9192B">
        <w:rPr>
          <w:rFonts w:ascii="Arial" w:eastAsia="Arial" w:hAnsi="Arial" w:cs="Arial"/>
          <w:i/>
          <w:color w:val="000000"/>
        </w:rPr>
        <w:t xml:space="preserve"> gel, Topical drug delivery, Antiviral delivery, Carbopol 934, Herpes virus, In vitro drug release.</w:t>
      </w:r>
    </w:p>
    <w:p w14:paraId="6D488121" w14:textId="77777777" w:rsidR="00902C48" w:rsidRPr="00A9192B" w:rsidRDefault="00CB705E" w:rsidP="003235F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1. </w:t>
      </w:r>
      <w:r w:rsidR="00BE086A" w:rsidRPr="00A9192B">
        <w:rPr>
          <w:rFonts w:ascii="Arial" w:eastAsia="Arial" w:hAnsi="Arial" w:cs="Arial"/>
          <w:b/>
          <w:smallCaps/>
          <w:color w:val="000000"/>
          <w:sz w:val="22"/>
          <w:szCs w:val="22"/>
        </w:rPr>
        <w:t>INTRODUCTION</w:t>
      </w:r>
    </w:p>
    <w:p w14:paraId="118EB7D1"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Topical and transdermal drug delivery systems have gained considerable interest as alternatives to conventional routes of administration. Oral drug delivery may be associated with gastrointestinal limitations and first-pass metabolism, whereas topical administration can provide drug delivery directly to the intended site and may improve patient convenience.</w:t>
      </w:r>
    </w:p>
    <w:p w14:paraId="2B2E84E6"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Topical and transdermal administration can reduce gastrointestinal exposure and hepatic first-pass effects, but successful delivery remains constrained by the highly </w:t>
      </w:r>
      <w:proofErr w:type="spellStart"/>
      <w:r w:rsidRPr="00A9192B">
        <w:rPr>
          <w:rFonts w:ascii="Arial" w:eastAsia="Arial" w:hAnsi="Arial"/>
          <w:highlight w:val="yellow"/>
        </w:rPr>
        <w:t>organised</w:t>
      </w:r>
      <w:proofErr w:type="spellEnd"/>
      <w:r w:rsidRPr="00A9192B">
        <w:rPr>
          <w:rFonts w:ascii="Arial" w:eastAsia="Arial" w:hAnsi="Arial"/>
        </w:rPr>
        <w:t xml:space="preserve"> stratum corneum. Consequently, formulation strategies must balance drug solubility, carrier-skin interactions, and controlled release rather than assuming that topical application alone ensures adequate penetration (Benson, 2006; Fernández-García et al., 2020; </w:t>
      </w:r>
      <w:proofErr w:type="spellStart"/>
      <w:r w:rsidRPr="00A9192B">
        <w:rPr>
          <w:rFonts w:ascii="Arial" w:eastAsia="Arial" w:hAnsi="Arial"/>
        </w:rPr>
        <w:t>Matharoo</w:t>
      </w:r>
      <w:proofErr w:type="spellEnd"/>
      <w:r w:rsidRPr="00A9192B">
        <w:rPr>
          <w:rFonts w:ascii="Arial" w:eastAsia="Arial" w:hAnsi="Arial"/>
        </w:rPr>
        <w:t xml:space="preserve"> et al., 2024).</w:t>
      </w:r>
    </w:p>
    <w:p w14:paraId="32AD3955"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Transferosomes are highly deformable phospholipid-based vesicular carriers designed to facilitate drug transport across the skin. Their flexible lipid bilayer, consisting of a phospholipid and an edge activator, allows the vesicles to undergo deformation and enhances their ability to interact with the skin barrier. This makes transferosomes a potential carrier system for improving topical drug delivery.</w:t>
      </w:r>
    </w:p>
    <w:p w14:paraId="3A7D3A2F"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lastRenderedPageBreak/>
        <w:t xml:space="preserve">Transferosomes address this barrier through a phospholipid bilayer containing an edge activator that increases membrane flexibility, while hydration gradients and lipid-skin interactions are proposed to contribute to transport within the stratum corneum. Evidence across foundational and contemporary studies supports enhanced dermal delivery by </w:t>
      </w:r>
      <w:proofErr w:type="spellStart"/>
      <w:r w:rsidRPr="00A9192B">
        <w:rPr>
          <w:rFonts w:ascii="Arial" w:eastAsia="Arial" w:hAnsi="Arial"/>
        </w:rPr>
        <w:t>ultradeformable</w:t>
      </w:r>
      <w:proofErr w:type="spellEnd"/>
      <w:r w:rsidRPr="00A9192B">
        <w:rPr>
          <w:rFonts w:ascii="Arial" w:eastAsia="Arial" w:hAnsi="Arial"/>
        </w:rPr>
        <w:t xml:space="preserve"> vesicles, although the extent to which intact vesicles traverse viable skin remains formulation- and method-dependent (</w:t>
      </w:r>
      <w:proofErr w:type="spellStart"/>
      <w:r w:rsidRPr="00A9192B">
        <w:rPr>
          <w:rFonts w:ascii="Arial" w:eastAsia="Arial" w:hAnsi="Arial"/>
        </w:rPr>
        <w:t>Cevc</w:t>
      </w:r>
      <w:proofErr w:type="spellEnd"/>
      <w:r w:rsidRPr="00A9192B">
        <w:rPr>
          <w:rFonts w:ascii="Arial" w:eastAsia="Arial" w:hAnsi="Arial"/>
        </w:rPr>
        <w:t xml:space="preserve"> &amp; Blume, 1992; Kumar &amp; Kumar, 2021; Oyarzún et al., 2021).</w:t>
      </w:r>
    </w:p>
    <w:p w14:paraId="0D070DEE" w14:textId="0A091946" w:rsidR="000564A7" w:rsidRPr="008E10DB" w:rsidRDefault="00000000" w:rsidP="008E10DB">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Recent reviews also </w:t>
      </w:r>
      <w:proofErr w:type="spellStart"/>
      <w:r w:rsidRPr="00A9192B">
        <w:rPr>
          <w:rFonts w:ascii="Arial" w:eastAsia="Arial" w:hAnsi="Arial"/>
          <w:highlight w:val="yellow"/>
        </w:rPr>
        <w:t>emphasise</w:t>
      </w:r>
      <w:proofErr w:type="spellEnd"/>
      <w:r w:rsidRPr="00A9192B">
        <w:rPr>
          <w:rFonts w:ascii="Arial" w:eastAsia="Arial" w:hAnsi="Arial"/>
        </w:rPr>
        <w:t xml:space="preserve"> that </w:t>
      </w:r>
      <w:proofErr w:type="spellStart"/>
      <w:r w:rsidRPr="00A9192B">
        <w:rPr>
          <w:rFonts w:ascii="Arial" w:eastAsia="Arial" w:hAnsi="Arial"/>
        </w:rPr>
        <w:t>transferosomal</w:t>
      </w:r>
      <w:proofErr w:type="spellEnd"/>
      <w:r w:rsidRPr="00A9192B">
        <w:rPr>
          <w:rFonts w:ascii="Arial" w:eastAsia="Arial" w:hAnsi="Arial"/>
        </w:rPr>
        <w:t xml:space="preserve"> performance is governed by the integrated effects of phospholipid composition, edge-activator type, preparation method, vesicle size, deformability, and storage stability, rather than by vesicle formation alone </w:t>
      </w:r>
      <w:r w:rsidRPr="00A9192B">
        <w:rPr>
          <w:rFonts w:ascii="Arial" w:eastAsia="Arial" w:hAnsi="Arial"/>
          <w:highlight w:val="yellow"/>
        </w:rPr>
        <w:t xml:space="preserve">(Jasmin et al., 2024; </w:t>
      </w:r>
      <w:proofErr w:type="spellStart"/>
      <w:r w:rsidRPr="00A9192B">
        <w:rPr>
          <w:rFonts w:ascii="Arial" w:eastAsia="Arial" w:hAnsi="Arial"/>
          <w:highlight w:val="yellow"/>
        </w:rPr>
        <w:t>Matharoo</w:t>
      </w:r>
      <w:proofErr w:type="spellEnd"/>
      <w:r w:rsidRPr="00A9192B">
        <w:rPr>
          <w:rFonts w:ascii="Arial" w:eastAsia="Arial" w:hAnsi="Arial"/>
          <w:highlight w:val="yellow"/>
        </w:rPr>
        <w:t xml:space="preserve"> et al., 2024; </w:t>
      </w:r>
      <w:proofErr w:type="spellStart"/>
      <w:r w:rsidRPr="00A9192B">
        <w:rPr>
          <w:rFonts w:ascii="Arial" w:eastAsia="Arial" w:hAnsi="Arial"/>
          <w:highlight w:val="yellow"/>
        </w:rPr>
        <w:t>Sijamol</w:t>
      </w:r>
      <w:proofErr w:type="spellEnd"/>
      <w:r w:rsidRPr="00A9192B">
        <w:rPr>
          <w:rFonts w:ascii="Arial" w:eastAsia="Arial" w:hAnsi="Arial"/>
          <w:highlight w:val="yellow"/>
        </w:rPr>
        <w:t xml:space="preserve"> et al., 2024)</w:t>
      </w:r>
      <w:r w:rsidR="008E10DB">
        <w:rPr>
          <w:rFonts w:ascii="Arial" w:eastAsia="Arial" w:hAnsi="Arial"/>
        </w:rPr>
        <w:t xml:space="preserve">. </w:t>
      </w:r>
      <w:r w:rsidRPr="008E10DB">
        <w:rPr>
          <w:rFonts w:ascii="Arial" w:hAnsi="Arial"/>
          <w:bCs/>
          <w:highlight w:val="yellow"/>
        </w:rPr>
        <w:t xml:space="preserve">A recent formulation-focused review identifies edge-activator selection, vesicle properties, and appropriate </w:t>
      </w:r>
      <w:proofErr w:type="spellStart"/>
      <w:r w:rsidRPr="008E10DB">
        <w:rPr>
          <w:rFonts w:ascii="Arial" w:hAnsi="Arial"/>
          <w:bCs/>
          <w:highlight w:val="yellow"/>
        </w:rPr>
        <w:t>characterisation</w:t>
      </w:r>
      <w:proofErr w:type="spellEnd"/>
      <w:r w:rsidRPr="008E10DB">
        <w:rPr>
          <w:rFonts w:ascii="Arial" w:hAnsi="Arial"/>
          <w:bCs/>
          <w:highlight w:val="yellow"/>
        </w:rPr>
        <w:t xml:space="preserve"> methods as important considerations when evaluating </w:t>
      </w:r>
      <w:proofErr w:type="spellStart"/>
      <w:r w:rsidRPr="008E10DB">
        <w:rPr>
          <w:rFonts w:ascii="Arial" w:hAnsi="Arial"/>
          <w:bCs/>
          <w:highlight w:val="yellow"/>
        </w:rPr>
        <w:t>transferosomal</w:t>
      </w:r>
      <w:proofErr w:type="spellEnd"/>
      <w:r w:rsidRPr="008E10DB">
        <w:rPr>
          <w:rFonts w:ascii="Arial" w:hAnsi="Arial"/>
          <w:bCs/>
          <w:highlight w:val="yellow"/>
        </w:rPr>
        <w:t xml:space="preserve"> delivery systems (Nieves et al., 2026).</w:t>
      </w:r>
    </w:p>
    <w:p w14:paraId="62AE26D2"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Famciclovir is an antiviral prodrug of penciclovir used in the management of herpes simplex and varicella-zoster virus infections. The development of a topical delivery system </w:t>
      </w:r>
      <w:r w:rsidRPr="00A9192B">
        <w:rPr>
          <w:rFonts w:ascii="Arial" w:eastAsia="Arial" w:hAnsi="Arial" w:cs="Arial"/>
          <w:color w:val="000000"/>
          <w:highlight w:val="yellow"/>
        </w:rPr>
        <w:t>for famciclovir may</w:t>
      </w:r>
      <w:r w:rsidRPr="00A9192B">
        <w:rPr>
          <w:rFonts w:ascii="Arial" w:eastAsia="Arial" w:hAnsi="Arial" w:cs="Arial"/>
          <w:color w:val="000000"/>
        </w:rPr>
        <w:t xml:space="preserve"> provide an alternative approach for </w:t>
      </w:r>
      <w:proofErr w:type="spellStart"/>
      <w:r w:rsidRPr="00A9192B">
        <w:rPr>
          <w:rFonts w:ascii="Arial" w:eastAsia="Arial" w:hAnsi="Arial" w:cs="Arial"/>
          <w:color w:val="000000"/>
          <w:highlight w:val="yellow"/>
        </w:rPr>
        <w:t>localised</w:t>
      </w:r>
      <w:proofErr w:type="spellEnd"/>
      <w:r w:rsidRPr="00A9192B">
        <w:rPr>
          <w:rFonts w:ascii="Arial" w:eastAsia="Arial" w:hAnsi="Arial" w:cs="Arial"/>
          <w:color w:val="000000"/>
        </w:rPr>
        <w:t xml:space="preserve"> drug administration while reducing dependence on conventional oral delivery.</w:t>
      </w:r>
    </w:p>
    <w:p w14:paraId="4E142B71"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Famciclovir is rapidly converted to penciclovir after oral administration, and its antiviral use in herpesvirus infections is well established; however, alternative formulation approaches continue to be investigated to improve local delivery and exposure profiles </w:t>
      </w:r>
      <w:r w:rsidRPr="00A9192B">
        <w:rPr>
          <w:rFonts w:ascii="Arial" w:eastAsia="Arial" w:hAnsi="Arial"/>
          <w:highlight w:val="yellow"/>
        </w:rPr>
        <w:t xml:space="preserve">(Bhattacharyya et al., 2024; </w:t>
      </w:r>
      <w:proofErr w:type="spellStart"/>
      <w:r w:rsidRPr="00A9192B">
        <w:rPr>
          <w:rFonts w:ascii="Arial" w:eastAsia="Arial" w:hAnsi="Arial"/>
          <w:highlight w:val="yellow"/>
        </w:rPr>
        <w:t>Kanugo</w:t>
      </w:r>
      <w:proofErr w:type="spellEnd"/>
      <w:r w:rsidRPr="00A9192B">
        <w:rPr>
          <w:rFonts w:ascii="Arial" w:eastAsia="Arial" w:hAnsi="Arial"/>
          <w:highlight w:val="yellow"/>
        </w:rPr>
        <w:t xml:space="preserve"> et al., 2023; Simpson &amp; Lyseng-Williamson, 2006)</w:t>
      </w:r>
      <w:r w:rsidRPr="00A9192B">
        <w:rPr>
          <w:rFonts w:ascii="Arial" w:eastAsia="Arial" w:hAnsi="Arial"/>
        </w:rPr>
        <w:t>.</w:t>
      </w:r>
    </w:p>
    <w:p w14:paraId="28819947" w14:textId="2183FBE8" w:rsidR="000564A7" w:rsidRPr="008E10DB" w:rsidRDefault="00000000" w:rsidP="008E10DB">
      <w:pPr>
        <w:pBdr>
          <w:top w:val="nil"/>
          <w:left w:val="nil"/>
          <w:bottom w:val="nil"/>
          <w:right w:val="nil"/>
          <w:between w:val="nil"/>
        </w:pBdr>
        <w:spacing w:after="120" w:line="480" w:lineRule="auto"/>
        <w:jc w:val="both"/>
        <w:rPr>
          <w:rFonts w:ascii="Arial" w:eastAsia="Arial" w:hAnsi="Arial" w:cs="Arial"/>
          <w:color w:val="000000"/>
        </w:rPr>
      </w:pPr>
      <w:proofErr w:type="spellStart"/>
      <w:r w:rsidRPr="00A9192B">
        <w:rPr>
          <w:rFonts w:ascii="Arial" w:eastAsia="Arial" w:hAnsi="Arial"/>
        </w:rPr>
        <w:t>Transferosomal</w:t>
      </w:r>
      <w:proofErr w:type="spellEnd"/>
      <w:r w:rsidRPr="00A9192B">
        <w:rPr>
          <w:rFonts w:ascii="Arial" w:eastAsia="Arial" w:hAnsi="Arial"/>
        </w:rPr>
        <w:t xml:space="preserve"> gels have also been investigated for acyclovir, luliconazole, gabapentin, chrysin, metronidazole, psoralen, and other actives, with formulation performance commonly assessed through vesicle size, entrapment efficiency, zeta potential, gel rheology, and </w:t>
      </w:r>
      <w:r w:rsidRPr="00A9192B">
        <w:rPr>
          <w:rFonts w:ascii="Arial" w:eastAsia="Arial" w:hAnsi="Arial"/>
          <w:highlight w:val="yellow"/>
        </w:rPr>
        <w:t>in vitro</w:t>
      </w:r>
      <w:r w:rsidRPr="00A9192B">
        <w:rPr>
          <w:rFonts w:ascii="Arial" w:eastAsia="Arial" w:hAnsi="Arial"/>
        </w:rPr>
        <w:t xml:space="preserve"> release </w:t>
      </w:r>
      <w:r w:rsidRPr="00A9192B">
        <w:rPr>
          <w:rFonts w:ascii="Arial" w:eastAsia="Arial" w:hAnsi="Arial"/>
          <w:highlight w:val="yellow"/>
        </w:rPr>
        <w:t xml:space="preserve">(Fatima et al., 2023; Gosavi et al., 2024; </w:t>
      </w:r>
      <w:proofErr w:type="spellStart"/>
      <w:r w:rsidRPr="00A9192B">
        <w:rPr>
          <w:rFonts w:ascii="Arial" w:eastAsia="Arial" w:hAnsi="Arial"/>
          <w:highlight w:val="yellow"/>
        </w:rPr>
        <w:t>Nidbane</w:t>
      </w:r>
      <w:proofErr w:type="spellEnd"/>
      <w:r w:rsidRPr="00A9192B">
        <w:rPr>
          <w:rFonts w:ascii="Arial" w:eastAsia="Arial" w:hAnsi="Arial"/>
          <w:highlight w:val="yellow"/>
        </w:rPr>
        <w:t xml:space="preserve"> et al., 2025)</w:t>
      </w:r>
      <w:r w:rsidRPr="00A9192B">
        <w:rPr>
          <w:rFonts w:ascii="Arial" w:eastAsia="Arial" w:hAnsi="Arial"/>
        </w:rPr>
        <w:t>.</w:t>
      </w:r>
      <w:r w:rsidR="008E10DB">
        <w:rPr>
          <w:rFonts w:ascii="Arial" w:eastAsia="Arial" w:hAnsi="Arial" w:cs="Arial"/>
          <w:color w:val="000000"/>
        </w:rPr>
        <w:t xml:space="preserve"> </w:t>
      </w:r>
      <w:r w:rsidRPr="008E10DB">
        <w:rPr>
          <w:rFonts w:ascii="Arial" w:hAnsi="Arial"/>
          <w:bCs/>
          <w:highlight w:val="yellow"/>
        </w:rPr>
        <w:t xml:space="preserve">A published </w:t>
      </w:r>
      <w:r w:rsidRPr="008E10DB">
        <w:rPr>
          <w:rFonts w:ascii="Arial" w:hAnsi="Arial"/>
          <w:bCs/>
          <w:highlight w:val="yellow"/>
        </w:rPr>
        <w:lastRenderedPageBreak/>
        <w:t xml:space="preserve">investigation of a </w:t>
      </w:r>
      <w:proofErr w:type="spellStart"/>
      <w:r w:rsidRPr="008E10DB">
        <w:rPr>
          <w:rFonts w:ascii="Arial" w:hAnsi="Arial"/>
          <w:bCs/>
          <w:highlight w:val="yellow"/>
        </w:rPr>
        <w:t>transferosomal</w:t>
      </w:r>
      <w:proofErr w:type="spellEnd"/>
      <w:r w:rsidRPr="008E10DB">
        <w:rPr>
          <w:rFonts w:ascii="Arial" w:hAnsi="Arial"/>
          <w:bCs/>
          <w:highlight w:val="yellow"/>
        </w:rPr>
        <w:t xml:space="preserve"> topical gel reported that the gel-forming polymer affected in vitro release, indicating the importance of evaluating the vesicular carrier and semisolid matrix together (Pola &amp; Kumar, 2022).</w:t>
      </w:r>
    </w:p>
    <w:p w14:paraId="5955666D" w14:textId="2AEBB5F2" w:rsidR="000564A7" w:rsidRPr="008E10DB" w:rsidRDefault="00000000" w:rsidP="008E10DB">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Similar evaluation frameworks have been reported across other </w:t>
      </w:r>
      <w:proofErr w:type="spellStart"/>
      <w:r w:rsidRPr="00A9192B">
        <w:rPr>
          <w:rFonts w:ascii="Arial" w:eastAsia="Arial" w:hAnsi="Arial"/>
        </w:rPr>
        <w:t>transferosomal</w:t>
      </w:r>
      <w:proofErr w:type="spellEnd"/>
      <w:r w:rsidRPr="00A9192B">
        <w:rPr>
          <w:rFonts w:ascii="Arial" w:eastAsia="Arial" w:hAnsi="Arial"/>
        </w:rPr>
        <w:t xml:space="preserve"> gel studies, supporting the selection of these critical quality attributes for comparative formulation screening (</w:t>
      </w:r>
      <w:proofErr w:type="spellStart"/>
      <w:r w:rsidRPr="00A9192B">
        <w:rPr>
          <w:rFonts w:ascii="Arial" w:eastAsia="Arial" w:hAnsi="Arial"/>
        </w:rPr>
        <w:t>Humnabade</w:t>
      </w:r>
      <w:proofErr w:type="spellEnd"/>
      <w:r w:rsidRPr="00A9192B">
        <w:rPr>
          <w:rFonts w:ascii="Arial" w:eastAsia="Arial" w:hAnsi="Arial"/>
        </w:rPr>
        <w:t xml:space="preserve"> et al., 2024; Madhulika &amp; Gupta, 2023; Mishra &amp; Tripathi, 2025; Shukla et al., 2019; Thakur et al., 2018).</w:t>
      </w:r>
      <w:r w:rsidR="008E10DB">
        <w:rPr>
          <w:rFonts w:ascii="Arial" w:eastAsia="Arial" w:hAnsi="Arial" w:cs="Arial"/>
          <w:color w:val="000000"/>
        </w:rPr>
        <w:t xml:space="preserve"> </w:t>
      </w:r>
      <w:r w:rsidRPr="008E10DB">
        <w:rPr>
          <w:rFonts w:ascii="Arial" w:hAnsi="Arial"/>
          <w:bCs/>
          <w:highlight w:val="yellow"/>
        </w:rPr>
        <w:t>A recent study of transferosomes designed for topical administration included skin-delivery assessment alongside physicochemical evaluation, illustrating why in vitro release data alone should not be interpreted as evidence of skin permeation (</w:t>
      </w:r>
      <w:proofErr w:type="spellStart"/>
      <w:r w:rsidRPr="008E10DB">
        <w:rPr>
          <w:rFonts w:ascii="Arial" w:hAnsi="Arial"/>
          <w:bCs/>
          <w:highlight w:val="yellow"/>
        </w:rPr>
        <w:t>Galinytė</w:t>
      </w:r>
      <w:proofErr w:type="spellEnd"/>
      <w:r w:rsidRPr="008E10DB">
        <w:rPr>
          <w:rFonts w:ascii="Arial" w:hAnsi="Arial"/>
          <w:bCs/>
          <w:highlight w:val="yellow"/>
        </w:rPr>
        <w:t xml:space="preserve"> et al., 2025).</w:t>
      </w:r>
      <w:r w:rsidR="008E10DB">
        <w:rPr>
          <w:rFonts w:ascii="Arial" w:eastAsia="Arial" w:hAnsi="Arial" w:cs="Arial"/>
          <w:color w:val="000000"/>
        </w:rPr>
        <w:t xml:space="preserve"> </w:t>
      </w:r>
      <w:r w:rsidRPr="008E10DB">
        <w:rPr>
          <w:rFonts w:ascii="Arial" w:hAnsi="Arial"/>
          <w:bCs/>
          <w:highlight w:val="yellow"/>
        </w:rPr>
        <w:t xml:space="preserve">Research on other topical carrier-based formulations also </w:t>
      </w:r>
      <w:proofErr w:type="spellStart"/>
      <w:r w:rsidRPr="008E10DB">
        <w:rPr>
          <w:rFonts w:ascii="Arial" w:hAnsi="Arial"/>
          <w:bCs/>
          <w:highlight w:val="yellow"/>
        </w:rPr>
        <w:t>emphasises</w:t>
      </w:r>
      <w:proofErr w:type="spellEnd"/>
      <w:r w:rsidRPr="008E10DB">
        <w:rPr>
          <w:rFonts w:ascii="Arial" w:hAnsi="Arial"/>
          <w:bCs/>
          <w:highlight w:val="yellow"/>
        </w:rPr>
        <w:t xml:space="preserve"> the assessment of drug loading and release as formulation-dependent attributes (Joshi et al., 2026).</w:t>
      </w:r>
    </w:p>
    <w:p w14:paraId="3C4752CB" w14:textId="77777777" w:rsidR="000564A7" w:rsidRPr="008E10DB" w:rsidRDefault="00000000">
      <w:pPr>
        <w:spacing w:before="200" w:after="100"/>
        <w:rPr>
          <w:bCs/>
        </w:rPr>
      </w:pPr>
      <w:r w:rsidRPr="008E10DB">
        <w:rPr>
          <w:rFonts w:ascii="Arial" w:hAnsi="Arial"/>
          <w:bCs/>
          <w:highlight w:val="yellow"/>
        </w:rPr>
        <w:t xml:space="preserve">Although Famciclovir-loaded </w:t>
      </w:r>
      <w:proofErr w:type="spellStart"/>
      <w:r w:rsidRPr="008E10DB">
        <w:rPr>
          <w:rFonts w:ascii="Arial" w:hAnsi="Arial"/>
          <w:bCs/>
          <w:highlight w:val="yellow"/>
        </w:rPr>
        <w:t>transferosomal</w:t>
      </w:r>
      <w:proofErr w:type="spellEnd"/>
      <w:r w:rsidRPr="008E10DB">
        <w:rPr>
          <w:rFonts w:ascii="Arial" w:hAnsi="Arial"/>
          <w:bCs/>
          <w:highlight w:val="yellow"/>
        </w:rPr>
        <w:t xml:space="preserve"> formulations have been investigated, the performance of the particular soya lecithin–Tween 80 compositions incorporated into the Carbopol 934 gel in this study requires formulation-specific evaluation. The comparison of entrapment efficiency, vesicle characteristics, gel properties, and in vitro release across the prepared formulations provides the focus of the present investigation.</w:t>
      </w:r>
    </w:p>
    <w:p w14:paraId="173FFE81"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present study aimed to formulate Famciclovir-loaded transferosomes by the ethanol injection method, incorporate them into a Carbopol 934 gel, and evaluate the resulting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as a topical drug delivery system.</w:t>
      </w:r>
    </w:p>
    <w:p w14:paraId="0D135CA7" w14:textId="77777777" w:rsidR="00A93067" w:rsidRPr="00A9192B" w:rsidRDefault="00CB705E" w:rsidP="003235F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2. M</w:t>
      </w:r>
      <w:r w:rsidR="00BE086A" w:rsidRPr="00A9192B">
        <w:rPr>
          <w:rFonts w:ascii="Arial" w:eastAsia="Arial" w:hAnsi="Arial" w:cs="Arial"/>
          <w:b/>
          <w:smallCaps/>
          <w:color w:val="000000"/>
          <w:sz w:val="22"/>
          <w:szCs w:val="22"/>
        </w:rPr>
        <w:t>ATERIALS AND METHODS</w:t>
      </w:r>
    </w:p>
    <w:p w14:paraId="3AD63894" w14:textId="77777777" w:rsidR="00A93067" w:rsidRPr="00A9192B" w:rsidRDefault="00CB705E" w:rsidP="003235F9">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2.1 Procurement of drug and excipients</w:t>
      </w:r>
    </w:p>
    <w:p w14:paraId="47454B4D"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highlight w:val="yellow"/>
        </w:rPr>
        <w:t>The materials used were famciclovir (provided</w:t>
      </w:r>
      <w:r w:rsidRPr="00A9192B">
        <w:rPr>
          <w:rFonts w:ascii="Arial" w:eastAsia="Arial" w:hAnsi="Arial" w:cs="Arial"/>
          <w:color w:val="000000"/>
        </w:rPr>
        <w:t xml:space="preserve"> by Sterile Gene Pharma, Puducherry), soya lecithin, Tween 80 (Ocean Chemical Pvt. Ltd, Chennai), Carbopol 934 (Chemical Laboratories), ethanol and distilled water.</w:t>
      </w:r>
    </w:p>
    <w:p w14:paraId="48669207" w14:textId="77777777" w:rsidR="00A93067" w:rsidRPr="00A9192B" w:rsidRDefault="00CB705E" w:rsidP="003235F9">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 xml:space="preserve">2.2 </w:t>
      </w:r>
      <w:proofErr w:type="spellStart"/>
      <w:r w:rsidRPr="00A9192B">
        <w:rPr>
          <w:rFonts w:ascii="Arial" w:eastAsia="Arial" w:hAnsi="Arial" w:cs="Arial"/>
          <w:b/>
          <w:color w:val="000000"/>
          <w:sz w:val="22"/>
          <w:szCs w:val="22"/>
        </w:rPr>
        <w:t>Preformulation</w:t>
      </w:r>
      <w:proofErr w:type="spellEnd"/>
      <w:r w:rsidRPr="00A9192B">
        <w:rPr>
          <w:rFonts w:ascii="Arial" w:eastAsia="Arial" w:hAnsi="Arial" w:cs="Arial"/>
          <w:b/>
          <w:color w:val="000000"/>
          <w:sz w:val="22"/>
          <w:szCs w:val="22"/>
        </w:rPr>
        <w:t xml:space="preserve"> studies</w:t>
      </w:r>
    </w:p>
    <w:p w14:paraId="21FCF435"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2.2.1 Organoleptic properties</w:t>
      </w:r>
    </w:p>
    <w:p w14:paraId="00314AAF"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w:t>
      </w:r>
      <w:proofErr w:type="spellStart"/>
      <w:r w:rsidR="00902C48" w:rsidRPr="00A9192B">
        <w:rPr>
          <w:rFonts w:ascii="Arial" w:eastAsia="Arial" w:hAnsi="Arial" w:cs="Arial"/>
          <w:color w:val="000000"/>
          <w:highlight w:val="yellow"/>
        </w:rPr>
        <w:t>c</w:t>
      </w:r>
      <w:r w:rsidRPr="00A9192B">
        <w:rPr>
          <w:rFonts w:ascii="Arial" w:eastAsia="Arial" w:hAnsi="Arial" w:cs="Arial"/>
          <w:color w:val="000000"/>
        </w:rPr>
        <w:t>olour</w:t>
      </w:r>
      <w:proofErr w:type="spellEnd"/>
      <w:r w:rsidRPr="00A9192B">
        <w:rPr>
          <w:rFonts w:ascii="Arial" w:eastAsia="Arial" w:hAnsi="Arial" w:cs="Arial"/>
          <w:color w:val="000000"/>
        </w:rPr>
        <w:t xml:space="preserve">, </w:t>
      </w:r>
      <w:proofErr w:type="spellStart"/>
      <w:r w:rsidR="00902C48" w:rsidRPr="00A9192B">
        <w:rPr>
          <w:rFonts w:ascii="Arial" w:eastAsia="Arial" w:hAnsi="Arial" w:cs="Arial"/>
          <w:color w:val="000000"/>
          <w:highlight w:val="yellow"/>
        </w:rPr>
        <w:t>o</w:t>
      </w:r>
      <w:r w:rsidRPr="00A9192B">
        <w:rPr>
          <w:rFonts w:ascii="Arial" w:eastAsia="Arial" w:hAnsi="Arial" w:cs="Arial"/>
          <w:color w:val="000000"/>
          <w:highlight w:val="yellow"/>
        </w:rPr>
        <w:t>dour</w:t>
      </w:r>
      <w:proofErr w:type="spellEnd"/>
      <w:r w:rsidRPr="00A9192B">
        <w:rPr>
          <w:rFonts w:ascii="Arial" w:eastAsia="Arial" w:hAnsi="Arial" w:cs="Arial"/>
          <w:color w:val="000000"/>
          <w:highlight w:val="yellow"/>
        </w:rPr>
        <w:t xml:space="preserve"> and taste of the drug were evaluated</w:t>
      </w:r>
      <w:r w:rsidRPr="00A9192B">
        <w:rPr>
          <w:rFonts w:ascii="Arial" w:eastAsia="Arial" w:hAnsi="Arial" w:cs="Arial"/>
          <w:color w:val="000000"/>
        </w:rPr>
        <w:t xml:space="preserve"> using descriptive terminology.</w:t>
      </w:r>
    </w:p>
    <w:p w14:paraId="7E0ABC3D"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2.2.2 Solubility</w:t>
      </w:r>
    </w:p>
    <w:p w14:paraId="7CE477DA"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highlight w:val="yellow"/>
        </w:rPr>
        <w:t>The solubility characteristics of a drug in aqueous systems are important because a drug must possess some aqueous solubility to elicit a therapeutic response.</w:t>
      </w:r>
      <w:r w:rsidRPr="00A9192B">
        <w:rPr>
          <w:rFonts w:ascii="Arial" w:eastAsia="Arial" w:hAnsi="Arial" w:cs="Arial"/>
          <w:color w:val="000000"/>
        </w:rPr>
        <w:t xml:space="preserve"> The solubility of the drug was recorded using </w:t>
      </w:r>
      <w:r w:rsidRPr="00A9192B">
        <w:rPr>
          <w:rFonts w:ascii="Arial" w:eastAsia="Arial" w:hAnsi="Arial" w:cs="Arial"/>
          <w:color w:val="000000"/>
          <w:highlight w:val="yellow"/>
        </w:rPr>
        <w:t>descriptive terms</w:t>
      </w:r>
      <w:r w:rsidRPr="00A9192B">
        <w:rPr>
          <w:rFonts w:ascii="Arial" w:eastAsia="Arial" w:hAnsi="Arial" w:cs="Arial"/>
          <w:color w:val="000000"/>
        </w:rPr>
        <w:t>.</w:t>
      </w:r>
    </w:p>
    <w:p w14:paraId="63D6F2FC"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2.2.3 Melting point determination</w:t>
      </w:r>
    </w:p>
    <w:p w14:paraId="48349313"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 small amount of drug was </w:t>
      </w:r>
      <w:r w:rsidRPr="00A9192B">
        <w:rPr>
          <w:rFonts w:ascii="Arial" w:eastAsia="Arial" w:hAnsi="Arial" w:cs="Arial"/>
          <w:color w:val="000000"/>
          <w:highlight w:val="yellow"/>
        </w:rPr>
        <w:t>placed in a capillary tube closed at one end and kept</w:t>
      </w:r>
      <w:r w:rsidRPr="00A9192B">
        <w:rPr>
          <w:rFonts w:ascii="Arial" w:eastAsia="Arial" w:hAnsi="Arial" w:cs="Arial"/>
          <w:color w:val="000000"/>
        </w:rPr>
        <w:t xml:space="preserve"> in the melting point apparatus; the temperature at which the drug melted was noted.</w:t>
      </w:r>
    </w:p>
    <w:p w14:paraId="23FB1E77"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2.2.4 Drug–excipient compatibility studies</w:t>
      </w:r>
    </w:p>
    <w:p w14:paraId="73CC778B"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FTIR spectrophotometric analysis was performed to investigate the compatibility between the drug and excipients. FTIR spectra of the pure drug (Famciclovir) and of a mixture of the drug with excipients were taken. The samples were </w:t>
      </w:r>
      <w:proofErr w:type="spellStart"/>
      <w:r w:rsidRPr="00A9192B">
        <w:rPr>
          <w:rFonts w:ascii="Arial" w:eastAsia="Arial" w:hAnsi="Arial" w:cs="Arial"/>
          <w:color w:val="000000"/>
        </w:rPr>
        <w:t>analysed</w:t>
      </w:r>
      <w:proofErr w:type="spellEnd"/>
      <w:r w:rsidRPr="00A9192B">
        <w:rPr>
          <w:rFonts w:ascii="Arial" w:eastAsia="Arial" w:hAnsi="Arial" w:cs="Arial"/>
          <w:color w:val="000000"/>
        </w:rPr>
        <w:t xml:space="preserve"> </w:t>
      </w:r>
      <w:r w:rsidRPr="00A9192B">
        <w:rPr>
          <w:rFonts w:ascii="Arial" w:eastAsia="Arial" w:hAnsi="Arial" w:cs="Arial"/>
          <w:color w:val="000000"/>
          <w:highlight w:val="yellow"/>
        </w:rPr>
        <w:t>over the wavenumber range of 4000 to 400 cm</w:t>
      </w:r>
      <w:r w:rsidRPr="00A9192B">
        <w:rPr>
          <w:rFonts w:ascii="Arial" w:eastAsia="Arial" w:hAnsi="Arial" w:cs="Arial"/>
          <w:color w:val="000000"/>
          <w:vertAlign w:val="superscript"/>
        </w:rPr>
        <w:t>−1</w:t>
      </w:r>
      <w:r w:rsidRPr="00A9192B">
        <w:rPr>
          <w:rFonts w:ascii="Arial" w:eastAsia="Arial" w:hAnsi="Arial" w:cs="Arial"/>
          <w:color w:val="000000"/>
        </w:rPr>
        <w:t>. The peaks of the pure drug were compared with those of the physical mixture of drug and excipients.</w:t>
      </w:r>
    </w:p>
    <w:p w14:paraId="0613182B"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 xml:space="preserve">2.2.5 Determination of </w:t>
      </w:r>
      <w:r w:rsidR="00A56226" w:rsidRPr="00A9192B">
        <w:rPr>
          <w:rFonts w:ascii="Arial" w:eastAsia="Arial" w:hAnsi="Arial" w:cs="Arial"/>
          <w:b/>
          <w:color w:val="000000"/>
          <w:u w:val="single"/>
        </w:rPr>
        <w:t xml:space="preserve">λ </w:t>
      </w:r>
      <w:r w:rsidRPr="00A9192B">
        <w:rPr>
          <w:rFonts w:ascii="Arial" w:eastAsia="Arial" w:hAnsi="Arial" w:cs="Arial"/>
          <w:b/>
          <w:color w:val="000000"/>
          <w:u w:val="single"/>
        </w:rPr>
        <w:t>max</w:t>
      </w:r>
    </w:p>
    <w:p w14:paraId="2592E916"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highlight w:val="yellow"/>
        </w:rPr>
        <w:t>A 10 mg sample of famciclovir was weighed</w:t>
      </w:r>
      <w:r w:rsidRPr="00A9192B">
        <w:rPr>
          <w:rFonts w:ascii="Arial" w:eastAsia="Arial" w:hAnsi="Arial" w:cs="Arial"/>
          <w:color w:val="000000"/>
        </w:rPr>
        <w:t xml:space="preserve"> and transferred to a 10 ml volumetric flask. The drug was dissolved and the volume was made up to 10 ml using phosphate buffer saline (pH 7.4) to obtain a stock solution of 1000 µg/ml (stock solution I). </w:t>
      </w:r>
      <w:r w:rsidRPr="00A9192B">
        <w:rPr>
          <w:rFonts w:ascii="Arial" w:eastAsia="Arial" w:hAnsi="Arial" w:cs="Arial"/>
          <w:color w:val="000000"/>
          <w:highlight w:val="yellow"/>
        </w:rPr>
        <w:t xml:space="preserve">One </w:t>
      </w:r>
      <w:proofErr w:type="spellStart"/>
      <w:r w:rsidRPr="00A9192B">
        <w:rPr>
          <w:rFonts w:ascii="Arial" w:eastAsia="Arial" w:hAnsi="Arial" w:cs="Arial"/>
          <w:color w:val="000000"/>
          <w:highlight w:val="yellow"/>
        </w:rPr>
        <w:t>millilitre</w:t>
      </w:r>
      <w:proofErr w:type="spellEnd"/>
      <w:r w:rsidRPr="00A9192B">
        <w:rPr>
          <w:rFonts w:ascii="Arial" w:eastAsia="Arial" w:hAnsi="Arial" w:cs="Arial"/>
          <w:color w:val="000000"/>
          <w:highlight w:val="yellow"/>
        </w:rPr>
        <w:t xml:space="preserve"> of this stock solution was then diluted</w:t>
      </w:r>
      <w:r w:rsidRPr="00A9192B">
        <w:rPr>
          <w:rFonts w:ascii="Arial" w:eastAsia="Arial" w:hAnsi="Arial" w:cs="Arial"/>
          <w:color w:val="000000"/>
        </w:rPr>
        <w:t xml:space="preserve"> with phosphate buffer saline (pH 7.4) up to 10 ml to obtain a solution of 100 µg/ml (stock solution II). From stock solution II, 1 ml was pipetted into a 10 ml volumetric flask and the volume was made up to 10 ml using phosphate buffer saline (pH 7.4) </w:t>
      </w:r>
      <w:r w:rsidRPr="00A9192B">
        <w:rPr>
          <w:rFonts w:ascii="Arial" w:eastAsia="Arial" w:hAnsi="Arial" w:cs="Arial"/>
          <w:color w:val="000000"/>
          <w:highlight w:val="yellow"/>
        </w:rPr>
        <w:t>to obtain a concentration</w:t>
      </w:r>
      <w:r w:rsidRPr="00A9192B">
        <w:rPr>
          <w:rFonts w:ascii="Arial" w:eastAsia="Arial" w:hAnsi="Arial" w:cs="Arial"/>
          <w:color w:val="000000"/>
        </w:rPr>
        <w:t xml:space="preserve"> of 10 µg/ml. This solution was then scanned at 200–400 nm in a UV-Visible spectrophotometer to obtain the absorption maximum (λ</w:t>
      </w:r>
      <w:r w:rsidR="00A56226" w:rsidRPr="00A9192B">
        <w:rPr>
          <w:rFonts w:ascii="Arial" w:eastAsia="Arial" w:hAnsi="Arial" w:cs="Arial"/>
          <w:color w:val="000000"/>
        </w:rPr>
        <w:t xml:space="preserve"> </w:t>
      </w:r>
      <w:r w:rsidRPr="00A9192B">
        <w:rPr>
          <w:rFonts w:ascii="Arial" w:eastAsia="Arial" w:hAnsi="Arial" w:cs="Arial"/>
          <w:color w:val="000000"/>
        </w:rPr>
        <w:t>max).</w:t>
      </w:r>
    </w:p>
    <w:p w14:paraId="1004C511"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2.2.6 Calibration curve of Famciclovir</w:t>
      </w:r>
    </w:p>
    <w:p w14:paraId="2208C903" w14:textId="77777777" w:rsidR="00A93067" w:rsidRPr="00A9192B" w:rsidRDefault="00CB705E" w:rsidP="003235F9">
      <w:pPr>
        <w:keepNext/>
        <w:pBdr>
          <w:top w:val="nil"/>
          <w:left w:val="nil"/>
          <w:bottom w:val="nil"/>
          <w:right w:val="nil"/>
          <w:between w:val="nil"/>
        </w:pBdr>
        <w:spacing w:before="80" w:after="60" w:line="480" w:lineRule="auto"/>
        <w:rPr>
          <w:rFonts w:ascii="Arial" w:eastAsia="Arial" w:hAnsi="Arial" w:cs="Arial"/>
          <w:color w:val="000000"/>
        </w:rPr>
      </w:pPr>
      <w:r w:rsidRPr="00A9192B">
        <w:rPr>
          <w:rFonts w:ascii="Arial" w:eastAsia="Arial" w:hAnsi="Arial" w:cs="Arial"/>
          <w:b/>
          <w:i/>
          <w:color w:val="000000"/>
        </w:rPr>
        <w:t>2.2.6.1 Preparation of pH 7.4 buffer (phosphate buffer saline)</w:t>
      </w:r>
    </w:p>
    <w:p w14:paraId="46143588"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2.38 g of disodium hydrogen phosphate, 0.19 g of potassium dihydrogen phosphate and 0.8 g of sodium chloride were dissolved in 1000 ml of distilled water and stirred continuously </w:t>
      </w:r>
      <w:r w:rsidRPr="00A9192B">
        <w:rPr>
          <w:rFonts w:ascii="Arial" w:eastAsia="Arial" w:hAnsi="Arial" w:cs="Arial"/>
          <w:color w:val="000000"/>
          <w:highlight w:val="yellow"/>
        </w:rPr>
        <w:t>until they had completely dissolved</w:t>
      </w:r>
      <w:r w:rsidRPr="00A9192B">
        <w:rPr>
          <w:rFonts w:ascii="Arial" w:eastAsia="Arial" w:hAnsi="Arial" w:cs="Arial"/>
          <w:color w:val="000000"/>
        </w:rPr>
        <w:t>.</w:t>
      </w:r>
    </w:p>
    <w:p w14:paraId="10567A27" w14:textId="77777777" w:rsidR="00A93067" w:rsidRPr="00A9192B" w:rsidRDefault="00CB705E" w:rsidP="003235F9">
      <w:pPr>
        <w:keepNext/>
        <w:pBdr>
          <w:top w:val="nil"/>
          <w:left w:val="nil"/>
          <w:bottom w:val="nil"/>
          <w:right w:val="nil"/>
          <w:between w:val="nil"/>
        </w:pBdr>
        <w:spacing w:before="80" w:after="60"/>
        <w:rPr>
          <w:rFonts w:ascii="Arial" w:eastAsia="Arial" w:hAnsi="Arial" w:cs="Arial"/>
          <w:color w:val="000000"/>
        </w:rPr>
      </w:pPr>
      <w:r w:rsidRPr="00A9192B">
        <w:rPr>
          <w:rFonts w:ascii="Arial" w:eastAsia="Arial" w:hAnsi="Arial" w:cs="Arial"/>
          <w:b/>
          <w:i/>
          <w:color w:val="000000"/>
        </w:rPr>
        <w:lastRenderedPageBreak/>
        <w:t>2.2.6.2 Preparation of stock solution</w:t>
      </w:r>
    </w:p>
    <w:p w14:paraId="6098D22E"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highlight w:val="yellow"/>
        </w:rPr>
        <w:t>An accurately weighed 10 mg sample of famciclovir was transferred</w:t>
      </w:r>
      <w:r w:rsidRPr="00A9192B">
        <w:rPr>
          <w:rFonts w:ascii="Arial" w:eastAsia="Arial" w:hAnsi="Arial" w:cs="Arial"/>
          <w:color w:val="000000"/>
        </w:rPr>
        <w:t xml:space="preserve"> into a 100 mL volumetric flask and dissolved in a small quantity of phosphate buffer saline (pH 7.4). The volume was then made up to 100 mL with the same buffer to obtain a standard stock solution of 100 µg/</w:t>
      </w:r>
      <w:proofErr w:type="spellStart"/>
      <w:r w:rsidRPr="00A9192B">
        <w:rPr>
          <w:rFonts w:ascii="Arial" w:eastAsia="Arial" w:hAnsi="Arial" w:cs="Arial"/>
          <w:color w:val="000000"/>
        </w:rPr>
        <w:t>mL.</w:t>
      </w:r>
      <w:proofErr w:type="spellEnd"/>
      <w:r w:rsidRPr="00A9192B">
        <w:rPr>
          <w:rFonts w:ascii="Arial" w:eastAsia="Arial" w:hAnsi="Arial" w:cs="Arial"/>
          <w:color w:val="000000"/>
        </w:rPr>
        <w:t xml:space="preserve"> From the prepared standard stock solution (100 µg/mL), working standard solutions of 2, 4, 6, 8 and 10 µg/mL were transferred to a series of 100 ml volumetric flasks. The volume was made up with phosphate buffer saline (pH 7.4). The absorbance of these solutions was measured at 222 nm </w:t>
      </w:r>
      <w:r w:rsidRPr="00A9192B">
        <w:rPr>
          <w:rFonts w:ascii="Arial" w:eastAsia="Arial" w:hAnsi="Arial" w:cs="Arial"/>
          <w:color w:val="000000"/>
          <w:highlight w:val="yellow"/>
        </w:rPr>
        <w:t>against a blank</w:t>
      </w:r>
      <w:r w:rsidRPr="00A9192B">
        <w:rPr>
          <w:rFonts w:ascii="Arial" w:eastAsia="Arial" w:hAnsi="Arial" w:cs="Arial"/>
          <w:color w:val="000000"/>
        </w:rPr>
        <w:t>.</w:t>
      </w:r>
    </w:p>
    <w:p w14:paraId="61C40866" w14:textId="77777777" w:rsidR="00A93067" w:rsidRPr="00A9192B" w:rsidRDefault="00CB705E" w:rsidP="003235F9">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2.3 Formulation of Famciclovir transferosomes</w:t>
      </w:r>
    </w:p>
    <w:p w14:paraId="38831B27"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Famciclovir-loaded transferosomes were prepared by the ethanol injection method. The composition of formulations F1–F6 is given in Table 1.</w:t>
      </w:r>
    </w:p>
    <w:p w14:paraId="18B588CD"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2.3.1 Organic phase</w:t>
      </w:r>
    </w:p>
    <w:p w14:paraId="074DEDF4"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organic phase was prepared by dissolving soya lecithin (phospholipid) and Tween 80 (edge activator) in ethanol with continuous magnetic stirring until a clear solution was obtained.</w:t>
      </w:r>
    </w:p>
    <w:p w14:paraId="53AE5612"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2.3.2 Aqueous phase</w:t>
      </w:r>
    </w:p>
    <w:p w14:paraId="6228E5BA"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aqueous phase was prepared by dissolving Famciclovir (hydrophilic drug) in phosphate buffer solution (PBS, pH 7.4). Both phases were maintained at the required temperature.</w:t>
      </w:r>
    </w:p>
    <w:p w14:paraId="5601EDB5" w14:textId="77777777" w:rsidR="00A93067" w:rsidRPr="00A9192B" w:rsidRDefault="00CB705E" w:rsidP="003235F9">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2.3.3 Preparation process</w:t>
      </w:r>
    </w:p>
    <w:p w14:paraId="23090A21" w14:textId="77777777" w:rsidR="00A93067" w:rsidRPr="00A9192B" w:rsidRDefault="00CB705E" w:rsidP="003235F9">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ethanolic phospholipid solution </w:t>
      </w:r>
      <w:r w:rsidRPr="00A9192B">
        <w:rPr>
          <w:rFonts w:ascii="Arial" w:eastAsia="Arial" w:hAnsi="Arial" w:cs="Arial"/>
          <w:color w:val="000000"/>
          <w:highlight w:val="yellow"/>
        </w:rPr>
        <w:t>was injected dropwise</w:t>
      </w:r>
      <w:r w:rsidRPr="00A9192B">
        <w:rPr>
          <w:rFonts w:ascii="Arial" w:eastAsia="Arial" w:hAnsi="Arial" w:cs="Arial"/>
          <w:color w:val="000000"/>
        </w:rPr>
        <w:t xml:space="preserve"> into the aqueous solution with continuous stirring </w:t>
      </w:r>
      <w:r w:rsidRPr="00A9192B">
        <w:rPr>
          <w:rFonts w:ascii="Arial" w:eastAsia="Arial" w:hAnsi="Arial" w:cs="Arial"/>
          <w:color w:val="000000"/>
          <w:highlight w:val="yellow"/>
        </w:rPr>
        <w:t>for the specified time</w:t>
      </w:r>
      <w:r w:rsidRPr="00A9192B">
        <w:rPr>
          <w:rFonts w:ascii="Arial" w:eastAsia="Arial" w:hAnsi="Arial" w:cs="Arial"/>
          <w:color w:val="000000"/>
        </w:rPr>
        <w:t xml:space="preserve">. </w:t>
      </w:r>
      <w:r w:rsidRPr="00A9192B">
        <w:rPr>
          <w:rFonts w:ascii="Arial" w:eastAsia="Arial" w:hAnsi="Arial" w:cs="Arial"/>
          <w:color w:val="000000"/>
          <w:highlight w:val="yellow"/>
        </w:rPr>
        <w:t>The addition of ethanol caused</w:t>
      </w:r>
      <w:r w:rsidRPr="00A9192B">
        <w:rPr>
          <w:rFonts w:ascii="Arial" w:eastAsia="Arial" w:hAnsi="Arial" w:cs="Arial"/>
          <w:color w:val="000000"/>
        </w:rPr>
        <w:t xml:space="preserve"> the formation of smaller lipid aggregates </w:t>
      </w:r>
      <w:r w:rsidRPr="00A9192B">
        <w:rPr>
          <w:rFonts w:ascii="Arial" w:eastAsia="Arial" w:hAnsi="Arial" w:cs="Arial"/>
          <w:color w:val="000000"/>
          <w:highlight w:val="yellow"/>
        </w:rPr>
        <w:t>which fused to form</w:t>
      </w:r>
      <w:r w:rsidRPr="00A9192B">
        <w:rPr>
          <w:rFonts w:ascii="Arial" w:eastAsia="Arial" w:hAnsi="Arial" w:cs="Arial"/>
          <w:color w:val="000000"/>
        </w:rPr>
        <w:t xml:space="preserve"> larger vesicles. </w:t>
      </w:r>
      <w:r w:rsidRPr="00A9192B">
        <w:rPr>
          <w:rFonts w:ascii="Arial" w:eastAsia="Arial" w:hAnsi="Arial" w:cs="Arial"/>
          <w:color w:val="000000"/>
          <w:highlight w:val="yellow"/>
        </w:rPr>
        <w:t>The mixture was then stirred</w:t>
      </w:r>
      <w:r w:rsidRPr="00A9192B">
        <w:rPr>
          <w:rFonts w:ascii="Arial" w:eastAsia="Arial" w:hAnsi="Arial" w:cs="Arial"/>
          <w:color w:val="000000"/>
        </w:rPr>
        <w:t xml:space="preserve"> for a sufficient period of time to allow for the complete removal of the ethanol </w:t>
      </w:r>
      <w:r w:rsidRPr="00A9192B">
        <w:rPr>
          <w:rFonts w:ascii="Arial" w:eastAsia="Arial" w:hAnsi="Arial" w:cs="Arial"/>
          <w:color w:val="000000"/>
          <w:highlight w:val="yellow"/>
        </w:rPr>
        <w:t>and was then subjected to sonication</w:t>
      </w:r>
      <w:r w:rsidRPr="00A9192B">
        <w:rPr>
          <w:rFonts w:ascii="Arial" w:eastAsia="Arial" w:hAnsi="Arial" w:cs="Arial"/>
          <w:color w:val="000000"/>
        </w:rPr>
        <w:t xml:space="preserve"> for particle size reduction.</w:t>
      </w:r>
    </w:p>
    <w:p w14:paraId="2CD65182"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1.</w:t>
      </w:r>
      <w:r w:rsidRPr="00A9192B">
        <w:rPr>
          <w:rFonts w:ascii="Arial" w:eastAsia="Arial" w:hAnsi="Arial" w:cs="Arial"/>
          <w:b/>
        </w:rPr>
        <w:tab/>
        <w:t>Formulation chart of Famciclovir transferosomes</w:t>
      </w:r>
    </w:p>
    <w:tbl>
      <w:tblPr>
        <w:tblStyle w:val="a"/>
        <w:tblW w:w="76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300"/>
        <w:gridCol w:w="1000"/>
        <w:gridCol w:w="1400"/>
        <w:gridCol w:w="1300"/>
        <w:gridCol w:w="1200"/>
        <w:gridCol w:w="1400"/>
      </w:tblGrid>
      <w:tr w:rsidR="00A93067" w:rsidRPr="00A9192B" w14:paraId="3C4646F0" w14:textId="77777777">
        <w:trPr>
          <w:cantSplit/>
          <w:tblHeader/>
          <w:jc w:val="center"/>
        </w:trPr>
        <w:tc>
          <w:tcPr>
            <w:tcW w:w="1300" w:type="dxa"/>
            <w:vAlign w:val="center"/>
          </w:tcPr>
          <w:p w14:paraId="3501A093"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Formulation code</w:t>
            </w:r>
          </w:p>
        </w:tc>
        <w:tc>
          <w:tcPr>
            <w:tcW w:w="1000" w:type="dxa"/>
            <w:vAlign w:val="center"/>
          </w:tcPr>
          <w:p w14:paraId="1A79F1A9"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Drug (mg)</w:t>
            </w:r>
          </w:p>
        </w:tc>
        <w:tc>
          <w:tcPr>
            <w:tcW w:w="1400" w:type="dxa"/>
            <w:vAlign w:val="center"/>
          </w:tcPr>
          <w:p w14:paraId="5338941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Soya lecithin (mg)</w:t>
            </w:r>
          </w:p>
        </w:tc>
        <w:tc>
          <w:tcPr>
            <w:tcW w:w="1300" w:type="dxa"/>
            <w:vAlign w:val="center"/>
          </w:tcPr>
          <w:p w14:paraId="3C96434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Tween 80 (mg)</w:t>
            </w:r>
          </w:p>
        </w:tc>
        <w:tc>
          <w:tcPr>
            <w:tcW w:w="1200" w:type="dxa"/>
            <w:vAlign w:val="center"/>
          </w:tcPr>
          <w:p w14:paraId="6BA087A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Ethanol (ml)</w:t>
            </w:r>
          </w:p>
        </w:tc>
        <w:tc>
          <w:tcPr>
            <w:tcW w:w="1400" w:type="dxa"/>
            <w:vAlign w:val="center"/>
          </w:tcPr>
          <w:p w14:paraId="08804791"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PBS pH 7.4 (ml)</w:t>
            </w:r>
          </w:p>
        </w:tc>
      </w:tr>
      <w:tr w:rsidR="00A93067" w:rsidRPr="00A9192B" w14:paraId="43BB07FA" w14:textId="77777777">
        <w:trPr>
          <w:cantSplit/>
          <w:jc w:val="center"/>
        </w:trPr>
        <w:tc>
          <w:tcPr>
            <w:tcW w:w="1300" w:type="dxa"/>
            <w:vAlign w:val="center"/>
          </w:tcPr>
          <w:p w14:paraId="6F1C470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F1</w:t>
            </w:r>
          </w:p>
        </w:tc>
        <w:tc>
          <w:tcPr>
            <w:tcW w:w="1000" w:type="dxa"/>
            <w:vAlign w:val="center"/>
          </w:tcPr>
          <w:p w14:paraId="2ADE536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2E3176B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200</w:t>
            </w:r>
          </w:p>
        </w:tc>
        <w:tc>
          <w:tcPr>
            <w:tcW w:w="1300" w:type="dxa"/>
            <w:vAlign w:val="center"/>
          </w:tcPr>
          <w:p w14:paraId="3AA5544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73A002C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5C97B9A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43EA11E1" w14:textId="77777777">
        <w:trPr>
          <w:cantSplit/>
          <w:jc w:val="center"/>
        </w:trPr>
        <w:tc>
          <w:tcPr>
            <w:tcW w:w="1300" w:type="dxa"/>
            <w:vAlign w:val="center"/>
          </w:tcPr>
          <w:p w14:paraId="792DCB6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F2</w:t>
            </w:r>
          </w:p>
        </w:tc>
        <w:tc>
          <w:tcPr>
            <w:tcW w:w="1000" w:type="dxa"/>
            <w:vAlign w:val="center"/>
          </w:tcPr>
          <w:p w14:paraId="6CE0F02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0C69075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344C71D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73B85D5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02E26FD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3931620F" w14:textId="77777777">
        <w:trPr>
          <w:cantSplit/>
          <w:jc w:val="center"/>
        </w:trPr>
        <w:tc>
          <w:tcPr>
            <w:tcW w:w="1300" w:type="dxa"/>
            <w:vAlign w:val="center"/>
          </w:tcPr>
          <w:p w14:paraId="05BCBF1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F3</w:t>
            </w:r>
          </w:p>
        </w:tc>
        <w:tc>
          <w:tcPr>
            <w:tcW w:w="1000" w:type="dxa"/>
            <w:vAlign w:val="center"/>
          </w:tcPr>
          <w:p w14:paraId="34FC3B8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4B84D09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400</w:t>
            </w:r>
          </w:p>
        </w:tc>
        <w:tc>
          <w:tcPr>
            <w:tcW w:w="1300" w:type="dxa"/>
            <w:vAlign w:val="center"/>
          </w:tcPr>
          <w:p w14:paraId="4143C25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5F83835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53532EA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2C96CDE6" w14:textId="77777777">
        <w:trPr>
          <w:cantSplit/>
          <w:jc w:val="center"/>
        </w:trPr>
        <w:tc>
          <w:tcPr>
            <w:tcW w:w="1300" w:type="dxa"/>
            <w:vAlign w:val="center"/>
          </w:tcPr>
          <w:p w14:paraId="368BA56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F4</w:t>
            </w:r>
          </w:p>
        </w:tc>
        <w:tc>
          <w:tcPr>
            <w:tcW w:w="1000" w:type="dxa"/>
            <w:vAlign w:val="center"/>
          </w:tcPr>
          <w:p w14:paraId="2656277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52356E3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66D1968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15</w:t>
            </w:r>
          </w:p>
        </w:tc>
        <w:tc>
          <w:tcPr>
            <w:tcW w:w="1200" w:type="dxa"/>
            <w:vAlign w:val="center"/>
          </w:tcPr>
          <w:p w14:paraId="1188D0D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48C0EED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7747CA30" w14:textId="77777777">
        <w:trPr>
          <w:cantSplit/>
          <w:jc w:val="center"/>
        </w:trPr>
        <w:tc>
          <w:tcPr>
            <w:tcW w:w="1300" w:type="dxa"/>
            <w:vAlign w:val="center"/>
          </w:tcPr>
          <w:p w14:paraId="3065C1B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lastRenderedPageBreak/>
              <w:t>F5</w:t>
            </w:r>
          </w:p>
        </w:tc>
        <w:tc>
          <w:tcPr>
            <w:tcW w:w="1000" w:type="dxa"/>
            <w:vAlign w:val="center"/>
          </w:tcPr>
          <w:p w14:paraId="4AC4E55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7EA00BD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5CF3C00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w:t>
            </w:r>
          </w:p>
        </w:tc>
        <w:tc>
          <w:tcPr>
            <w:tcW w:w="1200" w:type="dxa"/>
            <w:vAlign w:val="center"/>
          </w:tcPr>
          <w:p w14:paraId="0E1B975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538A2F5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r w:rsidR="00A93067" w:rsidRPr="00A9192B" w14:paraId="0D23C536" w14:textId="77777777">
        <w:trPr>
          <w:cantSplit/>
          <w:jc w:val="center"/>
        </w:trPr>
        <w:tc>
          <w:tcPr>
            <w:tcW w:w="1300" w:type="dxa"/>
            <w:vAlign w:val="center"/>
          </w:tcPr>
          <w:p w14:paraId="1824979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F6</w:t>
            </w:r>
          </w:p>
        </w:tc>
        <w:tc>
          <w:tcPr>
            <w:tcW w:w="1000" w:type="dxa"/>
            <w:vAlign w:val="center"/>
          </w:tcPr>
          <w:p w14:paraId="4ED9256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w:t>
            </w:r>
          </w:p>
        </w:tc>
        <w:tc>
          <w:tcPr>
            <w:tcW w:w="1400" w:type="dxa"/>
            <w:vAlign w:val="center"/>
          </w:tcPr>
          <w:p w14:paraId="7B7C78D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300</w:t>
            </w:r>
          </w:p>
        </w:tc>
        <w:tc>
          <w:tcPr>
            <w:tcW w:w="1300" w:type="dxa"/>
            <w:vAlign w:val="center"/>
          </w:tcPr>
          <w:p w14:paraId="7134D88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w:t>
            </w:r>
          </w:p>
        </w:tc>
        <w:tc>
          <w:tcPr>
            <w:tcW w:w="1200" w:type="dxa"/>
            <w:vAlign w:val="center"/>
          </w:tcPr>
          <w:p w14:paraId="13646A3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1400" w:type="dxa"/>
            <w:vAlign w:val="center"/>
          </w:tcPr>
          <w:p w14:paraId="0E4BCDD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w:t>
            </w:r>
          </w:p>
        </w:tc>
      </w:tr>
    </w:tbl>
    <w:p w14:paraId="30516CE1" w14:textId="77777777" w:rsidR="00A93067" w:rsidRPr="00A9192B" w:rsidRDefault="00A93067">
      <w:pPr>
        <w:spacing w:after="60"/>
        <w:jc w:val="both"/>
        <w:rPr>
          <w:rFonts w:ascii="Arial" w:eastAsia="Arial" w:hAnsi="Arial" w:cs="Arial"/>
        </w:rPr>
      </w:pPr>
    </w:p>
    <w:p w14:paraId="3ECAB96C"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 xml:space="preserve">2.4 Preparation of </w:t>
      </w:r>
      <w:proofErr w:type="spellStart"/>
      <w:r w:rsidRPr="00A9192B">
        <w:rPr>
          <w:rFonts w:ascii="Arial" w:eastAsia="Arial" w:hAnsi="Arial" w:cs="Arial"/>
          <w:b/>
          <w:color w:val="000000"/>
          <w:sz w:val="22"/>
          <w:szCs w:val="22"/>
        </w:rPr>
        <w:t>transferosomal</w:t>
      </w:r>
      <w:proofErr w:type="spellEnd"/>
      <w:r w:rsidRPr="00A9192B">
        <w:rPr>
          <w:rFonts w:ascii="Arial" w:eastAsia="Arial" w:hAnsi="Arial" w:cs="Arial"/>
          <w:b/>
          <w:color w:val="000000"/>
          <w:sz w:val="22"/>
          <w:szCs w:val="22"/>
        </w:rPr>
        <w:t xml:space="preserve"> gel</w:t>
      </w:r>
    </w:p>
    <w:p w14:paraId="02383B3B"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highlight w:val="yellow"/>
        </w:rPr>
        <w:t>Carbopol 934 (1% w/v) was accurately weighed and dispersed in 80 ml of double-distilled water in a beaker.</w:t>
      </w:r>
      <w:r w:rsidRPr="00A9192B">
        <w:rPr>
          <w:rFonts w:ascii="Arial" w:eastAsia="Arial" w:hAnsi="Arial" w:cs="Arial"/>
          <w:color w:val="000000"/>
        </w:rPr>
        <w:t xml:space="preserve"> </w:t>
      </w:r>
      <w:r w:rsidRPr="00A9192B">
        <w:rPr>
          <w:rFonts w:ascii="Arial" w:eastAsia="Arial" w:hAnsi="Arial" w:cs="Arial"/>
          <w:color w:val="000000"/>
          <w:highlight w:val="yellow"/>
        </w:rPr>
        <w:t>Continuous stirring at 800 rpm was maintained</w:t>
      </w:r>
      <w:r w:rsidRPr="00A9192B">
        <w:rPr>
          <w:rFonts w:ascii="Arial" w:eastAsia="Arial" w:hAnsi="Arial" w:cs="Arial"/>
          <w:color w:val="000000"/>
        </w:rPr>
        <w:t xml:space="preserve"> for 1 hour to ensure proper dispersion of Carbopol 934 in water. After 1 hour of stirring, </w:t>
      </w:r>
      <w:r w:rsidRPr="00A9192B">
        <w:rPr>
          <w:rFonts w:ascii="Arial" w:eastAsia="Arial" w:hAnsi="Arial" w:cs="Arial"/>
          <w:color w:val="000000"/>
          <w:highlight w:val="yellow"/>
        </w:rPr>
        <w:t>10 ml of propylene glycol was added</w:t>
      </w:r>
      <w:r w:rsidRPr="00A9192B">
        <w:rPr>
          <w:rFonts w:ascii="Arial" w:eastAsia="Arial" w:hAnsi="Arial" w:cs="Arial"/>
          <w:color w:val="000000"/>
        </w:rPr>
        <w:t xml:space="preserve"> to the Carbopol 934 dispersion. </w:t>
      </w:r>
      <w:r w:rsidRPr="00A9192B">
        <w:rPr>
          <w:rFonts w:ascii="Arial" w:eastAsia="Arial" w:hAnsi="Arial" w:cs="Arial"/>
          <w:color w:val="000000"/>
          <w:highlight w:val="yellow"/>
        </w:rPr>
        <w:t>This helped to enhance</w:t>
      </w:r>
      <w:r w:rsidRPr="00A9192B">
        <w:rPr>
          <w:rFonts w:ascii="Arial" w:eastAsia="Arial" w:hAnsi="Arial" w:cs="Arial"/>
          <w:color w:val="000000"/>
        </w:rPr>
        <w:t xml:space="preserve"> the viscosity and consistency of the gel. </w:t>
      </w:r>
      <w:r w:rsidRPr="00A9192B">
        <w:rPr>
          <w:rFonts w:ascii="Arial" w:eastAsia="Arial" w:hAnsi="Arial" w:cs="Arial"/>
          <w:color w:val="000000"/>
          <w:highlight w:val="yellow"/>
        </w:rPr>
        <w:t>The volume of the gel was adjusted</w:t>
      </w:r>
      <w:r w:rsidRPr="00A9192B">
        <w:rPr>
          <w:rFonts w:ascii="Arial" w:eastAsia="Arial" w:hAnsi="Arial" w:cs="Arial"/>
          <w:color w:val="000000"/>
        </w:rPr>
        <w:t xml:space="preserve"> to a total of 100 ml, likely by adding an additional 10 ml of double distilled water. </w:t>
      </w:r>
      <w:r w:rsidRPr="00A9192B">
        <w:rPr>
          <w:rFonts w:ascii="Arial" w:eastAsia="Arial" w:hAnsi="Arial" w:cs="Arial"/>
          <w:color w:val="000000"/>
          <w:highlight w:val="yellow"/>
        </w:rPr>
        <w:t>The gel was subjected</w:t>
      </w:r>
      <w:r w:rsidRPr="00A9192B">
        <w:rPr>
          <w:rFonts w:ascii="Arial" w:eastAsia="Arial" w:hAnsi="Arial" w:cs="Arial"/>
          <w:color w:val="000000"/>
        </w:rPr>
        <w:t xml:space="preserve"> to sonication for 10 minutes using a bath </w:t>
      </w:r>
      <w:proofErr w:type="spellStart"/>
      <w:r w:rsidRPr="00A9192B">
        <w:rPr>
          <w:rFonts w:ascii="Arial" w:eastAsia="Arial" w:hAnsi="Arial" w:cs="Arial"/>
          <w:color w:val="000000"/>
        </w:rPr>
        <w:t>sonicator</w:t>
      </w:r>
      <w:proofErr w:type="spellEnd"/>
      <w:r w:rsidRPr="00A9192B">
        <w:rPr>
          <w:rFonts w:ascii="Arial" w:eastAsia="Arial" w:hAnsi="Arial" w:cs="Arial"/>
          <w:color w:val="000000"/>
        </w:rPr>
        <w:t xml:space="preserve">. </w:t>
      </w:r>
      <w:r w:rsidRPr="00A9192B">
        <w:rPr>
          <w:rFonts w:ascii="Arial" w:eastAsia="Arial" w:hAnsi="Arial" w:cs="Arial"/>
          <w:color w:val="000000"/>
          <w:highlight w:val="yellow"/>
        </w:rPr>
        <w:t>This helped to remove</w:t>
      </w:r>
      <w:r w:rsidRPr="00A9192B">
        <w:rPr>
          <w:rFonts w:ascii="Arial" w:eastAsia="Arial" w:hAnsi="Arial" w:cs="Arial"/>
          <w:color w:val="000000"/>
        </w:rPr>
        <w:t xml:space="preserve"> any air bubbles present in the gel, ensuring a smooth and homogeneous gel base.</w:t>
      </w:r>
    </w:p>
    <w:p w14:paraId="4244F57D"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2.5 Characterization of transferosomes</w:t>
      </w:r>
    </w:p>
    <w:p w14:paraId="6A8A98F2"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2.5.1 Optical microscopy</w:t>
      </w:r>
    </w:p>
    <w:p w14:paraId="621A7944"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prepared transferosomes were observed under a binocular compound microscope at 10X and 40X magnification </w:t>
      </w:r>
      <w:r w:rsidRPr="00A9192B">
        <w:rPr>
          <w:rFonts w:ascii="Arial" w:eastAsia="Arial" w:hAnsi="Arial" w:cs="Arial"/>
          <w:color w:val="000000"/>
          <w:highlight w:val="yellow"/>
        </w:rPr>
        <w:t>to study their shape and surface morphology</w:t>
      </w:r>
      <w:r w:rsidRPr="00A9192B">
        <w:rPr>
          <w:rFonts w:ascii="Arial" w:eastAsia="Arial" w:hAnsi="Arial" w:cs="Arial"/>
          <w:color w:val="000000"/>
        </w:rPr>
        <w:t>.</w:t>
      </w:r>
    </w:p>
    <w:p w14:paraId="2CAB217C"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2.5.2 Particle size and polydispersity index</w:t>
      </w:r>
    </w:p>
    <w:p w14:paraId="3C306E95"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Particle size was measured using a </w:t>
      </w:r>
      <w:proofErr w:type="spellStart"/>
      <w:r w:rsidRPr="00A9192B">
        <w:rPr>
          <w:rFonts w:ascii="Arial" w:eastAsia="Arial" w:hAnsi="Arial" w:cs="Arial"/>
          <w:color w:val="000000"/>
        </w:rPr>
        <w:t>Zetasizer</w:t>
      </w:r>
      <w:proofErr w:type="spellEnd"/>
      <w:r w:rsidRPr="00A9192B">
        <w:rPr>
          <w:rFonts w:ascii="Arial" w:eastAsia="Arial" w:hAnsi="Arial" w:cs="Arial"/>
          <w:color w:val="000000"/>
        </w:rPr>
        <w:t xml:space="preserve"> 300HS. Transferosomes were mixed with distilled water and then measured at 25 ºC. </w:t>
      </w:r>
      <w:r w:rsidRPr="00A9192B">
        <w:rPr>
          <w:rFonts w:ascii="Arial" w:eastAsia="Arial" w:hAnsi="Arial" w:cs="Arial"/>
          <w:color w:val="000000"/>
          <w:highlight w:val="yellow"/>
        </w:rPr>
        <w:t>The diameter was calculated using the self-correlation coefficient based on the transferosomes' light-scattering brightness.</w:t>
      </w:r>
      <w:r w:rsidRPr="00A9192B">
        <w:rPr>
          <w:rFonts w:ascii="Arial" w:eastAsia="Arial" w:hAnsi="Arial" w:cs="Arial"/>
          <w:color w:val="000000"/>
        </w:rPr>
        <w:t xml:space="preserve"> PDI gauges a sample’s degree of heterogeneity according to its size polydispersity, which can result from sample agglomeration. The dynamic light scattering (DLS) method can be used to determine PDI. </w:t>
      </w:r>
      <w:r w:rsidRPr="00A9192B">
        <w:rPr>
          <w:rFonts w:ascii="Arial" w:eastAsia="Arial" w:hAnsi="Arial" w:cs="Arial"/>
          <w:color w:val="000000"/>
          <w:highlight w:val="yellow"/>
        </w:rPr>
        <w:t>In terms of PDI, a value of less than 0.1 denotes homogeneity, while a value of less than 0.4 denotes heterogeneity.</w:t>
      </w:r>
    </w:p>
    <w:p w14:paraId="290F307C"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2.5.3 Zeta potential</w:t>
      </w:r>
    </w:p>
    <w:p w14:paraId="46C3BD2B"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Zeta potential was measured using a Horiba SZ100 spectrophotometer. The formulations were diluted with Millipore water before being subjected to measurements, and each measurement was performed in triplicate.</w:t>
      </w:r>
    </w:p>
    <w:p w14:paraId="5E3CF655"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2.5.4 Scanning electron microscopy (SEM)</w:t>
      </w:r>
    </w:p>
    <w:p w14:paraId="63C3014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 scanning electron microscope was used to determine the morphology of the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rPr>
        <w:t xml:space="preserve"> formula. One drop of an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highlight w:val="yellow"/>
        </w:rPr>
        <w:t xml:space="preserve"> </w:t>
      </w:r>
      <w:proofErr w:type="spellStart"/>
      <w:r w:rsidRPr="00A9192B">
        <w:rPr>
          <w:rFonts w:ascii="Arial" w:eastAsia="Arial" w:hAnsi="Arial" w:cs="Arial"/>
          <w:color w:val="000000"/>
          <w:highlight w:val="yellow"/>
        </w:rPr>
        <w:t>transferosomal</w:t>
      </w:r>
      <w:proofErr w:type="spellEnd"/>
      <w:r w:rsidRPr="00A9192B">
        <w:rPr>
          <w:rFonts w:ascii="Arial" w:eastAsia="Arial" w:hAnsi="Arial" w:cs="Arial"/>
          <w:color w:val="000000"/>
          <w:highlight w:val="yellow"/>
        </w:rPr>
        <w:t xml:space="preserve"> suspension</w:t>
      </w:r>
      <w:r w:rsidRPr="00A9192B">
        <w:rPr>
          <w:rFonts w:ascii="Arial" w:eastAsia="Arial" w:hAnsi="Arial" w:cs="Arial"/>
          <w:color w:val="000000"/>
        </w:rPr>
        <w:t xml:space="preserve"> was applied to a copper grid coated with collodion, and the grid was allowed to stand for approximately two minutes to </w:t>
      </w:r>
      <w:r w:rsidRPr="00A9192B">
        <w:rPr>
          <w:rFonts w:ascii="Arial" w:eastAsia="Arial" w:hAnsi="Arial" w:cs="Arial"/>
          <w:color w:val="000000"/>
          <w:highlight w:val="yellow"/>
        </w:rPr>
        <w:t>allow the transferosomes to adhere</w:t>
      </w:r>
      <w:r w:rsidRPr="00A9192B">
        <w:rPr>
          <w:rFonts w:ascii="Arial" w:eastAsia="Arial" w:hAnsi="Arial" w:cs="Arial"/>
          <w:color w:val="000000"/>
        </w:rPr>
        <w:t xml:space="preserve"> to the collodion and dry. On the grid, one drop of uranyl acetate solution was then applied and left for one minute. After drying, the sample was examined using a scanning electron microscope.</w:t>
      </w:r>
    </w:p>
    <w:p w14:paraId="4B15F2C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2.5.5 Entrapment efficiency (EE%)</w:t>
      </w:r>
    </w:p>
    <w:p w14:paraId="241006FA"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5 ml of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suspension was ultracentrifuged for 30 minutes at 10 °C and 4000 rpm. Following centrifugation, 1 mL of the supernatant was diluted with 9 mL of phosphate buffer saline (pH 7.4), and the absorbance at 222 nm was then measured using a UV-Vis spectrophotometer. </w:t>
      </w:r>
      <w:r w:rsidRPr="00A9192B">
        <w:rPr>
          <w:rFonts w:ascii="Arial" w:eastAsia="Arial" w:hAnsi="Arial" w:cs="Arial"/>
          <w:color w:val="000000"/>
          <w:highlight w:val="yellow"/>
        </w:rPr>
        <w:t>The EE% of the drug in the prepared transferosomes was calculated using</w:t>
      </w:r>
      <w:r w:rsidRPr="00A9192B">
        <w:rPr>
          <w:rFonts w:ascii="Arial" w:eastAsia="Arial" w:hAnsi="Arial" w:cs="Arial"/>
          <w:color w:val="000000"/>
        </w:rPr>
        <w:t xml:space="preserve"> the following equation:</w:t>
      </w:r>
    </w:p>
    <w:p w14:paraId="15E86543" w14:textId="77777777" w:rsidR="00A93067" w:rsidRPr="00A9192B" w:rsidRDefault="00CB705E">
      <w:pPr>
        <w:pBdr>
          <w:top w:val="nil"/>
          <w:left w:val="nil"/>
          <w:bottom w:val="nil"/>
          <w:right w:val="nil"/>
          <w:between w:val="nil"/>
        </w:pBdr>
        <w:spacing w:before="60" w:after="120" w:line="480" w:lineRule="auto"/>
        <w:jc w:val="center"/>
        <w:rPr>
          <w:rFonts w:ascii="Arial" w:eastAsia="Arial" w:hAnsi="Arial" w:cs="Arial"/>
          <w:color w:val="000000"/>
        </w:rPr>
      </w:pPr>
      <w:r w:rsidRPr="00A9192B">
        <w:rPr>
          <w:rFonts w:ascii="Arial" w:eastAsia="Arial" w:hAnsi="Arial" w:cs="Arial"/>
          <w:b/>
          <w:color w:val="000000"/>
        </w:rPr>
        <w:t>EE% = [Amount of Entrapped Drug / Total Amount of Drug] × 100</w:t>
      </w:r>
    </w:p>
    <w:p w14:paraId="0F8176E9"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 xml:space="preserve">2.6 Characterization of </w:t>
      </w:r>
      <w:proofErr w:type="spellStart"/>
      <w:r w:rsidRPr="00A9192B">
        <w:rPr>
          <w:rFonts w:ascii="Arial" w:eastAsia="Arial" w:hAnsi="Arial" w:cs="Arial"/>
          <w:b/>
          <w:color w:val="000000"/>
          <w:sz w:val="22"/>
          <w:szCs w:val="22"/>
        </w:rPr>
        <w:t>transferosomal</w:t>
      </w:r>
      <w:proofErr w:type="spellEnd"/>
      <w:r w:rsidRPr="00A9192B">
        <w:rPr>
          <w:rFonts w:ascii="Arial" w:eastAsia="Arial" w:hAnsi="Arial" w:cs="Arial"/>
          <w:b/>
          <w:color w:val="000000"/>
          <w:sz w:val="22"/>
          <w:szCs w:val="22"/>
        </w:rPr>
        <w:t xml:space="preserve"> gel</w:t>
      </w:r>
    </w:p>
    <w:p w14:paraId="74BB8BA1"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2.6.1 Physical appearance</w:t>
      </w:r>
    </w:p>
    <w:p w14:paraId="59E88829"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All prepared gel formulations were observed for their visual appearance, such as transparency, </w:t>
      </w:r>
      <w:proofErr w:type="spellStart"/>
      <w:r w:rsidRPr="00A9192B">
        <w:rPr>
          <w:rFonts w:ascii="Arial" w:eastAsia="Arial" w:hAnsi="Arial" w:cs="Arial"/>
          <w:color w:val="000000"/>
        </w:rPr>
        <w:t>colour</w:t>
      </w:r>
      <w:proofErr w:type="spellEnd"/>
      <w:r w:rsidRPr="00A9192B">
        <w:rPr>
          <w:rFonts w:ascii="Arial" w:eastAsia="Arial" w:hAnsi="Arial" w:cs="Arial"/>
          <w:color w:val="000000"/>
        </w:rPr>
        <w:t>, texture, grittiness, greasiness, stickiness, smoothness and stiffness.</w:t>
      </w:r>
    </w:p>
    <w:p w14:paraId="48BC83A8"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 xml:space="preserve">2.6.2 </w:t>
      </w:r>
      <w:proofErr w:type="spellStart"/>
      <w:r w:rsidRPr="00A9192B">
        <w:rPr>
          <w:rFonts w:ascii="Arial" w:eastAsia="Arial" w:hAnsi="Arial" w:cs="Arial"/>
          <w:b/>
          <w:color w:val="000000"/>
          <w:u w:val="single"/>
        </w:rPr>
        <w:t>Spreadability</w:t>
      </w:r>
      <w:proofErr w:type="spellEnd"/>
    </w:p>
    <w:p w14:paraId="03139A0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A modified apparatus was </w:t>
      </w:r>
      <w:r w:rsidRPr="00A9192B">
        <w:rPr>
          <w:rFonts w:ascii="Arial" w:eastAsia="Arial" w:hAnsi="Arial" w:cs="Arial"/>
          <w:color w:val="000000"/>
          <w:highlight w:val="yellow"/>
        </w:rPr>
        <w:t xml:space="preserve">used to determine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The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was measured on the basis of slip and drag characteristics of the gels. The modified apparatus was fabricated and consisted of two glass slides, the lower one fixed to a wooden plate and the upper one attached by a hook to a balance. The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was determined using the formula:</w:t>
      </w:r>
    </w:p>
    <w:p w14:paraId="2209AC48" w14:textId="77777777" w:rsidR="00A93067" w:rsidRPr="00A9192B" w:rsidRDefault="00CB705E">
      <w:pPr>
        <w:pBdr>
          <w:top w:val="nil"/>
          <w:left w:val="nil"/>
          <w:bottom w:val="nil"/>
          <w:right w:val="nil"/>
          <w:between w:val="nil"/>
        </w:pBdr>
        <w:spacing w:before="60" w:after="120"/>
        <w:jc w:val="center"/>
        <w:rPr>
          <w:rFonts w:ascii="Arial" w:eastAsia="Arial" w:hAnsi="Arial" w:cs="Arial"/>
          <w:color w:val="000000"/>
        </w:rPr>
      </w:pPr>
      <w:r w:rsidRPr="00A9192B">
        <w:rPr>
          <w:rFonts w:ascii="Arial" w:eastAsia="Arial" w:hAnsi="Arial" w:cs="Arial"/>
          <w:b/>
          <w:color w:val="000000"/>
        </w:rPr>
        <w:t>S = m</w:t>
      </w:r>
      <w:r w:rsidR="00835B15" w:rsidRPr="00A9192B">
        <w:rPr>
          <w:rFonts w:ascii="Arial" w:eastAsia="Arial" w:hAnsi="Arial" w:cs="Arial"/>
          <w:b/>
          <w:color w:val="000000"/>
        </w:rPr>
        <w:t>x</w:t>
      </w:r>
      <w:r w:rsidRPr="00A9192B">
        <w:rPr>
          <w:rFonts w:ascii="Arial" w:eastAsia="Arial" w:hAnsi="Arial" w:cs="Arial"/>
          <w:b/>
          <w:color w:val="000000"/>
        </w:rPr>
        <w:t>l / t</w:t>
      </w:r>
    </w:p>
    <w:p w14:paraId="68230B8A"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where S is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m is the weight in the pan tied to the upper slide, l is the distance travelled and t is the time. </w:t>
      </w:r>
      <w:r w:rsidRPr="00A9192B">
        <w:rPr>
          <w:rFonts w:ascii="Arial" w:eastAsia="Arial" w:hAnsi="Arial" w:cs="Arial"/>
          <w:color w:val="000000"/>
          <w:highlight w:val="yellow"/>
        </w:rPr>
        <w:t>For practical purposes, the mass</w:t>
      </w:r>
      <w:r w:rsidRPr="00A9192B">
        <w:rPr>
          <w:rFonts w:ascii="Arial" w:eastAsia="Arial" w:hAnsi="Arial" w:cs="Arial"/>
          <w:color w:val="000000"/>
        </w:rPr>
        <w:t xml:space="preserve"> and length were kept constant and t was determined.</w:t>
      </w:r>
    </w:p>
    <w:p w14:paraId="237EA59F"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2.6.3 Viscosity</w:t>
      </w:r>
    </w:p>
    <w:p w14:paraId="4CA47B3C"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viscosity of the gels was determined using a Brookfield viscometer. Spindle number S64 was operated at 12 rpm for 10 seconds at 37 ºC.</w:t>
      </w:r>
    </w:p>
    <w:p w14:paraId="5D1888A8"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2.6.4 pH</w:t>
      </w:r>
    </w:p>
    <w:p w14:paraId="113F8966"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pH of the prepared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gels was determined using a pH meter. </w:t>
      </w:r>
      <w:r w:rsidRPr="00A9192B">
        <w:rPr>
          <w:rFonts w:ascii="Arial" w:eastAsia="Arial" w:hAnsi="Arial" w:cs="Arial"/>
          <w:color w:val="000000"/>
          <w:highlight w:val="yellow"/>
        </w:rPr>
        <w:t>A 500 mg sample of gel was incorporated</w:t>
      </w:r>
      <w:r w:rsidRPr="00A9192B">
        <w:rPr>
          <w:rFonts w:ascii="Arial" w:eastAsia="Arial" w:hAnsi="Arial" w:cs="Arial"/>
          <w:color w:val="000000"/>
        </w:rPr>
        <w:t xml:space="preserve"> into 10 ml of distilled water to create a homogeneous solution. </w:t>
      </w:r>
      <w:r w:rsidRPr="00A9192B">
        <w:rPr>
          <w:rFonts w:ascii="Arial" w:eastAsia="Arial" w:hAnsi="Arial" w:cs="Arial"/>
          <w:color w:val="000000"/>
          <w:highlight w:val="yellow"/>
        </w:rPr>
        <w:t>After the electrode was immersed in the suspension, pH meter readings were recorded.</w:t>
      </w:r>
    </w:p>
    <w:p w14:paraId="4D86C4E7"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2.6.5 Drug content</w:t>
      </w:r>
    </w:p>
    <w:p w14:paraId="463CAA42" w14:textId="12D70A65" w:rsidR="00A93067" w:rsidRPr="00A9192B" w:rsidRDefault="00A979F6">
      <w:pPr>
        <w:pBdr>
          <w:top w:val="nil"/>
          <w:left w:val="nil"/>
          <w:bottom w:val="nil"/>
          <w:right w:val="nil"/>
          <w:between w:val="nil"/>
        </w:pBdr>
        <w:spacing w:after="120" w:line="480" w:lineRule="auto"/>
        <w:jc w:val="both"/>
        <w:rPr>
          <w:rFonts w:ascii="Arial" w:eastAsia="Arial" w:hAnsi="Arial" w:cs="Arial"/>
          <w:color w:val="000000"/>
        </w:rPr>
      </w:pPr>
      <w:r w:rsidRPr="00A979F6">
        <w:rPr>
          <w:rFonts w:ascii="Arial" w:eastAsia="Arial" w:hAnsi="Arial" w:cs="Arial"/>
          <w:color w:val="000000"/>
        </w:rPr>
        <w:t>Precisely 1 g of the gel formulation was dissolved in a suitable solvent, and the resulting solution was filtered to remove any insoluble excipients or particulate matter. The filtrate was then made up to a specified volume using the same solvent. An appropriate aliquot of the resulting solution was further diluted with the solvent to obtain a concentration suitable for spectrophotometric analysis. The absorbance of the diluted solution was measured at 222 nm using a UV–Visible spectrophotometer, with the solvent serving as the blank where appropriate. The drug content of the gel formulation was subsequently quantified by referring to the previously established calibration curve.</w:t>
      </w:r>
    </w:p>
    <w:p w14:paraId="205C85BD"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2.6.6 In-vitro drug diffusion studies</w:t>
      </w:r>
    </w:p>
    <w:p w14:paraId="18835C62"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w:t>
      </w:r>
      <w:r w:rsidRPr="00A9192B">
        <w:rPr>
          <w:rFonts w:ascii="Arial" w:eastAsia="Arial" w:hAnsi="Arial" w:cs="Arial"/>
          <w:color w:val="000000"/>
          <w:highlight w:val="yellow"/>
        </w:rPr>
        <w:t>in vitro</w:t>
      </w:r>
      <w:r w:rsidRPr="00A9192B">
        <w:rPr>
          <w:rFonts w:ascii="Arial" w:eastAsia="Arial" w:hAnsi="Arial" w:cs="Arial"/>
          <w:color w:val="000000"/>
        </w:rPr>
        <w:t xml:space="preserve"> drug release study was performed </w:t>
      </w:r>
      <w:r w:rsidRPr="00A9192B">
        <w:rPr>
          <w:rFonts w:ascii="Arial" w:eastAsia="Arial" w:hAnsi="Arial" w:cs="Arial"/>
          <w:color w:val="000000"/>
          <w:highlight w:val="yellow"/>
        </w:rPr>
        <w:t>using a modified Franz diffusion cell and an egg membrane</w:t>
      </w:r>
      <w:r w:rsidRPr="00A9192B">
        <w:rPr>
          <w:rFonts w:ascii="Arial" w:eastAsia="Arial" w:hAnsi="Arial" w:cs="Arial"/>
          <w:color w:val="000000"/>
        </w:rPr>
        <w:t xml:space="preserve"> in phosphate buffer solution (pH 7.4). The egg membrane was mounted horizontally on the receptor compartment of the Franz diffusion cell. The effective permeation area of the donor compartment exposed to the receptor compartment was 2 cm</w:t>
      </w:r>
      <w:r w:rsidRPr="00A9192B">
        <w:rPr>
          <w:rFonts w:ascii="Arial" w:eastAsia="Arial" w:hAnsi="Arial" w:cs="Arial"/>
          <w:color w:val="000000"/>
          <w:vertAlign w:val="superscript"/>
        </w:rPr>
        <w:t>2</w:t>
      </w:r>
      <w:r w:rsidRPr="00A9192B">
        <w:rPr>
          <w:rFonts w:ascii="Arial" w:eastAsia="Arial" w:hAnsi="Arial" w:cs="Arial"/>
          <w:color w:val="000000"/>
        </w:rPr>
        <w:t xml:space="preserve"> and the capacity of the receptor compartment was 30 ml of phosphate buffer (pH 7.4) maintained at 37 ± 0.5 ºC and stirred by a magnetic bar at 100 rpm.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formulation equivalent to 1 g of drug was placed on the membrane and the top of the diffusion cell was covered. </w:t>
      </w:r>
      <w:r w:rsidRPr="00A9192B">
        <w:rPr>
          <w:rFonts w:ascii="Arial" w:eastAsia="Arial" w:hAnsi="Arial" w:cs="Arial"/>
          <w:color w:val="000000"/>
          <w:highlight w:val="yellow"/>
        </w:rPr>
        <w:t>At appropriate time intervals, 5 ml aliquots</w:t>
      </w:r>
      <w:r w:rsidRPr="00A9192B">
        <w:rPr>
          <w:rFonts w:ascii="Arial" w:eastAsia="Arial" w:hAnsi="Arial" w:cs="Arial"/>
          <w:color w:val="000000"/>
        </w:rPr>
        <w:t xml:space="preserve"> of the receptor medium were withdrawn and immediately replaced by an equal volume of fresh phosphate buffer (pH 7.4). The samples were </w:t>
      </w:r>
      <w:proofErr w:type="spellStart"/>
      <w:r w:rsidRPr="00A9192B">
        <w:rPr>
          <w:rFonts w:ascii="Arial" w:eastAsia="Arial" w:hAnsi="Arial" w:cs="Arial"/>
          <w:color w:val="000000"/>
        </w:rPr>
        <w:t>analysed</w:t>
      </w:r>
      <w:proofErr w:type="spellEnd"/>
      <w:r w:rsidRPr="00A9192B">
        <w:rPr>
          <w:rFonts w:ascii="Arial" w:eastAsia="Arial" w:hAnsi="Arial" w:cs="Arial"/>
          <w:color w:val="000000"/>
        </w:rPr>
        <w:t xml:space="preserve"> spectrophotometrically at </w:t>
      </w:r>
      <w:proofErr w:type="spellStart"/>
      <w:r w:rsidRPr="00A9192B">
        <w:rPr>
          <w:rFonts w:ascii="Arial" w:eastAsia="Arial" w:hAnsi="Arial" w:cs="Arial"/>
          <w:color w:val="000000"/>
        </w:rPr>
        <w:t>λmax</w:t>
      </w:r>
      <w:proofErr w:type="spellEnd"/>
      <w:r w:rsidRPr="00A9192B">
        <w:rPr>
          <w:rFonts w:ascii="Arial" w:eastAsia="Arial" w:hAnsi="Arial" w:cs="Arial"/>
          <w:color w:val="000000"/>
        </w:rPr>
        <w:t>.</w:t>
      </w:r>
    </w:p>
    <w:p w14:paraId="027BE257"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lastRenderedPageBreak/>
        <w:t>2.7 Drug release kinetics</w:t>
      </w:r>
    </w:p>
    <w:p w14:paraId="65A6C2B3"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w:t>
      </w:r>
      <w:r w:rsidRPr="00A9192B">
        <w:rPr>
          <w:rFonts w:ascii="Arial" w:eastAsia="Arial" w:hAnsi="Arial" w:cs="Arial"/>
          <w:color w:val="000000"/>
          <w:highlight w:val="yellow"/>
        </w:rPr>
        <w:t>in vitro</w:t>
      </w:r>
      <w:r w:rsidRPr="00A9192B">
        <w:rPr>
          <w:rFonts w:ascii="Arial" w:eastAsia="Arial" w:hAnsi="Arial" w:cs="Arial"/>
          <w:color w:val="000000"/>
        </w:rPr>
        <w:t xml:space="preserve"> release data were </w:t>
      </w:r>
      <w:proofErr w:type="spellStart"/>
      <w:r w:rsidRPr="00A9192B">
        <w:rPr>
          <w:rFonts w:ascii="Arial" w:eastAsia="Arial" w:hAnsi="Arial" w:cs="Arial"/>
          <w:color w:val="000000"/>
        </w:rPr>
        <w:t>analysed</w:t>
      </w:r>
      <w:proofErr w:type="spellEnd"/>
      <w:r w:rsidRPr="00A9192B">
        <w:rPr>
          <w:rFonts w:ascii="Arial" w:eastAsia="Arial" w:hAnsi="Arial" w:cs="Arial"/>
          <w:color w:val="000000"/>
        </w:rPr>
        <w:t xml:space="preserve"> using the following kinetic models:</w:t>
      </w:r>
    </w:p>
    <w:p w14:paraId="4988357B"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Zero-order kinetics</w:t>
      </w:r>
    </w:p>
    <w:p w14:paraId="0978821C"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First-order kinetics</w:t>
      </w:r>
    </w:p>
    <w:p w14:paraId="6F241827"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Higuchi model</w:t>
      </w:r>
    </w:p>
    <w:p w14:paraId="56BF81E8"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Korsmeyer–Peppas model</w:t>
      </w:r>
    </w:p>
    <w:p w14:paraId="0BE7974C" w14:textId="77777777" w:rsidR="00A93067" w:rsidRPr="00A9192B" w:rsidRDefault="00CB705E">
      <w:pPr>
        <w:numPr>
          <w:ilvl w:val="0"/>
          <w:numId w:val="2"/>
        </w:numPr>
        <w:pBdr>
          <w:top w:val="nil"/>
          <w:left w:val="nil"/>
          <w:bottom w:val="nil"/>
          <w:right w:val="nil"/>
          <w:between w:val="nil"/>
        </w:pBdr>
        <w:spacing w:after="20"/>
        <w:rPr>
          <w:color w:val="000000"/>
        </w:rPr>
      </w:pPr>
      <w:r w:rsidRPr="00A9192B">
        <w:rPr>
          <w:rFonts w:ascii="Arial" w:eastAsia="Arial" w:hAnsi="Arial" w:cs="Arial"/>
          <w:color w:val="000000"/>
        </w:rPr>
        <w:t>Hixson–Crowell kinetics</w:t>
      </w:r>
    </w:p>
    <w:p w14:paraId="4EA3F54E" w14:textId="77777777" w:rsidR="00A93067" w:rsidRPr="00A9192B" w:rsidRDefault="00A93067">
      <w:pPr>
        <w:pBdr>
          <w:top w:val="nil"/>
          <w:left w:val="nil"/>
          <w:bottom w:val="nil"/>
          <w:right w:val="nil"/>
          <w:between w:val="nil"/>
        </w:pBdr>
        <w:spacing w:after="60"/>
        <w:jc w:val="both"/>
        <w:rPr>
          <w:rFonts w:ascii="Arial" w:eastAsia="Arial" w:hAnsi="Arial" w:cs="Arial"/>
          <w:color w:val="000000"/>
        </w:rPr>
      </w:pPr>
    </w:p>
    <w:p w14:paraId="0306A21B"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2.8 Stability studies</w:t>
      </w:r>
    </w:p>
    <w:p w14:paraId="7DA91CD0" w14:textId="212ED56A" w:rsidR="00A979F6" w:rsidRDefault="00A979F6">
      <w:pPr>
        <w:keepNext/>
        <w:pBdr>
          <w:top w:val="nil"/>
          <w:left w:val="nil"/>
          <w:bottom w:val="nil"/>
          <w:right w:val="nil"/>
          <w:between w:val="nil"/>
        </w:pBdr>
        <w:spacing w:before="200" w:after="100"/>
        <w:rPr>
          <w:rFonts w:ascii="Arial" w:eastAsia="Arial" w:hAnsi="Arial" w:cs="Arial"/>
          <w:color w:val="000000"/>
        </w:rPr>
      </w:pPr>
      <w:r w:rsidRPr="00A979F6">
        <w:rPr>
          <w:rFonts w:ascii="Arial" w:eastAsia="Arial" w:hAnsi="Arial" w:cs="Arial"/>
          <w:color w:val="000000"/>
        </w:rPr>
        <w:t xml:space="preserve">Stability testing is an essential component of the drug development process, as it provides evidence of changes in the quality of a pharmaceutical product over time under the influence of various environmental factors. In the present study, stability studies were conducted on the </w:t>
      </w:r>
      <w:proofErr w:type="spellStart"/>
      <w:r w:rsidRPr="00A979F6">
        <w:rPr>
          <w:rFonts w:ascii="Arial" w:eastAsia="Arial" w:hAnsi="Arial" w:cs="Arial"/>
          <w:color w:val="000000"/>
        </w:rPr>
        <w:t>optimised</w:t>
      </w:r>
      <w:proofErr w:type="spellEnd"/>
      <w:r w:rsidRPr="00A979F6">
        <w:rPr>
          <w:rFonts w:ascii="Arial" w:eastAsia="Arial" w:hAnsi="Arial" w:cs="Arial"/>
          <w:color w:val="000000"/>
        </w:rPr>
        <w:t xml:space="preserve"> formulation in accordance with the relevant International Council for </w:t>
      </w:r>
      <w:proofErr w:type="spellStart"/>
      <w:r w:rsidRPr="00A979F6">
        <w:rPr>
          <w:rFonts w:ascii="Arial" w:eastAsia="Arial" w:hAnsi="Arial" w:cs="Arial"/>
          <w:color w:val="000000"/>
        </w:rPr>
        <w:t>Harmonisation</w:t>
      </w:r>
      <w:proofErr w:type="spellEnd"/>
      <w:r w:rsidRPr="00A979F6">
        <w:rPr>
          <w:rFonts w:ascii="Arial" w:eastAsia="Arial" w:hAnsi="Arial" w:cs="Arial"/>
          <w:color w:val="000000"/>
        </w:rPr>
        <w:t xml:space="preserve"> (ICH) guidelines. The formulation was stored in tightly closed containers under refrigerated conditions (4 ± 2 °C) and at room temperature (25 ± 2 °C) for a period of one month. The formulation was evaluated before storage and at predetermined intervals throughout the study period to assess changes in its physical appearance, drug content and entrapment efficiency. These parameters were monitored to determine the physical and pharmaceutical stability of the formulation under the specified storage conditions.</w:t>
      </w:r>
    </w:p>
    <w:p w14:paraId="41F1EE1A" w14:textId="77777777" w:rsidR="00A979F6" w:rsidRDefault="00A979F6">
      <w:pPr>
        <w:keepNext/>
        <w:pBdr>
          <w:top w:val="nil"/>
          <w:left w:val="nil"/>
          <w:bottom w:val="nil"/>
          <w:right w:val="nil"/>
          <w:between w:val="nil"/>
        </w:pBdr>
        <w:spacing w:before="200" w:after="100"/>
        <w:rPr>
          <w:rFonts w:ascii="Arial" w:eastAsia="Arial" w:hAnsi="Arial" w:cs="Arial"/>
          <w:color w:val="000000"/>
        </w:rPr>
      </w:pPr>
    </w:p>
    <w:p w14:paraId="12759EC1" w14:textId="40A46450" w:rsidR="00A93067" w:rsidRPr="00A9192B" w:rsidRDefault="00CB705E">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3. </w:t>
      </w:r>
      <w:r w:rsidR="00835B15" w:rsidRPr="00A9192B">
        <w:rPr>
          <w:rFonts w:ascii="Arial" w:eastAsia="Arial" w:hAnsi="Arial" w:cs="Arial"/>
          <w:b/>
          <w:smallCaps/>
          <w:color w:val="000000"/>
          <w:sz w:val="22"/>
          <w:szCs w:val="22"/>
        </w:rPr>
        <w:t>RESULTS AND DISCUSSION</w:t>
      </w:r>
    </w:p>
    <w:p w14:paraId="45581087"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 xml:space="preserve">3.1 </w:t>
      </w:r>
      <w:proofErr w:type="spellStart"/>
      <w:r w:rsidRPr="00A9192B">
        <w:rPr>
          <w:rFonts w:ascii="Arial" w:eastAsia="Arial" w:hAnsi="Arial" w:cs="Arial"/>
          <w:b/>
          <w:color w:val="000000"/>
          <w:sz w:val="22"/>
          <w:szCs w:val="22"/>
        </w:rPr>
        <w:t>Preformulation</w:t>
      </w:r>
      <w:proofErr w:type="spellEnd"/>
      <w:r w:rsidRPr="00A9192B">
        <w:rPr>
          <w:rFonts w:ascii="Arial" w:eastAsia="Arial" w:hAnsi="Arial" w:cs="Arial"/>
          <w:b/>
          <w:color w:val="000000"/>
          <w:sz w:val="22"/>
          <w:szCs w:val="22"/>
        </w:rPr>
        <w:t xml:space="preserve"> studies</w:t>
      </w:r>
    </w:p>
    <w:p w14:paraId="5E7EF0A5"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3.1.1 Organoleptic properties</w:t>
      </w:r>
    </w:p>
    <w:p w14:paraId="46E2CF78" w14:textId="77777777" w:rsidR="00A93067" w:rsidRPr="00A9192B" w:rsidRDefault="00CB705E" w:rsidP="004A2186">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Famciclovir was observed to be a white, </w:t>
      </w:r>
      <w:proofErr w:type="spellStart"/>
      <w:r w:rsidRPr="00A9192B">
        <w:rPr>
          <w:rFonts w:ascii="Arial" w:eastAsia="Arial" w:hAnsi="Arial" w:cs="Arial"/>
          <w:color w:val="000000"/>
        </w:rPr>
        <w:t>odourless</w:t>
      </w:r>
      <w:proofErr w:type="spellEnd"/>
      <w:r w:rsidRPr="00A9192B">
        <w:rPr>
          <w:rFonts w:ascii="Arial" w:eastAsia="Arial" w:hAnsi="Arial" w:cs="Arial"/>
          <w:color w:val="000000"/>
        </w:rPr>
        <w:t>, solid powder.</w:t>
      </w:r>
    </w:p>
    <w:p w14:paraId="063E0D28"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Organoleptic examination provides a practical baseline for confirming the apparent identity and physical uniformity of the drug before formulation, and comparable </w:t>
      </w:r>
      <w:proofErr w:type="spellStart"/>
      <w:r w:rsidRPr="00A9192B">
        <w:rPr>
          <w:rFonts w:ascii="Arial" w:eastAsia="Arial" w:hAnsi="Arial"/>
        </w:rPr>
        <w:t>transferosomal</w:t>
      </w:r>
      <w:proofErr w:type="spellEnd"/>
      <w:r w:rsidRPr="00A9192B">
        <w:rPr>
          <w:rFonts w:ascii="Arial" w:eastAsia="Arial" w:hAnsi="Arial"/>
        </w:rPr>
        <w:t xml:space="preserve"> and </w:t>
      </w:r>
      <w:proofErr w:type="spellStart"/>
      <w:r w:rsidRPr="00A9192B">
        <w:rPr>
          <w:rFonts w:ascii="Arial" w:eastAsia="Arial" w:hAnsi="Arial"/>
        </w:rPr>
        <w:t>preformulation</w:t>
      </w:r>
      <w:proofErr w:type="spellEnd"/>
      <w:r w:rsidRPr="00A9192B">
        <w:rPr>
          <w:rFonts w:ascii="Arial" w:eastAsia="Arial" w:hAnsi="Arial"/>
        </w:rPr>
        <w:t xml:space="preserve"> studies routinely document </w:t>
      </w:r>
      <w:proofErr w:type="spellStart"/>
      <w:r w:rsidRPr="00A9192B">
        <w:rPr>
          <w:rFonts w:ascii="Arial" w:eastAsia="Arial" w:hAnsi="Arial"/>
        </w:rPr>
        <w:t>colour</w:t>
      </w:r>
      <w:proofErr w:type="spellEnd"/>
      <w:r w:rsidRPr="00A9192B">
        <w:rPr>
          <w:rFonts w:ascii="Arial" w:eastAsia="Arial" w:hAnsi="Arial"/>
        </w:rPr>
        <w:t xml:space="preserve">, </w:t>
      </w:r>
      <w:proofErr w:type="spellStart"/>
      <w:r w:rsidRPr="00A9192B">
        <w:rPr>
          <w:rFonts w:ascii="Arial" w:eastAsia="Arial" w:hAnsi="Arial"/>
        </w:rPr>
        <w:t>odour</w:t>
      </w:r>
      <w:proofErr w:type="spellEnd"/>
      <w:r w:rsidRPr="00A9192B">
        <w:rPr>
          <w:rFonts w:ascii="Arial" w:eastAsia="Arial" w:hAnsi="Arial"/>
        </w:rPr>
        <w:t xml:space="preserve">, and visible physical characteristics as part of initial </w:t>
      </w:r>
      <w:proofErr w:type="spellStart"/>
      <w:r w:rsidRPr="00A9192B">
        <w:rPr>
          <w:rFonts w:ascii="Arial" w:eastAsia="Arial" w:hAnsi="Arial"/>
          <w:highlight w:val="yellow"/>
        </w:rPr>
        <w:t>characterisation</w:t>
      </w:r>
      <w:proofErr w:type="spellEnd"/>
      <w:r w:rsidRPr="00A9192B">
        <w:rPr>
          <w:rFonts w:ascii="Arial" w:eastAsia="Arial" w:hAnsi="Arial"/>
        </w:rPr>
        <w:t xml:space="preserve"> </w:t>
      </w:r>
      <w:r w:rsidRPr="00A9192B">
        <w:rPr>
          <w:rFonts w:ascii="Arial" w:eastAsia="Arial" w:hAnsi="Arial"/>
          <w:highlight w:val="yellow"/>
        </w:rPr>
        <w:t>(Bhattacharyya et al., 2024; Fatima et al., 2023; Singh &amp; Malik, 2025)</w:t>
      </w:r>
      <w:r w:rsidRPr="00A9192B">
        <w:rPr>
          <w:rFonts w:ascii="Arial" w:eastAsia="Arial" w:hAnsi="Arial"/>
        </w:rPr>
        <w:t>.</w:t>
      </w:r>
    </w:p>
    <w:p w14:paraId="158B73DA"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3.1.2 Melting point</w:t>
      </w:r>
    </w:p>
    <w:p w14:paraId="21E82E24"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observed melting point of Famciclovir was 104 ºC, which is in agreement with the reported value of 103–104 ºC.</w:t>
      </w:r>
    </w:p>
    <w:p w14:paraId="633EDA8A"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Thermal or melting-point </w:t>
      </w:r>
      <w:proofErr w:type="spellStart"/>
      <w:r w:rsidRPr="00A9192B">
        <w:rPr>
          <w:rFonts w:ascii="Arial" w:eastAsia="Arial" w:hAnsi="Arial"/>
          <w:highlight w:val="yellow"/>
        </w:rPr>
        <w:t>characterisation</w:t>
      </w:r>
      <w:proofErr w:type="spellEnd"/>
      <w:r w:rsidRPr="00A9192B">
        <w:rPr>
          <w:rFonts w:ascii="Arial" w:eastAsia="Arial" w:hAnsi="Arial"/>
        </w:rPr>
        <w:t xml:space="preserve"> can complement identity assessment and can reveal changes in solid-state </w:t>
      </w:r>
      <w:proofErr w:type="spellStart"/>
      <w:r w:rsidRPr="00A9192B">
        <w:rPr>
          <w:rFonts w:ascii="Arial" w:eastAsia="Arial" w:hAnsi="Arial"/>
          <w:highlight w:val="yellow"/>
        </w:rPr>
        <w:t>behaviour</w:t>
      </w:r>
      <w:proofErr w:type="spellEnd"/>
      <w:r w:rsidRPr="00A9192B">
        <w:rPr>
          <w:rFonts w:ascii="Arial" w:eastAsia="Arial" w:hAnsi="Arial"/>
        </w:rPr>
        <w:t xml:space="preserve"> when a drug is incorporated into a delivery matrix. </w:t>
      </w:r>
      <w:r w:rsidRPr="00A9192B">
        <w:rPr>
          <w:rFonts w:ascii="Arial" w:eastAsia="Arial" w:hAnsi="Arial"/>
        </w:rPr>
        <w:lastRenderedPageBreak/>
        <w:t xml:space="preserve">Famciclovir formulation studies have similarly used thermal or solid-state </w:t>
      </w:r>
      <w:proofErr w:type="spellStart"/>
      <w:r w:rsidRPr="00A9192B">
        <w:rPr>
          <w:rFonts w:ascii="Arial" w:eastAsia="Arial" w:hAnsi="Arial"/>
          <w:highlight w:val="yellow"/>
        </w:rPr>
        <w:t>characterisation</w:t>
      </w:r>
      <w:proofErr w:type="spellEnd"/>
      <w:r w:rsidRPr="00A9192B">
        <w:rPr>
          <w:rFonts w:ascii="Arial" w:eastAsia="Arial" w:hAnsi="Arial"/>
        </w:rPr>
        <w:t xml:space="preserve"> alongside spectroscopic methods to assess the drug before and after formulation </w:t>
      </w:r>
      <w:r w:rsidRPr="00A9192B">
        <w:rPr>
          <w:rFonts w:ascii="Arial" w:eastAsia="Arial" w:hAnsi="Arial"/>
          <w:highlight w:val="yellow"/>
        </w:rPr>
        <w:t xml:space="preserve">(Iftikhar et al., 2025; </w:t>
      </w:r>
      <w:proofErr w:type="spellStart"/>
      <w:r w:rsidRPr="00A9192B">
        <w:rPr>
          <w:rFonts w:ascii="Arial" w:eastAsia="Arial" w:hAnsi="Arial"/>
          <w:highlight w:val="yellow"/>
        </w:rPr>
        <w:t>Kanugo</w:t>
      </w:r>
      <w:proofErr w:type="spellEnd"/>
      <w:r w:rsidRPr="00A9192B">
        <w:rPr>
          <w:rFonts w:ascii="Arial" w:eastAsia="Arial" w:hAnsi="Arial"/>
          <w:highlight w:val="yellow"/>
        </w:rPr>
        <w:t xml:space="preserve"> et al., 2023; Singh &amp; Malik, 2025)</w:t>
      </w:r>
      <w:r w:rsidRPr="00A9192B">
        <w:rPr>
          <w:rFonts w:ascii="Arial" w:eastAsia="Arial" w:hAnsi="Arial"/>
        </w:rPr>
        <w:t>.</w:t>
      </w:r>
    </w:p>
    <w:p w14:paraId="7D52DA90"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3.1.3 Solubility studies</w:t>
      </w:r>
    </w:p>
    <w:p w14:paraId="6E97BEDF" w14:textId="77777777" w:rsidR="00510C60" w:rsidRPr="00A9192B" w:rsidRDefault="00CB705E" w:rsidP="00510C6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Famciclovir was freely soluble in distilled water, methanol and 0.1 N HCl, and soluble in acetone and chloroform.</w:t>
      </w:r>
    </w:p>
    <w:p w14:paraId="4E8254E4"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Solubility is a key </w:t>
      </w:r>
      <w:proofErr w:type="spellStart"/>
      <w:r w:rsidRPr="00A9192B">
        <w:rPr>
          <w:rFonts w:ascii="Arial" w:eastAsia="Arial" w:hAnsi="Arial"/>
        </w:rPr>
        <w:t>preformulation</w:t>
      </w:r>
      <w:proofErr w:type="spellEnd"/>
      <w:r w:rsidRPr="00A9192B">
        <w:rPr>
          <w:rFonts w:ascii="Arial" w:eastAsia="Arial" w:hAnsi="Arial"/>
        </w:rPr>
        <w:t xml:space="preserve"> variable because it influences drug partitioning between the aqueous phase, lipid bilayer, and gel matrix and therefore can affect loading, retention, and release from vesicular systems. For transferosomes, the balance between drug physicochemical properties and lipid or edge-activator composition is particularly important for achieving reproducible encapsulation and dermal delivery </w:t>
      </w:r>
      <w:r w:rsidRPr="00A9192B">
        <w:rPr>
          <w:rFonts w:ascii="Arial" w:eastAsia="Arial" w:hAnsi="Arial"/>
          <w:highlight w:val="yellow"/>
        </w:rPr>
        <w:t xml:space="preserve">(Bhattacharyya et al., 2024; Fernández-García et al., 2020; </w:t>
      </w:r>
      <w:proofErr w:type="spellStart"/>
      <w:r w:rsidRPr="00A9192B">
        <w:rPr>
          <w:rFonts w:ascii="Arial" w:eastAsia="Arial" w:hAnsi="Arial"/>
          <w:highlight w:val="yellow"/>
        </w:rPr>
        <w:t>Matharoo</w:t>
      </w:r>
      <w:proofErr w:type="spellEnd"/>
      <w:r w:rsidRPr="00A9192B">
        <w:rPr>
          <w:rFonts w:ascii="Arial" w:eastAsia="Arial" w:hAnsi="Arial"/>
          <w:highlight w:val="yellow"/>
        </w:rPr>
        <w:t xml:space="preserve"> et al., 2024)</w:t>
      </w:r>
      <w:r w:rsidRPr="00A9192B">
        <w:rPr>
          <w:rFonts w:ascii="Arial" w:eastAsia="Arial" w:hAnsi="Arial"/>
        </w:rPr>
        <w:t>.</w:t>
      </w:r>
    </w:p>
    <w:p w14:paraId="78FF8D9C" w14:textId="77777777" w:rsidR="00A93067" w:rsidRPr="00A9192B" w:rsidRDefault="00CB705E" w:rsidP="00510C6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b/>
          <w:color w:val="000000"/>
          <w:u w:val="single"/>
        </w:rPr>
        <w:t>3.1.4 Drug and excipient compatibility studies</w:t>
      </w:r>
    </w:p>
    <w:p w14:paraId="7EE89141"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FTIR spectra of the pure drug (Fig. 1A) and of Famciclovir with excipients (Fig. 1B) were compared. The characteristic peaks and </w:t>
      </w:r>
      <w:r w:rsidRPr="00A9192B">
        <w:rPr>
          <w:rFonts w:ascii="Arial" w:eastAsia="Arial" w:hAnsi="Arial" w:cs="Arial"/>
          <w:color w:val="000000"/>
          <w:highlight w:val="yellow"/>
        </w:rPr>
        <w:t>the corresponding vibrations are presented in Table</w:t>
      </w:r>
      <w:r w:rsidR="005A317F" w:rsidRPr="00A9192B">
        <w:rPr>
          <w:rFonts w:ascii="Arial" w:eastAsia="Arial" w:hAnsi="Arial" w:cs="Arial"/>
          <w:color w:val="000000"/>
        </w:rPr>
        <w:t xml:space="preserve">     </w:t>
      </w:r>
      <w:r w:rsidRPr="00A9192B">
        <w:rPr>
          <w:rFonts w:ascii="Arial" w:eastAsia="Arial" w:hAnsi="Arial" w:cs="Arial"/>
          <w:color w:val="000000"/>
        </w:rPr>
        <w:t>2.</w:t>
      </w:r>
    </w:p>
    <w:p w14:paraId="3B1966EC"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 preservation of characteristic FTIR bands without substantial new bands or marked shifts is commonly used as supportive evidence that no major chemical interaction occurred between the drug and excipients, although FTIR should be interpreted together with complementary solid-state analyses. Comparable famciclovir and </w:t>
      </w:r>
      <w:proofErr w:type="spellStart"/>
      <w:r w:rsidRPr="00A9192B">
        <w:rPr>
          <w:rFonts w:ascii="Arial" w:eastAsia="Arial" w:hAnsi="Arial"/>
        </w:rPr>
        <w:t>transferosomal</w:t>
      </w:r>
      <w:proofErr w:type="spellEnd"/>
      <w:r w:rsidRPr="00A9192B">
        <w:rPr>
          <w:rFonts w:ascii="Arial" w:eastAsia="Arial" w:hAnsi="Arial"/>
        </w:rPr>
        <w:t xml:space="preserve"> formulations have used FTIR for compatibility assessment before further performance testing </w:t>
      </w:r>
      <w:r w:rsidRPr="00A9192B">
        <w:rPr>
          <w:rFonts w:ascii="Arial" w:eastAsia="Arial" w:hAnsi="Arial"/>
          <w:highlight w:val="yellow"/>
        </w:rPr>
        <w:t>(Bhattacharyya et al., 2024; Fatima et al., 2023; Iftikhar et al., 2025)</w:t>
      </w:r>
      <w:r w:rsidRPr="00A9192B">
        <w:rPr>
          <w:rFonts w:ascii="Arial" w:eastAsia="Arial" w:hAnsi="Arial"/>
        </w:rPr>
        <w:t>.</w:t>
      </w:r>
    </w:p>
    <w:p w14:paraId="588E2C65" w14:textId="77777777" w:rsidR="00A93067" w:rsidRPr="00A9192B" w:rsidRDefault="00CB705E">
      <w:pPr>
        <w:keepNext/>
        <w:spacing w:before="60" w:after="40"/>
        <w:jc w:val="center"/>
        <w:rPr>
          <w:rFonts w:ascii="Arial" w:eastAsia="Arial" w:hAnsi="Arial" w:cs="Arial"/>
        </w:rPr>
      </w:pPr>
      <w:r w:rsidRPr="00A9192B">
        <w:rPr>
          <w:noProof/>
        </w:rPr>
        <w:lastRenderedPageBreak/>
        <w:drawing>
          <wp:inline distT="0" distB="0" distL="0" distR="0" wp14:anchorId="5CB9655A" wp14:editId="4F721A44">
            <wp:extent cx="4300000" cy="5587942"/>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4300000" cy="5587942"/>
                    </a:xfrm>
                    <a:prstGeom prst="rect">
                      <a:avLst/>
                    </a:prstGeom>
                    <a:ln/>
                  </pic:spPr>
                </pic:pic>
              </a:graphicData>
            </a:graphic>
          </wp:inline>
        </w:drawing>
      </w:r>
    </w:p>
    <w:p w14:paraId="614A1587"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1. FTIR spectra of (A) Famciclovir pure drug and (B) Famciclovir with excipients</w:t>
      </w:r>
    </w:p>
    <w:p w14:paraId="7228B907" w14:textId="77777777" w:rsidR="002F6DB0" w:rsidRPr="00A9192B" w:rsidRDefault="002F6DB0">
      <w:pPr>
        <w:keepNext/>
        <w:tabs>
          <w:tab w:val="left" w:pos="1080"/>
        </w:tabs>
        <w:spacing w:before="120" w:after="80"/>
        <w:ind w:left="1080" w:hanging="1080"/>
        <w:rPr>
          <w:rFonts w:ascii="Arial" w:eastAsia="Arial" w:hAnsi="Arial" w:cs="Arial"/>
          <w:b/>
        </w:rPr>
      </w:pPr>
    </w:p>
    <w:p w14:paraId="1F4F2B58"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2.</w:t>
      </w:r>
      <w:r w:rsidRPr="00A9192B">
        <w:rPr>
          <w:rFonts w:ascii="Arial" w:eastAsia="Arial" w:hAnsi="Arial" w:cs="Arial"/>
          <w:b/>
        </w:rPr>
        <w:tab/>
        <w:t>FTIR interpretation table</w:t>
      </w:r>
    </w:p>
    <w:tbl>
      <w:tblPr>
        <w:tblStyle w:val="a0"/>
        <w:tblW w:w="68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3400"/>
        <w:gridCol w:w="3400"/>
      </w:tblGrid>
      <w:tr w:rsidR="00A93067" w:rsidRPr="00A9192B" w14:paraId="28620FB5" w14:textId="77777777">
        <w:trPr>
          <w:cantSplit/>
          <w:tblHeader/>
          <w:jc w:val="center"/>
        </w:trPr>
        <w:tc>
          <w:tcPr>
            <w:tcW w:w="3400" w:type="dxa"/>
            <w:vAlign w:val="center"/>
          </w:tcPr>
          <w:p w14:paraId="3B3E94B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Wave number (cm</w:t>
            </w:r>
            <w:r w:rsidRPr="00A9192B">
              <w:rPr>
                <w:rFonts w:ascii="Arial" w:eastAsia="Arial" w:hAnsi="Arial" w:cs="Arial"/>
                <w:b/>
                <w:sz w:val="18"/>
                <w:szCs w:val="18"/>
                <w:vertAlign w:val="superscript"/>
              </w:rPr>
              <w:t>−1</w:t>
            </w:r>
            <w:r w:rsidRPr="00A9192B">
              <w:rPr>
                <w:rFonts w:ascii="Arial" w:eastAsia="Arial" w:hAnsi="Arial" w:cs="Arial"/>
                <w:b/>
                <w:sz w:val="18"/>
                <w:szCs w:val="18"/>
              </w:rPr>
              <w:t>)</w:t>
            </w:r>
          </w:p>
        </w:tc>
        <w:tc>
          <w:tcPr>
            <w:tcW w:w="3400" w:type="dxa"/>
            <w:vAlign w:val="center"/>
          </w:tcPr>
          <w:p w14:paraId="6ADC8187"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Types of vibrations</w:t>
            </w:r>
          </w:p>
        </w:tc>
      </w:tr>
      <w:tr w:rsidR="00A93067" w:rsidRPr="00A9192B" w14:paraId="29409F9C" w14:textId="77777777">
        <w:trPr>
          <w:cantSplit/>
          <w:jc w:val="center"/>
        </w:trPr>
        <w:tc>
          <w:tcPr>
            <w:tcW w:w="3400" w:type="dxa"/>
            <w:vAlign w:val="center"/>
          </w:tcPr>
          <w:p w14:paraId="5501496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1022.01 – 1030.18</w:t>
            </w:r>
          </w:p>
        </w:tc>
        <w:tc>
          <w:tcPr>
            <w:tcW w:w="3400" w:type="dxa"/>
            <w:vAlign w:val="center"/>
          </w:tcPr>
          <w:p w14:paraId="2D68D1A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C–N stretching</w:t>
            </w:r>
          </w:p>
        </w:tc>
      </w:tr>
      <w:tr w:rsidR="00A93067" w:rsidRPr="00A9192B" w14:paraId="16FE47B3" w14:textId="77777777">
        <w:trPr>
          <w:cantSplit/>
          <w:jc w:val="center"/>
        </w:trPr>
        <w:tc>
          <w:tcPr>
            <w:tcW w:w="3400" w:type="dxa"/>
            <w:vAlign w:val="center"/>
          </w:tcPr>
          <w:p w14:paraId="2F37DB4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1728.57 – 1735.98</w:t>
            </w:r>
          </w:p>
        </w:tc>
        <w:tc>
          <w:tcPr>
            <w:tcW w:w="3400" w:type="dxa"/>
            <w:vAlign w:val="center"/>
          </w:tcPr>
          <w:p w14:paraId="0CE3B75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C=O stretching</w:t>
            </w:r>
          </w:p>
        </w:tc>
      </w:tr>
      <w:tr w:rsidR="00A93067" w:rsidRPr="00A9192B" w14:paraId="05DA6B0B" w14:textId="77777777">
        <w:trPr>
          <w:cantSplit/>
          <w:jc w:val="center"/>
        </w:trPr>
        <w:tc>
          <w:tcPr>
            <w:tcW w:w="3400" w:type="dxa"/>
            <w:vAlign w:val="center"/>
          </w:tcPr>
          <w:p w14:paraId="34115A7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1557.81 – 1614.71</w:t>
            </w:r>
          </w:p>
        </w:tc>
        <w:tc>
          <w:tcPr>
            <w:tcW w:w="3400" w:type="dxa"/>
            <w:vAlign w:val="center"/>
          </w:tcPr>
          <w:p w14:paraId="18C9840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C=N stretching</w:t>
            </w:r>
          </w:p>
        </w:tc>
      </w:tr>
      <w:tr w:rsidR="00A93067" w:rsidRPr="00A9192B" w14:paraId="5FDC8234" w14:textId="77777777">
        <w:trPr>
          <w:cantSplit/>
          <w:jc w:val="center"/>
        </w:trPr>
        <w:tc>
          <w:tcPr>
            <w:tcW w:w="3400" w:type="dxa"/>
            <w:vAlign w:val="center"/>
          </w:tcPr>
          <w:p w14:paraId="2749337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1158.71 – 1213.82</w:t>
            </w:r>
          </w:p>
        </w:tc>
        <w:tc>
          <w:tcPr>
            <w:tcW w:w="3400" w:type="dxa"/>
            <w:vAlign w:val="center"/>
          </w:tcPr>
          <w:p w14:paraId="3E47B44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C–O stretching</w:t>
            </w:r>
          </w:p>
        </w:tc>
      </w:tr>
    </w:tbl>
    <w:p w14:paraId="297BE061" w14:textId="77777777" w:rsidR="00A93067" w:rsidRPr="00A9192B" w:rsidRDefault="00A93067">
      <w:pPr>
        <w:spacing w:after="60"/>
        <w:jc w:val="both"/>
        <w:rPr>
          <w:rFonts w:ascii="Arial" w:eastAsia="Arial" w:hAnsi="Arial" w:cs="Arial"/>
        </w:rPr>
      </w:pPr>
    </w:p>
    <w:p w14:paraId="105BBAC3"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3.1.5 λ</w:t>
      </w:r>
      <w:r w:rsidR="00083470" w:rsidRPr="00A9192B">
        <w:rPr>
          <w:rFonts w:ascii="Arial" w:eastAsia="Arial" w:hAnsi="Arial" w:cs="Arial"/>
          <w:b/>
          <w:color w:val="000000"/>
          <w:u w:val="single"/>
        </w:rPr>
        <w:t xml:space="preserve"> </w:t>
      </w:r>
      <w:r w:rsidRPr="00A9192B">
        <w:rPr>
          <w:rFonts w:ascii="Arial" w:eastAsia="Arial" w:hAnsi="Arial" w:cs="Arial"/>
          <w:b/>
          <w:color w:val="000000"/>
          <w:u w:val="single"/>
        </w:rPr>
        <w:t>max of Famciclovir by UV spectroscopy</w:t>
      </w:r>
    </w:p>
    <w:p w14:paraId="2A18964B"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λ</w:t>
      </w:r>
      <w:r w:rsidR="00083470" w:rsidRPr="00A9192B">
        <w:rPr>
          <w:rFonts w:ascii="Arial" w:eastAsia="Arial" w:hAnsi="Arial" w:cs="Arial"/>
          <w:color w:val="000000"/>
        </w:rPr>
        <w:t xml:space="preserve"> </w:t>
      </w:r>
      <w:r w:rsidRPr="00A9192B">
        <w:rPr>
          <w:rFonts w:ascii="Arial" w:eastAsia="Arial" w:hAnsi="Arial" w:cs="Arial"/>
          <w:color w:val="000000"/>
        </w:rPr>
        <w:t>max of Famciclovir was determined by UV spectroscopy as shown in Fig. 2A.</w:t>
      </w:r>
    </w:p>
    <w:p w14:paraId="0C4A91B8"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lastRenderedPageBreak/>
        <w:t xml:space="preserve">Published spectrophotometric methods for famciclovir report wavelength maxima that vary with solvent and analytical approach, underscoring the importance of determining </w:t>
      </w:r>
      <w:proofErr w:type="spellStart"/>
      <w:r w:rsidRPr="00A9192B">
        <w:rPr>
          <w:rFonts w:ascii="Arial" w:eastAsia="Arial" w:hAnsi="Arial"/>
        </w:rPr>
        <w:t>λmax</w:t>
      </w:r>
      <w:proofErr w:type="spellEnd"/>
      <w:r w:rsidRPr="00A9192B">
        <w:rPr>
          <w:rFonts w:ascii="Arial" w:eastAsia="Arial" w:hAnsi="Arial"/>
        </w:rPr>
        <w:t xml:space="preserve"> under the exact medium and instrument conditions used in the study </w:t>
      </w:r>
      <w:r w:rsidRPr="00A9192B">
        <w:rPr>
          <w:rFonts w:ascii="Arial" w:eastAsia="Arial" w:hAnsi="Arial"/>
          <w:highlight w:val="yellow"/>
        </w:rPr>
        <w:t xml:space="preserve">(Lotfy et al., 2010; Nizamuddin et al., 2007; </w:t>
      </w:r>
      <w:proofErr w:type="spellStart"/>
      <w:r w:rsidRPr="00A9192B">
        <w:rPr>
          <w:rFonts w:ascii="Arial" w:eastAsia="Arial" w:hAnsi="Arial"/>
          <w:highlight w:val="yellow"/>
        </w:rPr>
        <w:t>Srinubabu</w:t>
      </w:r>
      <w:proofErr w:type="spellEnd"/>
      <w:r w:rsidRPr="00A9192B">
        <w:rPr>
          <w:rFonts w:ascii="Arial" w:eastAsia="Arial" w:hAnsi="Arial"/>
          <w:highlight w:val="yellow"/>
        </w:rPr>
        <w:t xml:space="preserve"> et al., 2006)</w:t>
      </w:r>
      <w:r w:rsidRPr="00A9192B">
        <w:rPr>
          <w:rFonts w:ascii="Arial" w:eastAsia="Arial" w:hAnsi="Arial"/>
        </w:rPr>
        <w:t>.</w:t>
      </w:r>
    </w:p>
    <w:p w14:paraId="23C4E47C" w14:textId="77777777" w:rsidR="00CB47F3" w:rsidRPr="00A9192B" w:rsidRDefault="00CB47F3">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            </w:t>
      </w:r>
      <w:r w:rsidRPr="00A9192B">
        <w:rPr>
          <w:noProof/>
        </w:rPr>
        <w:drawing>
          <wp:inline distT="0" distB="0" distL="0" distR="0" wp14:anchorId="19B95598" wp14:editId="2A7C7644">
            <wp:extent cx="3939540" cy="5067300"/>
            <wp:effectExtent l="0" t="0" r="3810" b="0"/>
            <wp:docPr id="180873610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3939929" cy="5067800"/>
                    </a:xfrm>
                    <a:prstGeom prst="rect">
                      <a:avLst/>
                    </a:prstGeom>
                    <a:ln/>
                  </pic:spPr>
                </pic:pic>
              </a:graphicData>
            </a:graphic>
          </wp:inline>
        </w:drawing>
      </w:r>
    </w:p>
    <w:p w14:paraId="537E3C11" w14:textId="77777777" w:rsidR="00CB47F3" w:rsidRPr="00A9192B" w:rsidRDefault="00CB47F3" w:rsidP="00CB47F3">
      <w:pPr>
        <w:rPr>
          <w:rFonts w:ascii="Arial" w:eastAsia="Arial" w:hAnsi="Arial" w:cs="Arial"/>
          <w:color w:val="000000"/>
        </w:rPr>
      </w:pPr>
    </w:p>
    <w:p w14:paraId="2CD33BE8" w14:textId="77777777" w:rsidR="00CB47F3" w:rsidRPr="00A9192B" w:rsidRDefault="00CB47F3" w:rsidP="00083470">
      <w:pPr>
        <w:spacing w:before="60" w:after="200"/>
        <w:jc w:val="center"/>
        <w:rPr>
          <w:rFonts w:ascii="Arial" w:eastAsia="Arial" w:hAnsi="Arial" w:cs="Arial"/>
        </w:rPr>
      </w:pPr>
      <w:r w:rsidRPr="00A9192B">
        <w:rPr>
          <w:rFonts w:ascii="Arial" w:eastAsia="Arial" w:hAnsi="Arial" w:cs="Arial"/>
          <w:b/>
        </w:rPr>
        <w:t>Fig. 2. (A) λ</w:t>
      </w:r>
      <w:r w:rsidR="00F33F16" w:rsidRPr="00A9192B">
        <w:rPr>
          <w:rFonts w:ascii="Arial" w:eastAsia="Arial" w:hAnsi="Arial" w:cs="Arial"/>
          <w:b/>
        </w:rPr>
        <w:t xml:space="preserve"> </w:t>
      </w:r>
      <w:r w:rsidRPr="00A9192B">
        <w:rPr>
          <w:rFonts w:ascii="Arial" w:eastAsia="Arial" w:hAnsi="Arial" w:cs="Arial"/>
          <w:b/>
        </w:rPr>
        <w:t>max of Famciclovir and (B) standard graph of Famciclovir in phosphate buffer saline pH 7.4</w:t>
      </w:r>
    </w:p>
    <w:p w14:paraId="3EAE040E"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lastRenderedPageBreak/>
        <w:t>3.1.6 Calibration curve of Famciclovir</w:t>
      </w:r>
    </w:p>
    <w:p w14:paraId="34DE5F95"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calibration curve of Famciclovir in phosphate buffer saline (pH 7.4) is given in Table 3 and Fig. 2B. </w:t>
      </w:r>
      <w:r w:rsidRPr="00A9192B">
        <w:rPr>
          <w:rFonts w:ascii="Arial" w:eastAsia="Arial" w:hAnsi="Arial" w:cs="Arial"/>
          <w:color w:val="000000"/>
          <w:highlight w:val="yellow"/>
        </w:rPr>
        <w:t>The solutions showed linearity</w:t>
      </w:r>
      <w:r w:rsidRPr="00A9192B">
        <w:rPr>
          <w:rFonts w:ascii="Arial" w:eastAsia="Arial" w:hAnsi="Arial" w:cs="Arial"/>
          <w:color w:val="000000"/>
        </w:rPr>
        <w:t xml:space="preserve"> (R</w:t>
      </w:r>
      <w:r w:rsidRPr="00A9192B">
        <w:rPr>
          <w:rFonts w:ascii="Arial" w:eastAsia="Arial" w:hAnsi="Arial" w:cs="Arial"/>
          <w:color w:val="000000"/>
          <w:vertAlign w:val="superscript"/>
        </w:rPr>
        <w:t>2</w:t>
      </w:r>
      <w:r w:rsidRPr="00A9192B">
        <w:rPr>
          <w:rFonts w:ascii="Arial" w:eastAsia="Arial" w:hAnsi="Arial" w:cs="Arial"/>
          <w:color w:val="000000"/>
        </w:rPr>
        <w:t xml:space="preserve"> = 0.9992) at a concentration of 2–10 µg/ml </w:t>
      </w:r>
      <w:r w:rsidRPr="00A9192B">
        <w:rPr>
          <w:rFonts w:ascii="Arial" w:eastAsia="Arial" w:hAnsi="Arial" w:cs="Arial"/>
          <w:color w:val="000000"/>
          <w:highlight w:val="yellow"/>
        </w:rPr>
        <w:t>and obeyed Beer–Lambert’s law</w:t>
      </w:r>
      <w:r w:rsidRPr="00A9192B">
        <w:rPr>
          <w:rFonts w:ascii="Arial" w:eastAsia="Arial" w:hAnsi="Arial" w:cs="Arial"/>
          <w:color w:val="000000"/>
        </w:rPr>
        <w:t>.</w:t>
      </w:r>
    </w:p>
    <w:p w14:paraId="5205B071"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 strong linearity observed over 2-10 µg/mL supports the use of the calibration function for concentration estimation within this range. Comparable famciclovir analytical methods have demonstrated concentration-dependent linear responses after method-specific validation, while </w:t>
      </w:r>
      <w:proofErr w:type="spellStart"/>
      <w:r w:rsidRPr="00A9192B">
        <w:rPr>
          <w:rFonts w:ascii="Arial" w:eastAsia="Arial" w:hAnsi="Arial"/>
        </w:rPr>
        <w:t>transferosomal</w:t>
      </w:r>
      <w:proofErr w:type="spellEnd"/>
      <w:r w:rsidRPr="00A9192B">
        <w:rPr>
          <w:rFonts w:ascii="Arial" w:eastAsia="Arial" w:hAnsi="Arial"/>
        </w:rPr>
        <w:t xml:space="preserve">-gel studies routinely apply spectrophotometric assays to quantify drug content and release samples </w:t>
      </w:r>
      <w:r w:rsidRPr="00A9192B">
        <w:rPr>
          <w:rFonts w:ascii="Arial" w:eastAsia="Arial" w:hAnsi="Arial"/>
          <w:highlight w:val="yellow"/>
        </w:rPr>
        <w:t xml:space="preserve">(Fatima et al., 2023; Lotfy et al., 2010; </w:t>
      </w:r>
      <w:proofErr w:type="spellStart"/>
      <w:r w:rsidRPr="00A9192B">
        <w:rPr>
          <w:rFonts w:ascii="Arial" w:eastAsia="Arial" w:hAnsi="Arial"/>
          <w:highlight w:val="yellow"/>
        </w:rPr>
        <w:t>Srinubabu</w:t>
      </w:r>
      <w:proofErr w:type="spellEnd"/>
      <w:r w:rsidRPr="00A9192B">
        <w:rPr>
          <w:rFonts w:ascii="Arial" w:eastAsia="Arial" w:hAnsi="Arial"/>
          <w:highlight w:val="yellow"/>
        </w:rPr>
        <w:t xml:space="preserve"> et al., 2006)</w:t>
      </w:r>
      <w:r w:rsidRPr="00A9192B">
        <w:rPr>
          <w:rFonts w:ascii="Arial" w:eastAsia="Arial" w:hAnsi="Arial"/>
        </w:rPr>
        <w:t>.</w:t>
      </w:r>
    </w:p>
    <w:p w14:paraId="3F4ECCAC"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3.</w:t>
      </w:r>
      <w:r w:rsidRPr="00A9192B">
        <w:rPr>
          <w:rFonts w:ascii="Arial" w:eastAsia="Arial" w:hAnsi="Arial" w:cs="Arial"/>
          <w:b/>
        </w:rPr>
        <w:tab/>
        <w:t>Calibration curve of Famciclovir in phosphate buffer saline pH 7.4</w:t>
      </w:r>
    </w:p>
    <w:tbl>
      <w:tblPr>
        <w:tblStyle w:val="a1"/>
        <w:tblW w:w="57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900"/>
        <w:gridCol w:w="2600"/>
        <w:gridCol w:w="2200"/>
      </w:tblGrid>
      <w:tr w:rsidR="00A93067" w:rsidRPr="00A9192B" w14:paraId="405B1641" w14:textId="77777777">
        <w:trPr>
          <w:cantSplit/>
          <w:tblHeader/>
          <w:jc w:val="center"/>
        </w:trPr>
        <w:tc>
          <w:tcPr>
            <w:tcW w:w="900" w:type="dxa"/>
            <w:vAlign w:val="center"/>
          </w:tcPr>
          <w:p w14:paraId="4D0EB25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S. No</w:t>
            </w:r>
          </w:p>
        </w:tc>
        <w:tc>
          <w:tcPr>
            <w:tcW w:w="2600" w:type="dxa"/>
            <w:vAlign w:val="center"/>
          </w:tcPr>
          <w:p w14:paraId="47DD3F06"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Concentration (µg/ml)</w:t>
            </w:r>
          </w:p>
        </w:tc>
        <w:tc>
          <w:tcPr>
            <w:tcW w:w="2200" w:type="dxa"/>
            <w:vAlign w:val="center"/>
          </w:tcPr>
          <w:p w14:paraId="0DC7AD96"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Absorbance</w:t>
            </w:r>
          </w:p>
        </w:tc>
      </w:tr>
      <w:tr w:rsidR="00A93067" w:rsidRPr="00A9192B" w14:paraId="2D9E71FB" w14:textId="77777777">
        <w:trPr>
          <w:cantSplit/>
          <w:jc w:val="center"/>
        </w:trPr>
        <w:tc>
          <w:tcPr>
            <w:tcW w:w="900" w:type="dxa"/>
            <w:vAlign w:val="center"/>
          </w:tcPr>
          <w:p w14:paraId="01718F6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w:t>
            </w:r>
          </w:p>
        </w:tc>
        <w:tc>
          <w:tcPr>
            <w:tcW w:w="2600" w:type="dxa"/>
            <w:vAlign w:val="center"/>
          </w:tcPr>
          <w:p w14:paraId="7C967F4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w:t>
            </w:r>
          </w:p>
        </w:tc>
        <w:tc>
          <w:tcPr>
            <w:tcW w:w="2200" w:type="dxa"/>
            <w:vAlign w:val="center"/>
          </w:tcPr>
          <w:p w14:paraId="349E07C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w:t>
            </w:r>
          </w:p>
        </w:tc>
      </w:tr>
      <w:tr w:rsidR="00A93067" w:rsidRPr="00A9192B" w14:paraId="102C13FB" w14:textId="77777777">
        <w:trPr>
          <w:cantSplit/>
          <w:jc w:val="center"/>
        </w:trPr>
        <w:tc>
          <w:tcPr>
            <w:tcW w:w="900" w:type="dxa"/>
            <w:vAlign w:val="center"/>
          </w:tcPr>
          <w:p w14:paraId="3287859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w:t>
            </w:r>
          </w:p>
        </w:tc>
        <w:tc>
          <w:tcPr>
            <w:tcW w:w="2600" w:type="dxa"/>
            <w:vAlign w:val="center"/>
          </w:tcPr>
          <w:p w14:paraId="141D092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w:t>
            </w:r>
          </w:p>
        </w:tc>
        <w:tc>
          <w:tcPr>
            <w:tcW w:w="2200" w:type="dxa"/>
            <w:vAlign w:val="center"/>
          </w:tcPr>
          <w:p w14:paraId="38F4534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0.206</w:t>
            </w:r>
          </w:p>
        </w:tc>
      </w:tr>
      <w:tr w:rsidR="00A93067" w:rsidRPr="00A9192B" w14:paraId="72150B48" w14:textId="77777777">
        <w:trPr>
          <w:cantSplit/>
          <w:jc w:val="center"/>
        </w:trPr>
        <w:tc>
          <w:tcPr>
            <w:tcW w:w="900" w:type="dxa"/>
            <w:vAlign w:val="center"/>
          </w:tcPr>
          <w:p w14:paraId="06072C5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w:t>
            </w:r>
          </w:p>
        </w:tc>
        <w:tc>
          <w:tcPr>
            <w:tcW w:w="2600" w:type="dxa"/>
            <w:vAlign w:val="center"/>
          </w:tcPr>
          <w:p w14:paraId="5C3D139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w:t>
            </w:r>
          </w:p>
        </w:tc>
        <w:tc>
          <w:tcPr>
            <w:tcW w:w="2200" w:type="dxa"/>
            <w:vAlign w:val="center"/>
          </w:tcPr>
          <w:p w14:paraId="2E25901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0.372</w:t>
            </w:r>
          </w:p>
        </w:tc>
      </w:tr>
      <w:tr w:rsidR="00A93067" w:rsidRPr="00A9192B" w14:paraId="31F5E5E2" w14:textId="77777777">
        <w:trPr>
          <w:cantSplit/>
          <w:jc w:val="center"/>
        </w:trPr>
        <w:tc>
          <w:tcPr>
            <w:tcW w:w="900" w:type="dxa"/>
            <w:vAlign w:val="center"/>
          </w:tcPr>
          <w:p w14:paraId="2C5EB5F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w:t>
            </w:r>
          </w:p>
        </w:tc>
        <w:tc>
          <w:tcPr>
            <w:tcW w:w="2600" w:type="dxa"/>
            <w:vAlign w:val="center"/>
          </w:tcPr>
          <w:p w14:paraId="4877219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w:t>
            </w:r>
          </w:p>
        </w:tc>
        <w:tc>
          <w:tcPr>
            <w:tcW w:w="2200" w:type="dxa"/>
            <w:vAlign w:val="center"/>
          </w:tcPr>
          <w:p w14:paraId="1D50706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0.554</w:t>
            </w:r>
          </w:p>
        </w:tc>
      </w:tr>
      <w:tr w:rsidR="00A93067" w:rsidRPr="00A9192B" w14:paraId="36FE22DF" w14:textId="77777777">
        <w:trPr>
          <w:cantSplit/>
          <w:jc w:val="center"/>
        </w:trPr>
        <w:tc>
          <w:tcPr>
            <w:tcW w:w="900" w:type="dxa"/>
            <w:vAlign w:val="center"/>
          </w:tcPr>
          <w:p w14:paraId="4180D23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w:t>
            </w:r>
          </w:p>
        </w:tc>
        <w:tc>
          <w:tcPr>
            <w:tcW w:w="2600" w:type="dxa"/>
            <w:vAlign w:val="center"/>
          </w:tcPr>
          <w:p w14:paraId="060E3E6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w:t>
            </w:r>
          </w:p>
        </w:tc>
        <w:tc>
          <w:tcPr>
            <w:tcW w:w="2200" w:type="dxa"/>
            <w:vAlign w:val="center"/>
          </w:tcPr>
          <w:p w14:paraId="6B7D0A3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0.725</w:t>
            </w:r>
          </w:p>
        </w:tc>
      </w:tr>
      <w:tr w:rsidR="00A93067" w:rsidRPr="00A9192B" w14:paraId="3EA44CAE" w14:textId="77777777">
        <w:trPr>
          <w:cantSplit/>
          <w:jc w:val="center"/>
        </w:trPr>
        <w:tc>
          <w:tcPr>
            <w:tcW w:w="900" w:type="dxa"/>
            <w:vAlign w:val="center"/>
          </w:tcPr>
          <w:p w14:paraId="4E8C89B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w:t>
            </w:r>
          </w:p>
        </w:tc>
        <w:tc>
          <w:tcPr>
            <w:tcW w:w="2600" w:type="dxa"/>
            <w:vAlign w:val="center"/>
          </w:tcPr>
          <w:p w14:paraId="008C475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10</w:t>
            </w:r>
          </w:p>
        </w:tc>
        <w:tc>
          <w:tcPr>
            <w:tcW w:w="2200" w:type="dxa"/>
            <w:vAlign w:val="center"/>
          </w:tcPr>
          <w:p w14:paraId="209992E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0.898</w:t>
            </w:r>
          </w:p>
        </w:tc>
      </w:tr>
    </w:tbl>
    <w:p w14:paraId="401E821F" w14:textId="77777777" w:rsidR="00A93067" w:rsidRPr="00A9192B" w:rsidRDefault="00A93067">
      <w:pPr>
        <w:spacing w:after="60"/>
        <w:jc w:val="both"/>
        <w:rPr>
          <w:rFonts w:ascii="Arial" w:eastAsia="Arial" w:hAnsi="Arial" w:cs="Arial"/>
        </w:rPr>
      </w:pPr>
    </w:p>
    <w:p w14:paraId="6D72A564"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3.2 Evaluation of transferosomes</w:t>
      </w:r>
    </w:p>
    <w:p w14:paraId="623FEE21"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3.2.1 Entrapment efficiency</w:t>
      </w:r>
    </w:p>
    <w:p w14:paraId="499F4B1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entrapment efficiency of the prepared formulations was found to be in the range of 6</w:t>
      </w:r>
      <w:r w:rsidR="005657C4" w:rsidRPr="00A9192B">
        <w:rPr>
          <w:rFonts w:ascii="Arial" w:eastAsia="Arial" w:hAnsi="Arial" w:cs="Arial"/>
          <w:color w:val="000000"/>
        </w:rPr>
        <w:t>8</w:t>
      </w:r>
      <w:r w:rsidRPr="00A9192B">
        <w:rPr>
          <w:rFonts w:ascii="Arial" w:eastAsia="Arial" w:hAnsi="Arial" w:cs="Arial"/>
          <w:color w:val="000000"/>
        </w:rPr>
        <w:t>.</w:t>
      </w:r>
      <w:r w:rsidR="005657C4" w:rsidRPr="00A9192B">
        <w:rPr>
          <w:rFonts w:ascii="Arial" w:eastAsia="Arial" w:hAnsi="Arial" w:cs="Arial"/>
          <w:color w:val="000000"/>
        </w:rPr>
        <w:t>1</w:t>
      </w:r>
      <w:r w:rsidRPr="00A9192B">
        <w:rPr>
          <w:rFonts w:ascii="Arial" w:eastAsia="Arial" w:hAnsi="Arial" w:cs="Arial"/>
          <w:color w:val="000000"/>
        </w:rPr>
        <w:t>–9</w:t>
      </w:r>
      <w:r w:rsidR="00017FBE" w:rsidRPr="00A9192B">
        <w:rPr>
          <w:rFonts w:ascii="Arial" w:eastAsia="Arial" w:hAnsi="Arial" w:cs="Arial"/>
          <w:color w:val="000000"/>
        </w:rPr>
        <w:t>1.</w:t>
      </w:r>
      <w:r w:rsidR="008A6ACB" w:rsidRPr="00A9192B">
        <w:rPr>
          <w:rFonts w:ascii="Arial" w:eastAsia="Arial" w:hAnsi="Arial" w:cs="Arial"/>
          <w:color w:val="000000"/>
        </w:rPr>
        <w:t>7</w:t>
      </w:r>
      <w:r w:rsidRPr="00A9192B">
        <w:rPr>
          <w:rFonts w:ascii="Arial" w:eastAsia="Arial" w:hAnsi="Arial" w:cs="Arial"/>
          <w:color w:val="000000"/>
        </w:rPr>
        <w:t>% (Table 4). Among the formulations, F4 showed the highest entrapment efficiency (9</w:t>
      </w:r>
      <w:r w:rsidR="008A6ACB" w:rsidRPr="00A9192B">
        <w:rPr>
          <w:rFonts w:ascii="Arial" w:eastAsia="Arial" w:hAnsi="Arial" w:cs="Arial"/>
          <w:color w:val="000000"/>
        </w:rPr>
        <w:t>1.7</w:t>
      </w:r>
      <w:r w:rsidRPr="00A9192B">
        <w:rPr>
          <w:rFonts w:ascii="Arial" w:eastAsia="Arial" w:hAnsi="Arial" w:cs="Arial"/>
          <w:color w:val="000000"/>
        </w:rPr>
        <w:t>%).</w:t>
      </w:r>
    </w:p>
    <w:p w14:paraId="7F11A3A6"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 91.7% entrapment efficiency of F4 is within the high range reported for </w:t>
      </w:r>
      <w:proofErr w:type="spellStart"/>
      <w:r w:rsidRPr="00A9192B">
        <w:rPr>
          <w:rFonts w:ascii="Arial" w:eastAsia="Arial" w:hAnsi="Arial"/>
        </w:rPr>
        <w:t>transferosomal</w:t>
      </w:r>
      <w:proofErr w:type="spellEnd"/>
      <w:r w:rsidRPr="00A9192B">
        <w:rPr>
          <w:rFonts w:ascii="Arial" w:eastAsia="Arial" w:hAnsi="Arial"/>
        </w:rPr>
        <w:t xml:space="preserve"> gels and suggests that the selected phospholipid-to-edge-activator ratio </w:t>
      </w:r>
      <w:proofErr w:type="spellStart"/>
      <w:r w:rsidRPr="00A9192B">
        <w:rPr>
          <w:rFonts w:ascii="Arial" w:eastAsia="Arial" w:hAnsi="Arial"/>
          <w:highlight w:val="yellow"/>
        </w:rPr>
        <w:t>favoured</w:t>
      </w:r>
      <w:proofErr w:type="spellEnd"/>
      <w:r w:rsidRPr="00A9192B">
        <w:rPr>
          <w:rFonts w:ascii="Arial" w:eastAsia="Arial" w:hAnsi="Arial"/>
        </w:rPr>
        <w:t xml:space="preserve"> drug retention within the vesicular system. Entrapment can change substantially with surfactant type and concentration because edge activators alter bilayer packing, membrane fluidity, and leakage </w:t>
      </w:r>
      <w:proofErr w:type="spellStart"/>
      <w:r w:rsidRPr="00A9192B">
        <w:rPr>
          <w:rFonts w:ascii="Arial" w:eastAsia="Arial" w:hAnsi="Arial"/>
          <w:highlight w:val="yellow"/>
        </w:rPr>
        <w:t>behaviour</w:t>
      </w:r>
      <w:proofErr w:type="spellEnd"/>
      <w:r w:rsidRPr="00A9192B">
        <w:rPr>
          <w:rFonts w:ascii="Arial" w:eastAsia="Arial" w:hAnsi="Arial"/>
        </w:rPr>
        <w:t xml:space="preserve"> </w:t>
      </w:r>
      <w:r w:rsidRPr="00A9192B">
        <w:rPr>
          <w:rFonts w:ascii="Arial" w:eastAsia="Arial" w:hAnsi="Arial"/>
          <w:highlight w:val="yellow"/>
        </w:rPr>
        <w:t xml:space="preserve">(Fatima et al., 2023; Fernández-García et al., 2020; </w:t>
      </w:r>
      <w:proofErr w:type="spellStart"/>
      <w:r w:rsidRPr="00A9192B">
        <w:rPr>
          <w:rFonts w:ascii="Arial" w:eastAsia="Arial" w:hAnsi="Arial"/>
          <w:highlight w:val="yellow"/>
        </w:rPr>
        <w:t>Nidbane</w:t>
      </w:r>
      <w:proofErr w:type="spellEnd"/>
      <w:r w:rsidRPr="00A9192B">
        <w:rPr>
          <w:rFonts w:ascii="Arial" w:eastAsia="Arial" w:hAnsi="Arial"/>
          <w:highlight w:val="yellow"/>
        </w:rPr>
        <w:t xml:space="preserve"> et al., 2025)</w:t>
      </w:r>
      <w:r w:rsidRPr="00A9192B">
        <w:rPr>
          <w:rFonts w:ascii="Arial" w:eastAsia="Arial" w:hAnsi="Arial"/>
        </w:rPr>
        <w:t>.</w:t>
      </w:r>
    </w:p>
    <w:p w14:paraId="62C00AC4"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4.</w:t>
      </w:r>
      <w:r w:rsidRPr="00A9192B">
        <w:rPr>
          <w:rFonts w:ascii="Arial" w:eastAsia="Arial" w:hAnsi="Arial" w:cs="Arial"/>
          <w:b/>
        </w:rPr>
        <w:tab/>
        <w:t>Entrapment efficiency</w:t>
      </w:r>
    </w:p>
    <w:tbl>
      <w:tblPr>
        <w:tblStyle w:val="a2"/>
        <w:tblW w:w="56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2400"/>
        <w:gridCol w:w="3200"/>
      </w:tblGrid>
      <w:tr w:rsidR="00A93067" w:rsidRPr="00A9192B" w14:paraId="0C0A6890" w14:textId="77777777">
        <w:trPr>
          <w:cantSplit/>
          <w:tblHeader/>
          <w:jc w:val="center"/>
        </w:trPr>
        <w:tc>
          <w:tcPr>
            <w:tcW w:w="2400" w:type="dxa"/>
            <w:vAlign w:val="center"/>
          </w:tcPr>
          <w:p w14:paraId="7C69FDF5"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Formulation</w:t>
            </w:r>
          </w:p>
        </w:tc>
        <w:tc>
          <w:tcPr>
            <w:tcW w:w="3200" w:type="dxa"/>
            <w:vAlign w:val="center"/>
          </w:tcPr>
          <w:p w14:paraId="09408A68"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Entrapment efficiency (%)</w:t>
            </w:r>
          </w:p>
        </w:tc>
      </w:tr>
      <w:tr w:rsidR="00A93067" w:rsidRPr="00A9192B" w14:paraId="3ED79C97" w14:textId="77777777">
        <w:trPr>
          <w:cantSplit/>
          <w:jc w:val="center"/>
        </w:trPr>
        <w:tc>
          <w:tcPr>
            <w:tcW w:w="2400" w:type="dxa"/>
            <w:vAlign w:val="center"/>
          </w:tcPr>
          <w:p w14:paraId="065A194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F1</w:t>
            </w:r>
          </w:p>
        </w:tc>
        <w:tc>
          <w:tcPr>
            <w:tcW w:w="3200" w:type="dxa"/>
            <w:vAlign w:val="center"/>
          </w:tcPr>
          <w:p w14:paraId="498999A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70.8</w:t>
            </w:r>
          </w:p>
        </w:tc>
      </w:tr>
      <w:tr w:rsidR="00A93067" w:rsidRPr="00A9192B" w14:paraId="525C1C48" w14:textId="77777777">
        <w:trPr>
          <w:cantSplit/>
          <w:jc w:val="center"/>
        </w:trPr>
        <w:tc>
          <w:tcPr>
            <w:tcW w:w="2400" w:type="dxa"/>
            <w:vAlign w:val="center"/>
          </w:tcPr>
          <w:p w14:paraId="709F244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lastRenderedPageBreak/>
              <w:t>F2</w:t>
            </w:r>
          </w:p>
        </w:tc>
        <w:tc>
          <w:tcPr>
            <w:tcW w:w="3200" w:type="dxa"/>
            <w:vAlign w:val="center"/>
          </w:tcPr>
          <w:p w14:paraId="2440507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73.5</w:t>
            </w:r>
          </w:p>
        </w:tc>
      </w:tr>
      <w:tr w:rsidR="00A93067" w:rsidRPr="00A9192B" w14:paraId="79E9C331" w14:textId="77777777">
        <w:trPr>
          <w:cantSplit/>
          <w:jc w:val="center"/>
        </w:trPr>
        <w:tc>
          <w:tcPr>
            <w:tcW w:w="2400" w:type="dxa"/>
            <w:vAlign w:val="center"/>
          </w:tcPr>
          <w:p w14:paraId="32B5C65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F3</w:t>
            </w:r>
          </w:p>
        </w:tc>
        <w:tc>
          <w:tcPr>
            <w:tcW w:w="3200" w:type="dxa"/>
            <w:vAlign w:val="center"/>
          </w:tcPr>
          <w:p w14:paraId="02866BF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86.3</w:t>
            </w:r>
          </w:p>
        </w:tc>
      </w:tr>
      <w:tr w:rsidR="00A93067" w:rsidRPr="00A9192B" w14:paraId="7AA98971" w14:textId="77777777">
        <w:trPr>
          <w:cantSplit/>
          <w:jc w:val="center"/>
        </w:trPr>
        <w:tc>
          <w:tcPr>
            <w:tcW w:w="2400" w:type="dxa"/>
            <w:vAlign w:val="center"/>
          </w:tcPr>
          <w:p w14:paraId="17F2196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F4</w:t>
            </w:r>
          </w:p>
        </w:tc>
        <w:tc>
          <w:tcPr>
            <w:tcW w:w="3200" w:type="dxa"/>
            <w:vAlign w:val="center"/>
          </w:tcPr>
          <w:p w14:paraId="3DC6474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91.7</w:t>
            </w:r>
          </w:p>
        </w:tc>
      </w:tr>
      <w:tr w:rsidR="00A93067" w:rsidRPr="00A9192B" w14:paraId="169E1608" w14:textId="77777777">
        <w:trPr>
          <w:cantSplit/>
          <w:jc w:val="center"/>
        </w:trPr>
        <w:tc>
          <w:tcPr>
            <w:tcW w:w="2400" w:type="dxa"/>
            <w:vAlign w:val="center"/>
          </w:tcPr>
          <w:p w14:paraId="550AB0A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F5</w:t>
            </w:r>
          </w:p>
        </w:tc>
        <w:tc>
          <w:tcPr>
            <w:tcW w:w="3200" w:type="dxa"/>
            <w:vAlign w:val="center"/>
          </w:tcPr>
          <w:p w14:paraId="1627F99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68.1</w:t>
            </w:r>
          </w:p>
        </w:tc>
      </w:tr>
      <w:tr w:rsidR="00A93067" w:rsidRPr="00A9192B" w14:paraId="6D46DD0A" w14:textId="77777777">
        <w:trPr>
          <w:cantSplit/>
          <w:jc w:val="center"/>
        </w:trPr>
        <w:tc>
          <w:tcPr>
            <w:tcW w:w="2400" w:type="dxa"/>
            <w:vAlign w:val="center"/>
          </w:tcPr>
          <w:p w14:paraId="49BFE90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F6</w:t>
            </w:r>
          </w:p>
        </w:tc>
        <w:tc>
          <w:tcPr>
            <w:tcW w:w="3200" w:type="dxa"/>
            <w:vAlign w:val="center"/>
          </w:tcPr>
          <w:p w14:paraId="625B8D4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79.2</w:t>
            </w:r>
          </w:p>
        </w:tc>
      </w:tr>
    </w:tbl>
    <w:p w14:paraId="529AAE16" w14:textId="77777777" w:rsidR="00A93067" w:rsidRPr="00A9192B" w:rsidRDefault="00A93067">
      <w:pPr>
        <w:spacing w:after="60"/>
        <w:jc w:val="both"/>
        <w:rPr>
          <w:rFonts w:ascii="Arial" w:eastAsia="Arial" w:hAnsi="Arial" w:cs="Arial"/>
        </w:rPr>
      </w:pPr>
    </w:p>
    <w:p w14:paraId="131559BC"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3.2.2 Particle size and polydispersity index</w:t>
      </w:r>
    </w:p>
    <w:p w14:paraId="35204FAC"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highlight w:val="yellow"/>
        </w:rPr>
        <w:t xml:space="preserve">The particle size of the F4 </w:t>
      </w:r>
      <w:proofErr w:type="spellStart"/>
      <w:r w:rsidRPr="00A9192B">
        <w:rPr>
          <w:rFonts w:ascii="Arial" w:eastAsia="Arial" w:hAnsi="Arial" w:cs="Arial"/>
          <w:color w:val="000000"/>
          <w:highlight w:val="yellow"/>
        </w:rPr>
        <w:t>transferosomal</w:t>
      </w:r>
      <w:proofErr w:type="spellEnd"/>
      <w:r w:rsidRPr="00A9192B">
        <w:rPr>
          <w:rFonts w:ascii="Arial" w:eastAsia="Arial" w:hAnsi="Arial" w:cs="Arial"/>
          <w:color w:val="000000"/>
          <w:highlight w:val="yellow"/>
        </w:rPr>
        <w:t xml:space="preserve"> gel formulation was measured</w:t>
      </w:r>
      <w:r w:rsidRPr="00A9192B">
        <w:rPr>
          <w:rFonts w:ascii="Arial" w:eastAsia="Arial" w:hAnsi="Arial" w:cs="Arial"/>
          <w:color w:val="000000"/>
        </w:rPr>
        <w:t xml:space="preserve"> (Fig. 3A). </w:t>
      </w:r>
      <w:r w:rsidRPr="00A9192B">
        <w:rPr>
          <w:rFonts w:ascii="Arial" w:eastAsia="Arial" w:hAnsi="Arial" w:cs="Arial"/>
          <w:color w:val="000000"/>
          <w:highlight w:val="yellow"/>
        </w:rPr>
        <w:t xml:space="preserve">The mean particle size (Z-average) was </w:t>
      </w:r>
      <w:r w:rsidRPr="00A9192B">
        <w:rPr>
          <w:rFonts w:ascii="Arial" w:eastAsia="Arial" w:hAnsi="Arial" w:cs="Arial"/>
          <w:b/>
          <w:color w:val="000000"/>
        </w:rPr>
        <w:t>167.4 nm</w:t>
      </w:r>
      <w:r w:rsidRPr="00A9192B">
        <w:rPr>
          <w:rFonts w:ascii="Arial" w:eastAsia="Arial" w:hAnsi="Arial" w:cs="Arial"/>
          <w:color w:val="000000"/>
        </w:rPr>
        <w:t>. This is within the nanometric range.</w:t>
      </w:r>
    </w:p>
    <w:p w14:paraId="339D532D" w14:textId="77777777" w:rsidR="00336E2A"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measured polydispersity index (PDI) of the F4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was found to be </w:t>
      </w:r>
      <w:r w:rsidRPr="00A9192B">
        <w:rPr>
          <w:rFonts w:ascii="Arial" w:eastAsia="Arial" w:hAnsi="Arial" w:cs="Arial"/>
          <w:b/>
          <w:color w:val="000000"/>
        </w:rPr>
        <w:t>0.380</w:t>
      </w:r>
      <w:r w:rsidRPr="00A9192B">
        <w:rPr>
          <w:rFonts w:ascii="Arial" w:eastAsia="Arial" w:hAnsi="Arial" w:cs="Arial"/>
          <w:color w:val="000000"/>
        </w:rPr>
        <w:t>, which indicates a narrow particle size distribution. Since PDI values closer to zero represent</w:t>
      </w:r>
    </w:p>
    <w:p w14:paraId="358CA915" w14:textId="77777777" w:rsidR="00336E2A" w:rsidRPr="00A9192B" w:rsidRDefault="00336E2A" w:rsidP="00336E2A">
      <w:pPr>
        <w:rPr>
          <w:rFonts w:ascii="Arial" w:eastAsia="Arial" w:hAnsi="Arial" w:cs="Arial"/>
        </w:rPr>
      </w:pPr>
      <w:proofErr w:type="spellStart"/>
      <w:r w:rsidRPr="00A9192B">
        <w:rPr>
          <w:rFonts w:ascii="Arial" w:eastAsia="Arial" w:hAnsi="Arial" w:cs="Arial"/>
          <w:highlight w:val="yellow"/>
        </w:rPr>
        <w:t>monodispersity</w:t>
      </w:r>
      <w:proofErr w:type="spellEnd"/>
      <w:r w:rsidRPr="00A9192B">
        <w:rPr>
          <w:rFonts w:ascii="Arial" w:eastAsia="Arial" w:hAnsi="Arial" w:cs="Arial"/>
        </w:rPr>
        <w:t>, the relatively low value obtained here signifies good uniformity</w:t>
      </w:r>
      <w:r w:rsidR="00705CC9" w:rsidRPr="00A9192B">
        <w:rPr>
          <w:rFonts w:ascii="Arial" w:eastAsia="Arial" w:hAnsi="Arial" w:cs="Arial"/>
        </w:rPr>
        <w:t xml:space="preserve"> and</w:t>
      </w:r>
    </w:p>
    <w:p w14:paraId="703F6C42"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homogeneity of vesicle size within the formulation.</w:t>
      </w:r>
    </w:p>
    <w:p w14:paraId="4C2913D1"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A mean vesicle size of 167.4 nm is consistent with the nanoscale dimensions commonly reported for </w:t>
      </w:r>
      <w:proofErr w:type="spellStart"/>
      <w:r w:rsidRPr="00A9192B">
        <w:rPr>
          <w:rFonts w:ascii="Arial" w:eastAsia="Arial" w:hAnsi="Arial"/>
        </w:rPr>
        <w:t>transferosomal</w:t>
      </w:r>
      <w:proofErr w:type="spellEnd"/>
      <w:r w:rsidRPr="00A9192B">
        <w:rPr>
          <w:rFonts w:ascii="Arial" w:eastAsia="Arial" w:hAnsi="Arial"/>
        </w:rPr>
        <w:t xml:space="preserve"> formulations and may be advantageous for reproducible dispersion and skin interaction. However, a PDI of 0.380 is more appropriately interpreted as indicating moderate polydispersity rather than a strictly monodisperse population; PDI should be considered together with the full size distribution and measurement conditions </w:t>
      </w:r>
      <w:r w:rsidRPr="00A9192B">
        <w:rPr>
          <w:rFonts w:ascii="Arial" w:eastAsia="Arial" w:hAnsi="Arial"/>
          <w:highlight w:val="yellow"/>
        </w:rPr>
        <w:t xml:space="preserve">(Bhattacharjee, 2016; </w:t>
      </w:r>
      <w:proofErr w:type="spellStart"/>
      <w:r w:rsidRPr="00A9192B">
        <w:rPr>
          <w:rFonts w:ascii="Arial" w:eastAsia="Arial" w:hAnsi="Arial"/>
          <w:highlight w:val="yellow"/>
        </w:rPr>
        <w:t>Danaei</w:t>
      </w:r>
      <w:proofErr w:type="spellEnd"/>
      <w:r w:rsidRPr="00A9192B">
        <w:rPr>
          <w:rFonts w:ascii="Arial" w:eastAsia="Arial" w:hAnsi="Arial"/>
          <w:highlight w:val="yellow"/>
        </w:rPr>
        <w:t xml:space="preserve"> et al., 2018; Gosavi et al., 2024)</w:t>
      </w:r>
      <w:r w:rsidRPr="00A9192B">
        <w:rPr>
          <w:rFonts w:ascii="Arial" w:eastAsia="Arial" w:hAnsi="Arial"/>
        </w:rPr>
        <w:t>.</w:t>
      </w:r>
    </w:p>
    <w:p w14:paraId="5EEA0BDF" w14:textId="77777777" w:rsidR="00A93067" w:rsidRPr="00A9192B" w:rsidRDefault="00CB705E">
      <w:pPr>
        <w:keepNext/>
        <w:spacing w:before="60" w:after="40"/>
        <w:jc w:val="center"/>
        <w:rPr>
          <w:rFonts w:ascii="Arial" w:eastAsia="Arial" w:hAnsi="Arial" w:cs="Arial"/>
        </w:rPr>
      </w:pPr>
      <w:r w:rsidRPr="00A9192B">
        <w:rPr>
          <w:noProof/>
        </w:rPr>
        <w:lastRenderedPageBreak/>
        <w:drawing>
          <wp:inline distT="0" distB="0" distL="0" distR="0" wp14:anchorId="53BBBBF7" wp14:editId="6426E6CB">
            <wp:extent cx="5600000" cy="3031646"/>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600000" cy="3031646"/>
                    </a:xfrm>
                    <a:prstGeom prst="rect">
                      <a:avLst/>
                    </a:prstGeom>
                    <a:ln/>
                  </pic:spPr>
                </pic:pic>
              </a:graphicData>
            </a:graphic>
          </wp:inline>
        </w:drawing>
      </w:r>
    </w:p>
    <w:p w14:paraId="53D646C6"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3. (A) Particle size distribution and (B) zeta potential of F4 formulation</w:t>
      </w:r>
    </w:p>
    <w:p w14:paraId="5E65EED2"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3.2.3 Zeta potential</w:t>
      </w:r>
    </w:p>
    <w:p w14:paraId="0787E6C7"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zeta potential of the F4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formulation was found to be </w:t>
      </w:r>
      <w:r w:rsidRPr="00A9192B">
        <w:rPr>
          <w:rFonts w:ascii="Arial" w:eastAsia="Arial" w:hAnsi="Arial" w:cs="Arial"/>
          <w:b/>
          <w:color w:val="000000"/>
        </w:rPr>
        <w:t>−33.5 mV</w:t>
      </w:r>
      <w:r w:rsidRPr="00A9192B">
        <w:rPr>
          <w:rFonts w:ascii="Arial" w:eastAsia="Arial" w:hAnsi="Arial" w:cs="Arial"/>
          <w:color w:val="000000"/>
        </w:rPr>
        <w:t xml:space="preserve"> (Fig. 3B), which shows that the formulation is stable.</w:t>
      </w:r>
    </w:p>
    <w:p w14:paraId="03AD16C5"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 negative zeta potential of -33.5 mV indicates appreciable electrostatic surface charge and is consistent with values reported for other </w:t>
      </w:r>
      <w:proofErr w:type="spellStart"/>
      <w:r w:rsidRPr="00A9192B">
        <w:rPr>
          <w:rFonts w:ascii="Arial" w:eastAsia="Arial" w:hAnsi="Arial"/>
        </w:rPr>
        <w:t>transferosomal</w:t>
      </w:r>
      <w:proofErr w:type="spellEnd"/>
      <w:r w:rsidRPr="00A9192B">
        <w:rPr>
          <w:rFonts w:ascii="Arial" w:eastAsia="Arial" w:hAnsi="Arial"/>
        </w:rPr>
        <w:t xml:space="preserve"> gels. Absolute zeta-potential values around or above 30 mV are often associated with increased electrostatic repulsion, but colloidal stability also depends on medium composition, steric effects, vesicle concentration, and storage conditions (Bhattacharjee, 2016; Fatima et al., 2023; Madhulika &amp; Gupta, 2023).</w:t>
      </w:r>
    </w:p>
    <w:p w14:paraId="224F3911" w14:textId="77777777" w:rsidR="00A93067" w:rsidRPr="00A9192B" w:rsidRDefault="00CB705E">
      <w:pPr>
        <w:keepNext/>
        <w:pBdr>
          <w:top w:val="nil"/>
          <w:left w:val="nil"/>
          <w:bottom w:val="nil"/>
          <w:right w:val="nil"/>
          <w:between w:val="nil"/>
        </w:pBdr>
        <w:spacing w:before="100" w:after="60"/>
        <w:rPr>
          <w:rFonts w:ascii="Arial" w:eastAsia="Arial" w:hAnsi="Arial" w:cs="Arial"/>
          <w:color w:val="000000"/>
        </w:rPr>
      </w:pPr>
      <w:r w:rsidRPr="00A9192B">
        <w:rPr>
          <w:rFonts w:ascii="Arial" w:eastAsia="Arial" w:hAnsi="Arial" w:cs="Arial"/>
          <w:b/>
          <w:color w:val="000000"/>
          <w:u w:val="single"/>
        </w:rPr>
        <w:t>3.2.4 Scanning electron microscopy (SEM)</w:t>
      </w:r>
    </w:p>
    <w:p w14:paraId="544D0F2D"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transferosomes were subjected to microscopic examination </w:t>
      </w:r>
      <w:r w:rsidRPr="00A9192B">
        <w:rPr>
          <w:rFonts w:ascii="Arial" w:eastAsia="Arial" w:hAnsi="Arial" w:cs="Arial"/>
          <w:color w:val="000000"/>
          <w:highlight w:val="yellow"/>
        </w:rPr>
        <w:t xml:space="preserve">to </w:t>
      </w:r>
      <w:proofErr w:type="spellStart"/>
      <w:r w:rsidRPr="00A9192B">
        <w:rPr>
          <w:rFonts w:ascii="Arial" w:eastAsia="Arial" w:hAnsi="Arial" w:cs="Arial"/>
          <w:color w:val="000000"/>
          <w:highlight w:val="yellow"/>
        </w:rPr>
        <w:t>characterise</w:t>
      </w:r>
      <w:proofErr w:type="spellEnd"/>
      <w:r w:rsidRPr="00A9192B">
        <w:rPr>
          <w:rFonts w:ascii="Arial" w:eastAsia="Arial" w:hAnsi="Arial" w:cs="Arial"/>
          <w:color w:val="000000"/>
          <w:highlight w:val="yellow"/>
        </w:rPr>
        <w:t xml:space="preserve"> their size and shape</w:t>
      </w:r>
      <w:r w:rsidRPr="00A9192B">
        <w:rPr>
          <w:rFonts w:ascii="Arial" w:eastAsia="Arial" w:hAnsi="Arial" w:cs="Arial"/>
          <w:color w:val="000000"/>
        </w:rPr>
        <w:t xml:space="preserve"> (Fig. 4).</w:t>
      </w:r>
    </w:p>
    <w:p w14:paraId="2B4C0E8F"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Microscopic morphology is useful for confirming vesicle formation, surface appearance, and the presence or absence of visible aggregation. Spherical or near-spherical vesicular morphology has been reported in several </w:t>
      </w:r>
      <w:proofErr w:type="spellStart"/>
      <w:r w:rsidRPr="00A9192B">
        <w:rPr>
          <w:rFonts w:ascii="Arial" w:eastAsia="Arial" w:hAnsi="Arial"/>
        </w:rPr>
        <w:t>transferosomal</w:t>
      </w:r>
      <w:proofErr w:type="spellEnd"/>
      <w:r w:rsidRPr="00A9192B">
        <w:rPr>
          <w:rFonts w:ascii="Arial" w:eastAsia="Arial" w:hAnsi="Arial"/>
        </w:rPr>
        <w:t xml:space="preserve"> formulations, although electron-</w:t>
      </w:r>
      <w:r w:rsidRPr="00A9192B">
        <w:rPr>
          <w:rFonts w:ascii="Arial" w:eastAsia="Arial" w:hAnsi="Arial"/>
        </w:rPr>
        <w:lastRenderedPageBreak/>
        <w:t xml:space="preserve">microscopy appearance can be influenced by sample preparation and drying </w:t>
      </w:r>
      <w:r w:rsidRPr="00A9192B">
        <w:rPr>
          <w:rFonts w:ascii="Arial" w:eastAsia="Arial" w:hAnsi="Arial"/>
          <w:highlight w:val="yellow"/>
        </w:rPr>
        <w:t xml:space="preserve">(Bhattacharyya et al., 2024; Fatima et al., 2023; </w:t>
      </w:r>
      <w:proofErr w:type="spellStart"/>
      <w:r w:rsidRPr="00A9192B">
        <w:rPr>
          <w:rFonts w:ascii="Arial" w:eastAsia="Arial" w:hAnsi="Arial"/>
          <w:highlight w:val="yellow"/>
        </w:rPr>
        <w:t>Nidbane</w:t>
      </w:r>
      <w:proofErr w:type="spellEnd"/>
      <w:r w:rsidRPr="00A9192B">
        <w:rPr>
          <w:rFonts w:ascii="Arial" w:eastAsia="Arial" w:hAnsi="Arial"/>
          <w:highlight w:val="yellow"/>
        </w:rPr>
        <w:t xml:space="preserve"> et al., 2025)</w:t>
      </w:r>
      <w:r w:rsidRPr="00A9192B">
        <w:rPr>
          <w:rFonts w:ascii="Arial" w:eastAsia="Arial" w:hAnsi="Arial"/>
        </w:rPr>
        <w:t>.</w:t>
      </w:r>
    </w:p>
    <w:p w14:paraId="1FD75C4B" w14:textId="77777777" w:rsidR="00A93067" w:rsidRPr="00A9192B" w:rsidRDefault="00CB705E">
      <w:pPr>
        <w:keepNext/>
        <w:spacing w:before="60" w:after="40"/>
        <w:jc w:val="center"/>
        <w:rPr>
          <w:rFonts w:ascii="Arial" w:eastAsia="Arial" w:hAnsi="Arial" w:cs="Arial"/>
        </w:rPr>
      </w:pPr>
      <w:r w:rsidRPr="00A9192B">
        <w:rPr>
          <w:noProof/>
        </w:rPr>
        <w:drawing>
          <wp:inline distT="0" distB="0" distL="0" distR="0" wp14:anchorId="4370E172" wp14:editId="7B5D2253">
            <wp:extent cx="3505200" cy="219456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27" name="Picture 232294831"/>
                    <pic:cNvPicPr/>
                  </pic:nvPicPr>
                  <pic:blipFill>
                    <a:blip r:embed="rId16"/>
                    <a:stretch>
                      <a:fillRect/>
                    </a:stretch>
                  </pic:blipFill>
                  <pic:spPr>
                    <a:xfrm>
                      <a:off x="0" y="0"/>
                      <a:ext cx="3505200" cy="2194560"/>
                    </a:xfrm>
                    <a:prstGeom prst="rect">
                      <a:avLst/>
                    </a:prstGeom>
                  </pic:spPr>
                </pic:pic>
              </a:graphicData>
            </a:graphic>
          </wp:inline>
        </w:drawing>
      </w:r>
    </w:p>
    <w:p w14:paraId="23FC62A5"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4. SEM of Famciclovir transferosomes of F4</w:t>
      </w:r>
    </w:p>
    <w:p w14:paraId="24610CAA"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 xml:space="preserve">3.3 Evaluation of </w:t>
      </w:r>
      <w:proofErr w:type="spellStart"/>
      <w:r w:rsidRPr="00A9192B">
        <w:rPr>
          <w:rFonts w:ascii="Arial" w:eastAsia="Arial" w:hAnsi="Arial" w:cs="Arial"/>
          <w:b/>
          <w:color w:val="000000"/>
          <w:sz w:val="22"/>
          <w:szCs w:val="22"/>
        </w:rPr>
        <w:t>transferosomal</w:t>
      </w:r>
      <w:proofErr w:type="spellEnd"/>
      <w:r w:rsidRPr="00A9192B">
        <w:rPr>
          <w:rFonts w:ascii="Arial" w:eastAsia="Arial" w:hAnsi="Arial" w:cs="Arial"/>
          <w:b/>
          <w:color w:val="000000"/>
          <w:sz w:val="22"/>
          <w:szCs w:val="22"/>
        </w:rPr>
        <w:t xml:space="preserve"> gel</w:t>
      </w:r>
    </w:p>
    <w:p w14:paraId="3A2F9C7E"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pH, viscosity,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and drug content of the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formulations are given in Table 5.</w:t>
      </w:r>
    </w:p>
    <w:p w14:paraId="4F93533B"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5.</w:t>
      </w:r>
      <w:r w:rsidRPr="00A9192B">
        <w:rPr>
          <w:rFonts w:ascii="Arial" w:eastAsia="Arial" w:hAnsi="Arial" w:cs="Arial"/>
          <w:b/>
        </w:rPr>
        <w:tab/>
        <w:t>Evaluation parameters of gel</w:t>
      </w:r>
    </w:p>
    <w:tbl>
      <w:tblPr>
        <w:tblStyle w:val="a3"/>
        <w:tblW w:w="72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500"/>
        <w:gridCol w:w="1000"/>
        <w:gridCol w:w="1400"/>
        <w:gridCol w:w="1800"/>
        <w:gridCol w:w="1500"/>
      </w:tblGrid>
      <w:tr w:rsidR="00A93067" w:rsidRPr="00A9192B" w14:paraId="5FEC8C90" w14:textId="77777777">
        <w:trPr>
          <w:cantSplit/>
          <w:tblHeader/>
          <w:jc w:val="center"/>
        </w:trPr>
        <w:tc>
          <w:tcPr>
            <w:tcW w:w="1500" w:type="dxa"/>
            <w:vAlign w:val="center"/>
          </w:tcPr>
          <w:p w14:paraId="61ECE6E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Formulation code</w:t>
            </w:r>
          </w:p>
        </w:tc>
        <w:tc>
          <w:tcPr>
            <w:tcW w:w="1000" w:type="dxa"/>
            <w:vAlign w:val="center"/>
          </w:tcPr>
          <w:p w14:paraId="58624DE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pH</w:t>
            </w:r>
          </w:p>
        </w:tc>
        <w:tc>
          <w:tcPr>
            <w:tcW w:w="1400" w:type="dxa"/>
            <w:vAlign w:val="center"/>
          </w:tcPr>
          <w:p w14:paraId="4E52B283"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Viscosity (cps)</w:t>
            </w:r>
          </w:p>
        </w:tc>
        <w:tc>
          <w:tcPr>
            <w:tcW w:w="1800" w:type="dxa"/>
            <w:vAlign w:val="center"/>
          </w:tcPr>
          <w:p w14:paraId="55973C81" w14:textId="77777777" w:rsidR="00A93067" w:rsidRPr="00A9192B" w:rsidRDefault="00CB705E">
            <w:pPr>
              <w:spacing w:before="30" w:after="30"/>
              <w:jc w:val="center"/>
              <w:rPr>
                <w:rFonts w:ascii="Arial" w:eastAsia="Arial" w:hAnsi="Arial" w:cs="Arial"/>
              </w:rPr>
            </w:pPr>
            <w:proofErr w:type="spellStart"/>
            <w:r w:rsidRPr="00A9192B">
              <w:rPr>
                <w:rFonts w:ascii="Arial" w:eastAsia="Arial" w:hAnsi="Arial" w:cs="Arial"/>
                <w:b/>
                <w:sz w:val="18"/>
                <w:szCs w:val="18"/>
              </w:rPr>
              <w:t>Spreadability</w:t>
            </w:r>
            <w:proofErr w:type="spellEnd"/>
            <w:r w:rsidRPr="00A9192B">
              <w:rPr>
                <w:rFonts w:ascii="Arial" w:eastAsia="Arial" w:hAnsi="Arial" w:cs="Arial"/>
                <w:b/>
                <w:sz w:val="18"/>
                <w:szCs w:val="18"/>
              </w:rPr>
              <w:t xml:space="preserve"> (cm/sec)</w:t>
            </w:r>
          </w:p>
        </w:tc>
        <w:tc>
          <w:tcPr>
            <w:tcW w:w="1500" w:type="dxa"/>
            <w:vAlign w:val="center"/>
          </w:tcPr>
          <w:p w14:paraId="25F916C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 Drug content</w:t>
            </w:r>
          </w:p>
        </w:tc>
      </w:tr>
      <w:tr w:rsidR="00A93067" w:rsidRPr="00A9192B" w14:paraId="4B3D6C1E" w14:textId="77777777">
        <w:trPr>
          <w:cantSplit/>
          <w:jc w:val="center"/>
        </w:trPr>
        <w:tc>
          <w:tcPr>
            <w:tcW w:w="1500" w:type="dxa"/>
            <w:vAlign w:val="center"/>
          </w:tcPr>
          <w:p w14:paraId="10D9653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F1</w:t>
            </w:r>
          </w:p>
        </w:tc>
        <w:tc>
          <w:tcPr>
            <w:tcW w:w="1000" w:type="dxa"/>
            <w:vAlign w:val="center"/>
          </w:tcPr>
          <w:p w14:paraId="7F0C3D2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6.0</w:t>
            </w:r>
          </w:p>
        </w:tc>
        <w:tc>
          <w:tcPr>
            <w:tcW w:w="1400" w:type="dxa"/>
            <w:vAlign w:val="center"/>
          </w:tcPr>
          <w:p w14:paraId="1392E30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3110</w:t>
            </w:r>
          </w:p>
        </w:tc>
        <w:tc>
          <w:tcPr>
            <w:tcW w:w="1800" w:type="dxa"/>
            <w:vAlign w:val="center"/>
          </w:tcPr>
          <w:p w14:paraId="051C3FB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11.2</w:t>
            </w:r>
          </w:p>
        </w:tc>
        <w:tc>
          <w:tcPr>
            <w:tcW w:w="1500" w:type="dxa"/>
            <w:vAlign w:val="center"/>
          </w:tcPr>
          <w:p w14:paraId="27C4FD7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75.3</w:t>
            </w:r>
          </w:p>
        </w:tc>
      </w:tr>
      <w:tr w:rsidR="00A93067" w:rsidRPr="00A9192B" w14:paraId="3C7D2F7D" w14:textId="77777777">
        <w:trPr>
          <w:cantSplit/>
          <w:jc w:val="center"/>
        </w:trPr>
        <w:tc>
          <w:tcPr>
            <w:tcW w:w="1500" w:type="dxa"/>
            <w:vAlign w:val="center"/>
          </w:tcPr>
          <w:p w14:paraId="0E698E3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F2</w:t>
            </w:r>
          </w:p>
        </w:tc>
        <w:tc>
          <w:tcPr>
            <w:tcW w:w="1000" w:type="dxa"/>
            <w:vAlign w:val="center"/>
          </w:tcPr>
          <w:p w14:paraId="0281D39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6.5</w:t>
            </w:r>
          </w:p>
        </w:tc>
        <w:tc>
          <w:tcPr>
            <w:tcW w:w="1400" w:type="dxa"/>
            <w:vAlign w:val="center"/>
          </w:tcPr>
          <w:p w14:paraId="499EE1C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3520</w:t>
            </w:r>
          </w:p>
        </w:tc>
        <w:tc>
          <w:tcPr>
            <w:tcW w:w="1800" w:type="dxa"/>
            <w:vAlign w:val="center"/>
          </w:tcPr>
          <w:p w14:paraId="6F4889A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12.8</w:t>
            </w:r>
          </w:p>
        </w:tc>
        <w:tc>
          <w:tcPr>
            <w:tcW w:w="1500" w:type="dxa"/>
            <w:vAlign w:val="center"/>
          </w:tcPr>
          <w:p w14:paraId="4CD5ADE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78.7</w:t>
            </w:r>
          </w:p>
        </w:tc>
      </w:tr>
      <w:tr w:rsidR="00A93067" w:rsidRPr="00A9192B" w14:paraId="7A7A469C" w14:textId="77777777">
        <w:trPr>
          <w:cantSplit/>
          <w:jc w:val="center"/>
        </w:trPr>
        <w:tc>
          <w:tcPr>
            <w:tcW w:w="1500" w:type="dxa"/>
            <w:vAlign w:val="center"/>
          </w:tcPr>
          <w:p w14:paraId="2993AD9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F3</w:t>
            </w:r>
          </w:p>
        </w:tc>
        <w:tc>
          <w:tcPr>
            <w:tcW w:w="1000" w:type="dxa"/>
            <w:vAlign w:val="center"/>
          </w:tcPr>
          <w:p w14:paraId="217687B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6.4</w:t>
            </w:r>
          </w:p>
        </w:tc>
        <w:tc>
          <w:tcPr>
            <w:tcW w:w="1400" w:type="dxa"/>
            <w:vAlign w:val="center"/>
          </w:tcPr>
          <w:p w14:paraId="5B42455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4010</w:t>
            </w:r>
          </w:p>
        </w:tc>
        <w:tc>
          <w:tcPr>
            <w:tcW w:w="1800" w:type="dxa"/>
            <w:vAlign w:val="center"/>
          </w:tcPr>
          <w:p w14:paraId="186BC34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11.5</w:t>
            </w:r>
          </w:p>
        </w:tc>
        <w:tc>
          <w:tcPr>
            <w:tcW w:w="1500" w:type="dxa"/>
            <w:vAlign w:val="center"/>
          </w:tcPr>
          <w:p w14:paraId="792E262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88.2</w:t>
            </w:r>
          </w:p>
        </w:tc>
      </w:tr>
      <w:tr w:rsidR="00A93067" w:rsidRPr="00A9192B" w14:paraId="49C54C67" w14:textId="77777777">
        <w:trPr>
          <w:cantSplit/>
          <w:jc w:val="center"/>
        </w:trPr>
        <w:tc>
          <w:tcPr>
            <w:tcW w:w="1500" w:type="dxa"/>
            <w:vAlign w:val="center"/>
          </w:tcPr>
          <w:p w14:paraId="3FF3C18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F4</w:t>
            </w:r>
          </w:p>
        </w:tc>
        <w:tc>
          <w:tcPr>
            <w:tcW w:w="1000" w:type="dxa"/>
            <w:vAlign w:val="center"/>
          </w:tcPr>
          <w:p w14:paraId="0554902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6.7</w:t>
            </w:r>
          </w:p>
        </w:tc>
        <w:tc>
          <w:tcPr>
            <w:tcW w:w="1400" w:type="dxa"/>
            <w:vAlign w:val="center"/>
          </w:tcPr>
          <w:p w14:paraId="182A9A1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4180</w:t>
            </w:r>
          </w:p>
        </w:tc>
        <w:tc>
          <w:tcPr>
            <w:tcW w:w="1800" w:type="dxa"/>
            <w:vAlign w:val="center"/>
          </w:tcPr>
          <w:p w14:paraId="3565EBC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15.7</w:t>
            </w:r>
          </w:p>
        </w:tc>
        <w:tc>
          <w:tcPr>
            <w:tcW w:w="1500" w:type="dxa"/>
            <w:vAlign w:val="center"/>
          </w:tcPr>
          <w:p w14:paraId="2212E41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96.8</w:t>
            </w:r>
          </w:p>
        </w:tc>
      </w:tr>
      <w:tr w:rsidR="00A93067" w:rsidRPr="00A9192B" w14:paraId="22957C0B" w14:textId="77777777">
        <w:trPr>
          <w:cantSplit/>
          <w:jc w:val="center"/>
        </w:trPr>
        <w:tc>
          <w:tcPr>
            <w:tcW w:w="1500" w:type="dxa"/>
            <w:vAlign w:val="center"/>
          </w:tcPr>
          <w:p w14:paraId="3110E38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F5</w:t>
            </w:r>
          </w:p>
        </w:tc>
        <w:tc>
          <w:tcPr>
            <w:tcW w:w="1000" w:type="dxa"/>
            <w:vAlign w:val="center"/>
          </w:tcPr>
          <w:p w14:paraId="6FF5C99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6.5</w:t>
            </w:r>
          </w:p>
        </w:tc>
        <w:tc>
          <w:tcPr>
            <w:tcW w:w="1400" w:type="dxa"/>
            <w:vAlign w:val="center"/>
          </w:tcPr>
          <w:p w14:paraId="4344C43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3460</w:t>
            </w:r>
          </w:p>
        </w:tc>
        <w:tc>
          <w:tcPr>
            <w:tcW w:w="1800" w:type="dxa"/>
            <w:vAlign w:val="center"/>
          </w:tcPr>
          <w:p w14:paraId="4028116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13.4</w:t>
            </w:r>
          </w:p>
        </w:tc>
        <w:tc>
          <w:tcPr>
            <w:tcW w:w="1500" w:type="dxa"/>
            <w:vAlign w:val="center"/>
          </w:tcPr>
          <w:p w14:paraId="5C2F6DD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72.9</w:t>
            </w:r>
          </w:p>
        </w:tc>
      </w:tr>
      <w:tr w:rsidR="00A93067" w:rsidRPr="00A9192B" w14:paraId="56517930" w14:textId="77777777">
        <w:trPr>
          <w:cantSplit/>
          <w:jc w:val="center"/>
        </w:trPr>
        <w:tc>
          <w:tcPr>
            <w:tcW w:w="1500" w:type="dxa"/>
            <w:vAlign w:val="center"/>
          </w:tcPr>
          <w:p w14:paraId="5BC4688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F6</w:t>
            </w:r>
          </w:p>
        </w:tc>
        <w:tc>
          <w:tcPr>
            <w:tcW w:w="1000" w:type="dxa"/>
            <w:vAlign w:val="center"/>
          </w:tcPr>
          <w:p w14:paraId="18EB7F5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w:t>
            </w:r>
          </w:p>
        </w:tc>
        <w:tc>
          <w:tcPr>
            <w:tcW w:w="1400" w:type="dxa"/>
            <w:vAlign w:val="center"/>
          </w:tcPr>
          <w:p w14:paraId="1D80836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3740</w:t>
            </w:r>
          </w:p>
        </w:tc>
        <w:tc>
          <w:tcPr>
            <w:tcW w:w="1800" w:type="dxa"/>
            <w:vAlign w:val="center"/>
          </w:tcPr>
          <w:p w14:paraId="663D974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12.9</w:t>
            </w:r>
          </w:p>
        </w:tc>
        <w:tc>
          <w:tcPr>
            <w:tcW w:w="1500" w:type="dxa"/>
            <w:vAlign w:val="center"/>
          </w:tcPr>
          <w:p w14:paraId="63E1539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85.7</w:t>
            </w:r>
          </w:p>
        </w:tc>
      </w:tr>
    </w:tbl>
    <w:p w14:paraId="0EA30766"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Among the tested gels, F4 combined the highest drug content (96.8%) and </w:t>
      </w:r>
      <w:proofErr w:type="spellStart"/>
      <w:r w:rsidRPr="00A9192B">
        <w:rPr>
          <w:rFonts w:ascii="Arial" w:eastAsia="Arial" w:hAnsi="Arial"/>
        </w:rPr>
        <w:t>spreadability</w:t>
      </w:r>
      <w:proofErr w:type="spellEnd"/>
      <w:r w:rsidRPr="00A9192B">
        <w:rPr>
          <w:rFonts w:ascii="Arial" w:eastAsia="Arial" w:hAnsi="Arial"/>
        </w:rPr>
        <w:t xml:space="preserve"> (15.7 cm/sec) with the highest measured viscosity (4180 </w:t>
      </w:r>
      <w:proofErr w:type="spellStart"/>
      <w:r w:rsidRPr="00A9192B">
        <w:rPr>
          <w:rFonts w:ascii="Arial" w:eastAsia="Arial" w:hAnsi="Arial"/>
        </w:rPr>
        <w:t>cps</w:t>
      </w:r>
      <w:proofErr w:type="spellEnd"/>
      <w:r w:rsidRPr="00A9192B">
        <w:rPr>
          <w:rFonts w:ascii="Arial" w:eastAsia="Arial" w:hAnsi="Arial"/>
        </w:rPr>
        <w:t xml:space="preserve">) and a pH of 6.7. In carbomer systems, pH, polymer-solvent interactions, and cosolvents such as propylene glycol can materially influence rheology, while rheological </w:t>
      </w:r>
      <w:proofErr w:type="spellStart"/>
      <w:r w:rsidRPr="00A9192B">
        <w:rPr>
          <w:rFonts w:ascii="Arial" w:eastAsia="Arial" w:hAnsi="Arial"/>
          <w:highlight w:val="yellow"/>
        </w:rPr>
        <w:t>behaviour</w:t>
      </w:r>
      <w:proofErr w:type="spellEnd"/>
      <w:r w:rsidRPr="00A9192B">
        <w:rPr>
          <w:rFonts w:ascii="Arial" w:eastAsia="Arial" w:hAnsi="Arial"/>
        </w:rPr>
        <w:t xml:space="preserve"> and </w:t>
      </w:r>
      <w:proofErr w:type="spellStart"/>
      <w:r w:rsidRPr="00A9192B">
        <w:rPr>
          <w:rFonts w:ascii="Arial" w:eastAsia="Arial" w:hAnsi="Arial"/>
        </w:rPr>
        <w:t>spreadability</w:t>
      </w:r>
      <w:proofErr w:type="spellEnd"/>
      <w:r w:rsidRPr="00A9192B">
        <w:rPr>
          <w:rFonts w:ascii="Arial" w:eastAsia="Arial" w:hAnsi="Arial"/>
        </w:rPr>
        <w:t xml:space="preserve"> can in turn affect application performance and drug release from topical semisolids </w:t>
      </w:r>
      <w:r w:rsidRPr="00A9192B">
        <w:rPr>
          <w:rFonts w:ascii="Arial" w:eastAsia="Arial" w:hAnsi="Arial"/>
          <w:highlight w:val="yellow"/>
        </w:rPr>
        <w:t>(</w:t>
      </w:r>
      <w:proofErr w:type="spellStart"/>
      <w:r w:rsidRPr="00A9192B">
        <w:rPr>
          <w:rFonts w:ascii="Arial" w:eastAsia="Arial" w:hAnsi="Arial"/>
          <w:highlight w:val="yellow"/>
        </w:rPr>
        <w:t>Bonacucina</w:t>
      </w:r>
      <w:proofErr w:type="spellEnd"/>
      <w:r w:rsidRPr="00A9192B">
        <w:rPr>
          <w:rFonts w:ascii="Arial" w:eastAsia="Arial" w:hAnsi="Arial"/>
          <w:highlight w:val="yellow"/>
        </w:rPr>
        <w:t xml:space="preserve"> et al., 2004; Islam et al., 2004; Jin et al., 2023)</w:t>
      </w:r>
      <w:r w:rsidRPr="00A9192B">
        <w:rPr>
          <w:rFonts w:ascii="Arial" w:eastAsia="Arial" w:hAnsi="Arial"/>
        </w:rPr>
        <w:t xml:space="preserve">. Comparable </w:t>
      </w:r>
      <w:proofErr w:type="spellStart"/>
      <w:r w:rsidRPr="00A9192B">
        <w:rPr>
          <w:rFonts w:ascii="Arial" w:eastAsia="Arial" w:hAnsi="Arial"/>
        </w:rPr>
        <w:t>transferosomal</w:t>
      </w:r>
      <w:proofErr w:type="spellEnd"/>
      <w:r w:rsidRPr="00A9192B">
        <w:rPr>
          <w:rFonts w:ascii="Arial" w:eastAsia="Arial" w:hAnsi="Arial"/>
        </w:rPr>
        <w:t xml:space="preserve">-gel studies have likewise treated pH, viscosity, </w:t>
      </w:r>
      <w:proofErr w:type="spellStart"/>
      <w:r w:rsidRPr="00A9192B">
        <w:rPr>
          <w:rFonts w:ascii="Arial" w:eastAsia="Arial" w:hAnsi="Arial"/>
        </w:rPr>
        <w:t>spreadability</w:t>
      </w:r>
      <w:proofErr w:type="spellEnd"/>
      <w:r w:rsidRPr="00A9192B">
        <w:rPr>
          <w:rFonts w:ascii="Arial" w:eastAsia="Arial" w:hAnsi="Arial"/>
        </w:rPr>
        <w:t xml:space="preserve">, and drug content as interrelated quality attributes rather than isolated endpoints </w:t>
      </w:r>
      <w:r w:rsidRPr="00A9192B">
        <w:rPr>
          <w:rFonts w:ascii="Arial" w:eastAsia="Arial" w:hAnsi="Arial"/>
          <w:highlight w:val="yellow"/>
        </w:rPr>
        <w:t>(</w:t>
      </w:r>
      <w:proofErr w:type="spellStart"/>
      <w:r w:rsidRPr="00A9192B">
        <w:rPr>
          <w:rFonts w:ascii="Arial" w:eastAsia="Arial" w:hAnsi="Arial"/>
          <w:highlight w:val="yellow"/>
        </w:rPr>
        <w:t>Dongare</w:t>
      </w:r>
      <w:proofErr w:type="spellEnd"/>
      <w:r w:rsidRPr="00A9192B">
        <w:rPr>
          <w:rFonts w:ascii="Arial" w:eastAsia="Arial" w:hAnsi="Arial"/>
          <w:highlight w:val="yellow"/>
        </w:rPr>
        <w:t xml:space="preserve"> &amp; Bhogale, 2024; </w:t>
      </w:r>
      <w:proofErr w:type="spellStart"/>
      <w:r w:rsidRPr="00A9192B">
        <w:rPr>
          <w:rFonts w:ascii="Arial" w:eastAsia="Arial" w:hAnsi="Arial"/>
          <w:highlight w:val="yellow"/>
        </w:rPr>
        <w:t>Humnabade</w:t>
      </w:r>
      <w:proofErr w:type="spellEnd"/>
      <w:r w:rsidRPr="00A9192B">
        <w:rPr>
          <w:rFonts w:ascii="Arial" w:eastAsia="Arial" w:hAnsi="Arial"/>
          <w:highlight w:val="yellow"/>
        </w:rPr>
        <w:t xml:space="preserve"> et al., 2024; Shukla et al., 2019)</w:t>
      </w:r>
      <w:r w:rsidRPr="00A9192B">
        <w:rPr>
          <w:rFonts w:ascii="Arial" w:eastAsia="Arial" w:hAnsi="Arial"/>
        </w:rPr>
        <w:t>.</w:t>
      </w:r>
    </w:p>
    <w:p w14:paraId="1F5F892E" w14:textId="77777777" w:rsidR="00A93067" w:rsidRPr="00A9192B" w:rsidRDefault="00A93067">
      <w:pPr>
        <w:spacing w:after="60"/>
        <w:jc w:val="both"/>
        <w:rPr>
          <w:rFonts w:ascii="Arial" w:eastAsia="Arial" w:hAnsi="Arial" w:cs="Arial"/>
        </w:rPr>
      </w:pPr>
    </w:p>
    <w:p w14:paraId="2F1E7B3C"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3.4 In-vitro diffusion studies</w:t>
      </w:r>
    </w:p>
    <w:p w14:paraId="3F6A7840"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The cumulative percentage drug release of formulations F1–F6 over 8 h is given in Table 6 and compared in Fig. 5.</w:t>
      </w:r>
    </w:p>
    <w:p w14:paraId="729405B7"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6.</w:t>
      </w:r>
      <w:r w:rsidRPr="00A9192B">
        <w:rPr>
          <w:rFonts w:ascii="Arial" w:eastAsia="Arial" w:hAnsi="Arial" w:cs="Arial"/>
          <w:b/>
        </w:rPr>
        <w:tab/>
        <w:t xml:space="preserve">In-vitro diffusion studies of </w:t>
      </w:r>
      <w:proofErr w:type="spellStart"/>
      <w:r w:rsidRPr="00A9192B">
        <w:rPr>
          <w:rFonts w:ascii="Arial" w:eastAsia="Arial" w:hAnsi="Arial" w:cs="Arial"/>
          <w:b/>
        </w:rPr>
        <w:t>transferosomal</w:t>
      </w:r>
      <w:proofErr w:type="spellEnd"/>
      <w:r w:rsidRPr="00A9192B">
        <w:rPr>
          <w:rFonts w:ascii="Arial" w:eastAsia="Arial" w:hAnsi="Arial" w:cs="Arial"/>
          <w:b/>
        </w:rPr>
        <w:t xml:space="preserve"> gel (cumulative % drug release)</w:t>
      </w:r>
    </w:p>
    <w:tbl>
      <w:tblPr>
        <w:tblStyle w:val="a4"/>
        <w:tblW w:w="72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200"/>
        <w:gridCol w:w="1000"/>
        <w:gridCol w:w="1000"/>
        <w:gridCol w:w="1000"/>
        <w:gridCol w:w="1000"/>
        <w:gridCol w:w="1000"/>
        <w:gridCol w:w="1000"/>
      </w:tblGrid>
      <w:tr w:rsidR="00A93067" w:rsidRPr="00A9192B" w14:paraId="09921F04" w14:textId="77777777">
        <w:trPr>
          <w:cantSplit/>
          <w:tblHeader/>
          <w:jc w:val="center"/>
        </w:trPr>
        <w:tc>
          <w:tcPr>
            <w:tcW w:w="1200" w:type="dxa"/>
            <w:vAlign w:val="center"/>
          </w:tcPr>
          <w:p w14:paraId="33AC2ED9"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Time (h)</w:t>
            </w:r>
          </w:p>
        </w:tc>
        <w:tc>
          <w:tcPr>
            <w:tcW w:w="1000" w:type="dxa"/>
            <w:vAlign w:val="center"/>
          </w:tcPr>
          <w:p w14:paraId="6F8E0DE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F1</w:t>
            </w:r>
          </w:p>
        </w:tc>
        <w:tc>
          <w:tcPr>
            <w:tcW w:w="1000" w:type="dxa"/>
            <w:vAlign w:val="center"/>
          </w:tcPr>
          <w:p w14:paraId="37B927C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F2</w:t>
            </w:r>
          </w:p>
        </w:tc>
        <w:tc>
          <w:tcPr>
            <w:tcW w:w="1000" w:type="dxa"/>
            <w:vAlign w:val="center"/>
          </w:tcPr>
          <w:p w14:paraId="553889C3"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F3</w:t>
            </w:r>
          </w:p>
        </w:tc>
        <w:tc>
          <w:tcPr>
            <w:tcW w:w="1000" w:type="dxa"/>
            <w:vAlign w:val="center"/>
          </w:tcPr>
          <w:p w14:paraId="7509D0B5"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F4</w:t>
            </w:r>
          </w:p>
        </w:tc>
        <w:tc>
          <w:tcPr>
            <w:tcW w:w="1000" w:type="dxa"/>
            <w:vAlign w:val="center"/>
          </w:tcPr>
          <w:p w14:paraId="1498ABE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F5</w:t>
            </w:r>
          </w:p>
        </w:tc>
        <w:tc>
          <w:tcPr>
            <w:tcW w:w="1000" w:type="dxa"/>
            <w:vAlign w:val="center"/>
          </w:tcPr>
          <w:p w14:paraId="4007E2B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8"/>
                <w:szCs w:val="18"/>
              </w:rPr>
              <w:t>F6</w:t>
            </w:r>
          </w:p>
        </w:tc>
      </w:tr>
      <w:tr w:rsidR="00A93067" w:rsidRPr="00A9192B" w14:paraId="4068E2D6" w14:textId="77777777">
        <w:trPr>
          <w:cantSplit/>
          <w:jc w:val="center"/>
        </w:trPr>
        <w:tc>
          <w:tcPr>
            <w:tcW w:w="1200" w:type="dxa"/>
            <w:vAlign w:val="center"/>
          </w:tcPr>
          <w:p w14:paraId="45BC925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w:t>
            </w:r>
          </w:p>
        </w:tc>
        <w:tc>
          <w:tcPr>
            <w:tcW w:w="1000" w:type="dxa"/>
            <w:vAlign w:val="center"/>
          </w:tcPr>
          <w:p w14:paraId="6E466AF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1E83813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360201D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060C5DA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2372C33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c>
          <w:tcPr>
            <w:tcW w:w="1000" w:type="dxa"/>
            <w:vAlign w:val="center"/>
          </w:tcPr>
          <w:p w14:paraId="04B8CBA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0.00</w:t>
            </w:r>
          </w:p>
        </w:tc>
      </w:tr>
      <w:tr w:rsidR="00A93067" w:rsidRPr="00A9192B" w14:paraId="1F837E40" w14:textId="77777777">
        <w:trPr>
          <w:cantSplit/>
          <w:jc w:val="center"/>
        </w:trPr>
        <w:tc>
          <w:tcPr>
            <w:tcW w:w="1200" w:type="dxa"/>
            <w:vAlign w:val="center"/>
          </w:tcPr>
          <w:p w14:paraId="12D3158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w:t>
            </w:r>
          </w:p>
        </w:tc>
        <w:tc>
          <w:tcPr>
            <w:tcW w:w="1000" w:type="dxa"/>
            <w:vAlign w:val="center"/>
          </w:tcPr>
          <w:p w14:paraId="46EE3B4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11.99</w:t>
            </w:r>
          </w:p>
        </w:tc>
        <w:tc>
          <w:tcPr>
            <w:tcW w:w="1000" w:type="dxa"/>
            <w:vAlign w:val="center"/>
          </w:tcPr>
          <w:p w14:paraId="3C640A9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12.39</w:t>
            </w:r>
          </w:p>
        </w:tc>
        <w:tc>
          <w:tcPr>
            <w:tcW w:w="1000" w:type="dxa"/>
            <w:vAlign w:val="center"/>
          </w:tcPr>
          <w:p w14:paraId="64F67AB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13.07</w:t>
            </w:r>
          </w:p>
        </w:tc>
        <w:tc>
          <w:tcPr>
            <w:tcW w:w="1000" w:type="dxa"/>
            <w:vAlign w:val="center"/>
          </w:tcPr>
          <w:p w14:paraId="5ECE01F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13.20</w:t>
            </w:r>
          </w:p>
        </w:tc>
        <w:tc>
          <w:tcPr>
            <w:tcW w:w="1000" w:type="dxa"/>
            <w:vAlign w:val="center"/>
          </w:tcPr>
          <w:p w14:paraId="202D370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13.33</w:t>
            </w:r>
          </w:p>
        </w:tc>
        <w:tc>
          <w:tcPr>
            <w:tcW w:w="1000" w:type="dxa"/>
            <w:vAlign w:val="center"/>
          </w:tcPr>
          <w:p w14:paraId="01A484B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11.97</w:t>
            </w:r>
          </w:p>
        </w:tc>
      </w:tr>
      <w:tr w:rsidR="00A93067" w:rsidRPr="00A9192B" w14:paraId="35AFC920" w14:textId="77777777">
        <w:trPr>
          <w:cantSplit/>
          <w:jc w:val="center"/>
        </w:trPr>
        <w:tc>
          <w:tcPr>
            <w:tcW w:w="1200" w:type="dxa"/>
            <w:vAlign w:val="center"/>
          </w:tcPr>
          <w:p w14:paraId="128F321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w:t>
            </w:r>
          </w:p>
        </w:tc>
        <w:tc>
          <w:tcPr>
            <w:tcW w:w="1000" w:type="dxa"/>
            <w:vAlign w:val="center"/>
          </w:tcPr>
          <w:p w14:paraId="1A80B33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18.57</w:t>
            </w:r>
          </w:p>
        </w:tc>
        <w:tc>
          <w:tcPr>
            <w:tcW w:w="1000" w:type="dxa"/>
            <w:vAlign w:val="center"/>
          </w:tcPr>
          <w:p w14:paraId="56674E6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20.66</w:t>
            </w:r>
          </w:p>
        </w:tc>
        <w:tc>
          <w:tcPr>
            <w:tcW w:w="1000" w:type="dxa"/>
            <w:vAlign w:val="center"/>
          </w:tcPr>
          <w:p w14:paraId="5437C7A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24.04</w:t>
            </w:r>
          </w:p>
        </w:tc>
        <w:tc>
          <w:tcPr>
            <w:tcW w:w="1000" w:type="dxa"/>
            <w:vAlign w:val="center"/>
          </w:tcPr>
          <w:p w14:paraId="7AF442E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27.34</w:t>
            </w:r>
          </w:p>
        </w:tc>
        <w:tc>
          <w:tcPr>
            <w:tcW w:w="1000" w:type="dxa"/>
            <w:vAlign w:val="center"/>
          </w:tcPr>
          <w:p w14:paraId="07B7E9A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25.47</w:t>
            </w:r>
          </w:p>
        </w:tc>
        <w:tc>
          <w:tcPr>
            <w:tcW w:w="1000" w:type="dxa"/>
            <w:vAlign w:val="center"/>
          </w:tcPr>
          <w:p w14:paraId="358B224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17.89</w:t>
            </w:r>
          </w:p>
        </w:tc>
      </w:tr>
      <w:tr w:rsidR="00A93067" w:rsidRPr="00A9192B" w14:paraId="0C750715" w14:textId="77777777">
        <w:trPr>
          <w:cantSplit/>
          <w:jc w:val="center"/>
        </w:trPr>
        <w:tc>
          <w:tcPr>
            <w:tcW w:w="1200" w:type="dxa"/>
            <w:vAlign w:val="center"/>
          </w:tcPr>
          <w:p w14:paraId="33C3B2B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w:t>
            </w:r>
          </w:p>
        </w:tc>
        <w:tc>
          <w:tcPr>
            <w:tcW w:w="1000" w:type="dxa"/>
            <w:vAlign w:val="center"/>
          </w:tcPr>
          <w:p w14:paraId="75AB9AA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28.88</w:t>
            </w:r>
          </w:p>
        </w:tc>
        <w:tc>
          <w:tcPr>
            <w:tcW w:w="1000" w:type="dxa"/>
            <w:vAlign w:val="center"/>
          </w:tcPr>
          <w:p w14:paraId="5359BF4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28.48</w:t>
            </w:r>
          </w:p>
        </w:tc>
        <w:tc>
          <w:tcPr>
            <w:tcW w:w="1000" w:type="dxa"/>
            <w:vAlign w:val="center"/>
          </w:tcPr>
          <w:p w14:paraId="350BFE4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34.79</w:t>
            </w:r>
          </w:p>
        </w:tc>
        <w:tc>
          <w:tcPr>
            <w:tcW w:w="1000" w:type="dxa"/>
            <w:vAlign w:val="center"/>
          </w:tcPr>
          <w:p w14:paraId="2827C55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35.42</w:t>
            </w:r>
          </w:p>
        </w:tc>
        <w:tc>
          <w:tcPr>
            <w:tcW w:w="1000" w:type="dxa"/>
            <w:vAlign w:val="center"/>
          </w:tcPr>
          <w:p w14:paraId="18C952C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33.86</w:t>
            </w:r>
          </w:p>
        </w:tc>
        <w:tc>
          <w:tcPr>
            <w:tcW w:w="1000" w:type="dxa"/>
            <w:vAlign w:val="center"/>
          </w:tcPr>
          <w:p w14:paraId="7E793F0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26.48</w:t>
            </w:r>
          </w:p>
        </w:tc>
      </w:tr>
      <w:tr w:rsidR="00A93067" w:rsidRPr="00A9192B" w14:paraId="541B26DC" w14:textId="77777777">
        <w:trPr>
          <w:cantSplit/>
          <w:jc w:val="center"/>
        </w:trPr>
        <w:tc>
          <w:tcPr>
            <w:tcW w:w="1200" w:type="dxa"/>
            <w:vAlign w:val="center"/>
          </w:tcPr>
          <w:p w14:paraId="009D620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w:t>
            </w:r>
          </w:p>
        </w:tc>
        <w:tc>
          <w:tcPr>
            <w:tcW w:w="1000" w:type="dxa"/>
            <w:vAlign w:val="center"/>
          </w:tcPr>
          <w:p w14:paraId="30C5B51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35.73</w:t>
            </w:r>
          </w:p>
        </w:tc>
        <w:tc>
          <w:tcPr>
            <w:tcW w:w="1000" w:type="dxa"/>
            <w:vAlign w:val="center"/>
          </w:tcPr>
          <w:p w14:paraId="2BC1802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40.45</w:t>
            </w:r>
          </w:p>
        </w:tc>
        <w:tc>
          <w:tcPr>
            <w:tcW w:w="1000" w:type="dxa"/>
            <w:vAlign w:val="center"/>
          </w:tcPr>
          <w:p w14:paraId="395D8DF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44.86</w:t>
            </w:r>
          </w:p>
        </w:tc>
        <w:tc>
          <w:tcPr>
            <w:tcW w:w="1000" w:type="dxa"/>
            <w:vAlign w:val="center"/>
          </w:tcPr>
          <w:p w14:paraId="551B938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49.15</w:t>
            </w:r>
          </w:p>
        </w:tc>
        <w:tc>
          <w:tcPr>
            <w:tcW w:w="1000" w:type="dxa"/>
            <w:vAlign w:val="center"/>
          </w:tcPr>
          <w:p w14:paraId="1DF8A2E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47.65</w:t>
            </w:r>
          </w:p>
        </w:tc>
        <w:tc>
          <w:tcPr>
            <w:tcW w:w="1000" w:type="dxa"/>
            <w:vAlign w:val="center"/>
          </w:tcPr>
          <w:p w14:paraId="668D419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37.67</w:t>
            </w:r>
          </w:p>
        </w:tc>
      </w:tr>
      <w:tr w:rsidR="00A93067" w:rsidRPr="00A9192B" w14:paraId="78DEDB99" w14:textId="77777777">
        <w:trPr>
          <w:cantSplit/>
          <w:jc w:val="center"/>
        </w:trPr>
        <w:tc>
          <w:tcPr>
            <w:tcW w:w="1200" w:type="dxa"/>
            <w:vAlign w:val="center"/>
          </w:tcPr>
          <w:p w14:paraId="30AEA54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w:t>
            </w:r>
          </w:p>
        </w:tc>
        <w:tc>
          <w:tcPr>
            <w:tcW w:w="1000" w:type="dxa"/>
            <w:vAlign w:val="center"/>
          </w:tcPr>
          <w:p w14:paraId="370883F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51.69</w:t>
            </w:r>
          </w:p>
        </w:tc>
        <w:tc>
          <w:tcPr>
            <w:tcW w:w="1000" w:type="dxa"/>
            <w:vAlign w:val="center"/>
          </w:tcPr>
          <w:p w14:paraId="5CBA8FE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50.67</w:t>
            </w:r>
          </w:p>
        </w:tc>
        <w:tc>
          <w:tcPr>
            <w:tcW w:w="1000" w:type="dxa"/>
            <w:vAlign w:val="center"/>
          </w:tcPr>
          <w:p w14:paraId="7C2EE16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62.35</w:t>
            </w:r>
          </w:p>
        </w:tc>
        <w:tc>
          <w:tcPr>
            <w:tcW w:w="1000" w:type="dxa"/>
            <w:vAlign w:val="center"/>
          </w:tcPr>
          <w:p w14:paraId="2D8A733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62.49</w:t>
            </w:r>
          </w:p>
        </w:tc>
        <w:tc>
          <w:tcPr>
            <w:tcW w:w="1000" w:type="dxa"/>
            <w:vAlign w:val="center"/>
          </w:tcPr>
          <w:p w14:paraId="337267A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60.75</w:t>
            </w:r>
          </w:p>
        </w:tc>
        <w:tc>
          <w:tcPr>
            <w:tcW w:w="1000" w:type="dxa"/>
            <w:vAlign w:val="center"/>
          </w:tcPr>
          <w:p w14:paraId="47007D9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52.00</w:t>
            </w:r>
          </w:p>
        </w:tc>
      </w:tr>
      <w:tr w:rsidR="00A93067" w:rsidRPr="00A9192B" w14:paraId="6B7D05B7" w14:textId="77777777">
        <w:trPr>
          <w:cantSplit/>
          <w:jc w:val="center"/>
        </w:trPr>
        <w:tc>
          <w:tcPr>
            <w:tcW w:w="1200" w:type="dxa"/>
            <w:vAlign w:val="center"/>
          </w:tcPr>
          <w:p w14:paraId="189B834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w:t>
            </w:r>
          </w:p>
        </w:tc>
        <w:tc>
          <w:tcPr>
            <w:tcW w:w="1000" w:type="dxa"/>
            <w:vAlign w:val="center"/>
          </w:tcPr>
          <w:p w14:paraId="2109119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62.54</w:t>
            </w:r>
          </w:p>
        </w:tc>
        <w:tc>
          <w:tcPr>
            <w:tcW w:w="1000" w:type="dxa"/>
            <w:vAlign w:val="center"/>
          </w:tcPr>
          <w:p w14:paraId="73F4A7E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65.91</w:t>
            </w:r>
          </w:p>
        </w:tc>
        <w:tc>
          <w:tcPr>
            <w:tcW w:w="1000" w:type="dxa"/>
            <w:vAlign w:val="center"/>
          </w:tcPr>
          <w:p w14:paraId="0BDAC8F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72.58</w:t>
            </w:r>
          </w:p>
        </w:tc>
        <w:tc>
          <w:tcPr>
            <w:tcW w:w="1000" w:type="dxa"/>
            <w:vAlign w:val="center"/>
          </w:tcPr>
          <w:p w14:paraId="635BDF6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75.56</w:t>
            </w:r>
          </w:p>
        </w:tc>
        <w:tc>
          <w:tcPr>
            <w:tcW w:w="1000" w:type="dxa"/>
            <w:vAlign w:val="center"/>
          </w:tcPr>
          <w:p w14:paraId="5695628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71.84</w:t>
            </w:r>
          </w:p>
        </w:tc>
        <w:tc>
          <w:tcPr>
            <w:tcW w:w="1000" w:type="dxa"/>
            <w:vAlign w:val="center"/>
          </w:tcPr>
          <w:p w14:paraId="3BF2C50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63.86</w:t>
            </w:r>
          </w:p>
        </w:tc>
      </w:tr>
      <w:tr w:rsidR="00A93067" w:rsidRPr="00A9192B" w14:paraId="60568DE7" w14:textId="77777777">
        <w:trPr>
          <w:cantSplit/>
          <w:jc w:val="center"/>
        </w:trPr>
        <w:tc>
          <w:tcPr>
            <w:tcW w:w="1200" w:type="dxa"/>
            <w:vAlign w:val="center"/>
          </w:tcPr>
          <w:p w14:paraId="3651207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w:t>
            </w:r>
          </w:p>
        </w:tc>
        <w:tc>
          <w:tcPr>
            <w:tcW w:w="1000" w:type="dxa"/>
            <w:vAlign w:val="center"/>
          </w:tcPr>
          <w:p w14:paraId="615726C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79.12</w:t>
            </w:r>
          </w:p>
        </w:tc>
        <w:tc>
          <w:tcPr>
            <w:tcW w:w="1000" w:type="dxa"/>
            <w:vAlign w:val="center"/>
          </w:tcPr>
          <w:p w14:paraId="6776BCC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81.59</w:t>
            </w:r>
          </w:p>
        </w:tc>
        <w:tc>
          <w:tcPr>
            <w:tcW w:w="1000" w:type="dxa"/>
            <w:vAlign w:val="center"/>
          </w:tcPr>
          <w:p w14:paraId="513562D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88.43</w:t>
            </w:r>
          </w:p>
        </w:tc>
        <w:tc>
          <w:tcPr>
            <w:tcW w:w="1000" w:type="dxa"/>
            <w:vAlign w:val="center"/>
          </w:tcPr>
          <w:p w14:paraId="081D49D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93.08</w:t>
            </w:r>
          </w:p>
        </w:tc>
        <w:tc>
          <w:tcPr>
            <w:tcW w:w="1000" w:type="dxa"/>
            <w:vAlign w:val="center"/>
          </w:tcPr>
          <w:p w14:paraId="66A77DD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85.92</w:t>
            </w:r>
          </w:p>
        </w:tc>
        <w:tc>
          <w:tcPr>
            <w:tcW w:w="1000" w:type="dxa"/>
            <w:vAlign w:val="center"/>
          </w:tcPr>
          <w:p w14:paraId="4294C50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8"/>
                <w:szCs w:val="18"/>
              </w:rPr>
              <w:t>79.86</w:t>
            </w:r>
          </w:p>
        </w:tc>
      </w:tr>
    </w:tbl>
    <w:p w14:paraId="738ECF40" w14:textId="77777777" w:rsidR="00A93067" w:rsidRPr="00A9192B" w:rsidRDefault="00A93067">
      <w:pPr>
        <w:spacing w:after="60"/>
        <w:jc w:val="both"/>
        <w:rPr>
          <w:rFonts w:ascii="Arial" w:eastAsia="Arial" w:hAnsi="Arial" w:cs="Arial"/>
        </w:rPr>
      </w:pPr>
    </w:p>
    <w:p w14:paraId="48B1BF83" w14:textId="77777777" w:rsidR="00A93067" w:rsidRPr="00A9192B" w:rsidRDefault="00CB705E">
      <w:pPr>
        <w:keepNext/>
        <w:spacing w:before="60" w:after="40"/>
        <w:jc w:val="center"/>
        <w:rPr>
          <w:rFonts w:ascii="Arial" w:eastAsia="Arial" w:hAnsi="Arial" w:cs="Arial"/>
        </w:rPr>
      </w:pPr>
      <w:r w:rsidRPr="00A9192B">
        <w:rPr>
          <w:noProof/>
        </w:rPr>
        <w:drawing>
          <wp:inline distT="0" distB="0" distL="0" distR="0" wp14:anchorId="116CF16C" wp14:editId="38A4CFE2">
            <wp:extent cx="3619500" cy="2004060"/>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3620013" cy="2004344"/>
                    </a:xfrm>
                    <a:prstGeom prst="rect">
                      <a:avLst/>
                    </a:prstGeom>
                    <a:ln/>
                  </pic:spPr>
                </pic:pic>
              </a:graphicData>
            </a:graphic>
          </wp:inline>
        </w:drawing>
      </w:r>
    </w:p>
    <w:p w14:paraId="660CE8C4"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5. Comparative in-vitro drug release of formulations F1–F6</w:t>
      </w:r>
    </w:p>
    <w:p w14:paraId="184AA1CA"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F4 showed the highest cumulative release at 8 h (93.08%), followed by F3 (88.43%) and F5 (85.92%), indicating that the composition used for F4 provided the most </w:t>
      </w:r>
      <w:proofErr w:type="spellStart"/>
      <w:r w:rsidRPr="00A9192B">
        <w:rPr>
          <w:rFonts w:ascii="Arial" w:eastAsia="Arial" w:hAnsi="Arial"/>
          <w:highlight w:val="yellow"/>
        </w:rPr>
        <w:t>favourable</w:t>
      </w:r>
      <w:proofErr w:type="spellEnd"/>
      <w:r w:rsidRPr="00A9192B">
        <w:rPr>
          <w:rFonts w:ascii="Arial" w:eastAsia="Arial" w:hAnsi="Arial"/>
        </w:rPr>
        <w:t xml:space="preserve"> release profile among the tested formulations. Drug release from </w:t>
      </w:r>
      <w:proofErr w:type="spellStart"/>
      <w:r w:rsidRPr="00A9192B">
        <w:rPr>
          <w:rFonts w:ascii="Arial" w:eastAsia="Arial" w:hAnsi="Arial"/>
        </w:rPr>
        <w:t>transferosomal</w:t>
      </w:r>
      <w:proofErr w:type="spellEnd"/>
      <w:r w:rsidRPr="00A9192B">
        <w:rPr>
          <w:rFonts w:ascii="Arial" w:eastAsia="Arial" w:hAnsi="Arial"/>
        </w:rPr>
        <w:t xml:space="preserve"> gels reflects both vesicular properties and the semisolid matrix, so differences in lipid or surfactant composition, vesicle size, entrapment, and gel rheology can all contribute to the observed profile </w:t>
      </w:r>
      <w:r w:rsidRPr="00A9192B">
        <w:rPr>
          <w:rFonts w:ascii="Arial" w:eastAsia="Arial" w:hAnsi="Arial"/>
          <w:highlight w:val="yellow"/>
        </w:rPr>
        <w:t>(Fernández-García et al., 2020; Jin et al., 2023; Oyarzún et al., 2021)</w:t>
      </w:r>
      <w:r w:rsidRPr="00A9192B">
        <w:rPr>
          <w:rFonts w:ascii="Arial" w:eastAsia="Arial" w:hAnsi="Arial"/>
        </w:rPr>
        <w:t xml:space="preserve">. Because the present diffusion study used an egg membrane rather than excised skin, the findings should be interpreted as comparative </w:t>
      </w:r>
      <w:r w:rsidRPr="00A9192B">
        <w:rPr>
          <w:rFonts w:ascii="Arial" w:eastAsia="Arial" w:hAnsi="Arial"/>
          <w:highlight w:val="yellow"/>
        </w:rPr>
        <w:t>in vitro</w:t>
      </w:r>
      <w:r w:rsidRPr="00A9192B">
        <w:rPr>
          <w:rFonts w:ascii="Arial" w:eastAsia="Arial" w:hAnsi="Arial"/>
        </w:rPr>
        <w:t xml:space="preserve"> release or diffusion data and not as direct evidence of </w:t>
      </w:r>
      <w:r w:rsidRPr="00A9192B">
        <w:rPr>
          <w:rFonts w:ascii="Arial" w:eastAsia="Arial" w:hAnsi="Arial"/>
        </w:rPr>
        <w:lastRenderedPageBreak/>
        <w:t xml:space="preserve">human skin permeation or clinical transdermal delivery </w:t>
      </w:r>
      <w:r w:rsidRPr="00A9192B">
        <w:rPr>
          <w:rFonts w:ascii="Arial" w:eastAsia="Arial" w:hAnsi="Arial"/>
          <w:highlight w:val="yellow"/>
        </w:rPr>
        <w:t xml:space="preserve">(Bhattacharyya et al., 2024; </w:t>
      </w:r>
      <w:proofErr w:type="spellStart"/>
      <w:r w:rsidRPr="00A9192B">
        <w:rPr>
          <w:rFonts w:ascii="Arial" w:eastAsia="Arial" w:hAnsi="Arial"/>
          <w:highlight w:val="yellow"/>
        </w:rPr>
        <w:t>Dongare</w:t>
      </w:r>
      <w:proofErr w:type="spellEnd"/>
      <w:r w:rsidRPr="00A9192B">
        <w:rPr>
          <w:rFonts w:ascii="Arial" w:eastAsia="Arial" w:hAnsi="Arial"/>
          <w:highlight w:val="yellow"/>
        </w:rPr>
        <w:t xml:space="preserve"> &amp; Bhogale, 2024; </w:t>
      </w:r>
      <w:proofErr w:type="spellStart"/>
      <w:r w:rsidRPr="00A9192B">
        <w:rPr>
          <w:rFonts w:ascii="Arial" w:eastAsia="Arial" w:hAnsi="Arial"/>
          <w:highlight w:val="yellow"/>
        </w:rPr>
        <w:t>Matharoo</w:t>
      </w:r>
      <w:proofErr w:type="spellEnd"/>
      <w:r w:rsidRPr="00A9192B">
        <w:rPr>
          <w:rFonts w:ascii="Arial" w:eastAsia="Arial" w:hAnsi="Arial"/>
          <w:highlight w:val="yellow"/>
        </w:rPr>
        <w:t xml:space="preserve"> et al., 2024)</w:t>
      </w:r>
      <w:r w:rsidRPr="00A9192B">
        <w:rPr>
          <w:rFonts w:ascii="Arial" w:eastAsia="Arial" w:hAnsi="Arial"/>
        </w:rPr>
        <w:t>.</w:t>
      </w:r>
    </w:p>
    <w:p w14:paraId="022D7C28" w14:textId="77777777" w:rsidR="00A93067" w:rsidRPr="00A9192B" w:rsidRDefault="00CB705E">
      <w:pPr>
        <w:keepNext/>
        <w:pBdr>
          <w:top w:val="nil"/>
          <w:left w:val="nil"/>
          <w:bottom w:val="nil"/>
          <w:right w:val="nil"/>
          <w:between w:val="nil"/>
        </w:pBdr>
        <w:spacing w:before="140" w:after="80"/>
        <w:rPr>
          <w:rFonts w:ascii="Arial" w:eastAsia="Arial" w:hAnsi="Arial" w:cs="Arial"/>
          <w:color w:val="000000"/>
        </w:rPr>
      </w:pPr>
      <w:r w:rsidRPr="00A9192B">
        <w:rPr>
          <w:rFonts w:ascii="Arial" w:eastAsia="Arial" w:hAnsi="Arial" w:cs="Arial"/>
          <w:b/>
          <w:color w:val="000000"/>
          <w:sz w:val="22"/>
          <w:szCs w:val="22"/>
        </w:rPr>
        <w:t>3.5 Drug release kinetics</w:t>
      </w:r>
    </w:p>
    <w:p w14:paraId="2600BFBB"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release kinetics of the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rPr>
        <w:t xml:space="preserve"> formulation F4 are given in Table 7 and plotted in Fig. 6.</w:t>
      </w:r>
    </w:p>
    <w:p w14:paraId="05C8416E" w14:textId="77777777" w:rsidR="00A93067" w:rsidRPr="00A9192B" w:rsidRDefault="00CB705E">
      <w:pPr>
        <w:keepNext/>
        <w:tabs>
          <w:tab w:val="left" w:pos="1080"/>
        </w:tabs>
        <w:spacing w:before="120" w:after="80"/>
        <w:ind w:left="1080" w:hanging="1080"/>
        <w:rPr>
          <w:rFonts w:ascii="Arial" w:eastAsia="Arial" w:hAnsi="Arial" w:cs="Arial"/>
        </w:rPr>
      </w:pPr>
      <w:r w:rsidRPr="00A9192B">
        <w:rPr>
          <w:rFonts w:ascii="Arial" w:eastAsia="Arial" w:hAnsi="Arial" w:cs="Arial"/>
          <w:b/>
        </w:rPr>
        <w:t>Table 7.</w:t>
      </w:r>
      <w:r w:rsidRPr="00A9192B">
        <w:rPr>
          <w:rFonts w:ascii="Arial" w:eastAsia="Arial" w:hAnsi="Arial" w:cs="Arial"/>
          <w:b/>
        </w:rPr>
        <w:tab/>
        <w:t>Release kinetics of F4 formulation</w:t>
      </w:r>
    </w:p>
    <w:tbl>
      <w:tblPr>
        <w:tblStyle w:val="a5"/>
        <w:tblW w:w="760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700"/>
        <w:gridCol w:w="1000"/>
        <w:gridCol w:w="1000"/>
        <w:gridCol w:w="1050"/>
        <w:gridCol w:w="950"/>
        <w:gridCol w:w="800"/>
        <w:gridCol w:w="1050"/>
        <w:gridCol w:w="1050"/>
      </w:tblGrid>
      <w:tr w:rsidR="00A93067" w:rsidRPr="00A9192B" w14:paraId="19AB330B" w14:textId="77777777">
        <w:trPr>
          <w:cantSplit/>
          <w:tblHeader/>
          <w:jc w:val="center"/>
        </w:trPr>
        <w:tc>
          <w:tcPr>
            <w:tcW w:w="700" w:type="dxa"/>
            <w:vAlign w:val="center"/>
          </w:tcPr>
          <w:p w14:paraId="6E82D0EE"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Time (h)</w:t>
            </w:r>
          </w:p>
        </w:tc>
        <w:tc>
          <w:tcPr>
            <w:tcW w:w="1000" w:type="dxa"/>
            <w:vAlign w:val="center"/>
          </w:tcPr>
          <w:p w14:paraId="2B962E9A"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Cum. % drug release</w:t>
            </w:r>
          </w:p>
        </w:tc>
        <w:tc>
          <w:tcPr>
            <w:tcW w:w="1000" w:type="dxa"/>
            <w:vAlign w:val="center"/>
          </w:tcPr>
          <w:p w14:paraId="3B869267"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Cum. % drug remain.</w:t>
            </w:r>
          </w:p>
        </w:tc>
        <w:tc>
          <w:tcPr>
            <w:tcW w:w="1050" w:type="dxa"/>
            <w:vAlign w:val="center"/>
          </w:tcPr>
          <w:p w14:paraId="34AB45B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Log cum. % drug remain.</w:t>
            </w:r>
          </w:p>
        </w:tc>
        <w:tc>
          <w:tcPr>
            <w:tcW w:w="950" w:type="dxa"/>
            <w:vAlign w:val="center"/>
          </w:tcPr>
          <w:p w14:paraId="299D940F"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Sq. root of time</w:t>
            </w:r>
          </w:p>
        </w:tc>
        <w:tc>
          <w:tcPr>
            <w:tcW w:w="800" w:type="dxa"/>
            <w:vAlign w:val="center"/>
          </w:tcPr>
          <w:p w14:paraId="1D45C77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Log time</w:t>
            </w:r>
          </w:p>
        </w:tc>
        <w:tc>
          <w:tcPr>
            <w:tcW w:w="1050" w:type="dxa"/>
            <w:vAlign w:val="center"/>
          </w:tcPr>
          <w:p w14:paraId="1902B731"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Log cum. % drug release</w:t>
            </w:r>
          </w:p>
        </w:tc>
        <w:tc>
          <w:tcPr>
            <w:tcW w:w="1050" w:type="dxa"/>
            <w:vAlign w:val="center"/>
          </w:tcPr>
          <w:p w14:paraId="183A8FC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Cube root % drug remain.</w:t>
            </w:r>
          </w:p>
        </w:tc>
      </w:tr>
      <w:tr w:rsidR="00A93067" w:rsidRPr="00A9192B" w14:paraId="360154A1" w14:textId="77777777">
        <w:trPr>
          <w:cantSplit/>
          <w:jc w:val="center"/>
        </w:trPr>
        <w:tc>
          <w:tcPr>
            <w:tcW w:w="700" w:type="dxa"/>
            <w:vAlign w:val="center"/>
          </w:tcPr>
          <w:p w14:paraId="57D1EDB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1000" w:type="dxa"/>
            <w:vAlign w:val="center"/>
          </w:tcPr>
          <w:p w14:paraId="2B9A1CB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1000" w:type="dxa"/>
            <w:vAlign w:val="center"/>
          </w:tcPr>
          <w:p w14:paraId="524D578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100</w:t>
            </w:r>
          </w:p>
        </w:tc>
        <w:tc>
          <w:tcPr>
            <w:tcW w:w="1050" w:type="dxa"/>
            <w:vAlign w:val="center"/>
          </w:tcPr>
          <w:p w14:paraId="7C2399D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w:t>
            </w:r>
          </w:p>
        </w:tc>
        <w:tc>
          <w:tcPr>
            <w:tcW w:w="950" w:type="dxa"/>
            <w:vAlign w:val="center"/>
          </w:tcPr>
          <w:p w14:paraId="7CD228C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800" w:type="dxa"/>
            <w:vAlign w:val="center"/>
          </w:tcPr>
          <w:p w14:paraId="2573E37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w:t>
            </w:r>
          </w:p>
        </w:tc>
        <w:tc>
          <w:tcPr>
            <w:tcW w:w="1050" w:type="dxa"/>
            <w:vAlign w:val="center"/>
          </w:tcPr>
          <w:p w14:paraId="69EA1F7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w:t>
            </w:r>
          </w:p>
        </w:tc>
        <w:tc>
          <w:tcPr>
            <w:tcW w:w="1050" w:type="dxa"/>
            <w:vAlign w:val="center"/>
          </w:tcPr>
          <w:p w14:paraId="55C65D9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4.642</w:t>
            </w:r>
          </w:p>
        </w:tc>
      </w:tr>
      <w:tr w:rsidR="00A93067" w:rsidRPr="00A9192B" w14:paraId="39B673FD" w14:textId="77777777">
        <w:trPr>
          <w:cantSplit/>
          <w:jc w:val="center"/>
        </w:trPr>
        <w:tc>
          <w:tcPr>
            <w:tcW w:w="700" w:type="dxa"/>
            <w:vAlign w:val="center"/>
          </w:tcPr>
          <w:p w14:paraId="6C18781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w:t>
            </w:r>
          </w:p>
        </w:tc>
        <w:tc>
          <w:tcPr>
            <w:tcW w:w="1000" w:type="dxa"/>
            <w:vAlign w:val="center"/>
          </w:tcPr>
          <w:p w14:paraId="01C498E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13.2</w:t>
            </w:r>
          </w:p>
        </w:tc>
        <w:tc>
          <w:tcPr>
            <w:tcW w:w="1000" w:type="dxa"/>
            <w:vAlign w:val="center"/>
          </w:tcPr>
          <w:p w14:paraId="6E2B6BF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86.8</w:t>
            </w:r>
          </w:p>
        </w:tc>
        <w:tc>
          <w:tcPr>
            <w:tcW w:w="1050" w:type="dxa"/>
            <w:vAlign w:val="center"/>
          </w:tcPr>
          <w:p w14:paraId="12DA324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1.939</w:t>
            </w:r>
          </w:p>
        </w:tc>
        <w:tc>
          <w:tcPr>
            <w:tcW w:w="950" w:type="dxa"/>
            <w:vAlign w:val="center"/>
          </w:tcPr>
          <w:p w14:paraId="57C7EA9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w:t>
            </w:r>
          </w:p>
        </w:tc>
        <w:tc>
          <w:tcPr>
            <w:tcW w:w="800" w:type="dxa"/>
            <w:vAlign w:val="center"/>
          </w:tcPr>
          <w:p w14:paraId="2B808FE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w:t>
            </w:r>
          </w:p>
        </w:tc>
        <w:tc>
          <w:tcPr>
            <w:tcW w:w="1050" w:type="dxa"/>
            <w:vAlign w:val="center"/>
          </w:tcPr>
          <w:p w14:paraId="7E1D8F5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1.121</w:t>
            </w:r>
          </w:p>
        </w:tc>
        <w:tc>
          <w:tcPr>
            <w:tcW w:w="1050" w:type="dxa"/>
            <w:vAlign w:val="center"/>
          </w:tcPr>
          <w:p w14:paraId="4F10270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4.428</w:t>
            </w:r>
          </w:p>
        </w:tc>
      </w:tr>
      <w:tr w:rsidR="00A93067" w:rsidRPr="00A9192B" w14:paraId="66F4232A" w14:textId="77777777">
        <w:trPr>
          <w:cantSplit/>
          <w:jc w:val="center"/>
        </w:trPr>
        <w:tc>
          <w:tcPr>
            <w:tcW w:w="700" w:type="dxa"/>
            <w:vAlign w:val="center"/>
          </w:tcPr>
          <w:p w14:paraId="278C841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w:t>
            </w:r>
          </w:p>
        </w:tc>
        <w:tc>
          <w:tcPr>
            <w:tcW w:w="1000" w:type="dxa"/>
            <w:vAlign w:val="center"/>
          </w:tcPr>
          <w:p w14:paraId="54B3E4E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27.34</w:t>
            </w:r>
          </w:p>
        </w:tc>
        <w:tc>
          <w:tcPr>
            <w:tcW w:w="1000" w:type="dxa"/>
            <w:vAlign w:val="center"/>
          </w:tcPr>
          <w:p w14:paraId="14626D5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72.66</w:t>
            </w:r>
          </w:p>
        </w:tc>
        <w:tc>
          <w:tcPr>
            <w:tcW w:w="1050" w:type="dxa"/>
            <w:vAlign w:val="center"/>
          </w:tcPr>
          <w:p w14:paraId="1F0A0F4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1.861</w:t>
            </w:r>
          </w:p>
        </w:tc>
        <w:tc>
          <w:tcPr>
            <w:tcW w:w="950" w:type="dxa"/>
            <w:vAlign w:val="center"/>
          </w:tcPr>
          <w:p w14:paraId="5FF9F59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1.414</w:t>
            </w:r>
          </w:p>
        </w:tc>
        <w:tc>
          <w:tcPr>
            <w:tcW w:w="800" w:type="dxa"/>
            <w:vAlign w:val="center"/>
          </w:tcPr>
          <w:p w14:paraId="1350261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0.301</w:t>
            </w:r>
          </w:p>
        </w:tc>
        <w:tc>
          <w:tcPr>
            <w:tcW w:w="1050" w:type="dxa"/>
            <w:vAlign w:val="center"/>
          </w:tcPr>
          <w:p w14:paraId="04D1C74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1.437</w:t>
            </w:r>
          </w:p>
        </w:tc>
        <w:tc>
          <w:tcPr>
            <w:tcW w:w="1050" w:type="dxa"/>
            <w:vAlign w:val="center"/>
          </w:tcPr>
          <w:p w14:paraId="7ED5B0F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4.173</w:t>
            </w:r>
          </w:p>
        </w:tc>
      </w:tr>
      <w:tr w:rsidR="00A93067" w:rsidRPr="00A9192B" w14:paraId="31EFDEDD" w14:textId="77777777">
        <w:trPr>
          <w:cantSplit/>
          <w:jc w:val="center"/>
        </w:trPr>
        <w:tc>
          <w:tcPr>
            <w:tcW w:w="700" w:type="dxa"/>
            <w:vAlign w:val="center"/>
          </w:tcPr>
          <w:p w14:paraId="3EF5FE44"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w:t>
            </w:r>
          </w:p>
        </w:tc>
        <w:tc>
          <w:tcPr>
            <w:tcW w:w="1000" w:type="dxa"/>
            <w:vAlign w:val="center"/>
          </w:tcPr>
          <w:p w14:paraId="7E2841C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35.42</w:t>
            </w:r>
          </w:p>
        </w:tc>
        <w:tc>
          <w:tcPr>
            <w:tcW w:w="1000" w:type="dxa"/>
            <w:vAlign w:val="center"/>
          </w:tcPr>
          <w:p w14:paraId="69706FA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64.58</w:t>
            </w:r>
          </w:p>
        </w:tc>
        <w:tc>
          <w:tcPr>
            <w:tcW w:w="1050" w:type="dxa"/>
            <w:vAlign w:val="center"/>
          </w:tcPr>
          <w:p w14:paraId="1977ECA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1.81</w:t>
            </w:r>
          </w:p>
        </w:tc>
        <w:tc>
          <w:tcPr>
            <w:tcW w:w="950" w:type="dxa"/>
            <w:vAlign w:val="center"/>
          </w:tcPr>
          <w:p w14:paraId="28BD8E3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1.732</w:t>
            </w:r>
          </w:p>
        </w:tc>
        <w:tc>
          <w:tcPr>
            <w:tcW w:w="800" w:type="dxa"/>
            <w:vAlign w:val="center"/>
          </w:tcPr>
          <w:p w14:paraId="0B06AB6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0.477</w:t>
            </w:r>
          </w:p>
        </w:tc>
        <w:tc>
          <w:tcPr>
            <w:tcW w:w="1050" w:type="dxa"/>
            <w:vAlign w:val="center"/>
          </w:tcPr>
          <w:p w14:paraId="19E96D5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1.549</w:t>
            </w:r>
          </w:p>
        </w:tc>
        <w:tc>
          <w:tcPr>
            <w:tcW w:w="1050" w:type="dxa"/>
            <w:vAlign w:val="center"/>
          </w:tcPr>
          <w:p w14:paraId="2B13CEC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4.012</w:t>
            </w:r>
          </w:p>
        </w:tc>
      </w:tr>
      <w:tr w:rsidR="00A93067" w:rsidRPr="00A9192B" w14:paraId="68EA9F5B" w14:textId="77777777">
        <w:trPr>
          <w:cantSplit/>
          <w:jc w:val="center"/>
        </w:trPr>
        <w:tc>
          <w:tcPr>
            <w:tcW w:w="700" w:type="dxa"/>
            <w:vAlign w:val="center"/>
          </w:tcPr>
          <w:p w14:paraId="5A459DD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w:t>
            </w:r>
          </w:p>
        </w:tc>
        <w:tc>
          <w:tcPr>
            <w:tcW w:w="1000" w:type="dxa"/>
            <w:vAlign w:val="center"/>
          </w:tcPr>
          <w:p w14:paraId="3BC483D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49.15</w:t>
            </w:r>
          </w:p>
        </w:tc>
        <w:tc>
          <w:tcPr>
            <w:tcW w:w="1000" w:type="dxa"/>
            <w:vAlign w:val="center"/>
          </w:tcPr>
          <w:p w14:paraId="7D01AC6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50.85</w:t>
            </w:r>
          </w:p>
        </w:tc>
        <w:tc>
          <w:tcPr>
            <w:tcW w:w="1050" w:type="dxa"/>
            <w:vAlign w:val="center"/>
          </w:tcPr>
          <w:p w14:paraId="4441116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1.706</w:t>
            </w:r>
          </w:p>
        </w:tc>
        <w:tc>
          <w:tcPr>
            <w:tcW w:w="950" w:type="dxa"/>
            <w:vAlign w:val="center"/>
          </w:tcPr>
          <w:p w14:paraId="0F45E95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w:t>
            </w:r>
          </w:p>
        </w:tc>
        <w:tc>
          <w:tcPr>
            <w:tcW w:w="800" w:type="dxa"/>
            <w:vAlign w:val="center"/>
          </w:tcPr>
          <w:p w14:paraId="0815CD02"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0.602</w:t>
            </w:r>
          </w:p>
        </w:tc>
        <w:tc>
          <w:tcPr>
            <w:tcW w:w="1050" w:type="dxa"/>
            <w:vAlign w:val="center"/>
          </w:tcPr>
          <w:p w14:paraId="476678C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1.692</w:t>
            </w:r>
          </w:p>
        </w:tc>
        <w:tc>
          <w:tcPr>
            <w:tcW w:w="1050" w:type="dxa"/>
            <w:vAlign w:val="center"/>
          </w:tcPr>
          <w:p w14:paraId="4133525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3.705</w:t>
            </w:r>
          </w:p>
        </w:tc>
      </w:tr>
      <w:tr w:rsidR="00A93067" w:rsidRPr="00A9192B" w14:paraId="5E6D1389" w14:textId="77777777">
        <w:trPr>
          <w:cantSplit/>
          <w:jc w:val="center"/>
        </w:trPr>
        <w:tc>
          <w:tcPr>
            <w:tcW w:w="700" w:type="dxa"/>
            <w:vAlign w:val="center"/>
          </w:tcPr>
          <w:p w14:paraId="0BF0586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5</w:t>
            </w:r>
          </w:p>
        </w:tc>
        <w:tc>
          <w:tcPr>
            <w:tcW w:w="1000" w:type="dxa"/>
            <w:vAlign w:val="center"/>
          </w:tcPr>
          <w:p w14:paraId="1E7C21F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62.49</w:t>
            </w:r>
          </w:p>
        </w:tc>
        <w:tc>
          <w:tcPr>
            <w:tcW w:w="1000" w:type="dxa"/>
            <w:vAlign w:val="center"/>
          </w:tcPr>
          <w:p w14:paraId="1B2EC8B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37.51</w:t>
            </w:r>
          </w:p>
        </w:tc>
        <w:tc>
          <w:tcPr>
            <w:tcW w:w="1050" w:type="dxa"/>
            <w:vAlign w:val="center"/>
          </w:tcPr>
          <w:p w14:paraId="6CD69D6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1.574</w:t>
            </w:r>
          </w:p>
        </w:tc>
        <w:tc>
          <w:tcPr>
            <w:tcW w:w="950" w:type="dxa"/>
            <w:vAlign w:val="center"/>
          </w:tcPr>
          <w:p w14:paraId="00611D2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2.236</w:t>
            </w:r>
          </w:p>
        </w:tc>
        <w:tc>
          <w:tcPr>
            <w:tcW w:w="800" w:type="dxa"/>
            <w:vAlign w:val="center"/>
          </w:tcPr>
          <w:p w14:paraId="28A77B7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0.699</w:t>
            </w:r>
          </w:p>
        </w:tc>
        <w:tc>
          <w:tcPr>
            <w:tcW w:w="1050" w:type="dxa"/>
            <w:vAlign w:val="center"/>
          </w:tcPr>
          <w:p w14:paraId="3C3957F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1.796</w:t>
            </w:r>
          </w:p>
        </w:tc>
        <w:tc>
          <w:tcPr>
            <w:tcW w:w="1050" w:type="dxa"/>
            <w:vAlign w:val="center"/>
          </w:tcPr>
          <w:p w14:paraId="7EF0294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3.347</w:t>
            </w:r>
          </w:p>
        </w:tc>
      </w:tr>
      <w:tr w:rsidR="00A93067" w:rsidRPr="00A9192B" w14:paraId="22345C18" w14:textId="77777777">
        <w:trPr>
          <w:cantSplit/>
          <w:jc w:val="center"/>
        </w:trPr>
        <w:tc>
          <w:tcPr>
            <w:tcW w:w="700" w:type="dxa"/>
            <w:vAlign w:val="center"/>
          </w:tcPr>
          <w:p w14:paraId="19936130"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w:t>
            </w:r>
          </w:p>
        </w:tc>
        <w:tc>
          <w:tcPr>
            <w:tcW w:w="1000" w:type="dxa"/>
            <w:vAlign w:val="center"/>
          </w:tcPr>
          <w:p w14:paraId="46042FE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75.56</w:t>
            </w:r>
          </w:p>
        </w:tc>
        <w:tc>
          <w:tcPr>
            <w:tcW w:w="1000" w:type="dxa"/>
            <w:vAlign w:val="center"/>
          </w:tcPr>
          <w:p w14:paraId="29AF677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24.44</w:t>
            </w:r>
          </w:p>
        </w:tc>
        <w:tc>
          <w:tcPr>
            <w:tcW w:w="1050" w:type="dxa"/>
            <w:vAlign w:val="center"/>
          </w:tcPr>
          <w:p w14:paraId="4922492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1.388</w:t>
            </w:r>
          </w:p>
        </w:tc>
        <w:tc>
          <w:tcPr>
            <w:tcW w:w="950" w:type="dxa"/>
            <w:vAlign w:val="center"/>
          </w:tcPr>
          <w:p w14:paraId="435D4B1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2.449</w:t>
            </w:r>
          </w:p>
        </w:tc>
        <w:tc>
          <w:tcPr>
            <w:tcW w:w="800" w:type="dxa"/>
            <w:vAlign w:val="center"/>
          </w:tcPr>
          <w:p w14:paraId="6D1676B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0.778</w:t>
            </w:r>
          </w:p>
        </w:tc>
        <w:tc>
          <w:tcPr>
            <w:tcW w:w="1050" w:type="dxa"/>
            <w:vAlign w:val="center"/>
          </w:tcPr>
          <w:p w14:paraId="11D6122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1.878</w:t>
            </w:r>
          </w:p>
        </w:tc>
        <w:tc>
          <w:tcPr>
            <w:tcW w:w="1050" w:type="dxa"/>
            <w:vAlign w:val="center"/>
          </w:tcPr>
          <w:p w14:paraId="5C82D50E"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2.902</w:t>
            </w:r>
          </w:p>
        </w:tc>
      </w:tr>
      <w:tr w:rsidR="00A93067" w:rsidRPr="00A9192B" w14:paraId="0BBCE36F" w14:textId="77777777">
        <w:trPr>
          <w:cantSplit/>
          <w:jc w:val="center"/>
        </w:trPr>
        <w:tc>
          <w:tcPr>
            <w:tcW w:w="700" w:type="dxa"/>
            <w:vAlign w:val="center"/>
          </w:tcPr>
          <w:p w14:paraId="4DBDCEA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8</w:t>
            </w:r>
          </w:p>
        </w:tc>
        <w:tc>
          <w:tcPr>
            <w:tcW w:w="1000" w:type="dxa"/>
            <w:vAlign w:val="center"/>
          </w:tcPr>
          <w:p w14:paraId="05AE810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93.08</w:t>
            </w:r>
          </w:p>
        </w:tc>
        <w:tc>
          <w:tcPr>
            <w:tcW w:w="1000" w:type="dxa"/>
            <w:vAlign w:val="center"/>
          </w:tcPr>
          <w:p w14:paraId="12992D5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6.92</w:t>
            </w:r>
          </w:p>
        </w:tc>
        <w:tc>
          <w:tcPr>
            <w:tcW w:w="1050" w:type="dxa"/>
            <w:vAlign w:val="center"/>
          </w:tcPr>
          <w:p w14:paraId="196CE16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0.84</w:t>
            </w:r>
          </w:p>
        </w:tc>
        <w:tc>
          <w:tcPr>
            <w:tcW w:w="950" w:type="dxa"/>
            <w:vAlign w:val="center"/>
          </w:tcPr>
          <w:p w14:paraId="0110303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2.828</w:t>
            </w:r>
          </w:p>
        </w:tc>
        <w:tc>
          <w:tcPr>
            <w:tcW w:w="800" w:type="dxa"/>
            <w:vAlign w:val="center"/>
          </w:tcPr>
          <w:p w14:paraId="65169B3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0.903</w:t>
            </w:r>
          </w:p>
        </w:tc>
        <w:tc>
          <w:tcPr>
            <w:tcW w:w="1050" w:type="dxa"/>
            <w:vAlign w:val="center"/>
          </w:tcPr>
          <w:p w14:paraId="2F4DD37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1.969</w:t>
            </w:r>
          </w:p>
        </w:tc>
        <w:tc>
          <w:tcPr>
            <w:tcW w:w="1050" w:type="dxa"/>
            <w:vAlign w:val="center"/>
          </w:tcPr>
          <w:p w14:paraId="57B667E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1.906</w:t>
            </w:r>
          </w:p>
        </w:tc>
      </w:tr>
    </w:tbl>
    <w:p w14:paraId="686DDCFB" w14:textId="77777777" w:rsidR="00A93067" w:rsidRPr="00A9192B" w:rsidRDefault="00A93067">
      <w:pPr>
        <w:spacing w:after="60"/>
        <w:jc w:val="both"/>
        <w:rPr>
          <w:rFonts w:ascii="Arial" w:eastAsia="Arial" w:hAnsi="Arial" w:cs="Arial"/>
        </w:rPr>
      </w:pPr>
    </w:p>
    <w:p w14:paraId="59C38A35" w14:textId="77777777" w:rsidR="00A93067" w:rsidRPr="00A9192B" w:rsidRDefault="00CB705E">
      <w:pPr>
        <w:keepNext/>
        <w:spacing w:before="60" w:after="40"/>
        <w:jc w:val="center"/>
        <w:rPr>
          <w:rFonts w:ascii="Arial" w:eastAsia="Arial" w:hAnsi="Arial" w:cs="Arial"/>
        </w:rPr>
      </w:pPr>
      <w:r w:rsidRPr="00A9192B">
        <w:rPr>
          <w:noProof/>
        </w:rPr>
        <w:drawing>
          <wp:inline distT="0" distB="0" distL="114300" distR="114300" wp14:anchorId="2C8E096D" wp14:editId="600C5890">
            <wp:extent cx="5500000" cy="3410000"/>
            <wp:effectExtent l="0" t="0" r="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5500000" cy="3410000"/>
                    </a:xfrm>
                    <a:prstGeom prst="rect">
                      <a:avLst/>
                    </a:prstGeom>
                    <a:ln/>
                  </pic:spPr>
                </pic:pic>
              </a:graphicData>
            </a:graphic>
          </wp:inline>
        </w:drawing>
      </w:r>
    </w:p>
    <w:p w14:paraId="3D9A0B37" w14:textId="77777777" w:rsidR="00A93067" w:rsidRPr="00A9192B" w:rsidRDefault="00CB705E">
      <w:pPr>
        <w:spacing w:before="60" w:after="200"/>
        <w:jc w:val="center"/>
        <w:rPr>
          <w:rFonts w:ascii="Arial" w:eastAsia="Arial" w:hAnsi="Arial" w:cs="Arial"/>
        </w:rPr>
      </w:pPr>
      <w:r w:rsidRPr="00A9192B">
        <w:rPr>
          <w:rFonts w:ascii="Arial" w:eastAsia="Arial" w:hAnsi="Arial" w:cs="Arial"/>
          <w:b/>
        </w:rPr>
        <w:t>Fig. 6. Release kinetics of F4 formulation: (A) zero-order, (B) first-order, (C) Higuchi, (D) Korsmeyer–Peppas and (E) Hixson–Crowell plots</w:t>
      </w:r>
    </w:p>
    <w:p w14:paraId="59AD0F66" w14:textId="77777777" w:rsidR="00700E77" w:rsidRPr="00A9192B" w:rsidRDefault="00CB705E" w:rsidP="00700E77">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b/>
          <w:color w:val="000000"/>
        </w:rPr>
        <w:t>Inference.</w:t>
      </w:r>
      <w:r w:rsidRPr="00A9192B">
        <w:rPr>
          <w:rFonts w:ascii="Arial" w:eastAsia="Arial" w:hAnsi="Arial" w:cs="Arial"/>
          <w:color w:val="000000"/>
        </w:rPr>
        <w:t xml:space="preserve"> </w:t>
      </w:r>
      <w:r w:rsidRPr="00A9192B">
        <w:rPr>
          <w:rFonts w:ascii="Arial" w:eastAsia="Arial" w:hAnsi="Arial" w:cs="Arial"/>
          <w:color w:val="000000"/>
          <w:highlight w:val="yellow"/>
        </w:rPr>
        <w:t xml:space="preserve">The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highlight w:val="yellow"/>
        </w:rPr>
        <w:t xml:space="preserve"> F4 </w:t>
      </w:r>
      <w:proofErr w:type="spellStart"/>
      <w:r w:rsidRPr="00A9192B">
        <w:rPr>
          <w:rFonts w:ascii="Arial" w:eastAsia="Arial" w:hAnsi="Arial" w:cs="Arial"/>
          <w:color w:val="000000"/>
          <w:highlight w:val="yellow"/>
        </w:rPr>
        <w:t>transferosomal</w:t>
      </w:r>
      <w:proofErr w:type="spellEnd"/>
      <w:r w:rsidRPr="00A9192B">
        <w:rPr>
          <w:rFonts w:ascii="Arial" w:eastAsia="Arial" w:hAnsi="Arial" w:cs="Arial"/>
          <w:color w:val="000000"/>
          <w:highlight w:val="yellow"/>
        </w:rPr>
        <w:t xml:space="preserve"> gel formulation was </w:t>
      </w:r>
      <w:proofErr w:type="spellStart"/>
      <w:r w:rsidRPr="00A9192B">
        <w:rPr>
          <w:rFonts w:ascii="Arial" w:eastAsia="Arial" w:hAnsi="Arial" w:cs="Arial"/>
          <w:color w:val="000000"/>
          <w:highlight w:val="yellow"/>
        </w:rPr>
        <w:t>analysed</w:t>
      </w:r>
      <w:proofErr w:type="spellEnd"/>
      <w:r w:rsidRPr="00A9192B">
        <w:rPr>
          <w:rFonts w:ascii="Arial" w:eastAsia="Arial" w:hAnsi="Arial" w:cs="Arial"/>
          <w:color w:val="000000"/>
          <w:highlight w:val="yellow"/>
        </w:rPr>
        <w:t xml:space="preserve"> for its drug release kinetics.</w:t>
      </w:r>
      <w:r w:rsidRPr="00A9192B">
        <w:rPr>
          <w:rFonts w:ascii="Arial" w:eastAsia="Arial" w:hAnsi="Arial" w:cs="Arial"/>
          <w:color w:val="000000"/>
        </w:rPr>
        <w:t xml:space="preserve"> </w:t>
      </w:r>
      <w:r w:rsidRPr="00A9192B">
        <w:rPr>
          <w:rFonts w:ascii="Arial" w:eastAsia="Arial" w:hAnsi="Arial" w:cs="Arial"/>
          <w:color w:val="000000"/>
          <w:highlight w:val="yellow"/>
        </w:rPr>
        <w:t>The best-fitting models for the selected formulation were</w:t>
      </w:r>
      <w:r w:rsidRPr="00A9192B">
        <w:rPr>
          <w:rFonts w:ascii="Arial" w:eastAsia="Arial" w:hAnsi="Arial" w:cs="Arial"/>
          <w:color w:val="000000"/>
        </w:rPr>
        <w:t xml:space="preserve"> </w:t>
      </w:r>
      <w:r w:rsidRPr="00A9192B">
        <w:rPr>
          <w:rFonts w:ascii="Arial" w:eastAsia="Arial" w:hAnsi="Arial" w:cs="Arial"/>
          <w:color w:val="000000"/>
          <w:highlight w:val="yellow"/>
        </w:rPr>
        <w:t xml:space="preserve">zero-order and Peppas </w:t>
      </w:r>
      <w:r w:rsidRPr="00A9192B">
        <w:rPr>
          <w:rFonts w:ascii="Arial" w:eastAsia="Arial" w:hAnsi="Arial" w:cs="Arial"/>
          <w:color w:val="000000"/>
          <w:highlight w:val="yellow"/>
        </w:rPr>
        <w:lastRenderedPageBreak/>
        <w:t>release kinetics models. The correlation coefficient</w:t>
      </w:r>
      <w:r w:rsidRPr="00A9192B">
        <w:rPr>
          <w:rFonts w:ascii="Arial" w:eastAsia="Arial" w:hAnsi="Arial" w:cs="Arial"/>
          <w:color w:val="000000"/>
        </w:rPr>
        <w:t xml:space="preserve"> value (R</w:t>
      </w:r>
      <w:r w:rsidRPr="00A9192B">
        <w:rPr>
          <w:rFonts w:ascii="Arial" w:eastAsia="Arial" w:hAnsi="Arial" w:cs="Arial"/>
          <w:color w:val="000000"/>
          <w:vertAlign w:val="superscript"/>
        </w:rPr>
        <w:t>2</w:t>
      </w:r>
      <w:r w:rsidRPr="00A9192B">
        <w:rPr>
          <w:rFonts w:ascii="Arial" w:eastAsia="Arial" w:hAnsi="Arial" w:cs="Arial"/>
          <w:color w:val="000000"/>
        </w:rPr>
        <w:t xml:space="preserve"> = 0.9961) indicates the best release.</w:t>
      </w:r>
    </w:p>
    <w:p w14:paraId="5F34B4C3"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The close fit to zero-order and Korsmeyer-Peppas models indicates that the observed release profile can be described by both a near-constant release-rate relationship and an empirical power-law model over the tested interval. Model selection should be based on comparative goodness-of-fit and mechanistic plausibility; for the Korsmeyer-Peppas model, interpretation of the transport mechanism additionally requires the release exponent (n), which is not reported here </w:t>
      </w:r>
      <w:r w:rsidRPr="00A9192B">
        <w:rPr>
          <w:rFonts w:ascii="Arial" w:eastAsia="Arial" w:hAnsi="Arial"/>
          <w:highlight w:val="yellow"/>
        </w:rPr>
        <w:t>(Costa &amp; Sousa Lobo, 2001; Higuchi, 1963; Korsmeyer et al., 1983)</w:t>
      </w:r>
      <w:r w:rsidRPr="00A9192B">
        <w:rPr>
          <w:rFonts w:ascii="Arial" w:eastAsia="Arial" w:hAnsi="Arial"/>
        </w:rPr>
        <w:t xml:space="preserve">. Similar </w:t>
      </w:r>
      <w:proofErr w:type="spellStart"/>
      <w:r w:rsidRPr="00A9192B">
        <w:rPr>
          <w:rFonts w:ascii="Arial" w:eastAsia="Arial" w:hAnsi="Arial"/>
        </w:rPr>
        <w:t>transferosomal</w:t>
      </w:r>
      <w:proofErr w:type="spellEnd"/>
      <w:r w:rsidRPr="00A9192B">
        <w:rPr>
          <w:rFonts w:ascii="Arial" w:eastAsia="Arial" w:hAnsi="Arial"/>
        </w:rPr>
        <w:t xml:space="preserve">-gel studies have used these models to compare release </w:t>
      </w:r>
      <w:proofErr w:type="spellStart"/>
      <w:r w:rsidRPr="00A9192B">
        <w:rPr>
          <w:rFonts w:ascii="Arial" w:eastAsia="Arial" w:hAnsi="Arial"/>
          <w:highlight w:val="yellow"/>
        </w:rPr>
        <w:t>behaviour</w:t>
      </w:r>
      <w:proofErr w:type="spellEnd"/>
      <w:r w:rsidRPr="00A9192B">
        <w:rPr>
          <w:rFonts w:ascii="Arial" w:eastAsia="Arial" w:hAnsi="Arial"/>
        </w:rPr>
        <w:t>, but kinetic fitting should not by itself be taken as proof of a specific skin-permeation mechanism (Fatima et al., 2023; Mishra &amp; Tripathi, 2025; Thakur et al., 2018).</w:t>
      </w:r>
    </w:p>
    <w:p w14:paraId="04078E96" w14:textId="77777777" w:rsidR="00700E77" w:rsidRPr="00A9192B" w:rsidRDefault="00700E77" w:rsidP="00700E77">
      <w:pPr>
        <w:pBdr>
          <w:top w:val="nil"/>
          <w:left w:val="nil"/>
          <w:bottom w:val="nil"/>
          <w:right w:val="nil"/>
          <w:between w:val="nil"/>
        </w:pBdr>
        <w:spacing w:after="120" w:line="480" w:lineRule="auto"/>
        <w:jc w:val="both"/>
        <w:rPr>
          <w:rFonts w:ascii="Arial" w:eastAsia="Arial" w:hAnsi="Arial" w:cs="Arial"/>
          <w:color w:val="000000"/>
        </w:rPr>
      </w:pPr>
    </w:p>
    <w:p w14:paraId="30F5B9A1" w14:textId="77777777" w:rsidR="00A93067" w:rsidRPr="00A9192B" w:rsidRDefault="00CB705E" w:rsidP="00700E77">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b/>
          <w:color w:val="000000"/>
          <w:sz w:val="22"/>
          <w:szCs w:val="22"/>
        </w:rPr>
        <w:t>3.6 Stability studies</w:t>
      </w:r>
    </w:p>
    <w:p w14:paraId="5DDF249C"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Stability studies were conducted for the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rPr>
        <w:t xml:space="preserve"> formulation F4. </w:t>
      </w:r>
      <w:r w:rsidRPr="00A9192B">
        <w:rPr>
          <w:rFonts w:ascii="Arial" w:eastAsia="Arial" w:hAnsi="Arial" w:cs="Arial"/>
          <w:color w:val="000000"/>
          <w:highlight w:val="yellow"/>
        </w:rPr>
        <w:t xml:space="preserve">Entrapment efficiency (%) and drug content (%) </w:t>
      </w:r>
      <w:r w:rsidRPr="00A9192B">
        <w:rPr>
          <w:rFonts w:ascii="Arial" w:eastAsia="Arial" w:hAnsi="Arial" w:cs="Arial"/>
          <w:color w:val="000000"/>
        </w:rPr>
        <w:t>were assessed at room temperature and 4 ± 2 ºC for 1 month (Table 8).</w:t>
      </w:r>
    </w:p>
    <w:p w14:paraId="548C6DAE" w14:textId="77777777" w:rsidR="00A93067" w:rsidRPr="00A9192B" w:rsidRDefault="00CB705E" w:rsidP="00680DF1">
      <w:pPr>
        <w:keepNext/>
        <w:tabs>
          <w:tab w:val="left" w:pos="1080"/>
        </w:tabs>
        <w:spacing w:before="120" w:after="80"/>
        <w:rPr>
          <w:rFonts w:ascii="Arial" w:eastAsia="Arial" w:hAnsi="Arial" w:cs="Arial"/>
        </w:rPr>
      </w:pPr>
      <w:r w:rsidRPr="00A9192B">
        <w:rPr>
          <w:rFonts w:ascii="Arial" w:eastAsia="Arial" w:hAnsi="Arial" w:cs="Arial"/>
          <w:b/>
        </w:rPr>
        <w:t>Table 8.</w:t>
      </w:r>
      <w:r w:rsidRPr="00A9192B">
        <w:rPr>
          <w:rFonts w:ascii="Arial" w:eastAsia="Arial" w:hAnsi="Arial" w:cs="Arial"/>
          <w:b/>
        </w:rPr>
        <w:tab/>
        <w:t>Stability studies of F4 formulation</w:t>
      </w:r>
    </w:p>
    <w:tbl>
      <w:tblPr>
        <w:tblStyle w:val="a6"/>
        <w:tblW w:w="8160" w:type="dxa"/>
        <w:jc w:val="center"/>
        <w:tblBorders>
          <w:top w:val="single" w:sz="4" w:space="0" w:color="000000"/>
          <w:bottom w:val="single" w:sz="4" w:space="0" w:color="000000"/>
          <w:insideH w:val="single" w:sz="4" w:space="0" w:color="000000"/>
        </w:tblBorders>
        <w:tblLayout w:type="fixed"/>
        <w:tblLook w:val="0000" w:firstRow="0" w:lastRow="0" w:firstColumn="0" w:lastColumn="0" w:noHBand="0" w:noVBand="0"/>
      </w:tblPr>
      <w:tblGrid>
        <w:gridCol w:w="1500"/>
        <w:gridCol w:w="740"/>
        <w:gridCol w:w="740"/>
        <w:gridCol w:w="740"/>
        <w:gridCol w:w="740"/>
        <w:gridCol w:w="740"/>
        <w:gridCol w:w="740"/>
        <w:gridCol w:w="740"/>
        <w:gridCol w:w="740"/>
        <w:gridCol w:w="740"/>
      </w:tblGrid>
      <w:tr w:rsidR="00A93067" w:rsidRPr="00A9192B" w14:paraId="731F915C" w14:textId="77777777">
        <w:trPr>
          <w:cantSplit/>
          <w:tblHeader/>
          <w:jc w:val="center"/>
        </w:trPr>
        <w:tc>
          <w:tcPr>
            <w:tcW w:w="1500" w:type="dxa"/>
            <w:vAlign w:val="center"/>
          </w:tcPr>
          <w:p w14:paraId="2A589377"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Stability conditions</w:t>
            </w:r>
          </w:p>
        </w:tc>
        <w:tc>
          <w:tcPr>
            <w:tcW w:w="2220" w:type="dxa"/>
            <w:gridSpan w:val="3"/>
            <w:vAlign w:val="center"/>
          </w:tcPr>
          <w:p w14:paraId="231DFB3F"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Physical appearance</w:t>
            </w:r>
          </w:p>
        </w:tc>
        <w:tc>
          <w:tcPr>
            <w:tcW w:w="2220" w:type="dxa"/>
            <w:gridSpan w:val="3"/>
            <w:vAlign w:val="center"/>
          </w:tcPr>
          <w:p w14:paraId="503C708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Entrapment efficiency (%)</w:t>
            </w:r>
          </w:p>
        </w:tc>
        <w:tc>
          <w:tcPr>
            <w:tcW w:w="2220" w:type="dxa"/>
            <w:gridSpan w:val="3"/>
            <w:vAlign w:val="center"/>
          </w:tcPr>
          <w:p w14:paraId="39B51626"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Drug content (%)</w:t>
            </w:r>
          </w:p>
        </w:tc>
      </w:tr>
      <w:tr w:rsidR="00A93067" w:rsidRPr="00A9192B" w14:paraId="7561EB59" w14:textId="77777777">
        <w:trPr>
          <w:cantSplit/>
          <w:tblHeader/>
          <w:jc w:val="center"/>
        </w:trPr>
        <w:tc>
          <w:tcPr>
            <w:tcW w:w="1500" w:type="dxa"/>
            <w:vAlign w:val="center"/>
          </w:tcPr>
          <w:p w14:paraId="1D18634C"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F4 formulation</w:t>
            </w:r>
          </w:p>
        </w:tc>
        <w:tc>
          <w:tcPr>
            <w:tcW w:w="740" w:type="dxa"/>
            <w:vAlign w:val="center"/>
          </w:tcPr>
          <w:p w14:paraId="4BA60B3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Initial</w:t>
            </w:r>
          </w:p>
        </w:tc>
        <w:tc>
          <w:tcPr>
            <w:tcW w:w="740" w:type="dxa"/>
            <w:vAlign w:val="center"/>
          </w:tcPr>
          <w:p w14:paraId="3C09F894"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15 days</w:t>
            </w:r>
          </w:p>
        </w:tc>
        <w:tc>
          <w:tcPr>
            <w:tcW w:w="740" w:type="dxa"/>
            <w:vAlign w:val="center"/>
          </w:tcPr>
          <w:p w14:paraId="6592224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30 days</w:t>
            </w:r>
          </w:p>
        </w:tc>
        <w:tc>
          <w:tcPr>
            <w:tcW w:w="740" w:type="dxa"/>
            <w:vAlign w:val="center"/>
          </w:tcPr>
          <w:p w14:paraId="323ACA53"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Initial</w:t>
            </w:r>
          </w:p>
        </w:tc>
        <w:tc>
          <w:tcPr>
            <w:tcW w:w="740" w:type="dxa"/>
            <w:vAlign w:val="center"/>
          </w:tcPr>
          <w:p w14:paraId="1470B0A4"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15 days</w:t>
            </w:r>
          </w:p>
        </w:tc>
        <w:tc>
          <w:tcPr>
            <w:tcW w:w="740" w:type="dxa"/>
            <w:vAlign w:val="center"/>
          </w:tcPr>
          <w:p w14:paraId="423538ED"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30 days</w:t>
            </w:r>
          </w:p>
        </w:tc>
        <w:tc>
          <w:tcPr>
            <w:tcW w:w="740" w:type="dxa"/>
            <w:vAlign w:val="center"/>
          </w:tcPr>
          <w:p w14:paraId="0ED5C287"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Initial</w:t>
            </w:r>
          </w:p>
        </w:tc>
        <w:tc>
          <w:tcPr>
            <w:tcW w:w="740" w:type="dxa"/>
            <w:vAlign w:val="center"/>
          </w:tcPr>
          <w:p w14:paraId="3994742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15 days</w:t>
            </w:r>
          </w:p>
        </w:tc>
        <w:tc>
          <w:tcPr>
            <w:tcW w:w="740" w:type="dxa"/>
            <w:vAlign w:val="center"/>
          </w:tcPr>
          <w:p w14:paraId="0F3813F2" w14:textId="77777777" w:rsidR="00A93067" w:rsidRPr="00A9192B" w:rsidRDefault="00CB705E">
            <w:pPr>
              <w:spacing w:before="30" w:after="30"/>
              <w:jc w:val="center"/>
              <w:rPr>
                <w:rFonts w:ascii="Arial" w:eastAsia="Arial" w:hAnsi="Arial" w:cs="Arial"/>
              </w:rPr>
            </w:pPr>
            <w:r w:rsidRPr="00A9192B">
              <w:rPr>
                <w:rFonts w:ascii="Arial" w:eastAsia="Arial" w:hAnsi="Arial" w:cs="Arial"/>
                <w:b/>
                <w:sz w:val="15"/>
                <w:szCs w:val="15"/>
              </w:rPr>
              <w:t>After 30 days</w:t>
            </w:r>
          </w:p>
        </w:tc>
      </w:tr>
      <w:tr w:rsidR="00A93067" w:rsidRPr="00A9192B" w14:paraId="7B5A242A" w14:textId="77777777">
        <w:trPr>
          <w:cantSplit/>
          <w:jc w:val="center"/>
        </w:trPr>
        <w:tc>
          <w:tcPr>
            <w:tcW w:w="1500" w:type="dxa"/>
            <w:vAlign w:val="center"/>
          </w:tcPr>
          <w:p w14:paraId="488EBDA0" w14:textId="77777777" w:rsidR="00A93067" w:rsidRPr="00A9192B" w:rsidRDefault="00CB705E">
            <w:pPr>
              <w:spacing w:before="30" w:after="30"/>
              <w:rPr>
                <w:rFonts w:ascii="Arial" w:eastAsia="Arial" w:hAnsi="Arial" w:cs="Arial"/>
              </w:rPr>
            </w:pPr>
            <w:r w:rsidRPr="00A9192B">
              <w:rPr>
                <w:rFonts w:ascii="Arial" w:eastAsia="Arial" w:hAnsi="Arial" w:cs="Arial"/>
                <w:sz w:val="15"/>
                <w:szCs w:val="15"/>
              </w:rPr>
              <w:t>At room temperature</w:t>
            </w:r>
          </w:p>
        </w:tc>
        <w:tc>
          <w:tcPr>
            <w:tcW w:w="740" w:type="dxa"/>
            <w:vAlign w:val="center"/>
          </w:tcPr>
          <w:p w14:paraId="270D8C8D"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4DD5C68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1D2D0F1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64A7CE99"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91.7</w:t>
            </w:r>
          </w:p>
        </w:tc>
        <w:tc>
          <w:tcPr>
            <w:tcW w:w="740" w:type="dxa"/>
            <w:vAlign w:val="center"/>
          </w:tcPr>
          <w:p w14:paraId="14ADB21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90.9</w:t>
            </w:r>
          </w:p>
        </w:tc>
        <w:tc>
          <w:tcPr>
            <w:tcW w:w="740" w:type="dxa"/>
            <w:vAlign w:val="center"/>
          </w:tcPr>
          <w:p w14:paraId="66966636"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90.1</w:t>
            </w:r>
          </w:p>
        </w:tc>
        <w:tc>
          <w:tcPr>
            <w:tcW w:w="740" w:type="dxa"/>
            <w:vAlign w:val="center"/>
          </w:tcPr>
          <w:p w14:paraId="32DC0C7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96.8</w:t>
            </w:r>
          </w:p>
        </w:tc>
        <w:tc>
          <w:tcPr>
            <w:tcW w:w="740" w:type="dxa"/>
            <w:vAlign w:val="center"/>
          </w:tcPr>
          <w:p w14:paraId="3ED826A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96.1</w:t>
            </w:r>
          </w:p>
        </w:tc>
        <w:tc>
          <w:tcPr>
            <w:tcW w:w="740" w:type="dxa"/>
            <w:vAlign w:val="center"/>
          </w:tcPr>
          <w:p w14:paraId="055079B7"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95.8</w:t>
            </w:r>
          </w:p>
        </w:tc>
      </w:tr>
      <w:tr w:rsidR="00A93067" w:rsidRPr="00A9192B" w14:paraId="54BB81CC" w14:textId="77777777">
        <w:trPr>
          <w:cantSplit/>
          <w:jc w:val="center"/>
        </w:trPr>
        <w:tc>
          <w:tcPr>
            <w:tcW w:w="1500" w:type="dxa"/>
            <w:vAlign w:val="center"/>
          </w:tcPr>
          <w:p w14:paraId="4C2A526C" w14:textId="77777777" w:rsidR="00A93067" w:rsidRPr="00A9192B" w:rsidRDefault="00CB705E">
            <w:pPr>
              <w:spacing w:before="30" w:after="30"/>
              <w:rPr>
                <w:rFonts w:ascii="Arial" w:eastAsia="Arial" w:hAnsi="Arial" w:cs="Arial"/>
              </w:rPr>
            </w:pPr>
            <w:r w:rsidRPr="00A9192B">
              <w:rPr>
                <w:rFonts w:ascii="Arial" w:eastAsia="Arial" w:hAnsi="Arial" w:cs="Arial"/>
                <w:sz w:val="15"/>
                <w:szCs w:val="15"/>
              </w:rPr>
              <w:t>4 ± 2 ºC</w:t>
            </w:r>
          </w:p>
        </w:tc>
        <w:tc>
          <w:tcPr>
            <w:tcW w:w="740" w:type="dxa"/>
            <w:vAlign w:val="center"/>
          </w:tcPr>
          <w:p w14:paraId="0EA8DA1F"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7EC4856A"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543F2F8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NC</w:t>
            </w:r>
          </w:p>
        </w:tc>
        <w:tc>
          <w:tcPr>
            <w:tcW w:w="740" w:type="dxa"/>
            <w:vAlign w:val="center"/>
          </w:tcPr>
          <w:p w14:paraId="170EA61C"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91.7</w:t>
            </w:r>
          </w:p>
        </w:tc>
        <w:tc>
          <w:tcPr>
            <w:tcW w:w="740" w:type="dxa"/>
            <w:vAlign w:val="center"/>
          </w:tcPr>
          <w:p w14:paraId="28073AC5"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91.2</w:t>
            </w:r>
          </w:p>
        </w:tc>
        <w:tc>
          <w:tcPr>
            <w:tcW w:w="740" w:type="dxa"/>
            <w:vAlign w:val="center"/>
          </w:tcPr>
          <w:p w14:paraId="38664CB1"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90.9</w:t>
            </w:r>
          </w:p>
        </w:tc>
        <w:tc>
          <w:tcPr>
            <w:tcW w:w="740" w:type="dxa"/>
            <w:vAlign w:val="center"/>
          </w:tcPr>
          <w:p w14:paraId="4798F3D3"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96.8</w:t>
            </w:r>
          </w:p>
        </w:tc>
        <w:tc>
          <w:tcPr>
            <w:tcW w:w="740" w:type="dxa"/>
            <w:vAlign w:val="center"/>
          </w:tcPr>
          <w:p w14:paraId="51CEB11B"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96.4</w:t>
            </w:r>
          </w:p>
        </w:tc>
        <w:tc>
          <w:tcPr>
            <w:tcW w:w="740" w:type="dxa"/>
            <w:vAlign w:val="center"/>
          </w:tcPr>
          <w:p w14:paraId="016D2F48" w14:textId="77777777" w:rsidR="00A93067" w:rsidRPr="00A9192B" w:rsidRDefault="00CB705E">
            <w:pPr>
              <w:spacing w:before="30" w:after="30"/>
              <w:jc w:val="center"/>
              <w:rPr>
                <w:rFonts w:ascii="Arial" w:eastAsia="Arial" w:hAnsi="Arial" w:cs="Arial"/>
              </w:rPr>
            </w:pPr>
            <w:r w:rsidRPr="00A9192B">
              <w:rPr>
                <w:rFonts w:ascii="Arial" w:eastAsia="Arial" w:hAnsi="Arial" w:cs="Arial"/>
                <w:sz w:val="15"/>
                <w:szCs w:val="15"/>
              </w:rPr>
              <w:t>96.0</w:t>
            </w:r>
          </w:p>
        </w:tc>
      </w:tr>
    </w:tbl>
    <w:p w14:paraId="386F4222" w14:textId="77777777" w:rsidR="00A93067" w:rsidRPr="00A9192B" w:rsidRDefault="00CB705E">
      <w:pPr>
        <w:pBdr>
          <w:top w:val="nil"/>
          <w:left w:val="nil"/>
          <w:bottom w:val="nil"/>
          <w:right w:val="nil"/>
          <w:between w:val="nil"/>
        </w:pBdr>
        <w:spacing w:after="160"/>
        <w:rPr>
          <w:rFonts w:ascii="Arial" w:eastAsia="Arial" w:hAnsi="Arial" w:cs="Arial"/>
          <w:color w:val="000000"/>
          <w:sz w:val="16"/>
          <w:szCs w:val="16"/>
        </w:rPr>
      </w:pPr>
      <w:r w:rsidRPr="00A9192B">
        <w:rPr>
          <w:rFonts w:ascii="Arial" w:eastAsia="Arial" w:hAnsi="Arial" w:cs="Arial"/>
          <w:i/>
          <w:color w:val="000000"/>
          <w:sz w:val="18"/>
          <w:szCs w:val="18"/>
        </w:rPr>
        <w:t>*NC – No change</w:t>
      </w:r>
    </w:p>
    <w:p w14:paraId="1F48DB2F" w14:textId="77777777" w:rsidR="006E080E" w:rsidRPr="00A9192B" w:rsidRDefault="00000000">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rPr>
        <w:t xml:space="preserve">After 30 days, the changes in entrapment efficiency and drug content were small under both conditions, with slightly greater retention at 4 ± 2 ºC than at room temperature. These data support short-term physicochemical stability under the tested conditions, but a one-month study is insufficient to establish a definitive shelf life because vesicular formulations can undergo time-dependent aggregation, leakage, oxidation, or other degradation processes </w:t>
      </w:r>
      <w:r w:rsidRPr="00A9192B">
        <w:rPr>
          <w:rFonts w:ascii="Arial" w:eastAsia="Arial" w:hAnsi="Arial"/>
          <w:highlight w:val="yellow"/>
        </w:rPr>
        <w:t xml:space="preserve">(Fernández-García et al., 2020; </w:t>
      </w:r>
      <w:proofErr w:type="spellStart"/>
      <w:r w:rsidRPr="00A9192B">
        <w:rPr>
          <w:rFonts w:ascii="Arial" w:eastAsia="Arial" w:hAnsi="Arial"/>
          <w:highlight w:val="yellow"/>
        </w:rPr>
        <w:t>Matharoo</w:t>
      </w:r>
      <w:proofErr w:type="spellEnd"/>
      <w:r w:rsidRPr="00A9192B">
        <w:rPr>
          <w:rFonts w:ascii="Arial" w:eastAsia="Arial" w:hAnsi="Arial"/>
          <w:highlight w:val="yellow"/>
        </w:rPr>
        <w:t xml:space="preserve"> et al., 2024; Waterman &amp; Adami, 2005)</w:t>
      </w:r>
      <w:r w:rsidRPr="00A9192B">
        <w:rPr>
          <w:rFonts w:ascii="Arial" w:eastAsia="Arial" w:hAnsi="Arial"/>
        </w:rPr>
        <w:t>. Longer-</w:t>
      </w:r>
      <w:r w:rsidRPr="00A9192B">
        <w:rPr>
          <w:rFonts w:ascii="Arial" w:eastAsia="Arial" w:hAnsi="Arial"/>
        </w:rPr>
        <w:lastRenderedPageBreak/>
        <w:t xml:space="preserve">term stability testing with additional physical and chemical stability indicators would therefore be required for product-level stability claims (Bhattacharyya et al., 2024; Oyarzún et al., 2021; </w:t>
      </w:r>
      <w:proofErr w:type="spellStart"/>
      <w:r w:rsidRPr="00A9192B">
        <w:rPr>
          <w:rFonts w:ascii="Arial" w:eastAsia="Arial" w:hAnsi="Arial"/>
        </w:rPr>
        <w:t>Sijamol</w:t>
      </w:r>
      <w:proofErr w:type="spellEnd"/>
      <w:r w:rsidRPr="00A9192B">
        <w:rPr>
          <w:rFonts w:ascii="Arial" w:eastAsia="Arial" w:hAnsi="Arial"/>
        </w:rPr>
        <w:t xml:space="preserve"> et al., 2024).</w:t>
      </w:r>
    </w:p>
    <w:p w14:paraId="490D62D4" w14:textId="77777777" w:rsidR="00A93067" w:rsidRPr="00A9192B" w:rsidRDefault="00CB705E">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4. </w:t>
      </w:r>
      <w:r w:rsidR="006650E9" w:rsidRPr="00A9192B">
        <w:rPr>
          <w:rFonts w:ascii="Arial" w:eastAsia="Arial" w:hAnsi="Arial" w:cs="Arial"/>
          <w:b/>
          <w:smallCaps/>
          <w:color w:val="000000"/>
          <w:sz w:val="22"/>
          <w:szCs w:val="22"/>
        </w:rPr>
        <w:t>CONCLUSION</w:t>
      </w:r>
    </w:p>
    <w:p w14:paraId="2195472B" w14:textId="77777777" w:rsidR="00A93067" w:rsidRPr="00A9192B" w:rsidRDefault="00CB705E">
      <w:pPr>
        <w:pBdr>
          <w:top w:val="nil"/>
          <w:left w:val="nil"/>
          <w:bottom w:val="nil"/>
          <w:right w:val="nil"/>
          <w:between w:val="nil"/>
        </w:pBdr>
        <w:spacing w:after="120" w:line="480" w:lineRule="auto"/>
        <w:jc w:val="both"/>
        <w:rPr>
          <w:rFonts w:ascii="Arial" w:eastAsia="Arial" w:hAnsi="Arial" w:cs="Arial"/>
          <w:color w:val="000000"/>
        </w:rPr>
      </w:pPr>
      <w:r w:rsidRPr="00A9192B">
        <w:rPr>
          <w:rFonts w:ascii="Arial" w:eastAsia="Arial" w:hAnsi="Arial" w:cs="Arial"/>
          <w:color w:val="000000"/>
        </w:rPr>
        <w:t xml:space="preserve">The present study </w:t>
      </w:r>
      <w:r w:rsidRPr="00A9192B">
        <w:rPr>
          <w:rFonts w:ascii="Arial" w:eastAsia="Arial" w:hAnsi="Arial" w:cs="Arial"/>
          <w:color w:val="000000"/>
          <w:highlight w:val="yellow"/>
        </w:rPr>
        <w:t xml:space="preserve">successfully developed a famciclovir-loaded </w:t>
      </w:r>
      <w:proofErr w:type="spellStart"/>
      <w:r w:rsidRPr="00A9192B">
        <w:rPr>
          <w:rFonts w:ascii="Arial" w:eastAsia="Arial" w:hAnsi="Arial" w:cs="Arial"/>
          <w:color w:val="000000"/>
          <w:highlight w:val="yellow"/>
        </w:rPr>
        <w:t>transferosomal</w:t>
      </w:r>
      <w:proofErr w:type="spellEnd"/>
      <w:r w:rsidRPr="00A9192B">
        <w:rPr>
          <w:rFonts w:ascii="Arial" w:eastAsia="Arial" w:hAnsi="Arial" w:cs="Arial"/>
          <w:color w:val="000000"/>
          <w:highlight w:val="yellow"/>
        </w:rPr>
        <w:t xml:space="preserve"> gel</w:t>
      </w:r>
      <w:r w:rsidRPr="00A9192B">
        <w:rPr>
          <w:rFonts w:ascii="Arial" w:eastAsia="Arial" w:hAnsi="Arial" w:cs="Arial"/>
          <w:color w:val="000000"/>
        </w:rPr>
        <w:t xml:space="preserve"> as a potential topical drug delivery system. Transferosomes were prepared by the ethanol injection method using soya lecithin and Tween 80 and subsequently incorporated into a Carbopol 934 gel base. Among the six formulations, F4 showed satisfactory physicochemical characteristics, with a particle size of 167.4 nm, PDI of 0.380, zeta potential of −33.5 mV and entrapment efficiency of 91.7%. The </w:t>
      </w:r>
      <w:proofErr w:type="spellStart"/>
      <w:r w:rsidRPr="00A9192B">
        <w:rPr>
          <w:rFonts w:ascii="Arial" w:eastAsia="Arial" w:hAnsi="Arial" w:cs="Arial"/>
          <w:color w:val="000000"/>
          <w:highlight w:val="yellow"/>
        </w:rPr>
        <w:t>optimised</w:t>
      </w:r>
      <w:proofErr w:type="spellEnd"/>
      <w:r w:rsidRPr="00A9192B">
        <w:rPr>
          <w:rFonts w:ascii="Arial" w:eastAsia="Arial" w:hAnsi="Arial" w:cs="Arial"/>
          <w:color w:val="000000"/>
        </w:rPr>
        <w:t xml:space="preserve">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exhibited a pH of 6.7, good </w:t>
      </w:r>
      <w:proofErr w:type="spellStart"/>
      <w:r w:rsidRPr="00A9192B">
        <w:rPr>
          <w:rFonts w:ascii="Arial" w:eastAsia="Arial" w:hAnsi="Arial" w:cs="Arial"/>
          <w:color w:val="000000"/>
        </w:rPr>
        <w:t>spreadability</w:t>
      </w:r>
      <w:proofErr w:type="spellEnd"/>
      <w:r w:rsidRPr="00A9192B">
        <w:rPr>
          <w:rFonts w:ascii="Arial" w:eastAsia="Arial" w:hAnsi="Arial" w:cs="Arial"/>
          <w:color w:val="000000"/>
        </w:rPr>
        <w:t xml:space="preserve">, suitable viscosity and 96.8% drug content. The formulation showed 93.08% </w:t>
      </w:r>
      <w:r w:rsidRPr="00A9192B">
        <w:rPr>
          <w:rFonts w:ascii="Arial" w:eastAsia="Arial" w:hAnsi="Arial" w:cs="Arial"/>
          <w:color w:val="000000"/>
          <w:highlight w:val="yellow"/>
        </w:rPr>
        <w:t>in vitro</w:t>
      </w:r>
      <w:r w:rsidRPr="00A9192B">
        <w:rPr>
          <w:rFonts w:ascii="Arial" w:eastAsia="Arial" w:hAnsi="Arial" w:cs="Arial"/>
          <w:color w:val="000000"/>
        </w:rPr>
        <w:t xml:space="preserve"> drug release at 8 h and demonstrated stability under the studied storage conditions. Overall, the developed Famciclovir </w:t>
      </w:r>
      <w:proofErr w:type="spellStart"/>
      <w:r w:rsidRPr="00A9192B">
        <w:rPr>
          <w:rFonts w:ascii="Arial" w:eastAsia="Arial" w:hAnsi="Arial" w:cs="Arial"/>
          <w:color w:val="000000"/>
        </w:rPr>
        <w:t>transferosomal</w:t>
      </w:r>
      <w:proofErr w:type="spellEnd"/>
      <w:r w:rsidRPr="00A9192B">
        <w:rPr>
          <w:rFonts w:ascii="Arial" w:eastAsia="Arial" w:hAnsi="Arial" w:cs="Arial"/>
          <w:color w:val="000000"/>
        </w:rPr>
        <w:t xml:space="preserve"> gel showed promising characteristics for topical drug delivery and may serve as a potential approach for </w:t>
      </w:r>
      <w:proofErr w:type="spellStart"/>
      <w:r w:rsidRPr="00A9192B">
        <w:rPr>
          <w:rFonts w:ascii="Arial" w:eastAsia="Arial" w:hAnsi="Arial" w:cs="Arial"/>
          <w:color w:val="000000"/>
          <w:highlight w:val="yellow"/>
        </w:rPr>
        <w:t>localised</w:t>
      </w:r>
      <w:proofErr w:type="spellEnd"/>
      <w:r w:rsidRPr="00A9192B">
        <w:rPr>
          <w:rFonts w:ascii="Arial" w:eastAsia="Arial" w:hAnsi="Arial" w:cs="Arial"/>
          <w:color w:val="000000"/>
        </w:rPr>
        <w:t xml:space="preserve"> antiviral therapy.</w:t>
      </w:r>
    </w:p>
    <w:p w14:paraId="76D80287" w14:textId="77777777" w:rsidR="00A93067" w:rsidRPr="00A9192B" w:rsidRDefault="00CB705E">
      <w:pPr>
        <w:pBdr>
          <w:top w:val="nil"/>
          <w:left w:val="nil"/>
          <w:bottom w:val="nil"/>
          <w:right w:val="nil"/>
          <w:between w:val="nil"/>
        </w:pBdr>
        <w:spacing w:after="120"/>
        <w:jc w:val="both"/>
        <w:rPr>
          <w:rFonts w:ascii="Arial" w:eastAsia="Arial" w:hAnsi="Arial" w:cs="Arial"/>
          <w:color w:val="000000"/>
        </w:rPr>
      </w:pPr>
      <w:r w:rsidRPr="00A9192B">
        <w:rPr>
          <w:rFonts w:ascii="Arial" w:eastAsia="Arial" w:hAnsi="Arial" w:cs="Arial"/>
          <w:b/>
          <w:color w:val="000000"/>
        </w:rPr>
        <w:t>Future scope:</w:t>
      </w:r>
    </w:p>
    <w:p w14:paraId="57E5E0F0" w14:textId="77777777" w:rsidR="00A93067" w:rsidRPr="00A9192B" w:rsidRDefault="00CB705E" w:rsidP="005A2191">
      <w:pPr>
        <w:numPr>
          <w:ilvl w:val="0"/>
          <w:numId w:val="1"/>
        </w:numPr>
        <w:pBdr>
          <w:top w:val="nil"/>
          <w:left w:val="nil"/>
          <w:bottom w:val="nil"/>
          <w:right w:val="nil"/>
          <w:between w:val="nil"/>
        </w:pBdr>
        <w:spacing w:line="480" w:lineRule="auto"/>
        <w:rPr>
          <w:color w:val="000000"/>
        </w:rPr>
      </w:pPr>
      <w:r w:rsidRPr="00A9192B">
        <w:rPr>
          <w:rFonts w:ascii="Arial" w:eastAsia="Arial" w:hAnsi="Arial" w:cs="Arial"/>
          <w:color w:val="000000"/>
          <w:highlight w:val="yellow"/>
        </w:rPr>
        <w:t>In vivo</w:t>
      </w:r>
      <w:r w:rsidRPr="00A9192B">
        <w:rPr>
          <w:rFonts w:ascii="Arial" w:eastAsia="Arial" w:hAnsi="Arial" w:cs="Arial"/>
          <w:color w:val="000000"/>
        </w:rPr>
        <w:t xml:space="preserve"> animal model studies can be carried out on the prepared gels.</w:t>
      </w:r>
    </w:p>
    <w:p w14:paraId="28F3469C" w14:textId="77777777" w:rsidR="00A93067" w:rsidRPr="00A9192B" w:rsidRDefault="00CB705E" w:rsidP="005A2191">
      <w:pPr>
        <w:numPr>
          <w:ilvl w:val="0"/>
          <w:numId w:val="1"/>
        </w:numPr>
        <w:pBdr>
          <w:top w:val="nil"/>
          <w:left w:val="nil"/>
          <w:bottom w:val="nil"/>
          <w:right w:val="nil"/>
          <w:between w:val="nil"/>
        </w:pBdr>
        <w:spacing w:line="480" w:lineRule="auto"/>
        <w:rPr>
          <w:color w:val="000000"/>
        </w:rPr>
      </w:pPr>
      <w:r w:rsidRPr="00A9192B">
        <w:rPr>
          <w:rFonts w:ascii="Arial" w:eastAsia="Arial" w:hAnsi="Arial" w:cs="Arial"/>
          <w:color w:val="000000"/>
          <w:highlight w:val="yellow"/>
        </w:rPr>
        <w:t>Long-term stability testing is needed.</w:t>
      </w:r>
    </w:p>
    <w:p w14:paraId="17E885F9" w14:textId="2FAFC2E2" w:rsidR="00700E77" w:rsidRPr="008E10DB" w:rsidRDefault="00CB705E" w:rsidP="005A2191">
      <w:pPr>
        <w:numPr>
          <w:ilvl w:val="0"/>
          <w:numId w:val="1"/>
        </w:numPr>
        <w:pBdr>
          <w:top w:val="nil"/>
          <w:left w:val="nil"/>
          <w:bottom w:val="nil"/>
          <w:right w:val="nil"/>
          <w:between w:val="nil"/>
        </w:pBdr>
        <w:spacing w:line="480" w:lineRule="auto"/>
        <w:rPr>
          <w:color w:val="000000"/>
        </w:rPr>
      </w:pPr>
      <w:r w:rsidRPr="00A9192B">
        <w:rPr>
          <w:rFonts w:ascii="Arial" w:eastAsia="Arial" w:hAnsi="Arial" w:cs="Arial"/>
          <w:color w:val="000000"/>
          <w:highlight w:val="yellow"/>
        </w:rPr>
        <w:t>A skin irritation test is needed.</w:t>
      </w:r>
      <w:r w:rsidR="008E10DB">
        <w:rPr>
          <w:rFonts w:ascii="Arial" w:eastAsia="Arial" w:hAnsi="Arial" w:cs="Arial"/>
          <w:color w:val="000000"/>
        </w:rPr>
        <w:t xml:space="preserve"> </w:t>
      </w:r>
    </w:p>
    <w:p w14:paraId="28EB9E2F" w14:textId="77777777" w:rsidR="008E10DB" w:rsidRPr="008E10DB" w:rsidRDefault="008E10DB" w:rsidP="008E10DB">
      <w:pPr>
        <w:pBdr>
          <w:top w:val="nil"/>
          <w:left w:val="nil"/>
          <w:bottom w:val="nil"/>
          <w:right w:val="nil"/>
          <w:between w:val="nil"/>
        </w:pBdr>
        <w:spacing w:line="480" w:lineRule="auto"/>
        <w:ind w:left="360"/>
        <w:rPr>
          <w:rFonts w:ascii="Times New Roman" w:hAnsi="Times New Roman" w:cs="Times New Roman"/>
          <w:b/>
          <w:bCs/>
          <w:color w:val="000000"/>
        </w:rPr>
      </w:pPr>
      <w:r w:rsidRPr="008E10DB">
        <w:rPr>
          <w:rFonts w:ascii="Times New Roman" w:hAnsi="Times New Roman" w:cs="Times New Roman"/>
          <w:b/>
          <w:bCs/>
          <w:color w:val="000000"/>
        </w:rPr>
        <w:t>Limitations</w:t>
      </w:r>
    </w:p>
    <w:p w14:paraId="72202A04" w14:textId="77777777" w:rsidR="008E10DB" w:rsidRPr="008E10DB" w:rsidRDefault="008E10DB" w:rsidP="008E10DB">
      <w:pPr>
        <w:pBdr>
          <w:top w:val="nil"/>
          <w:left w:val="nil"/>
          <w:bottom w:val="nil"/>
          <w:right w:val="nil"/>
          <w:between w:val="nil"/>
        </w:pBdr>
        <w:spacing w:line="480" w:lineRule="auto"/>
        <w:ind w:left="360"/>
        <w:rPr>
          <w:rFonts w:ascii="Times New Roman" w:hAnsi="Times New Roman" w:cs="Times New Roman"/>
          <w:color w:val="000000"/>
        </w:rPr>
      </w:pPr>
    </w:p>
    <w:p w14:paraId="570C1015" w14:textId="56F8DD74" w:rsidR="008E10DB" w:rsidRPr="008E10DB" w:rsidRDefault="008E10DB" w:rsidP="008E10DB">
      <w:pPr>
        <w:pBdr>
          <w:top w:val="nil"/>
          <w:left w:val="nil"/>
          <w:bottom w:val="nil"/>
          <w:right w:val="nil"/>
          <w:between w:val="nil"/>
        </w:pBdr>
        <w:spacing w:line="480" w:lineRule="auto"/>
        <w:ind w:left="360"/>
        <w:rPr>
          <w:rFonts w:ascii="Times New Roman" w:hAnsi="Times New Roman" w:cs="Times New Roman"/>
          <w:color w:val="000000"/>
        </w:rPr>
      </w:pPr>
      <w:r w:rsidRPr="008E10DB">
        <w:rPr>
          <w:rFonts w:ascii="Times New Roman" w:hAnsi="Times New Roman" w:cs="Times New Roman"/>
          <w:color w:val="000000"/>
        </w:rPr>
        <w:t>The in vitro diffusion experiment used an egg membrane rather than excised skin, so the findings do not establish skin permeation or therapeutic efficacy. Stability was assessed for only one month at two storage conditions, which is insufficient to determine shelf life. The study did not report skin irritation or in vivo antiviral assessments. Furthermore, the release exponent required to interpret the Korsmeyer–Peppas model mechanistically was not provided. Consequently, the conclusions are limited to the reported formulation characteristics and comparative in vitro release data.</w:t>
      </w:r>
    </w:p>
    <w:p w14:paraId="4E6856E1" w14:textId="77777777" w:rsidR="00A93067" w:rsidRPr="00A9192B" w:rsidRDefault="0006073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lastRenderedPageBreak/>
        <w:t>COMPETING INTERE</w:t>
      </w:r>
      <w:r w:rsidR="00561530" w:rsidRPr="00A9192B">
        <w:rPr>
          <w:rFonts w:ascii="Arial" w:eastAsia="Arial" w:hAnsi="Arial" w:cs="Arial"/>
          <w:b/>
          <w:smallCaps/>
          <w:color w:val="000000"/>
          <w:sz w:val="22"/>
          <w:szCs w:val="22"/>
        </w:rPr>
        <w:t>S</w:t>
      </w:r>
      <w:r w:rsidRPr="00A9192B">
        <w:rPr>
          <w:rFonts w:ascii="Arial" w:eastAsia="Arial" w:hAnsi="Arial" w:cs="Arial"/>
          <w:b/>
          <w:smallCaps/>
          <w:color w:val="000000"/>
          <w:sz w:val="22"/>
          <w:szCs w:val="22"/>
        </w:rPr>
        <w:t xml:space="preserve">TS </w:t>
      </w:r>
      <w:r w:rsidR="005A5C85" w:rsidRPr="00A9192B">
        <w:rPr>
          <w:rFonts w:ascii="Arial" w:eastAsia="Arial" w:hAnsi="Arial" w:cs="Arial"/>
          <w:b/>
          <w:smallCaps/>
          <w:color w:val="000000"/>
          <w:sz w:val="22"/>
          <w:szCs w:val="22"/>
        </w:rPr>
        <w:t xml:space="preserve"> </w:t>
      </w:r>
    </w:p>
    <w:p w14:paraId="13D9E323" w14:textId="77777777" w:rsidR="00A93067" w:rsidRPr="00A9192B" w:rsidRDefault="00CB705E">
      <w:pPr>
        <w:pBdr>
          <w:top w:val="nil"/>
          <w:left w:val="nil"/>
          <w:bottom w:val="nil"/>
          <w:right w:val="nil"/>
          <w:between w:val="nil"/>
        </w:pBdr>
        <w:spacing w:after="120"/>
        <w:jc w:val="both"/>
        <w:rPr>
          <w:rFonts w:ascii="Arial" w:eastAsia="Arial" w:hAnsi="Arial" w:cs="Arial"/>
          <w:color w:val="000000"/>
        </w:rPr>
      </w:pPr>
      <w:r w:rsidRPr="00A9192B">
        <w:rPr>
          <w:rFonts w:ascii="Arial" w:eastAsia="Arial" w:hAnsi="Arial" w:cs="Arial"/>
          <w:color w:val="000000"/>
        </w:rPr>
        <w:t>Authors have declared that no competing interests exist.</w:t>
      </w:r>
    </w:p>
    <w:p w14:paraId="28EB70AF" w14:textId="77777777" w:rsidR="00DA73B2" w:rsidRPr="00A9192B" w:rsidRDefault="00DA73B2" w:rsidP="00DA73B2">
      <w:pPr>
        <w:rPr>
          <w:rFonts w:ascii="Times New Roman" w:hAnsi="Times New Roman" w:cs="Times New Roman"/>
          <w:b/>
        </w:rPr>
      </w:pPr>
      <w:r w:rsidRPr="00A9192B">
        <w:rPr>
          <w:rFonts w:ascii="Times New Roman" w:hAnsi="Times New Roman" w:cs="Times New Roman"/>
          <w:b/>
        </w:rPr>
        <w:t>Declaration of AI Use</w:t>
      </w:r>
    </w:p>
    <w:p w14:paraId="6B4EC18A" w14:textId="77777777" w:rsidR="00DA73B2" w:rsidRPr="00A9192B" w:rsidRDefault="00DA73B2" w:rsidP="00DA73B2">
      <w:pPr>
        <w:rPr>
          <w:rFonts w:ascii="Times New Roman" w:hAnsi="Times New Roman" w:cs="Times New Roman"/>
          <w:b/>
        </w:rPr>
      </w:pPr>
    </w:p>
    <w:p w14:paraId="4763AE6A" w14:textId="77777777" w:rsidR="00DA73B2" w:rsidRPr="00A9192B" w:rsidRDefault="00DA73B2" w:rsidP="00DA73B2">
      <w:pPr>
        <w:rPr>
          <w:rFonts w:ascii="Times New Roman" w:hAnsi="Times New Roman" w:cs="Times New Roman"/>
          <w:b/>
        </w:rPr>
      </w:pPr>
    </w:p>
    <w:p w14:paraId="5626E5E8" w14:textId="77777777" w:rsidR="00DA73B2" w:rsidRPr="00A9192B" w:rsidRDefault="00DA73B2" w:rsidP="00DA73B2">
      <w:pPr>
        <w:rPr>
          <w:rFonts w:ascii="Times New Roman" w:hAnsi="Times New Roman" w:cs="Times New Roman"/>
          <w:b/>
        </w:rPr>
      </w:pPr>
    </w:p>
    <w:p w14:paraId="2D4EE779" w14:textId="77777777" w:rsidR="00DA73B2" w:rsidRPr="00A9192B" w:rsidRDefault="00DA73B2" w:rsidP="00DA73B2">
      <w:pPr>
        <w:rPr>
          <w:rFonts w:ascii="Arial" w:hAnsi="Arial" w:cs="Arial"/>
        </w:rPr>
      </w:pPr>
      <w:r w:rsidRPr="00A9192B">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712DFE7" w14:textId="77777777" w:rsidR="00DA73B2" w:rsidRPr="00A9192B" w:rsidRDefault="00DA73B2" w:rsidP="006650E9">
      <w:pPr>
        <w:spacing w:line="480" w:lineRule="auto"/>
        <w:jc w:val="both"/>
        <w:rPr>
          <w:rFonts w:ascii="Arial" w:hAnsi="Arial" w:cs="Arial"/>
        </w:rPr>
      </w:pPr>
    </w:p>
    <w:p w14:paraId="3A247DAE" w14:textId="77777777" w:rsidR="00A93067" w:rsidRDefault="006650E9">
      <w:pPr>
        <w:keepNext/>
        <w:pBdr>
          <w:top w:val="nil"/>
          <w:left w:val="nil"/>
          <w:bottom w:val="nil"/>
          <w:right w:val="nil"/>
          <w:between w:val="nil"/>
        </w:pBdr>
        <w:spacing w:before="200" w:after="100"/>
        <w:rPr>
          <w:rFonts w:ascii="Arial" w:eastAsia="Arial" w:hAnsi="Arial" w:cs="Arial"/>
          <w:b/>
          <w:smallCaps/>
          <w:color w:val="000000"/>
          <w:sz w:val="22"/>
          <w:szCs w:val="22"/>
        </w:rPr>
      </w:pPr>
      <w:r w:rsidRPr="00A9192B">
        <w:rPr>
          <w:rFonts w:ascii="Arial" w:eastAsia="Arial" w:hAnsi="Arial" w:cs="Arial"/>
          <w:b/>
          <w:smallCaps/>
          <w:color w:val="000000"/>
          <w:sz w:val="22"/>
          <w:szCs w:val="22"/>
        </w:rPr>
        <w:t xml:space="preserve">REFERENCES </w:t>
      </w:r>
    </w:p>
    <w:p w14:paraId="02F2F863"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Benson, H. A. E. (2006). </w:t>
      </w:r>
      <w:proofErr w:type="spellStart"/>
      <w:r w:rsidRPr="00F372E8">
        <w:rPr>
          <w:rFonts w:ascii="Times New Roman" w:eastAsia="Times New Roman" w:hAnsi="Times New Roman" w:cs="Times New Roman"/>
          <w:sz w:val="24"/>
          <w:szCs w:val="24"/>
          <w:lang w:eastAsia="en-US"/>
        </w:rPr>
        <w:t>Transfersomes</w:t>
      </w:r>
      <w:proofErr w:type="spellEnd"/>
      <w:r w:rsidRPr="00F372E8">
        <w:rPr>
          <w:rFonts w:ascii="Times New Roman" w:eastAsia="Times New Roman" w:hAnsi="Times New Roman" w:cs="Times New Roman"/>
          <w:sz w:val="24"/>
          <w:szCs w:val="24"/>
          <w:lang w:eastAsia="en-US"/>
        </w:rPr>
        <w:t xml:space="preserve"> for transdermal drug delivery. Expert Opinion on Drug Delivery, 3(6), 727–737. </w:t>
      </w:r>
      <w:hyperlink r:id="rId19" w:history="1">
        <w:r w:rsidRPr="00F372E8">
          <w:rPr>
            <w:rFonts w:ascii="Times New Roman" w:eastAsia="Times New Roman" w:hAnsi="Times New Roman" w:cs="Times New Roman"/>
            <w:color w:val="0000FF"/>
            <w:sz w:val="24"/>
            <w:szCs w:val="24"/>
            <w:u w:val="single"/>
            <w:lang w:eastAsia="en-US"/>
          </w:rPr>
          <w:t>https://doi.org/10.1517/17425247.3.6.727</w:t>
        </w:r>
      </w:hyperlink>
    </w:p>
    <w:p w14:paraId="3E2FA76F"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Bhattacharjee, S. (2016). DLS and zeta potential—What they are and what they are not? Journal of Controlled Release, 235, 337–351. </w:t>
      </w:r>
      <w:hyperlink r:id="rId20" w:history="1">
        <w:r w:rsidRPr="00F372E8">
          <w:rPr>
            <w:rFonts w:ascii="Times New Roman" w:eastAsia="Times New Roman" w:hAnsi="Times New Roman" w:cs="Times New Roman"/>
            <w:color w:val="0000FF"/>
            <w:sz w:val="24"/>
            <w:szCs w:val="24"/>
            <w:u w:val="single"/>
            <w:lang w:eastAsia="en-US"/>
          </w:rPr>
          <w:t>https://doi.org/10.1016/j.jconrel.2016.06.017</w:t>
        </w:r>
      </w:hyperlink>
    </w:p>
    <w:p w14:paraId="45373361"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Bhattacharyya, S., Lakshmanan, K. T., &amp; Muthukumar, A. (2024). Formulation and evaluation of a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of famciclovir for transdermal use. Turkish Journal of Pharmaceutical Sciences, 21(4), 303–312. </w:t>
      </w:r>
      <w:hyperlink r:id="rId21" w:history="1">
        <w:r w:rsidRPr="00F372E8">
          <w:rPr>
            <w:rFonts w:ascii="Times New Roman" w:eastAsia="Times New Roman" w:hAnsi="Times New Roman" w:cs="Times New Roman"/>
            <w:color w:val="0000FF"/>
            <w:sz w:val="24"/>
            <w:szCs w:val="24"/>
            <w:u w:val="single"/>
            <w:lang w:eastAsia="en-US"/>
          </w:rPr>
          <w:t>https://doi.org/10.4274/tjps.galenos.2023.46735</w:t>
        </w:r>
      </w:hyperlink>
    </w:p>
    <w:p w14:paraId="71BAE9DA"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Bonacucina</w:t>
      </w:r>
      <w:proofErr w:type="spellEnd"/>
      <w:r w:rsidRPr="00F372E8">
        <w:rPr>
          <w:rFonts w:ascii="Times New Roman" w:eastAsia="Times New Roman" w:hAnsi="Times New Roman" w:cs="Times New Roman"/>
          <w:sz w:val="24"/>
          <w:szCs w:val="24"/>
          <w:lang w:eastAsia="en-US"/>
        </w:rPr>
        <w:t xml:space="preserve">, G., Martelli, S., &amp; Palmieri, G. F. (2004). Rheological, mucoadhesive and release properties of Carbopol gels in hydrophilic cosolvents. International Journal of Pharmaceutics, 282(1–2), 115–130. </w:t>
      </w:r>
      <w:hyperlink r:id="rId22" w:history="1">
        <w:r w:rsidRPr="00F372E8">
          <w:rPr>
            <w:rFonts w:ascii="Times New Roman" w:eastAsia="Times New Roman" w:hAnsi="Times New Roman" w:cs="Times New Roman"/>
            <w:color w:val="0000FF"/>
            <w:sz w:val="24"/>
            <w:szCs w:val="24"/>
            <w:u w:val="single"/>
            <w:lang w:eastAsia="en-US"/>
          </w:rPr>
          <w:t>https://doi.org/10.1016/j.ijpharm.2004.06.012</w:t>
        </w:r>
      </w:hyperlink>
    </w:p>
    <w:p w14:paraId="2AAA3354"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Cevc</w:t>
      </w:r>
      <w:proofErr w:type="spellEnd"/>
      <w:r w:rsidRPr="00F372E8">
        <w:rPr>
          <w:rFonts w:ascii="Times New Roman" w:eastAsia="Times New Roman" w:hAnsi="Times New Roman" w:cs="Times New Roman"/>
          <w:sz w:val="24"/>
          <w:szCs w:val="24"/>
          <w:lang w:eastAsia="en-US"/>
        </w:rPr>
        <w:t xml:space="preserve">, G., &amp; Blume, G. (1992). Lipid vesicles penetrate into intact skin owing to the transdermal osmotic gradients and hydration force. </w:t>
      </w:r>
      <w:proofErr w:type="spellStart"/>
      <w:r w:rsidRPr="00F372E8">
        <w:rPr>
          <w:rFonts w:ascii="Times New Roman" w:eastAsia="Times New Roman" w:hAnsi="Times New Roman" w:cs="Times New Roman"/>
          <w:sz w:val="24"/>
          <w:szCs w:val="24"/>
          <w:lang w:eastAsia="en-US"/>
        </w:rPr>
        <w:t>Biochimica</w:t>
      </w:r>
      <w:proofErr w:type="spellEnd"/>
      <w:r w:rsidRPr="00F372E8">
        <w:rPr>
          <w:rFonts w:ascii="Times New Roman" w:eastAsia="Times New Roman" w:hAnsi="Times New Roman" w:cs="Times New Roman"/>
          <w:sz w:val="24"/>
          <w:szCs w:val="24"/>
          <w:lang w:eastAsia="en-US"/>
        </w:rPr>
        <w:t xml:space="preserve"> et </w:t>
      </w:r>
      <w:proofErr w:type="spellStart"/>
      <w:r w:rsidRPr="00F372E8">
        <w:rPr>
          <w:rFonts w:ascii="Times New Roman" w:eastAsia="Times New Roman" w:hAnsi="Times New Roman" w:cs="Times New Roman"/>
          <w:sz w:val="24"/>
          <w:szCs w:val="24"/>
          <w:lang w:eastAsia="en-US"/>
        </w:rPr>
        <w:t>Biophysica</w:t>
      </w:r>
      <w:proofErr w:type="spellEnd"/>
      <w:r w:rsidRPr="00F372E8">
        <w:rPr>
          <w:rFonts w:ascii="Times New Roman" w:eastAsia="Times New Roman" w:hAnsi="Times New Roman" w:cs="Times New Roman"/>
          <w:sz w:val="24"/>
          <w:szCs w:val="24"/>
          <w:lang w:eastAsia="en-US"/>
        </w:rPr>
        <w:t xml:space="preserve"> Acta (BBA) - </w:t>
      </w:r>
      <w:proofErr w:type="spellStart"/>
      <w:r w:rsidRPr="00F372E8">
        <w:rPr>
          <w:rFonts w:ascii="Times New Roman" w:eastAsia="Times New Roman" w:hAnsi="Times New Roman" w:cs="Times New Roman"/>
          <w:sz w:val="24"/>
          <w:szCs w:val="24"/>
          <w:lang w:eastAsia="en-US"/>
        </w:rPr>
        <w:t>Biomembranes</w:t>
      </w:r>
      <w:proofErr w:type="spellEnd"/>
      <w:r w:rsidRPr="00F372E8">
        <w:rPr>
          <w:rFonts w:ascii="Times New Roman" w:eastAsia="Times New Roman" w:hAnsi="Times New Roman" w:cs="Times New Roman"/>
          <w:sz w:val="24"/>
          <w:szCs w:val="24"/>
          <w:lang w:eastAsia="en-US"/>
        </w:rPr>
        <w:t xml:space="preserve">, 1104(1), 226–232. </w:t>
      </w:r>
      <w:hyperlink r:id="rId23" w:history="1">
        <w:r w:rsidRPr="00F372E8">
          <w:rPr>
            <w:rFonts w:ascii="Times New Roman" w:eastAsia="Times New Roman" w:hAnsi="Times New Roman" w:cs="Times New Roman"/>
            <w:color w:val="0000FF"/>
            <w:sz w:val="24"/>
            <w:szCs w:val="24"/>
            <w:u w:val="single"/>
            <w:lang w:eastAsia="en-US"/>
          </w:rPr>
          <w:t>https://doi.org/10.1016/0005-2736(92)90154-E</w:t>
        </w:r>
      </w:hyperlink>
    </w:p>
    <w:p w14:paraId="5E7FDCFA"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Costa, P., &amp; Sousa Lobo, J. M. (2001). Modeling and comparison of dissolution profiles. European Journal of Pharmaceutical Sciences, 13(2), 123–133. </w:t>
      </w:r>
      <w:hyperlink r:id="rId24" w:history="1">
        <w:r w:rsidRPr="00F372E8">
          <w:rPr>
            <w:rFonts w:ascii="Times New Roman" w:eastAsia="Times New Roman" w:hAnsi="Times New Roman" w:cs="Times New Roman"/>
            <w:color w:val="0000FF"/>
            <w:sz w:val="24"/>
            <w:szCs w:val="24"/>
            <w:u w:val="single"/>
            <w:lang w:eastAsia="en-US"/>
          </w:rPr>
          <w:t>https://doi.org/10.1016/S0928-0987(01)00095-1</w:t>
        </w:r>
      </w:hyperlink>
    </w:p>
    <w:p w14:paraId="6A4D5D40"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Danaei, M., </w:t>
      </w:r>
      <w:proofErr w:type="spellStart"/>
      <w:r w:rsidRPr="00F372E8">
        <w:rPr>
          <w:rFonts w:ascii="Times New Roman" w:eastAsia="Times New Roman" w:hAnsi="Times New Roman" w:cs="Times New Roman"/>
          <w:sz w:val="24"/>
          <w:szCs w:val="24"/>
          <w:lang w:eastAsia="en-US"/>
        </w:rPr>
        <w:t>Dehghankhold</w:t>
      </w:r>
      <w:proofErr w:type="spellEnd"/>
      <w:r w:rsidRPr="00F372E8">
        <w:rPr>
          <w:rFonts w:ascii="Times New Roman" w:eastAsia="Times New Roman" w:hAnsi="Times New Roman" w:cs="Times New Roman"/>
          <w:sz w:val="24"/>
          <w:szCs w:val="24"/>
          <w:lang w:eastAsia="en-US"/>
        </w:rPr>
        <w:t xml:space="preserve">, M., Ataei, S., Hasanzadeh Davarani, F., Javanmard, R., </w:t>
      </w:r>
      <w:proofErr w:type="spellStart"/>
      <w:r w:rsidRPr="00F372E8">
        <w:rPr>
          <w:rFonts w:ascii="Times New Roman" w:eastAsia="Times New Roman" w:hAnsi="Times New Roman" w:cs="Times New Roman"/>
          <w:sz w:val="24"/>
          <w:szCs w:val="24"/>
          <w:lang w:eastAsia="en-US"/>
        </w:rPr>
        <w:t>Dokhani</w:t>
      </w:r>
      <w:proofErr w:type="spellEnd"/>
      <w:r w:rsidRPr="00F372E8">
        <w:rPr>
          <w:rFonts w:ascii="Times New Roman" w:eastAsia="Times New Roman" w:hAnsi="Times New Roman" w:cs="Times New Roman"/>
          <w:sz w:val="24"/>
          <w:szCs w:val="24"/>
          <w:lang w:eastAsia="en-US"/>
        </w:rPr>
        <w:t xml:space="preserve">, A., Khorasani, S., &amp; </w:t>
      </w:r>
      <w:proofErr w:type="spellStart"/>
      <w:r w:rsidRPr="00F372E8">
        <w:rPr>
          <w:rFonts w:ascii="Times New Roman" w:eastAsia="Times New Roman" w:hAnsi="Times New Roman" w:cs="Times New Roman"/>
          <w:sz w:val="24"/>
          <w:szCs w:val="24"/>
          <w:lang w:eastAsia="en-US"/>
        </w:rPr>
        <w:t>Mozafari</w:t>
      </w:r>
      <w:proofErr w:type="spellEnd"/>
      <w:r w:rsidRPr="00F372E8">
        <w:rPr>
          <w:rFonts w:ascii="Times New Roman" w:eastAsia="Times New Roman" w:hAnsi="Times New Roman" w:cs="Times New Roman"/>
          <w:sz w:val="24"/>
          <w:szCs w:val="24"/>
          <w:lang w:eastAsia="en-US"/>
        </w:rPr>
        <w:t xml:space="preserve">, M. R. (2018). Impact of particle size and polydispersity index on the clinical applications of lipidic nanocarrier systems. Pharmaceutics, 10(2), Article 57. </w:t>
      </w:r>
      <w:hyperlink r:id="rId25" w:history="1">
        <w:r w:rsidRPr="00F372E8">
          <w:rPr>
            <w:rFonts w:ascii="Times New Roman" w:eastAsia="Times New Roman" w:hAnsi="Times New Roman" w:cs="Times New Roman"/>
            <w:color w:val="0000FF"/>
            <w:sz w:val="24"/>
            <w:szCs w:val="24"/>
            <w:u w:val="single"/>
            <w:lang w:eastAsia="en-US"/>
          </w:rPr>
          <w:t>https://doi.org/10.3390/pharmaceutics10020057</w:t>
        </w:r>
      </w:hyperlink>
    </w:p>
    <w:p w14:paraId="34FF58D0"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lastRenderedPageBreak/>
        <w:t>Dongare</w:t>
      </w:r>
      <w:proofErr w:type="spellEnd"/>
      <w:r w:rsidRPr="00F372E8">
        <w:rPr>
          <w:rFonts w:ascii="Times New Roman" w:eastAsia="Times New Roman" w:hAnsi="Times New Roman" w:cs="Times New Roman"/>
          <w:sz w:val="24"/>
          <w:szCs w:val="24"/>
          <w:lang w:eastAsia="en-US"/>
        </w:rPr>
        <w:t xml:space="preserve">, S. S., &amp; Bhogale, V. P. (2024). Development, optimization and evaluation of psoralen loaded </w:t>
      </w:r>
      <w:proofErr w:type="spellStart"/>
      <w:r w:rsidRPr="00F372E8">
        <w:rPr>
          <w:rFonts w:ascii="Times New Roman" w:eastAsia="Times New Roman" w:hAnsi="Times New Roman" w:cs="Times New Roman"/>
          <w:sz w:val="24"/>
          <w:szCs w:val="24"/>
          <w:lang w:eastAsia="en-US"/>
        </w:rPr>
        <w:t>transfersomal</w:t>
      </w:r>
      <w:proofErr w:type="spellEnd"/>
      <w:r w:rsidRPr="00F372E8">
        <w:rPr>
          <w:rFonts w:ascii="Times New Roman" w:eastAsia="Times New Roman" w:hAnsi="Times New Roman" w:cs="Times New Roman"/>
          <w:sz w:val="24"/>
          <w:szCs w:val="24"/>
          <w:lang w:eastAsia="en-US"/>
        </w:rPr>
        <w:t xml:space="preserve"> gel for treatment of psoriasis. World Journal of Pharmaceutical Research, 13(5), 660–687. </w:t>
      </w:r>
      <w:hyperlink r:id="rId26" w:history="1">
        <w:r w:rsidRPr="00F372E8">
          <w:rPr>
            <w:rFonts w:ascii="Times New Roman" w:eastAsia="Times New Roman" w:hAnsi="Times New Roman" w:cs="Times New Roman"/>
            <w:color w:val="0000FF"/>
            <w:sz w:val="24"/>
            <w:szCs w:val="24"/>
            <w:u w:val="single"/>
            <w:lang w:eastAsia="en-US"/>
          </w:rPr>
          <w:t>https://wjpr.net/abstract_show/23841</w:t>
        </w:r>
      </w:hyperlink>
    </w:p>
    <w:p w14:paraId="42FEE101"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Fatima, A., Quraishi, N., &amp; Babu, M. S. (2023). Formulation and in-vitro evaluation of gabapentin loaded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Journal of Drug Delivery and Therapeutics, 13(12), 60–67. </w:t>
      </w:r>
      <w:hyperlink r:id="rId27" w:history="1">
        <w:r w:rsidRPr="00F372E8">
          <w:rPr>
            <w:rFonts w:ascii="Times New Roman" w:eastAsia="Times New Roman" w:hAnsi="Times New Roman" w:cs="Times New Roman"/>
            <w:color w:val="0000FF"/>
            <w:sz w:val="24"/>
            <w:szCs w:val="24"/>
            <w:u w:val="single"/>
            <w:lang w:eastAsia="en-US"/>
          </w:rPr>
          <w:t>https://doi.org/10.22270/jddt.v13i12.6081</w:t>
        </w:r>
      </w:hyperlink>
    </w:p>
    <w:p w14:paraId="470ABB1B"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Fernández-García, R., </w:t>
      </w:r>
      <w:proofErr w:type="spellStart"/>
      <w:r w:rsidRPr="00F372E8">
        <w:rPr>
          <w:rFonts w:ascii="Times New Roman" w:eastAsia="Times New Roman" w:hAnsi="Times New Roman" w:cs="Times New Roman"/>
          <w:sz w:val="24"/>
          <w:szCs w:val="24"/>
          <w:lang w:eastAsia="en-US"/>
        </w:rPr>
        <w:t>Lalatsa</w:t>
      </w:r>
      <w:proofErr w:type="spellEnd"/>
      <w:r w:rsidRPr="00F372E8">
        <w:rPr>
          <w:rFonts w:ascii="Times New Roman" w:eastAsia="Times New Roman" w:hAnsi="Times New Roman" w:cs="Times New Roman"/>
          <w:sz w:val="24"/>
          <w:szCs w:val="24"/>
          <w:lang w:eastAsia="en-US"/>
        </w:rPr>
        <w:t xml:space="preserve">, A., Statts, L., </w:t>
      </w:r>
      <w:proofErr w:type="spellStart"/>
      <w:r w:rsidRPr="00F372E8">
        <w:rPr>
          <w:rFonts w:ascii="Times New Roman" w:eastAsia="Times New Roman" w:hAnsi="Times New Roman" w:cs="Times New Roman"/>
          <w:sz w:val="24"/>
          <w:szCs w:val="24"/>
          <w:lang w:eastAsia="en-US"/>
        </w:rPr>
        <w:t>Bolás</w:t>
      </w:r>
      <w:proofErr w:type="spellEnd"/>
      <w:r w:rsidRPr="00F372E8">
        <w:rPr>
          <w:rFonts w:ascii="Times New Roman" w:eastAsia="Times New Roman" w:hAnsi="Times New Roman" w:cs="Times New Roman"/>
          <w:sz w:val="24"/>
          <w:szCs w:val="24"/>
          <w:lang w:eastAsia="en-US"/>
        </w:rPr>
        <w:t xml:space="preserve">-Fernández, F., Ballesteros, M. P., &amp; Serrano, D. R. (2020). Transferosomes as nanocarriers for drugs across the skin: Quality by design from lab to industrial scale. International Journal of Pharmaceutics, 573, Article 118817. </w:t>
      </w:r>
      <w:hyperlink r:id="rId28" w:history="1">
        <w:r w:rsidRPr="00F372E8">
          <w:rPr>
            <w:rFonts w:ascii="Times New Roman" w:eastAsia="Times New Roman" w:hAnsi="Times New Roman" w:cs="Times New Roman"/>
            <w:color w:val="0000FF"/>
            <w:sz w:val="24"/>
            <w:szCs w:val="24"/>
            <w:u w:val="single"/>
            <w:lang w:eastAsia="en-US"/>
          </w:rPr>
          <w:t>https://doi.org/10.1016/j.ijpharm.2019.118817</w:t>
        </w:r>
      </w:hyperlink>
    </w:p>
    <w:p w14:paraId="01B8C930"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Galinytė</w:t>
      </w:r>
      <w:proofErr w:type="spellEnd"/>
      <w:r w:rsidRPr="00F372E8">
        <w:rPr>
          <w:rFonts w:ascii="Times New Roman" w:eastAsia="Times New Roman" w:hAnsi="Times New Roman" w:cs="Times New Roman"/>
          <w:sz w:val="24"/>
          <w:szCs w:val="24"/>
          <w:lang w:eastAsia="en-US"/>
        </w:rPr>
        <w:t xml:space="preserve">, D., </w:t>
      </w:r>
      <w:proofErr w:type="spellStart"/>
      <w:r w:rsidRPr="00F372E8">
        <w:rPr>
          <w:rFonts w:ascii="Times New Roman" w:eastAsia="Times New Roman" w:hAnsi="Times New Roman" w:cs="Times New Roman"/>
          <w:sz w:val="24"/>
          <w:szCs w:val="24"/>
          <w:lang w:eastAsia="en-US"/>
        </w:rPr>
        <w:t>Aroffu</w:t>
      </w:r>
      <w:proofErr w:type="spellEnd"/>
      <w:r w:rsidRPr="00F372E8">
        <w:rPr>
          <w:rFonts w:ascii="Times New Roman" w:eastAsia="Times New Roman" w:hAnsi="Times New Roman" w:cs="Times New Roman"/>
          <w:sz w:val="24"/>
          <w:szCs w:val="24"/>
          <w:lang w:eastAsia="en-US"/>
        </w:rPr>
        <w:t xml:space="preserve">, M., </w:t>
      </w:r>
      <w:proofErr w:type="spellStart"/>
      <w:r w:rsidRPr="00F372E8">
        <w:rPr>
          <w:rFonts w:ascii="Times New Roman" w:eastAsia="Times New Roman" w:hAnsi="Times New Roman" w:cs="Times New Roman"/>
          <w:sz w:val="24"/>
          <w:szCs w:val="24"/>
          <w:lang w:eastAsia="en-US"/>
        </w:rPr>
        <w:t>Manconi</w:t>
      </w:r>
      <w:proofErr w:type="spellEnd"/>
      <w:r w:rsidRPr="00F372E8">
        <w:rPr>
          <w:rFonts w:ascii="Times New Roman" w:eastAsia="Times New Roman" w:hAnsi="Times New Roman" w:cs="Times New Roman"/>
          <w:sz w:val="24"/>
          <w:szCs w:val="24"/>
          <w:lang w:eastAsia="en-US"/>
        </w:rPr>
        <w:t xml:space="preserve">, M., Žilius, M., Rysevaitė-Kyguolienė, K., </w:t>
      </w:r>
      <w:proofErr w:type="spellStart"/>
      <w:r w:rsidRPr="00F372E8">
        <w:rPr>
          <w:rFonts w:ascii="Times New Roman" w:eastAsia="Times New Roman" w:hAnsi="Times New Roman" w:cs="Times New Roman"/>
          <w:sz w:val="24"/>
          <w:szCs w:val="24"/>
          <w:lang w:eastAsia="en-US"/>
        </w:rPr>
        <w:t>Karosienė</w:t>
      </w:r>
      <w:proofErr w:type="spellEnd"/>
      <w:r w:rsidRPr="00F372E8">
        <w:rPr>
          <w:rFonts w:ascii="Times New Roman" w:eastAsia="Times New Roman" w:hAnsi="Times New Roman" w:cs="Times New Roman"/>
          <w:sz w:val="24"/>
          <w:szCs w:val="24"/>
          <w:lang w:eastAsia="en-US"/>
        </w:rPr>
        <w:t xml:space="preserve">, J., </w:t>
      </w:r>
      <w:proofErr w:type="spellStart"/>
      <w:r w:rsidRPr="00F372E8">
        <w:rPr>
          <w:rFonts w:ascii="Times New Roman" w:eastAsia="Times New Roman" w:hAnsi="Times New Roman" w:cs="Times New Roman"/>
          <w:sz w:val="24"/>
          <w:szCs w:val="24"/>
          <w:lang w:eastAsia="en-US"/>
        </w:rPr>
        <w:t>Koreivienė</w:t>
      </w:r>
      <w:proofErr w:type="spellEnd"/>
      <w:r w:rsidRPr="00F372E8">
        <w:rPr>
          <w:rFonts w:ascii="Times New Roman" w:eastAsia="Times New Roman" w:hAnsi="Times New Roman" w:cs="Times New Roman"/>
          <w:sz w:val="24"/>
          <w:szCs w:val="24"/>
          <w:lang w:eastAsia="en-US"/>
        </w:rPr>
        <w:t xml:space="preserve">, J., Briedis, V., Pauža, D. H., Savickas, A., Escribano Ferrer, E., Manca, M. L., &amp; </w:t>
      </w:r>
      <w:proofErr w:type="spellStart"/>
      <w:r w:rsidRPr="00F372E8">
        <w:rPr>
          <w:rFonts w:ascii="Times New Roman" w:eastAsia="Times New Roman" w:hAnsi="Times New Roman" w:cs="Times New Roman"/>
          <w:sz w:val="24"/>
          <w:szCs w:val="24"/>
          <w:lang w:eastAsia="en-US"/>
        </w:rPr>
        <w:t>Savickienė</w:t>
      </w:r>
      <w:proofErr w:type="spellEnd"/>
      <w:r w:rsidRPr="00F372E8">
        <w:rPr>
          <w:rFonts w:ascii="Times New Roman" w:eastAsia="Times New Roman" w:hAnsi="Times New Roman" w:cs="Times New Roman"/>
          <w:sz w:val="24"/>
          <w:szCs w:val="24"/>
          <w:lang w:eastAsia="en-US"/>
        </w:rPr>
        <w:t xml:space="preserve">, N. (2025). Cyano-phycocyanin loaded enriched </w:t>
      </w:r>
      <w:proofErr w:type="spellStart"/>
      <w:r w:rsidRPr="00F372E8">
        <w:rPr>
          <w:rFonts w:ascii="Times New Roman" w:eastAsia="Times New Roman" w:hAnsi="Times New Roman" w:cs="Times New Roman"/>
          <w:sz w:val="24"/>
          <w:szCs w:val="24"/>
          <w:lang w:eastAsia="en-US"/>
        </w:rPr>
        <w:t>transfersomes</w:t>
      </w:r>
      <w:proofErr w:type="spellEnd"/>
      <w:r w:rsidRPr="00F372E8">
        <w:rPr>
          <w:rFonts w:ascii="Times New Roman" w:eastAsia="Times New Roman" w:hAnsi="Times New Roman" w:cs="Times New Roman"/>
          <w:sz w:val="24"/>
          <w:szCs w:val="24"/>
          <w:lang w:eastAsia="en-US"/>
        </w:rPr>
        <w:t xml:space="preserve"> for enhanced topical skin delivery and antioxidant protection. International Journal of Pharmaceutics, 683, Article 126079. </w:t>
      </w:r>
      <w:hyperlink r:id="rId29" w:history="1">
        <w:r w:rsidRPr="00F372E8">
          <w:rPr>
            <w:rFonts w:ascii="Times New Roman" w:eastAsia="Times New Roman" w:hAnsi="Times New Roman" w:cs="Times New Roman"/>
            <w:color w:val="0000FF"/>
            <w:sz w:val="24"/>
            <w:szCs w:val="24"/>
            <w:u w:val="single"/>
            <w:lang w:eastAsia="en-US"/>
          </w:rPr>
          <w:t>https://doi.org/10.1016/j.ijpharm.2025.126079</w:t>
        </w:r>
      </w:hyperlink>
    </w:p>
    <w:p w14:paraId="290AE9C4"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Gosavi, A. A., Thorat, P. A., &amp; Mulla, J. A. S. (2024). Formulation and evaluation of acyclovir loaded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for transdermal drug delivery. Journal of Drug Delivery and Therapeutics, 14(9), 122–130. </w:t>
      </w:r>
      <w:hyperlink r:id="rId30" w:history="1">
        <w:r w:rsidRPr="00F372E8">
          <w:rPr>
            <w:rFonts w:ascii="Times New Roman" w:eastAsia="Times New Roman" w:hAnsi="Times New Roman" w:cs="Times New Roman"/>
            <w:color w:val="0000FF"/>
            <w:sz w:val="24"/>
            <w:szCs w:val="24"/>
            <w:u w:val="single"/>
            <w:lang w:eastAsia="en-US"/>
          </w:rPr>
          <w:t>https://doi.org/10.22270/jddt.v14i9.6786</w:t>
        </w:r>
      </w:hyperlink>
    </w:p>
    <w:p w14:paraId="22B6C7F1"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Higuchi, T. (1963). Mechanism of sustained-action medication: Theoretical analysis of rate of release of solid drugs dispersed in solid matrices. Journal of Pharmaceutical Sciences, 52(12), 1145–1149. </w:t>
      </w:r>
      <w:hyperlink r:id="rId31" w:history="1">
        <w:r w:rsidRPr="00F372E8">
          <w:rPr>
            <w:rFonts w:ascii="Times New Roman" w:eastAsia="Times New Roman" w:hAnsi="Times New Roman" w:cs="Times New Roman"/>
            <w:color w:val="0000FF"/>
            <w:sz w:val="24"/>
            <w:szCs w:val="24"/>
            <w:u w:val="single"/>
            <w:lang w:eastAsia="en-US"/>
          </w:rPr>
          <w:t>https://doi.org/10.1002/jps.2600521210</w:t>
        </w:r>
      </w:hyperlink>
    </w:p>
    <w:p w14:paraId="59213AD2"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Humnabade</w:t>
      </w:r>
      <w:proofErr w:type="spellEnd"/>
      <w:r w:rsidRPr="00F372E8">
        <w:rPr>
          <w:rFonts w:ascii="Times New Roman" w:eastAsia="Times New Roman" w:hAnsi="Times New Roman" w:cs="Times New Roman"/>
          <w:sz w:val="24"/>
          <w:szCs w:val="24"/>
          <w:lang w:eastAsia="en-US"/>
        </w:rPr>
        <w:t xml:space="preserve">, S. N., </w:t>
      </w:r>
      <w:proofErr w:type="spellStart"/>
      <w:r w:rsidRPr="00F372E8">
        <w:rPr>
          <w:rFonts w:ascii="Times New Roman" w:eastAsia="Times New Roman" w:hAnsi="Times New Roman" w:cs="Times New Roman"/>
          <w:sz w:val="24"/>
          <w:szCs w:val="24"/>
          <w:lang w:eastAsia="en-US"/>
        </w:rPr>
        <w:t>Nagoba</w:t>
      </w:r>
      <w:proofErr w:type="spellEnd"/>
      <w:r w:rsidRPr="00F372E8">
        <w:rPr>
          <w:rFonts w:ascii="Times New Roman" w:eastAsia="Times New Roman" w:hAnsi="Times New Roman" w:cs="Times New Roman"/>
          <w:sz w:val="24"/>
          <w:szCs w:val="24"/>
          <w:lang w:eastAsia="en-US"/>
        </w:rPr>
        <w:t xml:space="preserve">, S. N., </w:t>
      </w:r>
      <w:proofErr w:type="spellStart"/>
      <w:r w:rsidRPr="00F372E8">
        <w:rPr>
          <w:rFonts w:ascii="Times New Roman" w:eastAsia="Times New Roman" w:hAnsi="Times New Roman" w:cs="Times New Roman"/>
          <w:sz w:val="24"/>
          <w:szCs w:val="24"/>
          <w:lang w:eastAsia="en-US"/>
        </w:rPr>
        <w:t>Nagare</w:t>
      </w:r>
      <w:proofErr w:type="spellEnd"/>
      <w:r w:rsidRPr="00F372E8">
        <w:rPr>
          <w:rFonts w:ascii="Times New Roman" w:eastAsia="Times New Roman" w:hAnsi="Times New Roman" w:cs="Times New Roman"/>
          <w:sz w:val="24"/>
          <w:szCs w:val="24"/>
          <w:lang w:eastAsia="en-US"/>
        </w:rPr>
        <w:t xml:space="preserve">, S. K., Fugate, A. R., &amp; </w:t>
      </w:r>
      <w:proofErr w:type="spellStart"/>
      <w:r w:rsidRPr="00F372E8">
        <w:rPr>
          <w:rFonts w:ascii="Times New Roman" w:eastAsia="Times New Roman" w:hAnsi="Times New Roman" w:cs="Times New Roman"/>
          <w:sz w:val="24"/>
          <w:szCs w:val="24"/>
          <w:lang w:eastAsia="en-US"/>
        </w:rPr>
        <w:t>Somwanshi</w:t>
      </w:r>
      <w:proofErr w:type="spellEnd"/>
      <w:r w:rsidRPr="00F372E8">
        <w:rPr>
          <w:rFonts w:ascii="Times New Roman" w:eastAsia="Times New Roman" w:hAnsi="Times New Roman" w:cs="Times New Roman"/>
          <w:sz w:val="24"/>
          <w:szCs w:val="24"/>
          <w:lang w:eastAsia="en-US"/>
        </w:rPr>
        <w:t xml:space="preserve">, B. T. (2024). Formulation and evaluation of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as a potential therapy for treatment of cellulitis. African Journal of Biological Sciences, 6(14), 8650–8657. </w:t>
      </w:r>
      <w:hyperlink r:id="rId32" w:history="1">
        <w:r w:rsidRPr="00F372E8">
          <w:rPr>
            <w:rFonts w:ascii="Times New Roman" w:eastAsia="Times New Roman" w:hAnsi="Times New Roman" w:cs="Times New Roman"/>
            <w:color w:val="0000FF"/>
            <w:sz w:val="24"/>
            <w:szCs w:val="24"/>
            <w:u w:val="single"/>
            <w:lang w:eastAsia="en-US"/>
          </w:rPr>
          <w:t>https://afjbs.com/issue-content/formulation-and-evaluation-of-transferosomal-gel-as-a-potential-therapy-for-treatment-of-cellulitis-6683</w:t>
        </w:r>
      </w:hyperlink>
    </w:p>
    <w:p w14:paraId="6ADA750F"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Iftikhar, I., Barkat, K., Badshah, S. F., Ashraf, M. U., Mehmood, Y., Anjum, I., </w:t>
      </w:r>
      <w:proofErr w:type="spellStart"/>
      <w:r w:rsidRPr="00F372E8">
        <w:rPr>
          <w:rFonts w:ascii="Times New Roman" w:eastAsia="Times New Roman" w:hAnsi="Times New Roman" w:cs="Times New Roman"/>
          <w:sz w:val="24"/>
          <w:szCs w:val="24"/>
          <w:lang w:eastAsia="en-US"/>
        </w:rPr>
        <w:t>Shazly</w:t>
      </w:r>
      <w:proofErr w:type="spellEnd"/>
      <w:r w:rsidRPr="00F372E8">
        <w:rPr>
          <w:rFonts w:ascii="Times New Roman" w:eastAsia="Times New Roman" w:hAnsi="Times New Roman" w:cs="Times New Roman"/>
          <w:sz w:val="24"/>
          <w:szCs w:val="24"/>
          <w:lang w:eastAsia="en-US"/>
        </w:rPr>
        <w:t xml:space="preserve">, G. A., </w:t>
      </w:r>
      <w:proofErr w:type="spellStart"/>
      <w:r w:rsidRPr="00F372E8">
        <w:rPr>
          <w:rFonts w:ascii="Times New Roman" w:eastAsia="Times New Roman" w:hAnsi="Times New Roman" w:cs="Times New Roman"/>
          <w:sz w:val="24"/>
          <w:szCs w:val="24"/>
          <w:lang w:eastAsia="en-US"/>
        </w:rPr>
        <w:t>Metouekel</w:t>
      </w:r>
      <w:proofErr w:type="spellEnd"/>
      <w:r w:rsidRPr="00F372E8">
        <w:rPr>
          <w:rFonts w:ascii="Times New Roman" w:eastAsia="Times New Roman" w:hAnsi="Times New Roman" w:cs="Times New Roman"/>
          <w:sz w:val="24"/>
          <w:szCs w:val="24"/>
          <w:lang w:eastAsia="en-US"/>
        </w:rPr>
        <w:t xml:space="preserve">, A., </w:t>
      </w:r>
      <w:proofErr w:type="spellStart"/>
      <w:r w:rsidRPr="00F372E8">
        <w:rPr>
          <w:rFonts w:ascii="Times New Roman" w:eastAsia="Times New Roman" w:hAnsi="Times New Roman" w:cs="Times New Roman"/>
          <w:sz w:val="24"/>
          <w:szCs w:val="24"/>
          <w:lang w:eastAsia="en-US"/>
        </w:rPr>
        <w:t>Younous</w:t>
      </w:r>
      <w:proofErr w:type="spellEnd"/>
      <w:r w:rsidRPr="00F372E8">
        <w:rPr>
          <w:rFonts w:ascii="Times New Roman" w:eastAsia="Times New Roman" w:hAnsi="Times New Roman" w:cs="Times New Roman"/>
          <w:sz w:val="24"/>
          <w:szCs w:val="24"/>
          <w:lang w:eastAsia="en-US"/>
        </w:rPr>
        <w:t xml:space="preserve">, Y. A., &amp; </w:t>
      </w:r>
      <w:proofErr w:type="spellStart"/>
      <w:r w:rsidRPr="00F372E8">
        <w:rPr>
          <w:rFonts w:ascii="Times New Roman" w:eastAsia="Times New Roman" w:hAnsi="Times New Roman" w:cs="Times New Roman"/>
          <w:sz w:val="24"/>
          <w:szCs w:val="24"/>
          <w:lang w:eastAsia="en-US"/>
        </w:rPr>
        <w:t>Bourhia</w:t>
      </w:r>
      <w:proofErr w:type="spellEnd"/>
      <w:r w:rsidRPr="00F372E8">
        <w:rPr>
          <w:rFonts w:ascii="Times New Roman" w:eastAsia="Times New Roman" w:hAnsi="Times New Roman" w:cs="Times New Roman"/>
          <w:sz w:val="24"/>
          <w:szCs w:val="24"/>
          <w:lang w:eastAsia="en-US"/>
        </w:rPr>
        <w:t xml:space="preserve">, M. (2025). Formulation of pH responsive polymeric hydrogels for prolonged delivery of famciclovir with biosafety evaluation. Scientific Reports, 15, Article 18686. </w:t>
      </w:r>
      <w:hyperlink r:id="rId33" w:history="1">
        <w:r w:rsidRPr="00F372E8">
          <w:rPr>
            <w:rFonts w:ascii="Times New Roman" w:eastAsia="Times New Roman" w:hAnsi="Times New Roman" w:cs="Times New Roman"/>
            <w:color w:val="0000FF"/>
            <w:sz w:val="24"/>
            <w:szCs w:val="24"/>
            <w:u w:val="single"/>
            <w:lang w:eastAsia="en-US"/>
          </w:rPr>
          <w:t>https://doi.org/10.1038/s41598-025-96739-4</w:t>
        </w:r>
      </w:hyperlink>
    </w:p>
    <w:p w14:paraId="59C9BA6E"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Islam, M. T., Rodríguez-Hornedo, N., Ciotti, S., &amp; Ackermann, C. (2004). Rheological characterization of topical carbomer gels neutralized to different </w:t>
      </w:r>
      <w:proofErr w:type="spellStart"/>
      <w:r w:rsidRPr="00F372E8">
        <w:rPr>
          <w:rFonts w:ascii="Times New Roman" w:eastAsia="Times New Roman" w:hAnsi="Times New Roman" w:cs="Times New Roman"/>
          <w:sz w:val="24"/>
          <w:szCs w:val="24"/>
          <w:lang w:eastAsia="en-US"/>
        </w:rPr>
        <w:t>pH.</w:t>
      </w:r>
      <w:proofErr w:type="spellEnd"/>
      <w:r w:rsidRPr="00F372E8">
        <w:rPr>
          <w:rFonts w:ascii="Times New Roman" w:eastAsia="Times New Roman" w:hAnsi="Times New Roman" w:cs="Times New Roman"/>
          <w:sz w:val="24"/>
          <w:szCs w:val="24"/>
          <w:lang w:eastAsia="en-US"/>
        </w:rPr>
        <w:t xml:space="preserve"> </w:t>
      </w:r>
      <w:r w:rsidRPr="00F372E8">
        <w:rPr>
          <w:rFonts w:ascii="Times New Roman" w:eastAsia="Times New Roman" w:hAnsi="Times New Roman" w:cs="Times New Roman"/>
          <w:sz w:val="24"/>
          <w:szCs w:val="24"/>
          <w:lang w:eastAsia="en-US"/>
        </w:rPr>
        <w:lastRenderedPageBreak/>
        <w:t xml:space="preserve">Pharmaceutical Research, 21(7), 1192–1199. </w:t>
      </w:r>
      <w:hyperlink r:id="rId34" w:history="1">
        <w:r w:rsidRPr="00F372E8">
          <w:rPr>
            <w:rFonts w:ascii="Times New Roman" w:eastAsia="Times New Roman" w:hAnsi="Times New Roman" w:cs="Times New Roman"/>
            <w:color w:val="0000FF"/>
            <w:sz w:val="24"/>
            <w:szCs w:val="24"/>
            <w:u w:val="single"/>
            <w:lang w:eastAsia="en-US"/>
          </w:rPr>
          <w:t>https://doi.org/10.1023/B:PHAM.0000033006.11619.07</w:t>
        </w:r>
      </w:hyperlink>
    </w:p>
    <w:p w14:paraId="2B020313"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Jasmin, M. K. P., Battu, S., &amp; Vishwanath, B. A. (2024). Transferosomes for effective transdermal drug delivery. International Journal of Pharmaceutical Sciences Review and Research, 84(4), 10–21. </w:t>
      </w:r>
      <w:hyperlink r:id="rId35" w:history="1">
        <w:r w:rsidRPr="00F372E8">
          <w:rPr>
            <w:rFonts w:ascii="Times New Roman" w:eastAsia="Times New Roman" w:hAnsi="Times New Roman" w:cs="Times New Roman"/>
            <w:color w:val="0000FF"/>
            <w:sz w:val="24"/>
            <w:szCs w:val="24"/>
            <w:u w:val="single"/>
            <w:lang w:eastAsia="en-US"/>
          </w:rPr>
          <w:t>https://doi.org/10.47583/ijpsrr.2024.v84i04.002</w:t>
        </w:r>
      </w:hyperlink>
    </w:p>
    <w:p w14:paraId="073CC613"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Jin, X., Alavi, S. E., Shafiee, A., Leite-Silva, V. R., </w:t>
      </w:r>
      <w:proofErr w:type="spellStart"/>
      <w:r w:rsidRPr="00F372E8">
        <w:rPr>
          <w:rFonts w:ascii="Times New Roman" w:eastAsia="Times New Roman" w:hAnsi="Times New Roman" w:cs="Times New Roman"/>
          <w:sz w:val="24"/>
          <w:szCs w:val="24"/>
          <w:lang w:eastAsia="en-US"/>
        </w:rPr>
        <w:t>Khosrotehrani</w:t>
      </w:r>
      <w:proofErr w:type="spellEnd"/>
      <w:r w:rsidRPr="00F372E8">
        <w:rPr>
          <w:rFonts w:ascii="Times New Roman" w:eastAsia="Times New Roman" w:hAnsi="Times New Roman" w:cs="Times New Roman"/>
          <w:sz w:val="24"/>
          <w:szCs w:val="24"/>
          <w:lang w:eastAsia="en-US"/>
        </w:rPr>
        <w:t xml:space="preserve">, K., &amp; Mohammed, Y. (2023). Metamorphosis of topical semisolid products—Understanding the role of rheological properties in drug permeation under the “in use” condition. Pharmaceutics, 15(6), Article 1707. </w:t>
      </w:r>
      <w:hyperlink r:id="rId36" w:history="1">
        <w:r w:rsidRPr="00F372E8">
          <w:rPr>
            <w:rFonts w:ascii="Times New Roman" w:eastAsia="Times New Roman" w:hAnsi="Times New Roman" w:cs="Times New Roman"/>
            <w:color w:val="0000FF"/>
            <w:sz w:val="24"/>
            <w:szCs w:val="24"/>
            <w:u w:val="single"/>
            <w:lang w:eastAsia="en-US"/>
          </w:rPr>
          <w:t>https://doi.org/10.3390/pharmaceutics15061707</w:t>
        </w:r>
      </w:hyperlink>
    </w:p>
    <w:p w14:paraId="41877608"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Joshi, V., Semwal, A., Patel, K., &amp; Koul, R. (2026). </w:t>
      </w:r>
      <w:proofErr w:type="spellStart"/>
      <w:r w:rsidRPr="00F372E8">
        <w:rPr>
          <w:rFonts w:ascii="Times New Roman" w:eastAsia="Times New Roman" w:hAnsi="Times New Roman" w:cs="Times New Roman"/>
          <w:sz w:val="24"/>
          <w:szCs w:val="24"/>
          <w:lang w:eastAsia="en-US"/>
        </w:rPr>
        <w:t>Microsponge</w:t>
      </w:r>
      <w:proofErr w:type="spellEnd"/>
      <w:r w:rsidRPr="00F372E8">
        <w:rPr>
          <w:rFonts w:ascii="Times New Roman" w:eastAsia="Times New Roman" w:hAnsi="Times New Roman" w:cs="Times New Roman"/>
          <w:sz w:val="24"/>
          <w:szCs w:val="24"/>
          <w:lang w:eastAsia="en-US"/>
        </w:rPr>
        <w:t xml:space="preserve">-based drug delivery systems: Recent developments and therapeutic applications. Journal of Basic and Applied Research International, 32(4), 81–94. </w:t>
      </w:r>
      <w:hyperlink r:id="rId37" w:history="1">
        <w:r w:rsidRPr="00F372E8">
          <w:rPr>
            <w:rFonts w:ascii="Times New Roman" w:eastAsia="Times New Roman" w:hAnsi="Times New Roman" w:cs="Times New Roman"/>
            <w:color w:val="0000FF"/>
            <w:sz w:val="24"/>
            <w:szCs w:val="24"/>
            <w:u w:val="single"/>
            <w:lang w:eastAsia="en-US"/>
          </w:rPr>
          <w:t>https://doi.org/10.56557/jobari/2026/v32i410837</w:t>
        </w:r>
      </w:hyperlink>
    </w:p>
    <w:p w14:paraId="04C7F46A"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Kanugo</w:t>
      </w:r>
      <w:proofErr w:type="spellEnd"/>
      <w:r w:rsidRPr="00F372E8">
        <w:rPr>
          <w:rFonts w:ascii="Times New Roman" w:eastAsia="Times New Roman" w:hAnsi="Times New Roman" w:cs="Times New Roman"/>
          <w:sz w:val="24"/>
          <w:szCs w:val="24"/>
          <w:lang w:eastAsia="en-US"/>
        </w:rPr>
        <w:t xml:space="preserve">, A., Deshpande, A., &amp; Sharma, R. (2023). Formulation optimization and evaluation of </w:t>
      </w:r>
      <w:proofErr w:type="spellStart"/>
      <w:r w:rsidRPr="00F372E8">
        <w:rPr>
          <w:rFonts w:ascii="Times New Roman" w:eastAsia="Times New Roman" w:hAnsi="Times New Roman" w:cs="Times New Roman"/>
          <w:sz w:val="24"/>
          <w:szCs w:val="24"/>
          <w:lang w:eastAsia="en-US"/>
        </w:rPr>
        <w:t>nanocochleate</w:t>
      </w:r>
      <w:proofErr w:type="spellEnd"/>
      <w:r w:rsidRPr="00F372E8">
        <w:rPr>
          <w:rFonts w:ascii="Times New Roman" w:eastAsia="Times New Roman" w:hAnsi="Times New Roman" w:cs="Times New Roman"/>
          <w:sz w:val="24"/>
          <w:szCs w:val="24"/>
          <w:lang w:eastAsia="en-US"/>
        </w:rPr>
        <w:t xml:space="preserve"> gel of famciclovir for the treatment of herpes zoster. Recent Patents on Nanotechnology, 17(3), 259–269. </w:t>
      </w:r>
      <w:hyperlink r:id="rId38" w:history="1">
        <w:r w:rsidRPr="00F372E8">
          <w:rPr>
            <w:rFonts w:ascii="Times New Roman" w:eastAsia="Times New Roman" w:hAnsi="Times New Roman" w:cs="Times New Roman"/>
            <w:color w:val="0000FF"/>
            <w:sz w:val="24"/>
            <w:szCs w:val="24"/>
            <w:u w:val="single"/>
            <w:lang w:eastAsia="en-US"/>
          </w:rPr>
          <w:t>https://doi.org/10.2174/1872210516666220622115553</w:t>
        </w:r>
      </w:hyperlink>
    </w:p>
    <w:p w14:paraId="05F84261"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Korsmeyer, R. W., Gurny, R., Doelker, E., Buri, P., &amp; Peppas, N. A. (1983). Mechanisms of solute release from porous hydrophilic polymers. International Journal of Pharmaceutics, 15(1), 25–35. </w:t>
      </w:r>
      <w:hyperlink r:id="rId39" w:history="1">
        <w:r w:rsidRPr="00F372E8">
          <w:rPr>
            <w:rFonts w:ascii="Times New Roman" w:eastAsia="Times New Roman" w:hAnsi="Times New Roman" w:cs="Times New Roman"/>
            <w:color w:val="0000FF"/>
            <w:sz w:val="24"/>
            <w:szCs w:val="24"/>
            <w:u w:val="single"/>
            <w:lang w:eastAsia="en-US"/>
          </w:rPr>
          <w:t>https://doi.org/10.1016/0378-5173(83)90064-9</w:t>
        </w:r>
      </w:hyperlink>
    </w:p>
    <w:p w14:paraId="20173BBD"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Kumar, P. K., &amp; Kumar, R. S. (2021). Review on transferosomes and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gels. Journal of Pharmaceutical Research International, 33(43B), 114–126. </w:t>
      </w:r>
      <w:hyperlink r:id="rId40" w:history="1">
        <w:r w:rsidRPr="00F372E8">
          <w:rPr>
            <w:rFonts w:ascii="Times New Roman" w:eastAsia="Times New Roman" w:hAnsi="Times New Roman" w:cs="Times New Roman"/>
            <w:color w:val="0000FF"/>
            <w:sz w:val="24"/>
            <w:szCs w:val="24"/>
            <w:u w:val="single"/>
            <w:lang w:eastAsia="en-US"/>
          </w:rPr>
          <w:t>https://doi.org/10.9734/jpri/2021/v33i43B32532</w:t>
        </w:r>
      </w:hyperlink>
    </w:p>
    <w:p w14:paraId="365B737D"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Lotfy, H. M., Abd El-Moneim </w:t>
      </w:r>
      <w:proofErr w:type="spellStart"/>
      <w:r w:rsidRPr="00F372E8">
        <w:rPr>
          <w:rFonts w:ascii="Times New Roman" w:eastAsia="Times New Roman" w:hAnsi="Times New Roman" w:cs="Times New Roman"/>
          <w:sz w:val="24"/>
          <w:szCs w:val="24"/>
          <w:lang w:eastAsia="en-US"/>
        </w:rPr>
        <w:t>Abosen</w:t>
      </w:r>
      <w:proofErr w:type="spellEnd"/>
      <w:r w:rsidRPr="00F372E8">
        <w:rPr>
          <w:rFonts w:ascii="Times New Roman" w:eastAsia="Times New Roman" w:hAnsi="Times New Roman" w:cs="Times New Roman"/>
          <w:sz w:val="24"/>
          <w:szCs w:val="24"/>
          <w:lang w:eastAsia="en-US"/>
        </w:rPr>
        <w:t>, M. M., &amp; El-</w:t>
      </w:r>
      <w:proofErr w:type="spellStart"/>
      <w:r w:rsidRPr="00F372E8">
        <w:rPr>
          <w:rFonts w:ascii="Times New Roman" w:eastAsia="Times New Roman" w:hAnsi="Times New Roman" w:cs="Times New Roman"/>
          <w:sz w:val="24"/>
          <w:szCs w:val="24"/>
          <w:lang w:eastAsia="en-US"/>
        </w:rPr>
        <w:t>Bardicy</w:t>
      </w:r>
      <w:proofErr w:type="spellEnd"/>
      <w:r w:rsidRPr="00F372E8">
        <w:rPr>
          <w:rFonts w:ascii="Times New Roman" w:eastAsia="Times New Roman" w:hAnsi="Times New Roman" w:cs="Times New Roman"/>
          <w:sz w:val="24"/>
          <w:szCs w:val="24"/>
          <w:lang w:eastAsia="en-US"/>
        </w:rPr>
        <w:t xml:space="preserve">, M. G. (2010). Stability-indicating methods for the determination of famciclovir in the presence of its alkaline-induced degradation product. Drug Testing and Analysis, 2(4), 188–199. </w:t>
      </w:r>
      <w:hyperlink r:id="rId41" w:history="1">
        <w:r w:rsidRPr="00F372E8">
          <w:rPr>
            <w:rFonts w:ascii="Times New Roman" w:eastAsia="Times New Roman" w:hAnsi="Times New Roman" w:cs="Times New Roman"/>
            <w:color w:val="0000FF"/>
            <w:sz w:val="24"/>
            <w:szCs w:val="24"/>
            <w:u w:val="single"/>
            <w:lang w:eastAsia="en-US"/>
          </w:rPr>
          <w:t>https://doi.org/10.1002/dta.119</w:t>
        </w:r>
      </w:hyperlink>
    </w:p>
    <w:p w14:paraId="6D6A543B"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Madhulika, &amp; Gupta, M. K. (2023). Formulation and development of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incorporating with chrysin for topical application. Indo American Journal of Pharmaceutical Sciences, 10(6), 170–176. </w:t>
      </w:r>
      <w:hyperlink r:id="rId42" w:history="1">
        <w:r w:rsidRPr="00F372E8">
          <w:rPr>
            <w:rFonts w:ascii="Times New Roman" w:eastAsia="Times New Roman" w:hAnsi="Times New Roman" w:cs="Times New Roman"/>
            <w:color w:val="0000FF"/>
            <w:sz w:val="24"/>
            <w:szCs w:val="24"/>
            <w:u w:val="single"/>
            <w:lang w:eastAsia="en-US"/>
          </w:rPr>
          <w:t>https://doi.org/10.5281/zenodo.8127421</w:t>
        </w:r>
      </w:hyperlink>
    </w:p>
    <w:p w14:paraId="232E42C3"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Matharoo</w:t>
      </w:r>
      <w:proofErr w:type="spellEnd"/>
      <w:r w:rsidRPr="00F372E8">
        <w:rPr>
          <w:rFonts w:ascii="Times New Roman" w:eastAsia="Times New Roman" w:hAnsi="Times New Roman" w:cs="Times New Roman"/>
          <w:sz w:val="24"/>
          <w:szCs w:val="24"/>
          <w:lang w:eastAsia="en-US"/>
        </w:rPr>
        <w:t xml:space="preserve">, N., Mohd, H., &amp; Michniak-Kohn, B. (2024). Transferosomes as a transdermal drug delivery system: Dermal kinetics and recent developments. WIREs </w:t>
      </w:r>
      <w:r w:rsidRPr="00F372E8">
        <w:rPr>
          <w:rFonts w:ascii="Times New Roman" w:eastAsia="Times New Roman" w:hAnsi="Times New Roman" w:cs="Times New Roman"/>
          <w:sz w:val="24"/>
          <w:szCs w:val="24"/>
          <w:lang w:eastAsia="en-US"/>
        </w:rPr>
        <w:lastRenderedPageBreak/>
        <w:t xml:space="preserve">Nanomedicine and Nanobiotechnology, 16(1), Article e1918. </w:t>
      </w:r>
      <w:hyperlink r:id="rId43" w:history="1">
        <w:r w:rsidRPr="00F372E8">
          <w:rPr>
            <w:rFonts w:ascii="Times New Roman" w:eastAsia="Times New Roman" w:hAnsi="Times New Roman" w:cs="Times New Roman"/>
            <w:color w:val="0000FF"/>
            <w:sz w:val="24"/>
            <w:szCs w:val="24"/>
            <w:u w:val="single"/>
            <w:lang w:eastAsia="en-US"/>
          </w:rPr>
          <w:t>https://doi.org/10.1002/wnan.1918</w:t>
        </w:r>
      </w:hyperlink>
    </w:p>
    <w:p w14:paraId="40C3F8E6"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Mishra, N., &amp; Tripathi, A. (2025). Design and in vitro evaluation of </w:t>
      </w:r>
      <w:proofErr w:type="spellStart"/>
      <w:r w:rsidRPr="00F372E8">
        <w:rPr>
          <w:rFonts w:ascii="Times New Roman" w:eastAsia="Times New Roman" w:hAnsi="Times New Roman" w:cs="Times New Roman"/>
          <w:sz w:val="24"/>
          <w:szCs w:val="24"/>
          <w:lang w:eastAsia="en-US"/>
        </w:rPr>
        <w:t>transfersomal</w:t>
      </w:r>
      <w:proofErr w:type="spellEnd"/>
      <w:r w:rsidRPr="00F372E8">
        <w:rPr>
          <w:rFonts w:ascii="Times New Roman" w:eastAsia="Times New Roman" w:hAnsi="Times New Roman" w:cs="Times New Roman"/>
          <w:sz w:val="24"/>
          <w:szCs w:val="24"/>
          <w:lang w:eastAsia="en-US"/>
        </w:rPr>
        <w:t xml:space="preserve"> gel system: A novel approach for transdermal drug delivery. Journal of Neonatal Surgery, 14(15S), 2410–2419. </w:t>
      </w:r>
      <w:hyperlink r:id="rId44" w:history="1">
        <w:r w:rsidRPr="00F372E8">
          <w:rPr>
            <w:rFonts w:ascii="Times New Roman" w:eastAsia="Times New Roman" w:hAnsi="Times New Roman" w:cs="Times New Roman"/>
            <w:color w:val="0000FF"/>
            <w:sz w:val="24"/>
            <w:szCs w:val="24"/>
            <w:u w:val="single"/>
            <w:lang w:eastAsia="en-US"/>
          </w:rPr>
          <w:t>https://jneonatalsurg.com/index.php/jns/article/view/8626</w:t>
        </w:r>
      </w:hyperlink>
    </w:p>
    <w:p w14:paraId="39306307"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Nieves, E. A., Cotto, M. C., &amp; Márquez, F. (2026). Transferosomes as drug delivery systems: Design principles, deformability, and translational challenges. Pharmaceuticals, 19(6), Article 956. </w:t>
      </w:r>
      <w:hyperlink r:id="rId45" w:history="1">
        <w:r w:rsidRPr="00F372E8">
          <w:rPr>
            <w:rFonts w:ascii="Times New Roman" w:eastAsia="Times New Roman" w:hAnsi="Times New Roman" w:cs="Times New Roman"/>
            <w:color w:val="0000FF"/>
            <w:sz w:val="24"/>
            <w:szCs w:val="24"/>
            <w:u w:val="single"/>
            <w:lang w:eastAsia="en-US"/>
          </w:rPr>
          <w:t>https://doi.org/10.3390/ph19060956</w:t>
        </w:r>
      </w:hyperlink>
    </w:p>
    <w:p w14:paraId="1053C45C"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Nidbane</w:t>
      </w:r>
      <w:proofErr w:type="spellEnd"/>
      <w:r w:rsidRPr="00F372E8">
        <w:rPr>
          <w:rFonts w:ascii="Times New Roman" w:eastAsia="Times New Roman" w:hAnsi="Times New Roman" w:cs="Times New Roman"/>
          <w:sz w:val="24"/>
          <w:szCs w:val="24"/>
          <w:lang w:eastAsia="en-US"/>
        </w:rPr>
        <w:t xml:space="preserve">, A., </w:t>
      </w:r>
      <w:proofErr w:type="spellStart"/>
      <w:r w:rsidRPr="00F372E8">
        <w:rPr>
          <w:rFonts w:ascii="Times New Roman" w:eastAsia="Times New Roman" w:hAnsi="Times New Roman" w:cs="Times New Roman"/>
          <w:sz w:val="24"/>
          <w:szCs w:val="24"/>
          <w:lang w:eastAsia="en-US"/>
        </w:rPr>
        <w:t>Dound</w:t>
      </w:r>
      <w:proofErr w:type="spellEnd"/>
      <w:r w:rsidRPr="00F372E8">
        <w:rPr>
          <w:rFonts w:ascii="Times New Roman" w:eastAsia="Times New Roman" w:hAnsi="Times New Roman" w:cs="Times New Roman"/>
          <w:sz w:val="24"/>
          <w:szCs w:val="24"/>
          <w:lang w:eastAsia="en-US"/>
        </w:rPr>
        <w:t xml:space="preserve">, A., Satpute, K., &amp; Syed, S. M. (2025). Development of a novel luliconazole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for enhanced antifungal delivery. Journal of Dermatologic Science and Cosmetic Technology, 2(1), Article 100071. </w:t>
      </w:r>
      <w:hyperlink r:id="rId46" w:history="1">
        <w:r w:rsidRPr="00F372E8">
          <w:rPr>
            <w:rFonts w:ascii="Times New Roman" w:eastAsia="Times New Roman" w:hAnsi="Times New Roman" w:cs="Times New Roman"/>
            <w:color w:val="0000FF"/>
            <w:sz w:val="24"/>
            <w:szCs w:val="24"/>
            <w:u w:val="single"/>
            <w:lang w:eastAsia="en-US"/>
          </w:rPr>
          <w:t>https://doi.org/10.1016/j.jdsct.2025.100071</w:t>
        </w:r>
      </w:hyperlink>
    </w:p>
    <w:p w14:paraId="78A0B577"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Nizamuddin, S., </w:t>
      </w:r>
      <w:proofErr w:type="spellStart"/>
      <w:r w:rsidRPr="00F372E8">
        <w:rPr>
          <w:rFonts w:ascii="Times New Roman" w:eastAsia="Times New Roman" w:hAnsi="Times New Roman" w:cs="Times New Roman"/>
          <w:sz w:val="24"/>
          <w:szCs w:val="24"/>
          <w:lang w:eastAsia="en-US"/>
        </w:rPr>
        <w:t>Gurupadayya</w:t>
      </w:r>
      <w:proofErr w:type="spellEnd"/>
      <w:r w:rsidRPr="00F372E8">
        <w:rPr>
          <w:rFonts w:ascii="Times New Roman" w:eastAsia="Times New Roman" w:hAnsi="Times New Roman" w:cs="Times New Roman"/>
          <w:sz w:val="24"/>
          <w:szCs w:val="24"/>
          <w:lang w:eastAsia="en-US"/>
        </w:rPr>
        <w:t xml:space="preserve">, B. M., Ravi, M. C., Manohara, Y. N., &amp; Appala Raju, S. (2007). Spectrophotometric estimation of famciclovir in bulk and tablet dosage form. Indian Journal of Pharmaceutical Sciences, 69(3), 451–453. </w:t>
      </w:r>
      <w:hyperlink r:id="rId47" w:history="1">
        <w:r w:rsidRPr="00F372E8">
          <w:rPr>
            <w:rFonts w:ascii="Times New Roman" w:eastAsia="Times New Roman" w:hAnsi="Times New Roman" w:cs="Times New Roman"/>
            <w:color w:val="0000FF"/>
            <w:sz w:val="24"/>
            <w:szCs w:val="24"/>
            <w:u w:val="single"/>
            <w:lang w:eastAsia="en-US"/>
          </w:rPr>
          <w:t>https://doi.org/10.4103/0250-474X.34562</w:t>
        </w:r>
      </w:hyperlink>
    </w:p>
    <w:p w14:paraId="485E9156"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Oyarzún, P., Gallardo-Toledo, E., Morales, J., &amp; Arriagada, F. (2021). </w:t>
      </w:r>
      <w:proofErr w:type="spellStart"/>
      <w:r w:rsidRPr="00F372E8">
        <w:rPr>
          <w:rFonts w:ascii="Times New Roman" w:eastAsia="Times New Roman" w:hAnsi="Times New Roman" w:cs="Times New Roman"/>
          <w:sz w:val="24"/>
          <w:szCs w:val="24"/>
          <w:lang w:eastAsia="en-US"/>
        </w:rPr>
        <w:t>Transfersomes</w:t>
      </w:r>
      <w:proofErr w:type="spellEnd"/>
      <w:r w:rsidRPr="00F372E8">
        <w:rPr>
          <w:rFonts w:ascii="Times New Roman" w:eastAsia="Times New Roman" w:hAnsi="Times New Roman" w:cs="Times New Roman"/>
          <w:sz w:val="24"/>
          <w:szCs w:val="24"/>
          <w:lang w:eastAsia="en-US"/>
        </w:rPr>
        <w:t xml:space="preserve"> as alternative topical </w:t>
      </w:r>
      <w:proofErr w:type="spellStart"/>
      <w:r w:rsidRPr="00F372E8">
        <w:rPr>
          <w:rFonts w:ascii="Times New Roman" w:eastAsia="Times New Roman" w:hAnsi="Times New Roman" w:cs="Times New Roman"/>
          <w:sz w:val="24"/>
          <w:szCs w:val="24"/>
          <w:lang w:eastAsia="en-US"/>
        </w:rPr>
        <w:t>nanodosage</w:t>
      </w:r>
      <w:proofErr w:type="spellEnd"/>
      <w:r w:rsidRPr="00F372E8">
        <w:rPr>
          <w:rFonts w:ascii="Times New Roman" w:eastAsia="Times New Roman" w:hAnsi="Times New Roman" w:cs="Times New Roman"/>
          <w:sz w:val="24"/>
          <w:szCs w:val="24"/>
          <w:lang w:eastAsia="en-US"/>
        </w:rPr>
        <w:t xml:space="preserve"> forms for the treatment of skin disorders. Nanomedicine, 16(27), 2465–2489. </w:t>
      </w:r>
      <w:hyperlink r:id="rId48" w:history="1">
        <w:r w:rsidRPr="00F372E8">
          <w:rPr>
            <w:rFonts w:ascii="Times New Roman" w:eastAsia="Times New Roman" w:hAnsi="Times New Roman" w:cs="Times New Roman"/>
            <w:color w:val="0000FF"/>
            <w:sz w:val="24"/>
            <w:szCs w:val="24"/>
            <w:u w:val="single"/>
            <w:lang w:eastAsia="en-US"/>
          </w:rPr>
          <w:t>https://doi.org/10.2217/nnm-2021-0335</w:t>
        </w:r>
      </w:hyperlink>
    </w:p>
    <w:p w14:paraId="6EFA7ADD"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Pola, K. K., &amp; Kumar, R. S. (2022). Formulation and in vitro evaluation of diacerein loaded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topical gel for the effective treatment of osteoarthritis. Journal of Pharmaceutical Research International, 34(13A), 41–52. </w:t>
      </w:r>
      <w:hyperlink r:id="rId49" w:history="1">
        <w:r w:rsidRPr="00F372E8">
          <w:rPr>
            <w:rFonts w:ascii="Times New Roman" w:eastAsia="Times New Roman" w:hAnsi="Times New Roman" w:cs="Times New Roman"/>
            <w:color w:val="0000FF"/>
            <w:sz w:val="24"/>
            <w:szCs w:val="24"/>
            <w:u w:val="single"/>
            <w:lang w:eastAsia="en-US"/>
          </w:rPr>
          <w:t>https://doi.org/10.9734/jpri/2022/v34i13A35573</w:t>
        </w:r>
      </w:hyperlink>
    </w:p>
    <w:p w14:paraId="1A485C56"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Shukla, K. V., Meshram, R., &amp; Yadav, M. (2019). Formulation, development and evaluation of </w:t>
      </w:r>
      <w:proofErr w:type="spellStart"/>
      <w:r w:rsidRPr="00F372E8">
        <w:rPr>
          <w:rFonts w:ascii="Times New Roman" w:eastAsia="Times New Roman" w:hAnsi="Times New Roman" w:cs="Times New Roman"/>
          <w:sz w:val="24"/>
          <w:szCs w:val="24"/>
          <w:lang w:eastAsia="en-US"/>
        </w:rPr>
        <w:t>transfersomal</w:t>
      </w:r>
      <w:proofErr w:type="spellEnd"/>
      <w:r w:rsidRPr="00F372E8">
        <w:rPr>
          <w:rFonts w:ascii="Times New Roman" w:eastAsia="Times New Roman" w:hAnsi="Times New Roman" w:cs="Times New Roman"/>
          <w:sz w:val="24"/>
          <w:szCs w:val="24"/>
          <w:lang w:eastAsia="en-US"/>
        </w:rPr>
        <w:t xml:space="preserve"> gel of metronidazole. Journal of Drug Delivery and Therapeutics, 9(4-A), 642–645. </w:t>
      </w:r>
      <w:hyperlink r:id="rId50" w:history="1">
        <w:r w:rsidRPr="00F372E8">
          <w:rPr>
            <w:rFonts w:ascii="Times New Roman" w:eastAsia="Times New Roman" w:hAnsi="Times New Roman" w:cs="Times New Roman"/>
            <w:color w:val="0000FF"/>
            <w:sz w:val="24"/>
            <w:szCs w:val="24"/>
            <w:u w:val="single"/>
            <w:lang w:eastAsia="en-US"/>
          </w:rPr>
          <w:t>https://doi.org/10.22270/jddt.v9i4-A.3544</w:t>
        </w:r>
      </w:hyperlink>
    </w:p>
    <w:p w14:paraId="650B0005"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proofErr w:type="spellStart"/>
      <w:r w:rsidRPr="00F372E8">
        <w:rPr>
          <w:rFonts w:ascii="Times New Roman" w:eastAsia="Times New Roman" w:hAnsi="Times New Roman" w:cs="Times New Roman"/>
          <w:sz w:val="24"/>
          <w:szCs w:val="24"/>
          <w:lang w:eastAsia="en-US"/>
        </w:rPr>
        <w:t>Sijamol</w:t>
      </w:r>
      <w:proofErr w:type="spellEnd"/>
      <w:r w:rsidRPr="00F372E8">
        <w:rPr>
          <w:rFonts w:ascii="Times New Roman" w:eastAsia="Times New Roman" w:hAnsi="Times New Roman" w:cs="Times New Roman"/>
          <w:sz w:val="24"/>
          <w:szCs w:val="24"/>
          <w:lang w:eastAsia="en-US"/>
        </w:rPr>
        <w:t xml:space="preserve">, C. S., </w:t>
      </w:r>
      <w:proofErr w:type="spellStart"/>
      <w:r w:rsidRPr="00F372E8">
        <w:rPr>
          <w:rFonts w:ascii="Times New Roman" w:eastAsia="Times New Roman" w:hAnsi="Times New Roman" w:cs="Times New Roman"/>
          <w:sz w:val="24"/>
          <w:szCs w:val="24"/>
          <w:lang w:eastAsia="en-US"/>
        </w:rPr>
        <w:t>Hasnamol</w:t>
      </w:r>
      <w:proofErr w:type="spellEnd"/>
      <w:r w:rsidRPr="00F372E8">
        <w:rPr>
          <w:rFonts w:ascii="Times New Roman" w:eastAsia="Times New Roman" w:hAnsi="Times New Roman" w:cs="Times New Roman"/>
          <w:sz w:val="24"/>
          <w:szCs w:val="24"/>
          <w:lang w:eastAsia="en-US"/>
        </w:rPr>
        <w:t xml:space="preserve">, &amp; Mahendran, S. (2024). From formulation to function: A review of transferosomes and their preparation methods. European Journal of Biomedical and Pharmaceutical Sciences, 11(11), 119–127. </w:t>
      </w:r>
      <w:hyperlink r:id="rId51" w:history="1">
        <w:r w:rsidRPr="00F372E8">
          <w:rPr>
            <w:rFonts w:ascii="Times New Roman" w:eastAsia="Times New Roman" w:hAnsi="Times New Roman" w:cs="Times New Roman"/>
            <w:color w:val="0000FF"/>
            <w:sz w:val="24"/>
            <w:szCs w:val="24"/>
            <w:u w:val="single"/>
            <w:lang w:eastAsia="en-US"/>
          </w:rPr>
          <w:t>https://www.ejbps.com/ejbps/abstract_id/10921</w:t>
        </w:r>
      </w:hyperlink>
    </w:p>
    <w:p w14:paraId="720CA32B"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Simpson, D., &amp; </w:t>
      </w:r>
      <w:proofErr w:type="spellStart"/>
      <w:r w:rsidRPr="00F372E8">
        <w:rPr>
          <w:rFonts w:ascii="Times New Roman" w:eastAsia="Times New Roman" w:hAnsi="Times New Roman" w:cs="Times New Roman"/>
          <w:sz w:val="24"/>
          <w:szCs w:val="24"/>
          <w:lang w:eastAsia="en-US"/>
        </w:rPr>
        <w:t>Lyseng</w:t>
      </w:r>
      <w:proofErr w:type="spellEnd"/>
      <w:r w:rsidRPr="00F372E8">
        <w:rPr>
          <w:rFonts w:ascii="Times New Roman" w:eastAsia="Times New Roman" w:hAnsi="Times New Roman" w:cs="Times New Roman"/>
          <w:sz w:val="24"/>
          <w:szCs w:val="24"/>
          <w:lang w:eastAsia="en-US"/>
        </w:rPr>
        <w:t xml:space="preserve">-Williamson, K. A. (2006). Famciclovir: A review of its use in herpes zoster and genital and orolabial herpes. Drugs, 66(18), 2397–2416. </w:t>
      </w:r>
      <w:hyperlink r:id="rId52" w:history="1">
        <w:r w:rsidRPr="00F372E8">
          <w:rPr>
            <w:rFonts w:ascii="Times New Roman" w:eastAsia="Times New Roman" w:hAnsi="Times New Roman" w:cs="Times New Roman"/>
            <w:color w:val="0000FF"/>
            <w:sz w:val="24"/>
            <w:szCs w:val="24"/>
            <w:u w:val="single"/>
            <w:lang w:eastAsia="en-US"/>
          </w:rPr>
          <w:t>https://doi.org/10.2165/00003495-200666180-00016</w:t>
        </w:r>
      </w:hyperlink>
    </w:p>
    <w:p w14:paraId="69DCA347"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lastRenderedPageBreak/>
        <w:t xml:space="preserve">Singh, A., &amp; Malik, J. K. (2025). </w:t>
      </w:r>
      <w:proofErr w:type="spellStart"/>
      <w:r w:rsidRPr="00F372E8">
        <w:rPr>
          <w:rFonts w:ascii="Times New Roman" w:eastAsia="Times New Roman" w:hAnsi="Times New Roman" w:cs="Times New Roman"/>
          <w:sz w:val="24"/>
          <w:szCs w:val="24"/>
          <w:lang w:eastAsia="en-US"/>
        </w:rPr>
        <w:t>Preformulation</w:t>
      </w:r>
      <w:proofErr w:type="spellEnd"/>
      <w:r w:rsidRPr="00F372E8">
        <w:rPr>
          <w:rFonts w:ascii="Times New Roman" w:eastAsia="Times New Roman" w:hAnsi="Times New Roman" w:cs="Times New Roman"/>
          <w:sz w:val="24"/>
          <w:szCs w:val="24"/>
          <w:lang w:eastAsia="en-US"/>
        </w:rPr>
        <w:t xml:space="preserve"> studies of famciclovir: Vital part of formulation design. EAS Journal of Pharmacy and Pharmacology, 7(2), 40–46. </w:t>
      </w:r>
      <w:hyperlink r:id="rId53" w:history="1">
        <w:r w:rsidRPr="00F372E8">
          <w:rPr>
            <w:rFonts w:ascii="Times New Roman" w:eastAsia="Times New Roman" w:hAnsi="Times New Roman" w:cs="Times New Roman"/>
            <w:color w:val="0000FF"/>
            <w:sz w:val="24"/>
            <w:szCs w:val="24"/>
            <w:u w:val="single"/>
            <w:lang w:eastAsia="en-US"/>
          </w:rPr>
          <w:t>https://doi.org/10.36349/easjpp.2025.v07i02.001</w:t>
        </w:r>
      </w:hyperlink>
    </w:p>
    <w:p w14:paraId="5070C1F8"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Srinubabu, G., Sudharani, B., Sridhar, L., &amp; Seshagiri Rao, J. V. L. N. (2006). Development and validation of liquid chromatographic and UV derivative spectrophotometric methods for the determination of famciclovir in pharmaceutical dosage forms. Chemical &amp; Pharmaceutical Bulletin, 54(6), 819–822. </w:t>
      </w:r>
      <w:hyperlink r:id="rId54" w:history="1">
        <w:r w:rsidRPr="00F372E8">
          <w:rPr>
            <w:rFonts w:ascii="Times New Roman" w:eastAsia="Times New Roman" w:hAnsi="Times New Roman" w:cs="Times New Roman"/>
            <w:color w:val="0000FF"/>
            <w:sz w:val="24"/>
            <w:szCs w:val="24"/>
            <w:u w:val="single"/>
            <w:lang w:eastAsia="en-US"/>
          </w:rPr>
          <w:t>https://doi.org/10.1248/cpb.54.819</w:t>
        </w:r>
      </w:hyperlink>
    </w:p>
    <w:p w14:paraId="10CE2582"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Thakur, N., Jain, P., &amp; Jain, V. (2018). Formulation development and evaluation of </w:t>
      </w:r>
      <w:proofErr w:type="spellStart"/>
      <w:r w:rsidRPr="00F372E8">
        <w:rPr>
          <w:rFonts w:ascii="Times New Roman" w:eastAsia="Times New Roman" w:hAnsi="Times New Roman" w:cs="Times New Roman"/>
          <w:sz w:val="24"/>
          <w:szCs w:val="24"/>
          <w:lang w:eastAsia="en-US"/>
        </w:rPr>
        <w:t>transferosomal</w:t>
      </w:r>
      <w:proofErr w:type="spellEnd"/>
      <w:r w:rsidRPr="00F372E8">
        <w:rPr>
          <w:rFonts w:ascii="Times New Roman" w:eastAsia="Times New Roman" w:hAnsi="Times New Roman" w:cs="Times New Roman"/>
          <w:sz w:val="24"/>
          <w:szCs w:val="24"/>
          <w:lang w:eastAsia="en-US"/>
        </w:rPr>
        <w:t xml:space="preserve"> gel. Journal of Drug Delivery and Therapeutics, 8(5), 168–177. </w:t>
      </w:r>
      <w:hyperlink r:id="rId55" w:history="1">
        <w:r w:rsidRPr="00F372E8">
          <w:rPr>
            <w:rFonts w:ascii="Times New Roman" w:eastAsia="Times New Roman" w:hAnsi="Times New Roman" w:cs="Times New Roman"/>
            <w:color w:val="0000FF"/>
            <w:sz w:val="24"/>
            <w:szCs w:val="24"/>
            <w:u w:val="single"/>
            <w:lang w:eastAsia="en-US"/>
          </w:rPr>
          <w:t>https://doi.org/10.22270/jddt.v8i5.1826</w:t>
        </w:r>
      </w:hyperlink>
    </w:p>
    <w:p w14:paraId="4F819A9B" w14:textId="77777777" w:rsidR="00F372E8" w:rsidRPr="00F372E8" w:rsidRDefault="00F372E8" w:rsidP="00F372E8">
      <w:pPr>
        <w:spacing w:before="100" w:beforeAutospacing="1" w:after="100" w:afterAutospacing="1"/>
        <w:rPr>
          <w:rFonts w:ascii="Times New Roman" w:eastAsia="Times New Roman" w:hAnsi="Times New Roman" w:cs="Times New Roman"/>
          <w:sz w:val="24"/>
          <w:szCs w:val="24"/>
          <w:lang w:eastAsia="en-US"/>
        </w:rPr>
      </w:pPr>
      <w:r w:rsidRPr="00F372E8">
        <w:rPr>
          <w:rFonts w:ascii="Times New Roman" w:eastAsia="Times New Roman" w:hAnsi="Times New Roman" w:cs="Times New Roman"/>
          <w:sz w:val="24"/>
          <w:szCs w:val="24"/>
          <w:lang w:eastAsia="en-US"/>
        </w:rPr>
        <w:t xml:space="preserve">Waterman, K. C., &amp; Adami, R. C. (2005). Accelerated aging: Prediction of chemical stability of pharmaceuticals. International Journal of Pharmaceutics, 293(1–2), 101–125. </w:t>
      </w:r>
      <w:hyperlink r:id="rId56" w:history="1">
        <w:r w:rsidRPr="00F372E8">
          <w:rPr>
            <w:rFonts w:ascii="Times New Roman" w:eastAsia="Times New Roman" w:hAnsi="Times New Roman" w:cs="Times New Roman"/>
            <w:color w:val="0000FF"/>
            <w:sz w:val="24"/>
            <w:szCs w:val="24"/>
            <w:u w:val="single"/>
            <w:lang w:eastAsia="en-US"/>
          </w:rPr>
          <w:t>https://doi.org/10.1016/j.ijpharm.2004.12.013</w:t>
        </w:r>
      </w:hyperlink>
    </w:p>
    <w:p w14:paraId="0169D1A6" w14:textId="77777777" w:rsidR="00F372E8" w:rsidRPr="00A9192B" w:rsidRDefault="00F372E8">
      <w:pPr>
        <w:keepNext/>
        <w:pBdr>
          <w:top w:val="nil"/>
          <w:left w:val="nil"/>
          <w:bottom w:val="nil"/>
          <w:right w:val="nil"/>
          <w:between w:val="nil"/>
        </w:pBdr>
        <w:spacing w:before="200" w:after="100"/>
        <w:rPr>
          <w:rFonts w:ascii="Arial" w:eastAsia="Arial" w:hAnsi="Arial" w:cs="Arial"/>
          <w:b/>
          <w:smallCaps/>
          <w:color w:val="000000"/>
          <w:sz w:val="22"/>
          <w:szCs w:val="22"/>
        </w:rPr>
      </w:pPr>
    </w:p>
    <w:sectPr w:rsidR="00F372E8" w:rsidRPr="00A9192B">
      <w:headerReference w:type="even" r:id="rId57"/>
      <w:headerReference w:type="default" r:id="rId58"/>
      <w:footerReference w:type="default" r:id="rId59"/>
      <w:headerReference w:type="first" r:id="rId60"/>
      <w:type w:val="continuous"/>
      <w:pgSz w:w="12240" w:h="15840"/>
      <w:pgMar w:top="1440" w:right="2016" w:bottom="2016" w:left="2016" w:header="720" w:footer="11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D1A8A" w14:textId="77777777" w:rsidR="00CA4DA8" w:rsidRDefault="00CA4DA8">
      <w:r>
        <w:separator/>
      </w:r>
    </w:p>
  </w:endnote>
  <w:endnote w:type="continuationSeparator" w:id="0">
    <w:p w14:paraId="71BAE0A4" w14:textId="77777777" w:rsidR="00CA4DA8" w:rsidRDefault="00CA4D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Helvetica Neue">
    <w:altName w:val="SimSu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508D4" w14:textId="77777777" w:rsidR="00A93067" w:rsidRDefault="00A9306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03A5A" w14:textId="77777777" w:rsidR="00DD7B57" w:rsidRDefault="00DD7B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4C55F" w14:textId="77777777" w:rsidR="00A93067" w:rsidRDefault="00A93067">
    <w:pPr>
      <w:pBdr>
        <w:top w:val="nil"/>
        <w:left w:val="nil"/>
        <w:bottom w:val="nil"/>
        <w:right w:val="nil"/>
        <w:between w:val="nil"/>
      </w:pBdr>
      <w:tabs>
        <w:tab w:val="center" w:pos="4320"/>
        <w:tab w:val="right" w:pos="8640"/>
      </w:tabs>
      <w:rPr>
        <w:rFonts w:ascii="Arial" w:eastAsia="Arial" w:hAnsi="Arial" w:cs="Arial"/>
        <w:color w:val="000000"/>
        <w:sz w:val="16"/>
        <w:szCs w:val="16"/>
      </w:rPr>
    </w:pPr>
  </w:p>
  <w:p w14:paraId="27A48BB4" w14:textId="77777777" w:rsidR="00A93067" w:rsidRDefault="00CB705E">
    <w:pPr>
      <w:pBdr>
        <w:top w:val="nil"/>
        <w:left w:val="nil"/>
        <w:bottom w:val="nil"/>
        <w:right w:val="nil"/>
        <w:between w:val="nil"/>
      </w:pBdr>
      <w:tabs>
        <w:tab w:val="center" w:pos="4320"/>
        <w:tab w:val="right" w:pos="8640"/>
      </w:tabs>
      <w:jc w:val="center"/>
      <w:rPr>
        <w:rFonts w:ascii="Arial" w:eastAsia="Arial" w:hAnsi="Arial" w:cs="Arial"/>
        <w:color w:val="000000"/>
        <w:sz w:val="16"/>
        <w:szCs w:val="16"/>
      </w:rPr>
    </w:pPr>
    <w:r>
      <w:rPr>
        <w:rFonts w:ascii="Arial" w:eastAsia="Arial" w:hAnsi="Arial" w:cs="Arial"/>
        <w:color w:val="000000"/>
        <w:sz w:val="16"/>
        <w:szCs w:val="16"/>
      </w:rPr>
      <w:t>____________________________________________________________________________________________</w:t>
    </w:r>
  </w:p>
  <w:p w14:paraId="6E904916" w14:textId="77777777" w:rsidR="00A93067" w:rsidRDefault="00A93067">
    <w:pPr>
      <w:pBdr>
        <w:top w:val="nil"/>
        <w:left w:val="nil"/>
        <w:bottom w:val="nil"/>
        <w:right w:val="nil"/>
        <w:between w:val="nil"/>
      </w:pBdr>
      <w:tabs>
        <w:tab w:val="center" w:pos="4320"/>
        <w:tab w:val="right" w:pos="8640"/>
      </w:tabs>
      <w:rPr>
        <w:rFonts w:ascii="Arial" w:eastAsia="Arial" w:hAnsi="Arial" w:cs="Arial"/>
        <w:color w:val="000000"/>
        <w:sz w:val="16"/>
        <w:szCs w:val="16"/>
      </w:rPr>
    </w:pPr>
  </w:p>
  <w:p w14:paraId="3050C2E2" w14:textId="77777777" w:rsidR="00A93067" w:rsidRDefault="00CB705E">
    <w:pPr>
      <w:pBdr>
        <w:top w:val="nil"/>
        <w:left w:val="nil"/>
        <w:bottom w:val="nil"/>
        <w:right w:val="nil"/>
        <w:between w:val="nil"/>
      </w:pBdr>
      <w:tabs>
        <w:tab w:val="center" w:pos="4320"/>
        <w:tab w:val="right" w:pos="8640"/>
      </w:tabs>
      <w:rPr>
        <w:rFonts w:ascii="Arial" w:eastAsia="Arial" w:hAnsi="Arial" w:cs="Arial"/>
        <w:i/>
        <w:color w:val="000000"/>
        <w:sz w:val="16"/>
        <w:szCs w:val="16"/>
      </w:rPr>
    </w:pPr>
    <w:r>
      <w:rPr>
        <w:rFonts w:ascii="Arial" w:eastAsia="Arial" w:hAnsi="Arial" w:cs="Arial"/>
        <w:i/>
        <w:color w:val="000000"/>
        <w:sz w:val="16"/>
        <w:szCs w:val="16"/>
      </w:rPr>
      <w:t>*Corresponding author: Email: [e-mail]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EB8A1" w14:textId="77777777" w:rsidR="00A93067" w:rsidRDefault="00A9306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2995" w14:textId="77777777" w:rsidR="00CA4DA8" w:rsidRDefault="00CA4DA8">
      <w:r>
        <w:separator/>
      </w:r>
    </w:p>
  </w:footnote>
  <w:footnote w:type="continuationSeparator" w:id="0">
    <w:p w14:paraId="3D79F2AF" w14:textId="77777777" w:rsidR="00CA4DA8" w:rsidRDefault="00CA4D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99CD" w14:textId="77777777" w:rsidR="00A93067" w:rsidRDefault="00000000">
    <w:pPr>
      <w:pBdr>
        <w:top w:val="nil"/>
        <w:left w:val="nil"/>
        <w:bottom w:val="nil"/>
        <w:right w:val="nil"/>
        <w:between w:val="nil"/>
      </w:pBdr>
      <w:tabs>
        <w:tab w:val="center" w:pos="4320"/>
        <w:tab w:val="right" w:pos="8640"/>
      </w:tabs>
      <w:rPr>
        <w:color w:val="000000"/>
      </w:rPr>
    </w:pPr>
    <w:r>
      <w:rPr>
        <w:noProof/>
      </w:rPr>
      <w:pict w14:anchorId="5A3B70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740B" w14:textId="77777777" w:rsidR="00A93067" w:rsidRDefault="00000000">
    <w:pPr>
      <w:pBdr>
        <w:top w:val="nil"/>
        <w:left w:val="nil"/>
        <w:bottom w:val="nil"/>
        <w:right w:val="nil"/>
        <w:between w:val="nil"/>
      </w:pBdr>
      <w:tabs>
        <w:tab w:val="center" w:pos="4320"/>
        <w:tab w:val="right" w:pos="8640"/>
      </w:tabs>
      <w:rPr>
        <w:color w:val="000000"/>
      </w:rPr>
    </w:pPr>
    <w:r>
      <w:rPr>
        <w:noProof/>
      </w:rPr>
      <w:pict w14:anchorId="357886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05578" w14:textId="77777777" w:rsidR="00A93067" w:rsidRDefault="00000000">
    <w:pPr>
      <w:ind w:left="2160"/>
      <w:jc w:val="center"/>
      <w:rPr>
        <w:rFonts w:ascii="Times New Roman" w:eastAsia="Times New Roman" w:hAnsi="Times New Roman" w:cs="Times New Roman"/>
        <w:i/>
        <w:sz w:val="18"/>
        <w:szCs w:val="18"/>
      </w:rPr>
    </w:pPr>
    <w:r>
      <w:rPr>
        <w:noProof/>
      </w:rPr>
      <w:pict w14:anchorId="2622C5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p>
  <w:p w14:paraId="0BBBDD06" w14:textId="77777777" w:rsidR="00A93067" w:rsidRDefault="00CB705E">
    <w:pPr>
      <w:ind w:left="4320"/>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411AEF8B" w14:textId="77777777" w:rsidR="00A93067" w:rsidRDefault="00CB705E">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w:t>
    </w:r>
  </w:p>
  <w:p w14:paraId="41648276" w14:textId="77777777" w:rsidR="00A93067" w:rsidRDefault="00CB705E">
    <w:pPr>
      <w:spacing w:after="200"/>
      <w:jc w:val="center"/>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 xml:space="preserve">              . </w:t>
    </w:r>
  </w:p>
  <w:p w14:paraId="47EDAFF9" w14:textId="77777777" w:rsidR="00A93067" w:rsidRDefault="00CB705E">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0484CBC3" w14:textId="77777777" w:rsidR="00A93067" w:rsidRDefault="00CB705E">
    <w:pPr>
      <w:tabs>
        <w:tab w:val="left" w:pos="2145"/>
      </w:tabs>
      <w:rPr>
        <w:rFonts w:ascii="Times New Roman" w:eastAsia="Times New Roman" w:hAnsi="Times New Roman" w:cs="Times New Roman"/>
        <w:i/>
        <w:sz w:val="18"/>
        <w:szCs w:val="18"/>
      </w:rPr>
    </w:pPr>
    <w:r>
      <w:rPr>
        <w:rFonts w:ascii="Times New Roman" w:eastAsia="Times New Roman" w:hAnsi="Times New Roman" w:cs="Times New Roman"/>
        <w:i/>
        <w:sz w:val="18"/>
        <w:szCs w:val="18"/>
      </w:rPr>
      <w:tab/>
      <w:t>.</w:t>
    </w:r>
  </w:p>
  <w:p w14:paraId="7589A552" w14:textId="77777777" w:rsidR="00A93067" w:rsidRDefault="00CB705E">
    <w:pPr>
      <w:pBdr>
        <w:top w:val="nil"/>
        <w:left w:val="nil"/>
        <w:bottom w:val="nil"/>
        <w:right w:val="nil"/>
        <w:between w:val="nil"/>
      </w:pBdr>
      <w:tabs>
        <w:tab w:val="center" w:pos="4320"/>
        <w:tab w:val="right" w:pos="8640"/>
      </w:tabs>
      <w:rPr>
        <w:color w:val="000000"/>
      </w:rPr>
    </w:pPr>
    <w:r>
      <w:rPr>
        <w:color w:val="000000"/>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FB604" w14:textId="77777777" w:rsidR="00DD7B57" w:rsidRDefault="00000000">
    <w:pPr>
      <w:pBdr>
        <w:top w:val="nil"/>
        <w:left w:val="nil"/>
        <w:bottom w:val="nil"/>
        <w:right w:val="nil"/>
        <w:between w:val="nil"/>
      </w:pBdr>
      <w:tabs>
        <w:tab w:val="center" w:pos="4320"/>
        <w:tab w:val="right" w:pos="8640"/>
      </w:tabs>
      <w:rPr>
        <w:color w:val="000000"/>
      </w:rPr>
    </w:pPr>
    <w:r>
      <w:rPr>
        <w:noProof/>
      </w:rPr>
      <w:pict w14:anchorId="51C01F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7"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r>
      <w:rPr>
        <w:noProof/>
      </w:rPr>
      <w:pict w14:anchorId="162D619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870B" w14:textId="77777777" w:rsidR="00DD7B57" w:rsidRDefault="00000000">
    <w:pPr>
      <w:pBdr>
        <w:top w:val="nil"/>
        <w:left w:val="nil"/>
        <w:bottom w:val="nil"/>
        <w:right w:val="nil"/>
        <w:between w:val="nil"/>
      </w:pBdr>
      <w:tabs>
        <w:tab w:val="center" w:pos="4320"/>
        <w:tab w:val="right" w:pos="8640"/>
      </w:tabs>
      <w:rPr>
        <w:color w:val="000000"/>
      </w:rPr>
    </w:pPr>
    <w:r>
      <w:rPr>
        <w:noProof/>
      </w:rPr>
      <w:pict w14:anchorId="0E9E0B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8"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r>
      <w:rPr>
        <w:noProof/>
      </w:rPr>
      <w:pict w14:anchorId="61D882FD">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3117D" w14:textId="77777777" w:rsidR="00DD7B57" w:rsidRDefault="00000000">
    <w:pPr>
      <w:ind w:left="2160"/>
      <w:jc w:val="center"/>
      <w:rPr>
        <w:rFonts w:ascii="Times New Roman" w:eastAsia="Times New Roman" w:hAnsi="Times New Roman" w:cs="Times New Roman"/>
        <w:i/>
        <w:sz w:val="18"/>
        <w:szCs w:val="18"/>
      </w:rPr>
    </w:pPr>
    <w:r>
      <w:rPr>
        <w:noProof/>
      </w:rPr>
      <w:pict w14:anchorId="177FB5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3013956" o:spid="_x0000_s1029" type="#_x0000_t136" style="position:absolute;left:0;text-align:left;margin-left:0;margin-top:0;width:520.65pt;height:57.85pt;rotation:315;z-index:-251649024;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r>
      <w:rPr>
        <w:noProof/>
      </w:rPr>
      <w:pict w14:anchorId="67E5A97D">
        <v:shape id="_x0000_s1028" type="#_x0000_t136" style="position:absolute;left:0;text-align:left;margin-left:0;margin-top:0;width:520.65pt;height:57.85pt;rotation:315;z-index:-251651072;mso-position-horizontal:center;mso-position-horizontal-relative:margin;mso-position-vertical:center;mso-position-vertical-relative:margin" o:allowincell="f" fillcolor="silver" stroked="f">
          <v:fill opacity=".5"/>
          <v:textpath style="font-family:&quot;Helvetica Neue&quot;;font-size:1pt" string="UNDER PEER REVIEW"/>
          <w10:wrap anchorx="margin" anchory="margin"/>
        </v:shape>
      </w:pict>
    </w:r>
  </w:p>
  <w:p w14:paraId="05729B4A" w14:textId="77777777" w:rsidR="00DD7B57" w:rsidRDefault="00DD7B57">
    <w:pPr>
      <w:ind w:left="4320"/>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18BC262D" w14:textId="77777777" w:rsidR="00DD7B57" w:rsidRDefault="00DD7B57">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w:t>
    </w:r>
  </w:p>
  <w:p w14:paraId="051139FC" w14:textId="77777777" w:rsidR="00DD7B57" w:rsidRDefault="00DD7B57">
    <w:pPr>
      <w:spacing w:after="200"/>
      <w:jc w:val="center"/>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 xml:space="preserve">              . </w:t>
    </w:r>
  </w:p>
  <w:p w14:paraId="00EA1D6A" w14:textId="77777777" w:rsidR="00DD7B57" w:rsidRDefault="00DD7B57">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                     </w:t>
    </w:r>
  </w:p>
  <w:p w14:paraId="30772D12" w14:textId="77777777" w:rsidR="00DD7B57" w:rsidRDefault="00DD7B57">
    <w:pPr>
      <w:tabs>
        <w:tab w:val="left" w:pos="2145"/>
      </w:tabs>
      <w:rPr>
        <w:rFonts w:ascii="Times New Roman" w:eastAsia="Times New Roman" w:hAnsi="Times New Roman" w:cs="Times New Roman"/>
        <w:i/>
        <w:sz w:val="18"/>
        <w:szCs w:val="18"/>
      </w:rPr>
    </w:pPr>
    <w:r>
      <w:rPr>
        <w:rFonts w:ascii="Times New Roman" w:eastAsia="Times New Roman" w:hAnsi="Times New Roman" w:cs="Times New Roman"/>
        <w:i/>
        <w:sz w:val="18"/>
        <w:szCs w:val="18"/>
      </w:rPr>
      <w:tab/>
      <w:t>.</w:t>
    </w:r>
  </w:p>
  <w:p w14:paraId="6708E2E8" w14:textId="77777777" w:rsidR="00DD7B57" w:rsidRDefault="00DD7B57">
    <w:pPr>
      <w:pBdr>
        <w:top w:val="nil"/>
        <w:left w:val="nil"/>
        <w:bottom w:val="nil"/>
        <w:right w:val="nil"/>
        <w:between w:val="nil"/>
      </w:pBdr>
      <w:tabs>
        <w:tab w:val="center" w:pos="4320"/>
        <w:tab w:val="right" w:pos="8640"/>
      </w:tabs>
      <w:rPr>
        <w:color w:val="000000"/>
      </w:rPr>
    </w:pPr>
    <w:r>
      <w:rPr>
        <w:color w:val="00000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F77EB4"/>
    <w:multiLevelType w:val="multilevel"/>
    <w:tmpl w:val="321E2B4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64B660A1"/>
    <w:multiLevelType w:val="multilevel"/>
    <w:tmpl w:val="9BCC4ADC"/>
    <w:lvl w:ilvl="0">
      <w:start w:val="1"/>
      <w:numFmt w:val="decimal"/>
      <w:lvlText w:val="%1."/>
      <w:lvlJc w:val="left"/>
      <w:pPr>
        <w:ind w:left="36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6FC06EA4"/>
    <w:multiLevelType w:val="multilevel"/>
    <w:tmpl w:val="CD9A2086"/>
    <w:lvl w:ilvl="0">
      <w:start w:val="1"/>
      <w:numFmt w:val="bullet"/>
      <w:lvlText w:val="•"/>
      <w:lvlJc w:val="left"/>
      <w:pPr>
        <w:ind w:left="360" w:hanging="360"/>
      </w:pPr>
      <w:rPr>
        <w:rFonts w:ascii="Arial" w:eastAsia="Arial" w:hAnsi="Arial" w:cs="Arial"/>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94193585">
    <w:abstractNumId w:val="2"/>
  </w:num>
  <w:num w:numId="2" w16cid:durableId="196628945">
    <w:abstractNumId w:val="1"/>
  </w:num>
  <w:num w:numId="3" w16cid:durableId="2005743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067"/>
    <w:rsid w:val="0001481F"/>
    <w:rsid w:val="00017FBE"/>
    <w:rsid w:val="000564A7"/>
    <w:rsid w:val="00060739"/>
    <w:rsid w:val="00083470"/>
    <w:rsid w:val="00091D21"/>
    <w:rsid w:val="00121B4E"/>
    <w:rsid w:val="001C47E0"/>
    <w:rsid w:val="0023250E"/>
    <w:rsid w:val="002B45CE"/>
    <w:rsid w:val="002F6DB0"/>
    <w:rsid w:val="003235F9"/>
    <w:rsid w:val="003330B5"/>
    <w:rsid w:val="00336E2A"/>
    <w:rsid w:val="003C5C09"/>
    <w:rsid w:val="003D3346"/>
    <w:rsid w:val="003E7546"/>
    <w:rsid w:val="004A2186"/>
    <w:rsid w:val="004D1E26"/>
    <w:rsid w:val="004D5BA0"/>
    <w:rsid w:val="00510C60"/>
    <w:rsid w:val="00561530"/>
    <w:rsid w:val="005657C4"/>
    <w:rsid w:val="005A2191"/>
    <w:rsid w:val="005A317F"/>
    <w:rsid w:val="005A5C85"/>
    <w:rsid w:val="00644AA5"/>
    <w:rsid w:val="006650E9"/>
    <w:rsid w:val="00680DF1"/>
    <w:rsid w:val="00682396"/>
    <w:rsid w:val="006B6422"/>
    <w:rsid w:val="006D6D7D"/>
    <w:rsid w:val="006E080E"/>
    <w:rsid w:val="006F2A5B"/>
    <w:rsid w:val="00700E77"/>
    <w:rsid w:val="00705CC9"/>
    <w:rsid w:val="007154C2"/>
    <w:rsid w:val="00797FCD"/>
    <w:rsid w:val="00835B15"/>
    <w:rsid w:val="008A6ACB"/>
    <w:rsid w:val="008E10DB"/>
    <w:rsid w:val="00902C48"/>
    <w:rsid w:val="00984147"/>
    <w:rsid w:val="009D2817"/>
    <w:rsid w:val="00A20D44"/>
    <w:rsid w:val="00A56226"/>
    <w:rsid w:val="00A9192B"/>
    <w:rsid w:val="00A93067"/>
    <w:rsid w:val="00A979F6"/>
    <w:rsid w:val="00AE3650"/>
    <w:rsid w:val="00AF00AD"/>
    <w:rsid w:val="00B14DBC"/>
    <w:rsid w:val="00B65985"/>
    <w:rsid w:val="00BC1223"/>
    <w:rsid w:val="00BE086A"/>
    <w:rsid w:val="00BE38BC"/>
    <w:rsid w:val="00C56674"/>
    <w:rsid w:val="00C96B5E"/>
    <w:rsid w:val="00CA4DA8"/>
    <w:rsid w:val="00CB47F3"/>
    <w:rsid w:val="00CB705E"/>
    <w:rsid w:val="00CD3470"/>
    <w:rsid w:val="00D33173"/>
    <w:rsid w:val="00DA73B2"/>
    <w:rsid w:val="00DD7B57"/>
    <w:rsid w:val="00E0619F"/>
    <w:rsid w:val="00E873E2"/>
    <w:rsid w:val="00F33F16"/>
    <w:rsid w:val="00F372E8"/>
    <w:rsid w:val="00FD6C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rules v:ext="edit">
        <o:r id="V:Rule1" type="connector" idref="#_x0000_s2050"/>
      </o:rules>
    </o:shapelayout>
  </w:shapeDefaults>
  <w:decimalSymbol w:val="."/>
  <w:listSeparator w:val=","/>
  <w14:docId w14:val="7C6A0371"/>
  <w15:docId w15:val="{007FE6F7-86E2-4B54-8FEA-CB639159D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Neue" w:eastAsia="Helvetica Neue" w:hAnsi="Helvetica Neue" w:cs="Helvetica Neue"/>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360"/>
      <w:jc w:val="right"/>
    </w:pPr>
    <w:rPr>
      <w:b/>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character" w:styleId="Hyperlink">
    <w:name w:val="Hyperlink"/>
    <w:basedOn w:val="DefaultParagraphFont"/>
    <w:uiPriority w:val="99"/>
    <w:unhideWhenUsed/>
    <w:rsid w:val="0023250E"/>
    <w:rPr>
      <w:color w:val="0000FF" w:themeColor="hyperlink"/>
      <w:u w:val="single"/>
    </w:rPr>
  </w:style>
  <w:style w:type="character" w:styleId="UnresolvedMention">
    <w:name w:val="Unresolved Mention"/>
    <w:basedOn w:val="DefaultParagraphFont"/>
    <w:uiPriority w:val="99"/>
    <w:semiHidden/>
    <w:unhideWhenUsed/>
    <w:rsid w:val="0023250E"/>
    <w:rPr>
      <w:color w:val="605E5C"/>
      <w:shd w:val="clear" w:color="auto" w:fill="E1DFDD"/>
    </w:rPr>
  </w:style>
  <w:style w:type="paragraph" w:styleId="Footer">
    <w:name w:val="footer"/>
    <w:basedOn w:val="Normal"/>
    <w:link w:val="FooterChar"/>
    <w:uiPriority w:val="99"/>
    <w:unhideWhenUsed/>
    <w:rsid w:val="00984147"/>
    <w:pPr>
      <w:tabs>
        <w:tab w:val="center" w:pos="4513"/>
        <w:tab w:val="right" w:pos="9026"/>
      </w:tabs>
    </w:pPr>
  </w:style>
  <w:style w:type="character" w:customStyle="1" w:styleId="FooterChar">
    <w:name w:val="Footer Char"/>
    <w:basedOn w:val="DefaultParagraphFont"/>
    <w:link w:val="Footer"/>
    <w:uiPriority w:val="99"/>
    <w:rsid w:val="00984147"/>
  </w:style>
  <w:style w:type="paragraph" w:styleId="Header">
    <w:name w:val="header"/>
    <w:basedOn w:val="Normal"/>
    <w:link w:val="HeaderChar"/>
    <w:uiPriority w:val="99"/>
    <w:unhideWhenUsed/>
    <w:rsid w:val="00DD7B57"/>
    <w:pPr>
      <w:tabs>
        <w:tab w:val="center" w:pos="4513"/>
        <w:tab w:val="right" w:pos="9026"/>
      </w:tabs>
    </w:pPr>
  </w:style>
  <w:style w:type="character" w:customStyle="1" w:styleId="HeaderChar">
    <w:name w:val="Header Char"/>
    <w:basedOn w:val="DefaultParagraphFont"/>
    <w:link w:val="Header"/>
    <w:uiPriority w:val="99"/>
    <w:rsid w:val="00DD7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yperlink" Target="https://wjpr.net/abstract_show/23841" TargetMode="External"/><Relationship Id="rId39" Type="http://schemas.openxmlformats.org/officeDocument/2006/relationships/hyperlink" Target="https://doi.org/10.1016/0378-5173%2883%2990064-9" TargetMode="External"/><Relationship Id="rId21" Type="http://schemas.openxmlformats.org/officeDocument/2006/relationships/hyperlink" Target="https://doi.org/10.4274/tjps.galenos.2023.46735" TargetMode="External"/><Relationship Id="rId34" Type="http://schemas.openxmlformats.org/officeDocument/2006/relationships/hyperlink" Target="https://doi.org/10.1023/B:PHAM.0000033006.11619.07" TargetMode="External"/><Relationship Id="rId42" Type="http://schemas.openxmlformats.org/officeDocument/2006/relationships/hyperlink" Target="https://doi.org/10.5281/zenodo.8127421" TargetMode="External"/><Relationship Id="rId47" Type="http://schemas.openxmlformats.org/officeDocument/2006/relationships/hyperlink" Target="https://doi.org/10.4103/0250-474X.34562" TargetMode="External"/><Relationship Id="rId50" Type="http://schemas.openxmlformats.org/officeDocument/2006/relationships/hyperlink" Target="https://doi.org/10.22270/jddt.v9i4-A.3544" TargetMode="External"/><Relationship Id="rId55" Type="http://schemas.openxmlformats.org/officeDocument/2006/relationships/hyperlink" Target="https://doi.org/10.22270/jddt.v8i5.1826" TargetMode="Externa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4.tiff"/><Relationship Id="rId29" Type="http://schemas.openxmlformats.org/officeDocument/2006/relationships/hyperlink" Target="https://doi.org/10.1016/j.ijpharm.2025.126079" TargetMode="External"/><Relationship Id="rId11" Type="http://schemas.openxmlformats.org/officeDocument/2006/relationships/header" Target="header3.xml"/><Relationship Id="rId24" Type="http://schemas.openxmlformats.org/officeDocument/2006/relationships/hyperlink" Target="https://doi.org/10.1016/S0928-0987%2801%2900095-1" TargetMode="External"/><Relationship Id="rId32" Type="http://schemas.openxmlformats.org/officeDocument/2006/relationships/hyperlink" Target="https://afjbs.com/issue-content/formulation-and-evaluation-of-transferosomal-gel-as-a-potential-therapy-for-treatment-of-cellulitis-6683" TargetMode="External"/><Relationship Id="rId37" Type="http://schemas.openxmlformats.org/officeDocument/2006/relationships/hyperlink" Target="https://doi.org/10.56557/jobari/2026/v32i410837" TargetMode="External"/><Relationship Id="rId40" Type="http://schemas.openxmlformats.org/officeDocument/2006/relationships/hyperlink" Target="https://doi.org/10.9734/jpri/2021/v33i43B32532" TargetMode="External"/><Relationship Id="rId45" Type="http://schemas.openxmlformats.org/officeDocument/2006/relationships/hyperlink" Target="https://doi.org/10.3390/ph19060956" TargetMode="External"/><Relationship Id="rId53" Type="http://schemas.openxmlformats.org/officeDocument/2006/relationships/hyperlink" Target="https://doi.org/10.36349/easjpp.2025.v07i02.001" TargetMode="External"/><Relationship Id="rId58" Type="http://schemas.openxmlformats.org/officeDocument/2006/relationships/header" Target="header5.xml"/><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hyperlink" Target="https://doi.org/10.1517/17425247.3.6.727" TargetMode="External"/><Relationship Id="rId14" Type="http://schemas.openxmlformats.org/officeDocument/2006/relationships/image" Target="media/image2.png"/><Relationship Id="rId22" Type="http://schemas.openxmlformats.org/officeDocument/2006/relationships/hyperlink" Target="https://doi.org/10.1016/j.ijpharm.2004.06.012" TargetMode="External"/><Relationship Id="rId27" Type="http://schemas.openxmlformats.org/officeDocument/2006/relationships/hyperlink" Target="https://doi.org/10.22270/jddt.v13i12.6081" TargetMode="External"/><Relationship Id="rId30" Type="http://schemas.openxmlformats.org/officeDocument/2006/relationships/hyperlink" Target="https://doi.org/10.22270/jddt.v14i9.6786" TargetMode="External"/><Relationship Id="rId35" Type="http://schemas.openxmlformats.org/officeDocument/2006/relationships/hyperlink" Target="https://doi.org/10.47583/ijpsrr.2024.v84i04.002" TargetMode="External"/><Relationship Id="rId43" Type="http://schemas.openxmlformats.org/officeDocument/2006/relationships/hyperlink" Target="https://doi.org/10.1002/wnan.1918" TargetMode="External"/><Relationship Id="rId48" Type="http://schemas.openxmlformats.org/officeDocument/2006/relationships/hyperlink" Target="https://doi.org/10.2217/nnm-2021-0335" TargetMode="External"/><Relationship Id="rId56" Type="http://schemas.openxmlformats.org/officeDocument/2006/relationships/hyperlink" Target="https://doi.org/10.1016/j.ijpharm.2004.12.013" TargetMode="External"/><Relationship Id="rId8" Type="http://schemas.openxmlformats.org/officeDocument/2006/relationships/header" Target="header2.xml"/><Relationship Id="rId51" Type="http://schemas.openxmlformats.org/officeDocument/2006/relationships/hyperlink" Target="https://www.ejbps.com/ejbps/abstract_id/10921" TargetMode="Externa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image" Target="media/image5.png"/><Relationship Id="rId25" Type="http://schemas.openxmlformats.org/officeDocument/2006/relationships/hyperlink" Target="https://doi.org/10.3390/pharmaceutics10020057" TargetMode="External"/><Relationship Id="rId33" Type="http://schemas.openxmlformats.org/officeDocument/2006/relationships/hyperlink" Target="https://doi.org/10.1038/s41598-025-96739-4" TargetMode="External"/><Relationship Id="rId38" Type="http://schemas.openxmlformats.org/officeDocument/2006/relationships/hyperlink" Target="https://doi.org/10.2174/1872210516666220622115553" TargetMode="External"/><Relationship Id="rId46" Type="http://schemas.openxmlformats.org/officeDocument/2006/relationships/hyperlink" Target="https://doi.org/10.1016/j.jdsct.2025.100071" TargetMode="External"/><Relationship Id="rId59" Type="http://schemas.openxmlformats.org/officeDocument/2006/relationships/footer" Target="footer4.xml"/><Relationship Id="rId20" Type="http://schemas.openxmlformats.org/officeDocument/2006/relationships/hyperlink" Target="https://doi.org/10.1016/j.jconrel.2016.06.017" TargetMode="External"/><Relationship Id="rId41" Type="http://schemas.openxmlformats.org/officeDocument/2006/relationships/hyperlink" Target="https://doi.org/10.1002/dta.119" TargetMode="External"/><Relationship Id="rId54" Type="http://schemas.openxmlformats.org/officeDocument/2006/relationships/hyperlink" Target="https://doi.org/10.1248/cpb.54.819"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yperlink" Target="https://doi.org/10.1016/0005-2736%2892%2990154-E" TargetMode="External"/><Relationship Id="rId28" Type="http://schemas.openxmlformats.org/officeDocument/2006/relationships/hyperlink" Target="https://doi.org/10.1016/j.ijpharm.2019.118817" TargetMode="External"/><Relationship Id="rId36" Type="http://schemas.openxmlformats.org/officeDocument/2006/relationships/hyperlink" Target="https://doi.org/10.3390/pharmaceutics15061707" TargetMode="External"/><Relationship Id="rId49" Type="http://schemas.openxmlformats.org/officeDocument/2006/relationships/hyperlink" Target="https://doi.org/10.9734/jpri/2022/v34i13A35573" TargetMode="External"/><Relationship Id="rId57" Type="http://schemas.openxmlformats.org/officeDocument/2006/relationships/header" Target="header4.xml"/><Relationship Id="rId10" Type="http://schemas.openxmlformats.org/officeDocument/2006/relationships/footer" Target="footer2.xml"/><Relationship Id="rId31" Type="http://schemas.openxmlformats.org/officeDocument/2006/relationships/hyperlink" Target="https://doi.org/10.1002/jps.2600521210" TargetMode="External"/><Relationship Id="rId44" Type="http://schemas.openxmlformats.org/officeDocument/2006/relationships/hyperlink" Target="https://jneonatalsurg.com/index.php/jns/article/view/8626" TargetMode="External"/><Relationship Id="rId52" Type="http://schemas.openxmlformats.org/officeDocument/2006/relationships/hyperlink" Target="https://doi.org/10.2165/00003495-200666180-00016" TargetMode="External"/><Relationship Id="rId60"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26</Pages>
  <Words>6812</Words>
  <Characters>38830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niveb</dc:creator>
  <cp:lastModifiedBy>SDI CPU 1117</cp:lastModifiedBy>
  <cp:revision>10</cp:revision>
  <dcterms:created xsi:type="dcterms:W3CDTF">2026-10-02T09:36:00Z</dcterms:created>
  <dcterms:modified xsi:type="dcterms:W3CDTF">2026-10-10T11:17:00Z</dcterms:modified>
</cp:coreProperties>
</file>