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ED85F" w14:textId="3DA5599A" w:rsidR="00963BD7" w:rsidRPr="00162C1E" w:rsidRDefault="001F4136">
      <w:pPr>
        <w:keepNext/>
        <w:jc w:val="center"/>
      </w:pPr>
      <w:r w:rsidRPr="001F4136">
        <w:rPr>
          <w:b/>
          <w:sz w:val="32"/>
        </w:rPr>
        <w:t>Drug Shortages, Supply Resilience, and Access to Essential Medicines in the United States: A Narrative Review</w:t>
      </w:r>
    </w:p>
    <w:p w14:paraId="3C7F721A" w14:textId="77777777" w:rsidR="00963BD7" w:rsidRPr="00162C1E" w:rsidRDefault="00000000">
      <w:pPr>
        <w:pStyle w:val="Heading1"/>
        <w:spacing w:before="180" w:after="80"/>
        <w:rPr>
          <w:color w:val="auto"/>
        </w:rPr>
      </w:pPr>
      <w:r w:rsidRPr="00162C1E">
        <w:rPr>
          <w:rFonts w:ascii="Times New Roman" w:hAnsi="Times New Roman"/>
          <w:color w:val="auto"/>
          <w:sz w:val="26"/>
        </w:rPr>
        <w:t>Abstract</w:t>
      </w:r>
    </w:p>
    <w:p w14:paraId="00493521" w14:textId="77777777" w:rsidR="00963BD7" w:rsidRPr="00162C1E" w:rsidRDefault="00000000">
      <w:pPr>
        <w:pStyle w:val="BodyText"/>
        <w:spacing w:after="100" w:line="259" w:lineRule="auto"/>
        <w:jc w:val="both"/>
      </w:pPr>
      <w:r w:rsidRPr="00162C1E">
        <w:t/>
      </w:r>
      <w:r>
        <w:t xml:space="preserve">Persistent drug shortages remain a major challenge for the United States healthcare system because they can compromise timely access to clinically important medicines, continuity of care, patient safety, and health-system resilience. This narrative review </w:t>
      </w:r>
      <w:r>
        <w:rPr>
          <w:highlight w:val="yellow"/>
        </w:rPr>
        <w:t>synthesises</w:t>
      </w:r>
      <w:r>
        <w:t xml:space="preserve"> peer-reviewed evidence and current U.S. regulatory and policy sources identified through targeted searches of PubMed-indexed records, publisher platforms, and authoritative institutional sources, with searches updated through September 30, 2026. The review examines interacting structural, economic, regulatory, governance, and access-related determinants rather than treating shortages as isolated production failures. The evidence indicates that manufacturing concentration, limited production redundancy, fragile economics in some mature generic markets, upstream dependencies, quality-related disruptions, demand shocks, and procurement incentives can combine to increase supply vulnerability. The consequences of a disruption depend not only on aggregate supply but also on the availability of substitutes and the capacity of healthcare </w:t>
      </w:r>
      <w:r>
        <w:rPr>
          <w:highlight w:val="yellow"/>
        </w:rPr>
        <w:t>organisations</w:t>
      </w:r>
      <w:r>
        <w:t xml:space="preserve"> to adapt without compromising care. Direct evidence of systematic disparities across institutions and patient groups remains incomplete; accordingly, equity concerns are treated as an important but still under-measured dimension of shortage response. On the basis of the synthesis, this review proposes an author-developed conceptual framework </w:t>
      </w:r>
      <w:r>
        <w:rPr>
          <w:highlight w:val="yellow"/>
        </w:rPr>
        <w:t>organised</w:t>
      </w:r>
      <w:r>
        <w:t xml:space="preserve"> around six continuous functions—Prevent, Detect, Coordinate, Protect Access, Recover, and Learn—supported by transparency, accountability, incentive alignment, and equity. The framework is intended to </w:t>
      </w:r>
      <w:r>
        <w:rPr>
          <w:highlight w:val="yellow"/>
        </w:rPr>
        <w:t>organise</w:t>
      </w:r>
      <w:r>
        <w:t xml:space="preserve"> policy responsibilities and evaluation questions rather than to represent a validated causal model. Drug-shortage policy should therefore combine prevention, early warning, coordinated response, resilience-oriented incentives, accountable governance, and explicit protection of clinically appropriate access.</w:t>
      </w:r>
    </w:p>
    <w:p w14:paraId="1387D2C3" w14:textId="77777777" w:rsidR="00963BD7" w:rsidRPr="00162C1E" w:rsidRDefault="00000000">
      <w:pPr>
        <w:spacing w:after="160"/>
      </w:pPr>
      <w:r w:rsidRPr="00162C1E">
        <w:rPr>
          <w:i/>
          <w:sz w:val="21"/>
        </w:rPr>
        <w:t>Keywords: Drug shortages; essential medicines; pharmaceutical supply chain; health policy; governance; supply-chain resilience; medicine access; health equity</w:t>
      </w:r>
    </w:p>
    <w:p w14:paraId="5CAD36EA" w14:textId="77777777" w:rsidR="00963BD7" w:rsidRPr="00162C1E" w:rsidRDefault="00000000">
      <w:pPr>
        <w:pStyle w:val="Heading1"/>
        <w:spacing w:before="180" w:after="80"/>
        <w:rPr>
          <w:color w:val="auto"/>
        </w:rPr>
      </w:pPr>
      <w:r w:rsidRPr="00162C1E">
        <w:rPr>
          <w:rFonts w:ascii="Times New Roman" w:hAnsi="Times New Roman"/>
          <w:color w:val="auto"/>
          <w:sz w:val="26"/>
        </w:rPr>
        <w:t>1. Introduction</w:t>
      </w:r>
    </w:p>
    <w:p w14:paraId="7C20A06D" w14:textId="77777777" w:rsidR="00963BD7" w:rsidRPr="00162C1E" w:rsidRDefault="00000000">
      <w:pPr>
        <w:pStyle w:val="BodyText"/>
        <w:spacing w:after="100" w:line="259" w:lineRule="auto"/>
        <w:jc w:val="both"/>
      </w:pPr>
      <w:r w:rsidRPr="00162C1E">
        <w:t/>
      </w:r>
      <w:r>
        <w:t xml:space="preserve">Drug shortages are a recurring problem in the United States healthcare system and can affect access to medicines used in routine, acute, and life-saving care (Aronson et al., 2023; Fox et al., 2014). The term "drug shortage" generally refers to insufficient pharmaceutical supply relative to actual or anticipated demand, although operational definitions vary across regulatory, professional, and research settings (Aronson et al., 2023). The World Health Organization defines essential medicines as medicines that satisfy the priority healthcare needs of a population and are intended to be available within functioning health systems in appropriate dosage forms, of assured quality, and at affordable prices (World Health Organization [WHO], 2025). In this review, the essential-medicines perspective is used as a policy lens for clinical importance and access; it does not imply that every U.S. product discussed appears on a single national essential-medicines list. Shortages of clinically important medicines can therefore represent both a supply-chain disruption and an access problem when healthcare </w:t>
      </w:r>
      <w:r>
        <w:rPr>
          <w:highlight w:val="yellow"/>
        </w:rPr>
        <w:t>organisations</w:t>
      </w:r>
      <w:r>
        <w:t xml:space="preserve"> or patients cannot obtain an appropriate medicine when it is needed (Aronson et al., 2023; Fox et al., 2014).</w:t>
      </w:r>
    </w:p>
    <w:p w14:paraId="0AB77DD2" w14:textId="77777777" w:rsidR="00963BD7" w:rsidRPr="00162C1E" w:rsidRDefault="00000000">
      <w:pPr>
        <w:pStyle w:val="BodyText"/>
        <w:spacing w:after="100" w:line="259" w:lineRule="auto"/>
        <w:jc w:val="both"/>
      </w:pPr>
      <w:r w:rsidRPr="00162C1E">
        <w:t xml:space="preserve">Contemporary surveillance confirms that shortages remain persistent, although counts differ materially by surveillance system. The U.S. Food and Drug Administration (FDA) reported four new shortages during calendar year 2025, 330 potential shortages prevented through agency-manufacturer interventions, and 93 ongoing shortages at year-end (U.S. Food and Drug Administration [FDA], 2026). In contrast, the American Society of Health-System Pharmacists/University of Utah Drug Information Service reported 227 active shortages in June 2026, below the historical high of 323 in the first quarter of 2024; 48% of new shortages reported in 2026 involved sole-source products (American Society of Health-System Pharmacists [ASHP], 2026). These figures should not be compared as if they were produced by the same denominator or case </w:t>
      </w:r>
      <w:r w:rsidRPr="00162C1E">
        <w:lastRenderedPageBreak/>
        <w:t/>
      </w:r>
      <w:r>
        <w:t xml:space="preserve">definition: FDA and ASHP/UUDIS use different operational definitions, reporting pathways, and counting rules. The clinical importance of a shortage also depends on the affected medicine, availability of suitable alternatives, geographic and </w:t>
      </w:r>
      <w:r>
        <w:rPr>
          <w:highlight w:val="yellow"/>
        </w:rPr>
        <w:t>organisational</w:t>
      </w:r>
      <w:r>
        <w:t xml:space="preserve"> distribution of remaining supply, and the capacity of healthcare </w:t>
      </w:r>
      <w:r>
        <w:rPr>
          <w:highlight w:val="yellow"/>
        </w:rPr>
        <w:t>organisations</w:t>
      </w:r>
      <w:r>
        <w:t xml:space="preserve"> to adapt without degrading care (Fox et al., 2009; Fox &amp; McLaughlin, 2018).</w:t>
      </w:r>
    </w:p>
    <w:p w14:paraId="3C629D75" w14:textId="77777777" w:rsidR="00963BD7" w:rsidRPr="00162C1E" w:rsidRDefault="00000000">
      <w:pPr>
        <w:pStyle w:val="BodyText"/>
        <w:spacing w:after="100" w:line="259" w:lineRule="auto"/>
        <w:jc w:val="both"/>
      </w:pPr>
      <w:r w:rsidRPr="00162C1E">
        <w:t/>
      </w:r>
      <w:r>
        <w:t xml:space="preserve">Shortages can be triggered by manufacturing-quality problems, equipment failures, raw-material constraints, demand changes, or distribution disruptions, but the duration and clinical consequences of these events depend on the broader market and supply network. Concentration of production, dependence on a small number of active pharmaceutical ingredient or key starting-material sources, limited redundancy, narrow margins in some mature generic markets, procurement practices that </w:t>
      </w:r>
      <w:r>
        <w:rPr>
          <w:highlight w:val="yellow"/>
        </w:rPr>
        <w:t>emphasise</w:t>
      </w:r>
      <w:r>
        <w:t xml:space="preserve"> acquisition price, and incomplete visibility across complex supply chains may reduce the capacity to absorb shocks (National Academies of Sciences, Engineering, and Medicine [NASEM], 2022; Socal et al., 2021; Woodcock &amp; Wosinska, 2013). These vulnerabilities can reinforce one another, allowing a localized production problem to propagate into a more persistent shortage.</w:t>
      </w:r>
    </w:p>
    <w:p w14:paraId="2E3F65E0" w14:textId="77777777" w:rsidR="00963BD7" w:rsidRPr="00162C1E" w:rsidRDefault="00000000">
      <w:pPr>
        <w:pStyle w:val="BodyText"/>
        <w:spacing w:after="100" w:line="259" w:lineRule="auto"/>
        <w:jc w:val="both"/>
      </w:pPr>
      <w:r w:rsidRPr="00162C1E">
        <w:t/>
      </w:r>
      <w:r>
        <w:t xml:space="preserve">Drug shortages are also a governance problem because responsibility for pharmaceutical availability is distributed across manufacturers, federal agencies, wholesalers and distributors, group purchasing </w:t>
      </w:r>
      <w:r>
        <w:rPr>
          <w:highlight w:val="yellow"/>
        </w:rPr>
        <w:t>organisations</w:t>
      </w:r>
      <w:r>
        <w:t xml:space="preserve"> and other purchasers, healthcare institutions, pharmacies, and clinicians. These actors hold different information, authorities, incentives, and capacities. Regulators can identify and mitigate emerging disruptions within statutory limits, but they do not directly determine pharmaceutical prices, manufacturers' long-term investment decisions, or purchasers' contracting strategies. Manufacturers make production and capacity decisions under market and regulatory constraints; purchasers influence contracting conditions; and healthcare </w:t>
      </w:r>
      <w:r>
        <w:rPr>
          <w:highlight w:val="yellow"/>
        </w:rPr>
        <w:t>organisations</w:t>
      </w:r>
      <w:r>
        <w:t xml:space="preserve"> often manage the downstream consequences of constrained supply. This distribution of authority raises questions about responsibility, accountability, coordination, and information sharing before and during shortages (Gray &amp; Manasse, 2012; Iyengar et al., 2016; NASEM, 2022).</w:t>
      </w:r>
    </w:p>
    <w:p>
      <w:pPr>
        <w:pStyle w:val="BodyText"/>
        <w:spacing w:after="100" w:line="259" w:lineRule="auto"/>
        <w:jc w:val="both"/>
      </w:pPr>
      <w:r>
        <w:rPr>
          <w:highlight w:val="yellow"/>
        </w:rPr>
        <w:t>Although previous research has examined manufacturing vulnerabilities, economic drivers, regulatory responses, and the consequences of individual shortages, the evidence reviewed here remains fragmented across supply-system resilience, governance, and medicine access. In particular, the connections between national supply indicators, institutional responses, and equitable patient access remain insufficiently measured.</w:t>
      </w:r>
    </w:p>
    <w:p w14:paraId="51340A15" w14:textId="77777777" w:rsidR="00963BD7" w:rsidRPr="00162C1E" w:rsidRDefault="00000000">
      <w:pPr>
        <w:pStyle w:val="BodyText"/>
        <w:spacing w:after="100" w:line="259" w:lineRule="auto"/>
        <w:jc w:val="both"/>
      </w:pPr>
      <w:r w:rsidRPr="00162C1E">
        <w:t>Accordingly, this narrative review applies an integrated policy, governance, and essential-medicines-access lens to U.S. drug shortages. It examines structural and economic vulnerabilities, policy and governance mechanisms, consequences for medicine access, and limitations in the evidence base. It also develops an author-proposed conceptual framework linking prevention, early detection, coordinated response, access protection, recovery, and system learning. The central premise is not that every shortage has the same cause, but that recurrent shortages often reflect interactions among market incentives, manufacturing resilience, information, accountability, preparedness, and the capacity to protect access when supply is constrained.</w:t>
      </w:r>
    </w:p>
    <w:p w14:paraId="54739AF3" w14:textId="77777777" w:rsidR="00963BD7" w:rsidRPr="00162C1E" w:rsidRDefault="00000000">
      <w:pPr>
        <w:pStyle w:val="Heading1"/>
        <w:spacing w:before="180" w:after="80"/>
        <w:rPr>
          <w:color w:val="auto"/>
        </w:rPr>
      </w:pPr>
      <w:r w:rsidRPr="00162C1E">
        <w:rPr>
          <w:rFonts w:ascii="Times New Roman" w:hAnsi="Times New Roman"/>
          <w:color w:val="auto"/>
          <w:sz w:val="26"/>
        </w:rPr>
        <w:t>2. Review Approach</w:t>
      </w:r>
    </w:p>
    <w:p w14:paraId="720C3584" w14:textId="77777777" w:rsidR="00963BD7" w:rsidRPr="00162C1E" w:rsidRDefault="00000000">
      <w:pPr>
        <w:pStyle w:val="Heading2"/>
        <w:spacing w:before="120" w:after="80"/>
        <w:rPr>
          <w:color w:val="auto"/>
        </w:rPr>
      </w:pPr>
      <w:r w:rsidRPr="00162C1E">
        <w:rPr>
          <w:rFonts w:ascii="Times New Roman" w:hAnsi="Times New Roman"/>
          <w:color w:val="auto"/>
          <w:sz w:val="23"/>
        </w:rPr>
        <w:t>2.1 Scope and Evidence Identification</w:t>
      </w:r>
    </w:p>
    <w:p w14:paraId="596DEF9B" w14:textId="77777777" w:rsidR="00963BD7" w:rsidRPr="00162C1E" w:rsidRDefault="00000000">
      <w:pPr>
        <w:pStyle w:val="BodyText"/>
        <w:spacing w:after="100" w:line="259" w:lineRule="auto"/>
        <w:jc w:val="both"/>
      </w:pPr>
      <w:r w:rsidRPr="00162C1E">
        <w:t xml:space="preserve"/>
      </w:r>
      <w:r>
        <w:t xml:space="preserve">This article uses a targeted narrative, policy-oriented review to examine drug shortages and access to essential medicines in the United States. Literature identification was conducted through live searches of PubMed-indexed records, publisher platforms, and authoritative institutional sources, including FDA, the U.S. Department of Health and Human Services (HHS), the Office of the Assistant Secretary for Planning and Evaluation (ASPE), the Administration for Strategic Preparedness and Response (ASPR), the U.S. Government Accountability Office (GAO), and ASHP/UUDIS. Searches were updated through September 30, 2026. Search concepts included combinations of drug shortage, medicine shortage, pharmaceutical supply chain, generic drugs, manufacturing concentration, market structure, active pharmaceutical ingredients, shortage prediction, early warning, patient outcomes, medicine access, equity, resilience, FDA, HHS, ASPR, and United States. Sources were eligible when they directly informed shortage causes, consequences, governance, surveillance, policy responses, access, or resilience. Priority was given to peer-reviewed empirical studies and reviews, primary government/regulatory documents for current authorities and </w:t>
      </w:r>
      <w:r>
        <w:rPr>
          <w:highlight w:val="yellow"/>
        </w:rPr>
        <w:t>programmes,</w:t>
      </w:r>
      <w:r>
        <w:t xml:space="preserve"> and established professional surveillance sources for contemporaneous shortage indicators. Non-U.S. studies were retained when they clarified mechanisms plausibly relevant to the U.S. context. Sources lacking direct relevance to pharmaceutical shortages or medical-product supply resilience were excluded. Because this was a </w:t>
      </w:r>
      <w:r w:rsidRPr="00162C1E">
        <w:lastRenderedPageBreak/>
        <w:t>narrative rather than systematic review, no PRISMA-style screening count was generated; the final synthesis cites 54 sources selected for relevance, methodological credibility, and policy currency.</w:t>
      </w:r>
    </w:p>
    <w:p w14:paraId="698DE173" w14:textId="77777777" w:rsidR="00963BD7" w:rsidRPr="00162C1E" w:rsidRDefault="00000000">
      <w:pPr>
        <w:pStyle w:val="Heading2"/>
        <w:spacing w:before="120" w:after="80"/>
        <w:rPr>
          <w:color w:val="auto"/>
        </w:rPr>
      </w:pPr>
      <w:r w:rsidRPr="00162C1E">
        <w:rPr>
          <w:rFonts w:ascii="Times New Roman" w:hAnsi="Times New Roman"/>
          <w:color w:val="auto"/>
          <w:sz w:val="23"/>
        </w:rPr>
        <w:t>2.2 Analytical Approach</w:t>
      </w:r>
    </w:p>
    <w:p w14:paraId="030EF84F" w14:textId="77777777" w:rsidR="00963BD7" w:rsidRPr="00162C1E" w:rsidRDefault="00000000">
      <w:pPr>
        <w:pStyle w:val="BodyText"/>
        <w:spacing w:after="100" w:line="259" w:lineRule="auto"/>
        <w:jc w:val="both"/>
      </w:pPr>
      <w:r w:rsidRPr="00162C1E">
        <w:t/>
      </w:r>
      <w:r>
        <w:t xml:space="preserve">Evidence was </w:t>
      </w:r>
      <w:r>
        <w:rPr>
          <w:highlight w:val="yellow"/>
        </w:rPr>
        <w:t>synthesised</w:t>
      </w:r>
      <w:r>
        <w:t xml:space="preserve"> thematically rather than </w:t>
      </w:r>
      <w:r>
        <w:rPr>
          <w:highlight w:val="yellow"/>
        </w:rPr>
        <w:t>summarised</w:t>
      </w:r>
      <w:r>
        <w:t xml:space="preserve"> study by study. The analysis was </w:t>
      </w:r>
      <w:r>
        <w:rPr>
          <w:highlight w:val="yellow"/>
        </w:rPr>
        <w:t>organised</w:t>
      </w:r>
      <w:r>
        <w:t xml:space="preserve"> around six interconnected domains: structural vulnerabilities in pharmaceutical production and supply; market and economic incentives; regulatory and governance arrangements; shortage detection and response; consequences for medicine access and equity; and opportunities for resilience-oriented policy reform. Within these domains, the review distinguishes areas in which empirical evidence and policy analyses converge from questions that remain contested or under-evaluated. Particular attention was given to differences in shortage definitions, limitations of observational evidence, uncertainty in causal attribution, and the limited prospective evaluation of many policy interventions. Quantitative values reported in the review are drawn from cited sources; no new primary dataset was generated or </w:t>
      </w:r>
      <w:r>
        <w:rPr>
          <w:highlight w:val="yellow"/>
        </w:rPr>
        <w:t>analysed.</w:t>
      </w:r>
      <w:r>
        <w:t xml:space="preserve"> This thematic synthesis provides the evidentiary basis for the conceptual policy and governance framework proposed in Section 8.</w:t>
      </w:r>
    </w:p>
    <w:p w14:paraId="7058A804" w14:textId="77777777" w:rsidR="00963BD7" w:rsidRPr="00162C1E" w:rsidRDefault="00000000">
      <w:pPr>
        <w:pStyle w:val="Heading1"/>
        <w:spacing w:before="180" w:after="80"/>
        <w:rPr>
          <w:color w:val="auto"/>
        </w:rPr>
      </w:pPr>
      <w:r w:rsidRPr="00162C1E">
        <w:rPr>
          <w:rFonts w:ascii="Times New Roman" w:hAnsi="Times New Roman"/>
          <w:color w:val="auto"/>
          <w:sz w:val="26"/>
        </w:rPr>
        <w:t>3. Understanding the U.S. Drug Shortage Problem: From Supply Disruption to Access Failure</w:t>
      </w:r>
    </w:p>
    <w:p w14:paraId="14329FF0" w14:textId="77777777" w:rsidR="00963BD7" w:rsidRPr="00162C1E" w:rsidRDefault="00000000">
      <w:pPr>
        <w:pStyle w:val="Heading2"/>
        <w:spacing w:before="120" w:after="80"/>
        <w:rPr>
          <w:color w:val="auto"/>
        </w:rPr>
      </w:pPr>
      <w:r w:rsidRPr="00162C1E">
        <w:rPr>
          <w:rFonts w:ascii="Times New Roman" w:hAnsi="Times New Roman"/>
          <w:color w:val="auto"/>
          <w:sz w:val="23"/>
        </w:rPr>
        <w:t>3.1 Nature and Evolution of Drug Shortages</w:t>
      </w:r>
    </w:p>
    <w:p w14:paraId="752E75C1" w14:textId="77777777" w:rsidR="00963BD7" w:rsidRPr="00162C1E" w:rsidRDefault="00000000">
      <w:pPr>
        <w:pStyle w:val="BodyText"/>
        <w:spacing w:after="100" w:line="259" w:lineRule="auto"/>
        <w:jc w:val="both"/>
      </w:pPr>
      <w:r w:rsidRPr="00162C1E">
        <w:t/>
      </w:r>
      <w:r>
        <w:t xml:space="preserve">Drug shortages in the United States affect a wide range of therapeutic products, but their clinical significance varies substantially by product and context. Shortages of injectable medicines, antimicrobials, oncology agents, </w:t>
      </w:r>
      <w:r>
        <w:rPr>
          <w:highlight w:val="yellow"/>
        </w:rPr>
        <w:t>anaesthetic</w:t>
      </w:r>
      <w:r>
        <w:t xml:space="preserve"> agents, intravenous fluids, cardiovascular medicines, and other products used in acute and critical care can be especially consequential when alternatives are limited or clinically less desirable. A simple count of products in shortage therefore does not capture severity. A shortage of a medicine with several readily substitutable alternatives differs fundamentally from a shortage of a clinically essential product for which </w:t>
      </w:r>
      <w:r>
        <w:rPr>
          <w:highlight w:val="yellow"/>
        </w:rPr>
        <w:t>alternatives</w:t>
      </w:r>
      <w:r>
        <w:t xml:space="preserve"> </w:t>
      </w:r>
      <w:r>
        <w:rPr>
          <w:highlight w:val="yellow"/>
        </w:rPr>
        <w:t>may be</w:t>
      </w:r>
      <w:r>
        <w:t xml:space="preserve"> less effective, more toxic, more costly, operationally difficult, or otherwise risky (Fox et al., 2014; Link et al., 2012; Mazer-Amirshahi et al., 2014; Tucker, Cao, et al., 2020).</w:t>
      </w:r>
    </w:p>
    <w:p w14:paraId="12685677" w14:textId="77777777" w:rsidR="00963BD7" w:rsidRPr="00162C1E" w:rsidRDefault="00000000">
      <w:pPr>
        <w:pStyle w:val="BodyText"/>
        <w:spacing w:after="100" w:line="259" w:lineRule="auto"/>
        <w:jc w:val="both"/>
      </w:pPr>
      <w:r w:rsidRPr="00162C1E">
        <w:t>Acute and persistent shortages also warrant distinction. Sudden manufacturing interruptions, transportation disruptions, unexpected demand increases, or other temporary shocks may resolve when production or distribution recovers. Persistent or recurrent shortages can instead indicate deeper vulnerabilities, such as limited manufacturing capacity, concentrated markets, barriers to entry, dependence on specialized facilities, or repeated quality-related interruptions. Duration and recurrence are therefore informative characteristics of supply-system resilience, although they do not by themselves establish the cause of a particular shortage (Chen et al., 2016; Dave et al., 2018).</w:t>
      </w:r>
    </w:p>
    <w:p w14:paraId="47C9D5B1" w14:textId="77777777" w:rsidR="00963BD7" w:rsidRPr="00162C1E" w:rsidRDefault="00000000">
      <w:pPr>
        <w:pStyle w:val="BodyText"/>
        <w:spacing w:after="100" w:line="259" w:lineRule="auto"/>
        <w:jc w:val="both"/>
      </w:pPr>
      <w:r w:rsidRPr="00162C1E">
        <w:t>Recent surveillance illustrates both persistence and heterogeneity. ASHP/UUDIS reported 227 active shortages in June 2026, whereas FDA reported only four newly identified shortages in calendar year 2025 while also reporting 330 potential shortages prevented (ASHP, 2026; FDA, 2026). These metrics measure different phenomena and should be interpreted within their respective definitions. Generic sterile injectables remain a recurrent concern because production often requires specialized facilities and stringent quality controls, while markets may contain relatively few manufacturers and strong price competition. When capacity is concentrated, loss of production at one facility may not be readily offset by competitors, particularly when qualified alternative capacity is limited (Gupta &amp; Huang, 2013; Mazer-Amirshahi &amp; Fox, 2018; Woodcock &amp; Wosinska, 2013).</w:t>
      </w:r>
    </w:p>
    <w:p w14:paraId="2517C590" w14:textId="77777777" w:rsidR="00963BD7" w:rsidRPr="00162C1E" w:rsidRDefault="00000000">
      <w:pPr>
        <w:pStyle w:val="Heading2"/>
        <w:spacing w:before="120" w:after="80"/>
        <w:rPr>
          <w:color w:val="auto"/>
        </w:rPr>
      </w:pPr>
      <w:r w:rsidRPr="00162C1E">
        <w:rPr>
          <w:rFonts w:ascii="Times New Roman" w:hAnsi="Times New Roman"/>
          <w:color w:val="auto"/>
          <w:sz w:val="23"/>
        </w:rPr>
        <w:t>3.2 From Product Shortage to Patient Access Problem</w:t>
      </w:r>
    </w:p>
    <w:p w14:paraId="1C02EC1F" w14:textId="77777777" w:rsidR="00963BD7" w:rsidRPr="00162C1E" w:rsidRDefault="00000000">
      <w:pPr>
        <w:pStyle w:val="BodyText"/>
        <w:spacing w:after="100" w:line="259" w:lineRule="auto"/>
        <w:jc w:val="both"/>
      </w:pPr>
      <w:r w:rsidRPr="00162C1E">
        <w:t xml:space="preserve"/>
      </w:r>
      <w:r>
        <w:t xml:space="preserve">A supply disruption can become a patient-access problem through a sequence of interacting effects. When alternative capacity cannot compensate for lost supply, healthcare </w:t>
      </w:r>
      <w:r>
        <w:rPr>
          <w:highlight w:val="yellow"/>
        </w:rPr>
        <w:t>organisations</w:t>
      </w:r>
      <w:r>
        <w:t xml:space="preserve"> may conserve inventory, seek alternative sources, substitute therapies, modify treatment pathways, or allocate remaining stock. Whether these actions preserve or impair access depends on the clinical suitability of alternatives, the timing and </w:t>
      </w:r>
      <w:r w:rsidRPr="00162C1E">
        <w:lastRenderedPageBreak/>
        <w:t>geographic distribution of supply, institutional resources, and the duration of the disruption (Fox et al., 2009; Kaakeh et al., 2011).</w:t>
      </w:r>
    </w:p>
    <w:p w14:paraId="37292DB0" w14:textId="77777777" w:rsidR="00963BD7" w:rsidRPr="00162C1E" w:rsidRDefault="00000000">
      <w:pPr>
        <w:pStyle w:val="BodyText"/>
        <w:spacing w:after="100" w:line="259" w:lineRule="auto"/>
        <w:jc w:val="both"/>
      </w:pPr>
      <w:r w:rsidRPr="00162C1E">
        <w:t/>
      </w:r>
      <w:r>
        <w:t xml:space="preserve">Consequences can include treatment delays, use of therapeutically different alternatives, changes in toxicity or monitoring requirements, dosing and preparation changes, and </w:t>
      </w:r>
      <w:r>
        <w:rPr>
          <w:highlight w:val="yellow"/>
        </w:rPr>
        <w:t>prioritisation</w:t>
      </w:r>
      <w:r>
        <w:t xml:space="preserve"> of limited stock among competing clinical needs. Hospitals and pharmacies may also incur higher acquisition and operational costs as they search for alternatives, revise protocols, modify pharmacy automation or electronic records, and train staff. Published reviews and surveys have documented medication-use disruption, substitution, and safety risks during shortages, although the magnitude of patient-level effects varies by drug and setting (Goldsack et al., 2014; McLaughlin et al., 2013; Phuong et al., 2019; Santhireswaran et al., 2025).</w:t>
      </w:r>
    </w:p>
    <w:p w14:paraId="41CA9D44" w14:textId="77777777" w:rsidR="00963BD7" w:rsidRPr="00162C1E" w:rsidRDefault="00000000">
      <w:pPr>
        <w:pStyle w:val="BodyText"/>
        <w:spacing w:after="100" w:line="259" w:lineRule="auto"/>
        <w:jc w:val="both"/>
      </w:pPr>
      <w:r w:rsidRPr="00162C1E">
        <w:t>Not every supply disruption produces an access failure. A disruption may be absorbed when multiple manufacturers are available, clinically suitable alternatives exist, inventories provide a temporary buffer, production can be scaled safely, and information arrives early enough to support coordinated action. The same initiating event can have substantially greater consequences when production is concentrated, inventories are constrained, substitutes are inadequate, demand is inflexible, or institutions compete for limited stock (NASEM, 2022; Tucker, Daskin, et al., 2020).</w:t>
      </w:r>
    </w:p>
    <w:p w14:paraId="15001BDD" w14:textId="77777777" w:rsidR="00963BD7" w:rsidRPr="00162C1E" w:rsidRDefault="00000000">
      <w:pPr>
        <w:pStyle w:val="BodyText"/>
        <w:spacing w:after="100" w:line="259" w:lineRule="auto"/>
        <w:jc w:val="both"/>
      </w:pPr>
      <w:r w:rsidRPr="00162C1E">
        <w:t>Drug shortages are therefore better understood as a continuum from supply vulnerability to product scarcity, institutional disruption, and potential patient-access failure rather than as a simple binary state of availability. This distinction shifts attention from the triggering event alone to the characteristics that allow the pharmaceutical system to absorb, redistribute, and recover from disruption while preserving clinically appropriate access. It also frames the policy question addressed in this review: which market, regulatory, and governance conditions determine whether a foreseeable supply vulnerability is prevented, contained, or transmitted to patient care?</w:t>
      </w:r>
    </w:p>
    <w:p w14:paraId="40399ED0" w14:textId="77777777" w:rsidR="00963BD7" w:rsidRPr="00162C1E" w:rsidRDefault="00000000">
      <w:pPr>
        <w:pStyle w:val="Heading1"/>
        <w:spacing w:before="180" w:after="80"/>
        <w:rPr>
          <w:color w:val="auto"/>
        </w:rPr>
      </w:pPr>
      <w:r w:rsidRPr="00162C1E">
        <w:rPr>
          <w:rFonts w:ascii="Times New Roman" w:hAnsi="Times New Roman"/>
          <w:color w:val="auto"/>
          <w:sz w:val="26"/>
        </w:rPr>
        <w:t>4. Structural and Economic Drivers of Persistent Drug Shortages</w:t>
      </w:r>
    </w:p>
    <w:p w14:paraId="7D8E6DDF" w14:textId="77777777" w:rsidR="00963BD7" w:rsidRPr="00162C1E" w:rsidRDefault="00000000">
      <w:pPr>
        <w:pStyle w:val="Heading2"/>
        <w:spacing w:before="120" w:after="80"/>
        <w:rPr>
          <w:color w:val="auto"/>
        </w:rPr>
      </w:pPr>
      <w:r w:rsidRPr="00162C1E">
        <w:rPr>
          <w:rFonts w:ascii="Times New Roman" w:hAnsi="Times New Roman"/>
          <w:color w:val="auto"/>
          <w:sz w:val="23"/>
        </w:rPr>
        <w:t>4.1 Manufacturing Concentration and Limited Redundancy</w:t>
      </w:r>
    </w:p>
    <w:p w14:paraId="5C19FBD2" w14:textId="77777777" w:rsidR="00963BD7" w:rsidRPr="00162C1E" w:rsidRDefault="00000000">
      <w:pPr>
        <w:pStyle w:val="BodyText"/>
        <w:spacing w:after="100" w:line="259" w:lineRule="auto"/>
        <w:jc w:val="both"/>
      </w:pPr>
      <w:r w:rsidRPr="00162C1E">
        <w:t>Supply vulnerability in the United States is closely related to how medical products are manufactured and how capacity is distributed across firms, facilities, and upstream suppliers. Some medicines, particularly older generics, are produced by relatively few manufacturers or facilities. Concentration is not a sufficient cause of shortage, but it can reduce the number of substitutes available when production is interrupted. Vulnerability may be greater when nominally separate manufacturers depend on the same facility, technology, contract manufacturer, or upstream supplier, so product-level competition can overstate true supply diversity (Conti &amp; Berndt, 2020; Socal et al., 2023).</w:t>
      </w:r>
    </w:p>
    <w:p w14:paraId="6BDE9236" w14:textId="77777777" w:rsidR="00963BD7" w:rsidRPr="00162C1E" w:rsidRDefault="00000000">
      <w:pPr>
        <w:pStyle w:val="BodyText"/>
        <w:spacing w:after="100" w:line="259" w:lineRule="auto"/>
        <w:jc w:val="both"/>
      </w:pPr>
      <w:r w:rsidRPr="00162C1E">
        <w:t>Limited redundancy can compound this vulnerability. Maintaining additional production lines, reserve capacity, validated equipment, and qualified alternative suppliers imposes costs even when capacity is unused. Low-margin products may therefore provide weak commercial incentives for substantial standby capacity. When a facility suspends production because of contamination, equipment failure, quality concerns, or required corrective action, competing manufacturers may already be operating near capacity and may be unable to increase production rapidly. Quality regulation protects patients from substandard products, but in a concentrated market the temporary loss of a facility can also remove a substantial share of available supply; quality and supply resilience are therefore closely linked (Kweder &amp; Dill, 2013; Woodcock &amp; Wosinska, 2013).</w:t>
      </w:r>
    </w:p>
    <w:p w14:paraId="549C032C" w14:textId="77777777" w:rsidR="00963BD7" w:rsidRPr="00162C1E" w:rsidRDefault="00000000">
      <w:pPr>
        <w:pStyle w:val="Heading2"/>
        <w:spacing w:before="120" w:after="80"/>
        <w:rPr>
          <w:color w:val="auto"/>
        </w:rPr>
      </w:pPr>
      <w:r w:rsidRPr="00162C1E">
        <w:rPr>
          <w:rFonts w:ascii="Times New Roman" w:hAnsi="Times New Roman"/>
          <w:color w:val="auto"/>
          <w:sz w:val="23"/>
        </w:rPr>
        <w:t>4.2 Economic Fragility of Essential Generic Medicines</w:t>
      </w:r>
    </w:p>
    <w:p w14:paraId="00329C02" w14:textId="77777777" w:rsidR="00963BD7" w:rsidRPr="00162C1E" w:rsidRDefault="00000000">
      <w:pPr>
        <w:pStyle w:val="BodyText"/>
        <w:spacing w:after="100" w:line="259" w:lineRule="auto"/>
        <w:jc w:val="both"/>
      </w:pPr>
      <w:r w:rsidRPr="00162C1E">
        <w:t xml:space="preserve">The economics of mature generic medicines can reinforce these structural vulnerabilities. Generic competition is essential for affordability, but sustained downward pressure on prices can create a difficult environment for products that are costly or technically demanding to manufacture. When expected returns become insufficient, manufacturers may reduce investment, discontinue products, or leave particular markets. Remaining </w:t>
      </w:r>
      <w:r w:rsidRPr="00162C1E">
        <w:lastRenderedPageBreak/>
        <w:t>production can subsequently become more concentrated, increasing dependence on fewer suppliers (Conti &amp; Berndt, 2020; Dave et al., 2018; Yurukoglu et al., 2017).</w:t>
      </w:r>
    </w:p>
    <w:p w14:paraId="3097B738" w14:textId="77777777" w:rsidR="00963BD7" w:rsidRPr="00162C1E" w:rsidRDefault="00000000">
      <w:pPr>
        <w:pStyle w:val="BodyText"/>
        <w:spacing w:after="100" w:line="259" w:lineRule="auto"/>
        <w:jc w:val="both"/>
      </w:pPr>
      <w:r w:rsidRPr="00162C1E">
        <w:t/>
      </w:r>
      <w:r>
        <w:t xml:space="preserve">This creates a policy tension between efficiency and resilience. Purchasing medicines at the lowest achievable price can generate immediate savings, but price alone does not capture the value of manufacturing redundancy, reserve capacity, reliable quality systems, or diversified sourcing. Investments that improve resilience may raise production costs while providing benefits that become visible primarily when disruption occurs. Markets may therefore undervalue preparedness because manufacturers bear many of its costs while patients and healthcare systems receive much of its protective benefit. The relevant policy question is consequently not whether price competition is desirable, but whether purchasing and reimbursement arrangements adequately </w:t>
      </w:r>
      <w:r>
        <w:rPr>
          <w:highlight w:val="yellow"/>
        </w:rPr>
        <w:t>recognise</w:t>
      </w:r>
      <w:r>
        <w:t xml:space="preserve"> reliability alongside price (Hernandez et al., 2020; Ridley et al., 2016; Tucker, Daskin, et al., 2020).</w:t>
      </w:r>
    </w:p>
    <w:p w14:paraId="475CA58E" w14:textId="77777777" w:rsidR="00963BD7" w:rsidRPr="00162C1E" w:rsidRDefault="00000000">
      <w:pPr>
        <w:pStyle w:val="Heading2"/>
        <w:spacing w:before="120" w:after="80"/>
        <w:rPr>
          <w:color w:val="auto"/>
        </w:rPr>
      </w:pPr>
      <w:r w:rsidRPr="00162C1E">
        <w:rPr>
          <w:rFonts w:ascii="Times New Roman" w:hAnsi="Times New Roman"/>
          <w:color w:val="auto"/>
          <w:sz w:val="23"/>
        </w:rPr>
        <w:t>4.3 Upstream and Geographic Dependencies</w:t>
      </w:r>
    </w:p>
    <w:p w14:paraId="48480204" w14:textId="77777777" w:rsidR="00963BD7" w:rsidRPr="00162C1E" w:rsidRDefault="00000000">
      <w:pPr>
        <w:pStyle w:val="BodyText"/>
        <w:spacing w:after="100" w:line="259" w:lineRule="auto"/>
        <w:jc w:val="both"/>
      </w:pPr>
      <w:r w:rsidRPr="00162C1E">
        <w:t>Vulnerability extends beyond finished-dose manufacturers. Pharmaceutical production depends on active pharmaceutical ingredients (APIs), key starting materials, excipients, packaging components, contract manufacturers, and specialized production services. International sourcing can provide efficiency, expertise, and diversification, but geographic dispersion does not necessarily create independent supply pathways. Multiple finished-product manufacturers may rely on the same upstream producer, facility, or region (Socal et al., 2021, 2023). Recent U.S. evidence also demonstrates the importance of examining API production directly rather than inferring resilience from finished-product manufacturer counts alone (Socal et al., 2024).</w:t>
      </w:r>
    </w:p>
    <w:p w14:paraId="0D822D98" w14:textId="77777777" w:rsidR="00963BD7" w:rsidRPr="00162C1E" w:rsidRDefault="00000000">
      <w:pPr>
        <w:pStyle w:val="BodyText"/>
        <w:spacing w:after="100" w:line="259" w:lineRule="auto"/>
        <w:jc w:val="both"/>
      </w:pPr>
      <w:r w:rsidRPr="00162C1E">
        <w:t/>
      </w:r>
      <w:r>
        <w:t xml:space="preserve">Limited visibility across these dependencies can impede risk assessment. Regulators, purchasers, healthcare </w:t>
      </w:r>
      <w:r>
        <w:rPr>
          <w:highlight w:val="yellow"/>
        </w:rPr>
        <w:t>organisations,</w:t>
      </w:r>
      <w:r>
        <w:t xml:space="preserve"> and firms may have incomplete information about suppliers beyond their immediate contractual relationships. Common upstream dependencies may therefore remain poorly </w:t>
      </w:r>
      <w:r>
        <w:rPr>
          <w:highlight w:val="yellow"/>
        </w:rPr>
        <w:t>recognised</w:t>
      </w:r>
      <w:r>
        <w:t xml:space="preserve"> until one disruption affects several products or manufacturers simultaneously. The distinction between geographic diversification and genuine supplier diversification is consequential: relocating production without reducing dependence on common critical inputs may change the location of risk without materially reducing it (NASEM, 2022; Office of the Assistant Secretary for Planning and Evaluation [ASPE], 2025; Socal et al., 2023).</w:t>
      </w:r>
    </w:p>
    <w:p w14:paraId="561BE766" w14:textId="77777777" w:rsidR="00963BD7" w:rsidRPr="00162C1E" w:rsidRDefault="00000000">
      <w:pPr>
        <w:pStyle w:val="Heading2"/>
        <w:spacing w:before="120" w:after="80"/>
        <w:rPr>
          <w:color w:val="auto"/>
        </w:rPr>
      </w:pPr>
      <w:r w:rsidRPr="00162C1E">
        <w:rPr>
          <w:rFonts w:ascii="Times New Roman" w:hAnsi="Times New Roman"/>
          <w:color w:val="auto"/>
          <w:sz w:val="23"/>
        </w:rPr>
        <w:t>4.4 Procurement and Purchasing Practices</w:t>
      </w:r>
    </w:p>
    <w:p w14:paraId="07892354" w14:textId="77777777" w:rsidR="00963BD7" w:rsidRPr="00162C1E" w:rsidRDefault="00000000">
      <w:pPr>
        <w:pStyle w:val="BodyText"/>
        <w:spacing w:after="100" w:line="259" w:lineRule="auto"/>
        <w:jc w:val="both"/>
      </w:pPr>
      <w:r w:rsidRPr="00162C1E">
        <w:t/>
      </w:r>
      <w:r>
        <w:t xml:space="preserve">Procurement decisions can further shape the resilience of pharmaceutical markets. Contracting arrangements that strongly </w:t>
      </w:r>
      <w:r>
        <w:rPr>
          <w:highlight w:val="yellow"/>
        </w:rPr>
        <w:t>prioritise</w:t>
      </w:r>
      <w:r>
        <w:t xml:space="preserve"> unit price may reward efficient production but provide weaker incentives for maintaining redundant facilities, reserve capacity, or diversified supply networks. Inventory </w:t>
      </w:r>
      <w:r>
        <w:rPr>
          <w:highlight w:val="yellow"/>
        </w:rPr>
        <w:t>minimisation</w:t>
      </w:r>
      <w:r>
        <w:t xml:space="preserve"> can similarly reduce storage and carrying costs during normal operations while leaving less time to respond when production fails (Jia &amp; Zhao, 2017; Pauwels et al., 2014).</w:t>
      </w:r>
    </w:p>
    <w:p w14:paraId="331CF6E1" w14:textId="77777777" w:rsidR="00963BD7" w:rsidRPr="00162C1E" w:rsidRDefault="00000000">
      <w:pPr>
        <w:pStyle w:val="BodyText"/>
        <w:spacing w:after="100" w:line="259" w:lineRule="auto"/>
        <w:jc w:val="both"/>
      </w:pPr>
      <w:r w:rsidRPr="00162C1E">
        <w:t/>
      </w:r>
      <w:r>
        <w:t xml:space="preserve">These practices should not be treated as direct causes of every shortage. Their significance lies in how they influence the system's capacity to absorb disruptions. A procurement model that values price without adequately considering supply reliability can unintentionally reinforce the economic conditions that discourage resilience investment. Conversely, simply holding more inventory is not a universal solution because medicines have expiration dates, storage requirements, and variable patterns of demand. Resilient procurement therefore requires balancing affordability, reliability, inventory management, and supplier diversity rather than </w:t>
      </w:r>
      <w:r>
        <w:rPr>
          <w:highlight w:val="yellow"/>
        </w:rPr>
        <w:t>maximising</w:t>
      </w:r>
      <w:r>
        <w:t xml:space="preserve"> any single objective (NASEM, 2022; Tucker, Daskin, et al., 2020).</w:t>
      </w:r>
    </w:p>
    <w:p w14:paraId="7937D367" w14:textId="77777777" w:rsidR="00963BD7" w:rsidRPr="00162C1E" w:rsidRDefault="00000000">
      <w:pPr>
        <w:pStyle w:val="Heading2"/>
        <w:spacing w:before="120" w:after="80"/>
        <w:rPr>
          <w:color w:val="auto"/>
        </w:rPr>
      </w:pPr>
      <w:r w:rsidRPr="00162C1E">
        <w:rPr>
          <w:rFonts w:ascii="Times New Roman" w:hAnsi="Times New Roman"/>
          <w:color w:val="auto"/>
          <w:sz w:val="23"/>
        </w:rPr>
        <w:t>4.5 Demand Shocks and Forecasting Limitations</w:t>
      </w:r>
    </w:p>
    <w:p w14:paraId="6DB60310" w14:textId="77777777" w:rsidR="00963BD7" w:rsidRPr="00162C1E" w:rsidRDefault="00000000">
      <w:pPr>
        <w:pStyle w:val="BodyText"/>
        <w:spacing w:after="100" w:line="259" w:lineRule="auto"/>
        <w:jc w:val="both"/>
      </w:pPr>
      <w:r w:rsidRPr="00162C1E">
        <w:t>Shortages can also emerge when demand changes faster than supply can respond. Epidemics, public health emergencies, changes in clinical practice, unexpected increases in disease burden, or the withdrawal of a competing manufacturer can rapidly increase demand for remaining products. Pharmaceutical manufacturing cannot always respond immediately because expanding production may require additional materials, validated equipment, trained personnel, regulatory compliance, and available facility capacity (Badreldin &amp; Atallah, 2021; Socal et al., 2021).</w:t>
      </w:r>
    </w:p>
    <w:p w14:paraId="7AA06556" w14:textId="77777777" w:rsidR="00963BD7" w:rsidRPr="00162C1E" w:rsidRDefault="00000000">
      <w:pPr>
        <w:pStyle w:val="BodyText"/>
        <w:spacing w:after="100" w:line="259" w:lineRule="auto"/>
        <w:jc w:val="both"/>
      </w:pPr>
      <w:r w:rsidRPr="00162C1E">
        <w:lastRenderedPageBreak/>
        <w:t>Forecasting can reduce uncertainty but cannot eliminate it. The consequences of forecasting error are particularly severe when little reserve capacity exists. Demand shocks therefore interact with structural conditions rather than constituting an entirely separate category of shortage (Kim et al., 2024; Tucker, Cao, et al., 2020).</w:t>
      </w:r>
    </w:p>
    <w:p w14:paraId="765C7D10" w14:textId="707BC270" w:rsidR="00963BD7" w:rsidRPr="00162C1E" w:rsidRDefault="00000000">
      <w:pPr>
        <w:pStyle w:val="BodyText"/>
        <w:spacing w:after="100" w:line="259" w:lineRule="auto"/>
        <w:jc w:val="both"/>
      </w:pPr>
      <w:r w:rsidRPr="00162C1E">
        <w:t xml:space="preserve">Taken together, these mechanisms can form a recurrent fragility cycle. Price pressure may weaken incentives for investment in quality, redundancy, and reserve capacity; reduced investment can in turn contribute to concentrated production and limited flexibility, increasing sensitivity to quality failures, upstream disruptions, or demand shocks. These relationships are not deterministic, and individual shortages can arise through different pathways. However, both the peer-reviewed literature and recent federal policy analyses support evaluating reliability, transparency, redundancy, and diversification alongside price when assessing supply resilience (NASEM, 2022; Shukar et al., 2021; Tucker, Cao, et al., 2020; </w:t>
      </w:r>
      <w:r w:rsidR="00C43137" w:rsidRPr="00C43137">
        <w:t>Office of the Secretary</w:t>
      </w:r>
      <w:r w:rsidRPr="00162C1E">
        <w:t/>
      </w:r>
      <w:r>
        <w:t xml:space="preserve">, 2024). Table 1 </w:t>
      </w:r>
      <w:r>
        <w:rPr>
          <w:highlight w:val="yellow"/>
        </w:rPr>
        <w:t>summarises</w:t>
      </w:r>
      <w:r>
        <w:t xml:space="preserve"> the principal structural and economic drivers, the pathways through which they may affect access, and the corresponding governance implications. The table </w:t>
      </w:r>
      <w:r>
        <w:rPr>
          <w:highlight w:val="yellow"/>
        </w:rPr>
        <w:t>emphasises</w:t>
      </w:r>
      <w:r>
        <w:t xml:space="preserve"> that the drivers interact; no single factor should be interpreted as sufficient to explain every shortage.</w:t>
      </w:r>
    </w:p>
    <w:p w14:paraId="5536D382" w14:textId="77777777" w:rsidR="00963BD7" w:rsidRPr="00162C1E" w:rsidRDefault="00000000">
      <w:pPr>
        <w:keepNext/>
        <w:spacing w:before="120" w:after="80"/>
      </w:pPr>
      <w:r w:rsidRPr="00162C1E">
        <w:rPr>
          <w:b/>
          <w:sz w:val="20"/>
        </w:rPr>
        <w:t>Table 1.</w:t>
      </w:r>
      <w:r w:rsidRPr="00162C1E">
        <w:rPr>
          <w:sz w:val="20"/>
        </w:rPr>
        <w:t xml:space="preserve"> Structural and economic drivers of U.S. drug shortages and their implications for medicine access and governance</w:t>
      </w:r>
    </w:p>
    <w:tbl>
      <w:tblPr>
        <w:tblStyle w:val="TableGrid"/>
        <w:tblW w:w="0" w:type="auto"/>
        <w:jc w:val="center"/>
        <w:tblLayout w:type="fixed"/>
        <w:tblLook w:val="04A0" w:firstRow="1" w:lastRow="0" w:firstColumn="1" w:lastColumn="0" w:noHBand="0" w:noVBand="1"/>
      </w:tblPr>
      <w:tblGrid>
        <w:gridCol w:w="1800"/>
        <w:gridCol w:w="3096"/>
        <w:gridCol w:w="2880"/>
        <w:gridCol w:w="2448"/>
      </w:tblGrid>
      <w:tr w:rsidR="00162C1E" w:rsidRPr="00162C1E" w14:paraId="38711177" w14:textId="77777777">
        <w:trPr>
          <w:cantSplit/>
          <w:tblHeader/>
          <w:jc w:val="center"/>
        </w:trPr>
        <w:tc>
          <w:tcPr>
            <w:tcW w:w="1800" w:type="dxa"/>
            <w:shd w:val="clear" w:color="auto" w:fill="D9E2F3"/>
            <w:tcMar>
              <w:top w:w="80" w:type="dxa"/>
              <w:left w:w="90" w:type="dxa"/>
              <w:bottom w:w="80" w:type="dxa"/>
              <w:right w:w="90" w:type="dxa"/>
            </w:tcMar>
            <w:vAlign w:val="center"/>
          </w:tcPr>
          <w:p w14:paraId="335D1671" w14:textId="77777777" w:rsidR="00963BD7" w:rsidRPr="00162C1E" w:rsidRDefault="00000000">
            <w:pPr>
              <w:spacing w:after="30"/>
              <w:jc w:val="center"/>
            </w:pPr>
            <w:r w:rsidRPr="00162C1E">
              <w:rPr>
                <w:b/>
                <w:sz w:val="18"/>
              </w:rPr>
              <w:t>Structural or economic driver</w:t>
            </w:r>
          </w:p>
        </w:tc>
        <w:tc>
          <w:tcPr>
            <w:tcW w:w="3096" w:type="dxa"/>
            <w:shd w:val="clear" w:color="auto" w:fill="D9E2F3"/>
            <w:tcMar>
              <w:top w:w="80" w:type="dxa"/>
              <w:left w:w="90" w:type="dxa"/>
              <w:bottom w:w="80" w:type="dxa"/>
              <w:right w:w="90" w:type="dxa"/>
            </w:tcMar>
            <w:vAlign w:val="center"/>
          </w:tcPr>
          <w:p w14:paraId="1532BC54" w14:textId="77777777" w:rsidR="00963BD7" w:rsidRPr="00162C1E" w:rsidRDefault="00000000">
            <w:pPr>
              <w:spacing w:after="30"/>
              <w:jc w:val="center"/>
            </w:pPr>
            <w:r w:rsidRPr="00162C1E">
              <w:rPr>
                <w:b/>
                <w:sz w:val="18"/>
              </w:rPr>
              <w:t>Mechanism contributing to shortage</w:t>
            </w:r>
          </w:p>
        </w:tc>
        <w:tc>
          <w:tcPr>
            <w:tcW w:w="2880" w:type="dxa"/>
            <w:shd w:val="clear" w:color="auto" w:fill="D9E2F3"/>
            <w:tcMar>
              <w:top w:w="80" w:type="dxa"/>
              <w:left w:w="90" w:type="dxa"/>
              <w:bottom w:w="80" w:type="dxa"/>
              <w:right w:w="90" w:type="dxa"/>
            </w:tcMar>
            <w:vAlign w:val="center"/>
          </w:tcPr>
          <w:p w14:paraId="566F9CBC" w14:textId="77777777" w:rsidR="00963BD7" w:rsidRPr="00162C1E" w:rsidRDefault="00000000">
            <w:pPr>
              <w:spacing w:after="30"/>
              <w:jc w:val="center"/>
            </w:pPr>
            <w:r w:rsidRPr="00162C1E">
              <w:rPr>
                <w:b/>
                <w:sz w:val="18"/>
              </w:rPr>
              <w:t>Potential consequence for medicine access</w:t>
            </w:r>
          </w:p>
        </w:tc>
        <w:tc>
          <w:tcPr>
            <w:tcW w:w="2448" w:type="dxa"/>
            <w:shd w:val="clear" w:color="auto" w:fill="D9E2F3"/>
            <w:tcMar>
              <w:top w:w="80" w:type="dxa"/>
              <w:left w:w="90" w:type="dxa"/>
              <w:bottom w:w="80" w:type="dxa"/>
              <w:right w:w="90" w:type="dxa"/>
            </w:tcMar>
            <w:vAlign w:val="center"/>
          </w:tcPr>
          <w:p w14:paraId="12DCB74F" w14:textId="77777777" w:rsidR="00963BD7" w:rsidRPr="00162C1E" w:rsidRDefault="00000000">
            <w:pPr>
              <w:spacing w:after="30"/>
              <w:jc w:val="center"/>
            </w:pPr>
            <w:r w:rsidRPr="00162C1E">
              <w:rPr>
                <w:b/>
                <w:sz w:val="18"/>
              </w:rPr>
              <w:t>Governance implication</w:t>
            </w:r>
          </w:p>
        </w:tc>
      </w:tr>
      <w:tr w:rsidR="00162C1E" w:rsidRPr="00162C1E" w14:paraId="70E3A852" w14:textId="77777777">
        <w:trPr>
          <w:cantSplit/>
          <w:jc w:val="center"/>
        </w:trPr>
        <w:tc>
          <w:tcPr>
            <w:tcW w:w="1800" w:type="dxa"/>
            <w:tcMar>
              <w:top w:w="80" w:type="dxa"/>
              <w:left w:w="90" w:type="dxa"/>
              <w:bottom w:w="80" w:type="dxa"/>
              <w:right w:w="90" w:type="dxa"/>
            </w:tcMar>
            <w:vAlign w:val="center"/>
          </w:tcPr>
          <w:p w14:paraId="64B7CBCF" w14:textId="77777777" w:rsidR="00963BD7" w:rsidRPr="00162C1E" w:rsidRDefault="00000000">
            <w:pPr>
              <w:spacing w:after="30"/>
              <w:jc w:val="center"/>
            </w:pPr>
            <w:r w:rsidRPr="00162C1E">
              <w:rPr>
                <w:sz w:val="18"/>
              </w:rPr>
              <w:t>Manufacturing concentration</w:t>
            </w:r>
          </w:p>
        </w:tc>
        <w:tc>
          <w:tcPr>
            <w:tcW w:w="3096" w:type="dxa"/>
            <w:tcMar>
              <w:top w:w="80" w:type="dxa"/>
              <w:left w:w="90" w:type="dxa"/>
              <w:bottom w:w="80" w:type="dxa"/>
              <w:right w:w="90" w:type="dxa"/>
            </w:tcMar>
            <w:vAlign w:val="center"/>
          </w:tcPr>
          <w:p w14:paraId="7A12AC45" w14:textId="77777777" w:rsidR="00963BD7" w:rsidRPr="00162C1E" w:rsidRDefault="00000000">
            <w:pPr>
              <w:spacing w:after="30"/>
            </w:pPr>
            <w:r w:rsidRPr="00162C1E">
              <w:rPr>
                <w:sz w:val="18"/>
              </w:rPr>
              <w:t>Production concentrated among few manufacturers or facilities increases dependence on a limited number of sources and magnifies the effect of facility disruption (Socal et al., 2023).</w:t>
            </w:r>
          </w:p>
        </w:tc>
        <w:tc>
          <w:tcPr>
            <w:tcW w:w="2880" w:type="dxa"/>
            <w:tcMar>
              <w:top w:w="80" w:type="dxa"/>
              <w:left w:w="90" w:type="dxa"/>
              <w:bottom w:w="80" w:type="dxa"/>
              <w:right w:w="90" w:type="dxa"/>
            </w:tcMar>
            <w:vAlign w:val="center"/>
          </w:tcPr>
          <w:p w14:paraId="3967DEBC" w14:textId="77777777" w:rsidR="00963BD7" w:rsidRPr="00162C1E" w:rsidRDefault="00000000">
            <w:pPr>
              <w:spacing w:after="30"/>
            </w:pPr>
            <w:r w:rsidRPr="00162C1E">
              <w:rPr>
                <w:sz w:val="18"/>
              </w:rPr>
              <w:t>Loss of one source can substantially reduce available supply, particularly where therapeutic alternatives are limited (Mazer-Amirshahi &amp; Fox, 2018).</w:t>
            </w:r>
          </w:p>
        </w:tc>
        <w:tc>
          <w:tcPr>
            <w:tcW w:w="2448" w:type="dxa"/>
            <w:tcMar>
              <w:top w:w="80" w:type="dxa"/>
              <w:left w:w="90" w:type="dxa"/>
              <w:bottom w:w="80" w:type="dxa"/>
              <w:right w:w="90" w:type="dxa"/>
            </w:tcMar>
            <w:vAlign w:val="center"/>
          </w:tcPr>
          <w:p w14:paraId="60D89BF3" w14:textId="77777777" w:rsidR="00963BD7" w:rsidRPr="00162C1E" w:rsidRDefault="00000000">
            <w:pPr>
              <w:spacing w:after="30"/>
            </w:pPr>
            <w:r w:rsidRPr="00162C1E">
              <w:rPr>
                <w:sz w:val="18"/>
              </w:rPr>
              <w:t>Identify highly concentrated essential medicine markets and encourage genuine supplier and production diversification.</w:t>
            </w:r>
          </w:p>
        </w:tc>
      </w:tr>
      <w:tr w:rsidR="00162C1E" w:rsidRPr="00162C1E" w14:paraId="28D17681" w14:textId="77777777">
        <w:trPr>
          <w:cantSplit/>
          <w:jc w:val="center"/>
        </w:trPr>
        <w:tc>
          <w:tcPr>
            <w:tcW w:w="1800" w:type="dxa"/>
            <w:tcMar>
              <w:top w:w="80" w:type="dxa"/>
              <w:left w:w="90" w:type="dxa"/>
              <w:bottom w:w="80" w:type="dxa"/>
              <w:right w:w="90" w:type="dxa"/>
            </w:tcMar>
            <w:vAlign w:val="center"/>
          </w:tcPr>
          <w:p w14:paraId="68BD32F8" w14:textId="77777777" w:rsidR="00963BD7" w:rsidRPr="00162C1E" w:rsidRDefault="00000000">
            <w:pPr>
              <w:spacing w:after="30"/>
              <w:jc w:val="center"/>
            </w:pPr>
            <w:r w:rsidRPr="00162C1E">
              <w:rPr>
                <w:sz w:val="18"/>
              </w:rPr>
              <w:t>Limited production redundancy</w:t>
            </w:r>
          </w:p>
        </w:tc>
        <w:tc>
          <w:tcPr>
            <w:tcW w:w="3096" w:type="dxa"/>
            <w:tcMar>
              <w:top w:w="80" w:type="dxa"/>
              <w:left w:w="90" w:type="dxa"/>
              <w:bottom w:w="80" w:type="dxa"/>
              <w:right w:w="90" w:type="dxa"/>
            </w:tcMar>
            <w:vAlign w:val="center"/>
          </w:tcPr>
          <w:p w14:paraId="3D594490" w14:textId="77777777" w:rsidR="00963BD7" w:rsidRPr="00162C1E" w:rsidRDefault="00000000">
            <w:pPr>
              <w:spacing w:after="30"/>
            </w:pPr>
            <w:r w:rsidRPr="00162C1E">
              <w:rPr>
                <w:sz w:val="18"/>
              </w:rPr>
              <w:t>Limited alternative production lines, reserve capacity, or qualified suppliers restricts the ability of other producers to compensate when supply is interrupted (Woodcock &amp; Wosinska, 2013).</w:t>
            </w:r>
          </w:p>
        </w:tc>
        <w:tc>
          <w:tcPr>
            <w:tcW w:w="2880" w:type="dxa"/>
            <w:tcMar>
              <w:top w:w="80" w:type="dxa"/>
              <w:left w:w="90" w:type="dxa"/>
              <w:bottom w:w="80" w:type="dxa"/>
              <w:right w:w="90" w:type="dxa"/>
            </w:tcMar>
            <w:vAlign w:val="center"/>
          </w:tcPr>
          <w:p w14:paraId="24A81471" w14:textId="77777777" w:rsidR="00963BD7" w:rsidRPr="00162C1E" w:rsidRDefault="00000000">
            <w:pPr>
              <w:spacing w:after="30"/>
            </w:pPr>
            <w:r w:rsidRPr="00162C1E">
              <w:rPr>
                <w:sz w:val="18"/>
              </w:rPr>
              <w:t>Disruptions may persist because replacement production cannot be increased rapidly enough to meet demand (Chen et al., 2016).</w:t>
            </w:r>
          </w:p>
        </w:tc>
        <w:tc>
          <w:tcPr>
            <w:tcW w:w="2448" w:type="dxa"/>
            <w:tcMar>
              <w:top w:w="80" w:type="dxa"/>
              <w:left w:w="90" w:type="dxa"/>
              <w:bottom w:w="80" w:type="dxa"/>
              <w:right w:w="90" w:type="dxa"/>
            </w:tcMar>
            <w:vAlign w:val="center"/>
          </w:tcPr>
          <w:p w14:paraId="5F24FB81" w14:textId="77777777" w:rsidR="00963BD7" w:rsidRPr="00162C1E" w:rsidRDefault="00000000">
            <w:pPr>
              <w:spacing w:after="30"/>
            </w:pPr>
            <w:r w:rsidRPr="00162C1E">
              <w:rPr>
                <w:sz w:val="18"/>
              </w:rPr>
              <w:t>Create proportionate incentives for reserve capacity, flexible manufacturing, and qualified alternative sources.</w:t>
            </w:r>
          </w:p>
        </w:tc>
      </w:tr>
      <w:tr w:rsidR="00162C1E" w:rsidRPr="00162C1E" w14:paraId="6893468C" w14:textId="77777777">
        <w:trPr>
          <w:cantSplit/>
          <w:jc w:val="center"/>
        </w:trPr>
        <w:tc>
          <w:tcPr>
            <w:tcW w:w="1800" w:type="dxa"/>
            <w:tcMar>
              <w:top w:w="80" w:type="dxa"/>
              <w:left w:w="90" w:type="dxa"/>
              <w:bottom w:w="80" w:type="dxa"/>
              <w:right w:w="90" w:type="dxa"/>
            </w:tcMar>
            <w:vAlign w:val="center"/>
          </w:tcPr>
          <w:p w14:paraId="06BC0942" w14:textId="77777777" w:rsidR="00963BD7" w:rsidRPr="00162C1E" w:rsidRDefault="00000000">
            <w:pPr>
              <w:spacing w:after="30"/>
              <w:jc w:val="center"/>
            </w:pPr>
            <w:r w:rsidRPr="00162C1E">
              <w:rPr>
                <w:sz w:val="18"/>
              </w:rPr>
              <w:t>Fragile economics of mature generic medicines</w:t>
            </w:r>
          </w:p>
        </w:tc>
        <w:tc>
          <w:tcPr>
            <w:tcW w:w="3096" w:type="dxa"/>
            <w:tcMar>
              <w:top w:w="80" w:type="dxa"/>
              <w:left w:w="90" w:type="dxa"/>
              <w:bottom w:w="80" w:type="dxa"/>
              <w:right w:w="90" w:type="dxa"/>
            </w:tcMar>
            <w:vAlign w:val="center"/>
          </w:tcPr>
          <w:p w14:paraId="76BBED02" w14:textId="77777777" w:rsidR="00963BD7" w:rsidRPr="00162C1E" w:rsidRDefault="00000000">
            <w:pPr>
              <w:spacing w:after="30"/>
            </w:pPr>
            <w:r w:rsidRPr="00162C1E">
              <w:rPr>
                <w:sz w:val="18"/>
              </w:rPr>
              <w:t>Low margins and sustained price pressure can weaken incentives for continued participation and investment in quality, capacity, and redundancy (Conti &amp; Berndt, 2020).</w:t>
            </w:r>
          </w:p>
        </w:tc>
        <w:tc>
          <w:tcPr>
            <w:tcW w:w="2880" w:type="dxa"/>
            <w:tcMar>
              <w:top w:w="80" w:type="dxa"/>
              <w:left w:w="90" w:type="dxa"/>
              <w:bottom w:w="80" w:type="dxa"/>
              <w:right w:w="90" w:type="dxa"/>
            </w:tcMar>
            <w:vAlign w:val="center"/>
          </w:tcPr>
          <w:p w14:paraId="2280633C" w14:textId="77777777" w:rsidR="00963BD7" w:rsidRPr="00162C1E" w:rsidRDefault="00000000">
            <w:pPr>
              <w:spacing w:after="30"/>
            </w:pPr>
            <w:r w:rsidRPr="00162C1E">
              <w:rPr>
                <w:sz w:val="18"/>
              </w:rPr>
              <w:t>Manufacturer withdrawal or underinvestment can leave essential products dependent on fewer suppliers and increase vulnerability to prolonged scarcity (Hernandez et al., 2020).</w:t>
            </w:r>
          </w:p>
        </w:tc>
        <w:tc>
          <w:tcPr>
            <w:tcW w:w="2448" w:type="dxa"/>
            <w:tcMar>
              <w:top w:w="80" w:type="dxa"/>
              <w:left w:w="90" w:type="dxa"/>
              <w:bottom w:w="80" w:type="dxa"/>
              <w:right w:w="90" w:type="dxa"/>
            </w:tcMar>
            <w:vAlign w:val="center"/>
          </w:tcPr>
          <w:p w14:paraId="326BB1DD" w14:textId="77777777" w:rsidR="00963BD7" w:rsidRPr="00162C1E" w:rsidRDefault="00000000">
            <w:pPr>
              <w:spacing w:after="30"/>
            </w:pPr>
            <w:r w:rsidRPr="00162C1E">
              <w:rPr>
                <w:sz w:val="18"/>
              </w:rPr>
              <w:t>Incorporate reliability, manufacturing quality, and resilience into purchasing and payment incentives alongside price.</w:t>
            </w:r>
          </w:p>
        </w:tc>
      </w:tr>
      <w:tr w:rsidR="00162C1E" w:rsidRPr="00162C1E" w14:paraId="4FCD6ADA" w14:textId="77777777">
        <w:trPr>
          <w:cantSplit/>
          <w:jc w:val="center"/>
        </w:trPr>
        <w:tc>
          <w:tcPr>
            <w:tcW w:w="1800" w:type="dxa"/>
            <w:tcMar>
              <w:top w:w="80" w:type="dxa"/>
              <w:left w:w="90" w:type="dxa"/>
              <w:bottom w:w="80" w:type="dxa"/>
              <w:right w:w="90" w:type="dxa"/>
            </w:tcMar>
            <w:vAlign w:val="center"/>
          </w:tcPr>
          <w:p w14:paraId="75064BD6" w14:textId="77777777" w:rsidR="00963BD7" w:rsidRPr="00162C1E" w:rsidRDefault="00000000">
            <w:pPr>
              <w:spacing w:after="30"/>
              <w:jc w:val="center"/>
            </w:pPr>
            <w:r w:rsidRPr="00162C1E">
              <w:rPr>
                <w:sz w:val="18"/>
              </w:rPr>
              <w:t>Upstream supply dependencies</w:t>
            </w:r>
          </w:p>
        </w:tc>
        <w:tc>
          <w:tcPr>
            <w:tcW w:w="3096" w:type="dxa"/>
            <w:tcMar>
              <w:top w:w="80" w:type="dxa"/>
              <w:left w:w="90" w:type="dxa"/>
              <w:bottom w:w="80" w:type="dxa"/>
              <w:right w:w="90" w:type="dxa"/>
            </w:tcMar>
            <w:vAlign w:val="center"/>
          </w:tcPr>
          <w:p w14:paraId="0D984EED" w14:textId="77777777" w:rsidR="00963BD7" w:rsidRPr="00162C1E" w:rsidRDefault="00000000">
            <w:pPr>
              <w:spacing w:after="30"/>
            </w:pPr>
            <w:r w:rsidRPr="00162C1E">
              <w:rPr>
                <w:sz w:val="18"/>
              </w:rPr>
              <w:t>Multiple manufacturers may depend on common API producers, key starting materials, contract facilities, or other critical inputs (Socal et al., 2023; Socal et al., 2024).</w:t>
            </w:r>
          </w:p>
        </w:tc>
        <w:tc>
          <w:tcPr>
            <w:tcW w:w="2880" w:type="dxa"/>
            <w:tcMar>
              <w:top w:w="80" w:type="dxa"/>
              <w:left w:w="90" w:type="dxa"/>
              <w:bottom w:w="80" w:type="dxa"/>
              <w:right w:w="90" w:type="dxa"/>
            </w:tcMar>
            <w:vAlign w:val="center"/>
          </w:tcPr>
          <w:p w14:paraId="27188914" w14:textId="77777777" w:rsidR="00963BD7" w:rsidRPr="00162C1E" w:rsidRDefault="00000000">
            <w:pPr>
              <w:spacing w:after="30"/>
            </w:pPr>
            <w:r w:rsidRPr="00162C1E">
              <w:rPr>
                <w:sz w:val="18"/>
              </w:rPr>
              <w:t>Failure of a shared upstream source can simultaneously constrain several manufacturers or products (NASEM, 2022).</w:t>
            </w:r>
          </w:p>
        </w:tc>
        <w:tc>
          <w:tcPr>
            <w:tcW w:w="2448" w:type="dxa"/>
            <w:tcMar>
              <w:top w:w="80" w:type="dxa"/>
              <w:left w:w="90" w:type="dxa"/>
              <w:bottom w:w="80" w:type="dxa"/>
              <w:right w:w="90" w:type="dxa"/>
            </w:tcMar>
            <w:vAlign w:val="center"/>
          </w:tcPr>
          <w:p w14:paraId="734F99D5" w14:textId="77777777" w:rsidR="00963BD7" w:rsidRPr="00162C1E" w:rsidRDefault="00000000">
            <w:pPr>
              <w:spacing w:after="30"/>
            </w:pPr>
            <w:r w:rsidRPr="00162C1E">
              <w:rPr>
                <w:sz w:val="18"/>
              </w:rPr>
              <w:t>Improve visibility into upstream dependencies and distinguish genuine supplier diversification from apparent product-level competition.</w:t>
            </w:r>
          </w:p>
        </w:tc>
      </w:tr>
      <w:tr w:rsidR="00162C1E" w:rsidRPr="00162C1E" w14:paraId="66187772" w14:textId="77777777">
        <w:trPr>
          <w:cantSplit/>
          <w:jc w:val="center"/>
        </w:trPr>
        <w:tc>
          <w:tcPr>
            <w:tcW w:w="1800" w:type="dxa"/>
            <w:tcMar>
              <w:top w:w="80" w:type="dxa"/>
              <w:left w:w="90" w:type="dxa"/>
              <w:bottom w:w="80" w:type="dxa"/>
              <w:right w:w="90" w:type="dxa"/>
            </w:tcMar>
            <w:vAlign w:val="center"/>
          </w:tcPr>
          <w:p w14:paraId="16890B62" w14:textId="77777777" w:rsidR="00963BD7" w:rsidRPr="00162C1E" w:rsidRDefault="00000000">
            <w:pPr>
              <w:spacing w:after="30"/>
              <w:jc w:val="center"/>
            </w:pPr>
            <w:r w:rsidRPr="00162C1E">
              <w:rPr>
                <w:sz w:val="18"/>
              </w:rPr>
              <w:t>Cost-focused procurement practices</w:t>
            </w:r>
          </w:p>
        </w:tc>
        <w:tc>
          <w:tcPr>
            <w:tcW w:w="3096" w:type="dxa"/>
            <w:tcMar>
              <w:top w:w="80" w:type="dxa"/>
              <w:left w:w="90" w:type="dxa"/>
              <w:bottom w:w="80" w:type="dxa"/>
              <w:right w:w="90" w:type="dxa"/>
            </w:tcMar>
            <w:vAlign w:val="center"/>
          </w:tcPr>
          <w:p w14:paraId="22866E71" w14:textId="77777777" w:rsidR="00963BD7" w:rsidRPr="00162C1E" w:rsidRDefault="00000000">
            <w:pPr>
              <w:spacing w:after="30"/>
            </w:pPr>
            <w:r w:rsidRPr="00162C1E">
              <w:rPr>
                <w:sz w:val="18"/>
              </w:rPr>
              <w:t>Purchasing arrangements that emphasize acquisition price may provide limited economic recognition for redundancy, reserve capacity, or diversified sourcing (Hernandez et al., 2020).</w:t>
            </w:r>
          </w:p>
        </w:tc>
        <w:tc>
          <w:tcPr>
            <w:tcW w:w="2880" w:type="dxa"/>
            <w:tcMar>
              <w:top w:w="80" w:type="dxa"/>
              <w:left w:w="90" w:type="dxa"/>
              <w:bottom w:w="80" w:type="dxa"/>
              <w:right w:w="90" w:type="dxa"/>
            </w:tcMar>
            <w:vAlign w:val="center"/>
          </w:tcPr>
          <w:p w14:paraId="1A47B59A" w14:textId="77777777" w:rsidR="00963BD7" w:rsidRPr="00162C1E" w:rsidRDefault="00000000">
            <w:pPr>
              <w:spacing w:after="30"/>
            </w:pPr>
            <w:r w:rsidRPr="00162C1E">
              <w:rPr>
                <w:sz w:val="18"/>
              </w:rPr>
              <w:t>Healthcare systems may face greater exposure when low-cost supply arrangements lack sufficient alternatives during disruption (Iyengar et al., 2016).</w:t>
            </w:r>
          </w:p>
        </w:tc>
        <w:tc>
          <w:tcPr>
            <w:tcW w:w="2448" w:type="dxa"/>
            <w:tcMar>
              <w:top w:w="80" w:type="dxa"/>
              <w:left w:w="90" w:type="dxa"/>
              <w:bottom w:w="80" w:type="dxa"/>
              <w:right w:w="90" w:type="dxa"/>
            </w:tcMar>
            <w:vAlign w:val="center"/>
          </w:tcPr>
          <w:p w14:paraId="4C0E9289" w14:textId="77777777" w:rsidR="00963BD7" w:rsidRPr="00162C1E" w:rsidRDefault="00000000">
            <w:pPr>
              <w:spacing w:after="30"/>
            </w:pPr>
            <w:r w:rsidRPr="00162C1E">
              <w:rPr>
                <w:sz w:val="18"/>
              </w:rPr>
              <w:t>Incorporate supply reliability and resilience criteria into procurement decisions while preserving affordability.</w:t>
            </w:r>
          </w:p>
        </w:tc>
      </w:tr>
      <w:tr w:rsidR="00162C1E" w:rsidRPr="00162C1E" w14:paraId="40292F76" w14:textId="77777777">
        <w:trPr>
          <w:cantSplit/>
          <w:jc w:val="center"/>
        </w:trPr>
        <w:tc>
          <w:tcPr>
            <w:tcW w:w="1800" w:type="dxa"/>
            <w:tcMar>
              <w:top w:w="80" w:type="dxa"/>
              <w:left w:w="90" w:type="dxa"/>
              <w:bottom w:w="80" w:type="dxa"/>
              <w:right w:w="90" w:type="dxa"/>
            </w:tcMar>
            <w:vAlign w:val="center"/>
          </w:tcPr>
          <w:p w14:paraId="53AB3CE9" w14:textId="77777777" w:rsidR="00963BD7" w:rsidRPr="00162C1E" w:rsidRDefault="00000000">
            <w:pPr>
              <w:spacing w:after="30"/>
              <w:jc w:val="center"/>
            </w:pPr>
            <w:r w:rsidRPr="00162C1E">
              <w:rPr>
                <w:sz w:val="18"/>
              </w:rPr>
              <w:t>Limited inventory buffers</w:t>
            </w:r>
          </w:p>
        </w:tc>
        <w:tc>
          <w:tcPr>
            <w:tcW w:w="3096" w:type="dxa"/>
            <w:tcMar>
              <w:top w:w="80" w:type="dxa"/>
              <w:left w:w="90" w:type="dxa"/>
              <w:bottom w:w="80" w:type="dxa"/>
              <w:right w:w="90" w:type="dxa"/>
            </w:tcMar>
            <w:vAlign w:val="center"/>
          </w:tcPr>
          <w:p w14:paraId="6B4C9115" w14:textId="77777777" w:rsidR="00963BD7" w:rsidRPr="00162C1E" w:rsidRDefault="00000000">
            <w:pPr>
              <w:spacing w:after="30"/>
            </w:pPr>
            <w:r w:rsidRPr="00162C1E">
              <w:rPr>
                <w:sz w:val="18"/>
              </w:rPr>
              <w:t>Inventory minimization reduces the quantity of supply available to bridge temporary manufacturing or distribution interruptions (NASEM, 2022).</w:t>
            </w:r>
          </w:p>
        </w:tc>
        <w:tc>
          <w:tcPr>
            <w:tcW w:w="2880" w:type="dxa"/>
            <w:tcMar>
              <w:top w:w="80" w:type="dxa"/>
              <w:left w:w="90" w:type="dxa"/>
              <w:bottom w:w="80" w:type="dxa"/>
              <w:right w:w="90" w:type="dxa"/>
            </w:tcMar>
            <w:vAlign w:val="center"/>
          </w:tcPr>
          <w:p w14:paraId="7366B5AE" w14:textId="77777777" w:rsidR="00963BD7" w:rsidRPr="00162C1E" w:rsidRDefault="00000000">
            <w:pPr>
              <w:spacing w:after="30"/>
            </w:pPr>
            <w:r w:rsidRPr="00162C1E">
              <w:rPr>
                <w:sz w:val="18"/>
              </w:rPr>
              <w:t>Supply disruptions can translate more rapidly into institutional scarcity and conservation measures (Fox &amp; McLaughlin, 2018).</w:t>
            </w:r>
          </w:p>
        </w:tc>
        <w:tc>
          <w:tcPr>
            <w:tcW w:w="2448" w:type="dxa"/>
            <w:tcMar>
              <w:top w:w="80" w:type="dxa"/>
              <w:left w:w="90" w:type="dxa"/>
              <w:bottom w:w="80" w:type="dxa"/>
              <w:right w:w="90" w:type="dxa"/>
            </w:tcMar>
            <w:vAlign w:val="center"/>
          </w:tcPr>
          <w:p w14:paraId="4654D982" w14:textId="77777777" w:rsidR="00963BD7" w:rsidRPr="00162C1E" w:rsidRDefault="00000000">
            <w:pPr>
              <w:spacing w:after="30"/>
            </w:pPr>
            <w:r w:rsidRPr="00162C1E">
              <w:rPr>
                <w:sz w:val="18"/>
              </w:rPr>
              <w:t>Apply risk-based inventory strategies to clinically important products rather than uniform stock expansion.</w:t>
            </w:r>
          </w:p>
        </w:tc>
      </w:tr>
      <w:tr w:rsidR="00963BD7" w:rsidRPr="00162C1E" w14:paraId="43AD3402" w14:textId="77777777">
        <w:trPr>
          <w:cantSplit/>
          <w:jc w:val="center"/>
        </w:trPr>
        <w:tc>
          <w:tcPr>
            <w:tcW w:w="1800" w:type="dxa"/>
            <w:tcMar>
              <w:top w:w="80" w:type="dxa"/>
              <w:left w:w="90" w:type="dxa"/>
              <w:bottom w:w="80" w:type="dxa"/>
              <w:right w:w="90" w:type="dxa"/>
            </w:tcMar>
            <w:vAlign w:val="center"/>
          </w:tcPr>
          <w:p w14:paraId="070E968A" w14:textId="77777777" w:rsidR="00963BD7" w:rsidRPr="00162C1E" w:rsidRDefault="00000000">
            <w:pPr>
              <w:spacing w:after="30"/>
              <w:jc w:val="center"/>
            </w:pPr>
            <w:r w:rsidRPr="00162C1E">
              <w:rPr>
                <w:sz w:val="18"/>
              </w:rPr>
              <w:lastRenderedPageBreak/>
              <w:t>Demand shocks and forecasting limitations</w:t>
            </w:r>
          </w:p>
        </w:tc>
        <w:tc>
          <w:tcPr>
            <w:tcW w:w="3096" w:type="dxa"/>
            <w:tcMar>
              <w:top w:w="80" w:type="dxa"/>
              <w:left w:w="90" w:type="dxa"/>
              <w:bottom w:w="80" w:type="dxa"/>
              <w:right w:w="90" w:type="dxa"/>
            </w:tcMar>
            <w:vAlign w:val="center"/>
          </w:tcPr>
          <w:p w14:paraId="55B1E959" w14:textId="77777777" w:rsidR="00963BD7" w:rsidRPr="00162C1E" w:rsidRDefault="00000000">
            <w:pPr>
              <w:spacing w:after="30"/>
            </w:pPr>
            <w:r w:rsidRPr="00162C1E">
              <w:rPr>
                <w:sz w:val="18"/>
              </w:rPr>
              <w:t>Epidemics, emergencies, changes in clinical practice, or competitor withdrawal can increase demand faster than production can expand (Badreldin &amp; Atallah, 2021).</w:t>
            </w:r>
          </w:p>
        </w:tc>
        <w:tc>
          <w:tcPr>
            <w:tcW w:w="2880" w:type="dxa"/>
            <w:tcMar>
              <w:top w:w="80" w:type="dxa"/>
              <w:left w:w="90" w:type="dxa"/>
              <w:bottom w:w="80" w:type="dxa"/>
              <w:right w:w="90" w:type="dxa"/>
            </w:tcMar>
            <w:vAlign w:val="center"/>
          </w:tcPr>
          <w:p w14:paraId="2551E489" w14:textId="77777777" w:rsidR="00963BD7" w:rsidRPr="00162C1E" w:rsidRDefault="00000000">
            <w:pPr>
              <w:spacing w:after="30"/>
            </w:pPr>
            <w:r w:rsidRPr="00162C1E">
              <w:rPr>
                <w:sz w:val="18"/>
              </w:rPr>
              <w:t>Available inventory may be depleted rapidly, resulting in allocation, therapeutic substitution, or treatment disruption (Rosoff et al., 2012).</w:t>
            </w:r>
          </w:p>
        </w:tc>
        <w:tc>
          <w:tcPr>
            <w:tcW w:w="2448" w:type="dxa"/>
            <w:tcMar>
              <w:top w:w="80" w:type="dxa"/>
              <w:left w:w="90" w:type="dxa"/>
              <w:bottom w:w="80" w:type="dxa"/>
              <w:right w:w="90" w:type="dxa"/>
            </w:tcMar>
            <w:vAlign w:val="center"/>
          </w:tcPr>
          <w:p w14:paraId="51B91025" w14:textId="77777777" w:rsidR="00963BD7" w:rsidRPr="00162C1E" w:rsidRDefault="00000000">
            <w:pPr>
              <w:spacing w:after="30"/>
            </w:pPr>
            <w:r w:rsidRPr="00162C1E">
              <w:rPr>
                <w:sz w:val="18"/>
              </w:rPr>
              <w:t>Strengthen demand surveillance, forecasting, surge planning, and mechanisms for coordinated production response.</w:t>
            </w:r>
          </w:p>
        </w:tc>
      </w:tr>
    </w:tbl>
    <w:p w14:paraId="66B0FF06" w14:textId="77777777" w:rsidR="00963BD7" w:rsidRPr="00162C1E" w:rsidRDefault="00963BD7">
      <w:pPr>
        <w:spacing w:after="40"/>
      </w:pPr>
    </w:p>
    <w:p w14:paraId="2F348244" w14:textId="77777777" w:rsidR="00963BD7" w:rsidRPr="00162C1E" w:rsidRDefault="00000000">
      <w:pPr>
        <w:pStyle w:val="Heading1"/>
        <w:spacing w:before="180" w:after="80"/>
        <w:rPr>
          <w:color w:val="auto"/>
        </w:rPr>
      </w:pPr>
      <w:r w:rsidRPr="00162C1E">
        <w:rPr>
          <w:rFonts w:ascii="Times New Roman" w:hAnsi="Times New Roman"/>
          <w:color w:val="auto"/>
          <w:sz w:val="26"/>
        </w:rPr>
        <w:t>5. The U.S. Policy and Governance Architecture</w:t>
      </w:r>
    </w:p>
    <w:p w14:paraId="0C763290" w14:textId="77777777" w:rsidR="00963BD7" w:rsidRPr="00162C1E" w:rsidRDefault="00000000">
      <w:pPr>
        <w:pStyle w:val="Heading2"/>
        <w:spacing w:before="120" w:after="80"/>
        <w:rPr>
          <w:color w:val="auto"/>
        </w:rPr>
      </w:pPr>
      <w:r w:rsidRPr="00162C1E">
        <w:rPr>
          <w:rFonts w:ascii="Times New Roman" w:hAnsi="Times New Roman"/>
          <w:color w:val="auto"/>
          <w:sz w:val="23"/>
        </w:rPr>
        <w:t>5.1 Key Actors and Responsibilities</w:t>
      </w:r>
    </w:p>
    <w:p w14:paraId="2D7E7935" w14:textId="77777777" w:rsidR="00963BD7" w:rsidRPr="00162C1E" w:rsidRDefault="00000000">
      <w:pPr>
        <w:pStyle w:val="BodyText"/>
        <w:spacing w:after="100" w:line="259" w:lineRule="auto"/>
        <w:jc w:val="both"/>
      </w:pPr>
      <w:r w:rsidRPr="00162C1E">
        <w:t>Drug shortages in the United States are governed by a network of public and private actors with overlapping but nonidentical responsibilities. FDA is the principal federal regulator for drug-shortage monitoring and mitigation within its statutory authority. It receives manufacturer notifications, evaluates potential and ongoing shortages, works with manufacturers to prevent or mitigate disruptions, and may use available regulatory tools to facilitate recovery. FDA does not set pharmaceutical prices, compel firms to remain in low-margin markets, or directly determine private investment in manufacturing capacity. Its preventive role therefore operates within statutory limits and alongside market decisions made by manufacturers and purchasers (FDA, 2026; Fox et al., 2014; Gupta &amp; Huang, 2013).</w:t>
      </w:r>
    </w:p>
    <w:p w14:paraId="67FCB740" w14:textId="708A51B3" w:rsidR="00963BD7" w:rsidRPr="00162C1E" w:rsidRDefault="00E741B3">
      <w:pPr>
        <w:pStyle w:val="BodyText"/>
        <w:spacing w:after="100" w:line="259" w:lineRule="auto"/>
        <w:jc w:val="both"/>
      </w:pPr>
      <w:r w:rsidRPr="00162C1E">
        <w:t>Drug-shortage governance consequently extends beyond FDA and involves multiple public and private actors whose responsibilities span preparedness, production, distribution, procurement, and healthcare delivery.</w:t>
      </w:r>
    </w:p>
    <w:p w14:paraId="650EF9A6" w14:textId="77777777" w:rsidR="00963BD7" w:rsidRPr="00162C1E" w:rsidRDefault="00000000">
      <w:pPr>
        <w:pStyle w:val="BodyText"/>
        <w:spacing w:after="100" w:line="259" w:lineRule="auto"/>
        <w:jc w:val="both"/>
      </w:pPr>
      <w:r w:rsidRPr="00162C1E">
        <w:t/>
      </w:r>
      <w:r>
        <w:t xml:space="preserve">Private actors likewise influence resilience at different points in the supply pathway. Manufacturers determine production capacity, facility investment, supplier relationships, and product entry or exit. Wholesalers and distributors influence product flow and inventory allocation. Group purchasing </w:t>
      </w:r>
      <w:r>
        <w:rPr>
          <w:highlight w:val="yellow"/>
        </w:rPr>
        <w:t>organisations</w:t>
      </w:r>
      <w:r>
        <w:t xml:space="preserve"> and other purchasers shape contracting conditions and economic incentives. Hospitals and health systems manage scarcity through conservation, substitution, inventory redistribution, and allocation, while pharmacists and clinicians translate constrained supply into treatment decisions. Drug-shortage governance is therefore a network of interdependent decisions rather than a simple regulatory chain (Fox et al., 2014; Iyengar et al., 2016).</w:t>
      </w:r>
    </w:p>
    <w:p w14:paraId="0A8C489F" w14:textId="77777777" w:rsidR="00963BD7" w:rsidRPr="00162C1E" w:rsidRDefault="00000000">
      <w:pPr>
        <w:pStyle w:val="Heading2"/>
        <w:spacing w:before="120" w:after="80"/>
        <w:rPr>
          <w:color w:val="auto"/>
        </w:rPr>
      </w:pPr>
      <w:r w:rsidRPr="00162C1E">
        <w:rPr>
          <w:rFonts w:ascii="Times New Roman" w:hAnsi="Times New Roman"/>
          <w:color w:val="auto"/>
          <w:sz w:val="23"/>
        </w:rPr>
        <w:t>5.2 Shortage Surveillance and Early Warning</w:t>
      </w:r>
    </w:p>
    <w:p w14:paraId="42CAC425" w14:textId="77777777" w:rsidR="00963BD7" w:rsidRPr="00162C1E" w:rsidRDefault="00000000">
      <w:pPr>
        <w:pStyle w:val="BodyText"/>
        <w:spacing w:after="100" w:line="259" w:lineRule="auto"/>
        <w:jc w:val="both"/>
      </w:pPr>
      <w:r w:rsidRPr="00162C1E">
        <w:t>Early notification is a central mechanism for preventing an emerging disruption from becoming a clinically significant shortage. Federal requirements obligate manufacturers of covered products to notify FDA of specified permanent discontinuances and manufacturing interruptions that may lead to meaningful supply disruption, generally six months in advance when feasible or as soon as practicable when such notice is not possible. FDA also maintains a public Drug Shortage Database and receives information from manufacturers and other stakeholders. In calendar year 2025, FDA reported 1,424 potential-shortage notifications from 167 manufacturers, illustrating the scale of information that must be assessed before a disruption becomes a listed shortage (FDA, 2026; Lee et al., 2021).</w:t>
      </w:r>
    </w:p>
    <w:p w14:paraId="77D384BF" w14:textId="77777777" w:rsidR="00963BD7" w:rsidRPr="00162C1E" w:rsidRDefault="00000000">
      <w:pPr>
        <w:pStyle w:val="BodyText"/>
        <w:spacing w:after="100" w:line="259" w:lineRule="auto"/>
        <w:jc w:val="both"/>
      </w:pPr>
      <w:r w:rsidRPr="00162C1E">
        <w:t>Earlier reporting improves visibility, but important limitations remain. A notification that production has been interrupted does not necessarily reveal available inventories, competitors' reserve capacity, shared upstream suppliers, or the time required to validate and expand alternative production. Data completeness and network visibility are therefore as important as reporting speed. Recent work on pharmaceutical supply-chain prediction suggests that data-driven models can identify disruption risk, but performance can change under structural shocks, underscoring the need for continual validation rather than reliance on a static prediction rule (Hupman et al., 2024; Lee et al., 2021; Socal et al., 2023).</w:t>
      </w:r>
    </w:p>
    <w:p w14:paraId="08989444" w14:textId="77777777" w:rsidR="00963BD7" w:rsidRPr="00162C1E" w:rsidRDefault="00000000">
      <w:pPr>
        <w:pStyle w:val="Heading2"/>
        <w:spacing w:before="120" w:after="80"/>
        <w:rPr>
          <w:color w:val="auto"/>
        </w:rPr>
      </w:pPr>
      <w:r w:rsidRPr="00162C1E">
        <w:rPr>
          <w:rFonts w:ascii="Times New Roman" w:hAnsi="Times New Roman"/>
          <w:color w:val="auto"/>
          <w:sz w:val="23"/>
        </w:rPr>
        <w:lastRenderedPageBreak/>
        <w:t>5.3 Regulatory and Policy Responses</w:t>
      </w:r>
    </w:p>
    <w:p w14:paraId="607CB85D" w14:textId="77777777" w:rsidR="00963BD7" w:rsidRPr="00162C1E" w:rsidRDefault="00000000">
      <w:pPr>
        <w:pStyle w:val="BodyText"/>
        <w:spacing w:after="100" w:line="259" w:lineRule="auto"/>
        <w:jc w:val="both"/>
      </w:pPr>
      <w:r w:rsidRPr="00162C1E">
        <w:t>Once a shortage is anticipated or realized, responses depend on its cause, product characteristics, and severity. FDA may work with existing manufacturers to restore or expand production, expedite review of relevant alternatives when appropriate, exercise legally permissible regulatory flexibility, or facilitate temporary alternative sourcing when acceptable products are available. Temporary importation can be useful in selected shortages, but its timeliness, product suitability, regulatory requirements, and availability in other well-regulated markets limit its role as a universal solution (Bollyky et al., 2025; Chen et al., 2016; Gupta &amp; Huang, 2013). These measures can reduce immediate scarcity without necessarily changing the structural conditions that made the product vulnerable.</w:t>
      </w:r>
    </w:p>
    <w:p w14:paraId="2BB9A273" w14:textId="5A37A588" w:rsidR="00963BD7" w:rsidRPr="00162C1E" w:rsidRDefault="0040631C">
      <w:pPr>
        <w:pStyle w:val="BodyText"/>
        <w:spacing w:after="100" w:line="259" w:lineRule="auto"/>
        <w:jc w:val="both"/>
      </w:pPr>
      <w:r w:rsidRPr="00162C1E">
        <w:t/>
      </w:r>
      <w:r>
        <w:t xml:space="preserve">Recent policy analyses have increasingly </w:t>
      </w:r>
      <w:r>
        <w:rPr>
          <w:highlight w:val="yellow"/>
        </w:rPr>
        <w:t>emphasised</w:t>
      </w:r>
      <w:r>
        <w:t xml:space="preserve"> resilience-oriented approaches that operate before or beyond a specific shortage, including purchasing incentives, manufacturing flexibility, supply-chain visibility, and preparedness. However, available evidence remains insufficient to conclude that such initiatives consistently reduce long-term shortage recurrence </w:t>
      </w:r>
      <w:r>
        <w:rPr>
          <w:highlight w:val="yellow"/>
        </w:rPr>
        <w:t>(FDA,</w:t>
      </w:r>
      <w:r>
        <w:t xml:space="preserve"> 2026; NASEM, </w:t>
      </w:r>
      <w:r>
        <w:rPr>
          <w:highlight w:val="yellow"/>
        </w:rPr>
        <w:t>2022; Office of the Secretary, 2024).</w:t>
      </w:r>
      <w:r>
        <w:t xml:space="preserve"> Strategic reserves can bridge selected temporary disruptions but require product selection, storage, rotation, and replenishment; domestic manufacturing may reduce some external dependence yet still remain vulnerable if production or upstream inputs are concentrated. Table 2 </w:t>
      </w:r>
      <w:r>
        <w:rPr>
          <w:highlight w:val="yellow"/>
        </w:rPr>
        <w:t>summarises</w:t>
      </w:r>
      <w:r>
        <w:t xml:space="preserve"> major U.S. response mechanisms, their intended functions, potential contributions, limitations, and evidence gaps. The comparison shows that reactive mitigation, preparedness, market incentives, and data visibility address different parts of the shortage pathway and should not be treated as interchangeable interventions.</w:t>
      </w:r>
    </w:p>
    <w:p w14:paraId="0B99E761" w14:textId="77777777" w:rsidR="00963BD7" w:rsidRPr="00162C1E" w:rsidRDefault="00963BD7">
      <w:pPr>
        <w:sectPr w:rsidR="00963BD7" w:rsidRPr="00162C1E">
          <w:pgSz w:w="12240" w:h="15840"/>
          <w:pgMar w:top="1080" w:right="1224" w:bottom="1080" w:left="1224" w:header="720" w:footer="720" w:gutter="0"/>
          <w:cols w:space="720"/>
          <w:docGrid w:linePitch="360"/>
        </w:sectPr>
      </w:pPr>
    </w:p>
    <w:p w14:paraId="2A4E204C" w14:textId="77777777" w:rsidR="00963BD7" w:rsidRPr="00162C1E" w:rsidRDefault="00000000">
      <w:pPr>
        <w:keepNext/>
        <w:spacing w:before="120" w:after="80"/>
      </w:pPr>
      <w:r w:rsidRPr="00162C1E">
        <w:rPr>
          <w:b/>
          <w:sz w:val="20"/>
        </w:rPr>
        <w:lastRenderedPageBreak/>
        <w:t>Table 2.</w:t>
      </w:r>
      <w:r w:rsidRPr="00162C1E">
        <w:rPr>
          <w:sz w:val="20"/>
        </w:rPr>
        <w:t xml:space="preserve"> Major U.S. drug-shortage policy and regulatory responses, functions, limitations, and evidence gaps</w:t>
      </w:r>
    </w:p>
    <w:tbl>
      <w:tblPr>
        <w:tblStyle w:val="TableGrid"/>
        <w:tblW w:w="0" w:type="auto"/>
        <w:jc w:val="center"/>
        <w:tblLayout w:type="fixed"/>
        <w:tblLook w:val="04A0" w:firstRow="1" w:lastRow="0" w:firstColumn="1" w:lastColumn="0" w:noHBand="0" w:noVBand="1"/>
      </w:tblPr>
      <w:tblGrid>
        <w:gridCol w:w="2088"/>
        <w:gridCol w:w="1728"/>
        <w:gridCol w:w="2448"/>
        <w:gridCol w:w="2376"/>
        <w:gridCol w:w="2951"/>
        <w:gridCol w:w="2664"/>
      </w:tblGrid>
      <w:tr w:rsidR="00162C1E" w:rsidRPr="00162C1E" w14:paraId="140B0909" w14:textId="77777777">
        <w:trPr>
          <w:cantSplit/>
          <w:tblHeader/>
          <w:jc w:val="center"/>
        </w:trPr>
        <w:tc>
          <w:tcPr>
            <w:tcW w:w="2088" w:type="dxa"/>
            <w:shd w:val="clear" w:color="auto" w:fill="D9E2F3"/>
            <w:tcMar>
              <w:top w:w="80" w:type="dxa"/>
              <w:left w:w="90" w:type="dxa"/>
              <w:bottom w:w="80" w:type="dxa"/>
              <w:right w:w="90" w:type="dxa"/>
            </w:tcMar>
            <w:vAlign w:val="center"/>
          </w:tcPr>
          <w:p w14:paraId="1239D5F5" w14:textId="77777777" w:rsidR="00963BD7" w:rsidRPr="00162C1E" w:rsidRDefault="00000000">
            <w:pPr>
              <w:spacing w:after="30"/>
              <w:jc w:val="center"/>
            </w:pPr>
            <w:r w:rsidRPr="00162C1E">
              <w:rPr>
                <w:b/>
                <w:sz w:val="17"/>
              </w:rPr>
              <w:t>Policy or response mechanism</w:t>
            </w:r>
          </w:p>
        </w:tc>
        <w:tc>
          <w:tcPr>
            <w:tcW w:w="1728" w:type="dxa"/>
            <w:shd w:val="clear" w:color="auto" w:fill="D9E2F3"/>
            <w:tcMar>
              <w:top w:w="80" w:type="dxa"/>
              <w:left w:w="90" w:type="dxa"/>
              <w:bottom w:w="80" w:type="dxa"/>
              <w:right w:w="90" w:type="dxa"/>
            </w:tcMar>
            <w:vAlign w:val="center"/>
          </w:tcPr>
          <w:p w14:paraId="4FD1E362" w14:textId="77777777" w:rsidR="00963BD7" w:rsidRPr="00162C1E" w:rsidRDefault="00000000">
            <w:pPr>
              <w:spacing w:after="30"/>
              <w:jc w:val="center"/>
            </w:pPr>
            <w:r w:rsidRPr="00162C1E">
              <w:rPr>
                <w:b/>
                <w:sz w:val="17"/>
              </w:rPr>
              <w:t>Principal actor(s)</w:t>
            </w:r>
          </w:p>
        </w:tc>
        <w:tc>
          <w:tcPr>
            <w:tcW w:w="2448" w:type="dxa"/>
            <w:shd w:val="clear" w:color="auto" w:fill="D9E2F3"/>
            <w:tcMar>
              <w:top w:w="80" w:type="dxa"/>
              <w:left w:w="90" w:type="dxa"/>
              <w:bottom w:w="80" w:type="dxa"/>
              <w:right w:w="90" w:type="dxa"/>
            </w:tcMar>
            <w:vAlign w:val="center"/>
          </w:tcPr>
          <w:p w14:paraId="420CF61A" w14:textId="77777777" w:rsidR="00963BD7" w:rsidRPr="00162C1E" w:rsidRDefault="00000000">
            <w:pPr>
              <w:spacing w:after="30"/>
              <w:jc w:val="center"/>
            </w:pPr>
            <w:r w:rsidRPr="00162C1E">
              <w:rPr>
                <w:b/>
                <w:sz w:val="17"/>
              </w:rPr>
              <w:t>Intended function</w:t>
            </w:r>
          </w:p>
        </w:tc>
        <w:tc>
          <w:tcPr>
            <w:tcW w:w="2376" w:type="dxa"/>
            <w:shd w:val="clear" w:color="auto" w:fill="D9E2F3"/>
            <w:tcMar>
              <w:top w:w="80" w:type="dxa"/>
              <w:left w:w="90" w:type="dxa"/>
              <w:bottom w:w="80" w:type="dxa"/>
              <w:right w:w="90" w:type="dxa"/>
            </w:tcMar>
            <w:vAlign w:val="center"/>
          </w:tcPr>
          <w:p w14:paraId="064A1293" w14:textId="77777777" w:rsidR="00963BD7" w:rsidRPr="00162C1E" w:rsidRDefault="00000000">
            <w:pPr>
              <w:spacing w:after="30"/>
              <w:jc w:val="center"/>
            </w:pPr>
            <w:r w:rsidRPr="00162C1E">
              <w:rPr>
                <w:b/>
                <w:sz w:val="17"/>
              </w:rPr>
              <w:t>Strength or potential contribution</w:t>
            </w:r>
          </w:p>
        </w:tc>
        <w:tc>
          <w:tcPr>
            <w:tcW w:w="2951" w:type="dxa"/>
            <w:shd w:val="clear" w:color="auto" w:fill="D9E2F3"/>
            <w:tcMar>
              <w:top w:w="80" w:type="dxa"/>
              <w:left w:w="90" w:type="dxa"/>
              <w:bottom w:w="80" w:type="dxa"/>
              <w:right w:w="90" w:type="dxa"/>
            </w:tcMar>
            <w:vAlign w:val="center"/>
          </w:tcPr>
          <w:p w14:paraId="62B73DAF" w14:textId="77777777" w:rsidR="00963BD7" w:rsidRPr="00162C1E" w:rsidRDefault="00000000">
            <w:pPr>
              <w:spacing w:after="30"/>
              <w:jc w:val="center"/>
            </w:pPr>
            <w:r w:rsidRPr="00162C1E">
              <w:rPr>
                <w:b/>
                <w:sz w:val="17"/>
              </w:rPr>
              <w:t>Key limitation</w:t>
            </w:r>
          </w:p>
        </w:tc>
        <w:tc>
          <w:tcPr>
            <w:tcW w:w="2664" w:type="dxa"/>
            <w:shd w:val="clear" w:color="auto" w:fill="D9E2F3"/>
            <w:tcMar>
              <w:top w:w="80" w:type="dxa"/>
              <w:left w:w="90" w:type="dxa"/>
              <w:bottom w:w="80" w:type="dxa"/>
              <w:right w:w="90" w:type="dxa"/>
            </w:tcMar>
            <w:vAlign w:val="center"/>
          </w:tcPr>
          <w:p w14:paraId="2AC649D4" w14:textId="77777777" w:rsidR="00963BD7" w:rsidRPr="00162C1E" w:rsidRDefault="00000000">
            <w:pPr>
              <w:spacing w:after="30"/>
              <w:jc w:val="center"/>
            </w:pPr>
            <w:r w:rsidRPr="00162C1E">
              <w:rPr>
                <w:b/>
                <w:sz w:val="17"/>
              </w:rPr>
              <w:t>Evidence gap</w:t>
            </w:r>
          </w:p>
        </w:tc>
      </w:tr>
      <w:tr w:rsidR="00162C1E" w:rsidRPr="00162C1E" w14:paraId="777EE0E6" w14:textId="77777777">
        <w:trPr>
          <w:cantSplit/>
          <w:jc w:val="center"/>
        </w:trPr>
        <w:tc>
          <w:tcPr>
            <w:tcW w:w="2088" w:type="dxa"/>
            <w:tcMar>
              <w:top w:w="80" w:type="dxa"/>
              <w:left w:w="90" w:type="dxa"/>
              <w:bottom w:w="80" w:type="dxa"/>
              <w:right w:w="90" w:type="dxa"/>
            </w:tcMar>
            <w:vAlign w:val="center"/>
          </w:tcPr>
          <w:p w14:paraId="06664888" w14:textId="77777777" w:rsidR="00963BD7" w:rsidRPr="00162C1E" w:rsidRDefault="00000000">
            <w:pPr>
              <w:spacing w:after="30"/>
              <w:jc w:val="center"/>
            </w:pPr>
            <w:r w:rsidRPr="00162C1E">
              <w:rPr>
                <w:sz w:val="17"/>
              </w:rPr>
              <w:t>Manufacturer shortage notification</w:t>
            </w:r>
          </w:p>
        </w:tc>
        <w:tc>
          <w:tcPr>
            <w:tcW w:w="1728" w:type="dxa"/>
            <w:tcMar>
              <w:top w:w="80" w:type="dxa"/>
              <w:left w:w="90" w:type="dxa"/>
              <w:bottom w:w="80" w:type="dxa"/>
              <w:right w:w="90" w:type="dxa"/>
            </w:tcMar>
            <w:vAlign w:val="center"/>
          </w:tcPr>
          <w:p w14:paraId="1CF94DF8" w14:textId="77777777" w:rsidR="00963BD7" w:rsidRPr="00162C1E" w:rsidRDefault="00000000">
            <w:pPr>
              <w:spacing w:after="30"/>
            </w:pPr>
            <w:r w:rsidRPr="00162C1E">
              <w:rPr>
                <w:sz w:val="17"/>
              </w:rPr>
              <w:t>Manufacturers; FDA</w:t>
            </w:r>
          </w:p>
        </w:tc>
        <w:tc>
          <w:tcPr>
            <w:tcW w:w="2448" w:type="dxa"/>
            <w:tcMar>
              <w:top w:w="80" w:type="dxa"/>
              <w:left w:w="90" w:type="dxa"/>
              <w:bottom w:w="80" w:type="dxa"/>
              <w:right w:w="90" w:type="dxa"/>
            </w:tcMar>
            <w:vAlign w:val="center"/>
          </w:tcPr>
          <w:p w14:paraId="2330DE4A" w14:textId="77777777" w:rsidR="00963BD7" w:rsidRPr="00162C1E" w:rsidRDefault="00000000">
            <w:pPr>
              <w:spacing w:after="30"/>
            </w:pPr>
            <w:r w:rsidRPr="00162C1E">
              <w:rPr>
                <w:sz w:val="17"/>
              </w:rPr>
              <w:t>Provide advance warning of discontinuances or interruptions that may affect supply (FDA, 2026; Lee et al., 2021).</w:t>
            </w:r>
          </w:p>
        </w:tc>
        <w:tc>
          <w:tcPr>
            <w:tcW w:w="2376" w:type="dxa"/>
            <w:tcMar>
              <w:top w:w="80" w:type="dxa"/>
              <w:left w:w="90" w:type="dxa"/>
              <w:bottom w:w="80" w:type="dxa"/>
              <w:right w:w="90" w:type="dxa"/>
            </w:tcMar>
            <w:vAlign w:val="center"/>
          </w:tcPr>
          <w:p w14:paraId="24CC8364" w14:textId="77777777" w:rsidR="00963BD7" w:rsidRPr="00162C1E" w:rsidRDefault="00000000">
            <w:pPr>
              <w:spacing w:after="30"/>
            </w:pPr>
            <w:r w:rsidRPr="00162C1E">
              <w:rPr>
                <w:sz w:val="17"/>
              </w:rPr>
              <w:t>Allows earlier regulatory assessment and mitigation.</w:t>
            </w:r>
          </w:p>
        </w:tc>
        <w:tc>
          <w:tcPr>
            <w:tcW w:w="2951" w:type="dxa"/>
            <w:tcMar>
              <w:top w:w="80" w:type="dxa"/>
              <w:left w:w="90" w:type="dxa"/>
              <w:bottom w:w="80" w:type="dxa"/>
              <w:right w:w="90" w:type="dxa"/>
            </w:tcMar>
            <w:vAlign w:val="center"/>
          </w:tcPr>
          <w:p w14:paraId="54D96A3E" w14:textId="77777777" w:rsidR="00963BD7" w:rsidRPr="00162C1E" w:rsidRDefault="00000000">
            <w:pPr>
              <w:spacing w:after="30"/>
            </w:pPr>
            <w:r w:rsidRPr="00162C1E">
              <w:rPr>
                <w:sz w:val="17"/>
              </w:rPr>
              <w:t>Depends on timely, sufficiently detailed reporting and may not reveal broader supply-network vulnerabilities (Socal et al., 2023).</w:t>
            </w:r>
          </w:p>
        </w:tc>
        <w:tc>
          <w:tcPr>
            <w:tcW w:w="2664" w:type="dxa"/>
            <w:tcMar>
              <w:top w:w="80" w:type="dxa"/>
              <w:left w:w="90" w:type="dxa"/>
              <w:bottom w:w="80" w:type="dxa"/>
              <w:right w:w="90" w:type="dxa"/>
            </w:tcMar>
            <w:vAlign w:val="center"/>
          </w:tcPr>
          <w:p w14:paraId="33CDC156" w14:textId="77777777" w:rsidR="00963BD7" w:rsidRPr="00162C1E" w:rsidRDefault="00000000">
            <w:pPr>
              <w:spacing w:after="30"/>
            </w:pPr>
            <w:r w:rsidRPr="00162C1E">
              <w:rPr>
                <w:sz w:val="17"/>
              </w:rPr>
              <w:t>Need stronger evidence linking notification performance to downstream access and patient outcomes (Phuong et al., 2019).</w:t>
            </w:r>
          </w:p>
        </w:tc>
      </w:tr>
      <w:tr w:rsidR="00162C1E" w:rsidRPr="00162C1E" w14:paraId="2B1D471D" w14:textId="77777777">
        <w:trPr>
          <w:cantSplit/>
          <w:jc w:val="center"/>
        </w:trPr>
        <w:tc>
          <w:tcPr>
            <w:tcW w:w="2088" w:type="dxa"/>
            <w:tcMar>
              <w:top w:w="80" w:type="dxa"/>
              <w:left w:w="90" w:type="dxa"/>
              <w:bottom w:w="80" w:type="dxa"/>
              <w:right w:w="90" w:type="dxa"/>
            </w:tcMar>
            <w:vAlign w:val="center"/>
          </w:tcPr>
          <w:p w14:paraId="5986BD88" w14:textId="77777777" w:rsidR="00963BD7" w:rsidRPr="00162C1E" w:rsidRDefault="00000000">
            <w:pPr>
              <w:spacing w:after="30"/>
              <w:jc w:val="center"/>
            </w:pPr>
            <w:r w:rsidRPr="00162C1E">
              <w:rPr>
                <w:sz w:val="17"/>
              </w:rPr>
              <w:t>Drug-shortage surveillance</w:t>
            </w:r>
          </w:p>
        </w:tc>
        <w:tc>
          <w:tcPr>
            <w:tcW w:w="1728" w:type="dxa"/>
            <w:tcMar>
              <w:top w:w="80" w:type="dxa"/>
              <w:left w:w="90" w:type="dxa"/>
              <w:bottom w:w="80" w:type="dxa"/>
              <w:right w:w="90" w:type="dxa"/>
            </w:tcMar>
            <w:vAlign w:val="center"/>
          </w:tcPr>
          <w:p w14:paraId="2121EC7D" w14:textId="77777777" w:rsidR="00963BD7" w:rsidRPr="00162C1E" w:rsidRDefault="00000000">
            <w:pPr>
              <w:spacing w:after="30"/>
            </w:pPr>
            <w:r w:rsidRPr="00162C1E">
              <w:rPr>
                <w:sz w:val="17"/>
              </w:rPr>
              <w:t>FDA; manufacturers; healthcare organizations; other reporting sources</w:t>
            </w:r>
          </w:p>
        </w:tc>
        <w:tc>
          <w:tcPr>
            <w:tcW w:w="2448" w:type="dxa"/>
            <w:tcMar>
              <w:top w:w="80" w:type="dxa"/>
              <w:left w:w="90" w:type="dxa"/>
              <w:bottom w:w="80" w:type="dxa"/>
              <w:right w:w="90" w:type="dxa"/>
            </w:tcMar>
            <w:vAlign w:val="center"/>
          </w:tcPr>
          <w:p w14:paraId="2D7A4856" w14:textId="77777777" w:rsidR="00963BD7" w:rsidRPr="00162C1E" w:rsidRDefault="00000000">
            <w:pPr>
              <w:spacing w:after="30"/>
            </w:pPr>
            <w:r w:rsidRPr="00162C1E">
              <w:rPr>
                <w:sz w:val="17"/>
              </w:rPr>
              <w:t>Identify and communicate emerging or ongoing shortages (FDA, 2026; Kim et al., 2024).</w:t>
            </w:r>
          </w:p>
        </w:tc>
        <w:tc>
          <w:tcPr>
            <w:tcW w:w="2376" w:type="dxa"/>
            <w:tcMar>
              <w:top w:w="80" w:type="dxa"/>
              <w:left w:w="90" w:type="dxa"/>
              <w:bottom w:w="80" w:type="dxa"/>
              <w:right w:w="90" w:type="dxa"/>
            </w:tcMar>
            <w:vAlign w:val="center"/>
          </w:tcPr>
          <w:p w14:paraId="4735C550" w14:textId="77777777" w:rsidR="00963BD7" w:rsidRPr="00162C1E" w:rsidRDefault="00000000">
            <w:pPr>
              <w:spacing w:after="30"/>
            </w:pPr>
            <w:r w:rsidRPr="00162C1E">
              <w:rPr>
                <w:sz w:val="17"/>
              </w:rPr>
              <w:t>Improves visibility of recognized disruptions and supports coordination.</w:t>
            </w:r>
          </w:p>
        </w:tc>
        <w:tc>
          <w:tcPr>
            <w:tcW w:w="2951" w:type="dxa"/>
            <w:tcMar>
              <w:top w:w="80" w:type="dxa"/>
              <w:left w:w="90" w:type="dxa"/>
              <w:bottom w:w="80" w:type="dxa"/>
              <w:right w:w="90" w:type="dxa"/>
            </w:tcMar>
            <w:vAlign w:val="center"/>
          </w:tcPr>
          <w:p w14:paraId="74DF5F22" w14:textId="77777777" w:rsidR="00963BD7" w:rsidRPr="00162C1E" w:rsidRDefault="00000000">
            <w:pPr>
              <w:spacing w:after="30"/>
            </w:pPr>
            <w:r w:rsidRPr="00162C1E">
              <w:rPr>
                <w:sz w:val="17"/>
              </w:rPr>
              <w:t>May provide incomplete information on inventories, alternative capacity, shared suppliers, and upstream dependencies (NASEM, 2022).</w:t>
            </w:r>
          </w:p>
        </w:tc>
        <w:tc>
          <w:tcPr>
            <w:tcW w:w="2664" w:type="dxa"/>
            <w:tcMar>
              <w:top w:w="80" w:type="dxa"/>
              <w:left w:w="90" w:type="dxa"/>
              <w:bottom w:w="80" w:type="dxa"/>
              <w:right w:w="90" w:type="dxa"/>
            </w:tcMar>
            <w:vAlign w:val="center"/>
          </w:tcPr>
          <w:p w14:paraId="385189B9" w14:textId="77777777" w:rsidR="00963BD7" w:rsidRPr="00162C1E" w:rsidRDefault="00000000">
            <w:pPr>
              <w:spacing w:after="30"/>
            </w:pPr>
            <w:r w:rsidRPr="00162C1E">
              <w:rPr>
                <w:sz w:val="17"/>
              </w:rPr>
              <w:t>Need validated, continuously updated indicators that predict clinically significant scarcity before it occurs (Hupman et al., 2024).</w:t>
            </w:r>
          </w:p>
        </w:tc>
      </w:tr>
      <w:tr w:rsidR="00162C1E" w:rsidRPr="00162C1E" w14:paraId="264BD1EB" w14:textId="77777777">
        <w:trPr>
          <w:cantSplit/>
          <w:jc w:val="center"/>
        </w:trPr>
        <w:tc>
          <w:tcPr>
            <w:tcW w:w="2088" w:type="dxa"/>
            <w:tcMar>
              <w:top w:w="80" w:type="dxa"/>
              <w:left w:w="90" w:type="dxa"/>
              <w:bottom w:w="80" w:type="dxa"/>
              <w:right w:w="90" w:type="dxa"/>
            </w:tcMar>
            <w:vAlign w:val="center"/>
          </w:tcPr>
          <w:p w14:paraId="1D3DF343" w14:textId="77777777" w:rsidR="00963BD7" w:rsidRPr="00162C1E" w:rsidRDefault="00000000">
            <w:pPr>
              <w:spacing w:after="30"/>
              <w:jc w:val="center"/>
            </w:pPr>
            <w:r w:rsidRPr="00162C1E">
              <w:rPr>
                <w:sz w:val="17"/>
              </w:rPr>
              <w:t>Regulatory mitigation and flexibility</w:t>
            </w:r>
          </w:p>
        </w:tc>
        <w:tc>
          <w:tcPr>
            <w:tcW w:w="1728" w:type="dxa"/>
            <w:tcMar>
              <w:top w:w="80" w:type="dxa"/>
              <w:left w:w="90" w:type="dxa"/>
              <w:bottom w:w="80" w:type="dxa"/>
              <w:right w:w="90" w:type="dxa"/>
            </w:tcMar>
            <w:vAlign w:val="center"/>
          </w:tcPr>
          <w:p w14:paraId="6CAA0F01" w14:textId="77777777" w:rsidR="00963BD7" w:rsidRPr="00162C1E" w:rsidRDefault="00000000">
            <w:pPr>
              <w:spacing w:after="30"/>
            </w:pPr>
            <w:r w:rsidRPr="00162C1E">
              <w:rPr>
                <w:sz w:val="17"/>
              </w:rPr>
              <w:t>FDA; manufacturers</w:t>
            </w:r>
          </w:p>
        </w:tc>
        <w:tc>
          <w:tcPr>
            <w:tcW w:w="2448" w:type="dxa"/>
            <w:tcMar>
              <w:top w:w="80" w:type="dxa"/>
              <w:left w:w="90" w:type="dxa"/>
              <w:bottom w:w="80" w:type="dxa"/>
              <w:right w:w="90" w:type="dxa"/>
            </w:tcMar>
            <w:vAlign w:val="center"/>
          </w:tcPr>
          <w:p w14:paraId="530E8602" w14:textId="77777777" w:rsidR="00963BD7" w:rsidRPr="00162C1E" w:rsidRDefault="00000000">
            <w:pPr>
              <w:spacing w:after="30"/>
            </w:pPr>
            <w:r w:rsidRPr="00162C1E">
              <w:rPr>
                <w:sz w:val="17"/>
              </w:rPr>
              <w:t>Facilitate restoration or expansion of supply through appropriate regulatory mechanisms (Gupta &amp; Huang, 2013).</w:t>
            </w:r>
          </w:p>
        </w:tc>
        <w:tc>
          <w:tcPr>
            <w:tcW w:w="2376" w:type="dxa"/>
            <w:tcMar>
              <w:top w:w="80" w:type="dxa"/>
              <w:left w:w="90" w:type="dxa"/>
              <w:bottom w:w="80" w:type="dxa"/>
              <w:right w:w="90" w:type="dxa"/>
            </w:tcMar>
            <w:vAlign w:val="center"/>
          </w:tcPr>
          <w:p w14:paraId="6F37E340" w14:textId="77777777" w:rsidR="00963BD7" w:rsidRPr="00162C1E" w:rsidRDefault="00000000">
            <w:pPr>
              <w:spacing w:after="30"/>
            </w:pPr>
            <w:r w:rsidRPr="00162C1E">
              <w:rPr>
                <w:sz w:val="17"/>
              </w:rPr>
              <w:t>Can reduce severity or duration of emerging shortages.</w:t>
            </w:r>
          </w:p>
        </w:tc>
        <w:tc>
          <w:tcPr>
            <w:tcW w:w="2951" w:type="dxa"/>
            <w:tcMar>
              <w:top w:w="80" w:type="dxa"/>
              <w:left w:w="90" w:type="dxa"/>
              <w:bottom w:w="80" w:type="dxa"/>
              <w:right w:w="90" w:type="dxa"/>
            </w:tcMar>
            <w:vAlign w:val="center"/>
          </w:tcPr>
          <w:p w14:paraId="4E15F700" w14:textId="77777777" w:rsidR="00963BD7" w:rsidRPr="00162C1E" w:rsidRDefault="00000000">
            <w:pPr>
              <w:spacing w:after="30"/>
            </w:pPr>
            <w:r w:rsidRPr="00162C1E">
              <w:rPr>
                <w:sz w:val="17"/>
              </w:rPr>
              <w:t>Often operates after vulnerability or disruption has become apparent (Chen et al., 2016).</w:t>
            </w:r>
          </w:p>
        </w:tc>
        <w:tc>
          <w:tcPr>
            <w:tcW w:w="2664" w:type="dxa"/>
            <w:tcMar>
              <w:top w:w="80" w:type="dxa"/>
              <w:left w:w="90" w:type="dxa"/>
              <w:bottom w:w="80" w:type="dxa"/>
              <w:right w:w="90" w:type="dxa"/>
            </w:tcMar>
            <w:vAlign w:val="center"/>
          </w:tcPr>
          <w:p w14:paraId="3BB19271" w14:textId="77777777" w:rsidR="00963BD7" w:rsidRPr="00162C1E" w:rsidRDefault="00000000">
            <w:pPr>
              <w:spacing w:after="30"/>
            </w:pPr>
            <w:r w:rsidRPr="00162C1E">
              <w:rPr>
                <w:sz w:val="17"/>
              </w:rPr>
              <w:t>Comparative evidence is limited regarding which mitigation approaches work best under different shortage conditions (Shukar et al., 2021).</w:t>
            </w:r>
          </w:p>
        </w:tc>
      </w:tr>
      <w:tr w:rsidR="00162C1E" w:rsidRPr="00162C1E" w14:paraId="0A710E1D" w14:textId="77777777">
        <w:trPr>
          <w:cantSplit/>
          <w:jc w:val="center"/>
        </w:trPr>
        <w:tc>
          <w:tcPr>
            <w:tcW w:w="2088" w:type="dxa"/>
            <w:tcMar>
              <w:top w:w="80" w:type="dxa"/>
              <w:left w:w="90" w:type="dxa"/>
              <w:bottom w:w="80" w:type="dxa"/>
              <w:right w:w="90" w:type="dxa"/>
            </w:tcMar>
            <w:vAlign w:val="center"/>
          </w:tcPr>
          <w:p w14:paraId="45C0E82E" w14:textId="77777777" w:rsidR="00963BD7" w:rsidRPr="00162C1E" w:rsidRDefault="00000000">
            <w:pPr>
              <w:spacing w:after="30"/>
              <w:jc w:val="center"/>
            </w:pPr>
            <w:r w:rsidRPr="00162C1E">
              <w:rPr>
                <w:sz w:val="17"/>
              </w:rPr>
              <w:t>Alternative sourcing and supplier response</w:t>
            </w:r>
          </w:p>
        </w:tc>
        <w:tc>
          <w:tcPr>
            <w:tcW w:w="1728" w:type="dxa"/>
            <w:tcMar>
              <w:top w:w="80" w:type="dxa"/>
              <w:left w:w="90" w:type="dxa"/>
              <w:bottom w:w="80" w:type="dxa"/>
              <w:right w:w="90" w:type="dxa"/>
            </w:tcMar>
            <w:vAlign w:val="center"/>
          </w:tcPr>
          <w:p w14:paraId="14981550" w14:textId="77777777" w:rsidR="00963BD7" w:rsidRPr="00162C1E" w:rsidRDefault="00000000">
            <w:pPr>
              <w:spacing w:after="30"/>
            </w:pPr>
            <w:r w:rsidRPr="00162C1E">
              <w:rPr>
                <w:sz w:val="17"/>
              </w:rPr>
              <w:t>FDA; manufacturers; distributors</w:t>
            </w:r>
          </w:p>
        </w:tc>
        <w:tc>
          <w:tcPr>
            <w:tcW w:w="2448" w:type="dxa"/>
            <w:tcMar>
              <w:top w:w="80" w:type="dxa"/>
              <w:left w:w="90" w:type="dxa"/>
              <w:bottom w:w="80" w:type="dxa"/>
              <w:right w:w="90" w:type="dxa"/>
            </w:tcMar>
            <w:vAlign w:val="center"/>
          </w:tcPr>
          <w:p w14:paraId="2976676B" w14:textId="77777777" w:rsidR="00963BD7" w:rsidRPr="00162C1E" w:rsidRDefault="00000000">
            <w:pPr>
              <w:spacing w:after="30"/>
            </w:pPr>
            <w:r w:rsidRPr="00162C1E">
              <w:rPr>
                <w:sz w:val="17"/>
              </w:rPr>
              <w:t>Increase available supply when existing production is insufficient (Bollyky et al., 2025; Mazer-Amirshahi &amp; Fox, 2018).</w:t>
            </w:r>
          </w:p>
        </w:tc>
        <w:tc>
          <w:tcPr>
            <w:tcW w:w="2376" w:type="dxa"/>
            <w:tcMar>
              <w:top w:w="80" w:type="dxa"/>
              <w:left w:w="90" w:type="dxa"/>
              <w:bottom w:w="80" w:type="dxa"/>
              <w:right w:w="90" w:type="dxa"/>
            </w:tcMar>
            <w:vAlign w:val="center"/>
          </w:tcPr>
          <w:p w14:paraId="3E6A470B" w14:textId="77777777" w:rsidR="00963BD7" w:rsidRPr="00162C1E" w:rsidRDefault="00000000">
            <w:pPr>
              <w:spacing w:after="30"/>
            </w:pPr>
            <w:r w:rsidRPr="00162C1E">
              <w:rPr>
                <w:sz w:val="17"/>
              </w:rPr>
              <w:t>Can provide temporary relief during acute scarcity.</w:t>
            </w:r>
          </w:p>
        </w:tc>
        <w:tc>
          <w:tcPr>
            <w:tcW w:w="2951" w:type="dxa"/>
            <w:tcMar>
              <w:top w:w="80" w:type="dxa"/>
              <w:left w:w="90" w:type="dxa"/>
              <w:bottom w:w="80" w:type="dxa"/>
              <w:right w:w="90" w:type="dxa"/>
            </w:tcMar>
            <w:vAlign w:val="center"/>
          </w:tcPr>
          <w:p w14:paraId="0E343C4D" w14:textId="77777777" w:rsidR="00963BD7" w:rsidRPr="00162C1E" w:rsidRDefault="00000000">
            <w:pPr>
              <w:spacing w:after="30"/>
            </w:pPr>
            <w:r w:rsidRPr="00162C1E">
              <w:rPr>
                <w:sz w:val="17"/>
              </w:rPr>
              <w:t>Alternative capacity or acceptable products may be unavailable; temporary sourcing does not necessarily address structural vulnerability (Dill &amp; Ahn, 2014).</w:t>
            </w:r>
          </w:p>
        </w:tc>
        <w:tc>
          <w:tcPr>
            <w:tcW w:w="2664" w:type="dxa"/>
            <w:tcMar>
              <w:top w:w="80" w:type="dxa"/>
              <w:left w:w="90" w:type="dxa"/>
              <w:bottom w:w="80" w:type="dxa"/>
              <w:right w:w="90" w:type="dxa"/>
            </w:tcMar>
            <w:vAlign w:val="center"/>
          </w:tcPr>
          <w:p w14:paraId="04FA1E82" w14:textId="77777777" w:rsidR="00963BD7" w:rsidRPr="00162C1E" w:rsidRDefault="00000000">
            <w:pPr>
              <w:spacing w:after="30"/>
            </w:pPr>
            <w:r w:rsidRPr="00162C1E">
              <w:rPr>
                <w:sz w:val="17"/>
              </w:rPr>
              <w:t>Long-term resilience after temporary sourcing interventions remains under-evaluated (Tucker, Cao, et al., 2020).</w:t>
            </w:r>
          </w:p>
        </w:tc>
      </w:tr>
      <w:tr w:rsidR="00162C1E" w:rsidRPr="00162C1E" w14:paraId="7B36FB03" w14:textId="77777777">
        <w:trPr>
          <w:cantSplit/>
          <w:jc w:val="center"/>
        </w:trPr>
        <w:tc>
          <w:tcPr>
            <w:tcW w:w="2088" w:type="dxa"/>
            <w:tcMar>
              <w:top w:w="80" w:type="dxa"/>
              <w:left w:w="90" w:type="dxa"/>
              <w:bottom w:w="80" w:type="dxa"/>
              <w:right w:w="90" w:type="dxa"/>
            </w:tcMar>
            <w:vAlign w:val="center"/>
          </w:tcPr>
          <w:p w14:paraId="2E371A72" w14:textId="77777777" w:rsidR="00963BD7" w:rsidRPr="00162C1E" w:rsidRDefault="00000000">
            <w:pPr>
              <w:spacing w:after="30"/>
              <w:jc w:val="center"/>
            </w:pPr>
            <w:r w:rsidRPr="00162C1E">
              <w:rPr>
                <w:sz w:val="17"/>
              </w:rPr>
              <w:t>Strategic reserves and stockpiling</w:t>
            </w:r>
          </w:p>
        </w:tc>
        <w:tc>
          <w:tcPr>
            <w:tcW w:w="1728" w:type="dxa"/>
            <w:tcMar>
              <w:top w:w="80" w:type="dxa"/>
              <w:left w:w="90" w:type="dxa"/>
              <w:bottom w:w="80" w:type="dxa"/>
              <w:right w:w="90" w:type="dxa"/>
            </w:tcMar>
            <w:vAlign w:val="center"/>
          </w:tcPr>
          <w:p w14:paraId="12FE4BD4" w14:textId="77777777" w:rsidR="00963BD7" w:rsidRPr="00162C1E" w:rsidRDefault="00000000">
            <w:pPr>
              <w:spacing w:after="30"/>
            </w:pPr>
            <w:r w:rsidRPr="00162C1E">
              <w:rPr>
                <w:sz w:val="17"/>
              </w:rPr>
              <w:t>Federal agencies; healthcare systems</w:t>
            </w:r>
          </w:p>
        </w:tc>
        <w:tc>
          <w:tcPr>
            <w:tcW w:w="2448" w:type="dxa"/>
            <w:tcMar>
              <w:top w:w="80" w:type="dxa"/>
              <w:left w:w="90" w:type="dxa"/>
              <w:bottom w:w="80" w:type="dxa"/>
              <w:right w:w="90" w:type="dxa"/>
            </w:tcMar>
            <w:vAlign w:val="center"/>
          </w:tcPr>
          <w:p w14:paraId="40AFB146" w14:textId="77777777" w:rsidR="00963BD7" w:rsidRPr="00162C1E" w:rsidRDefault="00000000">
            <w:pPr>
              <w:spacing w:after="30"/>
            </w:pPr>
            <w:r w:rsidRPr="00162C1E">
              <w:rPr>
                <w:sz w:val="17"/>
              </w:rPr>
              <w:t>Maintain buffer inventory for selected critical products (NASEM, 2022).</w:t>
            </w:r>
          </w:p>
        </w:tc>
        <w:tc>
          <w:tcPr>
            <w:tcW w:w="2376" w:type="dxa"/>
            <w:tcMar>
              <w:top w:w="80" w:type="dxa"/>
              <w:left w:w="90" w:type="dxa"/>
              <w:bottom w:w="80" w:type="dxa"/>
              <w:right w:w="90" w:type="dxa"/>
            </w:tcMar>
            <w:vAlign w:val="center"/>
          </w:tcPr>
          <w:p w14:paraId="2F30992E" w14:textId="77777777" w:rsidR="00963BD7" w:rsidRPr="00162C1E" w:rsidRDefault="00000000">
            <w:pPr>
              <w:spacing w:after="30"/>
            </w:pPr>
            <w:r w:rsidRPr="00162C1E">
              <w:rPr>
                <w:sz w:val="17"/>
              </w:rPr>
              <w:t>Can bridge temporary interruptions and reduce immediate scarcity.</w:t>
            </w:r>
          </w:p>
        </w:tc>
        <w:tc>
          <w:tcPr>
            <w:tcW w:w="2951" w:type="dxa"/>
            <w:tcMar>
              <w:top w:w="80" w:type="dxa"/>
              <w:left w:w="90" w:type="dxa"/>
              <w:bottom w:w="80" w:type="dxa"/>
              <w:right w:w="90" w:type="dxa"/>
            </w:tcMar>
            <w:vAlign w:val="center"/>
          </w:tcPr>
          <w:p w14:paraId="76714FE0" w14:textId="77777777" w:rsidR="00963BD7" w:rsidRPr="00162C1E" w:rsidRDefault="00000000">
            <w:pPr>
              <w:spacing w:after="30"/>
            </w:pPr>
            <w:r w:rsidRPr="00162C1E">
              <w:rPr>
                <w:sz w:val="17"/>
              </w:rPr>
              <w:t>Expiration, storage, rotation, replenishment, and product selection can limit feasibility (Iyengar et al., 2016).</w:t>
            </w:r>
          </w:p>
        </w:tc>
        <w:tc>
          <w:tcPr>
            <w:tcW w:w="2664" w:type="dxa"/>
            <w:tcMar>
              <w:top w:w="80" w:type="dxa"/>
              <w:left w:w="90" w:type="dxa"/>
              <w:bottom w:w="80" w:type="dxa"/>
              <w:right w:w="90" w:type="dxa"/>
            </w:tcMar>
            <w:vAlign w:val="center"/>
          </w:tcPr>
          <w:p w14:paraId="7412403B" w14:textId="77777777" w:rsidR="00963BD7" w:rsidRPr="00162C1E" w:rsidRDefault="00000000">
            <w:pPr>
              <w:spacing w:after="30"/>
            </w:pPr>
            <w:r w:rsidRPr="00162C1E">
              <w:rPr>
                <w:sz w:val="17"/>
              </w:rPr>
              <w:t>Optimal product selection, inventory levels, duration, cost-effectiveness, and effects on routine markets remain uncertain (NASEM, 2022).</w:t>
            </w:r>
          </w:p>
        </w:tc>
      </w:tr>
      <w:tr w:rsidR="00162C1E" w:rsidRPr="00162C1E" w14:paraId="245D24F5" w14:textId="77777777">
        <w:trPr>
          <w:cantSplit/>
          <w:jc w:val="center"/>
        </w:trPr>
        <w:tc>
          <w:tcPr>
            <w:tcW w:w="2088" w:type="dxa"/>
            <w:tcMar>
              <w:top w:w="80" w:type="dxa"/>
              <w:left w:w="90" w:type="dxa"/>
              <w:bottom w:w="80" w:type="dxa"/>
              <w:right w:w="90" w:type="dxa"/>
            </w:tcMar>
            <w:vAlign w:val="center"/>
          </w:tcPr>
          <w:p w14:paraId="07488B5E" w14:textId="77777777" w:rsidR="00963BD7" w:rsidRPr="00162C1E" w:rsidRDefault="00000000">
            <w:pPr>
              <w:spacing w:after="30"/>
              <w:jc w:val="center"/>
            </w:pPr>
            <w:r w:rsidRPr="00162C1E">
              <w:rPr>
                <w:sz w:val="17"/>
              </w:rPr>
              <w:t>Domestic manufacturing initiatives</w:t>
            </w:r>
          </w:p>
        </w:tc>
        <w:tc>
          <w:tcPr>
            <w:tcW w:w="1728" w:type="dxa"/>
            <w:tcMar>
              <w:top w:w="80" w:type="dxa"/>
              <w:left w:w="90" w:type="dxa"/>
              <w:bottom w:w="80" w:type="dxa"/>
              <w:right w:w="90" w:type="dxa"/>
            </w:tcMar>
            <w:vAlign w:val="center"/>
          </w:tcPr>
          <w:p w14:paraId="05175092" w14:textId="77777777" w:rsidR="00963BD7" w:rsidRPr="00162C1E" w:rsidRDefault="00000000">
            <w:pPr>
              <w:spacing w:after="30"/>
            </w:pPr>
            <w:r w:rsidRPr="00162C1E">
              <w:rPr>
                <w:sz w:val="17"/>
              </w:rPr>
              <w:t>HHS/ASPR and other federal bodies; manufacturers</w:t>
            </w:r>
          </w:p>
        </w:tc>
        <w:tc>
          <w:tcPr>
            <w:tcW w:w="2448" w:type="dxa"/>
            <w:tcMar>
              <w:top w:w="80" w:type="dxa"/>
              <w:left w:w="90" w:type="dxa"/>
              <w:bottom w:w="80" w:type="dxa"/>
              <w:right w:w="90" w:type="dxa"/>
            </w:tcMar>
            <w:vAlign w:val="center"/>
          </w:tcPr>
          <w:p w14:paraId="6A7AA616" w14:textId="77777777" w:rsidR="00963BD7" w:rsidRPr="00162C1E" w:rsidRDefault="00000000">
            <w:pPr>
              <w:spacing w:after="30"/>
            </w:pPr>
            <w:r w:rsidRPr="00162C1E">
              <w:rPr>
                <w:sz w:val="17"/>
              </w:rPr>
              <w:t>Strengthen domestic production capacity for critical medicines and components (ASPR, 2026).</w:t>
            </w:r>
          </w:p>
        </w:tc>
        <w:tc>
          <w:tcPr>
            <w:tcW w:w="2376" w:type="dxa"/>
            <w:tcMar>
              <w:top w:w="80" w:type="dxa"/>
              <w:left w:w="90" w:type="dxa"/>
              <w:bottom w:w="80" w:type="dxa"/>
              <w:right w:w="90" w:type="dxa"/>
            </w:tcMar>
            <w:vAlign w:val="center"/>
          </w:tcPr>
          <w:p w14:paraId="7E428AE8" w14:textId="77777777" w:rsidR="00963BD7" w:rsidRPr="00162C1E" w:rsidRDefault="00000000">
            <w:pPr>
              <w:spacing w:after="30"/>
            </w:pPr>
            <w:r w:rsidRPr="00162C1E">
              <w:rPr>
                <w:sz w:val="17"/>
              </w:rPr>
              <w:t>May reduce selected external dependencies and strengthen domestic capability.</w:t>
            </w:r>
          </w:p>
        </w:tc>
        <w:tc>
          <w:tcPr>
            <w:tcW w:w="2951" w:type="dxa"/>
            <w:tcMar>
              <w:top w:w="80" w:type="dxa"/>
              <w:left w:w="90" w:type="dxa"/>
              <w:bottom w:w="80" w:type="dxa"/>
              <w:right w:w="90" w:type="dxa"/>
            </w:tcMar>
            <w:vAlign w:val="center"/>
          </w:tcPr>
          <w:p w14:paraId="59D7DC38" w14:textId="77777777" w:rsidR="00963BD7" w:rsidRPr="00162C1E" w:rsidRDefault="00000000">
            <w:pPr>
              <w:spacing w:after="30"/>
            </w:pPr>
            <w:r w:rsidRPr="00162C1E">
              <w:rPr>
                <w:sz w:val="17"/>
              </w:rPr>
              <w:t>Domestic production may remain concentrated or depend on common upstream inputs (Socal et al., 2024).</w:t>
            </w:r>
          </w:p>
        </w:tc>
        <w:tc>
          <w:tcPr>
            <w:tcW w:w="2664" w:type="dxa"/>
            <w:tcMar>
              <w:top w:w="80" w:type="dxa"/>
              <w:left w:w="90" w:type="dxa"/>
              <w:bottom w:w="80" w:type="dxa"/>
              <w:right w:w="90" w:type="dxa"/>
            </w:tcMar>
            <w:vAlign w:val="center"/>
          </w:tcPr>
          <w:p w14:paraId="49282696" w14:textId="77777777" w:rsidR="00963BD7" w:rsidRPr="00162C1E" w:rsidRDefault="00000000">
            <w:pPr>
              <w:spacing w:after="30"/>
            </w:pPr>
            <w:r w:rsidRPr="00162C1E">
              <w:rPr>
                <w:sz w:val="17"/>
              </w:rPr>
              <w:t>Need outcome evaluation showing whether initiatives reduce shortage frequency, duration, or recurrence (ASPE, 2025).</w:t>
            </w:r>
          </w:p>
        </w:tc>
      </w:tr>
      <w:tr w:rsidR="00162C1E" w:rsidRPr="00162C1E" w14:paraId="211D2DE4" w14:textId="77777777">
        <w:trPr>
          <w:cantSplit/>
          <w:jc w:val="center"/>
        </w:trPr>
        <w:tc>
          <w:tcPr>
            <w:tcW w:w="2088" w:type="dxa"/>
            <w:tcMar>
              <w:top w:w="80" w:type="dxa"/>
              <w:left w:w="90" w:type="dxa"/>
              <w:bottom w:w="80" w:type="dxa"/>
              <w:right w:w="90" w:type="dxa"/>
            </w:tcMar>
            <w:vAlign w:val="center"/>
          </w:tcPr>
          <w:p w14:paraId="245F8407" w14:textId="77777777" w:rsidR="00963BD7" w:rsidRPr="00162C1E" w:rsidRDefault="00000000">
            <w:pPr>
              <w:spacing w:after="30"/>
              <w:jc w:val="center"/>
            </w:pPr>
            <w:r w:rsidRPr="00162C1E">
              <w:rPr>
                <w:sz w:val="17"/>
              </w:rPr>
              <w:t>Supply diversification</w:t>
            </w:r>
          </w:p>
        </w:tc>
        <w:tc>
          <w:tcPr>
            <w:tcW w:w="1728" w:type="dxa"/>
            <w:tcMar>
              <w:top w:w="80" w:type="dxa"/>
              <w:left w:w="90" w:type="dxa"/>
              <w:bottom w:w="80" w:type="dxa"/>
              <w:right w:w="90" w:type="dxa"/>
            </w:tcMar>
            <w:vAlign w:val="center"/>
          </w:tcPr>
          <w:p w14:paraId="7F58BCC8" w14:textId="77777777" w:rsidR="00963BD7" w:rsidRPr="00162C1E" w:rsidRDefault="00000000">
            <w:pPr>
              <w:spacing w:after="30"/>
            </w:pPr>
            <w:r w:rsidRPr="00162C1E">
              <w:rPr>
                <w:sz w:val="17"/>
              </w:rPr>
              <w:t>Manufacturers; purchasers; federal agencies</w:t>
            </w:r>
          </w:p>
        </w:tc>
        <w:tc>
          <w:tcPr>
            <w:tcW w:w="2448" w:type="dxa"/>
            <w:tcMar>
              <w:top w:w="80" w:type="dxa"/>
              <w:left w:w="90" w:type="dxa"/>
              <w:bottom w:w="80" w:type="dxa"/>
              <w:right w:w="90" w:type="dxa"/>
            </w:tcMar>
            <w:vAlign w:val="center"/>
          </w:tcPr>
          <w:p w14:paraId="0A4F465C" w14:textId="77777777" w:rsidR="00963BD7" w:rsidRPr="00162C1E" w:rsidRDefault="00000000">
            <w:pPr>
              <w:spacing w:after="30"/>
            </w:pPr>
            <w:r w:rsidRPr="00162C1E">
              <w:rPr>
                <w:sz w:val="17"/>
              </w:rPr>
              <w:t>Reduce dependence on individual suppliers, facilities, or geographic sources (Jia &amp; Zhao, 2017).</w:t>
            </w:r>
          </w:p>
        </w:tc>
        <w:tc>
          <w:tcPr>
            <w:tcW w:w="2376" w:type="dxa"/>
            <w:tcMar>
              <w:top w:w="80" w:type="dxa"/>
              <w:left w:w="90" w:type="dxa"/>
              <w:bottom w:w="80" w:type="dxa"/>
              <w:right w:w="90" w:type="dxa"/>
            </w:tcMar>
            <w:vAlign w:val="center"/>
          </w:tcPr>
          <w:p w14:paraId="1E4AFB16" w14:textId="77777777" w:rsidR="00963BD7" w:rsidRPr="00162C1E" w:rsidRDefault="00000000">
            <w:pPr>
              <w:spacing w:after="30"/>
            </w:pPr>
            <w:r w:rsidRPr="00162C1E">
              <w:rPr>
                <w:sz w:val="17"/>
              </w:rPr>
              <w:t>Can increase alternatives available during disruption.</w:t>
            </w:r>
          </w:p>
        </w:tc>
        <w:tc>
          <w:tcPr>
            <w:tcW w:w="2951" w:type="dxa"/>
            <w:tcMar>
              <w:top w:w="80" w:type="dxa"/>
              <w:left w:w="90" w:type="dxa"/>
              <w:bottom w:w="80" w:type="dxa"/>
              <w:right w:w="90" w:type="dxa"/>
            </w:tcMar>
            <w:vAlign w:val="center"/>
          </w:tcPr>
          <w:p w14:paraId="3D8F2F4B" w14:textId="77777777" w:rsidR="00963BD7" w:rsidRPr="00162C1E" w:rsidRDefault="00000000">
            <w:pPr>
              <w:spacing w:after="30"/>
            </w:pPr>
            <w:r w:rsidRPr="00162C1E">
              <w:rPr>
                <w:sz w:val="17"/>
              </w:rPr>
              <w:t>Geographic relocation alone may reproduce concentration if suppliers share facilities or upstream inputs (Socal et al., 2023).</w:t>
            </w:r>
          </w:p>
        </w:tc>
        <w:tc>
          <w:tcPr>
            <w:tcW w:w="2664" w:type="dxa"/>
            <w:tcMar>
              <w:top w:w="80" w:type="dxa"/>
              <w:left w:w="90" w:type="dxa"/>
              <w:bottom w:w="80" w:type="dxa"/>
              <w:right w:w="90" w:type="dxa"/>
            </w:tcMar>
            <w:vAlign w:val="center"/>
          </w:tcPr>
          <w:p w14:paraId="391621D8" w14:textId="77777777" w:rsidR="00963BD7" w:rsidRPr="00162C1E" w:rsidRDefault="00000000">
            <w:pPr>
              <w:spacing w:after="30"/>
            </w:pPr>
            <w:r w:rsidRPr="00162C1E">
              <w:rPr>
                <w:sz w:val="17"/>
              </w:rPr>
              <w:t>Need better measures of genuine supplier and upstream diversification (ASPE, 2025; NASEM, 2022).</w:t>
            </w:r>
          </w:p>
        </w:tc>
      </w:tr>
      <w:tr w:rsidR="00963BD7" w:rsidRPr="00162C1E" w14:paraId="697ABD3C" w14:textId="77777777">
        <w:trPr>
          <w:cantSplit/>
          <w:jc w:val="center"/>
        </w:trPr>
        <w:tc>
          <w:tcPr>
            <w:tcW w:w="2088" w:type="dxa"/>
            <w:tcMar>
              <w:top w:w="80" w:type="dxa"/>
              <w:left w:w="90" w:type="dxa"/>
              <w:bottom w:w="80" w:type="dxa"/>
              <w:right w:w="90" w:type="dxa"/>
            </w:tcMar>
            <w:vAlign w:val="center"/>
          </w:tcPr>
          <w:p w14:paraId="7776562C" w14:textId="77777777" w:rsidR="00963BD7" w:rsidRPr="00162C1E" w:rsidRDefault="00000000">
            <w:pPr>
              <w:spacing w:after="30"/>
              <w:jc w:val="center"/>
            </w:pPr>
            <w:r w:rsidRPr="00162C1E">
              <w:rPr>
                <w:sz w:val="17"/>
              </w:rPr>
              <w:t>Supply-chain resilience and preparedness initiatives</w:t>
            </w:r>
          </w:p>
        </w:tc>
        <w:tc>
          <w:tcPr>
            <w:tcW w:w="1728" w:type="dxa"/>
            <w:tcMar>
              <w:top w:w="80" w:type="dxa"/>
              <w:left w:w="90" w:type="dxa"/>
              <w:bottom w:w="80" w:type="dxa"/>
              <w:right w:w="90" w:type="dxa"/>
            </w:tcMar>
            <w:vAlign w:val="center"/>
          </w:tcPr>
          <w:p w14:paraId="11D4C7BB" w14:textId="77777777" w:rsidR="00963BD7" w:rsidRPr="00162C1E" w:rsidRDefault="00000000">
            <w:pPr>
              <w:spacing w:after="30"/>
            </w:pPr>
            <w:r w:rsidRPr="00162C1E">
              <w:rPr>
                <w:sz w:val="17"/>
              </w:rPr>
              <w:t>HHS/ASPR; FDA; manufacturers; healthcare organizations</w:t>
            </w:r>
          </w:p>
        </w:tc>
        <w:tc>
          <w:tcPr>
            <w:tcW w:w="2448" w:type="dxa"/>
            <w:tcMar>
              <w:top w:w="80" w:type="dxa"/>
              <w:left w:w="90" w:type="dxa"/>
              <w:bottom w:w="80" w:type="dxa"/>
              <w:right w:w="90" w:type="dxa"/>
            </w:tcMar>
            <w:vAlign w:val="center"/>
          </w:tcPr>
          <w:p w14:paraId="2AFEFA38" w14:textId="77777777" w:rsidR="00963BD7" w:rsidRPr="00162C1E" w:rsidRDefault="00000000">
            <w:pPr>
              <w:spacing w:after="30"/>
            </w:pPr>
            <w:r w:rsidRPr="00162C1E">
              <w:rPr>
                <w:sz w:val="17"/>
              </w:rPr>
              <w:t>Strengthen preparedness, supply visibility, and capacity to withstand disruption (ASPE, 2025; ASPR, 2026).</w:t>
            </w:r>
          </w:p>
        </w:tc>
        <w:tc>
          <w:tcPr>
            <w:tcW w:w="2376" w:type="dxa"/>
            <w:tcMar>
              <w:top w:w="80" w:type="dxa"/>
              <w:left w:w="90" w:type="dxa"/>
              <w:bottom w:w="80" w:type="dxa"/>
              <w:right w:w="90" w:type="dxa"/>
            </w:tcMar>
            <w:vAlign w:val="center"/>
          </w:tcPr>
          <w:p w14:paraId="12D21368" w14:textId="77777777" w:rsidR="00963BD7" w:rsidRPr="00162C1E" w:rsidRDefault="00000000">
            <w:pPr>
              <w:spacing w:after="30"/>
            </w:pPr>
            <w:r w:rsidRPr="00162C1E">
              <w:rPr>
                <w:sz w:val="17"/>
              </w:rPr>
              <w:t>Extends policy attention beyond immediate response toward prevention.</w:t>
            </w:r>
          </w:p>
        </w:tc>
        <w:tc>
          <w:tcPr>
            <w:tcW w:w="2951" w:type="dxa"/>
            <w:tcMar>
              <w:top w:w="80" w:type="dxa"/>
              <w:left w:w="90" w:type="dxa"/>
              <w:bottom w:w="80" w:type="dxa"/>
              <w:right w:w="90" w:type="dxa"/>
            </w:tcMar>
            <w:vAlign w:val="center"/>
          </w:tcPr>
          <w:p w14:paraId="203F4730" w14:textId="77777777" w:rsidR="00963BD7" w:rsidRPr="00162C1E" w:rsidRDefault="00000000">
            <w:pPr>
              <w:spacing w:after="30"/>
            </w:pPr>
            <w:r w:rsidRPr="00162C1E">
              <w:rPr>
                <w:sz w:val="17"/>
              </w:rPr>
              <w:t>Responsibilities and incentives remain distributed across multiple public and private actors (GAO, 2025; Iyengar et al., 2016).</w:t>
            </w:r>
          </w:p>
        </w:tc>
        <w:tc>
          <w:tcPr>
            <w:tcW w:w="2664" w:type="dxa"/>
            <w:tcMar>
              <w:top w:w="80" w:type="dxa"/>
              <w:left w:w="90" w:type="dxa"/>
              <w:bottom w:w="80" w:type="dxa"/>
              <w:right w:w="90" w:type="dxa"/>
            </w:tcMar>
            <w:vAlign w:val="center"/>
          </w:tcPr>
          <w:p w14:paraId="369ABE13" w14:textId="77777777" w:rsidR="00963BD7" w:rsidRPr="00162C1E" w:rsidRDefault="00000000">
            <w:pPr>
              <w:spacing w:after="30"/>
            </w:pPr>
            <w:r w:rsidRPr="00162C1E">
              <w:rPr>
                <w:sz w:val="17"/>
              </w:rPr>
              <w:t>Longitudinal evaluation is needed to determine effects on medicine availability, access, and recurrence (Kim et al., 2024).</w:t>
            </w:r>
          </w:p>
        </w:tc>
      </w:tr>
    </w:tbl>
    <w:p w14:paraId="24BA9AF0" w14:textId="77777777" w:rsidR="00963BD7" w:rsidRPr="00162C1E" w:rsidRDefault="00963BD7">
      <w:pPr>
        <w:sectPr w:rsidR="00963BD7" w:rsidRPr="00162C1E">
          <w:pgSz w:w="15840" w:h="12240" w:orient="landscape"/>
          <w:pgMar w:top="792" w:right="792" w:bottom="792" w:left="792" w:header="720" w:footer="720" w:gutter="0"/>
          <w:cols w:space="720"/>
          <w:docGrid w:linePitch="360"/>
        </w:sectPr>
      </w:pPr>
    </w:p>
    <w:p w14:paraId="25D6B17F" w14:textId="77777777" w:rsidR="00963BD7" w:rsidRPr="00162C1E" w:rsidRDefault="00000000">
      <w:pPr>
        <w:pStyle w:val="Heading2"/>
        <w:spacing w:before="120" w:after="80"/>
        <w:rPr>
          <w:color w:val="auto"/>
        </w:rPr>
      </w:pPr>
      <w:r w:rsidRPr="00162C1E">
        <w:rPr>
          <w:rFonts w:ascii="Times New Roman" w:hAnsi="Times New Roman"/>
          <w:color w:val="auto"/>
          <w:sz w:val="23"/>
        </w:rPr>
        <w:lastRenderedPageBreak/>
        <w:t>5.4 Governance Fragmentation and Accountability Gaps</w:t>
      </w:r>
    </w:p>
    <w:p w14:paraId="3864137A" w14:textId="7D3F8F63" w:rsidR="00963BD7" w:rsidRPr="00162C1E" w:rsidRDefault="00000000">
      <w:pPr>
        <w:pStyle w:val="BodyText"/>
        <w:spacing w:after="100" w:line="259" w:lineRule="auto"/>
        <w:jc w:val="both"/>
      </w:pPr>
      <w:r w:rsidRPr="00162C1E">
        <w:t xml:space="preserve">A central limitation of the current architecture is the difficulty of aligning responsibility, authority, information, and incentives. The institution that detects a shortage may lack authority to correct the economic conditions contributing to it. Manufacturers may hold the most detailed production information but face limited incentives to maintain unused capacity, while purchasers may benefit from lower prices without directly bearing all downstream costs of weakened redundancy. Healthcare institutions absorb substantial operational consequences when shortages occur despite having limited influence over upstream production decisions (Goldsack et al., 2014; Kaakeh et al., 2011; McLaughlin et al., 2013). </w:t>
      </w:r>
      <w:r w:rsidR="0040631C" w:rsidRPr="00162C1E">
        <w:t>These observations highlight the importance of effective coordination across institutions with different responsibilities, authorities, and incentives (Iyengar et al., 2016; NASEM, 2022</w:t>
      </w:r>
      <w:r w:rsidRPr="00162C1E">
        <w:t>).</w:t>
      </w:r>
    </w:p>
    <w:p w14:paraId="724C0DF4" w14:textId="77777777" w:rsidR="00963BD7" w:rsidRPr="00162C1E" w:rsidRDefault="00000000">
      <w:pPr>
        <w:pStyle w:val="BodyText"/>
        <w:spacing w:after="100" w:line="259" w:lineRule="auto"/>
        <w:jc w:val="both"/>
      </w:pPr>
      <w:r w:rsidRPr="00162C1E">
        <w:t/>
      </w:r>
      <w:r>
        <w:t xml:space="preserve">This fragmentation complicates accountability. Preventive investment must occur before its benefits are observable, which raises questions about who should finance resilience and how its value should be measured. Effective prevention also requires information sharing across </w:t>
      </w:r>
      <w:r>
        <w:rPr>
          <w:highlight w:val="yellow"/>
        </w:rPr>
        <w:t>organisations</w:t>
      </w:r>
      <w:r>
        <w:t xml:space="preserve"> that may regard production capacity, supplier relationships, and inventory as commercially sensitive. Federal work on measuring resilience, criticality, and vulnerability similarly identifies data transparency, cross-sector collaboration, and consistent metrics as continuing challenges (ASPE, 2025; Lee et al., 2021; NASEM, 2022).</w:t>
      </w:r>
    </w:p>
    <w:p w14:paraId="6AC0334A" w14:textId="77777777" w:rsidR="00963BD7" w:rsidRPr="00162C1E" w:rsidRDefault="00000000">
      <w:pPr>
        <w:pStyle w:val="BodyText"/>
        <w:spacing w:after="100" w:line="259" w:lineRule="auto"/>
        <w:jc w:val="both"/>
      </w:pPr>
      <w:r w:rsidRPr="00162C1E">
        <w:t/>
      </w:r>
      <w:r>
        <w:t xml:space="preserve">The governance challenge therefore extends beyond coordination during emergencies. A system may successfully mitigate individual shortages while leaving some underlying vulnerabilities unchanged. More durable governance would require clearer assignment of preventive responsibilities, actionable information sharing, incentives that reward reliable supply, and coordination from preparedness through recovery. These are policy propositions informed by the reviewed evidence; their effectiveness should be tested against measurable outcomes rather than assumed (Chen et al., 2016; Hernandez et al., 2020; </w:t>
      </w:r>
      <w:r>
        <w:rPr>
          <w:highlight w:val="yellow"/>
        </w:rPr>
        <w:t>Office of the Secretary,</w:t>
      </w:r>
      <w:r>
        <w:t xml:space="preserve"> 2024; Woodcock &amp; Wosinska, 2013).</w:t>
      </w:r>
    </w:p>
    <w:p w14:paraId="6A7C7C37" w14:textId="77777777" w:rsidR="00963BD7" w:rsidRPr="00162C1E" w:rsidRDefault="00000000">
      <w:pPr>
        <w:pStyle w:val="Heading1"/>
        <w:spacing w:before="180" w:after="80"/>
        <w:rPr>
          <w:color w:val="auto"/>
        </w:rPr>
      </w:pPr>
      <w:r w:rsidRPr="00162C1E">
        <w:rPr>
          <w:rFonts w:ascii="Times New Roman" w:hAnsi="Times New Roman"/>
          <w:color w:val="auto"/>
          <w:sz w:val="26"/>
        </w:rPr>
        <w:t>6. Drug Shortages, Essential Medicine Access, and Equity</w:t>
      </w:r>
    </w:p>
    <w:p w14:paraId="44B63E1F" w14:textId="77777777" w:rsidR="00963BD7" w:rsidRPr="00162C1E" w:rsidRDefault="00000000">
      <w:pPr>
        <w:pStyle w:val="Heading2"/>
        <w:spacing w:before="120" w:after="80"/>
        <w:rPr>
          <w:color w:val="auto"/>
        </w:rPr>
      </w:pPr>
      <w:r w:rsidRPr="00162C1E">
        <w:rPr>
          <w:rFonts w:ascii="Times New Roman" w:hAnsi="Times New Roman"/>
          <w:color w:val="auto"/>
          <w:sz w:val="23"/>
        </w:rPr>
        <w:t>6.1 Shortages as an Access Problem</w:t>
      </w:r>
    </w:p>
    <w:p w14:paraId="1E79F392" w14:textId="77777777" w:rsidR="00963BD7" w:rsidRPr="00162C1E" w:rsidRDefault="00000000">
      <w:pPr>
        <w:pStyle w:val="BodyText"/>
        <w:spacing w:after="100" w:line="259" w:lineRule="auto"/>
        <w:jc w:val="both"/>
      </w:pPr>
      <w:r w:rsidRPr="00162C1E">
        <w:t>Drug availability and patient access are related but not synonymous. A medicine may exist within the national supply chain yet remain unavailable to a particular hospital, clinic, pharmacy, or patient when needed. National supply indicators can therefore mask institutional and patient-level consequences. Access depends on the quantity and distribution of remaining supply, the ability of institutions to obtain it, the availability and clinical adequacy of alternatives, and whether substitution can occur without unacceptable delay, cost, toxicity, or other clinical compromise (Fox et al., 2014; Phuong et al., 2019; Santhireswaran et al., 2025).</w:t>
      </w:r>
    </w:p>
    <w:p w14:paraId="4781E661" w14:textId="77777777" w:rsidR="00963BD7" w:rsidRPr="00162C1E" w:rsidRDefault="00000000">
      <w:pPr>
        <w:pStyle w:val="BodyText"/>
        <w:spacing w:after="100" w:line="259" w:lineRule="auto"/>
        <w:jc w:val="both"/>
      </w:pPr>
      <w:r w:rsidRPr="00162C1E">
        <w:t/>
      </w:r>
      <w:r>
        <w:t xml:space="preserve">When scarcity is transmitted from production to healthcare delivery, hospitals and pharmacies must decide how to conserve stock, which alternatives are clinically acceptable, and how limited supplies should be allocated across indications. The significance of a shortage therefore depends on both the magnitude of the supply constraint and the adaptive capacity of the </w:t>
      </w:r>
      <w:r>
        <w:rPr>
          <w:highlight w:val="yellow"/>
        </w:rPr>
        <w:t>organisations</w:t>
      </w:r>
      <w:r>
        <w:t xml:space="preserve"> serving affected patients. A national shortage is not necessarily experienced uniformly because procurement relationships, inventories, clinical resources, and substitution options differ across settings (Fox &amp; McLaughlin, 2018; Kaakeh et al., 2011).</w:t>
      </w:r>
    </w:p>
    <w:p w14:paraId="5D6FF5DF" w14:textId="77777777" w:rsidR="00963BD7" w:rsidRPr="00162C1E" w:rsidRDefault="00000000">
      <w:pPr>
        <w:pStyle w:val="Heading2"/>
        <w:spacing w:before="120" w:after="80"/>
        <w:rPr>
          <w:color w:val="auto"/>
        </w:rPr>
      </w:pPr>
      <w:r w:rsidRPr="00162C1E">
        <w:rPr>
          <w:rFonts w:ascii="Times New Roman" w:hAnsi="Times New Roman"/>
          <w:color w:val="auto"/>
          <w:sz w:val="23"/>
        </w:rPr>
        <w:t>6.2 Distributional Consequences</w:t>
      </w:r>
    </w:p>
    <w:p w14:paraId="2B3855AA" w14:textId="77777777" w:rsidR="00963BD7" w:rsidRPr="00162C1E" w:rsidRDefault="00000000">
      <w:pPr>
        <w:pStyle w:val="BodyText"/>
        <w:spacing w:after="100" w:line="259" w:lineRule="auto"/>
        <w:jc w:val="both"/>
      </w:pPr>
      <w:r w:rsidRPr="00162C1E">
        <w:t/>
      </w:r>
      <w:r>
        <w:t xml:space="preserve">These differences create a plausible equity concern: </w:t>
      </w:r>
      <w:r>
        <w:rPr>
          <w:highlight w:val="yellow"/>
        </w:rPr>
        <w:t>organisations</w:t>
      </w:r>
      <w:r>
        <w:t xml:space="preserve"> with broader purchasing networks, dedicated shortage-management teams, greater inventory flexibility, or multiple sites for redistribution may be better positioned to absorb scarcity than smaller or resource-constrained </w:t>
      </w:r>
      <w:r>
        <w:rPr>
          <w:highlight w:val="yellow"/>
        </w:rPr>
        <w:t>organisations.</w:t>
      </w:r>
      <w:r>
        <w:t xml:space="preserve"> Earlier studies suggest that shortages can impose substantial administrative and acquisition burdens on health systems, but evidence is insufficient to conclude that rural, safety-net, independent, or other institution types consistently experience worse outcomes across all shortages (Kaakeh et al., 2011; Mazer-Amirshahi et al., 2014). The distinction between plausible vulnerability and demonstrated disparity is therefore essential.</w:t>
      </w:r>
    </w:p>
    <w:p w14:paraId="2B3B1295" w14:textId="77777777" w:rsidR="00963BD7" w:rsidRPr="00162C1E" w:rsidRDefault="00000000">
      <w:pPr>
        <w:pStyle w:val="BodyText"/>
        <w:spacing w:after="100" w:line="259" w:lineRule="auto"/>
        <w:jc w:val="both"/>
      </w:pPr>
      <w:r w:rsidRPr="00162C1E">
        <w:lastRenderedPageBreak/>
        <w:t/>
      </w:r>
      <w:r>
        <w:t xml:space="preserve">Current evidence </w:t>
      </w:r>
      <w:r>
        <w:rPr>
          <w:highlight w:val="yellow"/>
        </w:rPr>
        <w:t>is</w:t>
      </w:r>
      <w:r>
        <w:t xml:space="preserve"> heterogeneous in </w:t>
      </w:r>
      <w:r>
        <w:rPr>
          <w:highlight w:val="yellow"/>
        </w:rPr>
        <w:t>its quantification of</w:t>
      </w:r>
      <w:r>
        <w:t xml:space="preserve"> differences in shortage exposure and consequences by institution type, geography, and patient population. A recent scoping review found substantial variation in how </w:t>
      </w:r>
      <w:r>
        <w:rPr>
          <w:highlight w:val="yellow"/>
        </w:rPr>
        <w:t>utilisation</w:t>
      </w:r>
      <w:r>
        <w:t xml:space="preserve"> effects are measured across shortage studies, limiting direct comparisons (Santhireswaran et al., 2025). Patient-level evidence is beginning to improve. In a Veterans Health Administration analysis of approximately 1.5 million medication-use episodes involving 29 outpatient medicines that experienced shortages, 8.5% of episodes followed a trajectory consistent with potential shortage-related treatment disruption; medication characteristics, including manufacturer count, were more strongly associated with disruption than patient characteristics (Suda et al., 2026). These results are informative but are specific to VHA data and do not establish national disparities across healthcare settings.</w:t>
      </w:r>
    </w:p>
    <w:p w14:paraId="14449DF9" w14:textId="77777777" w:rsidR="00963BD7" w:rsidRPr="00162C1E" w:rsidRDefault="00000000">
      <w:pPr>
        <w:pStyle w:val="BodyText"/>
        <w:spacing w:after="100" w:line="259" w:lineRule="auto"/>
        <w:jc w:val="both"/>
      </w:pPr>
      <w:r w:rsidRPr="00162C1E">
        <w:t/>
      </w:r>
      <w:r>
        <w:t xml:space="preserve">Inpatient and outpatient consequences may also differ. Hospitals may be able to coordinate inventory, exchange hospital-supplied formulations, and implement institution-wide conservation protocols, whereas outpatient access may depend more directly on local pharmacy stock, insurance coverage, the availability of alternatives, and a patient's ability to obtain them. These differences support measuring resilience not only through national supply indicators but also through treatment continuity and medicine access at </w:t>
      </w:r>
      <w:r>
        <w:rPr>
          <w:highlight w:val="yellow"/>
        </w:rPr>
        <w:t xml:space="preserve">the </w:t>
      </w:r>
      <w:r>
        <w:t xml:space="preserve">institutional and </w:t>
      </w:r>
      <w:r>
        <w:rPr>
          <w:highlight w:val="yellow"/>
        </w:rPr>
        <w:t>patient levels</w:t>
      </w:r>
      <w:r>
        <w:t xml:space="preserve"> (McLaughlin et al., 2013; Phuong et al., 2019; Suda et al., 2026).</w:t>
      </w:r>
    </w:p>
    <w:p w14:paraId="276D03A5" w14:textId="77777777" w:rsidR="00963BD7" w:rsidRPr="00162C1E" w:rsidRDefault="00000000">
      <w:pPr>
        <w:pStyle w:val="Heading2"/>
        <w:spacing w:before="120" w:after="80"/>
        <w:rPr>
          <w:color w:val="auto"/>
        </w:rPr>
      </w:pPr>
      <w:r w:rsidRPr="00162C1E">
        <w:rPr>
          <w:rFonts w:ascii="Times New Roman" w:hAnsi="Times New Roman"/>
          <w:color w:val="auto"/>
          <w:sz w:val="23"/>
        </w:rPr>
        <w:t>6.3 Allocation and Ethical Challenges</w:t>
      </w:r>
    </w:p>
    <w:p w14:paraId="1C318E89" w14:textId="77777777" w:rsidR="00963BD7" w:rsidRPr="00162C1E" w:rsidRDefault="00000000">
      <w:pPr>
        <w:pStyle w:val="BodyText"/>
        <w:spacing w:after="100" w:line="259" w:lineRule="auto"/>
        <w:jc w:val="both"/>
      </w:pPr>
      <w:r w:rsidRPr="00162C1E">
        <w:t/>
      </w:r>
      <w:r>
        <w:t xml:space="preserve">When supply is insufficient for all clinically indicated uses, shortage management becomes an allocation problem. Healthcare institutions may reserve scarce medicines for indications with no adequate alternatives, </w:t>
      </w:r>
      <w:r>
        <w:rPr>
          <w:highlight w:val="yellow"/>
        </w:rPr>
        <w:t>prioritise</w:t>
      </w:r>
      <w:r>
        <w:t xml:space="preserve"> patients according to clinically defensible benefit criteria, alter dosing or treatment regimens, or use substitute therapies. Such decisions may be necessary, but they raise ethical questions concerning consistency, transparency, fairness, and accountability (Fox et al., 2009; Rosoff et al., 2012; Unguru et al., 2016).</w:t>
      </w:r>
    </w:p>
    <w:p w14:paraId="3435DD16" w14:textId="77777777" w:rsidR="00963BD7" w:rsidRPr="00162C1E" w:rsidRDefault="00000000">
      <w:pPr>
        <w:pStyle w:val="BodyText"/>
        <w:spacing w:after="100" w:line="259" w:lineRule="auto"/>
        <w:jc w:val="both"/>
      </w:pPr>
      <w:r w:rsidRPr="00162C1E">
        <w:t/>
      </w:r>
      <w:r>
        <w:t xml:space="preserve">Therapeutic substitution is particularly important </w:t>
      </w:r>
      <w:r>
        <w:rPr>
          <w:highlight w:val="yellow"/>
        </w:rPr>
        <w:t>because</w:t>
      </w:r>
      <w:r>
        <w:t xml:space="preserve"> a replacement </w:t>
      </w:r>
      <w:r>
        <w:rPr>
          <w:highlight w:val="yellow"/>
        </w:rPr>
        <w:t>medicine</w:t>
      </w:r>
      <w:r>
        <w:t xml:space="preserve"> may not be </w:t>
      </w:r>
      <w:r>
        <w:rPr>
          <w:highlight w:val="yellow"/>
        </w:rPr>
        <w:t>clinically</w:t>
      </w:r>
      <w:r>
        <w:t xml:space="preserve"> </w:t>
      </w:r>
      <w:r>
        <w:rPr>
          <w:highlight w:val="yellow"/>
        </w:rPr>
        <w:t>equivalent.</w:t>
      </w:r>
      <w:r>
        <w:t xml:space="preserve"> Substitutes can </w:t>
      </w:r>
      <w:r>
        <w:rPr>
          <w:highlight w:val="yellow"/>
        </w:rPr>
        <w:t>differ</w:t>
      </w:r>
      <w:r>
        <w:t xml:space="preserve"> </w:t>
      </w:r>
      <w:r>
        <w:rPr>
          <w:highlight w:val="yellow"/>
        </w:rPr>
        <w:t>in</w:t>
      </w:r>
      <w:r>
        <w:t xml:space="preserve"> effectiveness, side effects, dosage, </w:t>
      </w:r>
      <w:r>
        <w:t xml:space="preserve">preparation, administration, </w:t>
      </w:r>
      <w:r>
        <w:rPr>
          <w:highlight w:val="yellow"/>
        </w:rPr>
        <w:t>monitoring requirements,</w:t>
      </w:r>
      <w:r>
        <w:t xml:space="preserve"> or cost. The </w:t>
      </w:r>
      <w:r>
        <w:rPr>
          <w:highlight w:val="yellow"/>
        </w:rPr>
        <w:t>availability</w:t>
      </w:r>
      <w:r>
        <w:t xml:space="preserve"> </w:t>
      </w:r>
      <w:r>
        <w:rPr>
          <w:highlight w:val="yellow"/>
        </w:rPr>
        <w:t>of</w:t>
      </w:r>
      <w:r>
        <w:t xml:space="preserve"> an alternative should not automatically be </w:t>
      </w:r>
      <w:r>
        <w:rPr>
          <w:highlight w:val="yellow"/>
        </w:rPr>
        <w:t>interpreted</w:t>
      </w:r>
      <w:r>
        <w:t xml:space="preserve"> as </w:t>
      </w:r>
      <w:r>
        <w:rPr>
          <w:highlight w:val="yellow"/>
        </w:rPr>
        <w:t>preserved</w:t>
      </w:r>
      <w:r>
        <w:t xml:space="preserve"> access when</w:t>
      </w:r>
      <w:r>
        <w:rPr>
          <w:highlight w:val="yellow"/>
        </w:rPr>
        <w:t xml:space="preserve"> its use substantially changes</w:t>
      </w:r>
      <w:r>
        <w:t xml:space="preserve"> the burden or quality of care</w:t>
      </w:r>
      <w:r>
        <w:t xml:space="preserve"> (McLaughlin et al., 2013; Miljković et al., 2020; Vail et al., 2017).</w:t>
      </w:r>
    </w:p>
    <w:p w14:paraId="116F5B21" w14:textId="77777777" w:rsidR="00963BD7" w:rsidRPr="00162C1E" w:rsidRDefault="00000000">
      <w:pPr>
        <w:pStyle w:val="BodyText"/>
        <w:spacing w:after="100" w:line="259" w:lineRule="auto"/>
        <w:jc w:val="both"/>
      </w:pPr>
      <w:r w:rsidRPr="00162C1E">
        <w:t/>
      </w:r>
      <w:r>
        <w:rPr>
          <w:highlight w:val="yellow"/>
        </w:rPr>
        <w:t>This</w:t>
      </w:r>
      <w:r>
        <w:t xml:space="preserve"> </w:t>
      </w:r>
      <w:r>
        <w:rPr>
          <w:highlight w:val="yellow"/>
        </w:rPr>
        <w:t>analysis</w:t>
      </w:r>
      <w:r>
        <w:t xml:space="preserve"> </w:t>
      </w:r>
      <w:r>
        <w:rPr>
          <w:highlight w:val="yellow"/>
        </w:rPr>
        <w:t>raises</w:t>
      </w:r>
      <w:r>
        <w:t xml:space="preserve"> a central governance </w:t>
      </w:r>
      <w:r>
        <w:rPr>
          <w:highlight w:val="yellow"/>
        </w:rPr>
        <w:t>issue.</w:t>
      </w:r>
      <w:r>
        <w:t xml:space="preserve"> Many decisions regarding equitable allocation occur downstream, at </w:t>
      </w:r>
      <w:r>
        <w:t>hospital,</w:t>
      </w:r>
      <w:r>
        <w:t xml:space="preserve"> pharmacy, </w:t>
      </w:r>
      <w:r>
        <w:rPr>
          <w:highlight w:val="yellow"/>
        </w:rPr>
        <w:t>clinical,</w:t>
      </w:r>
      <w:r>
        <w:t xml:space="preserve"> and </w:t>
      </w:r>
      <w:r>
        <w:rPr>
          <w:highlight w:val="yellow"/>
        </w:rPr>
        <w:t>professional</w:t>
      </w:r>
      <w:r>
        <w:t xml:space="preserve"> </w:t>
      </w:r>
      <w:r>
        <w:rPr>
          <w:highlight w:val="yellow"/>
        </w:rPr>
        <w:t>or</w:t>
      </w:r>
      <w:r>
        <w:t xml:space="preserve"> </w:t>
      </w:r>
      <w:r>
        <w:rPr>
          <w:highlight w:val="yellow"/>
        </w:rPr>
        <w:t>organisational</w:t>
      </w:r>
      <w:r>
        <w:t xml:space="preserve"> </w:t>
      </w:r>
      <w:r>
        <w:rPr>
          <w:highlight w:val="yellow"/>
        </w:rPr>
        <w:t>levels,</w:t>
      </w:r>
      <w:r>
        <w:t xml:space="preserve"> </w:t>
      </w:r>
      <w:r>
        <w:rPr>
          <w:highlight w:val="yellow"/>
        </w:rPr>
        <w:t>whereas</w:t>
      </w:r>
      <w:r>
        <w:t xml:space="preserve"> federal </w:t>
      </w:r>
      <w:r>
        <w:rPr>
          <w:highlight w:val="yellow"/>
        </w:rPr>
        <w:t>drug-shortage</w:t>
      </w:r>
      <w:r>
        <w:t xml:space="preserve"> policy is primarily </w:t>
      </w:r>
      <w:r>
        <w:rPr>
          <w:highlight w:val="yellow"/>
        </w:rPr>
        <w:t>directed</w:t>
      </w:r>
      <w:r>
        <w:t xml:space="preserve"> </w:t>
      </w:r>
      <w:r>
        <w:rPr>
          <w:highlight w:val="yellow"/>
        </w:rPr>
        <w:t>towards</w:t>
      </w:r>
      <w:r>
        <w:t xml:space="preserve"> identifying, preventing, and mitigating supply shortages. This </w:t>
      </w:r>
      <w:r>
        <w:rPr>
          <w:highlight w:val="yellow"/>
        </w:rPr>
        <w:t>arrangement</w:t>
      </w:r>
      <w:r>
        <w:t xml:space="preserve"> allows </w:t>
      </w:r>
      <w:r>
        <w:rPr>
          <w:highlight w:val="yellow"/>
        </w:rPr>
        <w:t xml:space="preserve">institutions </w:t>
      </w:r>
      <w:r>
        <w:t xml:space="preserve">flexibility </w:t>
      </w:r>
      <w:r>
        <w:rPr>
          <w:highlight w:val="yellow"/>
        </w:rPr>
        <w:t>in</w:t>
      </w:r>
      <w:r>
        <w:t xml:space="preserve"> </w:t>
      </w:r>
      <w:r>
        <w:rPr>
          <w:highlight w:val="yellow"/>
        </w:rPr>
        <w:t>responding</w:t>
      </w:r>
      <w:r>
        <w:t xml:space="preserve"> to </w:t>
      </w:r>
      <w:r>
        <w:t xml:space="preserve">clinical </w:t>
      </w:r>
      <w:r>
        <w:rPr>
          <w:highlight w:val="yellow"/>
        </w:rPr>
        <w:t>circumstances</w:t>
      </w:r>
      <w:r>
        <w:t xml:space="preserve"> but may lead to differences in the management of scarcity. Equity then becomes a local responsibility </w:t>
      </w:r>
      <w:r>
        <w:rPr>
          <w:highlight w:val="yellow"/>
        </w:rPr>
        <w:t>within</w:t>
      </w:r>
      <w:r>
        <w:t xml:space="preserve"> a nationally interdependent supply </w:t>
      </w:r>
      <w:r>
        <w:rPr>
          <w:highlight w:val="yellow"/>
        </w:rPr>
        <w:t>system</w:t>
      </w:r>
      <w:r>
        <w:t xml:space="preserve"> (Rosoff et al., 2012; Unguru et al., 2016).</w:t>
      </w:r>
    </w:p>
    <w:p w14:paraId="7807B50F" w14:textId="77777777" w:rsidR="00963BD7" w:rsidRPr="00162C1E" w:rsidRDefault="00000000">
      <w:pPr>
        <w:pStyle w:val="BodyText"/>
        <w:spacing w:after="100" w:line="259" w:lineRule="auto"/>
        <w:jc w:val="both"/>
      </w:pPr>
      <w:r w:rsidRPr="00162C1E">
        <w:t>Resilience should therefore not be assessed solely by restoration of aggregate supply. A more complete assessment should ask whether clinically important medicines remained accessible across settings and populations during the shortage and whether allocation decisions were transparent, clinically justifiable, and consistently applied. This equity-oriented perspective is best treated as an evaluation criterion rather than as a presumption that all shortages produce demonstrated disparities.</w:t>
      </w:r>
    </w:p>
    <w:p w14:paraId="5ABA09DE" w14:textId="77777777" w:rsidR="00963BD7" w:rsidRPr="00162C1E" w:rsidRDefault="00000000">
      <w:pPr>
        <w:pStyle w:val="Heading1"/>
        <w:spacing w:before="180" w:after="80"/>
        <w:rPr>
          <w:color w:val="auto"/>
        </w:rPr>
      </w:pPr>
      <w:r w:rsidRPr="00162C1E">
        <w:rPr>
          <w:rFonts w:ascii="Times New Roman" w:hAnsi="Times New Roman"/>
          <w:color w:val="auto"/>
          <w:sz w:val="26"/>
        </w:rPr>
        <w:t>7. Limitations of Current Approaches</w:t>
      </w:r>
    </w:p>
    <w:p w14:paraId="2E196896" w14:textId="77777777" w:rsidR="00963BD7" w:rsidRPr="00162C1E" w:rsidRDefault="00000000">
      <w:pPr>
        <w:pStyle w:val="BodyText"/>
        <w:spacing w:after="100" w:line="259" w:lineRule="auto"/>
        <w:jc w:val="both"/>
      </w:pPr>
      <w:r w:rsidRPr="00162C1E">
        <w:t>The persistence of drug shortages despite substantial regulatory and institutional activity indicates that existing interventions address different parts of the problem with varying evidence of effectiveness. This section therefore focuses on documented limitations and unresolved coordination, incentive, information, and access questions rather than assuming that current initiatives are ineffective as a whole (Chen et al., 2016; GAO, 2025; Serchen et al., 2025; Tucker, Cao, et al., 2020).</w:t>
      </w:r>
    </w:p>
    <w:p w14:paraId="1FCDFB4A" w14:textId="77777777" w:rsidR="00963BD7" w:rsidRPr="00162C1E" w:rsidRDefault="00000000">
      <w:pPr>
        <w:pStyle w:val="BodyText"/>
        <w:spacing w:after="100" w:line="259" w:lineRule="auto"/>
        <w:jc w:val="both"/>
      </w:pPr>
      <w:r w:rsidRPr="00162C1E">
        <w:t xml:space="preserve">First, shortage governance has well-developed mechanisms for responding to identified disruptions, including early notification, regulatory flexibility, alternative sourcing, and coordination with manufacturers. These mechanisms can reduce the consequences of an emerging shortage, but they often become most visible after </w:t>
      </w:r>
      <w:r w:rsidRPr="00162C1E">
        <w:lastRenderedPageBreak/>
        <w:t/>
      </w:r>
      <w:r>
        <w:t xml:space="preserve">production risk has materialized. Structural conditions such as concentrated capacity, limited redundancy, weak incentives for standby production, and common upstream dependencies may require additional market and procurement interventions beyond case-by-case shortage response (Hernandez et al., 2020; </w:t>
      </w:r>
      <w:r>
        <w:rPr>
          <w:highlight w:val="yellow"/>
        </w:rPr>
        <w:t>Office of the Secretary,</w:t>
      </w:r>
      <w:r>
        <w:t xml:space="preserve"> 2024; NASEM, 2022; Woodcock &amp; Wosinska, 2013).</w:t>
      </w:r>
    </w:p>
    <w:p w14:paraId="3C2E1396" w14:textId="1C0BD9AA" w:rsidR="00963BD7" w:rsidRPr="00162C1E" w:rsidRDefault="00000000">
      <w:pPr>
        <w:pStyle w:val="BodyText"/>
        <w:spacing w:after="100" w:line="259" w:lineRule="auto"/>
        <w:jc w:val="both"/>
      </w:pPr>
      <w:r w:rsidRPr="00162C1E">
        <w:t xml:space="preserve">Second, accountability is distributed across actors with different responsibilities and incentives. Manufacturers control many production and investment decisions; regulators oversee quality and aspects of shortage management; purchasers influence contracting and price pressure; and healthcare institutions manage scarcity at the point of care. No single actor controls the entire pathway. </w:t>
      </w:r>
      <w:r w:rsidR="00E741B3" w:rsidRPr="00162C1E">
        <w:t>This distribution of responsibilities illustrates the continuing challenge of aligning the capacity to identify supply vulnerabilities with the authority and incentives required to address them (Gupta &amp; Huang, 2013; Iyengar et al., 2016).</w:t>
      </w:r>
    </w:p>
    <w:p w14:paraId="4EB222D4" w14:textId="77777777" w:rsidR="00963BD7" w:rsidRPr="00162C1E" w:rsidRDefault="00000000">
      <w:pPr>
        <w:pStyle w:val="BodyText"/>
        <w:spacing w:after="100" w:line="259" w:lineRule="auto"/>
        <w:jc w:val="both"/>
      </w:pPr>
      <w:r w:rsidRPr="00162C1E">
        <w:t>Information asymmetry further constrains prevention. Regulators and purchasers may know that a product has multiple suppliers without complete visibility into shared facilities, upstream dependencies, available capacity, or the time required to expand production. Greater transparency may improve risk assessment, but disclosure also raises issues of commercial confidentiality, data quality, reporting burden, and analytical usefulness. The appropriate policy objective is therefore actionable visibility rather than disclosure for its own sake (ASPE, 2025; Lee et al., 2021; Socal et al., 2023).</w:t>
      </w:r>
    </w:p>
    <w:p w14:paraId="22EF07D8" w14:textId="77777777" w:rsidR="00963BD7" w:rsidRPr="00162C1E" w:rsidRDefault="00000000">
      <w:pPr>
        <w:pStyle w:val="BodyText"/>
        <w:spacing w:after="100" w:line="259" w:lineRule="auto"/>
        <w:jc w:val="both"/>
      </w:pPr>
      <w:r w:rsidRPr="00162C1E">
        <w:t/>
      </w:r>
      <w:r>
        <w:t xml:space="preserve">Economic incentives present a related challenge. Competitive generic markets can generate substantial savings, yet purchasing systems that reward lower prices more clearly than reliable capacity may provide insufficient returns for redundancy, quality investment, and preparedness. Correcting this imbalance does not require abandoning price competition; it requires testing whether resilience can be measured and whether purchasing or payment mechanisms can reward it without unnecessary expenditure or protection of inefficient producers (Hernandez et al., 2020; </w:t>
      </w:r>
      <w:r>
        <w:rPr>
          <w:highlight w:val="yellow"/>
        </w:rPr>
        <w:t>Office of the Secretary,</w:t>
      </w:r>
      <w:r>
        <w:t xml:space="preserve"> 2024; Tucker, Daskin, et al., 2020; Yurukoglu et al., 2017).</w:t>
      </w:r>
    </w:p>
    <w:p w14:paraId="470CA15D" w14:textId="77777777" w:rsidR="00963BD7" w:rsidRPr="00162C1E" w:rsidRDefault="00000000">
      <w:pPr>
        <w:pStyle w:val="BodyText"/>
        <w:spacing w:after="100" w:line="259" w:lineRule="auto"/>
        <w:jc w:val="both"/>
      </w:pPr>
      <w:r w:rsidRPr="00162C1E">
        <w:t/>
      </w:r>
      <w:r>
        <w:t xml:space="preserve">Current approaches also do not consistently connect national supply restoration with institutional and patient-level access. A shortage may be mitigated nationally while some </w:t>
      </w:r>
      <w:r>
        <w:rPr>
          <w:highlight w:val="yellow"/>
        </w:rPr>
        <w:t>organisations</w:t>
      </w:r>
      <w:r>
        <w:t xml:space="preserve"> continue to experience constrained supply or patients receive delayed, interrupted, or altered therapy. Without measures linking national availability to downstream outcomes, successful supply management cannot automatically be interpreted as successful access protection (Phuong et al., 2019; Santhireswaran et al., 2025; Suda et al., 2026; Vail et al., 2017).</w:t>
      </w:r>
    </w:p>
    <w:p w14:paraId="4A9759F5" w14:textId="77777777" w:rsidR="00963BD7" w:rsidRPr="00162C1E" w:rsidRDefault="00000000">
      <w:pPr>
        <w:pStyle w:val="BodyText"/>
        <w:spacing w:after="100" w:line="259" w:lineRule="auto"/>
        <w:jc w:val="both"/>
      </w:pPr>
      <w:r w:rsidRPr="00162C1E">
        <w:t>Finally, many proposed solutions involve genuine trade-offs. Domestic manufacturing may reduce some external dependencies but can reproduce concentration if capacity remains limited to a few facilities. Geographic diversification may improve resilience only when suppliers and critical inputs are also diversified. Stockpiling can provide a temporary buffer but entails storage, rotation, expiration, and replenishment costs, whereas flexible manufacturing capacity may be more adaptable but economically difficult to sustain during normal demand. Stronger reporting or preparedness requirements may improve visibility while also imposing costs that require proportional design (ASPR, 2026; NASEM, 2022; Pauwels et al., 2014; Socal et al., 2021).</w:t>
      </w:r>
    </w:p>
    <w:p w14:paraId="2B62D86F" w14:textId="76AA9430" w:rsidR="00963BD7" w:rsidRPr="00162C1E" w:rsidRDefault="00000000">
      <w:pPr>
        <w:pStyle w:val="BodyText"/>
        <w:spacing w:after="100" w:line="259" w:lineRule="auto"/>
        <w:jc w:val="both"/>
      </w:pPr>
      <w:r w:rsidRPr="00162C1E">
        <w:t xml:space="preserve">The evidence therefore supports evaluating reform as a problem of alignment across prevention, incentives, information, accountability, and access rather than attributing recurrent shortages to a single policy failure. </w:t>
      </w:r>
      <w:r w:rsidR="00B50E8E" w:rsidRPr="00162C1E">
        <w:t/>
      </w:r>
      <w:r>
        <w:t xml:space="preserve">Recent policy and professional proposals increasingly </w:t>
      </w:r>
      <w:r>
        <w:rPr>
          <w:highlight w:val="yellow"/>
        </w:rPr>
        <w:t>emphasise</w:t>
      </w:r>
      <w:r>
        <w:t xml:space="preserve"> resilience and supply-chain visibility, but many have not yet been evaluated longitudinally (ASPE, 2025; </w:t>
      </w:r>
      <w:r>
        <w:rPr>
          <w:highlight w:val="yellow"/>
        </w:rPr>
        <w:t>Office of the Secretary,</w:t>
      </w:r>
      <w:r>
        <w:t xml:space="preserve"> 2024; Serchen et al., 2025</w:t>
      </w:r>
      <w:r w:rsidRPr="00162C1E">
        <w:t>). The distinction between policy activity and demonstrated resilience provides the basis for the conceptual framework proposed in the next section.</w:t>
      </w:r>
    </w:p>
    <w:p w14:paraId="0A15D84B" w14:textId="77777777" w:rsidR="00963BD7" w:rsidRPr="00162C1E" w:rsidRDefault="00000000">
      <w:pPr>
        <w:pStyle w:val="Heading1"/>
        <w:spacing w:before="180" w:after="80"/>
        <w:rPr>
          <w:color w:val="auto"/>
        </w:rPr>
      </w:pPr>
      <w:r w:rsidRPr="00162C1E">
        <w:rPr>
          <w:rFonts w:ascii="Times New Roman" w:hAnsi="Times New Roman"/>
          <w:color w:val="auto"/>
          <w:sz w:val="26"/>
        </w:rPr>
        <w:t>8. Proposed Integrated Policy and Governance Framework</w:t>
      </w:r>
    </w:p>
    <w:p w14:paraId="0317710B" w14:textId="77777777" w:rsidR="00963BD7" w:rsidRPr="00162C1E" w:rsidRDefault="00000000">
      <w:pPr>
        <w:pStyle w:val="BodyText"/>
        <w:spacing w:after="100" w:line="259" w:lineRule="auto"/>
        <w:jc w:val="both"/>
      </w:pPr>
      <w:r w:rsidRPr="00162C1E">
        <w:t xml:space="preserve"/>
      </w:r>
      <w:r>
        <w:t xml:space="preserve">The preceding synthesis indicates that drug-shortage governance spans production, market incentives, regulatory oversight, information flows, distribution, and patient access. We therefore propose an author-developed conceptual framework </w:t>
      </w:r>
      <w:r>
        <w:rPr>
          <w:highlight w:val="yellow"/>
        </w:rPr>
        <w:t>organised</w:t>
      </w:r>
      <w:r>
        <w:t xml:space="preserve"> around six connected functions: Prevent, Detect, Coordinate, Protect Access, Recover, and Learn. The framework was derived by grouping recurrent functions and </w:t>
      </w:r>
      <w:r w:rsidRPr="00162C1E">
        <w:lastRenderedPageBreak/>
        <w:t/>
      </w:r>
      <w:r>
        <w:t xml:space="preserve">governance gaps identified across the reviewed literature and current policy documents. It is intended as an </w:t>
      </w:r>
      <w:r>
        <w:rPr>
          <w:highlight w:val="yellow"/>
        </w:rPr>
        <w:t>organising</w:t>
      </w:r>
      <w:r>
        <w:t xml:space="preserve"> structure for policy responsibilities, measurement, and evaluation; it has not been prospectively validated as a causal or predictive model. Four cross-cutting principles—transparency, accountability, incentive alignment, and equity—apply across all six functions.</w:t>
      </w:r>
    </w:p>
    <w:p w14:paraId="35586486" w14:textId="77777777" w:rsidR="00963BD7" w:rsidRPr="00162C1E" w:rsidRDefault="00000000">
      <w:pPr>
        <w:pStyle w:val="Heading2"/>
        <w:spacing w:before="120" w:after="80"/>
        <w:rPr>
          <w:color w:val="auto"/>
        </w:rPr>
      </w:pPr>
      <w:r w:rsidRPr="00162C1E">
        <w:rPr>
          <w:rFonts w:ascii="Times New Roman" w:hAnsi="Times New Roman"/>
          <w:color w:val="auto"/>
          <w:sz w:val="23"/>
        </w:rPr>
        <w:t>8.1 Prevent</w:t>
      </w:r>
    </w:p>
    <w:p w14:paraId="1B1544FF" w14:textId="77777777" w:rsidR="00963BD7" w:rsidRPr="00162C1E" w:rsidRDefault="00000000">
      <w:pPr>
        <w:pStyle w:val="BodyText"/>
        <w:spacing w:after="100" w:line="259" w:lineRule="auto"/>
        <w:jc w:val="both"/>
      </w:pPr>
      <w:r w:rsidRPr="00162C1E">
        <w:t/>
      </w:r>
      <w:r>
        <w:t xml:space="preserve">Prevention begins by identifying medicines for which disruption would have substantial clinical consequences and for which the supply system has limited capacity to absorb failure. Risk assessment should consider clinical essentiality together with manufacturing concentration, supplier diversity, geographic dependence, production complexity, availability of therapeutic alternatives, quality history, and capacity to increase output. Recent federal work </w:t>
      </w:r>
      <w:r>
        <w:rPr>
          <w:highlight w:val="yellow"/>
        </w:rPr>
        <w:t>emphasises</w:t>
      </w:r>
      <w:r>
        <w:t xml:space="preserve"> that resilience, criticality, and vulnerability require explicit and consistent measurement rather than a single proxy such as country of manufacture (ASPE, 2025). Medicines combining high clinical importance with high supply vulnerability warrant greater preventive attention. Policy can encourage genuine diversification of production and critical inputs while creating proportionate incentives for manufacturing quality, redundancy, and reserve capacity </w:t>
      </w:r>
      <w:r>
        <w:rPr>
          <w:highlight w:val="yellow"/>
        </w:rPr>
        <w:t>(Office of the Secretary,</w:t>
      </w:r>
      <w:r>
        <w:t xml:space="preserve"> 2024; NASEM, 2022).</w:t>
      </w:r>
    </w:p>
    <w:p w14:paraId="1A04ACBA" w14:textId="77777777" w:rsidR="00963BD7" w:rsidRPr="00162C1E" w:rsidRDefault="00000000">
      <w:pPr>
        <w:pStyle w:val="Heading2"/>
        <w:spacing w:before="120" w:after="80"/>
        <w:rPr>
          <w:color w:val="auto"/>
        </w:rPr>
      </w:pPr>
      <w:r w:rsidRPr="00162C1E">
        <w:rPr>
          <w:rFonts w:ascii="Times New Roman" w:hAnsi="Times New Roman"/>
          <w:color w:val="auto"/>
          <w:sz w:val="23"/>
        </w:rPr>
        <w:t>8.2 Detect</w:t>
      </w:r>
    </w:p>
    <w:p w14:paraId="406316FD" w14:textId="77777777" w:rsidR="00963BD7" w:rsidRPr="00162C1E" w:rsidRDefault="00000000">
      <w:pPr>
        <w:pStyle w:val="BodyText"/>
        <w:spacing w:after="100" w:line="259" w:lineRule="auto"/>
        <w:jc w:val="both"/>
      </w:pPr>
      <w:r w:rsidRPr="00162C1E">
        <w:t>Detection should combine timely manufacturer reporting with indicators of changing supply risk. Predictive monitoring could integrate supply, demand, market-structure, manufacturing, and distribution signals. Data-driven pharmaceutical supply-chain models have shown that near-term disruption risk can be estimated, but model performance can shift under nonstationary shocks such as a pandemic, underscoring the need for external validation and continual updating (Hupman et al., 2024). The objective is not simply to collect more data but to convert reliable information into early, actionable warning (Dave et al., 2018; Lee et al., 2021).</w:t>
      </w:r>
    </w:p>
    <w:p w14:paraId="3475C353" w14:textId="77777777" w:rsidR="00963BD7" w:rsidRPr="00162C1E" w:rsidRDefault="00000000">
      <w:pPr>
        <w:pStyle w:val="Heading2"/>
        <w:spacing w:before="120" w:after="80"/>
        <w:rPr>
          <w:color w:val="auto"/>
        </w:rPr>
      </w:pPr>
      <w:r w:rsidRPr="00162C1E">
        <w:rPr>
          <w:rFonts w:ascii="Times New Roman" w:hAnsi="Times New Roman"/>
          <w:color w:val="auto"/>
          <w:sz w:val="23"/>
        </w:rPr>
        <w:t>8.3 Coordinate</w:t>
      </w:r>
    </w:p>
    <w:p w14:paraId="24D311B5" w14:textId="30BA18E4" w:rsidR="00963BD7" w:rsidRPr="00162C1E" w:rsidRDefault="00000000">
      <w:pPr>
        <w:pStyle w:val="BodyText"/>
        <w:spacing w:after="100" w:line="259" w:lineRule="auto"/>
        <w:jc w:val="both"/>
      </w:pPr>
      <w:r w:rsidRPr="00162C1E">
        <w:t xml:space="preserve"/>
      </w:r>
      <w:r>
        <w:t xml:space="preserve">Detection has limited value if responsibility for action remains unclear. Coordination should define which institutions act when predetermined risk thresholds are reached and how information moves among regulators, manufacturers, distributors, purchasers, and healthcare </w:t>
      </w:r>
      <w:r>
        <w:rPr>
          <w:highlight w:val="yellow"/>
        </w:rPr>
        <w:t>organisations.</w:t>
      </w:r>
      <w:r>
        <w:t xml:space="preserve"> </w:t>
      </w:r>
      <w:r w:rsidR="0040631C" w:rsidRPr="00162C1E">
        <w:t/>
      </w:r>
      <w:r>
        <w:t xml:space="preserve">Cross-institutional coordination is particularly important when a disruption crosses </w:t>
      </w:r>
      <w:r>
        <w:rPr>
          <w:highlight w:val="yellow"/>
        </w:rPr>
        <w:t>organisational</w:t>
      </w:r>
      <w:r>
        <w:t xml:space="preserve"> or geographic boundaries</w:t>
      </w:r>
      <w:r w:rsidRPr="00162C1E">
        <w:t>. Manufacturers can provide production information, distributors can identify changes in ordering and inventory patterns, and health systems can communicate emerging clinical consequences. Effective coordination should integrate these perspectives while assigning responsibility for decisions rather than relying on ad hoc cooperation during each crisis (GAO, 2025).</w:t>
      </w:r>
    </w:p>
    <w:p w14:paraId="505B1C54" w14:textId="77777777" w:rsidR="00963BD7" w:rsidRPr="00162C1E" w:rsidRDefault="00000000">
      <w:pPr>
        <w:pStyle w:val="Heading2"/>
        <w:spacing w:before="120" w:after="80"/>
        <w:rPr>
          <w:color w:val="auto"/>
        </w:rPr>
      </w:pPr>
      <w:r w:rsidRPr="00162C1E">
        <w:rPr>
          <w:rFonts w:ascii="Times New Roman" w:hAnsi="Times New Roman"/>
          <w:color w:val="auto"/>
          <w:sz w:val="23"/>
        </w:rPr>
        <w:t>8.4 Protect Access</w:t>
      </w:r>
    </w:p>
    <w:p w14:paraId="525A989C" w14:textId="77777777" w:rsidR="00963BD7" w:rsidRPr="00162C1E" w:rsidRDefault="00000000">
      <w:pPr>
        <w:pStyle w:val="BodyText"/>
        <w:spacing w:after="100" w:line="259" w:lineRule="auto"/>
        <w:jc w:val="both"/>
      </w:pPr>
      <w:r w:rsidRPr="00162C1E">
        <w:t/>
      </w:r>
      <w:r>
        <w:t xml:space="preserve">Maintaining aggregate supply is not sufficient if scarce medicines fail to reach patients according to clinical need. Access protection should therefore be an explicit governance function. When scarcity cannot be prevented, allocation principles should </w:t>
      </w:r>
      <w:r>
        <w:rPr>
          <w:highlight w:val="yellow"/>
        </w:rPr>
        <w:t>prioritise</w:t>
      </w:r>
      <w:r>
        <w:t xml:space="preserve"> clinically essential uses, consider the adequacy of therapeutic alternatives, and </w:t>
      </w:r>
      <w:r>
        <w:rPr>
          <w:highlight w:val="yellow"/>
        </w:rPr>
        <w:t>recognise</w:t>
      </w:r>
      <w:r>
        <w:t xml:space="preserve"> that some institutions or patients may have fewer practical options for obtaining substitutes. National or professional guidance can promote consistency while preserving appropriate clinical discretion. Transparency about allocation principles is important because scarcity decisions determine who receives a constrained resource. In this framework, equity does not require identical distribution; it requires that allocation differences be based on defensible clinical and access considerations rather than purchasing power alone.</w:t>
      </w:r>
    </w:p>
    <w:p w14:paraId="789D6732" w14:textId="77777777" w:rsidR="00963BD7" w:rsidRPr="00162C1E" w:rsidRDefault="00000000">
      <w:pPr>
        <w:pStyle w:val="Heading2"/>
        <w:spacing w:before="120" w:after="80"/>
        <w:rPr>
          <w:color w:val="auto"/>
        </w:rPr>
      </w:pPr>
      <w:r w:rsidRPr="00162C1E">
        <w:rPr>
          <w:rFonts w:ascii="Times New Roman" w:hAnsi="Times New Roman"/>
          <w:color w:val="auto"/>
          <w:sz w:val="23"/>
        </w:rPr>
        <w:t>8.5 Recover</w:t>
      </w:r>
    </w:p>
    <w:p w14:paraId="498CD0CA" w14:textId="77777777" w:rsidR="00963BD7" w:rsidRPr="00162C1E" w:rsidRDefault="00000000">
      <w:pPr>
        <w:pStyle w:val="BodyText"/>
        <w:spacing w:after="100" w:line="259" w:lineRule="auto"/>
        <w:jc w:val="both"/>
      </w:pPr>
      <w:r w:rsidRPr="00162C1E">
        <w:t xml:space="preserve">Recovery should extend beyond restoring production to pre-shortage levels. Immediate priorities include reestablishing reliable manufacturing and distribution and reducing prolonged dependence on temporary sourcing, conservation measures, or therapeutic substitutions. Declaring a shortage resolved without reassessing the underlying supply system may leave the same vulnerabilities in place. Recovery should </w:t>
      </w:r>
      <w:r w:rsidRPr="00162C1E">
        <w:lastRenderedPageBreak/>
        <w:t>therefore examine remaining concentration, supplier capacity, inventory conditions, quality concerns, and unresolved upstream dependencies. The objective is restoration with reduced vulnerability rather than automatic return to the previous supply configuration.</w:t>
      </w:r>
    </w:p>
    <w:p w14:paraId="3A32B751" w14:textId="77777777" w:rsidR="00963BD7" w:rsidRPr="00162C1E" w:rsidRDefault="00000000">
      <w:pPr>
        <w:pStyle w:val="Heading2"/>
        <w:spacing w:before="120" w:after="80"/>
        <w:rPr>
          <w:color w:val="auto"/>
        </w:rPr>
      </w:pPr>
      <w:r w:rsidRPr="00162C1E">
        <w:rPr>
          <w:rFonts w:ascii="Times New Roman" w:hAnsi="Times New Roman"/>
          <w:color w:val="auto"/>
          <w:sz w:val="23"/>
        </w:rPr>
        <w:t>8.6 Learn</w:t>
      </w:r>
    </w:p>
    <w:p w14:paraId="46AF6169" w14:textId="77777777" w:rsidR="00963BD7" w:rsidRPr="00162C1E" w:rsidRDefault="00000000">
      <w:pPr>
        <w:pStyle w:val="BodyText"/>
        <w:spacing w:after="100" w:line="259" w:lineRule="auto"/>
        <w:jc w:val="both"/>
      </w:pPr>
      <w:r w:rsidRPr="00162C1E">
        <w:t>Each significant shortage can reveal vulnerabilities that were incompletely visible before disruption. Post-shortage assessment should examine the initiating event, factors that amplified its effects, timeliness of detection, coordination performance, allocation consequences, and effectiveness of mitigation measures. The analysis should distinguish unavoidable shocks from vulnerabilities that could reasonably have been reduced. Policy interventions should likewise be evaluated against measurable outcomes, including recurrence, duration, access consequences, costs, and recovery time. Lessons should feed into risk classification, preparedness requirements, procurement strategies, and future policy design, completing the cycle from learning back to prevention.</w:t>
      </w:r>
    </w:p>
    <w:p w14:paraId="5138E1D2" w14:textId="77777777" w:rsidR="00963BD7" w:rsidRPr="00162C1E" w:rsidRDefault="00000000">
      <w:pPr>
        <w:pStyle w:val="BodyText"/>
        <w:spacing w:after="100" w:line="259" w:lineRule="auto"/>
        <w:jc w:val="both"/>
      </w:pPr>
      <w:r w:rsidRPr="00162C1E">
        <w:t/>
      </w:r>
      <w:r>
        <w:t xml:space="preserve">The framework depends on four cross-cutting governance principles. Transparency makes vulnerabilities and decisions sufficiently visible to support action. Accountability establishes who is responsible for acting on that information. Incentive alignment seeks to make resilience economically compatible with continued participation in essential-medicine markets. Equity requires that success be judged by preservation of clinically appropriate access rather than aggregate supply alone. Figure 1 </w:t>
      </w:r>
      <w:r>
        <w:rPr>
          <w:highlight w:val="yellow"/>
        </w:rPr>
        <w:t>summarises</w:t>
      </w:r>
      <w:r>
        <w:t xml:space="preserve"> the relationships among the six functions and these four cross-cutting principles. The figure is an original conceptual synthesis developed for this review and is intended to </w:t>
      </w:r>
      <w:r>
        <w:rPr>
          <w:highlight w:val="yellow"/>
        </w:rPr>
        <w:t>organise</w:t>
      </w:r>
      <w:r>
        <w:t xml:space="preserve"> policy responsibilities and evaluation questions rather than to depict a validated causal model.</w:t>
      </w:r>
    </w:p>
    <w:p w14:paraId="0E3C059E" w14:textId="77777777" w:rsidR="00963BD7" w:rsidRPr="00162C1E" w:rsidRDefault="00000000">
      <w:pPr>
        <w:keepNext/>
        <w:spacing w:before="80" w:after="80"/>
        <w:jc w:val="center"/>
      </w:pPr>
      <w:r w:rsidRPr="00162C1E">
        <w:rPr>
          <w:noProof/>
        </w:rPr>
        <w:lastRenderedPageBreak/>
        <w:drawing>
          <wp:inline distT="0" distB="0" distL="0" distR="0" wp14:anchorId="231FF529" wp14:editId="1C0CF446">
            <wp:extent cx="4251960" cy="38160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4251960" cy="3816033"/>
                    </a:xfrm>
                    <a:prstGeom prst="rect">
                      <a:avLst/>
                    </a:prstGeom>
                  </pic:spPr>
                </pic:pic>
              </a:graphicData>
            </a:graphic>
          </wp:inline>
        </w:drawing>
      </w:r>
    </w:p>
    <w:p w14:paraId="2FB02716" w14:textId="77777777" w:rsidR="00963BD7" w:rsidRPr="00162C1E" w:rsidRDefault="00000000">
      <w:pPr>
        <w:keepNext/>
        <w:spacing w:before="120" w:after="80"/>
      </w:pPr>
      <w:r w:rsidRPr="00162C1E">
        <w:rPr>
          <w:b/>
          <w:sz w:val="20"/>
        </w:rPr>
        <w:t>Figure 1.</w:t>
      </w:r>
      <w:r w:rsidRPr="00162C1E">
        <w:rPr>
          <w:sz w:val="20"/>
        </w:rPr>
        <w:t xml:space="preserve"> Integrated Policy and Governance Framework for Drug Shortage Resilience and Essential-Medicine Access. The author-developed framework conceptualizes drug-shortage governance as a continuous cycle of prevention, detection, coordination, access protection, recovery, and learning. Transparency, accountability, incentive alignment, and equity operate as cross-cutting principles supporting reliable and equitable access to essential medicines. Source: Authors' conceptualization.</w:t>
      </w:r>
    </w:p>
    <w:p w14:paraId="13D842AC" w14:textId="77777777" w:rsidR="00963BD7" w:rsidRPr="00162C1E" w:rsidRDefault="00000000">
      <w:pPr>
        <w:pStyle w:val="Heading1"/>
        <w:spacing w:before="180" w:after="80"/>
        <w:rPr>
          <w:color w:val="auto"/>
        </w:rPr>
      </w:pPr>
      <w:r w:rsidRPr="00162C1E">
        <w:rPr>
          <w:rFonts w:ascii="Times New Roman" w:hAnsi="Times New Roman"/>
          <w:color w:val="auto"/>
          <w:sz w:val="26"/>
        </w:rPr>
        <w:t>9. Policy Priorities and Implementation Considerations</w:t>
      </w:r>
    </w:p>
    <w:p w14:paraId="6A82857E" w14:textId="77777777" w:rsidR="00963BD7" w:rsidRPr="00162C1E" w:rsidRDefault="00000000">
      <w:pPr>
        <w:pStyle w:val="BodyText"/>
        <w:spacing w:after="100" w:line="259" w:lineRule="auto"/>
        <w:jc w:val="both"/>
      </w:pPr>
      <w:r w:rsidRPr="00162C1E">
        <w:t/>
      </w:r>
      <w:r>
        <w:t xml:space="preserve">Translating the proposed framework into practice requires </w:t>
      </w:r>
      <w:r>
        <w:rPr>
          <w:highlight w:val="yellow"/>
        </w:rPr>
        <w:t>prioritisation</w:t>
      </w:r>
      <w:r>
        <w:t xml:space="preserve"> because not every medicine warrants the same intensity of intervention. A risk-based approach could identify products for which shortage would create substantial clinical consequences and for which the supply system has limited capacity to absorb disruption. Such assessment should combine clinical essentiality with indicators of manufacturing concentration, upstream dependence, production complexity, therapeutic substitutability, geographic concentration, quality history, and capacity to increase output. This proposed approach is consistent with current federal work </w:t>
      </w:r>
      <w:r>
        <w:rPr>
          <w:highlight w:val="yellow"/>
        </w:rPr>
        <w:t>emphasising</w:t>
      </w:r>
      <w:r>
        <w:t xml:space="preserve"> explicit measurement of resilience, criticality, and vulnerability (ASPE, 2025).</w:t>
      </w:r>
    </w:p>
    <w:p w14:paraId="2C4817C7" w14:textId="194FCE8A" w:rsidR="00963BD7" w:rsidRPr="00162C1E" w:rsidRDefault="00000000">
      <w:pPr>
        <w:pStyle w:val="BodyText"/>
        <w:spacing w:after="100" w:line="259" w:lineRule="auto"/>
        <w:jc w:val="both"/>
      </w:pPr>
      <w:r w:rsidRPr="00162C1E">
        <w:t xml:space="preserve">Economic policy should distinguish between purchasing a product and purchasing reliable continuity of supply. </w:t>
      </w:r>
      <w:r w:rsidR="0040631C" w:rsidRPr="00162C1E">
        <w:t>Evidence and policy analyses support considering manufacturing quality, supplier diversification, continuity, and appropriate reserve capacity alongside acquisition price, particularly for vulnerable generic products (Hernandez et al., 2020; NASEM, 2022; Serchen et al., 2025; Tucker, Daskin, et al., 2020</w:t>
      </w:r>
      <w:r w:rsidRPr="00162C1E">
        <w:t>). However, resilience requirements impose costs. Requiring extensive redundancy for every medicine could increase expenditure, discourage participation, or create unused capacity with limited value. Any incentive should therefore be proportionate to clinical importance and empirically assessed vulnerability.</w:t>
      </w:r>
    </w:p>
    <w:p w14:paraId="64C5016F" w14:textId="77777777" w:rsidR="00963BD7" w:rsidRPr="00162C1E" w:rsidRDefault="00000000">
      <w:pPr>
        <w:pStyle w:val="BodyText"/>
        <w:spacing w:after="100" w:line="259" w:lineRule="auto"/>
        <w:jc w:val="both"/>
      </w:pPr>
      <w:r w:rsidRPr="00162C1E">
        <w:t xml:space="preserve">Improved upstream transparency is likewise important but should be designed around information needed for action. Regulators require enough visibility to identify shared suppliers, concentrated capacity, critical input dependencies, and emerging constraints. Mandatory disclosure without a clear analytical purpose can impose administrative burdens and raise legitimate concerns about commercially sensitive information. A tiered </w:t>
      </w:r>
      <w:r w:rsidRPr="00162C1E">
        <w:lastRenderedPageBreak/>
        <w:t/>
      </w:r>
      <w:r>
        <w:t xml:space="preserve">approach could reserve detailed information for appropriate authorities while providing purchasers and healthcare </w:t>
      </w:r>
      <w:r>
        <w:rPr>
          <w:highlight w:val="yellow"/>
        </w:rPr>
        <w:t>organisations</w:t>
      </w:r>
      <w:r>
        <w:t xml:space="preserve"> with </w:t>
      </w:r>
      <w:r>
        <w:rPr>
          <w:highlight w:val="yellow"/>
        </w:rPr>
        <w:t>standardised</w:t>
      </w:r>
      <w:r>
        <w:t xml:space="preserve"> indicators of supply risk (ASPE, 2025; Lee et al., 2021; NASEM, 2022).</w:t>
      </w:r>
    </w:p>
    <w:p w14:paraId="74D4FED9" w14:textId="3B2BD8F1" w:rsidR="00963BD7" w:rsidRPr="00162C1E" w:rsidRDefault="00000000">
      <w:pPr>
        <w:pStyle w:val="BodyText"/>
        <w:spacing w:after="100" w:line="259" w:lineRule="auto"/>
        <w:jc w:val="both"/>
      </w:pPr>
      <w:r w:rsidRPr="00162C1E">
        <w:t xml:space="preserve">Diversification policy also requires careful definition. Moving manufacturing from one country to another does not necessarily improve resilience if production remains dependent on a single facility or common critical input. </w:t>
      </w:r>
      <w:r w:rsidR="00E741B3" w:rsidRPr="00162C1E">
        <w:t>Domestic manufacturing may strengthen supply capacity in selected circumstances, but geographic location alone should not substitute for assessment of supplier independence, production flexibility, manufacturing quality, and upstream dependence (NASEM, 2022; Socal et al., 2024)</w:t>
      </w:r>
      <w:r w:rsidRPr="00162C1E">
        <w:t>. Strategic reserves can complement these measures for selected essential products when inventory can realistically bridge disruption periods; their usefulness is lower for products with short shelf lives, specialized storage requirements, rapidly changing demand, or high replacement costs (Iyengar et al., 2016; NASEM, 2022).</w:t>
      </w:r>
    </w:p>
    <w:p w14:paraId="2A41D0E1" w14:textId="77777777" w:rsidR="00963BD7" w:rsidRPr="00162C1E" w:rsidRDefault="00000000">
      <w:pPr>
        <w:pStyle w:val="BodyText"/>
        <w:spacing w:after="100" w:line="259" w:lineRule="auto"/>
        <w:jc w:val="both"/>
      </w:pPr>
      <w:r w:rsidRPr="00162C1E">
        <w:t>Procurement, surveillance, and coordination should therefore operate as components of the same resilience strategy. Purchasing contracts could incorporate evidence-based reliability criteria, while interoperable surveillance could connect regulatory information with signals from manufacturers, distributors, and healthcare systems. Predefined coordination mechanisms should establish responsibilities before shortages occur, including thresholds for escalation and communication. When scarcity nevertheless develops, allocation guidance should consider clinical necessity, the adequacy of substitutes, and the practical capacity of affected institutions to obtain alternatives. These recommendations are proposed design principles; their effectiveness requires prospective and longitudinal evaluation.</w:t>
      </w:r>
    </w:p>
    <w:p w14:paraId="39F71FEE" w14:textId="77777777" w:rsidR="00963BD7" w:rsidRPr="00162C1E" w:rsidRDefault="00000000">
      <w:pPr>
        <w:pStyle w:val="BodyText"/>
        <w:spacing w:after="100" w:line="259" w:lineRule="auto"/>
        <w:jc w:val="both"/>
      </w:pPr>
      <w:r w:rsidRPr="00162C1E">
        <w:t/>
      </w:r>
      <w:r>
        <w:t xml:space="preserve">Implementation should be judged by outcomes rather than by the number of policies or </w:t>
      </w:r>
      <w:r>
        <w:rPr>
          <w:highlight w:val="yellow"/>
        </w:rPr>
        <w:t>programmes</w:t>
      </w:r>
      <w:r>
        <w:t xml:space="preserve"> introduced. Relevant measures include whether high-risk medicines become less vulnerable, warnings occur earlier, shortages are shorter or less recurrent, healthcare institutions maintain access, patients experience fewer treatment interruptions, and resilience interventions are economically sustainable. New initiatives should therefore be evaluated before effectiveness is inferred from implementation alone (ASPE, 2025; FDA, 2026; GAO, 2025).</w:t>
      </w:r>
    </w:p>
    <w:p w14:paraId="5890BF48" w14:textId="77777777" w:rsidR="00963BD7" w:rsidRPr="00162C1E" w:rsidRDefault="00000000">
      <w:pPr>
        <w:pStyle w:val="Heading1"/>
        <w:spacing w:before="180" w:after="80"/>
        <w:rPr>
          <w:color w:val="auto"/>
        </w:rPr>
      </w:pPr>
      <w:r w:rsidRPr="00162C1E">
        <w:rPr>
          <w:rFonts w:ascii="Times New Roman" w:hAnsi="Times New Roman"/>
          <w:color w:val="auto"/>
          <w:sz w:val="26"/>
        </w:rPr>
        <w:t>10. Evidence Gaps and Future Research Agenda</w:t>
      </w:r>
    </w:p>
    <w:p w14:paraId="4407147C" w14:textId="77777777" w:rsidR="00963BD7" w:rsidRPr="00162C1E" w:rsidRDefault="00000000">
      <w:pPr>
        <w:pStyle w:val="BodyText"/>
        <w:spacing w:after="100" w:line="259" w:lineRule="auto"/>
        <w:jc w:val="both"/>
      </w:pPr>
      <w:r w:rsidRPr="00162C1E">
        <w:t/>
      </w:r>
      <w:r>
        <w:t xml:space="preserve">Important evidence gaps limit both understanding of drug shortages and assessment of policies intended to prevent them. Measurement remains a fundamental problem. Definitions of shortage occurrence, duration, severity, and resolution </w:t>
      </w:r>
      <w:r>
        <w:rPr>
          <w:highlight w:val="yellow"/>
        </w:rPr>
        <w:t>vary</w:t>
      </w:r>
      <w:r>
        <w:t xml:space="preserve"> across data sources and studies, which complicates comparison and explains why FDA and ASHP/UUDIS counts should not be treated as directly interchangeable. Future work should develop </w:t>
      </w:r>
      <w:r>
        <w:rPr>
          <w:highlight w:val="yellow"/>
        </w:rPr>
        <w:t>standardised</w:t>
      </w:r>
      <w:r>
        <w:t xml:space="preserve"> measures that distinguish temporary supply constraints from clinically significant shortages and capture duration, therapeutic substitutability, geographic reach, and consequences for care. Comparable measures of supply-chain resilience are also needed to determine whether interventions increase redundancy, flexibility, and recovery capacity or merely relocate production (Acosta et al., 2019; Aronson et al., 2023; ASPE, 2025; Bogaert et al., 2015; De Weerdt et al., 2015).</w:t>
      </w:r>
    </w:p>
    <w:p w14:paraId="5EA99F07" w14:textId="77777777" w:rsidR="00963BD7" w:rsidRPr="00162C1E" w:rsidRDefault="00000000">
      <w:pPr>
        <w:pStyle w:val="BodyText"/>
        <w:spacing w:after="100" w:line="259" w:lineRule="auto"/>
        <w:jc w:val="both"/>
      </w:pPr>
      <w:r w:rsidRPr="00162C1E">
        <w:t>Stronger causal evidence is required on structural determinants of shortages. Associations among market concentration, low prices, manufacturing quality, supplier exit, and shortage occurrence are informative but do not by themselves establish how these factors interact or which interventions will alter outcomes. Longitudinal studies linking changes in market structure, quality performance, and manufacturing capacity to subsequent shortage risk could strengthen inference. Greater attention should also be given to upstream concentration because product-level measures may underestimate vulnerability when apparently independent manufacturers rely on common API producers, contract facilities, or other critical inputs (Dave et al., 2018; Socal et al., 2023, 2024; Yurukoglu et al., 2017).</w:t>
      </w:r>
    </w:p>
    <w:p w14:paraId="2C46C269" w14:textId="77777777" w:rsidR="00963BD7" w:rsidRPr="00162C1E" w:rsidRDefault="00000000">
      <w:pPr>
        <w:pStyle w:val="BodyText"/>
        <w:spacing w:after="100" w:line="259" w:lineRule="auto"/>
        <w:jc w:val="both"/>
      </w:pPr>
      <w:r w:rsidRPr="00162C1E">
        <w:t xml:space="preserve">Policy evaluation represents another major priority. Domestic-manufacturing initiatives, strategic reserves, procurement reforms, reporting requirements, diversification strategies, and coordination mechanisms should be evaluated against predefined outcomes such as shortage frequency, duration, recurrence, recovery time, cost, and continuity of access. Evaluations should also examine unintended consequences, including market </w:t>
      </w:r>
      <w:r w:rsidRPr="00162C1E">
        <w:lastRenderedPageBreak/>
        <w:t/>
      </w:r>
      <w:r>
        <w:t xml:space="preserve">exit, excess inventory, increased expenditure, or geographic relocation without a meaningful reduction in concentration (Chen et al., 2016; </w:t>
      </w:r>
      <w:r>
        <w:rPr>
          <w:highlight w:val="yellow"/>
        </w:rPr>
        <w:t>Office of the Secretary,</w:t>
      </w:r>
      <w:r>
        <w:t xml:space="preserve"> 2024; Tucker, Cao, et al., 2020).</w:t>
      </w:r>
    </w:p>
    <w:p w14:paraId="319CFB14" w14:textId="77777777" w:rsidR="00963BD7" w:rsidRPr="00162C1E" w:rsidRDefault="00000000">
      <w:pPr>
        <w:pStyle w:val="BodyText"/>
        <w:spacing w:after="100" w:line="259" w:lineRule="auto"/>
        <w:jc w:val="both"/>
      </w:pPr>
      <w:r w:rsidRPr="00162C1E">
        <w:t/>
      </w:r>
      <w:r>
        <w:t xml:space="preserve">Evidence is particularly incomplete at the interface between national shortages and patient access. More research is needed to determine whether consequences differ across rural and urban facilities, safety-net institutions, hospital types, outpatient settings, and patient populations. Outcomes should include treatment delays, therapeutic substitutions, medication errors, clinical outcomes, out-of-pocket costs, and operational burdens on healthcare </w:t>
      </w:r>
      <w:r>
        <w:rPr>
          <w:highlight w:val="yellow"/>
        </w:rPr>
        <w:t>organisations.</w:t>
      </w:r>
      <w:r>
        <w:t xml:space="preserve"> Recent VHA evidence demonstrates that refill disruption can be measured at </w:t>
      </w:r>
      <w:r>
        <w:rPr>
          <w:highlight w:val="yellow"/>
        </w:rPr>
        <w:t>the patient level,</w:t>
      </w:r>
      <w:r>
        <w:t xml:space="preserve"> while recent scoping evidence demonstrates substantial heterogeneity in </w:t>
      </w:r>
      <w:r>
        <w:rPr>
          <w:highlight w:val="yellow"/>
        </w:rPr>
        <w:t>utilisation</w:t>
      </w:r>
      <w:r>
        <w:t xml:space="preserve"> measures; both findings support development of </w:t>
      </w:r>
      <w:r>
        <w:rPr>
          <w:highlight w:val="yellow"/>
        </w:rPr>
        <w:t>standardised</w:t>
      </w:r>
      <w:r>
        <w:t xml:space="preserve"> outcome definitions and broader multi-setting analyses (Santhireswaran et al., 2025; Suda et al., 2026). Allocation strategies used during scarcity also require comparative evaluation for clinical effectiveness, consistency, and equity (Goldsack et al., 2014; Phuong et al., 2019; Unguru et al., 2016).</w:t>
      </w:r>
    </w:p>
    <w:p w14:paraId="6E590C4C" w14:textId="77777777" w:rsidR="00963BD7" w:rsidRPr="00162C1E" w:rsidRDefault="00000000">
      <w:pPr>
        <w:pStyle w:val="BodyText"/>
        <w:spacing w:after="100" w:line="259" w:lineRule="auto"/>
        <w:jc w:val="both"/>
      </w:pPr>
      <w:r w:rsidRPr="00162C1E">
        <w:t/>
      </w:r>
      <w:r>
        <w:t xml:space="preserve">A central research priority is therefore to connect data that are often studied separately: supply-chain risk indicators, shortage events, institutional responses, medicine </w:t>
      </w:r>
      <w:r>
        <w:rPr>
          <w:highlight w:val="yellow"/>
        </w:rPr>
        <w:t>utilisation,</w:t>
      </w:r>
      <w:r>
        <w:t xml:space="preserve"> patient access, and health outcomes. Pharmaceutical supply-chain research shows that predictive models can identify disruption risk, but performance can change under structural shocks and must be repeatedly validated and recalibrated (Hupman et al., 2024). Longitudinal data systems that link </w:t>
      </w:r>
      <w:r>
        <w:rPr>
          <w:highlight w:val="yellow"/>
        </w:rPr>
        <w:t>standardised</w:t>
      </w:r>
      <w:r>
        <w:t xml:space="preserve"> supply indicators with treatment changes and clinical outcomes would provide a stronger foundation for early-warning models and policy evaluation (Kim et al., 2024; NASEM, 2022; Santhireswaran et al., 2025; Tucker, Cao, et al., 2020).</w:t>
      </w:r>
    </w:p>
    <w:p w14:paraId="6939BE3C" w14:textId="77777777" w:rsidR="00963BD7" w:rsidRPr="00162C1E" w:rsidRDefault="00000000">
      <w:pPr>
        <w:pStyle w:val="Heading1"/>
        <w:spacing w:before="180" w:after="80"/>
        <w:rPr>
          <w:color w:val="auto"/>
        </w:rPr>
      </w:pPr>
      <w:r w:rsidRPr="00162C1E">
        <w:rPr>
          <w:rFonts w:ascii="Times New Roman" w:hAnsi="Times New Roman"/>
          <w:color w:val="auto"/>
          <w:sz w:val="26"/>
        </w:rPr>
        <w:t>11. Conclusion</w:t>
      </w:r>
    </w:p>
    <w:p w14:paraId="67440319" w14:textId="32FA2523" w:rsidR="00963BD7" w:rsidRPr="00162C1E" w:rsidRDefault="00000000">
      <w:pPr>
        <w:pStyle w:val="BodyText"/>
        <w:spacing w:after="100" w:line="259" w:lineRule="auto"/>
        <w:jc w:val="both"/>
      </w:pPr>
      <w:r w:rsidRPr="00162C1E">
        <w:t xml:space="preserve">Persistent drug shortages in the United States extend beyond isolated interruptions in pharmaceutical production. The reviewed evidence indicates that shortages may emerge from interactions among concentrated capacity, fragile economic incentives in some product markets, limited redundancy, incomplete supply-chain visibility, quality-related disruptions, upstream dependence, and governance arrangements in which prevention and response are distributed across actors with different authorities and incentives. </w:t>
      </w:r>
      <w:r w:rsidR="00B50E8E" w:rsidRPr="00162C1E">
        <w:t>Recent surveillance and policy assessments indicate continued attention to shortage prevention and mitigation, while evidence on coordination, resilience measurement, and structural interventions continues to develop (ASHP, 2026; FDA, 2026; GAO, 2025</w:t>
      </w:r>
      <w:r w:rsidRPr="00162C1E">
        <w:t>).</w:t>
      </w:r>
    </w:p>
    <w:p w14:paraId="3737C73A" w14:textId="77777777" w:rsidR="00963BD7" w:rsidRPr="00162C1E" w:rsidRDefault="00000000">
      <w:pPr>
        <w:pStyle w:val="BodyText"/>
        <w:spacing w:after="100" w:line="259" w:lineRule="auto"/>
        <w:jc w:val="both"/>
      </w:pPr>
      <w:r w:rsidRPr="00162C1E">
        <w:t/>
      </w:r>
      <w:r>
        <w:t xml:space="preserve">A durable strategy should therefore balance responsive shortage management with prevention based on identifiable supply vulnerabilities. Regulatory, manufacturing, procurement, and preparedness initiatives can be strengthened when responsibilities and information flows are defined before disruption occurs. Purchasing systems should continue to protect affordability while </w:t>
      </w:r>
      <w:r>
        <w:rPr>
          <w:highlight w:val="yellow"/>
        </w:rPr>
        <w:t>recognising</w:t>
      </w:r>
      <w:r>
        <w:t xml:space="preserve"> that acquisition price alone does not capture the potential system costs of fragile supply, emergency procurement, substitution, or treatment disruption. Measures of performance should likewise extend beyond aggregate product availability to whether clinically necessary medicines remain accessible across healthcare settings.</w:t>
      </w:r>
    </w:p>
    <w:p w14:paraId="71E2BA2F" w14:textId="77777777" w:rsidR="00963BD7" w:rsidRPr="00162C1E" w:rsidRDefault="00000000">
      <w:pPr>
        <w:pStyle w:val="BodyText"/>
        <w:spacing w:after="100" w:line="259" w:lineRule="auto"/>
        <w:jc w:val="both"/>
      </w:pPr>
      <w:r w:rsidRPr="00162C1E">
        <w:t>The conceptual framework proposed in this review connects these objectives through prevention, detection, coordination, access protection, recovery, and learning, supported by transparency, accountability, incentive alignment, and equity. It should be interpreted as an author-developed synthesis requiring prospective evaluation, not as a validated causal model. Its practical value will depend on translating its functions into measurable responsibilities and testing interventions against outcomes such as recurrence, duration, treatment continuity, cost, and equitable access. Pharmaceutical resilience is therefore best judged not by the unrealistic expectation that every disruption can be eliminated, but by the capacity to anticipate vulnerability, absorb and contain shocks, recover without reproducing avoidable weaknesses, and preserve clinically appropriate access during both routine conditions and periods of scarcity.</w:t>
      </w:r>
    </w:p>
    <w:p w14:paraId="220D8D2B" w14:textId="77777777" w:rsidR="00963BD7" w:rsidRPr="00162C1E" w:rsidRDefault="00000000">
      <w:pPr>
        <w:pStyle w:val="Heading1"/>
        <w:spacing w:before="180" w:after="80"/>
        <w:rPr>
          <w:color w:val="auto"/>
        </w:rPr>
      </w:pPr>
      <w:r w:rsidRPr="00162C1E">
        <w:rPr>
          <w:rFonts w:ascii="Times New Roman" w:hAnsi="Times New Roman"/>
          <w:color w:val="auto"/>
          <w:sz w:val="26"/>
        </w:rPr>
        <w:lastRenderedPageBreak/>
        <w:t>Declarations</w:t>
      </w:r>
    </w:p>
    <w:p w14:paraId="7CED7A44" w14:textId="4F670200" w:rsidR="00963BD7" w:rsidRPr="00162C1E" w:rsidRDefault="00000000">
      <w:pPr>
        <w:pStyle w:val="Heading2"/>
        <w:spacing w:before="120" w:after="80"/>
        <w:rPr>
          <w:color w:val="auto"/>
        </w:rPr>
      </w:pPr>
      <w:r w:rsidRPr="00162C1E">
        <w:rPr>
          <w:rFonts w:ascii="Times New Roman" w:hAnsi="Times New Roman"/>
          <w:color w:val="auto"/>
          <w:sz w:val="23"/>
        </w:rPr>
        <w:t xml:space="preserve">Ethics Approval and Consent </w:t>
      </w:r>
    </w:p>
    <w:p w14:paraId="3D788621" w14:textId="77777777" w:rsidR="00963BD7" w:rsidRPr="00162C1E" w:rsidRDefault="00000000">
      <w:pPr>
        <w:pStyle w:val="BodyText"/>
        <w:spacing w:after="100" w:line="259" w:lineRule="auto"/>
        <w:jc w:val="both"/>
      </w:pPr>
      <w:r w:rsidRPr="00162C1E">
        <w:t>Not applicable. This study is a narrative review and did not involve human participants, human data, or animal subjects.</w:t>
      </w:r>
    </w:p>
    <w:p w14:paraId="5F6356A1" w14:textId="77777777" w:rsidR="00963BD7" w:rsidRPr="00162C1E" w:rsidRDefault="00000000">
      <w:pPr>
        <w:pStyle w:val="Heading2"/>
        <w:spacing w:before="120" w:after="80"/>
        <w:rPr>
          <w:color w:val="auto"/>
        </w:rPr>
      </w:pPr>
      <w:r w:rsidRPr="00162C1E">
        <w:rPr>
          <w:rFonts w:ascii="Times New Roman" w:hAnsi="Times New Roman"/>
          <w:color w:val="auto"/>
          <w:sz w:val="23"/>
        </w:rPr>
        <w:t>Availability of Data and Materials</w:t>
      </w:r>
    </w:p>
    <w:p w14:paraId="00FF5361" w14:textId="77777777" w:rsidR="00963BD7" w:rsidRPr="00162C1E" w:rsidRDefault="00000000">
      <w:pPr>
        <w:pStyle w:val="BodyText"/>
        <w:spacing w:after="100" w:line="259" w:lineRule="auto"/>
        <w:jc w:val="both"/>
      </w:pPr>
      <w:r w:rsidRPr="00162C1E">
        <w:t>No new datasets were generated or analyzed during this study. All information used in this review was obtained from publicly available published literature and relevant policy and regulatory sources.</w:t>
      </w:r>
    </w:p>
    <w:p w14:paraId="5E2E7180" w14:textId="77777777" w:rsidR="00963BD7" w:rsidRPr="00162C1E" w:rsidRDefault="00000000">
      <w:pPr>
        <w:pStyle w:val="Heading2"/>
        <w:spacing w:before="120" w:after="80"/>
        <w:rPr>
          <w:color w:val="auto"/>
        </w:rPr>
      </w:pPr>
      <w:r w:rsidRPr="00162C1E">
        <w:rPr>
          <w:rFonts w:ascii="Times New Roman" w:hAnsi="Times New Roman"/>
          <w:color w:val="auto"/>
          <w:sz w:val="23"/>
        </w:rPr>
        <w:t>Competing Interests</w:t>
      </w:r>
    </w:p>
    <w:p w14:paraId="36C51D5C" w14:textId="77777777" w:rsidR="00963BD7" w:rsidRPr="00162C1E" w:rsidRDefault="00000000">
      <w:pPr>
        <w:pStyle w:val="BodyText"/>
        <w:spacing w:after="100" w:line="259" w:lineRule="auto"/>
        <w:jc w:val="both"/>
      </w:pPr>
      <w:r w:rsidRPr="00162C1E">
        <w:t>The authors declare that they have no competing interests.</w:t>
      </w:r>
    </w:p>
    <w:p w14:paraId="430419E7" w14:textId="77777777" w:rsidR="00963BD7" w:rsidRPr="00162C1E" w:rsidRDefault="00000000">
      <w:pPr>
        <w:pStyle w:val="Heading2"/>
        <w:spacing w:before="120" w:after="80"/>
        <w:rPr>
          <w:color w:val="auto"/>
        </w:rPr>
      </w:pPr>
      <w:r w:rsidRPr="00162C1E">
        <w:rPr>
          <w:rFonts w:ascii="Times New Roman" w:hAnsi="Times New Roman"/>
          <w:color w:val="auto"/>
          <w:sz w:val="23"/>
        </w:rPr>
        <w:t>Declaration of AI Use</w:t>
      </w:r>
    </w:p>
    <w:p w14:paraId="0F6297B3" w14:textId="77777777" w:rsidR="00963BD7" w:rsidRPr="00162C1E" w:rsidRDefault="00000000">
      <w:pPr>
        <w:pStyle w:val="BodyText"/>
        <w:spacing w:after="100" w:line="259" w:lineRule="auto"/>
        <w:jc w:val="both"/>
      </w:pPr>
      <w:r w:rsidRPr="00162C1E">
        <w:t>This manuscript was prepared through the intellectual contributions of the author(s) to the review design, evidence synthesis, interpretation, and scholarly content. Grammarly and ChatGPT were used solely to assist with grammatical refinement and reference formatting during manuscript revision. The author(s) accept full responsibility for the accuracy, integrity, source verification, and final content of the manuscript.</w:t>
      </w:r>
    </w:p>
    <w:p w14:paraId="54626D44" w14:textId="77777777" w:rsidR="00963BD7" w:rsidRPr="00162C1E" w:rsidRDefault="00000000">
      <w:pPr>
        <w:pStyle w:val="Heading1"/>
        <w:spacing w:before="180" w:after="80"/>
        <w:rPr>
          <w:color w:val="auto"/>
        </w:rPr>
      </w:pPr>
      <w:r w:rsidRPr="00162C1E">
        <w:rPr>
          <w:rFonts w:ascii="Times New Roman" w:hAnsi="Times New Roman"/>
          <w:color w:val="auto"/>
          <w:sz w:val="26"/>
        </w:rPr>
        <w:t>References</w:t>
      </w:r>
    </w:p>
    <w:p w14:paraId="5EF53C54" w14:textId="035B0E2C" w:rsidR="00C43137" w:rsidRDefault="00C43137" w:rsidP="00C43137">
      <w:pPr>
        <w:pStyle w:val="NormalWeb"/>
        <w:ind w:left="540" w:hanging="540"/>
        <w:jc w:val="both"/>
      </w:pPr>
      <w:r>
        <w:t/>
      </w:r>
      <w:r>
        <w:t xml:space="preserve">Acosta, A., Vanegas, E. P., Rovira, J., Godman, B., &amp; Bochenek, T. (2019). Medicine shortages: Gaps between countries and global perspectives. </w:t>
      </w:r>
      <w:r>
        <w:rPr>
          <w:i w:val="1"/>
        </w:rPr>
        <w:t>Frontiers in Pharmacology</w:t>
      </w:r>
      <w:r>
        <w:t xml:space="preserve">, </w:t>
      </w:r>
      <w:r>
        <w:rPr>
          <w:i w:val="1"/>
        </w:rPr>
        <w:t>10</w:t>
      </w:r>
      <w:r>
        <w:t>, Article 763. https://doi.org/10.3389/fphar.2019.00763</w:t>
      </w:r>
    </w:p>
    <w:p w14:paraId="01185409" w14:textId="3A5D8864" w:rsidR="00C43137" w:rsidRDefault="00C43137" w:rsidP="00C43137">
      <w:pPr>
        <w:pStyle w:val="NormalWeb"/>
        <w:ind w:left="540" w:hanging="540"/>
        <w:jc w:val="both"/>
      </w:pPr>
      <w:r>
        <w:t/>
      </w:r>
      <w:r>
        <w:t xml:space="preserve">Administration for Strategic Preparedness and Response. (2026). </w:t>
      </w:r>
      <w:r>
        <w:rPr>
          <w:i w:val="1"/>
        </w:rPr>
        <w:t>ASPR strategic plan: Fiscal year 2026–2029</w:t>
      </w:r>
      <w:r>
        <w:t>. U.S. Department of Health and Human Services. https://www.aspr.gov/sites/default/files/2026-05/ASPR-Strategic-Plan-FY2026-29-508.pdf</w:t>
      </w:r>
    </w:p>
    <w:p w14:paraId="1D5C97DE" w14:textId="31462A8A" w:rsidR="00C43137" w:rsidRDefault="00C43137" w:rsidP="00C43137">
      <w:pPr>
        <w:pStyle w:val="NormalWeb"/>
        <w:ind w:left="540" w:hanging="540"/>
        <w:jc w:val="both"/>
      </w:pPr>
      <w:r>
        <w:t/>
      </w:r>
      <w:r>
        <w:t xml:space="preserve">American Society of Health-System Pharmacists. (2026). </w:t>
      </w:r>
      <w:r>
        <w:rPr>
          <w:i w:val="1"/>
        </w:rPr>
        <w:t>Drug shortages statistics: National drug shortages, January 2001 to June 2026</w:t>
      </w:r>
      <w:r>
        <w:t>. https://www.ashp.org/drug-shortages/shortage-resources/drug-shortages-statistics</w:t>
      </w:r>
    </w:p>
    <w:p w14:paraId="043AD4C7" w14:textId="6BDAAB2D" w:rsidR="00C43137" w:rsidRDefault="00C43137" w:rsidP="00C43137">
      <w:pPr>
        <w:pStyle w:val="NormalWeb"/>
        <w:ind w:left="540" w:hanging="540"/>
        <w:jc w:val="both"/>
      </w:pPr>
      <w:r>
        <w:t/>
      </w:r>
      <w:r>
        <w:t xml:space="preserve">Aronson, J. K., Heneghan, C., &amp; Ferner, R. E. (2023). Drug shortages. Part 1. Definitions and harms. </w:t>
      </w:r>
      <w:r>
        <w:rPr>
          <w:i w:val="1"/>
        </w:rPr>
        <w:t>British Journal of Clinical Pharmacology</w:t>
      </w:r>
      <w:r>
        <w:t xml:space="preserve">, </w:t>
      </w:r>
      <w:r>
        <w:rPr>
          <w:i w:val="1"/>
        </w:rPr>
        <w:t>89</w:t>
      </w:r>
      <w:r>
        <w:t>(10), 2950–2956. https://doi.org/10.1111/bcp.15842</w:t>
      </w:r>
    </w:p>
    <w:p w14:paraId="60018CF4" w14:textId="3EE5BC48" w:rsidR="00C43137" w:rsidRDefault="00C43137" w:rsidP="00C43137">
      <w:pPr>
        <w:pStyle w:val="NormalWeb"/>
        <w:ind w:left="540" w:hanging="540"/>
        <w:jc w:val="both"/>
      </w:pPr>
      <w:r>
        <w:t/>
      </w:r>
      <w:r>
        <w:t xml:space="preserve">Badreldin, H. A., &amp; Atallah, B. (2021). Global drug shortages due to COVID-19: Impact on patient care and mitigation strategies. </w:t>
      </w:r>
      <w:r>
        <w:rPr>
          <w:i w:val="1"/>
        </w:rPr>
        <w:t>Research in Social and Administrative Pharmacy</w:t>
      </w:r>
      <w:r>
        <w:t xml:space="preserve">, </w:t>
      </w:r>
      <w:r>
        <w:rPr>
          <w:i w:val="1"/>
        </w:rPr>
        <w:t>17</w:t>
      </w:r>
      <w:r>
        <w:t>(1), 1946–1949. https://doi.org/10.1016/j.sapharm.2020.05.017</w:t>
      </w:r>
    </w:p>
    <w:p w14:paraId="368946BE" w14:textId="0E74F565" w:rsidR="00C43137" w:rsidRDefault="00C43137" w:rsidP="00C43137">
      <w:pPr>
        <w:pStyle w:val="NormalWeb"/>
        <w:ind w:left="540" w:hanging="540"/>
        <w:jc w:val="both"/>
      </w:pPr>
      <w:r w:rsidRPr="00C43137">
        <w:rPr>
          <w:lang w:val="nl-BE"/>
        </w:rPr>
        <w:t xml:space="preserve">Bogaert, P., Bochenek, T., Prokop, A., &amp; Pilc, A. (2015). </w:t>
      </w:r>
      <w:r>
        <w:t/>
      </w:r>
      <w:r>
        <w:t xml:space="preserve">A qualitative approach to a better understanding of the problems underlying drug shortages, as viewed from Belgian, French and the European Union’s perspectives. </w:t>
      </w:r>
      <w:r>
        <w:rPr>
          <w:i w:val="1"/>
        </w:rPr>
        <w:t>PLOS ONE</w:t>
      </w:r>
      <w:r>
        <w:t xml:space="preserve">, </w:t>
      </w:r>
      <w:r>
        <w:rPr>
          <w:i w:val="1"/>
        </w:rPr>
        <w:t>10</w:t>
      </w:r>
      <w:r>
        <w:t>(5), Article e0125691. https://doi.org/10.1371/journal.pone.0125691</w:t>
      </w:r>
    </w:p>
    <w:p w14:paraId="4B6BBDF1" w14:textId="37F6D1FF" w:rsidR="00C43137" w:rsidRDefault="00C43137" w:rsidP="00C43137">
      <w:pPr>
        <w:pStyle w:val="NormalWeb"/>
        <w:ind w:left="540" w:hanging="540"/>
        <w:jc w:val="both"/>
      </w:pPr>
      <w:r>
        <w:t/>
      </w:r>
      <w:r>
        <w:t xml:space="preserve">Bollyky, T. J., Nagar, S. N., Searchinger, C., &amp; Kesselheim, A. S. (2025). The role of importation in remediating U.S. generic drug shortages. </w:t>
      </w:r>
      <w:r>
        <w:rPr>
          <w:i w:val="1"/>
        </w:rPr>
        <w:t>New England Journal of Medicine</w:t>
      </w:r>
      <w:r>
        <w:t xml:space="preserve">, </w:t>
      </w:r>
      <w:r>
        <w:rPr>
          <w:i w:val="1"/>
        </w:rPr>
        <w:t>392</w:t>
      </w:r>
      <w:r>
        <w:t>(4), 315–318. https://doi.org/10.1056/NEJMp2413253</w:t>
      </w:r>
    </w:p>
    <w:p w14:paraId="7F6294FF" w14:textId="12E30738" w:rsidR="00C43137" w:rsidRDefault="00C43137" w:rsidP="00C43137">
      <w:pPr>
        <w:pStyle w:val="NormalWeb"/>
        <w:ind w:left="540" w:hanging="540"/>
        <w:jc w:val="both"/>
      </w:pPr>
      <w:r>
        <w:lastRenderedPageBreak/>
        <w:t/>
      </w:r>
      <w:r>
        <w:t xml:space="preserve">Chen, S. I., Fox, E. R., Hall, M. K., Ross, J. S., Bucholz, E. M., Krumholz, H. M., &amp; Venkatesh, A. K. (2016). Despite federal legislation, shortages of drugs used in acute care settings remain persistent and prolonged. </w:t>
      </w:r>
      <w:r>
        <w:rPr>
          <w:i w:val="1"/>
        </w:rPr>
        <w:t>Health Affairs</w:t>
      </w:r>
      <w:r>
        <w:t xml:space="preserve">, </w:t>
      </w:r>
      <w:r>
        <w:rPr>
          <w:i w:val="1"/>
        </w:rPr>
        <w:t>35</w:t>
      </w:r>
      <w:r>
        <w:t>(5), 798–804. https://doi.org/10.1377/hlthaff.2015.1157</w:t>
      </w:r>
    </w:p>
    <w:p w14:paraId="03FB01A9" w14:textId="2A98B22E" w:rsidR="00C43137" w:rsidRDefault="00C43137" w:rsidP="00C43137">
      <w:pPr>
        <w:pStyle w:val="NormalWeb"/>
        <w:ind w:left="540" w:hanging="540"/>
        <w:jc w:val="both"/>
      </w:pPr>
      <w:r>
        <w:t/>
      </w:r>
      <w:r>
        <w:t xml:space="preserve">Conti, R. M., &amp; Berndt, E. R. (2020). Four facts concerning competition in U.S. generic prescription drug markets. </w:t>
      </w:r>
      <w:r>
        <w:rPr>
          <w:i w:val="1"/>
        </w:rPr>
        <w:t>International Journal of the Economics of Business</w:t>
      </w:r>
      <w:r>
        <w:t xml:space="preserve">, </w:t>
      </w:r>
      <w:r>
        <w:rPr>
          <w:i w:val="1"/>
        </w:rPr>
        <w:t>27</w:t>
      </w:r>
      <w:r>
        <w:t>(1), 27–48. https://doi.org/10.1080/13571516.2019.1654324</w:t>
      </w:r>
    </w:p>
    <w:p w14:paraId="4F7B7028" w14:textId="3EF86973" w:rsidR="00C43137" w:rsidRDefault="00C43137" w:rsidP="00C43137">
      <w:pPr>
        <w:pStyle w:val="NormalWeb"/>
        <w:ind w:left="540" w:hanging="540"/>
        <w:jc w:val="both"/>
      </w:pPr>
      <w:r>
        <w:t/>
      </w:r>
      <w:r>
        <w:t xml:space="preserve">Dave, C. V., Pawar, A., Fox, E. R., Brill, G., &amp; Kesselheim, A. S. (2018). Predictors of drug shortages and association with generic drug prices: A retrospective cohort study. </w:t>
      </w:r>
      <w:r>
        <w:rPr>
          <w:i w:val="1"/>
        </w:rPr>
        <w:t>Value in Health</w:t>
      </w:r>
      <w:r>
        <w:t xml:space="preserve">, </w:t>
      </w:r>
      <w:r>
        <w:rPr>
          <w:i w:val="1"/>
        </w:rPr>
        <w:t>21</w:t>
      </w:r>
      <w:r>
        <w:t>(11), 1286–1290. https://doi.org/10.1016/j.jval.2018.04.1826</w:t>
      </w:r>
    </w:p>
    <w:p w14:paraId="4D8A9E79" w14:textId="5AF23957" w:rsidR="00C43137" w:rsidRDefault="00C43137" w:rsidP="00C43137">
      <w:pPr>
        <w:pStyle w:val="NormalWeb"/>
        <w:ind w:left="540" w:hanging="540"/>
        <w:jc w:val="both"/>
      </w:pPr>
      <w:r w:rsidRPr="00C43137">
        <w:rPr>
          <w:lang w:val="nl-BE"/>
        </w:rPr>
        <w:t xml:space="preserve">De Weerdt, E., Simoens, S., Casteels, M., &amp; Huys, I. (2015). </w:t>
      </w:r>
      <w:r>
        <w:t/>
      </w:r>
      <w:r>
        <w:t xml:space="preserve">Toward a European definition for a drug shortage: A qualitative study. </w:t>
      </w:r>
      <w:r>
        <w:rPr>
          <w:i w:val="1"/>
        </w:rPr>
        <w:t>Frontiers in Pharmacology</w:t>
      </w:r>
      <w:r>
        <w:t xml:space="preserve">, </w:t>
      </w:r>
      <w:r>
        <w:rPr>
          <w:i w:val="1"/>
        </w:rPr>
        <w:t>6</w:t>
      </w:r>
      <w:r>
        <w:t>, Article 253. https://doi.org/10.3389/fphar.2015.00253</w:t>
      </w:r>
    </w:p>
    <w:p w14:paraId="59EE7008" w14:textId="198EB346" w:rsidR="00C43137" w:rsidRDefault="00C43137" w:rsidP="00C43137">
      <w:pPr>
        <w:pStyle w:val="NormalWeb"/>
        <w:ind w:left="540" w:hanging="540"/>
        <w:jc w:val="both"/>
      </w:pPr>
      <w:r>
        <w:t/>
      </w:r>
      <w:r>
        <w:t xml:space="preserve">Dill, S., &amp; Ahn, J. (2014). Drug shortages in developed countries—Reasons, therapeutic consequences, and handling. </w:t>
      </w:r>
      <w:r>
        <w:rPr>
          <w:i w:val="1"/>
        </w:rPr>
        <w:t>European Journal of Clinical Pharmacology</w:t>
      </w:r>
      <w:r>
        <w:t xml:space="preserve">, </w:t>
      </w:r>
      <w:r>
        <w:rPr>
          <w:i w:val="1"/>
        </w:rPr>
        <w:t>70</w:t>
      </w:r>
      <w:r>
        <w:t>(12), 1405–1412. https://doi.org/10.1007/s00228-014-1747-1</w:t>
      </w:r>
    </w:p>
    <w:p w14:paraId="2B4CC836" w14:textId="128030CA" w:rsidR="00C43137" w:rsidRDefault="00C43137" w:rsidP="00C43137">
      <w:pPr>
        <w:pStyle w:val="NormalWeb"/>
        <w:ind w:left="540" w:hanging="540"/>
        <w:jc w:val="both"/>
      </w:pPr>
      <w:r>
        <w:t/>
      </w:r>
      <w:r>
        <w:t xml:space="preserve">Fox, E. R., Birt, A., James, K. B., Kokko, H., Salverson, S., &amp; Soflin, D. L. (2009). ASHP guidelines on managing drug product shortages in hospitals and health systems. </w:t>
      </w:r>
      <w:r>
        <w:rPr>
          <w:i w:val="1"/>
        </w:rPr>
        <w:t>American Journal of Health-System Pharmacy</w:t>
      </w:r>
      <w:r>
        <w:t xml:space="preserve">, </w:t>
      </w:r>
      <w:r>
        <w:rPr>
          <w:i w:val="1"/>
        </w:rPr>
        <w:t>66</w:t>
      </w:r>
      <w:r>
        <w:t>(15), 1399–1406. https://doi.org/10.2146/ajhp090026</w:t>
      </w:r>
    </w:p>
    <w:p w14:paraId="3BA98946" w14:textId="5ADC7D3D" w:rsidR="00C43137" w:rsidRDefault="00C43137" w:rsidP="00C43137">
      <w:pPr>
        <w:pStyle w:val="NormalWeb"/>
        <w:ind w:left="540" w:hanging="540"/>
        <w:jc w:val="both"/>
      </w:pPr>
      <w:r>
        <w:t/>
      </w:r>
      <w:r>
        <w:t xml:space="preserve">Fox, E. R., &amp; McLaughlin, M. M. (2018). ASHP guidelines on managing drug product shortages. </w:t>
      </w:r>
      <w:r>
        <w:rPr>
          <w:i w:val="1"/>
        </w:rPr>
        <w:t>American Journal of Health-System Pharmacy</w:t>
      </w:r>
      <w:r>
        <w:t xml:space="preserve">, </w:t>
      </w:r>
      <w:r>
        <w:rPr>
          <w:i w:val="1"/>
        </w:rPr>
        <w:t>75</w:t>
      </w:r>
      <w:r>
        <w:t>(21), 1742–1750. https://doi.org/10.2146/ajhp180441</w:t>
      </w:r>
    </w:p>
    <w:p w14:paraId="72040B1B" w14:textId="57BD6E6A" w:rsidR="00C43137" w:rsidRDefault="00C43137" w:rsidP="00C43137">
      <w:pPr>
        <w:pStyle w:val="NormalWeb"/>
        <w:ind w:left="540" w:hanging="540"/>
        <w:jc w:val="both"/>
      </w:pPr>
      <w:r w:rsidRPr="00C43137">
        <w:rPr>
          <w:lang w:val="nl-BE"/>
        </w:rPr>
        <w:t xml:space="preserve">Fox, E. R., Sweet, B. V., &amp; Jensen, V. (2014). </w:t>
      </w:r>
      <w:r>
        <w:t/>
      </w:r>
      <w:r>
        <w:t xml:space="preserve">Drug shortages: A complex health care crisis. </w:t>
      </w:r>
      <w:r>
        <w:rPr>
          <w:i w:val="1"/>
        </w:rPr>
        <w:t>Mayo Clinic Proceedings</w:t>
      </w:r>
      <w:r>
        <w:t xml:space="preserve">, </w:t>
      </w:r>
      <w:r>
        <w:rPr>
          <w:i w:val="1"/>
        </w:rPr>
        <w:t>89</w:t>
      </w:r>
      <w:r>
        <w:t>(3), 361–373. https://doi.org/10.1016/j.mayocp.2013.11.014</w:t>
      </w:r>
    </w:p>
    <w:p w14:paraId="202B125B" w14:textId="1941CFDF" w:rsidR="00C43137" w:rsidRDefault="00C43137" w:rsidP="00C43137">
      <w:pPr>
        <w:pStyle w:val="NormalWeb"/>
        <w:ind w:left="540" w:hanging="540"/>
        <w:jc w:val="both"/>
      </w:pPr>
      <w:r>
        <w:t/>
      </w:r>
      <w:r>
        <w:t xml:space="preserve">Goldsack, J. C., Reilly, C., Bush, C., McElligott, S., Bristol, M. N., Motanya, U. N., Field, R., Vozniak, J. M., Wong, Y.-N., Schwartz, J. S., &amp; Domchek, S. (2014). Impact of shortages of injectable oncology drugs on patient care. </w:t>
      </w:r>
      <w:r>
        <w:rPr>
          <w:i w:val="1"/>
        </w:rPr>
        <w:t>American Journal of Health-System Pharmacy</w:t>
      </w:r>
      <w:r>
        <w:t xml:space="preserve">, </w:t>
      </w:r>
      <w:r>
        <w:rPr>
          <w:i w:val="1"/>
        </w:rPr>
        <w:t>71</w:t>
      </w:r>
      <w:r>
        <w:t>(7), 571–578. https://doi.org/10.2146/ajhp130569</w:t>
      </w:r>
    </w:p>
    <w:p w14:paraId="2F6BF72A" w14:textId="0CD05F0E" w:rsidR="00C43137" w:rsidRDefault="00C43137" w:rsidP="00C43137">
      <w:pPr>
        <w:pStyle w:val="NormalWeb"/>
        <w:ind w:left="540" w:hanging="540"/>
        <w:jc w:val="both"/>
      </w:pPr>
      <w:r>
        <w:t/>
      </w:r>
      <w:r>
        <w:t xml:space="preserve">Gray, A., &amp; Manasse, H. R., Jr. (2012). Shortages of medicines: A complex global challenge. </w:t>
      </w:r>
      <w:r>
        <w:rPr>
          <w:i w:val="1"/>
        </w:rPr>
        <w:t>Bulletin of the World Health Organization</w:t>
      </w:r>
      <w:r>
        <w:t xml:space="preserve">, </w:t>
      </w:r>
      <w:r>
        <w:rPr>
          <w:i w:val="1"/>
        </w:rPr>
        <w:t>90</w:t>
      </w:r>
      <w:r>
        <w:t>(3), 158–158A. https://doi.org/10.2471/BLT.11.101303</w:t>
      </w:r>
    </w:p>
    <w:p w14:paraId="5BF5D262" w14:textId="30DB42AD" w:rsidR="00C43137" w:rsidRDefault="00C43137" w:rsidP="00C43137">
      <w:pPr>
        <w:pStyle w:val="NormalWeb"/>
        <w:ind w:left="540" w:hanging="540"/>
        <w:jc w:val="both"/>
      </w:pPr>
      <w:r>
        <w:t/>
      </w:r>
      <w:r>
        <w:t xml:space="preserve">Gupta, D. K., &amp; Huang, S.-M. (2013). Drug shortages in the United States: A critical evaluation of root causes and the need for action. </w:t>
      </w:r>
      <w:r>
        <w:rPr>
          <w:i w:val="1"/>
        </w:rPr>
        <w:t>Clinical Pharmacology &amp; Therapeutics</w:t>
      </w:r>
      <w:r>
        <w:t xml:space="preserve">, </w:t>
      </w:r>
      <w:r>
        <w:rPr>
          <w:i w:val="1"/>
        </w:rPr>
        <w:t>93</w:t>
      </w:r>
      <w:r>
        <w:t>(2), 133–135. https://doi.org/10.1038/clpt.2012.229</w:t>
      </w:r>
    </w:p>
    <w:p w14:paraId="0094E86D" w14:textId="6699AF3A" w:rsidR="00C43137" w:rsidRDefault="00C43137" w:rsidP="00C43137">
      <w:pPr>
        <w:pStyle w:val="NormalWeb"/>
        <w:ind w:left="540" w:hanging="540"/>
        <w:jc w:val="both"/>
      </w:pPr>
      <w:r>
        <w:t/>
      </w:r>
      <w:r>
        <w:t xml:space="preserve">Hernandez, I., Hershey, T. B., &amp; Donohue, J. M. (2020). Drug shortages in the United States: Are some prices too low? </w:t>
      </w:r>
      <w:r>
        <w:rPr>
          <w:i w:val="1"/>
        </w:rPr>
        <w:t>JAMA</w:t>
      </w:r>
      <w:r>
        <w:t xml:space="preserve">, </w:t>
      </w:r>
      <w:r>
        <w:rPr>
          <w:i w:val="1"/>
        </w:rPr>
        <w:t>323</w:t>
      </w:r>
      <w:r>
        <w:t>(9), 819–820. https://doi.org/10.1001/jama.2019.20504</w:t>
      </w:r>
    </w:p>
    <w:p w14:paraId="6BA54382" w14:textId="30E42FBE" w:rsidR="00C43137" w:rsidRDefault="00C43137" w:rsidP="00C43137">
      <w:pPr>
        <w:pStyle w:val="NormalWeb"/>
        <w:ind w:left="540" w:hanging="540"/>
        <w:jc w:val="both"/>
      </w:pPr>
      <w:r w:rsidRPr="00C43137">
        <w:rPr>
          <w:lang w:val="nl-BE"/>
        </w:rPr>
        <w:lastRenderedPageBreak/>
        <w:t xml:space="preserve">Hupman, A. C., Zhang, J., &amp; Li, H. (2024). </w:t>
      </w:r>
      <w:r>
        <w:t/>
      </w:r>
      <w:r>
        <w:t xml:space="preserve">Predicting pharmaceutical supply chain disruptions before and during the COVID-19 pandemic. </w:t>
      </w:r>
      <w:r>
        <w:rPr>
          <w:i w:val="1"/>
        </w:rPr>
        <w:t>Risk Analysis</w:t>
      </w:r>
      <w:r>
        <w:t xml:space="preserve">, </w:t>
      </w:r>
      <w:r>
        <w:rPr>
          <w:i w:val="1"/>
        </w:rPr>
        <w:t>44</w:t>
      </w:r>
      <w:r>
        <w:t>(12), 2797–2811. https://doi.org/10.1111/risa.17453</w:t>
      </w:r>
    </w:p>
    <w:p w14:paraId="3E1BCEFC" w14:textId="3D08668A" w:rsidR="00C43137" w:rsidRDefault="00C43137" w:rsidP="00C43137">
      <w:pPr>
        <w:pStyle w:val="NormalWeb"/>
        <w:ind w:left="540" w:hanging="540"/>
        <w:jc w:val="both"/>
      </w:pPr>
      <w:r>
        <w:t/>
      </w:r>
      <w:r>
        <w:t xml:space="preserve">Iyengar, S., Hedman, L., Forte, G., &amp; Hill, S. (2016). Medicine shortages: A commentary on causes and mitigation strategies. </w:t>
      </w:r>
      <w:r>
        <w:rPr>
          <w:i w:val="1"/>
        </w:rPr>
        <w:t>BMC Medicine</w:t>
      </w:r>
      <w:r>
        <w:t xml:space="preserve">, </w:t>
      </w:r>
      <w:r>
        <w:rPr>
          <w:i w:val="1"/>
        </w:rPr>
        <w:t>14</w:t>
      </w:r>
      <w:r>
        <w:t>, Article 124. https://doi.org/10.1186/s12916-016-0674-7</w:t>
      </w:r>
    </w:p>
    <w:p w14:paraId="4BE06932" w14:textId="06527FCC" w:rsidR="00C43137" w:rsidRDefault="00C43137" w:rsidP="00C43137">
      <w:pPr>
        <w:pStyle w:val="NormalWeb"/>
        <w:ind w:left="540" w:hanging="540"/>
        <w:jc w:val="both"/>
      </w:pPr>
      <w:r>
        <w:t/>
      </w:r>
      <w:r>
        <w:t xml:space="preserve">Jia, J., &amp; Zhao, H. (2017). Mitigating the U.S. drug shortages through Pareto-improving contracts. </w:t>
      </w:r>
      <w:r>
        <w:rPr>
          <w:i w:val="1"/>
        </w:rPr>
        <w:t>Production and Operations Management</w:t>
      </w:r>
      <w:r>
        <w:t xml:space="preserve">, </w:t>
      </w:r>
      <w:r>
        <w:rPr>
          <w:i w:val="1"/>
        </w:rPr>
        <w:t>26</w:t>
      </w:r>
      <w:r>
        <w:t>(8), 1463–1480. https://doi.org/10.1111/poms.12697</w:t>
      </w:r>
    </w:p>
    <w:p w14:paraId="7B308039" w14:textId="25FD6969" w:rsidR="00C43137" w:rsidRDefault="00C43137" w:rsidP="00C43137">
      <w:pPr>
        <w:pStyle w:val="NormalWeb"/>
        <w:ind w:left="540" w:hanging="540"/>
        <w:jc w:val="both"/>
      </w:pPr>
      <w:r>
        <w:t/>
      </w:r>
      <w:r>
        <w:t xml:space="preserve">Kaakeh, R., Sweet, B. V., Reilly, C., Bush, C., DeLoach, S., Higgins, B., Clark, A. M., &amp; Stevenson, J. (2011). Impact of drug shortages on U.S. health systems. </w:t>
      </w:r>
      <w:r>
        <w:rPr>
          <w:i w:val="1"/>
        </w:rPr>
        <w:t>American Journal of Health-System Pharmacy</w:t>
      </w:r>
      <w:r>
        <w:t xml:space="preserve">, </w:t>
      </w:r>
      <w:r>
        <w:rPr>
          <w:i w:val="1"/>
        </w:rPr>
        <w:t>68</w:t>
      </w:r>
      <w:r>
        <w:t>(19), 1811–1819. https://doi.org/10.2146/ajhp110210</w:t>
      </w:r>
    </w:p>
    <w:p w14:paraId="0EB3FB7A" w14:textId="05C1B2BF" w:rsidR="00C43137" w:rsidRDefault="00C43137" w:rsidP="00C43137">
      <w:pPr>
        <w:pStyle w:val="NormalWeb"/>
        <w:ind w:left="540" w:hanging="540"/>
        <w:jc w:val="both"/>
      </w:pPr>
      <w:r>
        <w:t/>
      </w:r>
      <w:r>
        <w:t xml:space="preserve">Kim, K. C., Rothenberger, S. D., Tadrous, M., Hernandez, I., Gellad, W. F., Devine, J. W., Hershey, T. B., Maillart, L. M., &amp; Suda, K. J. (2024). Drug shortages prior to and during the COVID-19 pandemic. </w:t>
      </w:r>
      <w:r>
        <w:rPr>
          <w:i w:val="1"/>
        </w:rPr>
        <w:t>JAMA Network Open</w:t>
      </w:r>
      <w:r>
        <w:t xml:space="preserve">, </w:t>
      </w:r>
      <w:r>
        <w:rPr>
          <w:i w:val="1"/>
        </w:rPr>
        <w:t>7</w:t>
      </w:r>
      <w:r>
        <w:t>(4), Article e244246. https://doi.org/10.1001/jamanetworkopen.2024.4246</w:t>
      </w:r>
    </w:p>
    <w:p w14:paraId="29C33909" w14:textId="72F2F571" w:rsidR="00C43137" w:rsidRDefault="00C43137" w:rsidP="00C43137">
      <w:pPr>
        <w:pStyle w:val="NormalWeb"/>
        <w:ind w:left="540" w:hanging="540"/>
        <w:jc w:val="both"/>
      </w:pPr>
      <w:r>
        <w:t/>
      </w:r>
      <w:r>
        <w:t xml:space="preserve">Kweder, S. L., &amp; Dill, S. (2013). Drug shortages: The cycle of quantity and quality. </w:t>
      </w:r>
      <w:r>
        <w:rPr>
          <w:i w:val="1"/>
        </w:rPr>
        <w:t>Clinical Pharmacology &amp; Therapeutics</w:t>
      </w:r>
      <w:r>
        <w:t xml:space="preserve">, </w:t>
      </w:r>
      <w:r>
        <w:rPr>
          <w:i w:val="1"/>
        </w:rPr>
        <w:t>93</w:t>
      </w:r>
      <w:r>
        <w:t>(3), 245–251. https://doi.org/10.1038/clpt.2012.235</w:t>
      </w:r>
    </w:p>
    <w:p w14:paraId="416FCD36" w14:textId="6DBEE8C2" w:rsidR="00C43137" w:rsidRDefault="00C43137" w:rsidP="00C43137">
      <w:pPr>
        <w:pStyle w:val="NormalWeb"/>
        <w:ind w:left="540" w:hanging="540"/>
        <w:jc w:val="both"/>
      </w:pPr>
      <w:r w:rsidRPr="00C43137">
        <w:rPr>
          <w:lang w:val="nl-BE"/>
        </w:rPr>
        <w:t xml:space="preserve">Lee, J., Lee, H. S., Shin, H., &amp; Krishnan, V. (2021). </w:t>
      </w:r>
      <w:r>
        <w:t/>
      </w:r>
      <w:r>
        <w:t xml:space="preserve">Alleviating drug shortages: The role of mandated reporting induced operational transparency. </w:t>
      </w:r>
      <w:r>
        <w:rPr>
          <w:i w:val="1"/>
        </w:rPr>
        <w:t>Management Science</w:t>
      </w:r>
      <w:r>
        <w:t xml:space="preserve">, </w:t>
      </w:r>
      <w:r>
        <w:rPr>
          <w:i w:val="1"/>
        </w:rPr>
        <w:t>67</w:t>
      </w:r>
      <w:r>
        <w:t>(4), 2326–2339. https://doi.org/10.1287/mnsc.2020.3857</w:t>
      </w:r>
    </w:p>
    <w:p w14:paraId="79205A45" w14:textId="4FF44C4B" w:rsidR="00C43137" w:rsidRDefault="00C43137" w:rsidP="00C43137">
      <w:pPr>
        <w:pStyle w:val="NormalWeb"/>
        <w:ind w:left="540" w:hanging="540"/>
        <w:jc w:val="both"/>
      </w:pPr>
      <w:r>
        <w:t/>
      </w:r>
      <w:r>
        <w:t xml:space="preserve">Link, M. P., Hagerty, K., &amp; Kantarjian, H. M. (2012). Chemotherapy drug shortages in the United States: Genesis and potential solutions. </w:t>
      </w:r>
      <w:r>
        <w:rPr>
          <w:i w:val="1"/>
        </w:rPr>
        <w:t>Journal of Clinical Oncology</w:t>
      </w:r>
      <w:r>
        <w:t xml:space="preserve">, </w:t>
      </w:r>
      <w:r>
        <w:rPr>
          <w:i w:val="1"/>
        </w:rPr>
        <w:t>30</w:t>
      </w:r>
      <w:r>
        <w:t>(7), 692–694. https://doi.org/10.1200/JCO.2011.41.0936</w:t>
      </w:r>
    </w:p>
    <w:p w14:paraId="6933F81C" w14:textId="6A1FAFC9" w:rsidR="00C43137" w:rsidRDefault="00C43137" w:rsidP="00C43137">
      <w:pPr>
        <w:pStyle w:val="NormalWeb"/>
        <w:ind w:left="540" w:hanging="540"/>
        <w:jc w:val="both"/>
      </w:pPr>
      <w:r>
        <w:t/>
      </w:r>
      <w:r>
        <w:t xml:space="preserve">Mazer-Amirshahi, M., &amp; Fox, E. R. (2018). Saline shortages—Many causes, no simple solution. </w:t>
      </w:r>
      <w:r>
        <w:rPr>
          <w:i w:val="1"/>
        </w:rPr>
        <w:t>New England Journal of Medicine</w:t>
      </w:r>
      <w:r>
        <w:t xml:space="preserve">, </w:t>
      </w:r>
      <w:r>
        <w:rPr>
          <w:i w:val="1"/>
        </w:rPr>
        <w:t>378</w:t>
      </w:r>
      <w:r>
        <w:t>(16), 1472–1474. https://doi.org/10.1056/NEJMp1800347</w:t>
      </w:r>
    </w:p>
    <w:p w14:paraId="09C22B82" w14:textId="5CA7AA5A" w:rsidR="00C43137" w:rsidRDefault="00C43137" w:rsidP="00C43137">
      <w:pPr>
        <w:pStyle w:val="NormalWeb"/>
        <w:ind w:left="540" w:hanging="540"/>
        <w:jc w:val="both"/>
      </w:pPr>
      <w:r>
        <w:t/>
      </w:r>
      <w:r>
        <w:t xml:space="preserve">Mazer-Amirshahi, M., Pourmand, A., Singer, S., Pines, J. M., &amp; van den Anker, J. (2014). Critical drug shortages: Implications for emergency medicine. </w:t>
      </w:r>
      <w:r>
        <w:rPr>
          <w:i w:val="1"/>
        </w:rPr>
        <w:t>Academic Emergency Medicine</w:t>
      </w:r>
      <w:r>
        <w:t xml:space="preserve">, </w:t>
      </w:r>
      <w:r>
        <w:rPr>
          <w:i w:val="1"/>
        </w:rPr>
        <w:t>21</w:t>
      </w:r>
      <w:r>
        <w:t>(6), 704–711. https://doi.org/10.1111/acem.12389</w:t>
      </w:r>
    </w:p>
    <w:p w14:paraId="790BCBD3" w14:textId="273F33F6" w:rsidR="00C43137" w:rsidRDefault="00C43137" w:rsidP="00C43137">
      <w:pPr>
        <w:pStyle w:val="NormalWeb"/>
        <w:ind w:left="540" w:hanging="540"/>
        <w:jc w:val="both"/>
      </w:pPr>
      <w:r>
        <w:t/>
      </w:r>
      <w:r>
        <w:t xml:space="preserve">McLaughlin, M., Kotis, D., Thomson, K., Harrison, M., Fennessy, G., Postelnick, M., &amp; Scheetz, M. H. (2013). Effects on patient care caused by drug shortages: A survey. </w:t>
      </w:r>
      <w:r>
        <w:rPr>
          <w:i w:val="1"/>
        </w:rPr>
        <w:t>Journal of Managed Care Pharmacy</w:t>
      </w:r>
      <w:r>
        <w:t xml:space="preserve">, </w:t>
      </w:r>
      <w:r>
        <w:rPr>
          <w:i w:val="1"/>
        </w:rPr>
        <w:t>19</w:t>
      </w:r>
      <w:r>
        <w:t>(9), 783–788. https://doi.org/10.18553/jmcp.2013.19.9.783</w:t>
      </w:r>
    </w:p>
    <w:p w14:paraId="5497674B" w14:textId="3EB9221C" w:rsidR="00C43137" w:rsidRDefault="00C43137" w:rsidP="00C43137">
      <w:pPr>
        <w:pStyle w:val="NormalWeb"/>
        <w:ind w:left="540" w:hanging="540"/>
        <w:jc w:val="both"/>
      </w:pPr>
      <w:r>
        <w:t/>
      </w:r>
      <w:r>
        <w:t xml:space="preserve">Miljković, N., Godman, B., van Overbeeke, E., Kovačević, M., Tsiakitzis, K., Apatsidou, A., Nikopoulou, A., Garcia Yubero, C., Portillo Horcajada, L., Stemer, G., Kuruc-Poje, D., De Rijdt, T., Bochenek, T., Huys, I., &amp; Miljković, B. (2020). Risks in antibiotic substitution following medicine shortage: A health-care failure mode and effect analysis of six European hospitals. </w:t>
      </w:r>
      <w:r>
        <w:rPr>
          <w:i w:val="1"/>
        </w:rPr>
        <w:t>Frontiers in Medicine</w:t>
      </w:r>
      <w:r>
        <w:t xml:space="preserve">, </w:t>
      </w:r>
      <w:r>
        <w:rPr>
          <w:i w:val="1"/>
        </w:rPr>
        <w:t>7</w:t>
      </w:r>
      <w:r>
        <w:t>, Article 157. https://doi.org/10.3389/fmed.2020.00157</w:t>
      </w:r>
    </w:p>
    <w:p w14:paraId="4F629C02" w14:textId="5F5E596C" w:rsidR="00C43137" w:rsidRDefault="00C43137" w:rsidP="00C43137">
      <w:pPr>
        <w:pStyle w:val="NormalWeb"/>
        <w:ind w:left="540" w:hanging="540"/>
        <w:jc w:val="both"/>
      </w:pPr>
      <w:r>
        <w:lastRenderedPageBreak/>
        <w:t/>
      </w:r>
      <w:r>
        <w:t xml:space="preserve">National Academies of Sciences, Engineering, and Medicine. (2022). </w:t>
      </w:r>
      <w:r>
        <w:rPr>
          <w:i w:val="1"/>
        </w:rPr>
        <w:t>Building resilience into the nation’s medical product supply chains</w:t>
      </w:r>
      <w:r>
        <w:t xml:space="preserve"> (W. J. Hopp, L. Brown, &amp; C. Shore, Eds.). The National Academies Press. https://doi.org/10.17226/26420</w:t>
      </w:r>
    </w:p>
    <w:p w14:paraId="1507EAEC" w14:textId="4199687D" w:rsidR="00C43137" w:rsidRDefault="00C43137" w:rsidP="00C43137">
      <w:pPr>
        <w:pStyle w:val="NormalWeb"/>
        <w:ind w:left="540" w:hanging="540"/>
        <w:jc w:val="both"/>
      </w:pPr>
      <w:r>
        <w:t/>
      </w:r>
      <w:r>
        <w:t xml:space="preserve">Office of the Assistant Secretary for Planning and Evaluation. (2025). </w:t>
      </w:r>
      <w:r>
        <w:rPr>
          <w:i w:val="1"/>
        </w:rPr>
        <w:t>Defining and measuring the resilience, criticality, and vulnerability of medical product supply chains</w:t>
      </w:r>
      <w:r>
        <w:t>. U.S. Department of Health and Human Services. https://aspe.hhs.gov/reports/measuring-supply-chain-resilience</w:t>
      </w:r>
    </w:p>
    <w:p w14:paraId="0818A042" w14:textId="26DE3C0C" w:rsidR="00C43137" w:rsidRDefault="00C43137" w:rsidP="00C43137">
      <w:pPr>
        <w:pStyle w:val="NormalWeb"/>
        <w:ind w:left="540" w:hanging="540"/>
        <w:jc w:val="both"/>
      </w:pPr>
      <w:r>
        <w:t/>
      </w:r>
      <w:r>
        <w:t xml:space="preserve">Office of the Secretary. (2024). </w:t>
      </w:r>
      <w:r>
        <w:rPr>
          <w:i w:val="1"/>
        </w:rPr>
        <w:t>Policy considerations to prevent drug shortages and mitigate supply chain vulnerabilities in the United States</w:t>
      </w:r>
      <w:r>
        <w:t xml:space="preserve"> [White paper]. U.S. Department of Health and Human Services. https://aspe.hhs.gov/reports/preventing-shortages-supply-chain-vulnerabilities</w:t>
      </w:r>
    </w:p>
    <w:p w14:paraId="6BCC0C50" w14:textId="354A5E99" w:rsidR="00C43137" w:rsidRDefault="00C43137" w:rsidP="00C43137">
      <w:pPr>
        <w:pStyle w:val="NormalWeb"/>
        <w:ind w:left="540" w:hanging="540"/>
        <w:jc w:val="both"/>
      </w:pPr>
      <w:r>
        <w:t/>
      </w:r>
      <w:r>
        <w:t xml:space="preserve">Pauwels, K., Huys, I., Casteels, M., &amp; Simoens, S. (2014). Drug shortages in European countries: A trade-off between market attractiveness and cost containment? </w:t>
      </w:r>
      <w:r>
        <w:rPr>
          <w:i w:val="1"/>
        </w:rPr>
        <w:t>BMC Health Services Research</w:t>
      </w:r>
      <w:r>
        <w:t xml:space="preserve">, </w:t>
      </w:r>
      <w:r>
        <w:rPr>
          <w:i w:val="1"/>
        </w:rPr>
        <w:t>14</w:t>
      </w:r>
      <w:r>
        <w:t>, Article 438. https://doi.org/10.1186/1472-6963-14-438</w:t>
      </w:r>
    </w:p>
    <w:p w14:paraId="0E015C31" w14:textId="011BEF99" w:rsidR="00C43137" w:rsidRDefault="00C43137" w:rsidP="00C43137">
      <w:pPr>
        <w:pStyle w:val="NormalWeb"/>
        <w:ind w:left="540" w:hanging="540"/>
        <w:jc w:val="both"/>
      </w:pPr>
      <w:r>
        <w:t/>
      </w:r>
      <w:r>
        <w:t xml:space="preserve">Phuong, J. M., Penm, J., Chaar, B., Oldfield, L. D., &amp; Moles, R. (2019). The impacts of medication shortages on patient outcomes: A scoping review. </w:t>
      </w:r>
      <w:r>
        <w:rPr>
          <w:i w:val="1"/>
        </w:rPr>
        <w:t>PLOS ONE</w:t>
      </w:r>
      <w:r>
        <w:t xml:space="preserve">, </w:t>
      </w:r>
      <w:r>
        <w:rPr>
          <w:i w:val="1"/>
        </w:rPr>
        <w:t>14</w:t>
      </w:r>
      <w:r>
        <w:t>(5), Article e0215837. https://doi.org/10.1371/journal.pone.0215837</w:t>
      </w:r>
    </w:p>
    <w:p w14:paraId="653A727B" w14:textId="27C37628" w:rsidR="00C43137" w:rsidRDefault="00C43137" w:rsidP="00C43137">
      <w:pPr>
        <w:pStyle w:val="NormalWeb"/>
        <w:ind w:left="540" w:hanging="540"/>
        <w:jc w:val="both"/>
      </w:pPr>
      <w:r>
        <w:t/>
      </w:r>
      <w:r>
        <w:t xml:space="preserve">Ridley, D. B., Bei, X., &amp; Liebman, E. B. (2016). No shot: US vaccine prices and shortages. </w:t>
      </w:r>
      <w:r>
        <w:rPr>
          <w:i w:val="1"/>
        </w:rPr>
        <w:t>Health Affairs</w:t>
      </w:r>
      <w:r>
        <w:t xml:space="preserve">, </w:t>
      </w:r>
      <w:r>
        <w:rPr>
          <w:i w:val="1"/>
        </w:rPr>
        <w:t>35</w:t>
      </w:r>
      <w:r>
        <w:t>(2), 235–241. https://doi.org/10.1377/hlthaff.2015.0420</w:t>
      </w:r>
    </w:p>
    <w:p w14:paraId="0E46B8BF" w14:textId="1098B181" w:rsidR="00C43137" w:rsidRDefault="00C43137" w:rsidP="00C43137">
      <w:pPr>
        <w:pStyle w:val="NormalWeb"/>
        <w:ind w:left="540" w:hanging="540"/>
        <w:jc w:val="both"/>
      </w:pPr>
      <w:r>
        <w:t/>
      </w:r>
      <w:r>
        <w:t xml:space="preserve">Rosoff, P. M., Patel, K. R., Scates, A., Rhea, G., Bush, P. W., &amp; Govert, J. A. (2012). Coping with critical drug shortages: An ethical approach for allocating scarce resources in hospitals. </w:t>
      </w:r>
      <w:r>
        <w:rPr>
          <w:i w:val="1"/>
        </w:rPr>
        <w:t>Archives of Internal Medicine</w:t>
      </w:r>
      <w:r>
        <w:t xml:space="preserve">, </w:t>
      </w:r>
      <w:r>
        <w:rPr>
          <w:i w:val="1"/>
        </w:rPr>
        <w:t>172</w:t>
      </w:r>
      <w:r>
        <w:t>(19), 1494–1499. https://doi.org/10.1001/archinternmed.2012.4367</w:t>
      </w:r>
    </w:p>
    <w:p w14:paraId="4A2A259E" w14:textId="4CDE6017" w:rsidR="00C43137" w:rsidRDefault="00C43137" w:rsidP="00C43137">
      <w:pPr>
        <w:pStyle w:val="NormalWeb"/>
        <w:ind w:left="540" w:hanging="540"/>
        <w:jc w:val="both"/>
      </w:pPr>
      <w:r>
        <w:t/>
      </w:r>
      <w:r>
        <w:t xml:space="preserve">Santhireswaran, A., Chaudhry, S., Ho, M., Fuller, K., Gaudette, E., Burry, L., &amp; Tadrous, M. (2025). Impact of supply chain disruptions and drug shortages on drug utilization: A scoping review. </w:t>
      </w:r>
      <w:r>
        <w:rPr>
          <w:i w:val="1"/>
        </w:rPr>
        <w:t>Pharmacoepidemiology and Drug Safety</w:t>
      </w:r>
      <w:r>
        <w:t xml:space="preserve">, </w:t>
      </w:r>
      <w:r>
        <w:rPr>
          <w:i w:val="1"/>
        </w:rPr>
        <w:t>34</w:t>
      </w:r>
      <w:r>
        <w:t>(7), Article e70178. https://doi.org/10.1002/pds.70178</w:t>
      </w:r>
    </w:p>
    <w:p w14:paraId="4DF1FB02" w14:textId="0A1939B9" w:rsidR="00C43137" w:rsidRDefault="00C43137" w:rsidP="00C43137">
      <w:pPr>
        <w:pStyle w:val="NormalWeb"/>
        <w:ind w:left="540" w:hanging="540"/>
        <w:jc w:val="both"/>
      </w:pPr>
      <w:r>
        <w:t/>
      </w:r>
      <w:r>
        <w:t xml:space="preserve">Serchen, J., Hilden, D., Silberger, J. R., &amp; Health and Public Policy Committee of the American College of Physicians. (2025). Bolstering the medication supply chain and ameliorating medication shortages: A position paper from the American College of Physicians. </w:t>
      </w:r>
      <w:r>
        <w:rPr>
          <w:i w:val="1"/>
        </w:rPr>
        <w:t>Annals of Internal Medicine</w:t>
      </w:r>
      <w:r>
        <w:t xml:space="preserve">, </w:t>
      </w:r>
      <w:r>
        <w:rPr>
          <w:i w:val="1"/>
        </w:rPr>
        <w:t>178</w:t>
      </w:r>
      <w:r>
        <w:t>(10), 1464–1468. https://doi.org/10.7326/ANNALS-25-00607</w:t>
      </w:r>
    </w:p>
    <w:p w14:paraId="5737690C" w14:textId="04C82476" w:rsidR="00C43137" w:rsidRDefault="00C43137" w:rsidP="00C43137">
      <w:pPr>
        <w:pStyle w:val="NormalWeb"/>
        <w:ind w:left="540" w:hanging="540"/>
        <w:jc w:val="both"/>
      </w:pPr>
      <w:r w:rsidRPr="00C43137">
        <w:rPr>
          <w:lang w:val="nl-BE"/>
        </w:rPr>
        <w:t xml:space="preserve">Shukar, S., Zahoor, F., Hayat, K., Saeed, A., Gillani, A. H., Omer, S., Hu, S., Babar, Z.-U.-D., Fang, Y., &amp; Yang, C. (2021). </w:t>
      </w:r>
      <w:r>
        <w:t/>
      </w:r>
      <w:r>
        <w:t xml:space="preserve">Drug shortage: Causes, impact, and mitigation strategies. </w:t>
      </w:r>
      <w:r>
        <w:rPr>
          <w:i w:val="1"/>
        </w:rPr>
        <w:t>Frontiers in Pharmacology</w:t>
      </w:r>
      <w:r>
        <w:t xml:space="preserve">, </w:t>
      </w:r>
      <w:r>
        <w:rPr>
          <w:i w:val="1"/>
        </w:rPr>
        <w:t>12</w:t>
      </w:r>
      <w:r>
        <w:t>, Article 693426. https://doi.org/10.3389/fphar.2021.693426</w:t>
      </w:r>
    </w:p>
    <w:p w14:paraId="03C5CBBA" w14:textId="0D2B6377" w:rsidR="00C43137" w:rsidRDefault="00C43137" w:rsidP="00C43137">
      <w:pPr>
        <w:pStyle w:val="NormalWeb"/>
        <w:ind w:left="540" w:hanging="540"/>
        <w:jc w:val="both"/>
      </w:pPr>
      <w:r>
        <w:t/>
      </w:r>
      <w:r>
        <w:t xml:space="preserve">Socal, M. P., Ahn, K., Greene, J. A., &amp; Anderson, G. F. (2023). Competition and vulnerabilities in the global supply chain for US generic active pharmaceutical ingredients. </w:t>
      </w:r>
      <w:r>
        <w:rPr>
          <w:i w:val="1"/>
        </w:rPr>
        <w:t>Health Affairs</w:t>
      </w:r>
      <w:r>
        <w:t xml:space="preserve">, </w:t>
      </w:r>
      <w:r>
        <w:rPr>
          <w:i w:val="1"/>
        </w:rPr>
        <w:t>42</w:t>
      </w:r>
      <w:r>
        <w:t>(3), 407–415. https://doi.org/10.1377/hlthaff.2022.01120</w:t>
      </w:r>
    </w:p>
    <w:p w14:paraId="5625544B" w14:textId="5493803B" w:rsidR="00C43137" w:rsidRDefault="00C43137" w:rsidP="00C43137">
      <w:pPr>
        <w:pStyle w:val="NormalWeb"/>
        <w:ind w:left="540" w:hanging="540"/>
        <w:jc w:val="both"/>
      </w:pPr>
      <w:r>
        <w:t/>
      </w:r>
      <w:r>
        <w:t xml:space="preserve">Socal, M. P., Crane, M. A., &amp; Anderson, G. F. (2024). Global production of active pharmaceutical ingredients for US generic drugs experiencing shortages. </w:t>
      </w:r>
      <w:r>
        <w:rPr>
          <w:i w:val="1"/>
        </w:rPr>
        <w:t>JAMA</w:t>
      </w:r>
      <w:r>
        <w:t xml:space="preserve">, </w:t>
      </w:r>
      <w:r>
        <w:rPr>
          <w:i w:val="1"/>
        </w:rPr>
        <w:t>331</w:t>
      </w:r>
      <w:r>
        <w:t>(20), 1763–1765. https://doi.org/10.1001/jama.2024.5296</w:t>
      </w:r>
    </w:p>
    <w:p w14:paraId="711FA426" w14:textId="39AB3385" w:rsidR="00C43137" w:rsidRDefault="00C43137" w:rsidP="00C43137">
      <w:pPr>
        <w:pStyle w:val="NormalWeb"/>
        <w:ind w:left="540" w:hanging="540"/>
        <w:jc w:val="both"/>
      </w:pPr>
      <w:r>
        <w:t/>
      </w:r>
      <w:r>
        <w:t xml:space="preserve">Socal, M. P., Sharfstein, J. M., &amp; Greene, J. A. (2021). The pandemic and the supply chain: Gaps in pharmaceutical production and distribution. </w:t>
      </w:r>
      <w:r>
        <w:rPr>
          <w:i w:val="1"/>
        </w:rPr>
        <w:t>American Journal of Public Health</w:t>
      </w:r>
      <w:r>
        <w:t xml:space="preserve">, </w:t>
      </w:r>
      <w:r>
        <w:rPr>
          <w:i w:val="1"/>
        </w:rPr>
        <w:t>111</w:t>
      </w:r>
      <w:r>
        <w:t>(4), 635–639. https://doi.org/10.2105/AJPH.2020.306138</w:t>
      </w:r>
    </w:p>
    <w:p w14:paraId="65E93D03" w14:textId="77E45838" w:rsidR="00C43137" w:rsidRDefault="00C43137" w:rsidP="00C43137">
      <w:pPr>
        <w:pStyle w:val="NormalWeb"/>
        <w:ind w:left="540" w:hanging="540"/>
        <w:jc w:val="both"/>
      </w:pPr>
      <w:r>
        <w:lastRenderedPageBreak/>
        <w:t/>
      </w:r>
      <w:r>
        <w:t xml:space="preserve">Suda, K. J., Zhao, X., Aspinall, S. L., Li, Y., Kim, K. C., Cunningham, F. E., Boyer, T. L., Miner, T. W., Kima, C., Gellad, W. F., Glassman, P. A., Good, C. B., Skelton, F., Tadrous, M., &amp; Thorpe, C. T. (2026). Trajectories of treatment disruption for chronic outpatient medications for U.S. veterans during drug shortages. </w:t>
      </w:r>
      <w:r>
        <w:rPr>
          <w:i w:val="1"/>
        </w:rPr>
        <w:t>Pharmacoepidemiology and Drug Safety</w:t>
      </w:r>
      <w:r>
        <w:t xml:space="preserve">, </w:t>
      </w:r>
      <w:r>
        <w:rPr>
          <w:i w:val="1"/>
        </w:rPr>
        <w:t>35</w:t>
      </w:r>
      <w:r>
        <w:t>(6), Article e70393. https://doi.org/10.1002/pds.70393</w:t>
      </w:r>
    </w:p>
    <w:p w14:paraId="3FD69BFE" w14:textId="0E19538F" w:rsidR="00C43137" w:rsidRDefault="00C43137" w:rsidP="00C43137">
      <w:pPr>
        <w:pStyle w:val="NormalWeb"/>
        <w:ind w:left="540" w:hanging="540"/>
        <w:jc w:val="both"/>
      </w:pPr>
      <w:r>
        <w:t/>
      </w:r>
      <w:r>
        <w:t xml:space="preserve">Tucker, E. L., Cao, Y., Fox, E. R., &amp; Sweet, B. V. (2020). The drug shortage era: A scoping review of the literature 2001–2019. </w:t>
      </w:r>
      <w:r>
        <w:rPr>
          <w:i w:val="1"/>
        </w:rPr>
        <w:t>Clinical Pharmacology &amp; Therapeutics</w:t>
      </w:r>
      <w:r>
        <w:t xml:space="preserve">, </w:t>
      </w:r>
      <w:r>
        <w:rPr>
          <w:i w:val="1"/>
        </w:rPr>
        <w:t>108</w:t>
      </w:r>
      <w:r>
        <w:t>(6), 1150–1155. https://doi.org/10.1002/cpt.1934</w:t>
      </w:r>
    </w:p>
    <w:p w14:paraId="272B3B70" w14:textId="7CA7481F" w:rsidR="00C43137" w:rsidRDefault="00C43137" w:rsidP="00C43137">
      <w:pPr>
        <w:pStyle w:val="NormalWeb"/>
        <w:ind w:left="540" w:hanging="540"/>
        <w:jc w:val="both"/>
      </w:pPr>
      <w:r>
        <w:t/>
      </w:r>
      <w:r>
        <w:t xml:space="preserve">Tucker, E. L., Daskin, M. S., Sweet, B. V., &amp; Hopp, W. J. (2020). Incentivizing resilient supply chain design to prevent drug shortages: Policy analysis using two- and multi-stage stochastic programs. </w:t>
      </w:r>
      <w:r>
        <w:rPr>
          <w:i w:val="1"/>
        </w:rPr>
        <w:t>IISE Transactions</w:t>
      </w:r>
      <w:r>
        <w:t xml:space="preserve">, </w:t>
      </w:r>
      <w:r>
        <w:rPr>
          <w:i w:val="1"/>
        </w:rPr>
        <w:t>52</w:t>
      </w:r>
      <w:r>
        <w:t>(4), 394–412. https://doi.org/10.1080/24725854.2019.1646441</w:t>
      </w:r>
    </w:p>
    <w:p w14:paraId="4093FB33" w14:textId="3886CFCA" w:rsidR="00C43137" w:rsidRDefault="00C43137" w:rsidP="00C43137">
      <w:pPr>
        <w:pStyle w:val="NormalWeb"/>
        <w:ind w:left="540" w:hanging="540"/>
        <w:jc w:val="both"/>
      </w:pPr>
      <w:r>
        <w:t/>
      </w:r>
      <w:r>
        <w:t xml:space="preserve">Unguru, Y., Fernandez, C. V., Bernhardt, B., Berg, S., Pyke-Grimm, K., Woodman, C., &amp; Joffe, S. (2016). An ethical framework for allocating scarce life-saving chemotherapy and supportive care drugs for childhood cancer. </w:t>
      </w:r>
      <w:r>
        <w:rPr>
          <w:i w:val="1"/>
        </w:rPr>
        <w:t>Journal of the National Cancer Institute</w:t>
      </w:r>
      <w:r>
        <w:t xml:space="preserve">, </w:t>
      </w:r>
      <w:r>
        <w:rPr>
          <w:i w:val="1"/>
        </w:rPr>
        <w:t>108</w:t>
      </w:r>
      <w:r>
        <w:t>(6), Article djv392. https://doi.org/10.1093/jnci/djv392</w:t>
      </w:r>
    </w:p>
    <w:p w14:paraId="3632AED0" w14:textId="36B24CA9" w:rsidR="00C43137" w:rsidRDefault="00C43137" w:rsidP="00C43137">
      <w:pPr>
        <w:pStyle w:val="NormalWeb"/>
        <w:ind w:left="540" w:hanging="540"/>
        <w:jc w:val="both"/>
      </w:pPr>
      <w:r>
        <w:t/>
      </w:r>
      <w:r>
        <w:t xml:space="preserve">U.S. Food and Drug Administration. (2026). </w:t>
      </w:r>
      <w:r>
        <w:rPr>
          <w:i w:val="1"/>
        </w:rPr>
        <w:t>Drug shortages: CY 2025</w:t>
      </w:r>
      <w:r>
        <w:t xml:space="preserve"> [Report to Congress]. https://www.fda.gov/media/193637/download</w:t>
      </w:r>
    </w:p>
    <w:p w14:paraId="51693AF4" w14:textId="7133C0FD" w:rsidR="00C43137" w:rsidRDefault="00C43137" w:rsidP="00C43137">
      <w:pPr>
        <w:pStyle w:val="NormalWeb"/>
        <w:ind w:left="540" w:hanging="540"/>
        <w:jc w:val="both"/>
      </w:pPr>
      <w:r>
        <w:t/>
      </w:r>
      <w:r>
        <w:t xml:space="preserve">U.S. Government Accountability Office. (2025). </w:t>
      </w:r>
      <w:r>
        <w:rPr>
          <w:i w:val="1"/>
        </w:rPr>
        <w:t>Drug shortages: HHS should implement a mechanism to coordinate its activities</w:t>
      </w:r>
      <w:r>
        <w:t xml:space="preserve"> (GAO-25-107110). https://www.gao.gov/products/gao-25-107110</w:t>
      </w:r>
    </w:p>
    <w:p w14:paraId="4D0770DE" w14:textId="697FA2B1" w:rsidR="00C43137" w:rsidRDefault="00C43137" w:rsidP="00C43137">
      <w:pPr>
        <w:pStyle w:val="NormalWeb"/>
        <w:ind w:left="540" w:hanging="540"/>
        <w:jc w:val="both"/>
      </w:pPr>
      <w:r>
        <w:t/>
      </w:r>
      <w:r>
        <w:t xml:space="preserve">Vail, E., Gershengorn, H. B., Hua, M., Walkey, A. J., Rubenfeld, G., &amp; Wunsch, H. (2017). Association between US norepinephrine shortage and mortality among patients with septic shock. </w:t>
      </w:r>
      <w:r>
        <w:rPr>
          <w:i w:val="1"/>
        </w:rPr>
        <w:t>JAMA</w:t>
      </w:r>
      <w:r>
        <w:t xml:space="preserve">, </w:t>
      </w:r>
      <w:r>
        <w:rPr>
          <w:i w:val="1"/>
        </w:rPr>
        <w:t>317</w:t>
      </w:r>
      <w:r>
        <w:t>(14), 1433–1442. https://doi.org/10.1001/jama.2017.2841</w:t>
      </w:r>
    </w:p>
    <w:p w14:paraId="3181C067" w14:textId="60915902" w:rsidR="00C43137" w:rsidRDefault="00C43137" w:rsidP="00C43137">
      <w:pPr>
        <w:pStyle w:val="NormalWeb"/>
        <w:ind w:left="540" w:hanging="540"/>
        <w:jc w:val="both"/>
      </w:pPr>
      <w:r>
        <w:t/>
      </w:r>
      <w:r>
        <w:t xml:space="preserve">Woodcock, J., &amp; Wosinska, M. (2013). Economic and technological drivers of generic sterile injectable drug shortages. </w:t>
      </w:r>
      <w:r>
        <w:rPr>
          <w:i w:val="1"/>
        </w:rPr>
        <w:t>Clinical Pharmacology &amp; Therapeutics</w:t>
      </w:r>
      <w:r>
        <w:t xml:space="preserve">, </w:t>
      </w:r>
      <w:r>
        <w:rPr>
          <w:i w:val="1"/>
        </w:rPr>
        <w:t>93</w:t>
      </w:r>
      <w:r>
        <w:t>(2), 170–176. https://doi.org/10.1038/clpt.2012.220</w:t>
      </w:r>
    </w:p>
    <w:p w14:paraId="59BEFB65" w14:textId="43109378" w:rsidR="00C43137" w:rsidRDefault="00C43137" w:rsidP="00C43137">
      <w:pPr>
        <w:pStyle w:val="NormalWeb"/>
        <w:ind w:left="540" w:hanging="540"/>
        <w:jc w:val="both"/>
      </w:pPr>
      <w:r>
        <w:t/>
      </w:r>
      <w:r>
        <w:t xml:space="preserve">World Health Organization. (2025). </w:t>
      </w:r>
      <w:r>
        <w:rPr>
          <w:i w:val="1"/>
        </w:rPr>
        <w:t>The selection and use of essential medicines, 2025: WHO Model List of Essential Medicines, 24th list</w:t>
      </w:r>
      <w:r>
        <w:t>. https://www.who.int/publications/i/item/B09474</w:t>
      </w:r>
    </w:p>
    <w:p w14:paraId="0EBF3294" w14:textId="6DF63217" w:rsidR="00C43137" w:rsidRDefault="00C43137" w:rsidP="00C43137">
      <w:pPr>
        <w:pStyle w:val="NormalWeb"/>
        <w:ind w:left="540" w:hanging="540"/>
        <w:jc w:val="both"/>
      </w:pPr>
      <w:r>
        <w:t/>
      </w:r>
      <w:r>
        <w:t xml:space="preserve">Yurukoglu, A., Liebman, E., &amp; Ridley, D. B. (2017). The role of government reimbursement in drug shortages. </w:t>
      </w:r>
      <w:r>
        <w:rPr>
          <w:i w:val="1"/>
        </w:rPr>
        <w:t>American Economic Journal: Economic Policy</w:t>
      </w:r>
      <w:r>
        <w:t xml:space="preserve">, </w:t>
      </w:r>
      <w:r>
        <w:rPr>
          <w:i w:val="1"/>
        </w:rPr>
        <w:t>9</w:t>
      </w:r>
      <w:r>
        <w:t>(2), 348–382. https://doi.org/10.1257/pol.20160035</w:t>
      </w:r>
    </w:p>
    <w:p w14:paraId="42AA8793" w14:textId="11EA2760" w:rsidR="00963BD7" w:rsidRPr="00162C1E" w:rsidRDefault="00963BD7" w:rsidP="00C43137">
      <w:pPr>
        <w:spacing w:after="80" w:line="240" w:lineRule="auto"/>
        <w:ind w:left="403" w:hanging="403"/>
      </w:pPr>
    </w:p>
    <w:sectPr w:rsidR="00963BD7" w:rsidRPr="00162C1E"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D60D90"/>
    <w:multiLevelType w:val="hybridMultilevel"/>
    <w:tmpl w:val="15DCD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964736"/>
    <w:multiLevelType w:val="hybridMultilevel"/>
    <w:tmpl w:val="656A1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9731063">
    <w:abstractNumId w:val="8"/>
  </w:num>
  <w:num w:numId="2" w16cid:durableId="1764497192">
    <w:abstractNumId w:val="6"/>
  </w:num>
  <w:num w:numId="3" w16cid:durableId="1280262959">
    <w:abstractNumId w:val="5"/>
  </w:num>
  <w:num w:numId="4" w16cid:durableId="753235914">
    <w:abstractNumId w:val="4"/>
  </w:num>
  <w:num w:numId="5" w16cid:durableId="36859056">
    <w:abstractNumId w:val="7"/>
  </w:num>
  <w:num w:numId="6" w16cid:durableId="45104247">
    <w:abstractNumId w:val="3"/>
  </w:num>
  <w:num w:numId="7" w16cid:durableId="2010330875">
    <w:abstractNumId w:val="2"/>
  </w:num>
  <w:num w:numId="8" w16cid:durableId="462113133">
    <w:abstractNumId w:val="1"/>
  </w:num>
  <w:num w:numId="9" w16cid:durableId="495386661">
    <w:abstractNumId w:val="0"/>
  </w:num>
  <w:num w:numId="10" w16cid:durableId="2092387069">
    <w:abstractNumId w:val="10"/>
  </w:num>
  <w:num w:numId="11" w16cid:durableId="727043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6FC"/>
    <w:rsid w:val="0015074B"/>
    <w:rsid w:val="00162C1E"/>
    <w:rsid w:val="001F4136"/>
    <w:rsid w:val="0029639D"/>
    <w:rsid w:val="00313229"/>
    <w:rsid w:val="00326F90"/>
    <w:rsid w:val="003F1EFE"/>
    <w:rsid w:val="0040631C"/>
    <w:rsid w:val="00963BD7"/>
    <w:rsid w:val="00AA1D8D"/>
    <w:rsid w:val="00B47730"/>
    <w:rsid w:val="00B50E8E"/>
    <w:rsid w:val="00C43137"/>
    <w:rsid w:val="00CB0664"/>
    <w:rsid w:val="00E741B3"/>
    <w:rsid w:val="00EA04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3503BA"/>
  <w14:defaultImageDpi w14:val="300"/>
  <w15:docId w15:val="{BE8DD255-5A7B-467E-A844-36655D9E9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4313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22</Pages>
  <Words>12103</Words>
  <Characters>68989</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Shortages and Access to Essential Medicines: A Policy and Governance Framework for the United States</dc:title>
  <dc:subject>Narrative review of U.S. drug shortages and essential-medicine access</dc:subject>
  <dc:creator/>
  <cp:keywords/>
  <dc:description>generated by python-docx</dc:description>
  <cp:lastModifiedBy>Editor-90</cp:lastModifiedBy>
  <cp:revision>8</cp:revision>
  <dcterms:created xsi:type="dcterms:W3CDTF">2013-12-23T23:15:00Z</dcterms:created>
  <dcterms:modified xsi:type="dcterms:W3CDTF">2026-10-08T12:23:00Z</dcterms:modified>
  <cp:category/>
</cp:coreProperties>
</file>