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0CA1F" w14:textId="77777777" w:rsidR="0072696F" w:rsidRDefault="0072696F" w:rsidP="002E68D5">
      <w:pPr>
        <w:tabs>
          <w:tab w:val="num" w:pos="720"/>
        </w:tabs>
        <w:spacing w:after="0" w:line="240" w:lineRule="auto"/>
        <w:jc w:val="center"/>
        <w:rPr>
          <w:rFonts w:ascii="Times New Roman" w:hAnsi="Times New Roman" w:cs="Times New Roman"/>
          <w:b/>
          <w:sz w:val="24"/>
          <w:szCs w:val="24"/>
          <w:lang w:val="en-US"/>
        </w:rPr>
      </w:pPr>
      <w:bookmarkStart w:id="0" w:name="_Hlk239431985"/>
    </w:p>
    <w:p w14:paraId="2D36D710" w14:textId="77777777" w:rsidR="002E68D5" w:rsidRDefault="002E68D5" w:rsidP="00E050A7">
      <w:pPr>
        <w:spacing w:after="0" w:line="240" w:lineRule="auto"/>
        <w:ind w:left="1440" w:firstLine="720"/>
        <w:rPr>
          <w:lang w:val="en-IN"/>
        </w:rPr>
      </w:pPr>
      <w:r>
        <w:rPr>
          <w:rFonts w:ascii="Times New Roman" w:eastAsia="Times New Roman" w:hAnsi="Times New Roman" w:cs="Times New Roman"/>
          <w:b/>
          <w:lang w:val="en-US"/>
        </w:rPr>
        <w:t xml:space="preserve">                  </w:t>
      </w:r>
      <w:bookmarkEnd w:id="0"/>
    </w:p>
    <w:p w14:paraId="2BE54573" w14:textId="009BFA18" w:rsidR="00D755D1" w:rsidRPr="00D1208E" w:rsidRDefault="00D1208E" w:rsidP="00D1208E">
      <w:pPr>
        <w:pStyle w:val="BodyText"/>
        <w:rPr>
          <w:b/>
          <w:bCs/>
          <w:lang w:val="en-IN"/>
        </w:rPr>
      </w:pPr>
      <w:r w:rsidRPr="00D1208E">
        <w:rPr>
          <w:b/>
          <w:bCs/>
          <w:shd w:val="clear" w:color="auto" w:fill="FCFCFC"/>
        </w:rPr>
        <w:t>Firm Characteristics and Financial Reporting Quality among Listed Non-Financial Companies in Nigeria</w:t>
      </w:r>
    </w:p>
    <w:p w14:paraId="15A60EF1" w14:textId="77777777" w:rsidR="002E68D5" w:rsidRDefault="002E68D5" w:rsidP="002E68D5">
      <w:pPr>
        <w:tabs>
          <w:tab w:val="num" w:pos="720"/>
        </w:tabs>
        <w:spacing w:line="240" w:lineRule="auto"/>
        <w:jc w:val="center"/>
        <w:rPr>
          <w:lang w:val="en-US"/>
        </w:rPr>
      </w:pPr>
    </w:p>
    <w:p w14:paraId="1E97F5F1" w14:textId="77777777" w:rsidR="0072696F" w:rsidRPr="002E68D5" w:rsidRDefault="0072696F" w:rsidP="002E68D5">
      <w:pPr>
        <w:tabs>
          <w:tab w:val="num" w:pos="720"/>
        </w:tabs>
        <w:spacing w:line="240" w:lineRule="auto"/>
        <w:rPr>
          <w:rFonts w:ascii="Times New Roman" w:hAnsi="Times New Roman" w:cs="Times New Roman"/>
          <w:sz w:val="24"/>
          <w:szCs w:val="24"/>
        </w:rPr>
      </w:pPr>
      <w:r w:rsidRPr="002E68D5">
        <w:rPr>
          <w:rFonts w:ascii="Times New Roman" w:hAnsi="Times New Roman" w:cs="Times New Roman"/>
          <w:b/>
          <w:sz w:val="24"/>
          <w:szCs w:val="24"/>
        </w:rPr>
        <w:t>ABSTRACT</w:t>
      </w:r>
    </w:p>
    <w:p w14:paraId="46C2CF7B" w14:textId="77777777" w:rsidR="00750FC9" w:rsidRPr="00750FC9" w:rsidRDefault="0072696F" w:rsidP="00750FC9">
      <w:pPr>
        <w:pStyle w:val="NormalWeb"/>
        <w:rPr>
          <w:rFonts w:eastAsia="Times New Roman"/>
          <w:lang w:eastAsia="en-US"/>
        </w:rPr>
      </w:pPr>
      <w:r>
        <w:t>The series of corporate failures and reporting irregularities</w:t>
      </w:r>
      <w:r>
        <w:rPr>
          <w:highlight w:val="yellow"/>
        </w:rPr>
        <w:t>,</w:t>
      </w:r>
      <w:r>
        <w:t xml:space="preserve"> despite the full adoption of International Financial Reporting Standards</w:t>
      </w:r>
      <w:r>
        <w:rPr>
          <w:highlight w:val="yellow"/>
        </w:rPr>
        <w:t>,</w:t>
      </w:r>
      <w:r>
        <w:t xml:space="preserve"> ha</w:t>
      </w:r>
      <w:r>
        <w:rPr>
          <w:highlight w:val="yellow"/>
        </w:rPr>
        <w:t>s</w:t>
      </w:r>
      <w:r>
        <w:t xml:space="preserve"> raised concerns </w:t>
      </w:r>
      <w:r>
        <w:rPr>
          <w:highlight w:val="yellow"/>
        </w:rPr>
        <w:t>ab</w:t>
      </w:r>
      <w:r>
        <w:t>o</w:t>
      </w:r>
      <w:r>
        <w:rPr>
          <w:highlight w:val="yellow"/>
        </w:rPr>
        <w:t>ut</w:t>
      </w:r>
      <w:r>
        <w:t xml:space="preserve"> factors affecting financial reporting quality in Nigeria</w:t>
      </w:r>
      <w:r w:rsidR="00750FC9" w:rsidRPr="00750FC9">
        <w:rPr>
          <w:rFonts w:eastAsia="Times New Roman"/>
        </w:rPr>
        <w:t xml:space="preserve"> </w:t>
      </w:r>
      <w:r w:rsidR="00750FC9" w:rsidRPr="00750FC9">
        <w:rPr>
          <w:rFonts w:eastAsia="Times New Roman"/>
          <w:lang w:eastAsia="en-US"/>
        </w:rPr>
        <w:t>This study investigated the relationship between firm attributes and financial reporting quality among 85 listed non-financial companies in Nigeria over the period 2016–2025. Financial reporting quality was examined through an income-smoothing index, with auditor type, sustainability disclosure practices and board financial expertise as the principal explanatory variables, with firm size as a control. The reported robust regression results indicated positive and statistically significant associations for auditor type and board financial expertise. Under the interpretation of the index adopted in the manuscript, these findings are consistent with lower income smoothing among firms with the relevant audit and board characteristics. In contrast, sustainability disclosure practices showed a positive but statistically non-significant association, providing insufficient evidence of a relationship within the estimated model. Firm size also demonstrated a positive and significant coefficient. External audit arrangements and board-level financial competence therefore warrant attention. Accordingly, listed companies should apply appropriate professional criteria when selecting external auditors and consider the financial expertise available within their boards. Sustainability disclosure practices may also be integrated with financial reporting processes, although their statistical association with income smoothing was not established in this study. These findings should be interpreted as associations rather than causal effects.</w:t>
      </w:r>
    </w:p>
    <w:p w14:paraId="3A9E6C9D" w14:textId="77777777" w:rsidR="002E68D5" w:rsidRPr="002E68D5" w:rsidRDefault="002E68D5" w:rsidP="0072696F">
      <w:pPr>
        <w:tabs>
          <w:tab w:val="num" w:pos="720"/>
        </w:tabs>
        <w:spacing w:line="240" w:lineRule="auto"/>
        <w:jc w:val="both"/>
        <w:rPr>
          <w:rFonts w:ascii="Times New Roman" w:hAnsi="Times New Roman" w:cs="Times New Roman"/>
          <w:sz w:val="24"/>
          <w:szCs w:val="24"/>
        </w:rPr>
      </w:pPr>
      <w:r>
        <w:rPr>
          <w:rFonts w:ascii="Times New Roman" w:hAnsi="Times New Roman" w:cs="Times New Roman"/>
          <w:sz w:val="24"/>
          <w:szCs w:val="24"/>
          <w:lang w:val="en-US"/>
        </w:rPr>
        <w:t>Keywords: Firm attribute</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auditor type, sustainability disclosure, board </w:t>
      </w:r>
      <w:r>
        <w:rPr>
          <w:rFonts w:ascii="Times New Roman" w:hAnsi="Times New Roman" w:cs="Times New Roman"/>
          <w:sz w:val="24"/>
          <w:szCs w:val="24"/>
          <w:highlight w:val="yellow"/>
          <w:lang w:val="en-US"/>
        </w:rPr>
        <w:t xml:space="preserve">financial </w:t>
      </w:r>
      <w:r>
        <w:rPr>
          <w:rFonts w:ascii="Times New Roman" w:hAnsi="Times New Roman" w:cs="Times New Roman"/>
          <w:sz w:val="24"/>
          <w:szCs w:val="24"/>
          <w:lang w:val="en-US"/>
        </w:rPr>
        <w:t>expertise, financial reporting quality</w:t>
      </w:r>
    </w:p>
    <w:p w14:paraId="6AB98F16" w14:textId="77777777" w:rsidR="0072696F" w:rsidRPr="002E68D5" w:rsidRDefault="0072696F" w:rsidP="0072696F">
      <w:pPr>
        <w:rPr>
          <w:rFonts w:ascii="Times New Roman" w:hAnsi="Times New Roman" w:cs="Times New Roman"/>
          <w:b/>
          <w:sz w:val="24"/>
          <w:szCs w:val="24"/>
          <w:lang w:eastAsia="zh-CN"/>
        </w:rPr>
      </w:pPr>
      <w:r w:rsidRPr="002E68D5">
        <w:rPr>
          <w:rFonts w:ascii="Times New Roman" w:hAnsi="Times New Roman" w:cs="Times New Roman"/>
          <w:b/>
          <w:sz w:val="24"/>
          <w:szCs w:val="24"/>
          <w:lang w:eastAsia="zh-CN"/>
        </w:rPr>
        <w:br w:type="page"/>
      </w:r>
    </w:p>
    <w:p w14:paraId="6BB326D7" w14:textId="77777777" w:rsidR="0072696F" w:rsidRPr="002E68D5" w:rsidRDefault="0072696F" w:rsidP="002810CE">
      <w:pPr>
        <w:spacing w:after="0" w:line="480" w:lineRule="auto"/>
        <w:rPr>
          <w:rFonts w:ascii="Times New Roman" w:eastAsia="Times New Roman" w:hAnsi="Times New Roman" w:cs="Times New Roman"/>
          <w:b/>
          <w:sz w:val="24"/>
          <w:szCs w:val="24"/>
          <w:lang w:val="en-US"/>
        </w:rPr>
        <w:sectPr w:rsidR="0072696F" w:rsidRPr="002E68D5" w:rsidSect="0072696F">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1440" w:right="1440" w:bottom="1559" w:left="1440" w:header="709" w:footer="709" w:gutter="0"/>
          <w:pgNumType w:fmt="lowerRoman"/>
          <w:cols w:space="708"/>
          <w:docGrid w:linePitch="360"/>
        </w:sectPr>
      </w:pPr>
    </w:p>
    <w:p w14:paraId="52E5FCDE" w14:textId="77777777" w:rsidR="00294049" w:rsidRPr="002E68D5" w:rsidRDefault="00294049" w:rsidP="00294049">
      <w:pPr>
        <w:pStyle w:val="ListParagraph"/>
        <w:numPr>
          <w:ilvl w:val="0"/>
          <w:numId w:val="18"/>
        </w:numPr>
        <w:spacing w:after="0" w:line="480" w:lineRule="auto"/>
        <w:jc w:val="both"/>
        <w:rPr>
          <w:rFonts w:ascii="Times New Roman" w:eastAsia="Times New Roman" w:hAnsi="Times New Roman" w:cs="Times New Roman"/>
          <w:b/>
          <w:sz w:val="24"/>
          <w:szCs w:val="24"/>
          <w:lang w:val="en-US"/>
        </w:rPr>
      </w:pPr>
      <w:bookmarkStart w:id="1" w:name="_Hlk218226686"/>
      <w:r w:rsidRPr="002E68D5">
        <w:rPr>
          <w:rFonts w:ascii="Times New Roman" w:eastAsia="Times New Roman" w:hAnsi="Times New Roman" w:cs="Times New Roman"/>
          <w:b/>
          <w:sz w:val="24"/>
          <w:szCs w:val="24"/>
          <w:lang w:val="en-US"/>
        </w:rPr>
        <w:lastRenderedPageBreak/>
        <w:t>Introduction</w:t>
      </w:r>
    </w:p>
    <w:p w14:paraId="5C22A6BD" w14:textId="77777777" w:rsidR="00294049" w:rsidRPr="002E68D5" w:rsidRDefault="00294049" w:rsidP="00294049">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Financial reporting is a fundamental mechanism through which companies communicate information about their financial position, performance and prospects to investors, creditors, regulators and other stakeholders. The usefulness of such information depends largely on its quality, particularly its relevance, faithful representation, comparability, verifiability, timeliness and understandability. High-quality financial reporting reduces information asymmetry and enables users of financial statements to make more informed economic decisions. The importance of reporting quality has become even more pronounced as capital markets increasingly demand transparent and reliable information about both financial performance and the broader risks affecting corporate value (I</w:t>
      </w:r>
      <w:r>
        <w:rPr>
          <w:rFonts w:ascii="Times New Roman" w:eastAsia="Times New Roman" w:hAnsi="Times New Roman" w:cs="Times New Roman"/>
          <w:sz w:val="24"/>
          <w:szCs w:val="24"/>
          <w:highlight w:val="yellow"/>
        </w:rPr>
        <w:t>nternational Accounting Standards Board [I</w:t>
      </w:r>
      <w:r>
        <w:rPr>
          <w:rFonts w:ascii="Times New Roman" w:eastAsia="Times New Roman" w:hAnsi="Times New Roman" w:cs="Times New Roman"/>
          <w:sz w:val="24"/>
          <w:szCs w:val="24"/>
        </w:rPr>
        <w:t>ASB</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2018; In</w:t>
      </w:r>
      <w:r>
        <w:rPr>
          <w:rFonts w:ascii="Times New Roman" w:eastAsia="Times New Roman" w:hAnsi="Times New Roman" w:cs="Times New Roman"/>
          <w:sz w:val="24"/>
          <w:szCs w:val="24"/>
          <w:highlight w:val="yellow"/>
        </w:rPr>
        <w:t>tern</w:t>
      </w:r>
      <w:r>
        <w:rPr>
          <w:rFonts w:ascii="Times New Roman" w:eastAsia="Times New Roman" w:hAnsi="Times New Roman" w:cs="Times New Roman"/>
          <w:sz w:val="24"/>
          <w:szCs w:val="24"/>
        </w:rPr>
        <w:t>ation</w:t>
      </w:r>
      <w:r>
        <w:rPr>
          <w:rFonts w:ascii="Times New Roman" w:eastAsia="Times New Roman" w:hAnsi="Times New Roman" w:cs="Times New Roman"/>
          <w:sz w:val="24"/>
          <w:szCs w:val="24"/>
          <w:highlight w:val="yellow"/>
        </w:rPr>
        <w:t>al Sustainability Standards Board [ISSB]</w:t>
      </w:r>
      <w:r>
        <w:rPr>
          <w:rFonts w:ascii="Times New Roman" w:eastAsia="Times New Roman" w:hAnsi="Times New Roman" w:cs="Times New Roman"/>
          <w:sz w:val="24"/>
          <w:szCs w:val="24"/>
        </w:rPr>
        <w:t>, 2023).</w:t>
      </w:r>
    </w:p>
    <w:p w14:paraId="3863958D" w14:textId="77777777" w:rsidR="00294049" w:rsidRPr="002E68D5" w:rsidRDefault="00294049" w:rsidP="00294049">
      <w:pPr>
        <w:spacing w:after="0" w:line="480" w:lineRule="auto"/>
        <w:ind w:firstLine="720"/>
        <w:jc w:val="both"/>
        <w:rPr>
          <w:rFonts w:ascii="Times New Roman" w:eastAsia="Times New Roman" w:hAnsi="Times New Roman" w:cs="Times New Roman"/>
          <w:sz w:val="24"/>
          <w:szCs w:val="24"/>
        </w:rPr>
      </w:pPr>
      <w:r w:rsidRPr="002E68D5">
        <w:rPr>
          <w:rFonts w:ascii="Times New Roman" w:eastAsia="Times New Roman" w:hAnsi="Times New Roman" w:cs="Times New Roman"/>
          <w:sz w:val="24"/>
          <w:szCs w:val="24"/>
        </w:rPr>
        <w:t xml:space="preserve">A major threat to financial reporting quality is the possibility that managers may use their discretion over accounting choices to influence reported earnings. Although managerial discretion is an inherent feature of accrual accounting, its opportunistic use may distort the underlying economic performance of a firm. One manifestation of such behaviour is income smoothing, whereby managers attempt to reduce fluctuations in reported earnings across accounting periods. Excessive income smoothing may conceal the actual volatility of corporate performance and consequently impair the ability of investors and other stakeholders to distinguish sustainable performance from accounting adjustments. </w:t>
      </w:r>
      <w:r w:rsidRPr="002E68D5">
        <w:rPr>
          <w:rFonts w:ascii="Times New Roman" w:hAnsi="Times New Roman" w:cs="Times New Roman"/>
          <w:sz w:val="24"/>
          <w:szCs w:val="24"/>
        </w:rPr>
        <w:t xml:space="preserve">Olowookere et al. (2025) </w:t>
      </w:r>
      <w:r w:rsidRPr="002E68D5">
        <w:rPr>
          <w:rFonts w:ascii="Times New Roman" w:eastAsia="Times New Roman" w:hAnsi="Times New Roman" w:cs="Times New Roman"/>
          <w:sz w:val="24"/>
          <w:szCs w:val="24"/>
        </w:rPr>
        <w:t>identified earnings smoothness among the commonly used attributes of earnings quality, while recent research continues to treat earnings management and income smoothing as important concerns in evaluating the credibility of corporate financial information.</w:t>
      </w:r>
    </w:p>
    <w:p w14:paraId="5F6D037C" w14:textId="77777777" w:rsidR="00294049" w:rsidRPr="00750FC9" w:rsidRDefault="00294049" w:rsidP="00294049">
      <w:pPr>
        <w:spacing w:after="0" w:line="480" w:lineRule="auto"/>
        <w:ind w:firstLine="720"/>
        <w:jc w:val="both"/>
        <w:rPr>
          <w:rFonts w:ascii="Times New Roman" w:eastAsia="Times New Roman" w:hAnsi="Times New Roman" w:cs="Times New Roman"/>
          <w:bCs/>
          <w:sz w:val="24"/>
          <w:szCs w:val="24"/>
        </w:rPr>
      </w:pPr>
      <w:r w:rsidRPr="002E68D5">
        <w:rPr>
          <w:rFonts w:ascii="Times New Roman" w:eastAsia="Times New Roman" w:hAnsi="Times New Roman" w:cs="Times New Roman"/>
          <w:sz w:val="24"/>
          <w:szCs w:val="24"/>
        </w:rPr>
        <w:t xml:space="preserve">This issue is particularly relevant to listed nonfinancial companies in Nigeria because their financial statements constitute an important source of information for investors in the </w:t>
      </w:r>
      <w:r w:rsidRPr="002E68D5">
        <w:rPr>
          <w:rFonts w:ascii="Times New Roman" w:eastAsia="Times New Roman" w:hAnsi="Times New Roman" w:cs="Times New Roman"/>
          <w:sz w:val="24"/>
          <w:szCs w:val="24"/>
        </w:rPr>
        <w:lastRenderedPageBreak/>
        <w:t>Nigerian capital market. The regulatory environment requires listed companies to prepare and disclose financial information in accordance with applicable reporting requirements, while corporate governance mechanisms are expected to strengthen management accountability and the integrity of financial reporting. However, the existence of accounting standards and governance requirements does not automatically eliminate managerial incentives to influence reported earnings. Evidence from Nigerian listed companies indicates that corporate governance and audit characteristics are relevant to earnings management and financial reporting outcomes. For example, Obeitoh et al. (2023) found that board and audit committee characteristics were associated with earnings management among listed non-financial firms in Nigeria, reinforcing the importance of governance mechanisms in constraining managerial reporting discretion.</w:t>
      </w:r>
      <w:r>
        <w:rPr>
          <w:b/>
          <w:highlight w:val="yellow"/>
        </w:rPr>
        <w:t xml:space="preserve"> </w:t>
      </w:r>
      <w:r w:rsidRPr="00750FC9">
        <w:rPr>
          <w:bCs/>
          <w:highlight w:val="yellow"/>
        </w:rPr>
        <w:t>Akpabio and Azubike (2024) examined financial-reporting risks including litigation and investor distrust among Nigerian listed firms. Related evidence from listed Nigerian oil and gas companies suggests that audit committee independence is associated with better financial reporting quality, while the relationships involving committee size and meeting frequency differ (Jinadu et al., 2025).</w:t>
      </w:r>
    </w:p>
    <w:p w14:paraId="742B8DE6" w14:textId="77777777" w:rsidR="00294049" w:rsidRPr="00750FC9" w:rsidRDefault="00294049" w:rsidP="00750FC9">
      <w:pPr>
        <w:tabs>
          <w:tab w:val="left" w:pos="3150"/>
        </w:tabs>
        <w:spacing w:after="0" w:line="480" w:lineRule="auto"/>
        <w:ind w:firstLine="720"/>
        <w:jc w:val="both"/>
        <w:rPr>
          <w:rFonts w:ascii="Times New Roman" w:eastAsia="Times New Roman" w:hAnsi="Times New Roman" w:cs="Times New Roman"/>
          <w:bCs/>
          <w:sz w:val="24"/>
          <w:szCs w:val="24"/>
        </w:rPr>
      </w:pPr>
      <w:bookmarkStart w:id="2" w:name="_Hlk218964243"/>
      <w:bookmarkEnd w:id="2"/>
      <w:r>
        <w:rPr>
          <w:rFonts w:ascii="Times New Roman" w:eastAsia="Times New Roman" w:hAnsi="Times New Roman" w:cs="Times New Roman"/>
          <w:sz w:val="24"/>
          <w:szCs w:val="24"/>
        </w:rPr>
        <w:t xml:space="preserve">One firm attribute that may influence the quality of reported earnings is auditor type. External auditors provide an independent monitoring mechanism intended to enhance the credibility of corporate financial statements. Auditor type, commonly distinguished between Big Four and non-Big Four audit firms, may affect reporting quality because larger audit firms generally possess greater technical resources, specialist expertise and reputational incentives to detect and constrain aggressive accounting practices (DeAngelo, 1981; Bala et al., 2022). Nevertheless, empirical evidence remains inconclusive. Bala et al. (2022), for instance, reported that Big Four auditor status did not consistently reduce income smoothing among firms, although the effectiveness of audit characteristics varied with audit committee accounting expertise. This suggests that auditor type may influence managerial reporting </w:t>
      </w:r>
      <w:r>
        <w:rPr>
          <w:rFonts w:ascii="Times New Roman" w:eastAsia="Times New Roman" w:hAnsi="Times New Roman" w:cs="Times New Roman"/>
          <w:sz w:val="24"/>
          <w:szCs w:val="24"/>
        </w:rPr>
        <w:lastRenderedPageBreak/>
        <w:t xml:space="preserve">behaviour, but its effectiveness as a monitoring mechanism cannot be assumed. The growing emphasis on sustainability disclosure practices also provides a contemporary dimension to the financial reporting quality debate. Corporate reporting has increasingly expanded beyond conventional financial information to include environmental, social and governance-related information. The International Sustainability Standards Board (ISSB) issued IFRS S1 and IFRS S2 in June 2023 to establish a global baseline for sustainability-related financial disclosures, with IFRS S1 requiring information on sustainability-related risks and opportunities that could affect an entity's prospects </w:t>
      </w:r>
      <w:r>
        <w:t>(</w:t>
      </w:r>
      <w:r>
        <w:rPr>
          <w:rStyle w:val="Hyperlink"/>
          <w:color w:val="auto"/>
        </w:rPr>
        <w:t>IS</w:t>
      </w:r>
      <w:r>
        <w:rPr>
          <w:rStyle w:val="Hyperlink"/>
          <w:color w:val="auto"/>
          <w:highlight w:val="yellow"/>
        </w:rPr>
        <w:t>SB</w:t>
      </w:r>
      <w:r>
        <w:t>, 2023).</w:t>
      </w:r>
      <w:r>
        <w:rPr>
          <w:b/>
          <w:highlight w:val="yellow"/>
        </w:rPr>
        <w:t xml:space="preserve"> </w:t>
      </w:r>
      <w:r w:rsidRPr="00750FC9">
        <w:rPr>
          <w:bCs/>
          <w:highlight w:val="yellow"/>
        </w:rPr>
        <w:t>Among listed non-service companies in Nigeria, Chinda and Joseph (2025) found that firm age, size and performance were associated with the quality of social and environmental accounting disclosures; their study did not examine income smoothing directly. Using evidence from China, Cui et al. (2025) found that mandatory ESG disclosure was associated with lower earnings management, whereas voluntary disclosure showed no statistically significant effect.</w:t>
      </w:r>
      <w:r>
        <w:rPr>
          <w:rFonts w:ascii="Times New Roman" w:eastAsia="Times New Roman" w:hAnsi="Times New Roman" w:cs="Times New Roman"/>
          <w:sz w:val="24"/>
          <w:szCs w:val="24"/>
        </w:rPr>
        <w:t xml:space="preserve"> Another important firm attribute is board financial expertise. The board is responsible for overseeing management and monitoring the integrity of the financial reporting process. Directors with accounting and financial expertise are expected to possess greater capacity to understand complex accounting treatments, evaluate management's financial decisions and challenge potentially opportunistic reporting practices. Consequently, board financial expertise can strengthen the monitoring function of the board and potentially constrain income smoothing (Adeyemi &amp; Yahaya, 2024; Obeitoh et al., 2023).</w:t>
      </w:r>
      <w:r>
        <w:rPr>
          <w:b/>
          <w:highlight w:val="yellow"/>
        </w:rPr>
        <w:t xml:space="preserve"> </w:t>
      </w:r>
      <w:r w:rsidRPr="00750FC9">
        <w:rPr>
          <w:bCs/>
          <w:highlight w:val="yellow"/>
        </w:rPr>
        <w:t>Kothari et al. (2026) also reported that higher overall director quality was associated with less earnings management, although their measure of director quality is broader than board financial expertise.</w:t>
      </w:r>
    </w:p>
    <w:p w14:paraId="45EFB94C" w14:textId="77777777" w:rsidR="00294049" w:rsidRPr="002E68D5" w:rsidRDefault="00294049" w:rsidP="0029404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Despite growing evidence on the determinants of financial reporting quality, important gaps remain in the literature. First, a conceptual and empirical gap exists because existing Nigerian studies have largely examined relevant firm and governance attributes separately </w:t>
      </w:r>
      <w:r>
        <w:rPr>
          <w:rFonts w:ascii="Times New Roman" w:hAnsi="Times New Roman" w:cs="Times New Roman"/>
          <w:sz w:val="24"/>
          <w:szCs w:val="24"/>
        </w:rPr>
        <w:lastRenderedPageBreak/>
        <w:t>rather than integrating them within a single framework. For instance, Etuke</w:t>
      </w:r>
      <w:r>
        <w:rPr>
          <w:rFonts w:ascii="Times New Roman" w:hAnsi="Times New Roman" w:cs="Times New Roman"/>
          <w:sz w:val="24"/>
          <w:szCs w:val="24"/>
          <w:highlight w:val="yellow"/>
        </w:rPr>
        <w:t>n</w:t>
      </w:r>
      <w:r>
        <w:rPr>
          <w:rFonts w:ascii="Times New Roman" w:hAnsi="Times New Roman" w:cs="Times New Roman"/>
          <w:sz w:val="24"/>
          <w:szCs w:val="24"/>
        </w:rPr>
        <w:t xml:space="preserve">yin et al. (2025) examined capital structure and ownership structure as determinants of financial reporting quality among listed service firms in Nigeria, while Akosile and Famoyin (2025) focused on audit market structure and financial reporting quality among listed deposit money banks. Similarly, Ekwueme and Aniefor (2019) examined firm age, firm size, board size, ownership structure and financial reporting quality among quoted manufacturing firms, while Atabo et al. (2023) investigated ownership structure and financial reporting quality, with audit firm tenure as a moderating variable, among listed financial service firms. </w:t>
      </w:r>
      <w:r>
        <w:rPr>
          <w:rFonts w:ascii="Times New Roman" w:hAnsi="Times New Roman" w:cs="Times New Roman"/>
          <w:sz w:val="24"/>
          <w:szCs w:val="24"/>
          <w:highlight w:val="yellow"/>
        </w:rPr>
        <w:t>A s</w:t>
      </w:r>
      <w:r>
        <w:rPr>
          <w:rFonts w:ascii="Times New Roman" w:hAnsi="Times New Roman" w:cs="Times New Roman"/>
          <w:sz w:val="24"/>
          <w:szCs w:val="24"/>
        </w:rPr>
        <w:t>ectoral gap is evident</w:t>
      </w:r>
      <w:r>
        <w:rPr>
          <w:rFonts w:ascii="Times New Roman" w:hAnsi="Times New Roman" w:cs="Times New Roman"/>
          <w:sz w:val="24"/>
          <w:szCs w:val="24"/>
          <w:highlight w:val="yellow"/>
        </w:rPr>
        <w:t>,</w:t>
      </w:r>
      <w:r>
        <w:rPr>
          <w:rFonts w:ascii="Times New Roman" w:hAnsi="Times New Roman" w:cs="Times New Roman"/>
          <w:sz w:val="24"/>
          <w:szCs w:val="24"/>
        </w:rPr>
        <w:t xml:space="preserve"> as recent studies have predominantly concentrated on specific sectors, particularly deposit money banks, manufacturing, service and financial service firms (Akosile &amp; Famoyin, 2025; Awodiji et al., 2025; Ekwueme &amp; Aniefor, 2019</w:t>
      </w:r>
      <w:r>
        <w:rPr>
          <w:rFonts w:ascii="Times New Roman" w:hAnsi="Times New Roman" w:cs="Times New Roman"/>
          <w:sz w:val="24"/>
          <w:szCs w:val="24"/>
          <w:highlight w:val="yellow"/>
        </w:rPr>
        <w:t>; Olowookere et al., 2025</w:t>
      </w:r>
      <w:r>
        <w:rPr>
          <w:rFonts w:ascii="Times New Roman" w:hAnsi="Times New Roman" w:cs="Times New Roman"/>
          <w:sz w:val="24"/>
          <w:szCs w:val="24"/>
        </w:rPr>
        <w:t>). Similarly, a methodological and variable-combination gap exists regarding the use of income smoothing as a measure of financial reporting quality. Thus, there is limited empirical evidence on whether sustainability disclosure practices, auditor type and board financial expertise simultaneously explain income smoothing among listed non-financial companies in Nigeria. Against this backdrop, this study examines the effects of auditor type, sustainability disclosure practices and board financial expertise on income smoothing among listed non-financial companies in Nigeria.</w:t>
      </w:r>
    </w:p>
    <w:p w14:paraId="18A4857C" w14:textId="77777777" w:rsidR="00294049" w:rsidRPr="002E68D5" w:rsidRDefault="00294049" w:rsidP="00294049"/>
    <w:bookmarkEnd w:id="1"/>
    <w:p w14:paraId="7AA19699" w14:textId="77777777" w:rsidR="00DD0783" w:rsidRPr="002E68D5" w:rsidRDefault="00DD0783" w:rsidP="0072696F">
      <w:pPr>
        <w:spacing w:after="0" w:line="480" w:lineRule="auto"/>
        <w:jc w:val="both"/>
        <w:rPr>
          <w:rFonts w:ascii="Times New Roman" w:eastAsia="Times New Roman" w:hAnsi="Times New Roman" w:cs="Times New Roman"/>
          <w:b/>
          <w:sz w:val="24"/>
          <w:szCs w:val="24"/>
          <w:lang w:val="en-US"/>
        </w:rPr>
      </w:pPr>
      <w:r w:rsidRPr="002E68D5">
        <w:rPr>
          <w:rFonts w:ascii="Times New Roman" w:eastAsia="Times New Roman" w:hAnsi="Times New Roman" w:cs="Times New Roman"/>
          <w:b/>
          <w:sz w:val="24"/>
          <w:szCs w:val="24"/>
          <w:lang w:val="en-US"/>
        </w:rPr>
        <w:t xml:space="preserve">2.0 Literature review and </w:t>
      </w:r>
      <w:r w:rsidR="007F03C0" w:rsidRPr="002E68D5">
        <w:rPr>
          <w:rFonts w:ascii="Times New Roman" w:eastAsia="Times New Roman" w:hAnsi="Times New Roman" w:cs="Times New Roman"/>
          <w:b/>
          <w:sz w:val="24"/>
          <w:szCs w:val="24"/>
          <w:lang w:val="en-US"/>
        </w:rPr>
        <w:t>theoretical framework</w:t>
      </w:r>
    </w:p>
    <w:p w14:paraId="241B6066" w14:textId="77777777" w:rsidR="0072696F" w:rsidRPr="002E68D5" w:rsidRDefault="0072696F" w:rsidP="0072696F">
      <w:pPr>
        <w:spacing w:after="0" w:line="480" w:lineRule="auto"/>
        <w:jc w:val="both"/>
        <w:rPr>
          <w:rFonts w:ascii="Times New Roman" w:eastAsia="Times New Roman" w:hAnsi="Times New Roman" w:cs="Times New Roman"/>
          <w:b/>
          <w:sz w:val="24"/>
          <w:szCs w:val="24"/>
          <w:lang w:val="en-US"/>
        </w:rPr>
      </w:pPr>
      <w:r w:rsidRPr="002E68D5">
        <w:rPr>
          <w:rFonts w:ascii="Times New Roman" w:eastAsia="Times New Roman" w:hAnsi="Times New Roman" w:cs="Times New Roman"/>
          <w:b/>
          <w:sz w:val="24"/>
          <w:szCs w:val="24"/>
          <w:lang w:val="en-US"/>
        </w:rPr>
        <w:t>Firm attributes</w:t>
      </w:r>
    </w:p>
    <w:p w14:paraId="494DE36C" w14:textId="77777777" w:rsidR="0072696F" w:rsidRPr="002E68D5" w:rsidRDefault="0072696F" w:rsidP="007F03C0">
      <w:pPr>
        <w:spacing w:after="0" w:line="48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Firm attributes represent the distinctive firm-level characteristics that shape corporate behavio</w:t>
      </w:r>
      <w:r>
        <w:rPr>
          <w:rFonts w:ascii="Times New Roman" w:hAnsi="Times New Roman" w:cs="Times New Roman"/>
          <w:sz w:val="24"/>
          <w:szCs w:val="24"/>
          <w:highlight w:val="yellow"/>
        </w:rPr>
        <w:t>u</w:t>
      </w:r>
      <w:r>
        <w:rPr>
          <w:rFonts w:ascii="Times New Roman" w:hAnsi="Times New Roman" w:cs="Times New Roman"/>
          <w:sz w:val="24"/>
          <w:szCs w:val="24"/>
        </w:rPr>
        <w:t xml:space="preserve">r and determine financial and non-financial outcomes. </w:t>
      </w:r>
      <w:r>
        <w:rPr>
          <w:rStyle w:val="Strong"/>
          <w:rFonts w:ascii="Times New Roman" w:hAnsi="Times New Roman" w:cs="Times New Roman"/>
          <w:b w:val="0"/>
          <w:bCs w:val="0"/>
          <w:sz w:val="24"/>
          <w:szCs w:val="24"/>
          <w:highlight w:val="yellow"/>
        </w:rPr>
        <w:t>They</w:t>
      </w:r>
      <w:r>
        <w:rPr>
          <w:rStyle w:val="Strong"/>
          <w:rFonts w:ascii="Times New Roman" w:hAnsi="Times New Roman" w:cs="Times New Roman"/>
          <w:sz w:val="24"/>
          <w:szCs w:val="24"/>
        </w:rPr>
        <w:t xml:space="preserve"> </w:t>
      </w:r>
      <w:r>
        <w:rPr>
          <w:rFonts w:ascii="Times New Roman" w:hAnsi="Times New Roman" w:cs="Times New Roman"/>
          <w:sz w:val="24"/>
          <w:szCs w:val="24"/>
        </w:rPr>
        <w:t>refer to the inherent and observable characteristics of a company that describe its structural, financial, operational, and governance features, and which influence how the firm performs, makes decisions, and is perceived by stakeholders</w:t>
      </w:r>
      <w:r>
        <w:rPr>
          <w:rFonts w:ascii="Times New Roman" w:eastAsia="Times New Roman" w:hAnsi="Times New Roman" w:cs="Times New Roman"/>
          <w:sz w:val="24"/>
          <w:szCs w:val="24"/>
        </w:rPr>
        <w:t xml:space="preserve"> (Etukenyin et al., 2025). In other words, these are the elements that </w:t>
      </w:r>
      <w:r>
        <w:rPr>
          <w:rFonts w:ascii="Times New Roman" w:eastAsia="Times New Roman" w:hAnsi="Times New Roman" w:cs="Times New Roman"/>
          <w:sz w:val="24"/>
          <w:szCs w:val="24"/>
        </w:rPr>
        <w:lastRenderedPageBreak/>
        <w:t>determine whether the financial statements truly represent the company’s financial position and performance, or whether they are distorted by errors, bias or manipulation. Anto and Yusran (2023) examined internal controls, accounting standards, human-resource competence and internal auditing in a local-government reporting setting. For listed companies, relevant determinants can be considered in terms of firm-specific, governance, institutional and environmental factors. Firm-specific attributes are internal characteristics of the reporting entity that shape incentives, resources, and constraints around the preparation and disclosure of financial statements. Typical firm-specific attributes include size, profitability, growth opportunities, leverage, complexity of operations, ownership concentration, and managerial quality (education, tenure and compensation). Rufus and Ologun (2024) found associations of size, profitability and leverage with financial-reporting quality among Nigerian listed firms; evidence from Indonesian local governments also highlights size-related determinants (Yudhanto &amp; Rahmawati, 2025).</w:t>
      </w:r>
      <w:r>
        <w:rPr>
          <w:rFonts w:ascii="Times New Roman" w:eastAsia="Times New Roman" w:hAnsi="Times New Roman" w:cs="Times New Roman"/>
          <w:sz w:val="24"/>
          <w:szCs w:val="24"/>
          <w:lang w:val="en-US"/>
        </w:rPr>
        <w:t xml:space="preserve"> Environmental attributes capture the broader economic, social and ecological context in which firms operate and disclose financial information (Amenaghawon et al., 2021). Th</w:t>
      </w:r>
      <w:r>
        <w:rPr>
          <w:rFonts w:ascii="Times New Roman" w:eastAsia="Times New Roman" w:hAnsi="Times New Roman" w:cs="Times New Roman"/>
          <w:sz w:val="24"/>
          <w:szCs w:val="24"/>
          <w:highlight w:val="yellow"/>
          <w:lang w:val="en-US"/>
        </w:rPr>
        <w:t>e</w:t>
      </w:r>
      <w:r>
        <w:rPr>
          <w:rFonts w:ascii="Times New Roman" w:eastAsia="Times New Roman" w:hAnsi="Times New Roman" w:cs="Times New Roman"/>
          <w:sz w:val="24"/>
          <w:szCs w:val="24"/>
          <w:lang w:val="en-US"/>
        </w:rPr>
        <w:t>s</w:t>
      </w:r>
      <w:r>
        <w:rPr>
          <w:rFonts w:ascii="Times New Roman" w:eastAsia="Times New Roman" w:hAnsi="Times New Roman" w:cs="Times New Roman"/>
          <w:sz w:val="24"/>
          <w:szCs w:val="24"/>
          <w:highlight w:val="yellow"/>
          <w:lang w:val="en-US"/>
        </w:rPr>
        <w:t>e</w:t>
      </w:r>
      <w:r>
        <w:rPr>
          <w:rFonts w:ascii="Times New Roman" w:eastAsia="Times New Roman" w:hAnsi="Times New Roman" w:cs="Times New Roman"/>
          <w:sz w:val="24"/>
          <w:szCs w:val="24"/>
          <w:lang w:val="en-US"/>
        </w:rPr>
        <w:t xml:space="preserve"> include macroeconomic volatility, industry norms, competition intensity, cultural factors (e.g., attitudes toward disclosure), and more recently, environmental, social and governance (ESG) pressures and stakeholder activism. All these factors affect the reporting practices of firms and the extent to which management can transparently faithfully</w:t>
      </w:r>
      <w:r>
        <w:rPr>
          <w:rFonts w:ascii="Times New Roman" w:eastAsia="Times New Roman" w:hAnsi="Times New Roman" w:cs="Times New Roman"/>
          <w:sz w:val="24"/>
          <w:szCs w:val="24"/>
          <w:highlight w:val="yellow"/>
          <w:lang w:val="en-US"/>
        </w:rPr>
        <w:t xml:space="preserve"> disclose</w:t>
      </w:r>
      <w:r>
        <w:rPr>
          <w:rFonts w:ascii="Times New Roman" w:eastAsia="Times New Roman" w:hAnsi="Times New Roman" w:cs="Times New Roman"/>
          <w:sz w:val="24"/>
          <w:szCs w:val="24"/>
          <w:lang w:val="en-US"/>
        </w:rPr>
        <w:t xml:space="preserve"> the economic activities of the entity. The firm attributes examined in this study are auditor type, sustainability disclosure practices and board financial expertise, with firm size included as a control variable.</w:t>
      </w:r>
    </w:p>
    <w:p w14:paraId="4C1A932E" w14:textId="77777777" w:rsidR="00294049" w:rsidRPr="002E68D5" w:rsidRDefault="00294049" w:rsidP="0072696F">
      <w:pPr>
        <w:spacing w:after="0" w:line="480" w:lineRule="auto"/>
        <w:jc w:val="both"/>
        <w:rPr>
          <w:rFonts w:ascii="Times New Roman" w:eastAsia="Times New Roman" w:hAnsi="Times New Roman" w:cs="Times New Roman"/>
          <w:b/>
          <w:sz w:val="6"/>
          <w:szCs w:val="6"/>
          <w:lang w:val="en-US"/>
        </w:rPr>
      </w:pPr>
    </w:p>
    <w:p w14:paraId="328D2999" w14:textId="77777777" w:rsidR="003B2B89" w:rsidRPr="002E68D5" w:rsidRDefault="003B2B89" w:rsidP="003B2B89">
      <w:pPr>
        <w:spacing w:before="240" w:after="0" w:line="480" w:lineRule="auto"/>
        <w:ind w:right="3"/>
        <w:jc w:val="both"/>
        <w:rPr>
          <w:rFonts w:ascii="Times New Roman" w:eastAsia="Times New Roman" w:hAnsi="Times New Roman" w:cs="Times New Roman"/>
          <w:b/>
          <w:bCs/>
          <w:sz w:val="24"/>
          <w:szCs w:val="24"/>
          <w:lang w:val="en-US"/>
        </w:rPr>
      </w:pPr>
      <w:r w:rsidRPr="002E68D5">
        <w:rPr>
          <w:rFonts w:ascii="Times New Roman" w:eastAsia="Times New Roman" w:hAnsi="Times New Roman" w:cs="Times New Roman"/>
          <w:b/>
          <w:bCs/>
          <w:sz w:val="24"/>
          <w:szCs w:val="24"/>
          <w:lang w:val="en-US"/>
        </w:rPr>
        <w:t>Financial reporting quality</w:t>
      </w:r>
    </w:p>
    <w:p w14:paraId="6C819CE9" w14:textId="77777777" w:rsidR="003B2B89" w:rsidRPr="002E68D5" w:rsidRDefault="003B2B89" w:rsidP="003B2B89">
      <w:pPr>
        <w:spacing w:before="240" w:after="0" w:line="480" w:lineRule="auto"/>
        <w:ind w:right="3" w:firstLine="720"/>
        <w:jc w:val="both"/>
        <w:rPr>
          <w:rFonts w:ascii="Times New Roman" w:eastAsia="Times New Roman" w:hAnsi="Times New Roman" w:cs="Times New Roman"/>
          <w:sz w:val="24"/>
          <w:szCs w:val="24"/>
        </w:rPr>
      </w:pPr>
      <w:bookmarkStart w:id="3" w:name="_Hlk213485115"/>
      <w:bookmarkEnd w:id="3"/>
      <w:r>
        <w:rPr>
          <w:rFonts w:ascii="Times New Roman" w:eastAsia="Times New Roman" w:hAnsi="Times New Roman" w:cs="Times New Roman"/>
          <w:sz w:val="24"/>
          <w:szCs w:val="24"/>
        </w:rPr>
        <w:t xml:space="preserve">Financial reporting quality refers to the extent to which financial reports faithfully represent an entity’s underlying economic activities and provide relevant, reliable, comparable, </w:t>
      </w:r>
      <w:r>
        <w:rPr>
          <w:rFonts w:ascii="Times New Roman" w:eastAsia="Times New Roman" w:hAnsi="Times New Roman" w:cs="Times New Roman"/>
          <w:sz w:val="24"/>
          <w:szCs w:val="24"/>
        </w:rPr>
        <w:lastRenderedPageBreak/>
        <w:t>understandable and timely information that enables users to make informed economic decisions (Etukenyin et al.</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2025). High-quality financial reporting reduces information asymmetry between management and external stakeholders by presenting financial information that is free from material misstatement, bias and deliberate manipulation. Dechow et al. (2010) explained that financial reporting quality is multidimensional and can be assessed through various attributes of reported earnings, including earnings persistence, accrual quality, earnings predictability and earnings smoothness. In this regard, income smoothing is often examined as an indicator of reporting quality because excessive or opportunistic smoothing may obscure the firm’s underlying economic performance and reduce the informativeness of reported earnings. Income smoothing is an accounting technique </w:t>
      </w:r>
      <w:r>
        <w:rPr>
          <w:rFonts w:ascii="Times New Roman" w:eastAsia="Times New Roman" w:hAnsi="Times New Roman" w:cs="Times New Roman"/>
          <w:sz w:val="24"/>
          <w:szCs w:val="24"/>
          <w:highlight w:val="yellow"/>
        </w:rPr>
        <w:t xml:space="preserve">that </w:t>
      </w:r>
      <w:r>
        <w:rPr>
          <w:rFonts w:ascii="Times New Roman" w:eastAsia="Times New Roman" w:hAnsi="Times New Roman" w:cs="Times New Roman"/>
          <w:sz w:val="24"/>
          <w:szCs w:val="24"/>
        </w:rPr>
        <w:t xml:space="preserve">companies use to reduce fluctuations in their earnings across different periods, aiming to present more consistent financial results over time. </w:t>
      </w:r>
      <w:r>
        <w:rPr>
          <w:rFonts w:ascii="Times New Roman" w:eastAsia="Times New Roman" w:hAnsi="Times New Roman" w:cs="Times New Roman"/>
          <w:sz w:val="24"/>
          <w:szCs w:val="24"/>
          <w:lang w:val="en-US"/>
        </w:rPr>
        <w:t>When income smoothing is achieved through legitimate accounting discretion (e.g., accrual estimat</w:t>
      </w:r>
      <w:r>
        <w:rPr>
          <w:rFonts w:ascii="Times New Roman" w:eastAsia="Times New Roman" w:hAnsi="Times New Roman" w:cs="Times New Roman"/>
          <w:sz w:val="24"/>
          <w:szCs w:val="24"/>
          <w:highlight w:val="yellow"/>
          <w:lang w:val="en-US"/>
        </w:rPr>
        <w:t>e</w:t>
      </w:r>
      <w:r>
        <w:rPr>
          <w:rFonts w:ascii="Times New Roman" w:eastAsia="Times New Roman" w:hAnsi="Times New Roman" w:cs="Times New Roman"/>
          <w:sz w:val="24"/>
          <w:szCs w:val="24"/>
          <w:lang w:val="en-US"/>
        </w:rPr>
        <w:t xml:space="preserve">s), it may increase perceived stability and reduce perceived risk. However, when it is used opportunistically to manipulate earnings or mislead investors, it reduces financial reporting quality. </w:t>
      </w:r>
      <w:r>
        <w:rPr>
          <w:rFonts w:ascii="Times New Roman" w:eastAsia="Times New Roman" w:hAnsi="Times New Roman" w:cs="Times New Roman"/>
          <w:sz w:val="24"/>
          <w:szCs w:val="24"/>
        </w:rPr>
        <w:t xml:space="preserve">Income smoothing is a form of earnings management and is generally defined as the dampening of fluctuations in reported earnings over time (Ronen &amp; Yaari, 2008). Financial reporting quality is therefore influenced not only by accounting standards and reporting requirements but also by managerial incentives, corporate governance mechanisms, auditing arrangements and disclosure practices. </w:t>
      </w:r>
    </w:p>
    <w:p w14:paraId="436D77AD" w14:textId="77777777" w:rsidR="0072696F" w:rsidRPr="002E68D5" w:rsidRDefault="0072696F" w:rsidP="0072696F">
      <w:pPr>
        <w:spacing w:after="0" w:line="480" w:lineRule="auto"/>
        <w:jc w:val="both"/>
        <w:rPr>
          <w:rFonts w:ascii="Times New Roman" w:eastAsia="Times New Roman" w:hAnsi="Times New Roman" w:cs="Times New Roman"/>
          <w:b/>
          <w:sz w:val="24"/>
          <w:szCs w:val="24"/>
          <w:lang w:val="en-US"/>
        </w:rPr>
      </w:pPr>
      <w:bookmarkStart w:id="4" w:name="_Hlk213474528"/>
      <w:r>
        <w:rPr>
          <w:rFonts w:ascii="Times New Roman" w:eastAsia="Times New Roman" w:hAnsi="Times New Roman" w:cs="Times New Roman"/>
          <w:b/>
          <w:sz w:val="24"/>
          <w:szCs w:val="24"/>
          <w:lang w:val="en-US"/>
        </w:rPr>
        <w:t xml:space="preserve"> Auditor type and income smoothing</w:t>
      </w:r>
    </w:p>
    <w:p w14:paraId="59950A61" w14:textId="77777777" w:rsidR="0072696F" w:rsidRPr="002E68D5" w:rsidRDefault="007F03C0" w:rsidP="007F03C0">
      <w:pPr>
        <w:spacing w:line="480" w:lineRule="auto"/>
        <w:ind w:firstLine="720"/>
        <w:jc w:val="both"/>
        <w:rPr>
          <w:rFonts w:ascii="Times New Roman" w:eastAsia="Times New Roman" w:hAnsi="Times New Roman" w:cs="Times New Roman"/>
          <w:sz w:val="24"/>
          <w:szCs w:val="24"/>
          <w:shd w:val="clear" w:color="auto" w:fill="FFFFFF"/>
          <w:lang w:val="en-US" w:eastAsia="zh-CN"/>
        </w:rPr>
      </w:pPr>
      <w:r>
        <w:rPr>
          <w:rFonts w:ascii="Times New Roman" w:eastAsia="Times New Roman" w:hAnsi="Times New Roman" w:cs="Times New Roman"/>
          <w:sz w:val="24"/>
          <w:szCs w:val="24"/>
        </w:rPr>
        <w:t>Auditor type refers to the classification of external auditors based on characteristics such as size, reputation, speciali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ation, and industry expertise.</w:t>
      </w:r>
      <w:r>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rPr>
        <w:t>The concept is widely used in</w:t>
      </w:r>
      <w:r>
        <w:rPr>
          <w:rFonts w:ascii="Times New Roman" w:eastAsia="Times New Roman" w:hAnsi="Times New Roman" w:cs="Times New Roman"/>
          <w:sz w:val="24"/>
          <w:szCs w:val="24"/>
          <w:highlight w:val="yellow"/>
        </w:rPr>
        <w:t xml:space="preserve"> the</w:t>
      </w:r>
      <w:r>
        <w:rPr>
          <w:rFonts w:ascii="Times New Roman" w:eastAsia="Times New Roman" w:hAnsi="Times New Roman" w:cs="Times New Roman"/>
          <w:sz w:val="24"/>
          <w:szCs w:val="24"/>
        </w:rPr>
        <w:t xml:space="preserve"> auditing and corporate governance literature to differentiate audit firms in terms of quality, structure, and capacity. Auditor type provides insight into the level of assurance a company is likely to receive from its external audit process.</w:t>
      </w:r>
      <w:r>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rPr>
        <w:t>Daferighe</w:t>
      </w:r>
      <w:r>
        <w:rPr>
          <w:rFonts w:ascii="Times New Roman" w:eastAsia="Times New Roman" w:hAnsi="Times New Roman" w:cs="Times New Roman"/>
          <w:sz w:val="24"/>
          <w:szCs w:val="24"/>
          <w:lang w:val="en-US"/>
        </w:rPr>
        <w:t xml:space="preserve"> and</w:t>
      </w:r>
      <w:r>
        <w:rPr>
          <w:rFonts w:ascii="Times New Roman" w:eastAsia="Times New Roman" w:hAnsi="Times New Roman" w:cs="Times New Roman"/>
          <w:sz w:val="24"/>
          <w:szCs w:val="24"/>
        </w:rPr>
        <w:t xml:space="preserve"> George (2020) explain</w:t>
      </w:r>
      <w:r>
        <w:rPr>
          <w:rFonts w:ascii="Times New Roman" w:eastAsia="Times New Roman" w:hAnsi="Times New Roman" w:cs="Times New Roman"/>
          <w:sz w:val="24"/>
          <w:szCs w:val="24"/>
          <w:lang w:val="en-US"/>
        </w:rPr>
        <w:t xml:space="preserve">ed </w:t>
      </w:r>
      <w:r>
        <w:rPr>
          <w:rFonts w:ascii="Times New Roman" w:eastAsia="Times New Roman" w:hAnsi="Times New Roman" w:cs="Times New Roman"/>
          <w:sz w:val="24"/>
          <w:szCs w:val="24"/>
        </w:rPr>
        <w:t xml:space="preserve">auditor </w:t>
      </w:r>
      <w:r>
        <w:rPr>
          <w:rFonts w:ascii="Times New Roman" w:eastAsia="Times New Roman" w:hAnsi="Times New Roman" w:cs="Times New Roman"/>
          <w:sz w:val="24"/>
          <w:szCs w:val="24"/>
        </w:rPr>
        <w:lastRenderedPageBreak/>
        <w:t>type as the classification of audit firms according to their “capacity to detect and report material misstatements</w:t>
      </w:r>
      <w:r>
        <w:rPr>
          <w:rFonts w:ascii="Times New Roman" w:eastAsia="Times New Roman" w:hAnsi="Times New Roman" w:cs="Times New Roman"/>
          <w:sz w:val="24"/>
          <w:szCs w:val="24"/>
          <w:highlight w:val="yellow"/>
          <w:lang w:val="en-US"/>
        </w:rPr>
        <w: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Auditor type plays a role in determining the quality of financial reporting because the competence, independence, size, and reputation of the audit firm influence its ability to detect and constrain earnings manipulation. DeAngelo (1981) theorised that larger audit firms have greater reputational incentives to maintain audit quality, while Bala et al. (2022) examined the conditional relationship between Big Four auditor status and income smoothing in Nigerian firms. Big 4 auditors also possess superior technological tools, industry expertise, professional training systems, and quality control procedures, all of which enhance their effectiveness in detecting material misstatements. Since managers often possess incentives to manipulate earnings or hide poor performance, the external auditor functions as a monitoring mechanism to protect shareholders and other stakeholders</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Yousefi</w:t>
      </w:r>
      <w:r>
        <w:rPr>
          <w:rFonts w:ascii="Times New Roman" w:eastAsia="Times New Roman" w:hAnsi="Times New Roman" w:cs="Times New Roman"/>
          <w:sz w:val="24"/>
          <w:szCs w:val="24"/>
          <w:highlight w:val="yellow"/>
          <w:lang w:val="en-US"/>
        </w:rPr>
        <w:t xml:space="preserve"> </w:t>
      </w:r>
      <w:r>
        <w:rPr>
          <w:rFonts w:ascii="Times New Roman" w:eastAsia="Times New Roman" w:hAnsi="Times New Roman" w:cs="Times New Roman"/>
          <w:sz w:val="24"/>
          <w:szCs w:val="24"/>
        </w:rPr>
        <w:t>Nejad</w:t>
      </w:r>
      <w:r>
        <w:rPr>
          <w:rFonts w:ascii="Times New Roman" w:eastAsia="Times New Roman" w:hAnsi="Times New Roman" w:cs="Times New Roman"/>
          <w:sz w:val="24"/>
          <w:szCs w:val="24"/>
          <w:highlight w:val="yellow"/>
          <w:lang w:val="en-US"/>
        </w:rPr>
        <w:t xml:space="preserve"> et al.</w:t>
      </w:r>
      <w:r>
        <w:rPr>
          <w:rFonts w:ascii="Times New Roman" w:eastAsia="Times New Roman" w:hAnsi="Times New Roman" w:cs="Times New Roman"/>
          <w:sz w:val="24"/>
          <w:szCs w:val="24"/>
          <w:lang w:val="en-US"/>
        </w:rPr>
        <w:t>, 2024)</w:t>
      </w:r>
      <w:r>
        <w:rPr>
          <w:rFonts w:ascii="Times New Roman" w:eastAsia="Times New Roman" w:hAnsi="Times New Roman" w:cs="Times New Roman"/>
          <w:sz w:val="24"/>
          <w:szCs w:val="24"/>
        </w:rPr>
        <w:t>. Big 4 auditors, due to their capacity and reputation concerns, impose higher audit effort, apply more rigorous materiality thresholds, and display lower tolerance for aggressive accounting choices. These characteristics may discourage opportunistic earnings management, although empirical effects depend on institutional and governance conditions.</w:t>
      </w:r>
      <w:r>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rPr>
        <w:t>Smaller audit firms may face different resource constraints; audit committee monitoring is another relevant governance dimension (Akpan &amp; Nsentip, 2019).</w:t>
      </w:r>
      <w:r>
        <w:rPr>
          <w:rFonts w:ascii="Times New Roman" w:eastAsia="Times New Roman" w:hAnsi="Times New Roman" w:cs="Times New Roman"/>
          <w:sz w:val="24"/>
          <w:szCs w:val="24"/>
          <w:lang w:val="en-US"/>
        </w:rPr>
        <w:t xml:space="preserve">  From empirical studies, </w:t>
      </w:r>
      <w:r>
        <w:rPr>
          <w:rFonts w:ascii="Times New Roman" w:eastAsia="Times New Roman" w:hAnsi="Times New Roman" w:cs="Times New Roman"/>
          <w:sz w:val="24"/>
          <w:szCs w:val="24"/>
        </w:rPr>
        <w:t>Olowookere</w:t>
      </w:r>
      <w:r>
        <w:rPr>
          <w:rFonts w:ascii="Times New Roman" w:eastAsia="Times New Roman" w:hAnsi="Times New Roman" w:cs="Times New Roman"/>
          <w:sz w:val="24"/>
          <w:szCs w:val="24"/>
          <w:lang w:val="en-US"/>
        </w:rPr>
        <w:t xml:space="preserve"> et al. (2025) found that </w:t>
      </w:r>
      <w:r>
        <w:rPr>
          <w:rFonts w:ascii="Times New Roman" w:eastAsia="Times New Roman" w:hAnsi="Times New Roman" w:cs="Times New Roman"/>
          <w:sz w:val="24"/>
          <w:szCs w:val="24"/>
        </w:rPr>
        <w:t>the impact of AFS represented by Big 4 on income smoothing was negative, while that of audit tenure was positive but not significant. Awodiji</w:t>
      </w:r>
      <w:r>
        <w:rPr>
          <w:rFonts w:ascii="Times New Roman" w:eastAsia="Times New Roman" w:hAnsi="Times New Roman" w:cs="Times New Roman"/>
          <w:sz w:val="24"/>
          <w:szCs w:val="24"/>
          <w:lang w:val="en-US"/>
        </w:rPr>
        <w:t xml:space="preserve"> et al. (2025) </w:t>
      </w:r>
      <w:r>
        <w:rPr>
          <w:rFonts w:ascii="Times New Roman" w:eastAsia="Times New Roman" w:hAnsi="Times New Roman" w:cs="Times New Roman"/>
          <w:sz w:val="24"/>
          <w:szCs w:val="24"/>
          <w:shd w:val="clear" w:color="auto" w:fill="FFFFFF"/>
          <w:lang w:val="en-US" w:eastAsia="zh-CN"/>
        </w:rPr>
        <w:t xml:space="preserve">showed that Big 4 audit firms do not have a significant advantage over non-Big 4 firms in terms of financial performance. </w:t>
      </w:r>
      <w:r>
        <w:rPr>
          <w:rFonts w:ascii="Times New Roman" w:eastAsia="Times New Roman" w:hAnsi="Times New Roman" w:cs="Times New Roman"/>
          <w:sz w:val="24"/>
          <w:szCs w:val="24"/>
          <w:highlight w:val="yellow"/>
          <w:shd w:val="clear" w:color="auto" w:fill="FFFFFF"/>
          <w:lang w:val="en-US" w:eastAsia="zh-CN"/>
        </w:rPr>
        <w:t>C</w:t>
      </w:r>
      <w:r>
        <w:rPr>
          <w:rFonts w:ascii="Times New Roman" w:eastAsia="Times New Roman" w:hAnsi="Times New Roman" w:cs="Times New Roman"/>
          <w:sz w:val="24"/>
          <w:szCs w:val="24"/>
          <w:shd w:val="clear" w:color="auto" w:fill="FFFFFF"/>
          <w:lang w:val="en-US" w:eastAsia="zh-CN"/>
        </w:rPr>
        <w:t>on</w:t>
      </w:r>
      <w:r>
        <w:rPr>
          <w:rFonts w:ascii="Times New Roman" w:eastAsia="Times New Roman" w:hAnsi="Times New Roman" w:cs="Times New Roman"/>
          <w:sz w:val="24"/>
          <w:szCs w:val="24"/>
          <w:highlight w:val="yellow"/>
          <w:shd w:val="clear" w:color="auto" w:fill="FFFFFF"/>
          <w:lang w:val="en-US" w:eastAsia="zh-CN"/>
        </w:rPr>
        <w:t>ve</w:t>
      </w:r>
      <w:r>
        <w:rPr>
          <w:rFonts w:ascii="Times New Roman" w:eastAsia="Times New Roman" w:hAnsi="Times New Roman" w:cs="Times New Roman"/>
          <w:sz w:val="24"/>
          <w:szCs w:val="24"/>
          <w:shd w:val="clear" w:color="auto" w:fill="FFFFFF"/>
          <w:lang w:val="en-US" w:eastAsia="zh-CN"/>
        </w:rPr>
        <w:t>r</w:t>
      </w:r>
      <w:r>
        <w:rPr>
          <w:rFonts w:ascii="Times New Roman" w:eastAsia="Times New Roman" w:hAnsi="Times New Roman" w:cs="Times New Roman"/>
          <w:sz w:val="24"/>
          <w:szCs w:val="24"/>
          <w:highlight w:val="yellow"/>
          <w:shd w:val="clear" w:color="auto" w:fill="FFFFFF"/>
          <w:lang w:val="en-US" w:eastAsia="zh-CN"/>
        </w:rPr>
        <w:t>sel</w:t>
      </w:r>
      <w:r>
        <w:rPr>
          <w:rFonts w:ascii="Times New Roman" w:eastAsia="Times New Roman" w:hAnsi="Times New Roman" w:cs="Times New Roman"/>
          <w:sz w:val="24"/>
          <w:szCs w:val="24"/>
          <w:shd w:val="clear" w:color="auto" w:fill="FFFFFF"/>
          <w:lang w:val="en-US" w:eastAsia="zh-CN"/>
        </w:rPr>
        <w:t xml:space="preserve">y, </w:t>
      </w:r>
      <w:r>
        <w:rPr>
          <w:rFonts w:ascii="Times New Roman" w:eastAsia="Times New Roman" w:hAnsi="Times New Roman" w:cs="Times New Roman"/>
          <w:sz w:val="24"/>
          <w:szCs w:val="24"/>
        </w:rPr>
        <w:t>Yousefi</w:t>
      </w:r>
      <w:r>
        <w:rPr>
          <w:rFonts w:ascii="Times New Roman" w:eastAsia="Times New Roman" w:hAnsi="Times New Roman" w:cs="Times New Roman"/>
          <w:sz w:val="24"/>
          <w:szCs w:val="24"/>
          <w:highlight w:val="yellow"/>
          <w:lang w:val="en-US"/>
        </w:rPr>
        <w:t xml:space="preserve"> </w:t>
      </w:r>
      <w:r>
        <w:rPr>
          <w:rFonts w:ascii="Times New Roman" w:eastAsia="Times New Roman" w:hAnsi="Times New Roman" w:cs="Times New Roman"/>
          <w:sz w:val="24"/>
          <w:szCs w:val="24"/>
        </w:rPr>
        <w:t>Nejad</w:t>
      </w:r>
      <w:r>
        <w:rPr>
          <w:rFonts w:ascii="Times New Roman" w:eastAsia="Times New Roman" w:hAnsi="Times New Roman" w:cs="Times New Roman"/>
          <w:sz w:val="24"/>
          <w:szCs w:val="24"/>
          <w:highlight w:val="yellow"/>
          <w:lang w:val="en-US"/>
        </w:rPr>
        <w:t xml:space="preserve"> et al.</w:t>
      </w:r>
      <w:r>
        <w:rPr>
          <w:rFonts w:ascii="Times New Roman" w:eastAsia="Times New Roman" w:hAnsi="Times New Roman" w:cs="Times New Roman"/>
          <w:sz w:val="24"/>
          <w:szCs w:val="24"/>
          <w:lang w:val="en-US"/>
        </w:rPr>
        <w:t xml:space="preserve"> (2024) found </w:t>
      </w:r>
      <w:r>
        <w:rPr>
          <w:rFonts w:ascii="Times New Roman" w:eastAsia="Times New Roman" w:hAnsi="Times New Roman" w:cs="Times New Roman"/>
          <w:sz w:val="24"/>
          <w:szCs w:val="24"/>
          <w:shd w:val="clear" w:color="auto" w:fill="FFFFFF"/>
          <w:lang w:val="en-US" w:eastAsia="zh-CN"/>
        </w:rPr>
        <w:t>a negative relationship between Big</w:t>
      </w:r>
      <w:r>
        <w:rPr>
          <w:rFonts w:ascii="Times New Roman" w:eastAsia="Times New Roman" w:hAnsi="Times New Roman" w:cs="Times New Roman"/>
          <w:sz w:val="24"/>
          <w:szCs w:val="24"/>
          <w:highlight w:val="yellow"/>
          <w:shd w:val="clear" w:color="auto" w:fill="FFFFFF"/>
          <w:lang w:val="en-US" w:eastAsia="zh-CN"/>
        </w:rPr>
        <w:t xml:space="preserve"> Four audit firms</w:t>
      </w:r>
      <w:r>
        <w:rPr>
          <w:rFonts w:ascii="Times New Roman" w:eastAsia="Times New Roman" w:hAnsi="Times New Roman" w:cs="Times New Roman"/>
          <w:sz w:val="24"/>
          <w:szCs w:val="24"/>
          <w:shd w:val="clear" w:color="auto" w:fill="FFFFFF"/>
          <w:lang w:val="en-US" w:eastAsia="zh-CN"/>
        </w:rPr>
        <w:t xml:space="preserve"> and financial statement fraud, which may be due to the greater resources, expertise, quality control, scrutiny, reputation, and ethical conduct of Big-4 audit companies. Against this backdrop, </w:t>
      </w:r>
      <w:r>
        <w:rPr>
          <w:rFonts w:ascii="Times New Roman" w:eastAsia="Times New Roman" w:hAnsi="Times New Roman" w:cs="Times New Roman"/>
          <w:sz w:val="24"/>
          <w:szCs w:val="24"/>
          <w:highlight w:val="yellow"/>
          <w:shd w:val="clear" w:color="auto" w:fill="FFFFFF"/>
          <w:lang w:val="en-US" w:eastAsia="zh-CN"/>
        </w:rPr>
        <w:t>the follow</w:t>
      </w:r>
      <w:r>
        <w:rPr>
          <w:rFonts w:ascii="Times New Roman" w:eastAsia="Times New Roman" w:hAnsi="Times New Roman" w:cs="Times New Roman"/>
          <w:sz w:val="24"/>
          <w:szCs w:val="24"/>
          <w:shd w:val="clear" w:color="auto" w:fill="FFFFFF"/>
          <w:lang w:val="en-US" w:eastAsia="zh-CN"/>
        </w:rPr>
        <w:t>i</w:t>
      </w:r>
      <w:r>
        <w:rPr>
          <w:rFonts w:ascii="Times New Roman" w:eastAsia="Times New Roman" w:hAnsi="Times New Roman" w:cs="Times New Roman"/>
          <w:sz w:val="24"/>
          <w:szCs w:val="24"/>
          <w:highlight w:val="yellow"/>
          <w:shd w:val="clear" w:color="auto" w:fill="FFFFFF"/>
          <w:lang w:val="en-US" w:eastAsia="zh-CN"/>
        </w:rPr>
        <w:t>ng</w:t>
      </w:r>
      <w:r>
        <w:rPr>
          <w:rFonts w:ascii="Times New Roman" w:eastAsia="Times New Roman" w:hAnsi="Times New Roman" w:cs="Times New Roman"/>
          <w:sz w:val="24"/>
          <w:szCs w:val="24"/>
          <w:shd w:val="clear" w:color="auto" w:fill="FFFFFF"/>
          <w:lang w:val="en-US" w:eastAsia="zh-CN"/>
        </w:rPr>
        <w:t xml:space="preserve"> hypothesi</w:t>
      </w:r>
      <w:r>
        <w:rPr>
          <w:rFonts w:ascii="Times New Roman" w:eastAsia="Times New Roman" w:hAnsi="Times New Roman" w:cs="Times New Roman"/>
          <w:sz w:val="24"/>
          <w:szCs w:val="24"/>
          <w:highlight w:val="yellow"/>
          <w:shd w:val="clear" w:color="auto" w:fill="FFFFFF"/>
          <w:lang w:val="en-US" w:eastAsia="zh-CN"/>
        </w:rPr>
        <w:t>s was formulat</w:t>
      </w:r>
      <w:r>
        <w:rPr>
          <w:rFonts w:ascii="Times New Roman" w:eastAsia="Times New Roman" w:hAnsi="Times New Roman" w:cs="Times New Roman"/>
          <w:sz w:val="24"/>
          <w:szCs w:val="24"/>
          <w:shd w:val="clear" w:color="auto" w:fill="FFFFFF"/>
          <w:lang w:val="en-US" w:eastAsia="zh-CN"/>
        </w:rPr>
        <w:t>ed:</w:t>
      </w:r>
    </w:p>
    <w:p w14:paraId="45BBFF9C" w14:textId="77777777" w:rsidR="00085E8B" w:rsidRPr="002E68D5" w:rsidRDefault="00085E8B" w:rsidP="00085E8B">
      <w:pPr>
        <w:spacing w:line="480" w:lineRule="auto"/>
        <w:jc w:val="both"/>
        <w:rPr>
          <w:rFonts w:ascii="Times New Roman" w:eastAsia="Times New Roman" w:hAnsi="Times New Roman" w:cs="Times New Roman"/>
          <w:i/>
          <w:iCs/>
          <w:sz w:val="24"/>
          <w:szCs w:val="24"/>
          <w:lang w:val="en-US"/>
        </w:rPr>
      </w:pPr>
      <w:r w:rsidRPr="002E68D5">
        <w:rPr>
          <w:rFonts w:ascii="Times New Roman" w:eastAsia="Times New Roman" w:hAnsi="Times New Roman" w:cs="Times New Roman"/>
          <w:i/>
          <w:iCs/>
          <w:sz w:val="24"/>
          <w:szCs w:val="24"/>
          <w:shd w:val="clear" w:color="auto" w:fill="FFFFFF"/>
          <w:lang w:val="en-US" w:eastAsia="zh-CN"/>
        </w:rPr>
        <w:lastRenderedPageBreak/>
        <w:t>Ho</w:t>
      </w:r>
      <w:r w:rsidRPr="002E68D5">
        <w:rPr>
          <w:rFonts w:ascii="Times New Roman" w:eastAsia="Times New Roman" w:hAnsi="Times New Roman" w:cs="Times New Roman"/>
          <w:i/>
          <w:iCs/>
          <w:sz w:val="24"/>
          <w:szCs w:val="24"/>
          <w:shd w:val="clear" w:color="auto" w:fill="FFFFFF"/>
          <w:vertAlign w:val="subscript"/>
          <w:lang w:val="en-US" w:eastAsia="zh-CN"/>
        </w:rPr>
        <w:t>1</w:t>
      </w:r>
      <w:r w:rsidRPr="002E68D5">
        <w:rPr>
          <w:rFonts w:ascii="Times New Roman" w:eastAsia="Times New Roman" w:hAnsi="Times New Roman" w:cs="Times New Roman"/>
          <w:i/>
          <w:iCs/>
          <w:sz w:val="24"/>
          <w:szCs w:val="24"/>
          <w:shd w:val="clear" w:color="auto" w:fill="FFFFFF"/>
          <w:lang w:val="en-US" w:eastAsia="zh-CN"/>
        </w:rPr>
        <w:t>: Auditor type does not significantly affect income smoothing of listed nonfinancial firms in Nigeria</w:t>
      </w:r>
    </w:p>
    <w:p w14:paraId="5849CB61" w14:textId="77777777" w:rsidR="0072696F" w:rsidRPr="002E68D5" w:rsidRDefault="0072696F" w:rsidP="0072696F">
      <w:pPr>
        <w:spacing w:after="0" w:line="480" w:lineRule="auto"/>
        <w:jc w:val="both"/>
        <w:rPr>
          <w:rFonts w:ascii="Times New Roman" w:eastAsia="Times New Roman" w:hAnsi="Times New Roman" w:cs="Times New Roman"/>
          <w:b/>
          <w:sz w:val="24"/>
          <w:szCs w:val="24"/>
          <w:lang w:val="en-US"/>
        </w:rPr>
      </w:pPr>
      <w:r w:rsidRPr="002E68D5">
        <w:rPr>
          <w:rFonts w:ascii="Times New Roman" w:eastAsia="Times New Roman" w:hAnsi="Times New Roman" w:cs="Times New Roman"/>
          <w:b/>
          <w:sz w:val="24"/>
          <w:szCs w:val="24"/>
          <w:lang w:val="en-US"/>
        </w:rPr>
        <w:t>Sustainability disclosure practices and income smoothing</w:t>
      </w:r>
    </w:p>
    <w:p w14:paraId="220C1B90" w14:textId="77777777" w:rsidR="0072696F" w:rsidRPr="002E68D5" w:rsidRDefault="007F03C0" w:rsidP="00085E8B">
      <w:pPr>
        <w:snapToGrid w:val="0"/>
        <w:spacing w:after="0" w:line="480" w:lineRule="auto"/>
        <w:ind w:firstLine="720"/>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rPr>
        <w:t>According to the Global Reporting Initiative (GRI, 20</w:t>
      </w:r>
      <w:r>
        <w:rPr>
          <w:rFonts w:ascii="Times New Roman" w:eastAsia="Times New Roman" w:hAnsi="Times New Roman" w:cs="Times New Roman"/>
          <w:sz w:val="24"/>
          <w:szCs w:val="24"/>
          <w:lang w:val="en-US"/>
        </w:rPr>
        <w:t>23</w:t>
      </w:r>
      <w:r>
        <w:rPr>
          <w:rFonts w:ascii="Times New Roman" w:eastAsia="Times New Roman" w:hAnsi="Times New Roman" w:cs="Times New Roman"/>
          <w:sz w:val="24"/>
          <w:szCs w:val="24"/>
        </w:rPr>
        <w:t>), sustainability disclosure consists of publicly reporting standardi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ed ESG indicators to enhance organi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ational transparency and accountability.</w:t>
      </w:r>
      <w:r>
        <w:rPr>
          <w:rFonts w:ascii="Times New Roman" w:eastAsia="Times New Roman" w:hAnsi="Times New Roman" w:cs="Times New Roman"/>
          <w:sz w:val="24"/>
          <w:szCs w:val="24"/>
          <w:lang w:val="en-US"/>
        </w:rPr>
        <w:t xml:space="preserve"> According to </w:t>
      </w:r>
      <w:r>
        <w:rPr>
          <w:rFonts w:ascii="Times New Roman" w:hAnsi="Times New Roman" w:cs="Times New Roman"/>
          <w:sz w:val="24"/>
          <w:szCs w:val="24"/>
        </w:rPr>
        <w:t>Etim</w:t>
      </w:r>
      <w:r>
        <w:rPr>
          <w:rFonts w:ascii="Times New Roman" w:hAnsi="Times New Roman" w:cs="Times New Roman"/>
          <w:sz w:val="24"/>
          <w:szCs w:val="24"/>
          <w:lang w:val="en-US"/>
        </w:rPr>
        <w:t xml:space="preserve"> and</w:t>
      </w:r>
      <w:r>
        <w:rPr>
          <w:rFonts w:ascii="Times New Roman" w:hAnsi="Times New Roman" w:cs="Times New Roman"/>
          <w:sz w:val="24"/>
          <w:szCs w:val="24"/>
        </w:rPr>
        <w:t xml:space="preserve"> Akpan</w:t>
      </w:r>
      <w:r>
        <w:rPr>
          <w:rFonts w:ascii="Times New Roman" w:hAnsi="Times New Roman" w:cs="Times New Roman"/>
          <w:sz w:val="24"/>
          <w:szCs w:val="24"/>
          <w:lang w:val="en-US"/>
        </w:rPr>
        <w:t xml:space="preserve"> </w:t>
      </w:r>
      <w:r>
        <w:rPr>
          <w:rFonts w:ascii="Times New Roman" w:hAnsi="Times New Roman" w:cs="Times New Roman"/>
          <w:sz w:val="24"/>
          <w:szCs w:val="24"/>
        </w:rPr>
        <w:t>(2023)</w:t>
      </w:r>
      <w:r>
        <w:rPr>
          <w:rFonts w:ascii="Times New Roman" w:hAnsi="Times New Roman" w:cs="Times New Roman"/>
          <w:sz w:val="24"/>
          <w:szCs w:val="24"/>
          <w:lang w:val="en-US"/>
        </w:rPr>
        <w:t>, i</w:t>
      </w:r>
      <w:r>
        <w:rPr>
          <w:rFonts w:ascii="Times New Roman" w:eastAsia="Times New Roman" w:hAnsi="Times New Roman" w:cs="Times New Roman"/>
          <w:sz w:val="24"/>
          <w:szCs w:val="24"/>
          <w:lang w:val="en-US"/>
        </w:rPr>
        <w:t xml:space="preserve">t </w:t>
      </w:r>
      <w:r>
        <w:rPr>
          <w:rFonts w:ascii="Times New Roman" w:eastAsia="Times New Roman" w:hAnsi="Times New Roman" w:cs="Times New Roman"/>
          <w:sz w:val="24"/>
          <w:szCs w:val="24"/>
        </w:rPr>
        <w:t>refer</w:t>
      </w:r>
      <w:r>
        <w:rPr>
          <w:rFonts w:ascii="Times New Roman" w:eastAsia="Times New Roman" w:hAnsi="Times New Roman" w:cs="Times New Roman"/>
          <w:sz w:val="24"/>
          <w:szCs w:val="24"/>
          <w:lang w:val="en-US"/>
        </w:rPr>
        <w:t xml:space="preserve">s </w:t>
      </w:r>
      <w:r>
        <w:rPr>
          <w:rFonts w:ascii="Times New Roman" w:eastAsia="Times New Roman" w:hAnsi="Times New Roman" w:cs="Times New Roman"/>
          <w:sz w:val="24"/>
          <w:szCs w:val="24"/>
        </w:rPr>
        <w:t xml:space="preserve">to a firm’s voluntary or mandatory communication of its environmental, social, and governance (ESG) activities, impacts, risks, and performance to stakeholders. </w:t>
      </w:r>
      <w:r>
        <w:rPr>
          <w:rFonts w:ascii="Times New Roman" w:eastAsia="Times New Roman" w:hAnsi="Times New Roman" w:cs="Times New Roman"/>
          <w:sz w:val="24"/>
          <w:szCs w:val="24"/>
          <w:highlight w:val="yellow"/>
          <w:lang w:val="en-US"/>
        </w:rPr>
        <w:t>S</w:t>
      </w:r>
      <w:r>
        <w:rPr>
          <w:rFonts w:ascii="Times New Roman" w:eastAsia="Times New Roman" w:hAnsi="Times New Roman" w:cs="Times New Roman"/>
          <w:sz w:val="24"/>
          <w:szCs w:val="24"/>
        </w:rPr>
        <w:t xml:space="preserve">tudies have </w:t>
      </w:r>
      <w:r>
        <w:rPr>
          <w:rFonts w:ascii="Times New Roman" w:eastAsia="Times New Roman" w:hAnsi="Times New Roman" w:cs="Times New Roman"/>
          <w:sz w:val="24"/>
          <w:szCs w:val="24"/>
          <w:highlight w:val="yellow"/>
        </w:rPr>
        <w:t>exami</w:t>
      </w:r>
      <w:r>
        <w:rPr>
          <w:rFonts w:ascii="Times New Roman" w:eastAsia="Times New Roman" w:hAnsi="Times New Roman" w:cs="Times New Roman"/>
          <w:sz w:val="24"/>
          <w:szCs w:val="24"/>
        </w:rPr>
        <w:t>n</w:t>
      </w:r>
      <w:r>
        <w:rPr>
          <w:rFonts w:ascii="Times New Roman" w:eastAsia="Times New Roman" w:hAnsi="Times New Roman" w:cs="Times New Roman"/>
          <w:sz w:val="24"/>
          <w:szCs w:val="24"/>
          <w:highlight w:val="yellow"/>
        </w:rPr>
        <w:t>ed</w:t>
      </w:r>
      <w:r>
        <w:rPr>
          <w:rFonts w:ascii="Times New Roman" w:eastAsia="Times New Roman" w:hAnsi="Times New Roman" w:cs="Times New Roman"/>
          <w:sz w:val="24"/>
          <w:szCs w:val="24"/>
        </w:rPr>
        <w:t xml:space="preserve"> th</w:t>
      </w:r>
      <w:r>
        <w:rPr>
          <w:rFonts w:ascii="Times New Roman" w:eastAsia="Times New Roman" w:hAnsi="Times New Roman" w:cs="Times New Roman"/>
          <w:sz w:val="24"/>
          <w:szCs w:val="24"/>
          <w:highlight w:val="yellow"/>
        </w:rPr>
        <w:t>e rel</w:t>
      </w:r>
      <w:r>
        <w:rPr>
          <w:rFonts w:ascii="Times New Roman" w:eastAsia="Times New Roman" w:hAnsi="Times New Roman" w:cs="Times New Roman"/>
          <w:sz w:val="24"/>
          <w:szCs w:val="24"/>
        </w:rPr>
        <w:t>at</w:t>
      </w:r>
      <w:r>
        <w:rPr>
          <w:rFonts w:ascii="Times New Roman" w:eastAsia="Times New Roman" w:hAnsi="Times New Roman" w:cs="Times New Roman"/>
          <w:sz w:val="24"/>
          <w:szCs w:val="24"/>
          <w:highlight w:val="yellow"/>
        </w:rPr>
        <w:t>ionship</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bet</w:t>
      </w:r>
      <w:r>
        <w:rPr>
          <w:rFonts w:ascii="Times New Roman" w:eastAsia="Times New Roman" w:hAnsi="Times New Roman" w:cs="Times New Roman"/>
          <w:sz w:val="24"/>
          <w:szCs w:val="24"/>
        </w:rPr>
        <w:t>w</w:t>
      </w:r>
      <w:r>
        <w:rPr>
          <w:rFonts w:ascii="Times New Roman" w:eastAsia="Times New Roman" w:hAnsi="Times New Roman" w:cs="Times New Roman"/>
          <w:sz w:val="24"/>
          <w:szCs w:val="24"/>
          <w:highlight w:val="yellow"/>
        </w:rPr>
        <w:t>een</w:t>
      </w:r>
      <w:r>
        <w:rPr>
          <w:rFonts w:ascii="Times New Roman" w:eastAsia="Times New Roman" w:hAnsi="Times New Roman" w:cs="Times New Roman"/>
          <w:sz w:val="24"/>
          <w:szCs w:val="24"/>
        </w:rPr>
        <w:t xml:space="preserve"> sustainability reporting </w:t>
      </w:r>
      <w:r>
        <w:rPr>
          <w:rFonts w:ascii="Times New Roman" w:eastAsia="Times New Roman" w:hAnsi="Times New Roman" w:cs="Times New Roman"/>
          <w:sz w:val="24"/>
          <w:szCs w:val="24"/>
          <w:highlight w:val="yellow"/>
        </w:rPr>
        <w:t>and</w:t>
      </w:r>
      <w:r>
        <w:rPr>
          <w:rFonts w:ascii="Times New Roman" w:eastAsia="Times New Roman" w:hAnsi="Times New Roman" w:cs="Times New Roman"/>
          <w:sz w:val="24"/>
          <w:szCs w:val="24"/>
        </w:rPr>
        <w:t xml:space="preserve"> financial reporting quality, </w:t>
      </w:r>
      <w:r>
        <w:rPr>
          <w:rFonts w:ascii="Times New Roman" w:eastAsia="Times New Roman" w:hAnsi="Times New Roman" w:cs="Times New Roman"/>
          <w:sz w:val="24"/>
          <w:szCs w:val="24"/>
          <w:highlight w:val="yellow"/>
        </w:rPr>
        <w:t>incl</w:t>
      </w:r>
      <w:r>
        <w:rPr>
          <w:rFonts w:ascii="Times New Roman" w:eastAsia="Times New Roman" w:hAnsi="Times New Roman" w:cs="Times New Roman"/>
          <w:sz w:val="24"/>
          <w:szCs w:val="24"/>
        </w:rPr>
        <w:t>ud</w:t>
      </w:r>
      <w:r>
        <w:rPr>
          <w:rFonts w:ascii="Times New Roman" w:eastAsia="Times New Roman" w:hAnsi="Times New Roman" w:cs="Times New Roman"/>
          <w:sz w:val="24"/>
          <w:szCs w:val="24"/>
          <w:highlight w:val="yellow"/>
        </w:rPr>
        <w:t>ing</w:t>
      </w:r>
      <w:r>
        <w:rPr>
          <w:rFonts w:ascii="Times New Roman" w:eastAsia="Times New Roman" w:hAnsi="Times New Roman" w:cs="Times New Roman"/>
          <w:sz w:val="24"/>
          <w:szCs w:val="24"/>
        </w:rPr>
        <w:t xml:space="preserve"> earnings </w:t>
      </w:r>
      <w:r>
        <w:rPr>
          <w:rFonts w:ascii="Times New Roman" w:eastAsia="Times New Roman" w:hAnsi="Times New Roman" w:cs="Times New Roman"/>
          <w:sz w:val="24"/>
          <w:szCs w:val="24"/>
          <w:highlight w:val="yellow"/>
        </w:rPr>
        <w:t>manag</w:t>
      </w:r>
      <w:r>
        <w:rPr>
          <w:rFonts w:ascii="Times New Roman" w:eastAsia="Times New Roman" w:hAnsi="Times New Roman" w:cs="Times New Roman"/>
          <w:sz w:val="24"/>
          <w:szCs w:val="24"/>
        </w:rPr>
        <w:t>e</w:t>
      </w:r>
      <w:r>
        <w:rPr>
          <w:rFonts w:ascii="Times New Roman" w:eastAsia="Times New Roman" w:hAnsi="Times New Roman" w:cs="Times New Roman"/>
          <w:sz w:val="24"/>
          <w:szCs w:val="24"/>
          <w:highlight w:val="yellow"/>
        </w:rPr>
        <w:t>m</w:t>
      </w:r>
      <w:r>
        <w:rPr>
          <w:rFonts w:ascii="Times New Roman" w:eastAsia="Times New Roman" w:hAnsi="Times New Roman" w:cs="Times New Roman"/>
          <w:sz w:val="24"/>
          <w:szCs w:val="24"/>
        </w:rPr>
        <w:t>ent (</w:t>
      </w:r>
      <w:r>
        <w:rPr>
          <w:rFonts w:ascii="Times New Roman" w:eastAsia="Times New Roman" w:hAnsi="Times New Roman" w:cs="Times New Roman"/>
          <w:sz w:val="24"/>
          <w:szCs w:val="24"/>
          <w:highlight w:val="yellow"/>
        </w:rPr>
        <w:t>C</w:t>
      </w:r>
      <w:r>
        <w:rPr>
          <w:rFonts w:ascii="Times New Roman" w:eastAsia="Times New Roman" w:hAnsi="Times New Roman" w:cs="Times New Roman"/>
          <w:sz w:val="24"/>
          <w:szCs w:val="24"/>
        </w:rPr>
        <w:t>ui et al., 20</w:t>
      </w:r>
      <w:r>
        <w:rPr>
          <w:rFonts w:ascii="Times New Roman" w:eastAsia="Times New Roman" w:hAnsi="Times New Roman" w:cs="Times New Roman"/>
          <w:sz w:val="24"/>
          <w:szCs w:val="24"/>
          <w:highlight w:val="yellow"/>
        </w:rPr>
        <w:t>25; Nurullah et al., 2025</w:t>
      </w:r>
      <w:r>
        <w:rPr>
          <w:rFonts w:ascii="Times New Roman" w:eastAsia="Times New Roman" w:hAnsi="Times New Roman" w:cs="Times New Roman"/>
          <w:sz w:val="24"/>
          <w:szCs w:val="24"/>
        </w:rPr>
        <w:t>). O</w:t>
      </w:r>
      <w:r>
        <w:rPr>
          <w:rFonts w:ascii="Times New Roman" w:hAnsi="Times New Roman" w:cs="Times New Roman"/>
          <w:sz w:val="24"/>
          <w:szCs w:val="24"/>
        </w:rPr>
        <w:t>lolade</w:t>
      </w:r>
      <w:r>
        <w:rPr>
          <w:rFonts w:ascii="Times New Roman" w:hAnsi="Times New Roman" w:cs="Times New Roman"/>
          <w:sz w:val="24"/>
          <w:szCs w:val="24"/>
          <w:lang w:val="en-US"/>
        </w:rPr>
        <w:t xml:space="preserve"> and</w:t>
      </w:r>
      <w:r>
        <w:rPr>
          <w:rFonts w:ascii="Times New Roman" w:eastAsia="Times New Roman" w:hAnsi="Times New Roman" w:cs="Times New Roman"/>
          <w:sz w:val="24"/>
          <w:szCs w:val="24"/>
        </w:rPr>
        <w:t xml:space="preserve"> A</w:t>
      </w:r>
      <w:r>
        <w:rPr>
          <w:rFonts w:ascii="Times New Roman" w:hAnsi="Times New Roman" w:cs="Times New Roman"/>
          <w:sz w:val="24"/>
          <w:szCs w:val="24"/>
        </w:rPr>
        <w:t>dekanmi</w:t>
      </w:r>
      <w:r>
        <w:rPr>
          <w:rFonts w:ascii="Times New Roman" w:hAnsi="Times New Roman" w:cs="Times New Roman"/>
          <w:sz w:val="24"/>
          <w:szCs w:val="24"/>
          <w:lang w:val="en-US"/>
        </w:rPr>
        <w:t xml:space="preserve"> (20</w:t>
      </w:r>
      <w:r w:rsidR="000426D3">
        <w:rPr>
          <w:rFonts w:ascii="Times New Roman" w:hAnsi="Times New Roman" w:cs="Times New Roman"/>
          <w:sz w:val="24"/>
          <w:szCs w:val="24"/>
          <w:lang w:val="en-US"/>
        </w:rPr>
        <w:t>19</w:t>
      </w:r>
      <w:r>
        <w:rPr>
          <w:rFonts w:ascii="Times New Roman" w:hAnsi="Times New Roman" w:cs="Times New Roman"/>
          <w:sz w:val="24"/>
          <w:szCs w:val="24"/>
          <w:lang w:val="en-US"/>
        </w:rPr>
        <w:t xml:space="preserve">) </w:t>
      </w:r>
      <w:r>
        <w:rPr>
          <w:rFonts w:ascii="Times New Roman" w:eastAsia="Times New Roman" w:hAnsi="Times New Roman" w:cs="Times New Roman"/>
          <w:sz w:val="24"/>
          <w:szCs w:val="24"/>
        </w:rPr>
        <w:t>further emphasi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e that sustainability disclosure encompasses practices that align corporate governance structures with stakeholder expectations, particularly regarding transparency in reporting environmental and social impacts.</w:t>
      </w:r>
      <w:r>
        <w:rPr>
          <w:rFonts w:ascii="Times New Roman" w:eastAsia="Times New Roman" w:hAnsi="Times New Roman" w:cs="Times New Roman"/>
          <w:sz w:val="24"/>
          <w:szCs w:val="24"/>
          <w:lang w:val="en-US"/>
        </w:rPr>
        <w:t xml:space="preserve"> Empirical evidence on sustainability disclosure and earnings management is mixed, with results varying across disclosure dimensions and settings. For instance,</w:t>
      </w:r>
      <w:r>
        <w:rPr>
          <w:rFonts w:ascii="Times New Roman" w:eastAsia="Times New Roman" w:hAnsi="Times New Roman" w:cs="Times New Roman"/>
          <w:sz w:val="24"/>
          <w:szCs w:val="24"/>
        </w:rPr>
        <w:t xml:space="preserve"> Nurullah</w:t>
      </w:r>
      <w:r>
        <w:rPr>
          <w:rFonts w:ascii="Times New Roman" w:eastAsia="Times New Roman" w:hAnsi="Times New Roman" w:cs="Times New Roman"/>
          <w:sz w:val="24"/>
          <w:szCs w:val="24"/>
          <w:lang w:val="en-US"/>
        </w:rPr>
        <w:t xml:space="preserve"> et al.</w:t>
      </w:r>
      <w:r>
        <w:rPr>
          <w:rFonts w:ascii="Times New Roman" w:eastAsia="Times New Roman" w:hAnsi="Times New Roman" w:cs="Times New Roman"/>
          <w:sz w:val="24"/>
          <w:szCs w:val="24"/>
        </w:rPr>
        <w:t xml:space="preserve"> (2025)</w:t>
      </w:r>
      <w:r>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highlight w:val="yellow"/>
        </w:rPr>
        <w:t xml:space="preserve">examined Indonesian corporations and </w:t>
      </w:r>
      <w:r>
        <w:rPr>
          <w:rFonts w:ascii="Times New Roman" w:eastAsia="Times New Roman" w:hAnsi="Times New Roman" w:cs="Times New Roman"/>
          <w:sz w:val="24"/>
          <w:szCs w:val="24"/>
        </w:rPr>
        <w:t xml:space="preserve">found </w:t>
      </w:r>
      <w:r>
        <w:rPr>
          <w:rFonts w:ascii="Times New Roman" w:eastAsia="Times New Roman" w:hAnsi="Times New Roman" w:cs="Times New Roman"/>
          <w:sz w:val="24"/>
          <w:szCs w:val="24"/>
          <w:highlight w:val="yellow"/>
        </w:rPr>
        <w:t>no s</w:t>
      </w:r>
      <w:r>
        <w:rPr>
          <w:rFonts w:ascii="Times New Roman" w:eastAsia="Times New Roman" w:hAnsi="Times New Roman" w:cs="Times New Roman"/>
          <w:sz w:val="24"/>
          <w:szCs w:val="24"/>
        </w:rPr>
        <w:t>tat</w:t>
      </w:r>
      <w:r>
        <w:rPr>
          <w:rFonts w:ascii="Times New Roman" w:eastAsia="Times New Roman" w:hAnsi="Times New Roman" w:cs="Times New Roman"/>
          <w:sz w:val="24"/>
          <w:szCs w:val="24"/>
          <w:highlight w:val="yellow"/>
        </w:rPr>
        <w:t>istically</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ig</w:t>
      </w:r>
      <w:r>
        <w:rPr>
          <w:rFonts w:ascii="Times New Roman" w:eastAsia="Times New Roman" w:hAnsi="Times New Roman" w:cs="Times New Roman"/>
          <w:sz w:val="24"/>
          <w:szCs w:val="24"/>
          <w:highlight w:val="yellow"/>
        </w:rPr>
        <w:t>n</w:t>
      </w:r>
      <w:r>
        <w:rPr>
          <w:rFonts w:ascii="Times New Roman" w:eastAsia="Times New Roman" w:hAnsi="Times New Roman" w:cs="Times New Roman"/>
          <w:sz w:val="24"/>
          <w:szCs w:val="24"/>
        </w:rPr>
        <w:t>i</w:t>
      </w:r>
      <w:r>
        <w:rPr>
          <w:rFonts w:ascii="Times New Roman" w:eastAsia="Times New Roman" w:hAnsi="Times New Roman" w:cs="Times New Roman"/>
          <w:sz w:val="24"/>
          <w:szCs w:val="24"/>
          <w:highlight w:val="yellow"/>
        </w:rPr>
        <w:t>fic</w:t>
      </w:r>
      <w:r>
        <w:rPr>
          <w:rFonts w:ascii="Times New Roman" w:eastAsia="Times New Roman" w:hAnsi="Times New Roman" w:cs="Times New Roman"/>
          <w:sz w:val="24"/>
          <w:szCs w:val="24"/>
        </w:rPr>
        <w:t>ant r</w:t>
      </w:r>
      <w:r>
        <w:rPr>
          <w:rFonts w:ascii="Times New Roman" w:eastAsia="Times New Roman" w:hAnsi="Times New Roman" w:cs="Times New Roman"/>
          <w:sz w:val="24"/>
          <w:szCs w:val="24"/>
          <w:highlight w:val="yellow"/>
        </w:rPr>
        <w:t>elati</w:t>
      </w:r>
      <w:r>
        <w:rPr>
          <w:rFonts w:ascii="Times New Roman" w:eastAsia="Times New Roman" w:hAnsi="Times New Roman" w:cs="Times New Roman"/>
          <w:sz w:val="24"/>
          <w:szCs w:val="24"/>
        </w:rPr>
        <w:t>o</w:t>
      </w:r>
      <w:r>
        <w:rPr>
          <w:rFonts w:ascii="Times New Roman" w:eastAsia="Times New Roman" w:hAnsi="Times New Roman" w:cs="Times New Roman"/>
          <w:sz w:val="24"/>
          <w:szCs w:val="24"/>
          <w:highlight w:val="yellow"/>
        </w:rPr>
        <w:t xml:space="preserve">nship </w:t>
      </w:r>
      <w:r>
        <w:rPr>
          <w:rFonts w:ascii="Times New Roman" w:eastAsia="Times New Roman" w:hAnsi="Times New Roman" w:cs="Times New Roman"/>
          <w:sz w:val="24"/>
          <w:szCs w:val="24"/>
        </w:rPr>
        <w:t>b</w:t>
      </w:r>
      <w:r>
        <w:rPr>
          <w:rFonts w:ascii="Times New Roman" w:eastAsia="Times New Roman" w:hAnsi="Times New Roman" w:cs="Times New Roman"/>
          <w:sz w:val="24"/>
          <w:szCs w:val="24"/>
          <w:highlight w:val="yellow"/>
        </w:rPr>
        <w:t>e</w:t>
      </w:r>
      <w:r>
        <w:rPr>
          <w:rFonts w:ascii="Times New Roman" w:eastAsia="Times New Roman" w:hAnsi="Times New Roman" w:cs="Times New Roman"/>
          <w:sz w:val="24"/>
          <w:szCs w:val="24"/>
        </w:rPr>
        <w:t>t</w:t>
      </w:r>
      <w:r>
        <w:rPr>
          <w:rFonts w:ascii="Times New Roman" w:eastAsia="Times New Roman" w:hAnsi="Times New Roman" w:cs="Times New Roman"/>
          <w:sz w:val="24"/>
          <w:szCs w:val="24"/>
          <w:highlight w:val="yellow"/>
        </w:rPr>
        <w:t>ween</w:t>
      </w:r>
      <w:r>
        <w:rPr>
          <w:rFonts w:ascii="Times New Roman" w:eastAsia="Times New Roman" w:hAnsi="Times New Roman" w:cs="Times New Roman"/>
          <w:sz w:val="24"/>
          <w:szCs w:val="24"/>
        </w:rPr>
        <w:t xml:space="preserve"> sustainability rep</w:t>
      </w:r>
      <w:r>
        <w:rPr>
          <w:rFonts w:ascii="Times New Roman" w:eastAsia="Times New Roman" w:hAnsi="Times New Roman" w:cs="Times New Roman"/>
          <w:sz w:val="24"/>
          <w:szCs w:val="24"/>
          <w:highlight w:val="yellow"/>
        </w:rPr>
        <w:t>o</w:t>
      </w:r>
      <w:r>
        <w:rPr>
          <w:rFonts w:ascii="Times New Roman" w:eastAsia="Times New Roman" w:hAnsi="Times New Roman" w:cs="Times New Roman"/>
          <w:sz w:val="24"/>
          <w:szCs w:val="24"/>
        </w:rPr>
        <w:t xml:space="preserve">rting </w:t>
      </w:r>
      <w:r>
        <w:rPr>
          <w:rFonts w:ascii="Times New Roman" w:eastAsia="Times New Roman" w:hAnsi="Times New Roman" w:cs="Times New Roman"/>
          <w:sz w:val="24"/>
          <w:szCs w:val="24"/>
          <w:highlight w:val="yellow"/>
        </w:rPr>
        <w:t>an</w:t>
      </w:r>
      <w:r>
        <w:rPr>
          <w:rFonts w:ascii="Times New Roman" w:eastAsia="Times New Roman" w:hAnsi="Times New Roman" w:cs="Times New Roman"/>
          <w:sz w:val="24"/>
          <w:szCs w:val="24"/>
        </w:rPr>
        <w:t>d financial reporting quality.</w:t>
      </w:r>
      <w:r>
        <w:rPr>
          <w:rFonts w:ascii="Times New Roman" w:eastAsia="Times New Roman" w:hAnsi="Times New Roman" w:cs="Times New Roman"/>
          <w:sz w:val="24"/>
          <w:szCs w:val="24"/>
          <w:lang w:val="en-US"/>
        </w:rPr>
        <w:t xml:space="preserve"> </w:t>
      </w:r>
      <w:r>
        <w:rPr>
          <w:rFonts w:ascii="Times New Roman" w:hAnsi="Times New Roman" w:cs="Times New Roman"/>
          <w:sz w:val="24"/>
          <w:szCs w:val="24"/>
        </w:rPr>
        <w:t>Adegbayibi</w:t>
      </w:r>
      <w:r>
        <w:rPr>
          <w:rFonts w:ascii="Times New Roman" w:hAnsi="Times New Roman" w:cs="Times New Roman"/>
          <w:sz w:val="24"/>
          <w:szCs w:val="24"/>
          <w:lang w:val="en-US"/>
        </w:rPr>
        <w:t xml:space="preserve"> et al. (2024) </w:t>
      </w:r>
      <w:r>
        <w:rPr>
          <w:rFonts w:ascii="Times New Roman" w:eastAsia="Times New Roman" w:hAnsi="Times New Roman" w:cs="Times New Roman"/>
          <w:sz w:val="24"/>
          <w:szCs w:val="24"/>
          <w:highlight w:val="yellow"/>
        </w:rPr>
        <w:t>foun</w:t>
      </w:r>
      <w:r>
        <w:rPr>
          <w:rFonts w:ascii="Times New Roman" w:eastAsia="Times New Roman" w:hAnsi="Times New Roman" w:cs="Times New Roman"/>
          <w:sz w:val="24"/>
          <w:szCs w:val="24"/>
        </w:rPr>
        <w:t>d that environmental sustainability reporting has a positive and insignificant effect on the financial reporting quality of listed consumer goods firms in Nigeria. Amenaghawon et al. (2021) reported a significant association for environmental disclosure but an insignificant relationship for social disclosure in a sample of Nigerian listed firms. Erin et al. (2022) also examined corporate governance characteristics in relation to the quality of sustainability reporting in Nigeria.</w:t>
      </w:r>
      <w:r>
        <w:rPr>
          <w:rFonts w:ascii="Times New Roman" w:eastAsia="Times New Roman" w:hAnsi="Times New Roman" w:cs="Times New Roman"/>
          <w:sz w:val="24"/>
          <w:szCs w:val="24"/>
          <w:lang w:val="en-GB"/>
        </w:rPr>
        <w:t xml:space="preserve"> </w:t>
      </w:r>
      <w:r>
        <w:rPr>
          <w:rFonts w:ascii="Times New Roman" w:hAnsi="Times New Roman" w:cs="Times New Roman"/>
          <w:sz w:val="24"/>
          <w:szCs w:val="24"/>
          <w:lang w:val="en-US"/>
        </w:rPr>
        <w:t>Malo-Alain et al. (2019) found a significant negative association of sustainability disclosure with discretionary accruals and information asymmetry in a Saudi Arabian sample.</w:t>
      </w:r>
      <w:r>
        <w:rPr>
          <w:rFonts w:ascii="Times New Roman" w:eastAsia="Times New Roman" w:hAnsi="Times New Roman" w:cs="Times New Roman"/>
          <w:sz w:val="24"/>
          <w:szCs w:val="24"/>
          <w:lang w:val="en-GB"/>
        </w:rPr>
        <w:t xml:space="preserve"> Thus, </w:t>
      </w:r>
      <w:r>
        <w:rPr>
          <w:rFonts w:ascii="Times New Roman" w:eastAsia="Times New Roman" w:hAnsi="Times New Roman" w:cs="Times New Roman"/>
          <w:sz w:val="24"/>
          <w:szCs w:val="24"/>
          <w:highlight w:val="yellow"/>
          <w:lang w:val="en-GB"/>
        </w:rPr>
        <w:t>the follow</w:t>
      </w:r>
      <w:r>
        <w:rPr>
          <w:rFonts w:ascii="Times New Roman" w:eastAsia="Times New Roman" w:hAnsi="Times New Roman" w:cs="Times New Roman"/>
          <w:sz w:val="24"/>
          <w:szCs w:val="24"/>
          <w:lang w:val="en-GB"/>
        </w:rPr>
        <w:t>i</w:t>
      </w:r>
      <w:r>
        <w:rPr>
          <w:rFonts w:ascii="Times New Roman" w:eastAsia="Times New Roman" w:hAnsi="Times New Roman" w:cs="Times New Roman"/>
          <w:sz w:val="24"/>
          <w:szCs w:val="24"/>
          <w:highlight w:val="yellow"/>
          <w:lang w:val="en-GB"/>
        </w:rPr>
        <w:t>ng</w:t>
      </w:r>
      <w:r>
        <w:rPr>
          <w:rFonts w:ascii="Times New Roman" w:eastAsia="Times New Roman" w:hAnsi="Times New Roman" w:cs="Times New Roman"/>
          <w:sz w:val="24"/>
          <w:szCs w:val="24"/>
          <w:lang w:val="en-GB"/>
        </w:rPr>
        <w:t xml:space="preserve"> hypothesi</w:t>
      </w:r>
      <w:r>
        <w:rPr>
          <w:rFonts w:ascii="Times New Roman" w:eastAsia="Times New Roman" w:hAnsi="Times New Roman" w:cs="Times New Roman"/>
          <w:sz w:val="24"/>
          <w:szCs w:val="24"/>
          <w:highlight w:val="yellow"/>
          <w:lang w:val="en-GB"/>
        </w:rPr>
        <w:t>s was formulat</w:t>
      </w:r>
      <w:r>
        <w:rPr>
          <w:rFonts w:ascii="Times New Roman" w:eastAsia="Times New Roman" w:hAnsi="Times New Roman" w:cs="Times New Roman"/>
          <w:sz w:val="24"/>
          <w:szCs w:val="24"/>
          <w:lang w:val="en-GB"/>
        </w:rPr>
        <w:t>ed</w:t>
      </w:r>
      <w:r>
        <w:rPr>
          <w:rFonts w:ascii="Times New Roman" w:eastAsia="Times New Roman" w:hAnsi="Times New Roman" w:cs="Times New Roman"/>
          <w:sz w:val="24"/>
          <w:szCs w:val="24"/>
          <w:highlight w:val="yellow"/>
          <w:lang w:val="en-GB"/>
        </w:rPr>
        <w:t>:</w:t>
      </w:r>
    </w:p>
    <w:p w14:paraId="458A1630" w14:textId="77777777" w:rsidR="00085E8B" w:rsidRPr="002E68D5" w:rsidRDefault="00085E8B" w:rsidP="00085E8B">
      <w:pPr>
        <w:spacing w:line="480" w:lineRule="auto"/>
        <w:jc w:val="both"/>
        <w:rPr>
          <w:rFonts w:ascii="Times New Roman" w:eastAsia="Times New Roman" w:hAnsi="Times New Roman" w:cs="Times New Roman"/>
          <w:i/>
          <w:iCs/>
          <w:sz w:val="24"/>
          <w:szCs w:val="24"/>
          <w:lang w:val="en-US"/>
        </w:rPr>
      </w:pPr>
      <w:r w:rsidRPr="002E68D5">
        <w:rPr>
          <w:rFonts w:ascii="Times New Roman" w:eastAsia="Times New Roman" w:hAnsi="Times New Roman" w:cs="Times New Roman"/>
          <w:i/>
          <w:iCs/>
          <w:sz w:val="24"/>
          <w:szCs w:val="24"/>
          <w:shd w:val="clear" w:color="auto" w:fill="FFFFFF"/>
          <w:lang w:val="en-US" w:eastAsia="zh-CN"/>
        </w:rPr>
        <w:lastRenderedPageBreak/>
        <w:t>Ho</w:t>
      </w:r>
      <w:r w:rsidRPr="002E68D5">
        <w:rPr>
          <w:rFonts w:ascii="Times New Roman" w:eastAsia="Times New Roman" w:hAnsi="Times New Roman" w:cs="Times New Roman"/>
          <w:i/>
          <w:iCs/>
          <w:sz w:val="24"/>
          <w:szCs w:val="24"/>
          <w:shd w:val="clear" w:color="auto" w:fill="FFFFFF"/>
          <w:vertAlign w:val="subscript"/>
          <w:lang w:val="en-US" w:eastAsia="zh-CN"/>
        </w:rPr>
        <w:t>2</w:t>
      </w:r>
      <w:r w:rsidRPr="002E68D5">
        <w:rPr>
          <w:rFonts w:ascii="Times New Roman" w:eastAsia="Times New Roman" w:hAnsi="Times New Roman" w:cs="Times New Roman"/>
          <w:i/>
          <w:iCs/>
          <w:sz w:val="24"/>
          <w:szCs w:val="24"/>
          <w:shd w:val="clear" w:color="auto" w:fill="FFFFFF"/>
          <w:lang w:val="en-US" w:eastAsia="zh-CN"/>
        </w:rPr>
        <w:t>: Sustainability disclosure practice does not significantly affect income smoothing of listed nonfinancial firms in Nigeria</w:t>
      </w:r>
    </w:p>
    <w:p w14:paraId="5D821616" w14:textId="77777777" w:rsidR="0072696F" w:rsidRPr="002E68D5" w:rsidRDefault="0072696F" w:rsidP="0072696F">
      <w:pPr>
        <w:snapToGrid w:val="0"/>
        <w:spacing w:after="0" w:line="480" w:lineRule="auto"/>
        <w:jc w:val="both"/>
        <w:rPr>
          <w:rFonts w:ascii="Times New Roman" w:eastAsia="Times New Roman" w:hAnsi="Times New Roman" w:cs="Times New Roman"/>
          <w:b/>
          <w:sz w:val="24"/>
          <w:szCs w:val="24"/>
          <w:lang w:val="en-US"/>
        </w:rPr>
      </w:pPr>
      <w:r w:rsidRPr="002E68D5">
        <w:rPr>
          <w:rFonts w:ascii="Times New Roman" w:eastAsia="Times New Roman" w:hAnsi="Times New Roman" w:cs="Times New Roman"/>
          <w:b/>
          <w:sz w:val="24"/>
          <w:szCs w:val="24"/>
          <w:lang w:val="en-US"/>
        </w:rPr>
        <w:t>Board financial expertise and income smoothing</w:t>
      </w:r>
    </w:p>
    <w:p w14:paraId="62964459" w14:textId="77777777" w:rsidR="0072696F" w:rsidRPr="002E68D5" w:rsidRDefault="0068604C" w:rsidP="0072696F">
      <w:pPr>
        <w:snapToGrid w:val="0"/>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Board financial expertise refers to the possession of specialized financial knowledge and skills by members of a firm’s board of directors, enabling them to critically evaluate financial information, oversee accounting practices, and ensure the integrity of financial reporting.</w:t>
      </w:r>
      <w:r>
        <w:rPr>
          <w:rFonts w:ascii="Times New Roman" w:eastAsia="Times New Roman" w:hAnsi="Times New Roman" w:cs="Times New Roman"/>
          <w:sz w:val="24"/>
          <w:szCs w:val="24"/>
          <w:lang w:val="en-US"/>
        </w:rPr>
        <w:t xml:space="preserve"> Alshareef and Sulimany (2024) found a positive relationship between board financial expertise and financial sustainability among Saudi-listed firms; in the context of financial reporting, relevant expertise may similarly strengthen oversight of accounting processes, though the outcomes differ.</w:t>
      </w:r>
      <w:r>
        <w:rPr>
          <w:rFonts w:ascii="Times New Roman" w:eastAsia="Times New Roman" w:hAnsi="Times New Roman" w:cs="Times New Roman"/>
          <w:sz w:val="24"/>
          <w:szCs w:val="24"/>
        </w:rPr>
        <w:t xml:space="preserve"> Boards with relevant financial expertise may be better equipped to scrutinise complex estimates and monitor internal controls (Adeyemi &amp; Yahaya, 2024). Related Nigerian evidence also associates board independence and meeting practices with the timeliness of financial reporting (Abe et al., 2025).</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In emerging markets such as Nigeria, financial expertise is seen as a vital governance mechanism because it strengthens board monitoring and reduces information asymmetry, ultimately improving the reliability, accuracy and transparency of financial reports (Adeyemi</w:t>
      </w:r>
      <w:r>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lang w:val="en-US"/>
        </w:rPr>
        <w:t>&amp;</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Yahaya</w:t>
      </w:r>
      <w:r>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rPr>
        <w:t>2024).</w:t>
      </w:r>
    </w:p>
    <w:p w14:paraId="39C8FBED" w14:textId="77777777" w:rsidR="0072696F" w:rsidRPr="002E68D5" w:rsidRDefault="0072696F" w:rsidP="0068604C">
      <w:pPr>
        <w:snapToGrid w:val="0"/>
        <w:spacing w:after="0"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Studies of board financial expertise and reporting outcomes indicate potentially beneficial, but context-dependent, associations.</w:t>
      </w:r>
      <w:r>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rPr>
        <w:t>Adeyemi and Yahaya (2024) examined the relationship between board financial expertise and earnings quality in Nigerian listed companies. Etuk et al. (2025) found a positive association of audit committee financial expertise with the Eckel income-smoothing index among listed Nigerian deposit money banks; this relates to audit committees rather than the full board.</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The Nigerian listed-company evidence discussed by Adeyemi and Yahaya (2024) also provides a more direct basis for the board-financial-expertise hypothesis than studies of other firm attributes.</w:t>
      </w:r>
      <w:r>
        <w:rPr>
          <w:rFonts w:ascii="Times New Roman" w:eastAsia="Times New Roman" w:hAnsi="Times New Roman" w:cs="Times New Roman"/>
          <w:sz w:val="24"/>
          <w:szCs w:val="24"/>
          <w:shd w:val="clear" w:color="auto" w:fill="FFFFFF"/>
          <w:lang w:val="en-US" w:eastAsia="zh-CN"/>
        </w:rPr>
        <w:t xml:space="preserve"> </w:t>
      </w:r>
      <w:r>
        <w:rPr>
          <w:rFonts w:ascii="Times New Roman" w:eastAsia="Times New Roman" w:hAnsi="Times New Roman" w:cs="Times New Roman"/>
          <w:sz w:val="24"/>
          <w:szCs w:val="24"/>
        </w:rPr>
        <w:t>Alshareef</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highlight w:val="yellow"/>
          <w:lang w:val="en-US"/>
        </w:rPr>
        <w:t>and</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highlight w:val="yellow"/>
          <w:lang w:val="en-US"/>
        </w:rPr>
        <w:t>Sulim</w:t>
      </w:r>
      <w:r>
        <w:rPr>
          <w:rFonts w:ascii="Times New Roman" w:eastAsia="Times New Roman" w:hAnsi="Times New Roman" w:cs="Times New Roman"/>
          <w:sz w:val="24"/>
          <w:szCs w:val="24"/>
          <w:lang w:val="en-US"/>
        </w:rPr>
        <w:t>a</w:t>
      </w:r>
      <w:r>
        <w:rPr>
          <w:rFonts w:ascii="Times New Roman" w:eastAsia="Times New Roman" w:hAnsi="Times New Roman" w:cs="Times New Roman"/>
          <w:sz w:val="24"/>
          <w:szCs w:val="24"/>
          <w:highlight w:val="yellow"/>
          <w:lang w:val="en-US"/>
        </w:rPr>
        <w:t>ny</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(2024)</w:t>
      </w:r>
      <w:r>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lang w:val="en-US" w:eastAsia="zh-CN"/>
        </w:rPr>
        <w:t xml:space="preserve">indicated a strong and positive impact of board financial expertise on </w:t>
      </w:r>
      <w:r>
        <w:rPr>
          <w:rFonts w:ascii="Times New Roman" w:eastAsia="Times New Roman" w:hAnsi="Times New Roman" w:cs="Times New Roman"/>
          <w:sz w:val="24"/>
          <w:szCs w:val="24"/>
          <w:lang w:val="en-US" w:eastAsia="zh-CN"/>
        </w:rPr>
        <w:lastRenderedPageBreak/>
        <w:t xml:space="preserve">sustainable performance. This outcome implies that financial sustainability may increase as the number of finance specialists on the board rises. </w:t>
      </w:r>
      <w:r>
        <w:rPr>
          <w:rFonts w:ascii="Times New Roman" w:eastAsia="Times New Roman" w:hAnsi="Times New Roman" w:cs="Times New Roman"/>
          <w:sz w:val="24"/>
          <w:szCs w:val="24"/>
        </w:rPr>
        <w:t>Nevertheless, some empirical findings suggest the relationship may be context-dependent. For example, Awodiran and Ogundele (2022) identified firm size and asset tangibility as significant reporting-quality determinants in industrial goods companies, while Abe et al. (2025) examined board independence, board size and meetings rather than board financial expertise. These studies therefore cannot be treated as direct evidence of an adverse effect of board financial expertise. These mixed findings indicate that while board financial expertise is a critical determinant of FRQ, its impact is maximized when supported by strong governance structures, an independent board environment, and effective institutional enforcement.</w:t>
      </w:r>
      <w:r>
        <w:rPr>
          <w:rFonts w:ascii="Times New Roman" w:eastAsia="Times New Roman" w:hAnsi="Times New Roman" w:cs="Times New Roman"/>
          <w:sz w:val="24"/>
          <w:szCs w:val="24"/>
          <w:lang w:val="en-US"/>
        </w:rPr>
        <w:t xml:space="preserve"> Thus, this study </w:t>
      </w:r>
      <w:r>
        <w:rPr>
          <w:rFonts w:ascii="Times New Roman" w:eastAsia="Times New Roman" w:hAnsi="Times New Roman" w:cs="Times New Roman"/>
          <w:sz w:val="24"/>
          <w:szCs w:val="24"/>
          <w:highlight w:val="yellow"/>
          <w:lang w:val="en-US"/>
        </w:rPr>
        <w:t xml:space="preserve">formulated the following </w:t>
      </w:r>
      <w:r>
        <w:rPr>
          <w:rFonts w:ascii="Times New Roman" w:eastAsia="Times New Roman" w:hAnsi="Times New Roman" w:cs="Times New Roman"/>
          <w:sz w:val="24"/>
          <w:szCs w:val="24"/>
          <w:lang w:val="en-US"/>
        </w:rPr>
        <w:t>hypothesi</w:t>
      </w:r>
      <w:r>
        <w:rPr>
          <w:rFonts w:ascii="Times New Roman" w:eastAsia="Times New Roman" w:hAnsi="Times New Roman" w:cs="Times New Roman"/>
          <w:sz w:val="24"/>
          <w:szCs w:val="24"/>
          <w:highlight w:val="yellow"/>
          <w:lang w:val="en-US"/>
        </w:rPr>
        <w:t>s:</w:t>
      </w:r>
    </w:p>
    <w:p w14:paraId="6E7574A8" w14:textId="77777777" w:rsidR="0068604C" w:rsidRPr="002E68D5" w:rsidRDefault="0068604C" w:rsidP="0068604C">
      <w:pPr>
        <w:snapToGrid w:val="0"/>
        <w:spacing w:after="0" w:line="480" w:lineRule="auto"/>
        <w:jc w:val="both"/>
        <w:rPr>
          <w:rFonts w:ascii="Times New Roman" w:eastAsia="Times New Roman" w:hAnsi="Times New Roman" w:cs="Times New Roman"/>
          <w:sz w:val="24"/>
          <w:szCs w:val="24"/>
          <w:lang w:val="en-US"/>
        </w:rPr>
      </w:pPr>
      <w:r w:rsidRPr="002E68D5">
        <w:rPr>
          <w:rFonts w:ascii="Times New Roman" w:eastAsia="Times New Roman" w:hAnsi="Times New Roman" w:cs="Times New Roman"/>
          <w:sz w:val="24"/>
          <w:szCs w:val="24"/>
          <w:lang w:val="en-US"/>
        </w:rPr>
        <w:t>Ho</w:t>
      </w:r>
      <w:r w:rsidR="00085E8B" w:rsidRPr="002E68D5">
        <w:rPr>
          <w:rFonts w:ascii="Times New Roman" w:eastAsia="Times New Roman" w:hAnsi="Times New Roman" w:cs="Times New Roman"/>
          <w:sz w:val="24"/>
          <w:szCs w:val="24"/>
          <w:vertAlign w:val="subscript"/>
          <w:lang w:val="en-US"/>
        </w:rPr>
        <w:t>3</w:t>
      </w:r>
      <w:r w:rsidRPr="002E68D5">
        <w:rPr>
          <w:rFonts w:ascii="Times New Roman" w:eastAsia="Times New Roman" w:hAnsi="Times New Roman" w:cs="Times New Roman"/>
          <w:sz w:val="24"/>
          <w:szCs w:val="24"/>
          <w:lang w:val="en-US"/>
        </w:rPr>
        <w:t>: Board financial expertise has no significant effect on income smoothing of listed nonfinancial companies in Nigeria</w:t>
      </w:r>
    </w:p>
    <w:p w14:paraId="2B094EC3" w14:textId="77777777" w:rsidR="001766AE" w:rsidRPr="002E68D5" w:rsidRDefault="001766AE" w:rsidP="0068604C">
      <w:pPr>
        <w:snapToGrid w:val="0"/>
        <w:spacing w:after="0" w:line="480" w:lineRule="auto"/>
        <w:jc w:val="both"/>
        <w:rPr>
          <w:rFonts w:ascii="Times New Roman" w:eastAsia="Times New Roman" w:hAnsi="Times New Roman" w:cs="Times New Roman"/>
          <w:sz w:val="24"/>
          <w:szCs w:val="24"/>
          <w:lang w:val="en-US"/>
        </w:rPr>
      </w:pPr>
    </w:p>
    <w:p w14:paraId="1F1F60E3" w14:textId="77777777" w:rsidR="0068604C" w:rsidRPr="002E68D5" w:rsidRDefault="001766AE" w:rsidP="0068604C">
      <w:pPr>
        <w:snapToGrid w:val="0"/>
        <w:spacing w:after="0" w:line="480" w:lineRule="auto"/>
        <w:jc w:val="both"/>
        <w:rPr>
          <w:rFonts w:ascii="Times New Roman" w:eastAsia="Times New Roman" w:hAnsi="Times New Roman" w:cs="Times New Roman"/>
          <w:sz w:val="24"/>
          <w:szCs w:val="24"/>
          <w:lang w:val="en-US"/>
        </w:rPr>
      </w:pPr>
      <w:r w:rsidRPr="002E68D5">
        <w:rPr>
          <w:rFonts w:ascii="Times New Roman" w:eastAsia="Times New Roman" w:hAnsi="Times New Roman" w:cs="Times New Roman"/>
          <w:sz w:val="24"/>
          <w:szCs w:val="24"/>
          <w:lang w:val="en-US"/>
        </w:rPr>
        <w:t>2.2. Theoretical framework</w:t>
      </w:r>
    </w:p>
    <w:bookmarkEnd w:id="4"/>
    <w:p w14:paraId="11D4BA56" w14:textId="77777777" w:rsidR="001766AE" w:rsidRPr="002E68D5" w:rsidRDefault="001766AE" w:rsidP="001766AE">
      <w:pPr>
        <w:snapToGrid w:val="0"/>
        <w:spacing w:after="0"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major theory providing foundational support for this study was agency theory. </w:t>
      </w:r>
      <w:r>
        <w:rPr>
          <w:rFonts w:ascii="Times New Roman" w:eastAsia="Times New Roman" w:hAnsi="Times New Roman" w:cs="Times New Roman"/>
          <w:sz w:val="24"/>
          <w:szCs w:val="24"/>
        </w:rPr>
        <w:t xml:space="preserve">Agency </w:t>
      </w:r>
      <w:r>
        <w:rPr>
          <w:rFonts w:ascii="Times New Roman" w:eastAsia="Times New Roman" w:hAnsi="Times New Roman" w:cs="Times New Roman"/>
          <w:sz w:val="24"/>
          <w:szCs w:val="24"/>
          <w:highlight w:val="yellow"/>
        </w:rPr>
        <w:t>t</w:t>
      </w:r>
      <w:r>
        <w:rPr>
          <w:rFonts w:ascii="Times New Roman" w:eastAsia="Times New Roman" w:hAnsi="Times New Roman" w:cs="Times New Roman"/>
          <w:sz w:val="24"/>
          <w:szCs w:val="24"/>
        </w:rPr>
        <w:t xml:space="preserve">heory, principally associated with Jensen and Meckling (1976), explains the relationship between shareholders (principals) and managers (agents) in which managers are entrusted with the responsibility of managing the resources of the firm. Because managers may possess more information about the firm than shareholders and may have interests that differ from those of shareholders, information asymmetry and agency conflicts can arise (Jensen &amp; Meckling, 1976). Managers may therefore have incentives to manipulate accounting information, including engaging in income smoothing, to protect their positions, influence investors’ perceptions or achieve personal objectives. Agency </w:t>
      </w:r>
      <w:r>
        <w:rPr>
          <w:rFonts w:ascii="Times New Roman" w:eastAsia="Times New Roman" w:hAnsi="Times New Roman" w:cs="Times New Roman"/>
          <w:sz w:val="24"/>
          <w:szCs w:val="24"/>
          <w:highlight w:val="yellow"/>
        </w:rPr>
        <w:t>t</w:t>
      </w:r>
      <w:r>
        <w:rPr>
          <w:rFonts w:ascii="Times New Roman" w:eastAsia="Times New Roman" w:hAnsi="Times New Roman" w:cs="Times New Roman"/>
          <w:sz w:val="24"/>
          <w:szCs w:val="24"/>
        </w:rPr>
        <w:t xml:space="preserve">heory suggests that effective monitoring and governance mechanisms can reduce these opportunistic behaviours and improve the quality of financial reporting. In this study, auditor type, sustainability disclosure </w:t>
      </w:r>
      <w:r>
        <w:rPr>
          <w:rFonts w:ascii="Times New Roman" w:eastAsia="Times New Roman" w:hAnsi="Times New Roman" w:cs="Times New Roman"/>
          <w:sz w:val="24"/>
          <w:szCs w:val="24"/>
        </w:rPr>
        <w:lastRenderedPageBreak/>
        <w:t>practices and board financial expertise represent firm-level mechanisms that can constrain managerial opportunism and consequently influence financial reporting quality, measured through income smoothing (Kartiko et al., 2025).</w:t>
      </w:r>
    </w:p>
    <w:p w14:paraId="28FD2EDD" w14:textId="77777777" w:rsidR="001766AE" w:rsidRPr="002E68D5" w:rsidRDefault="0072696F" w:rsidP="001766AE">
      <w:pPr>
        <w:spacing w:line="480" w:lineRule="auto"/>
        <w:ind w:firstLine="720"/>
        <w:jc w:val="both"/>
        <w:rPr>
          <w:rFonts w:ascii="Times New Roman" w:eastAsia="Times New Roman" w:hAnsi="Times New Roman" w:cs="Times New Roman"/>
          <w:sz w:val="24"/>
          <w:szCs w:val="24"/>
        </w:rPr>
      </w:pPr>
      <w:bookmarkStart w:id="5" w:name="_Hlk213040459"/>
      <w:r>
        <w:rPr>
          <w:rFonts w:ascii="Times New Roman" w:eastAsia="Times New Roman" w:hAnsi="Times New Roman" w:cs="Times New Roman"/>
          <w:sz w:val="24"/>
          <w:szCs w:val="24"/>
          <w:lang w:val="en-US"/>
        </w:rPr>
        <w:t>This theory is relevant to this study</w:t>
      </w:r>
      <w:r>
        <w:rPr>
          <w:rFonts w:ascii="Times New Roman" w:eastAsia="Times New Roman" w:hAnsi="Times New Roman" w:cs="Times New Roman"/>
          <w:sz w:val="24"/>
          <w:szCs w:val="24"/>
        </w:rPr>
        <w:t xml:space="preserve"> because the identified determinants are mechanisms designed to reduce agency problems and enhance the credibility of financial reports.</w:t>
      </w:r>
      <w:r>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rPr>
        <w:t xml:space="preserve">Agency </w:t>
      </w:r>
      <w:r>
        <w:rPr>
          <w:rFonts w:ascii="Times New Roman" w:eastAsia="Times New Roman" w:hAnsi="Times New Roman" w:cs="Times New Roman"/>
          <w:sz w:val="24"/>
          <w:szCs w:val="24"/>
          <w:highlight w:val="yellow"/>
        </w:rPr>
        <w:t>t</w:t>
      </w:r>
      <w:r>
        <w:rPr>
          <w:rFonts w:ascii="Times New Roman" w:eastAsia="Times New Roman" w:hAnsi="Times New Roman" w:cs="Times New Roman"/>
          <w:sz w:val="24"/>
          <w:szCs w:val="24"/>
        </w:rPr>
        <w:t xml:space="preserve">heory provides a strong explanation for the relationship between auditor type and financial reporting quality. External auditors serve as an independent monitoring mechanism that reduces information asymmetry between managers and shareholders. Larger and more reputable audit firms, particularly Big Four auditors, have greater reputational capital, technical expertise and incentives to detect and discourage aggressive accounting practices. DeAngelo (1981) argues that auditor size is associated with audit quality because larger audit firms have more to lose from the reputational consequences of audit failure. Agency </w:t>
      </w:r>
      <w:r>
        <w:rPr>
          <w:rFonts w:ascii="Times New Roman" w:eastAsia="Times New Roman" w:hAnsi="Times New Roman" w:cs="Times New Roman"/>
          <w:sz w:val="24"/>
          <w:szCs w:val="24"/>
          <w:highlight w:val="yellow"/>
        </w:rPr>
        <w:t>t</w:t>
      </w:r>
      <w:r>
        <w:rPr>
          <w:rFonts w:ascii="Times New Roman" w:eastAsia="Times New Roman" w:hAnsi="Times New Roman" w:cs="Times New Roman"/>
          <w:sz w:val="24"/>
          <w:szCs w:val="24"/>
        </w:rPr>
        <w:t xml:space="preserve">heory also explains the relevance of sustainability disclosure practices because voluntary and comprehensive disclosure can reduce information asymmetry between managers and external stakeholders. Managers possess private information concerning the firm’s environmental, social and governance activities, while shareholders and other stakeholders may have limited access to such information. This theory is particularly relevant to board financial expertise because the board of directors is an important internal monitoring mechanism through which shareholders oversee management. Directors with accounting or financial expertise possess the knowledge necessary to understand complex financial statements, identify unusual accounting treatments and question managerial decisions that may compromise reporting quality. Their expertise enhances the board’s ability to monitor management and reduces the information advantage managers possess over shareholders. Consequently, a financially knowledgeable board is better positioned to detect and constrain opportunistic reporting practices such as income smoothing. </w:t>
      </w:r>
    </w:p>
    <w:p w14:paraId="13FBA1EA" w14:textId="77777777" w:rsidR="0072696F" w:rsidRPr="002E68D5" w:rsidRDefault="0072696F" w:rsidP="001766AE">
      <w:pPr>
        <w:spacing w:after="0" w:line="480" w:lineRule="auto"/>
        <w:jc w:val="both"/>
        <w:rPr>
          <w:rFonts w:ascii="Times New Roman" w:eastAsia="DengXian" w:hAnsi="Times New Roman" w:cs="Times New Roman"/>
          <w:sz w:val="24"/>
          <w:szCs w:val="24"/>
          <w:lang w:val="en-US" w:eastAsia="zh-CN"/>
        </w:rPr>
      </w:pPr>
    </w:p>
    <w:p w14:paraId="377F4861" w14:textId="77777777" w:rsidR="0072696F" w:rsidRPr="002E68D5" w:rsidRDefault="0072696F" w:rsidP="0072696F">
      <w:pPr>
        <w:rPr>
          <w:rFonts w:ascii="Times New Roman" w:eastAsia="DengXian" w:hAnsi="Times New Roman" w:cs="Times New Roman"/>
          <w:sz w:val="24"/>
          <w:szCs w:val="24"/>
          <w:lang w:eastAsia="zh-CN"/>
        </w:rPr>
      </w:pPr>
    </w:p>
    <w:p w14:paraId="290877D3" w14:textId="77777777" w:rsidR="0072696F" w:rsidRPr="002E68D5" w:rsidRDefault="00084607" w:rsidP="00084607">
      <w:pPr>
        <w:spacing w:after="0" w:line="480" w:lineRule="auto"/>
        <w:rPr>
          <w:rFonts w:ascii="Times New Roman" w:eastAsia="Times New Roman" w:hAnsi="Times New Roman" w:cs="Times New Roman"/>
          <w:b/>
          <w:sz w:val="24"/>
          <w:szCs w:val="24"/>
        </w:rPr>
      </w:pPr>
      <w:bookmarkStart w:id="6" w:name="_Hlk198016782"/>
      <w:bookmarkEnd w:id="5"/>
      <w:r w:rsidRPr="002E68D5">
        <w:rPr>
          <w:rFonts w:ascii="Times New Roman" w:eastAsia="Times New Roman" w:hAnsi="Times New Roman" w:cs="Times New Roman"/>
          <w:b/>
          <w:sz w:val="24"/>
          <w:szCs w:val="24"/>
          <w:lang w:val="en-US"/>
        </w:rPr>
        <w:t xml:space="preserve">3.0 </w:t>
      </w:r>
      <w:r w:rsidR="0072696F" w:rsidRPr="002E68D5">
        <w:rPr>
          <w:rFonts w:ascii="Times New Roman" w:eastAsia="Times New Roman" w:hAnsi="Times New Roman" w:cs="Times New Roman"/>
          <w:b/>
          <w:sz w:val="24"/>
          <w:szCs w:val="24"/>
        </w:rPr>
        <w:t>METHODOLOGY</w:t>
      </w:r>
    </w:p>
    <w:p w14:paraId="44E9912D" w14:textId="77777777" w:rsidR="0072696F" w:rsidRPr="002E68D5" w:rsidRDefault="0072696F" w:rsidP="0072696F">
      <w:pPr>
        <w:spacing w:after="0" w:line="480" w:lineRule="auto"/>
        <w:jc w:val="both"/>
        <w:rPr>
          <w:rFonts w:ascii="Times New Roman" w:eastAsia="Times New Roman" w:hAnsi="Times New Roman" w:cs="Times New Roman"/>
          <w:sz w:val="24"/>
          <w:szCs w:val="24"/>
          <w:lang w:val="en-US"/>
        </w:rPr>
      </w:pPr>
      <w:bookmarkStart w:id="7" w:name="_Hlk192798734"/>
      <w:bookmarkEnd w:id="7"/>
      <w:r>
        <w:rPr>
          <w:rFonts w:ascii="Times New Roman" w:eastAsia="DengXian" w:hAnsi="Times New Roman" w:cs="Times New Roman"/>
          <w:sz w:val="24"/>
          <w:szCs w:val="24"/>
          <w:lang w:val="en-US" w:eastAsia="zh-CN"/>
        </w:rPr>
        <w:t xml:space="preserve">The research design adopted for this study was ex post facto </w:t>
      </w:r>
      <w:r>
        <w:rPr>
          <w:rFonts w:ascii="Times New Roman" w:eastAsia="DengXian" w:hAnsi="Times New Roman" w:cs="Times New Roman"/>
          <w:sz w:val="24"/>
          <w:szCs w:val="24"/>
          <w:highlight w:val="yellow"/>
          <w:lang w:val="en-US" w:eastAsia="zh-CN"/>
        </w:rPr>
        <w:t>w</w:t>
      </w:r>
      <w:r>
        <w:rPr>
          <w:rFonts w:ascii="Times New Roman" w:eastAsia="DengXian" w:hAnsi="Times New Roman" w:cs="Times New Roman"/>
          <w:sz w:val="24"/>
          <w:szCs w:val="24"/>
          <w:lang w:val="en-US" w:eastAsia="zh-CN"/>
        </w:rPr>
        <w:t>hi</w:t>
      </w:r>
      <w:r>
        <w:rPr>
          <w:rFonts w:ascii="Times New Roman" w:eastAsia="DengXian" w:hAnsi="Times New Roman" w:cs="Times New Roman"/>
          <w:sz w:val="24"/>
          <w:szCs w:val="24"/>
          <w:highlight w:val="yellow"/>
          <w:lang w:val="en-US" w:eastAsia="zh-CN"/>
        </w:rPr>
        <w:t>ch</w:t>
      </w:r>
      <w:r>
        <w:rPr>
          <w:rFonts w:ascii="Times New Roman" w:eastAsia="DengXian" w:hAnsi="Times New Roman" w:cs="Times New Roman"/>
          <w:sz w:val="24"/>
          <w:szCs w:val="24"/>
          <w:lang w:val="en-US" w:eastAsia="zh-CN"/>
        </w:rPr>
        <w:t xml:space="preserve"> was </w:t>
      </w:r>
      <w:r>
        <w:rPr>
          <w:rFonts w:ascii="Times New Roman" w:eastAsia="DengXian" w:hAnsi="Times New Roman" w:cs="Times New Roman"/>
          <w:sz w:val="24"/>
          <w:szCs w:val="24"/>
          <w:highlight w:val="yellow"/>
          <w:lang w:val="en-US" w:eastAsia="zh-CN"/>
        </w:rPr>
        <w:t>appropr</w:t>
      </w:r>
      <w:r>
        <w:rPr>
          <w:rFonts w:ascii="Times New Roman" w:eastAsia="DengXian" w:hAnsi="Times New Roman" w:cs="Times New Roman"/>
          <w:sz w:val="24"/>
          <w:szCs w:val="24"/>
          <w:lang w:val="en-US" w:eastAsia="zh-CN"/>
        </w:rPr>
        <w:t>i</w:t>
      </w:r>
      <w:r>
        <w:rPr>
          <w:rFonts w:ascii="Times New Roman" w:eastAsia="DengXian" w:hAnsi="Times New Roman" w:cs="Times New Roman"/>
          <w:sz w:val="24"/>
          <w:szCs w:val="24"/>
          <w:highlight w:val="yellow"/>
          <w:lang w:val="en-US" w:eastAsia="zh-CN"/>
        </w:rPr>
        <w:t>a</w:t>
      </w:r>
      <w:r>
        <w:rPr>
          <w:rFonts w:ascii="Times New Roman" w:eastAsia="DengXian" w:hAnsi="Times New Roman" w:cs="Times New Roman"/>
          <w:sz w:val="24"/>
          <w:szCs w:val="24"/>
          <w:lang w:val="en-US" w:eastAsia="zh-CN"/>
        </w:rPr>
        <w:t>te because secondary data were used.</w:t>
      </w:r>
      <w:r>
        <w:rPr>
          <w:rFonts w:ascii="Times New Roman" w:hAnsi="Times New Roman" w:cs="Times New Roman"/>
          <w:bCs/>
          <w:sz w:val="24"/>
          <w:szCs w:val="24"/>
          <w:highlight w:val="yellow"/>
          <w:shd w:val="clear" w:color="auto" w:fill="FFFFFF"/>
        </w:rPr>
        <w:t xml:space="preserve"> </w:t>
      </w:r>
      <w:r>
        <w:rPr>
          <w:rFonts w:ascii="Times New Roman" w:hAnsi="Times New Roman" w:cs="Times New Roman"/>
          <w:bCs/>
          <w:sz w:val="24"/>
          <w:szCs w:val="24"/>
          <w:shd w:val="clear" w:color="auto" w:fill="FFFFFF"/>
        </w:rPr>
        <w:t>The population of this study consist</w:t>
      </w:r>
      <w:r>
        <w:rPr>
          <w:rFonts w:ascii="Times New Roman" w:hAnsi="Times New Roman" w:cs="Times New Roman"/>
          <w:bCs/>
          <w:sz w:val="24"/>
          <w:szCs w:val="24"/>
          <w:shd w:val="clear" w:color="auto" w:fill="FFFFFF"/>
          <w:lang w:val="en-US"/>
        </w:rPr>
        <w:t>ed of  100</w:t>
      </w:r>
      <w:r>
        <w:rPr>
          <w:rFonts w:ascii="Times New Roman" w:hAnsi="Times New Roman" w:cs="Times New Roman"/>
          <w:bCs/>
          <w:sz w:val="24"/>
          <w:szCs w:val="24"/>
          <w:shd w:val="clear" w:color="auto" w:fill="FFFFFF"/>
        </w:rPr>
        <w:t xml:space="preserve"> non-financial </w:t>
      </w:r>
      <w:r>
        <w:rPr>
          <w:rFonts w:ascii="Times New Roman" w:hAnsi="Times New Roman" w:cs="Times New Roman"/>
          <w:bCs/>
          <w:sz w:val="24"/>
          <w:szCs w:val="24"/>
          <w:shd w:val="clear" w:color="auto" w:fill="FFFFFF"/>
          <w:lang w:val="en-US"/>
        </w:rPr>
        <w:t>companies</w:t>
      </w:r>
      <w:r>
        <w:rPr>
          <w:rFonts w:ascii="Times New Roman" w:hAnsi="Times New Roman" w:cs="Times New Roman"/>
          <w:bCs/>
          <w:sz w:val="24"/>
          <w:szCs w:val="24"/>
          <w:shd w:val="clear" w:color="auto" w:fill="FFFFFF"/>
        </w:rPr>
        <w:t xml:space="preserve"> listed on the Nigerian Exchange Group from 201</w:t>
      </w:r>
      <w:r>
        <w:rPr>
          <w:rFonts w:ascii="Times New Roman" w:hAnsi="Times New Roman" w:cs="Times New Roman"/>
          <w:bCs/>
          <w:sz w:val="24"/>
          <w:szCs w:val="24"/>
          <w:shd w:val="clear" w:color="auto" w:fill="FFFFFF"/>
          <w:lang w:val="en-US"/>
        </w:rPr>
        <w:t>6</w:t>
      </w:r>
      <w:r>
        <w:rPr>
          <w:rFonts w:ascii="Times New Roman" w:hAnsi="Times New Roman" w:cs="Times New Roman"/>
          <w:bCs/>
          <w:sz w:val="24"/>
          <w:szCs w:val="24"/>
          <w:highlight w:val="yellow"/>
          <w:shd w:val="clear" w:color="auto" w:fill="FFFFFF"/>
        </w:rPr>
        <w:t xml:space="preserve"> to </w:t>
      </w:r>
      <w:r>
        <w:rPr>
          <w:rFonts w:ascii="Times New Roman" w:hAnsi="Times New Roman" w:cs="Times New Roman"/>
          <w:bCs/>
          <w:sz w:val="24"/>
          <w:szCs w:val="24"/>
          <w:shd w:val="clear" w:color="auto" w:fill="FFFFFF"/>
        </w:rPr>
        <w:t>202</w:t>
      </w:r>
      <w:r>
        <w:rPr>
          <w:rFonts w:ascii="Times New Roman" w:hAnsi="Times New Roman" w:cs="Times New Roman"/>
          <w:bCs/>
          <w:sz w:val="24"/>
          <w:szCs w:val="24"/>
          <w:shd w:val="clear" w:color="auto" w:fill="FFFFFF"/>
          <w:lang w:val="en-US"/>
        </w:rPr>
        <w:t>5</w:t>
      </w:r>
      <w:r>
        <w:rPr>
          <w:rFonts w:ascii="Times New Roman" w:hAnsi="Times New Roman" w:cs="Times New Roman"/>
          <w:bCs/>
          <w:sz w:val="24"/>
          <w:szCs w:val="24"/>
          <w:shd w:val="clear" w:color="auto" w:fill="FFFFFF"/>
        </w:rPr>
        <w:t>.</w:t>
      </w:r>
      <w:r>
        <w:rPr>
          <w:rFonts w:ascii="Times New Roman" w:hAnsi="Times New Roman" w:cs="Times New Roman"/>
          <w:bCs/>
          <w:sz w:val="24"/>
          <w:szCs w:val="24"/>
          <w:highlight w:val="yellow"/>
        </w:rPr>
        <w:t xml:space="preserve"> </w:t>
      </w:r>
      <w:r>
        <w:rPr>
          <w:rFonts w:ascii="Times New Roman" w:hAnsi="Times New Roman" w:cs="Times New Roman"/>
          <w:bCs/>
          <w:sz w:val="24"/>
          <w:szCs w:val="24"/>
        </w:rPr>
        <w:t xml:space="preserve">The sample </w:t>
      </w:r>
      <w:r>
        <w:rPr>
          <w:rFonts w:ascii="Times New Roman" w:hAnsi="Times New Roman" w:cs="Times New Roman"/>
          <w:bCs/>
          <w:sz w:val="24"/>
          <w:szCs w:val="24"/>
          <w:highlight w:val="yellow"/>
          <w:lang w:val="en-US"/>
        </w:rPr>
        <w:t>c</w:t>
      </w:r>
      <w:r>
        <w:rPr>
          <w:rFonts w:ascii="Times New Roman" w:hAnsi="Times New Roman" w:cs="Times New Roman"/>
          <w:bCs/>
          <w:sz w:val="24"/>
          <w:szCs w:val="24"/>
          <w:lang w:val="en-US"/>
        </w:rPr>
        <w:t>o</w:t>
      </w:r>
      <w:r>
        <w:rPr>
          <w:rFonts w:ascii="Times New Roman" w:hAnsi="Times New Roman" w:cs="Times New Roman"/>
          <w:bCs/>
          <w:sz w:val="24"/>
          <w:szCs w:val="24"/>
          <w:highlight w:val="yellow"/>
          <w:lang w:val="en-US"/>
        </w:rPr>
        <w:t>mpr</w:t>
      </w:r>
      <w:r>
        <w:rPr>
          <w:rFonts w:ascii="Times New Roman" w:hAnsi="Times New Roman" w:cs="Times New Roman"/>
          <w:bCs/>
          <w:sz w:val="24"/>
          <w:szCs w:val="24"/>
          <w:lang w:val="en-US"/>
        </w:rPr>
        <w:t>is</w:t>
      </w:r>
      <w:r>
        <w:rPr>
          <w:rFonts w:ascii="Times New Roman" w:hAnsi="Times New Roman" w:cs="Times New Roman"/>
          <w:bCs/>
          <w:sz w:val="24"/>
          <w:szCs w:val="24"/>
          <w:highlight w:val="yellow"/>
          <w:lang w:val="en-US"/>
        </w:rPr>
        <w:t>e</w:t>
      </w:r>
      <w:r>
        <w:rPr>
          <w:rFonts w:ascii="Times New Roman" w:hAnsi="Times New Roman" w:cs="Times New Roman"/>
          <w:bCs/>
          <w:sz w:val="24"/>
          <w:szCs w:val="24"/>
          <w:lang w:val="en-US"/>
        </w:rPr>
        <w:t>d 85 purposively selected non</w:t>
      </w:r>
      <w:r>
        <w:rPr>
          <w:rFonts w:ascii="Times New Roman" w:hAnsi="Times New Roman" w:cs="Times New Roman"/>
          <w:bCs/>
          <w:sz w:val="24"/>
          <w:szCs w:val="24"/>
          <w:highlight w:val="yellow"/>
          <w:lang w:val="en-US"/>
        </w:rPr>
        <w:t>-</w:t>
      </w:r>
      <w:r>
        <w:rPr>
          <w:rFonts w:ascii="Times New Roman" w:hAnsi="Times New Roman" w:cs="Times New Roman"/>
          <w:bCs/>
          <w:sz w:val="24"/>
          <w:szCs w:val="24"/>
          <w:lang w:val="en-US"/>
        </w:rPr>
        <w:t>financial companies</w:t>
      </w:r>
      <w:r>
        <w:rPr>
          <w:rFonts w:ascii="Times New Roman" w:hAnsi="Times New Roman" w:cs="Times New Roman"/>
          <w:bCs/>
          <w:sz w:val="24"/>
          <w:szCs w:val="24"/>
          <w:highlight w:val="yellow"/>
          <w:lang w:val="en-US"/>
        </w:rPr>
        <w:t>,</w:t>
      </w:r>
      <w:r>
        <w:rPr>
          <w:rFonts w:ascii="Times New Roman" w:hAnsi="Times New Roman" w:cs="Times New Roman"/>
          <w:bCs/>
          <w:sz w:val="24"/>
          <w:szCs w:val="24"/>
          <w:lang w:val="en-US"/>
        </w:rPr>
        <w:t xml:space="preserve"> and </w:t>
      </w:r>
      <w:r>
        <w:rPr>
          <w:rFonts w:ascii="Times New Roman" w:hAnsi="Times New Roman" w:cs="Times New Roman"/>
          <w:bCs/>
          <w:sz w:val="24"/>
          <w:szCs w:val="24"/>
          <w:highlight w:val="yellow"/>
          <w:lang w:val="en-US"/>
        </w:rPr>
        <w:t xml:space="preserve">the </w:t>
      </w:r>
      <w:r>
        <w:rPr>
          <w:rFonts w:ascii="Times New Roman" w:hAnsi="Times New Roman" w:cs="Times New Roman"/>
          <w:bCs/>
          <w:sz w:val="24"/>
          <w:szCs w:val="24"/>
          <w:lang w:val="en-US"/>
        </w:rPr>
        <w:t>data were secondary.</w:t>
      </w:r>
      <w:r>
        <w:rPr>
          <w:rFonts w:ascii="Times New Roman" w:eastAsia="Times New Roman" w:hAnsi="Times New Roman" w:cs="Times New Roman"/>
          <w:sz w:val="24"/>
          <w:szCs w:val="24"/>
          <w:highlight w:val="yellow"/>
        </w:rPr>
        <w:t>P</w:t>
      </w:r>
      <w:r>
        <w:rPr>
          <w:rFonts w:ascii="Times New Roman" w:eastAsia="Times New Roman" w:hAnsi="Times New Roman" w:cs="Times New Roman"/>
          <w:sz w:val="24"/>
          <w:szCs w:val="24"/>
          <w:lang w:val="en-US"/>
        </w:rPr>
        <w:t xml:space="preserve">anel regression </w:t>
      </w:r>
      <w:r>
        <w:rPr>
          <w:rFonts w:ascii="Times New Roman" w:eastAsia="Times New Roman" w:hAnsi="Times New Roman" w:cs="Times New Roman"/>
          <w:sz w:val="24"/>
          <w:szCs w:val="24"/>
        </w:rPr>
        <w:t xml:space="preserve">analysis </w:t>
      </w:r>
      <w:r>
        <w:rPr>
          <w:rFonts w:ascii="Times New Roman" w:eastAsia="Times New Roman" w:hAnsi="Times New Roman" w:cs="Times New Roman"/>
          <w:sz w:val="24"/>
          <w:szCs w:val="24"/>
          <w:highlight w:val="yellow"/>
        </w:rPr>
        <w:t>w</w:t>
      </w:r>
      <w:r>
        <w:rPr>
          <w:rFonts w:ascii="Times New Roman" w:eastAsia="Times New Roman" w:hAnsi="Times New Roman" w:cs="Times New Roman"/>
          <w:sz w:val="24"/>
          <w:szCs w:val="24"/>
        </w:rPr>
        <w:t xml:space="preserve">as employed </w:t>
      </w:r>
      <w:r>
        <w:rPr>
          <w:rFonts w:ascii="Times New Roman" w:eastAsia="Times New Roman" w:hAnsi="Times New Roman" w:cs="Times New Roman"/>
          <w:sz w:val="24"/>
          <w:szCs w:val="24"/>
          <w:highlight w:val="yellow"/>
          <w:lang w:val="en-US"/>
        </w:rPr>
        <w:t>u</w:t>
      </w:r>
      <w:r>
        <w:rPr>
          <w:rFonts w:ascii="Times New Roman" w:eastAsia="Times New Roman" w:hAnsi="Times New Roman" w:cs="Times New Roman"/>
          <w:sz w:val="24"/>
          <w:szCs w:val="24"/>
          <w:lang w:val="en-US"/>
        </w:rPr>
        <w:t>s</w:t>
      </w:r>
      <w:r>
        <w:rPr>
          <w:rFonts w:ascii="Times New Roman" w:eastAsia="Times New Roman" w:hAnsi="Times New Roman" w:cs="Times New Roman"/>
          <w:sz w:val="24"/>
          <w:szCs w:val="24"/>
          <w:highlight w:val="yellow"/>
          <w:lang w:val="en-US"/>
        </w:rPr>
        <w:t>ing</w:t>
      </w:r>
      <w:r>
        <w:rPr>
          <w:rFonts w:ascii="Times New Roman" w:eastAsia="Times New Roman" w:hAnsi="Times New Roman" w:cs="Times New Roman"/>
          <w:sz w:val="24"/>
          <w:szCs w:val="24"/>
          <w:lang w:val="en-US"/>
        </w:rPr>
        <w:t xml:space="preserve"> STATA 17.</w:t>
      </w:r>
    </w:p>
    <w:p w14:paraId="4F7335AD" w14:textId="77777777" w:rsidR="0072696F" w:rsidRPr="002E68D5" w:rsidRDefault="0072696F" w:rsidP="0072696F">
      <w:pPr>
        <w:spacing w:after="0" w:line="360" w:lineRule="auto"/>
        <w:ind w:firstLine="720"/>
        <w:jc w:val="both"/>
        <w:rPr>
          <w:rFonts w:ascii="Times New Roman" w:eastAsia="Times New Roman" w:hAnsi="Times New Roman" w:cs="Times New Roman"/>
          <w:sz w:val="24"/>
          <w:szCs w:val="24"/>
          <w:lang w:val="en-US"/>
        </w:rPr>
      </w:pPr>
    </w:p>
    <w:p w14:paraId="11DF0EE2" w14:textId="77777777" w:rsidR="0072696F" w:rsidRPr="002E68D5" w:rsidRDefault="0072696F" w:rsidP="0072696F">
      <w:pPr>
        <w:spacing w:after="0" w:line="480" w:lineRule="auto"/>
        <w:jc w:val="both"/>
        <w:rPr>
          <w:rFonts w:ascii="Times New Roman" w:eastAsia="Times New Roman" w:hAnsi="Times New Roman" w:cs="Times New Roman"/>
          <w:b/>
          <w:sz w:val="24"/>
          <w:szCs w:val="24"/>
        </w:rPr>
      </w:pPr>
      <w:r w:rsidRPr="002E68D5">
        <w:rPr>
          <w:rFonts w:ascii="Times New Roman" w:eastAsia="Times New Roman" w:hAnsi="Times New Roman" w:cs="Times New Roman"/>
          <w:b/>
          <w:sz w:val="24"/>
          <w:szCs w:val="24"/>
        </w:rPr>
        <w:t>3.</w:t>
      </w:r>
      <w:r w:rsidRPr="002E68D5">
        <w:rPr>
          <w:rFonts w:ascii="Times New Roman" w:eastAsia="Times New Roman" w:hAnsi="Times New Roman" w:cs="Times New Roman"/>
          <w:b/>
          <w:sz w:val="24"/>
          <w:szCs w:val="24"/>
          <w:lang w:val="en-US"/>
        </w:rPr>
        <w:t>7</w:t>
      </w:r>
      <w:r w:rsidRPr="002E68D5">
        <w:rPr>
          <w:rFonts w:ascii="Times New Roman" w:eastAsia="Times New Roman" w:hAnsi="Times New Roman" w:cs="Times New Roman"/>
          <w:b/>
          <w:sz w:val="24"/>
          <w:szCs w:val="24"/>
        </w:rPr>
        <w:tab/>
        <w:t>Model specification</w:t>
      </w:r>
    </w:p>
    <w:p w14:paraId="354AB032" w14:textId="77777777" w:rsidR="0072696F" w:rsidRPr="002E68D5" w:rsidRDefault="0072696F" w:rsidP="0072696F">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Fo</w:t>
      </w:r>
      <w:r>
        <w:rPr>
          <w:rFonts w:ascii="Times New Roman" w:eastAsia="Times New Roman" w:hAnsi="Times New Roman" w:cs="Times New Roman"/>
          <w:sz w:val="24"/>
          <w:szCs w:val="24"/>
        </w:rPr>
        <w:t>l</w:t>
      </w:r>
      <w:r>
        <w:rPr>
          <w:rFonts w:ascii="Times New Roman" w:eastAsia="Times New Roman" w:hAnsi="Times New Roman" w:cs="Times New Roman"/>
          <w:sz w:val="24"/>
          <w:szCs w:val="24"/>
          <w:highlight w:val="yellow"/>
        </w:rPr>
        <w:t>low</w:t>
      </w:r>
      <w:r>
        <w:rPr>
          <w:rFonts w:ascii="Times New Roman" w:eastAsia="Times New Roman" w:hAnsi="Times New Roman" w:cs="Times New Roman"/>
          <w:sz w:val="24"/>
          <w:szCs w:val="24"/>
        </w:rPr>
        <w:t>in</w:t>
      </w:r>
      <w:r>
        <w:rPr>
          <w:rFonts w:ascii="Times New Roman" w:eastAsia="Times New Roman" w:hAnsi="Times New Roman" w:cs="Times New Roman"/>
          <w:sz w:val="24"/>
          <w:szCs w:val="24"/>
          <w:highlight w:val="yellow"/>
        </w:rPr>
        <w:t>g</w:t>
      </w:r>
      <w:r>
        <w:rPr>
          <w:rFonts w:ascii="Times New Roman" w:eastAsia="Times New Roman" w:hAnsi="Times New Roman" w:cs="Times New Roman"/>
          <w:sz w:val="24"/>
          <w:szCs w:val="24"/>
        </w:rPr>
        <w:t xml:space="preserve"> previous research, the s</w:t>
      </w:r>
      <w:r>
        <w:rPr>
          <w:rFonts w:ascii="Times New Roman" w:eastAsia="Times New Roman" w:hAnsi="Times New Roman" w:cs="Times New Roman"/>
          <w:sz w:val="24"/>
          <w:szCs w:val="24"/>
          <w:highlight w:val="yellow"/>
        </w:rPr>
        <w:t>tudy</w:t>
      </w:r>
      <w:r>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rPr>
        <w:t>adapt</w:t>
      </w:r>
      <w:r>
        <w:rPr>
          <w:rFonts w:ascii="Times New Roman" w:eastAsia="Times New Roman" w:hAnsi="Times New Roman" w:cs="Times New Roman"/>
          <w:sz w:val="24"/>
          <w:szCs w:val="24"/>
          <w:lang w:val="en-US"/>
        </w:rPr>
        <w:t>ed</w:t>
      </w:r>
      <w:r>
        <w:rPr>
          <w:rFonts w:ascii="Times New Roman" w:eastAsia="Times New Roman" w:hAnsi="Times New Roman" w:cs="Times New Roman"/>
          <w:sz w:val="24"/>
          <w:szCs w:val="24"/>
        </w:rPr>
        <w:t xml:space="preserve"> and modif</w:t>
      </w:r>
      <w:r>
        <w:rPr>
          <w:rFonts w:ascii="Times New Roman" w:eastAsia="Times New Roman" w:hAnsi="Times New Roman" w:cs="Times New Roman"/>
          <w:sz w:val="24"/>
          <w:szCs w:val="24"/>
          <w:lang w:val="en-US"/>
        </w:rPr>
        <w:t>ied</w:t>
      </w:r>
      <w:r>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highlight w:val="yellow"/>
        </w:rPr>
        <w:t>m</w:t>
      </w:r>
      <w:r>
        <w:rPr>
          <w:rFonts w:ascii="Times New Roman" w:eastAsia="Times New Roman" w:hAnsi="Times New Roman" w:cs="Times New Roman"/>
          <w:sz w:val="24"/>
          <w:szCs w:val="24"/>
        </w:rPr>
        <w:t xml:space="preserve">odel of </w:t>
      </w:r>
      <w:r>
        <w:rPr>
          <w:rFonts w:ascii="Times New Roman" w:eastAsia="Times New Roman" w:hAnsi="Times New Roman" w:cs="Times New Roman"/>
          <w:sz w:val="24"/>
          <w:szCs w:val="24"/>
          <w:lang w:val="en-US"/>
        </w:rPr>
        <w:t>Etuke</w:t>
      </w:r>
      <w:r>
        <w:rPr>
          <w:rFonts w:ascii="Times New Roman" w:eastAsia="Times New Roman" w:hAnsi="Times New Roman" w:cs="Times New Roman"/>
          <w:sz w:val="24"/>
          <w:szCs w:val="24"/>
          <w:highlight w:val="yellow"/>
          <w:lang w:val="en-US"/>
        </w:rPr>
        <w:t>n</w:t>
      </w:r>
      <w:r>
        <w:rPr>
          <w:rFonts w:ascii="Times New Roman" w:eastAsia="Times New Roman" w:hAnsi="Times New Roman" w:cs="Times New Roman"/>
          <w:sz w:val="24"/>
          <w:szCs w:val="24"/>
          <w:lang w:val="en-US"/>
        </w:rPr>
        <w:t xml:space="preserve">yin et al. (2025) </w:t>
      </w:r>
      <w:r>
        <w:rPr>
          <w:rFonts w:ascii="Times New Roman" w:eastAsia="Times New Roman" w:hAnsi="Times New Roman" w:cs="Times New Roman"/>
          <w:sz w:val="24"/>
          <w:szCs w:val="24"/>
          <w:highlight w:val="yellow"/>
        </w:rPr>
        <w:t>to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examin</w:t>
      </w:r>
      <w:r>
        <w:rPr>
          <w:rFonts w:ascii="Times New Roman" w:eastAsia="Times New Roman" w:hAnsi="Times New Roman" w:cs="Times New Roman"/>
          <w:sz w:val="24"/>
          <w:szCs w:val="24"/>
          <w:highlight w:val="yellow"/>
          <w:lang w:val="en-US"/>
        </w:rPr>
        <w:t>e</w:t>
      </w:r>
      <w:r>
        <w:rPr>
          <w:rFonts w:ascii="Times New Roman" w:eastAsia="Times New Roman" w:hAnsi="Times New Roman" w:cs="Times New Roman"/>
          <w:sz w:val="24"/>
          <w:szCs w:val="24"/>
          <w:lang w:val="en-US"/>
        </w:rPr>
        <w:t xml:space="preserve"> the effect of firm attributes on </w:t>
      </w:r>
      <w:r>
        <w:rPr>
          <w:rFonts w:ascii="Times New Roman" w:eastAsia="Times New Roman" w:hAnsi="Times New Roman" w:cs="Times New Roman"/>
          <w:sz w:val="24"/>
          <w:szCs w:val="24"/>
          <w:highlight w:val="yellow"/>
          <w:lang w:val="en-US"/>
        </w:rPr>
        <w:t xml:space="preserve">the </w:t>
      </w:r>
      <w:r>
        <w:rPr>
          <w:rFonts w:ascii="Times New Roman" w:eastAsia="Times New Roman" w:hAnsi="Times New Roman" w:cs="Times New Roman"/>
          <w:sz w:val="24"/>
          <w:szCs w:val="24"/>
          <w:lang w:val="en-US"/>
        </w:rPr>
        <w:t xml:space="preserve">financial reporting quality of </w:t>
      </w:r>
      <w:r>
        <w:rPr>
          <w:rFonts w:ascii="Times New Roman" w:eastAsia="Times New Roman" w:hAnsi="Times New Roman" w:cs="Times New Roman"/>
          <w:sz w:val="24"/>
          <w:szCs w:val="24"/>
        </w:rPr>
        <w:t xml:space="preserve">listed </w:t>
      </w:r>
      <w:r>
        <w:rPr>
          <w:rFonts w:ascii="Times New Roman" w:eastAsia="Times New Roman" w:hAnsi="Times New Roman" w:cs="Times New Roman"/>
          <w:sz w:val="24"/>
          <w:szCs w:val="24"/>
          <w:lang w:val="en-US"/>
        </w:rPr>
        <w:t>non</w:t>
      </w:r>
      <w:r>
        <w:rPr>
          <w:rFonts w:ascii="Times New Roman" w:eastAsia="Times New Roman" w:hAnsi="Times New Roman" w:cs="Times New Roman"/>
          <w:sz w:val="24"/>
          <w:szCs w:val="24"/>
          <w:highlight w:val="yellow"/>
          <w:lang w:val="en-US"/>
        </w:rPr>
        <w:t>-</w:t>
      </w:r>
      <w:r>
        <w:rPr>
          <w:rFonts w:ascii="Times New Roman" w:eastAsia="Times New Roman" w:hAnsi="Times New Roman" w:cs="Times New Roman"/>
          <w:sz w:val="24"/>
          <w:szCs w:val="24"/>
          <w:lang w:val="en-US"/>
        </w:rPr>
        <w:t>financial c</w:t>
      </w:r>
      <w:r>
        <w:rPr>
          <w:rFonts w:ascii="Times New Roman" w:eastAsia="Times New Roman" w:hAnsi="Times New Roman" w:cs="Times New Roman"/>
          <w:sz w:val="24"/>
          <w:szCs w:val="24"/>
        </w:rPr>
        <w:t>ompanies in Nigeria. Th</w:t>
      </w:r>
      <w:r>
        <w:rPr>
          <w:rFonts w:ascii="Times New Roman" w:eastAsia="Times New Roman" w:hAnsi="Times New Roman" w:cs="Times New Roman"/>
          <w:sz w:val="24"/>
          <w:szCs w:val="24"/>
          <w:highlight w:val="yellow"/>
        </w:rPr>
        <w:t>e model</w:t>
      </w:r>
      <w:r>
        <w:rPr>
          <w:rFonts w:ascii="Times New Roman" w:eastAsia="Times New Roman" w:hAnsi="Times New Roman" w:cs="Times New Roman"/>
          <w:sz w:val="24"/>
          <w:szCs w:val="24"/>
        </w:rPr>
        <w:t xml:space="preserve"> is </w:t>
      </w:r>
      <w:r>
        <w:rPr>
          <w:rFonts w:ascii="Times New Roman" w:eastAsia="Times New Roman" w:hAnsi="Times New Roman" w:cs="Times New Roman"/>
          <w:sz w:val="24"/>
          <w:szCs w:val="24"/>
          <w:highlight w:val="yellow"/>
        </w:rPr>
        <w:t>pres</w:t>
      </w:r>
      <w:r>
        <w:rPr>
          <w:rFonts w:ascii="Times New Roman" w:eastAsia="Times New Roman" w:hAnsi="Times New Roman" w:cs="Times New Roman"/>
          <w:sz w:val="24"/>
          <w:szCs w:val="24"/>
        </w:rPr>
        <w:t>en</w:t>
      </w:r>
      <w:r>
        <w:rPr>
          <w:rFonts w:ascii="Times New Roman" w:eastAsia="Times New Roman" w:hAnsi="Times New Roman" w:cs="Times New Roman"/>
          <w:sz w:val="24"/>
          <w:szCs w:val="24"/>
          <w:highlight w:val="yellow"/>
        </w:rPr>
        <w:t>ted</w:t>
      </w:r>
      <w:r>
        <w:rPr>
          <w:rFonts w:ascii="Times New Roman" w:eastAsia="Times New Roman" w:hAnsi="Times New Roman" w:cs="Times New Roman"/>
          <w:sz w:val="24"/>
          <w:szCs w:val="24"/>
        </w:rPr>
        <w:t xml:space="preserve"> below:</w:t>
      </w:r>
    </w:p>
    <w:p w14:paraId="0D563B92" w14:textId="77777777" w:rsidR="0072696F" w:rsidRPr="002E68D5" w:rsidRDefault="0072696F" w:rsidP="0072696F">
      <w:pPr>
        <w:tabs>
          <w:tab w:val="left" w:pos="6600"/>
        </w:tabs>
        <w:spacing w:after="0" w:line="480" w:lineRule="auto"/>
        <w:jc w:val="both"/>
        <w:rPr>
          <w:rFonts w:ascii="Times New Roman" w:eastAsia="Times New Roman" w:hAnsi="Times New Roman" w:cs="Times New Roman"/>
          <w:sz w:val="24"/>
          <w:szCs w:val="24"/>
        </w:rPr>
      </w:pPr>
      <w:r w:rsidRPr="002E68D5">
        <w:rPr>
          <w:rFonts w:ascii="Times New Roman" w:eastAsia="Times New Roman" w:hAnsi="Times New Roman" w:cs="Times New Roman"/>
          <w:sz w:val="24"/>
          <w:szCs w:val="24"/>
          <w:lang w:val="en-US"/>
        </w:rPr>
        <w:t>Financial reporting quality</w:t>
      </w:r>
      <w:r w:rsidRPr="002E68D5">
        <w:rPr>
          <w:rFonts w:ascii="Times New Roman" w:eastAsia="Times New Roman" w:hAnsi="Times New Roman" w:cs="Times New Roman"/>
          <w:sz w:val="24"/>
          <w:szCs w:val="24"/>
        </w:rPr>
        <w:t xml:space="preserve"> =f (</w:t>
      </w:r>
      <w:r w:rsidRPr="002E68D5">
        <w:rPr>
          <w:rFonts w:ascii="Times New Roman" w:eastAsia="Times New Roman" w:hAnsi="Times New Roman" w:cs="Times New Roman"/>
          <w:sz w:val="24"/>
          <w:szCs w:val="24"/>
          <w:lang w:val="en-US"/>
        </w:rPr>
        <w:t>Firm attributes</w:t>
      </w:r>
      <w:r w:rsidRPr="002E68D5">
        <w:rPr>
          <w:rFonts w:ascii="Times New Roman" w:eastAsia="Times New Roman" w:hAnsi="Times New Roman" w:cs="Times New Roman"/>
          <w:sz w:val="24"/>
          <w:szCs w:val="24"/>
        </w:rPr>
        <w:t>)</w:t>
      </w:r>
      <w:r w:rsidRPr="002E68D5">
        <w:rPr>
          <w:rFonts w:ascii="Times New Roman" w:eastAsia="Times New Roman" w:hAnsi="Times New Roman" w:cs="Times New Roman"/>
          <w:sz w:val="24"/>
          <w:szCs w:val="24"/>
        </w:rPr>
        <w:tab/>
      </w:r>
    </w:p>
    <w:p w14:paraId="4037F581" w14:textId="77777777" w:rsidR="0072696F" w:rsidRPr="002E68D5" w:rsidRDefault="0072696F" w:rsidP="0072696F">
      <w:pPr>
        <w:spacing w:line="480" w:lineRule="auto"/>
        <w:jc w:val="both"/>
        <w:rPr>
          <w:rFonts w:ascii="Times New Roman" w:eastAsia="Times New Roman" w:hAnsi="Times New Roman" w:cs="Times New Roman"/>
          <w:sz w:val="24"/>
          <w:szCs w:val="24"/>
        </w:rPr>
      </w:pPr>
      <w:r w:rsidRPr="002E68D5">
        <w:rPr>
          <w:rFonts w:ascii="Times New Roman" w:eastAsia="Times New Roman" w:hAnsi="Times New Roman" w:cs="Times New Roman"/>
          <w:sz w:val="24"/>
          <w:szCs w:val="24"/>
          <w:lang w:val="en-US"/>
        </w:rPr>
        <w:t>Income smoothing</w:t>
      </w:r>
      <w:r w:rsidRPr="002E68D5">
        <w:rPr>
          <w:rFonts w:ascii="Times New Roman" w:eastAsia="Times New Roman" w:hAnsi="Times New Roman" w:cs="Times New Roman"/>
          <w:sz w:val="24"/>
          <w:szCs w:val="24"/>
        </w:rPr>
        <w:t xml:space="preserve"> = f(</w:t>
      </w:r>
      <w:r w:rsidRPr="002E68D5">
        <w:rPr>
          <w:rFonts w:ascii="Times New Roman" w:eastAsia="Times New Roman" w:hAnsi="Times New Roman" w:cs="Times New Roman"/>
          <w:sz w:val="24"/>
          <w:szCs w:val="24"/>
          <w:lang w:val="en-US"/>
        </w:rPr>
        <w:t>auditor type, sustainability disclosure practices and board financial expertise</w:t>
      </w:r>
      <w:r w:rsidRPr="002E68D5">
        <w:rPr>
          <w:rFonts w:ascii="Times New Roman" w:eastAsia="Times New Roman" w:hAnsi="Times New Roman" w:cs="Times New Roman"/>
          <w:sz w:val="24"/>
          <w:szCs w:val="24"/>
        </w:rPr>
        <w:t>)</w:t>
      </w:r>
    </w:p>
    <w:p w14:paraId="3DD228CF" w14:textId="77777777" w:rsidR="0072696F" w:rsidRPr="002E68D5" w:rsidRDefault="0072696F" w:rsidP="0072696F">
      <w:pPr>
        <w:spacing w:after="0" w:line="480" w:lineRule="auto"/>
        <w:jc w:val="both"/>
        <w:rPr>
          <w:rFonts w:ascii="Times New Roman" w:eastAsia="Times New Roman" w:hAnsi="Times New Roman" w:cs="Times New Roman"/>
          <w:bCs/>
          <w:sz w:val="24"/>
          <w:szCs w:val="24"/>
          <w:vertAlign w:val="subscript"/>
          <w:lang w:val="en-GB"/>
        </w:rPr>
      </w:pPr>
      <w:proofErr w:type="spellStart"/>
      <w:r w:rsidRPr="002E68D5">
        <w:rPr>
          <w:rFonts w:ascii="Times New Roman" w:eastAsia="Times New Roman" w:hAnsi="Times New Roman" w:cs="Times New Roman"/>
          <w:bCs/>
          <w:sz w:val="24"/>
          <w:szCs w:val="24"/>
          <w:lang w:val="en-GB"/>
        </w:rPr>
        <w:t>INCS</w:t>
      </w:r>
      <w:r w:rsidRPr="002E68D5">
        <w:rPr>
          <w:rFonts w:ascii="Times New Roman" w:eastAsia="Times New Roman" w:hAnsi="Times New Roman" w:cs="Times New Roman"/>
          <w:bCs/>
          <w:sz w:val="24"/>
          <w:szCs w:val="24"/>
          <w:vertAlign w:val="subscript"/>
          <w:lang w:val="en-GB"/>
        </w:rPr>
        <w:t>it</w:t>
      </w:r>
      <w:proofErr w:type="spellEnd"/>
      <w:r w:rsidRPr="002E68D5">
        <w:rPr>
          <w:rFonts w:ascii="Times New Roman" w:eastAsia="Times New Roman" w:hAnsi="Times New Roman" w:cs="Times New Roman"/>
          <w:bCs/>
          <w:sz w:val="24"/>
          <w:szCs w:val="24"/>
          <w:lang w:val="en-GB"/>
        </w:rPr>
        <w:t xml:space="preserve"> =</w:t>
      </w:r>
      <w:r w:rsidRPr="002E68D5">
        <w:rPr>
          <w:rFonts w:ascii="Times New Roman" w:eastAsia="Times New Roman" w:hAnsi="Times New Roman" w:cs="Times New Roman"/>
          <w:bCs/>
          <w:sz w:val="24"/>
          <w:szCs w:val="24"/>
        </w:rPr>
        <w:t xml:space="preserve"> β</w:t>
      </w:r>
      <w:r w:rsidRPr="002E68D5">
        <w:rPr>
          <w:rFonts w:ascii="Times New Roman" w:eastAsia="Times New Roman" w:hAnsi="Times New Roman" w:cs="Times New Roman"/>
          <w:bCs/>
          <w:sz w:val="24"/>
          <w:szCs w:val="24"/>
          <w:vertAlign w:val="subscript"/>
          <w:lang w:val="en-GB"/>
        </w:rPr>
        <w:fldChar w:fldCharType="begin"/>
      </w:r>
      <w:r w:rsidRPr="002E68D5">
        <w:rPr>
          <w:rFonts w:ascii="Times New Roman" w:eastAsia="Times New Roman" w:hAnsi="Times New Roman" w:cs="Times New Roman"/>
          <w:bCs/>
          <w:sz w:val="24"/>
          <w:szCs w:val="24"/>
          <w:vertAlign w:val="subscript"/>
          <w:lang w:val="en-GB"/>
        </w:rPr>
        <w:instrText xml:space="preserve"> QUOTE  </w:instrText>
      </w:r>
      <w:r w:rsidRPr="002E68D5">
        <w:rPr>
          <w:rFonts w:ascii="Times New Roman" w:eastAsia="Times New Roman" w:hAnsi="Times New Roman" w:cs="Times New Roman"/>
          <w:bCs/>
          <w:sz w:val="24"/>
          <w:szCs w:val="24"/>
          <w:vertAlign w:val="subscript"/>
          <w:lang w:val="en-GB"/>
        </w:rPr>
        <w:fldChar w:fldCharType="end"/>
      </w:r>
      <w:r w:rsidRPr="002E68D5">
        <w:rPr>
          <w:rFonts w:ascii="Times New Roman" w:eastAsia="Times New Roman" w:hAnsi="Times New Roman" w:cs="Times New Roman"/>
          <w:bCs/>
          <w:sz w:val="24"/>
          <w:szCs w:val="24"/>
          <w:vertAlign w:val="subscript"/>
          <w:lang w:val="en-GB"/>
        </w:rPr>
        <w:t>0</w:t>
      </w:r>
      <w:r w:rsidRPr="002E68D5">
        <w:rPr>
          <w:rFonts w:ascii="Times New Roman" w:eastAsia="Times New Roman" w:hAnsi="Times New Roman" w:cs="Times New Roman"/>
          <w:bCs/>
          <w:sz w:val="24"/>
          <w:szCs w:val="24"/>
          <w:lang w:val="en-GB"/>
        </w:rPr>
        <w:t xml:space="preserve"> + +</w:t>
      </w:r>
      <w:r w:rsidRPr="002E68D5">
        <w:rPr>
          <w:rFonts w:ascii="Times New Roman" w:eastAsia="Times New Roman" w:hAnsi="Times New Roman" w:cs="Times New Roman"/>
          <w:bCs/>
          <w:sz w:val="24"/>
          <w:szCs w:val="24"/>
        </w:rPr>
        <w:t>β</w:t>
      </w:r>
      <w:r w:rsidRPr="002E68D5">
        <w:rPr>
          <w:rFonts w:ascii="Times New Roman" w:eastAsia="Times New Roman" w:hAnsi="Times New Roman" w:cs="Times New Roman"/>
          <w:bCs/>
          <w:sz w:val="24"/>
          <w:szCs w:val="24"/>
          <w:vertAlign w:val="subscript"/>
          <w:lang w:val="en-GB"/>
        </w:rPr>
        <w:t xml:space="preserve">1 </w:t>
      </w:r>
      <w:proofErr w:type="spellStart"/>
      <w:r w:rsidRPr="002E68D5">
        <w:rPr>
          <w:rFonts w:ascii="Times New Roman" w:eastAsia="Times New Roman" w:hAnsi="Times New Roman" w:cs="Times New Roman"/>
          <w:bCs/>
          <w:sz w:val="24"/>
          <w:szCs w:val="24"/>
          <w:lang w:val="en-GB"/>
        </w:rPr>
        <w:t>AUTT</w:t>
      </w:r>
      <w:r w:rsidRPr="002E68D5">
        <w:rPr>
          <w:rFonts w:ascii="Times New Roman" w:eastAsia="Times New Roman" w:hAnsi="Times New Roman" w:cs="Times New Roman"/>
          <w:bCs/>
          <w:sz w:val="24"/>
          <w:szCs w:val="24"/>
          <w:vertAlign w:val="subscript"/>
          <w:lang w:val="en-GB"/>
        </w:rPr>
        <w:t>it</w:t>
      </w:r>
      <w:proofErr w:type="spellEnd"/>
      <w:r w:rsidRPr="002E68D5">
        <w:rPr>
          <w:rFonts w:ascii="Times New Roman" w:eastAsia="Times New Roman" w:hAnsi="Times New Roman" w:cs="Times New Roman"/>
          <w:bCs/>
          <w:sz w:val="24"/>
          <w:szCs w:val="24"/>
          <w:lang w:val="en-GB"/>
        </w:rPr>
        <w:t xml:space="preserve"> + </w:t>
      </w:r>
      <w:r w:rsidRPr="002E68D5">
        <w:rPr>
          <w:rFonts w:ascii="Times New Roman" w:eastAsia="Times New Roman" w:hAnsi="Times New Roman" w:cs="Times New Roman"/>
          <w:bCs/>
          <w:sz w:val="24"/>
          <w:szCs w:val="24"/>
        </w:rPr>
        <w:t>β</w:t>
      </w:r>
      <w:r w:rsidRPr="002E68D5">
        <w:rPr>
          <w:rFonts w:ascii="Times New Roman" w:eastAsia="Times New Roman" w:hAnsi="Times New Roman" w:cs="Times New Roman"/>
          <w:bCs/>
          <w:sz w:val="24"/>
          <w:szCs w:val="24"/>
          <w:vertAlign w:val="subscript"/>
          <w:lang w:val="en-US"/>
        </w:rPr>
        <w:t>2</w:t>
      </w:r>
      <w:proofErr w:type="spellStart"/>
      <w:r w:rsidRPr="002E68D5">
        <w:rPr>
          <w:rFonts w:ascii="Times New Roman" w:eastAsia="Times New Roman" w:hAnsi="Times New Roman" w:cs="Times New Roman"/>
          <w:bCs/>
          <w:sz w:val="24"/>
          <w:szCs w:val="24"/>
          <w:lang w:val="en-GB"/>
        </w:rPr>
        <w:t>SUDP</w:t>
      </w:r>
      <w:r w:rsidRPr="002E68D5">
        <w:rPr>
          <w:rFonts w:ascii="Times New Roman" w:eastAsia="Times New Roman" w:hAnsi="Times New Roman" w:cs="Times New Roman"/>
          <w:bCs/>
          <w:sz w:val="24"/>
          <w:szCs w:val="24"/>
          <w:vertAlign w:val="subscript"/>
          <w:lang w:val="en-GB"/>
        </w:rPr>
        <w:t>it</w:t>
      </w:r>
      <w:proofErr w:type="spellEnd"/>
      <w:r w:rsidRPr="002E68D5">
        <w:rPr>
          <w:rFonts w:ascii="Times New Roman" w:eastAsia="Times New Roman" w:hAnsi="Times New Roman" w:cs="Times New Roman"/>
          <w:bCs/>
          <w:sz w:val="24"/>
          <w:szCs w:val="24"/>
          <w:lang w:val="en-GB"/>
        </w:rPr>
        <w:t xml:space="preserve"> + </w:t>
      </w:r>
      <w:r w:rsidRPr="002E68D5">
        <w:rPr>
          <w:rFonts w:ascii="Times New Roman" w:eastAsia="Times New Roman" w:hAnsi="Times New Roman" w:cs="Times New Roman"/>
          <w:bCs/>
          <w:sz w:val="24"/>
          <w:szCs w:val="24"/>
        </w:rPr>
        <w:t>β</w:t>
      </w:r>
      <w:r w:rsidRPr="002E68D5">
        <w:rPr>
          <w:rFonts w:ascii="Times New Roman" w:eastAsia="Times New Roman" w:hAnsi="Times New Roman" w:cs="Times New Roman"/>
          <w:bCs/>
          <w:sz w:val="24"/>
          <w:szCs w:val="24"/>
          <w:vertAlign w:val="subscript"/>
          <w:lang w:val="en-US"/>
        </w:rPr>
        <w:t>3</w:t>
      </w:r>
      <w:r w:rsidRPr="002E68D5">
        <w:rPr>
          <w:rFonts w:ascii="Times New Roman" w:eastAsia="Times New Roman" w:hAnsi="Times New Roman" w:cs="Times New Roman"/>
          <w:bCs/>
          <w:sz w:val="24"/>
          <w:szCs w:val="24"/>
          <w:vertAlign w:val="subscript"/>
          <w:lang w:val="en-GB"/>
        </w:rPr>
        <w:t xml:space="preserve"> </w:t>
      </w:r>
      <w:proofErr w:type="spellStart"/>
      <w:r w:rsidRPr="002E68D5">
        <w:rPr>
          <w:rFonts w:ascii="Times New Roman" w:eastAsia="Times New Roman" w:hAnsi="Times New Roman" w:cs="Times New Roman"/>
          <w:bCs/>
          <w:sz w:val="24"/>
          <w:szCs w:val="24"/>
          <w:lang w:val="en-GB"/>
        </w:rPr>
        <w:t>BOFE</w:t>
      </w:r>
      <w:r w:rsidRPr="002E68D5">
        <w:rPr>
          <w:rFonts w:ascii="Times New Roman" w:eastAsia="Times New Roman" w:hAnsi="Times New Roman" w:cs="Times New Roman"/>
          <w:bCs/>
          <w:sz w:val="24"/>
          <w:szCs w:val="24"/>
          <w:vertAlign w:val="subscript"/>
          <w:lang w:val="en-GB"/>
        </w:rPr>
        <w:t>it</w:t>
      </w:r>
      <w:proofErr w:type="spellEnd"/>
      <w:r w:rsidRPr="002E68D5">
        <w:rPr>
          <w:rFonts w:ascii="Times New Roman" w:eastAsia="Times New Roman" w:hAnsi="Times New Roman" w:cs="Times New Roman"/>
          <w:bCs/>
          <w:sz w:val="24"/>
          <w:szCs w:val="24"/>
          <w:lang w:val="en-GB"/>
        </w:rPr>
        <w:t>+</w:t>
      </w:r>
      <w:r w:rsidRPr="002E68D5">
        <w:rPr>
          <w:rFonts w:ascii="Times New Roman" w:eastAsia="Times New Roman" w:hAnsi="Times New Roman" w:cs="Times New Roman"/>
          <w:bCs/>
          <w:sz w:val="24"/>
          <w:szCs w:val="24"/>
        </w:rPr>
        <w:t>β</w:t>
      </w:r>
      <w:r w:rsidRPr="002E68D5">
        <w:rPr>
          <w:rFonts w:ascii="Times New Roman" w:eastAsia="Times New Roman" w:hAnsi="Times New Roman" w:cs="Times New Roman"/>
          <w:bCs/>
          <w:sz w:val="24"/>
          <w:szCs w:val="24"/>
          <w:vertAlign w:val="subscript"/>
          <w:lang w:val="en-US"/>
        </w:rPr>
        <w:t>4</w:t>
      </w:r>
      <w:proofErr w:type="spellStart"/>
      <w:r w:rsidRPr="002E68D5">
        <w:rPr>
          <w:rFonts w:ascii="Times New Roman" w:eastAsia="Times New Roman" w:hAnsi="Times New Roman" w:cs="Times New Roman"/>
          <w:bCs/>
          <w:sz w:val="24"/>
          <w:szCs w:val="24"/>
          <w:lang w:val="en-GB"/>
        </w:rPr>
        <w:t>FIMZ</w:t>
      </w:r>
      <w:r w:rsidRPr="002E68D5">
        <w:rPr>
          <w:rFonts w:ascii="Times New Roman" w:eastAsia="Times New Roman" w:hAnsi="Times New Roman" w:cs="Times New Roman"/>
          <w:bCs/>
          <w:sz w:val="24"/>
          <w:szCs w:val="24"/>
          <w:vertAlign w:val="subscript"/>
          <w:lang w:val="en-GB"/>
        </w:rPr>
        <w:t>it</w:t>
      </w:r>
      <w:proofErr w:type="spellEnd"/>
      <w:r w:rsidRPr="002E68D5">
        <w:rPr>
          <w:rFonts w:ascii="Times New Roman" w:eastAsia="Times New Roman" w:hAnsi="Times New Roman" w:cs="Times New Roman"/>
          <w:bCs/>
          <w:sz w:val="24"/>
          <w:szCs w:val="24"/>
          <w:lang w:val="en-GB"/>
        </w:rPr>
        <w:t xml:space="preserve"> + £</w:t>
      </w:r>
      <w:r w:rsidRPr="002E68D5">
        <w:rPr>
          <w:rFonts w:ascii="Times New Roman" w:eastAsia="Times New Roman" w:hAnsi="Times New Roman" w:cs="Times New Roman"/>
          <w:bCs/>
          <w:sz w:val="24"/>
          <w:szCs w:val="24"/>
          <w:vertAlign w:val="subscript"/>
          <w:lang w:val="en-GB"/>
        </w:rPr>
        <w:t>it</w:t>
      </w:r>
    </w:p>
    <w:p w14:paraId="427469F6" w14:textId="77777777" w:rsidR="0072696F" w:rsidRPr="002E68D5" w:rsidRDefault="0072696F" w:rsidP="0072696F">
      <w:pPr>
        <w:spacing w:after="0" w:line="240" w:lineRule="auto"/>
        <w:jc w:val="both"/>
        <w:rPr>
          <w:rFonts w:ascii="Times New Roman" w:eastAsia="Times New Roman" w:hAnsi="Times New Roman" w:cs="Times New Roman"/>
          <w:sz w:val="24"/>
          <w:szCs w:val="24"/>
          <w:lang w:val="en-GB"/>
        </w:rPr>
      </w:pPr>
      <w:r w:rsidRPr="002E68D5">
        <w:rPr>
          <w:rFonts w:ascii="Times New Roman" w:eastAsia="Times New Roman" w:hAnsi="Times New Roman" w:cs="Times New Roman"/>
          <w:sz w:val="24"/>
          <w:szCs w:val="24"/>
          <w:lang w:val="en-GB"/>
        </w:rPr>
        <w:t>Where:</w:t>
      </w:r>
    </w:p>
    <w:p w14:paraId="0711D744" w14:textId="77777777" w:rsidR="0072696F" w:rsidRPr="002E68D5" w:rsidRDefault="0072696F" w:rsidP="0072696F">
      <w:pPr>
        <w:spacing w:after="0" w:line="240" w:lineRule="auto"/>
        <w:jc w:val="both"/>
        <w:rPr>
          <w:rFonts w:ascii="Times New Roman" w:eastAsia="Times New Roman" w:hAnsi="Times New Roman" w:cs="Times New Roman"/>
          <w:sz w:val="24"/>
          <w:szCs w:val="24"/>
          <w:lang w:val="en-GB"/>
        </w:rPr>
      </w:pPr>
      <w:r w:rsidRPr="002E68D5">
        <w:rPr>
          <w:rFonts w:ascii="Times New Roman" w:eastAsia="Times New Roman" w:hAnsi="Times New Roman" w:cs="Times New Roman"/>
          <w:sz w:val="24"/>
          <w:szCs w:val="24"/>
          <w:lang w:val="en-GB"/>
        </w:rPr>
        <w:t>INCS</w:t>
      </w:r>
      <w:r w:rsidRPr="002E68D5">
        <w:rPr>
          <w:rFonts w:ascii="Times New Roman" w:eastAsia="Times New Roman" w:hAnsi="Times New Roman" w:cs="Times New Roman"/>
          <w:sz w:val="24"/>
          <w:szCs w:val="24"/>
          <w:lang w:val="en-GB"/>
        </w:rPr>
        <w:tab/>
      </w:r>
      <w:r w:rsidRPr="002E68D5">
        <w:rPr>
          <w:rFonts w:ascii="Times New Roman" w:eastAsia="Times New Roman" w:hAnsi="Times New Roman" w:cs="Times New Roman"/>
          <w:sz w:val="24"/>
          <w:szCs w:val="24"/>
          <w:lang w:val="en-GB"/>
        </w:rPr>
        <w:tab/>
        <w:t xml:space="preserve">=   </w:t>
      </w:r>
      <w:r w:rsidRPr="002E68D5">
        <w:rPr>
          <w:rFonts w:ascii="Times New Roman" w:eastAsia="Times New Roman" w:hAnsi="Times New Roman" w:cs="Times New Roman"/>
          <w:sz w:val="24"/>
          <w:szCs w:val="24"/>
          <w:lang w:val="en-GB"/>
        </w:rPr>
        <w:tab/>
        <w:t>Income Smoothing</w:t>
      </w:r>
    </w:p>
    <w:p w14:paraId="527BF776" w14:textId="77777777" w:rsidR="0072696F" w:rsidRPr="002E68D5" w:rsidRDefault="0072696F" w:rsidP="0072696F">
      <w:pPr>
        <w:spacing w:after="0" w:line="240" w:lineRule="auto"/>
        <w:jc w:val="both"/>
        <w:rPr>
          <w:rFonts w:ascii="Times New Roman" w:eastAsia="Times New Roman" w:hAnsi="Times New Roman" w:cs="Times New Roman"/>
          <w:sz w:val="24"/>
          <w:szCs w:val="24"/>
          <w:lang w:val="en-GB"/>
        </w:rPr>
      </w:pPr>
      <w:r w:rsidRPr="002E68D5">
        <w:rPr>
          <w:rFonts w:ascii="Times New Roman" w:eastAsia="Times New Roman" w:hAnsi="Times New Roman" w:cs="Times New Roman"/>
          <w:sz w:val="24"/>
          <w:szCs w:val="24"/>
          <w:lang w:val="en-GB"/>
        </w:rPr>
        <w:t>AUTT</w:t>
      </w:r>
      <w:r w:rsidRPr="002E68D5">
        <w:rPr>
          <w:rFonts w:ascii="Times New Roman" w:eastAsia="Times New Roman" w:hAnsi="Times New Roman" w:cs="Times New Roman"/>
          <w:sz w:val="24"/>
          <w:szCs w:val="24"/>
          <w:lang w:val="en-GB"/>
        </w:rPr>
        <w:tab/>
      </w:r>
      <w:r w:rsidRPr="002E68D5">
        <w:rPr>
          <w:rFonts w:ascii="Times New Roman" w:eastAsia="Times New Roman" w:hAnsi="Times New Roman" w:cs="Times New Roman"/>
          <w:sz w:val="24"/>
          <w:szCs w:val="24"/>
          <w:lang w:val="en-GB"/>
        </w:rPr>
        <w:tab/>
        <w:t xml:space="preserve">=  </w:t>
      </w:r>
      <w:r w:rsidRPr="002E68D5">
        <w:rPr>
          <w:rFonts w:ascii="Times New Roman" w:eastAsia="Times New Roman" w:hAnsi="Times New Roman" w:cs="Times New Roman"/>
          <w:sz w:val="24"/>
          <w:szCs w:val="24"/>
          <w:lang w:val="en-GB"/>
        </w:rPr>
        <w:tab/>
        <w:t>Auditor type</w:t>
      </w:r>
    </w:p>
    <w:p w14:paraId="78D146B3" w14:textId="77777777" w:rsidR="0072696F" w:rsidRPr="002E68D5" w:rsidRDefault="0072696F" w:rsidP="0072696F">
      <w:pPr>
        <w:spacing w:after="0" w:line="240" w:lineRule="auto"/>
        <w:jc w:val="both"/>
        <w:rPr>
          <w:rFonts w:ascii="Times New Roman" w:eastAsia="Times New Roman" w:hAnsi="Times New Roman" w:cs="Times New Roman"/>
          <w:sz w:val="24"/>
          <w:szCs w:val="24"/>
          <w:lang w:val="en-GB"/>
        </w:rPr>
      </w:pPr>
      <w:r w:rsidRPr="002E68D5">
        <w:rPr>
          <w:rFonts w:ascii="Times New Roman" w:eastAsia="Times New Roman" w:hAnsi="Times New Roman" w:cs="Times New Roman"/>
          <w:sz w:val="24"/>
          <w:szCs w:val="24"/>
          <w:lang w:val="en-GB"/>
        </w:rPr>
        <w:t>SUDP</w:t>
      </w:r>
      <w:r w:rsidRPr="002E68D5">
        <w:rPr>
          <w:rFonts w:ascii="Times New Roman" w:eastAsia="Times New Roman" w:hAnsi="Times New Roman" w:cs="Times New Roman"/>
          <w:sz w:val="24"/>
          <w:szCs w:val="24"/>
          <w:lang w:val="en-GB"/>
        </w:rPr>
        <w:tab/>
      </w:r>
      <w:r w:rsidRPr="002E68D5">
        <w:rPr>
          <w:rFonts w:ascii="Times New Roman" w:eastAsia="Times New Roman" w:hAnsi="Times New Roman" w:cs="Times New Roman"/>
          <w:sz w:val="24"/>
          <w:szCs w:val="24"/>
          <w:lang w:val="en-GB"/>
        </w:rPr>
        <w:tab/>
        <w:t xml:space="preserve">=  </w:t>
      </w:r>
      <w:r w:rsidRPr="002E68D5">
        <w:rPr>
          <w:rFonts w:ascii="Times New Roman" w:eastAsia="Times New Roman" w:hAnsi="Times New Roman" w:cs="Times New Roman"/>
          <w:sz w:val="24"/>
          <w:szCs w:val="24"/>
          <w:lang w:val="en-GB"/>
        </w:rPr>
        <w:tab/>
        <w:t>Sustainability disclosure practices</w:t>
      </w:r>
    </w:p>
    <w:p w14:paraId="0F924342" w14:textId="77777777" w:rsidR="0072696F" w:rsidRPr="002E68D5" w:rsidRDefault="0072696F" w:rsidP="0072696F">
      <w:pPr>
        <w:spacing w:after="0" w:line="240" w:lineRule="auto"/>
        <w:jc w:val="both"/>
        <w:rPr>
          <w:rFonts w:ascii="Times New Roman" w:eastAsia="Times New Roman" w:hAnsi="Times New Roman" w:cs="Times New Roman"/>
          <w:sz w:val="24"/>
          <w:szCs w:val="24"/>
          <w:lang w:val="en-GB"/>
        </w:rPr>
      </w:pPr>
      <w:r w:rsidRPr="002E68D5">
        <w:rPr>
          <w:rFonts w:ascii="Times New Roman" w:eastAsia="Times New Roman" w:hAnsi="Times New Roman" w:cs="Times New Roman"/>
          <w:sz w:val="24"/>
          <w:szCs w:val="24"/>
          <w:lang w:val="en-GB"/>
        </w:rPr>
        <w:t>BOFE</w:t>
      </w:r>
      <w:r w:rsidRPr="002E68D5">
        <w:rPr>
          <w:rFonts w:ascii="Times New Roman" w:eastAsia="Times New Roman" w:hAnsi="Times New Roman" w:cs="Times New Roman"/>
          <w:sz w:val="24"/>
          <w:szCs w:val="24"/>
          <w:lang w:val="en-GB"/>
        </w:rPr>
        <w:tab/>
      </w:r>
      <w:r w:rsidRPr="002E68D5">
        <w:rPr>
          <w:rFonts w:ascii="Times New Roman" w:eastAsia="Times New Roman" w:hAnsi="Times New Roman" w:cs="Times New Roman"/>
          <w:sz w:val="24"/>
          <w:szCs w:val="24"/>
          <w:lang w:val="en-GB"/>
        </w:rPr>
        <w:tab/>
        <w:t xml:space="preserve">=  </w:t>
      </w:r>
      <w:r w:rsidRPr="002E68D5">
        <w:rPr>
          <w:rFonts w:ascii="Times New Roman" w:eastAsia="Times New Roman" w:hAnsi="Times New Roman" w:cs="Times New Roman"/>
          <w:sz w:val="24"/>
          <w:szCs w:val="24"/>
          <w:lang w:val="en-GB"/>
        </w:rPr>
        <w:tab/>
        <w:t>Board financial expertise</w:t>
      </w:r>
    </w:p>
    <w:p w14:paraId="792AE2C3" w14:textId="77777777" w:rsidR="0072696F" w:rsidRPr="002E68D5" w:rsidRDefault="0072696F" w:rsidP="0072696F">
      <w:pPr>
        <w:spacing w:after="0" w:line="240" w:lineRule="auto"/>
        <w:jc w:val="both"/>
        <w:rPr>
          <w:rFonts w:ascii="Times New Roman" w:eastAsia="Times New Roman" w:hAnsi="Times New Roman" w:cs="Times New Roman"/>
          <w:sz w:val="24"/>
          <w:szCs w:val="24"/>
          <w:lang w:val="en-GB"/>
        </w:rPr>
      </w:pPr>
      <w:r w:rsidRPr="002E68D5">
        <w:rPr>
          <w:rFonts w:ascii="Times New Roman" w:eastAsia="Times New Roman" w:hAnsi="Times New Roman" w:cs="Times New Roman"/>
          <w:sz w:val="24"/>
          <w:szCs w:val="24"/>
          <w:lang w:val="en-GB"/>
        </w:rPr>
        <w:t>FIMZ</w:t>
      </w:r>
      <w:r w:rsidRPr="002E68D5">
        <w:rPr>
          <w:rFonts w:ascii="Times New Roman" w:eastAsia="Times New Roman" w:hAnsi="Times New Roman" w:cs="Times New Roman"/>
          <w:sz w:val="24"/>
          <w:szCs w:val="24"/>
          <w:lang w:val="en-GB"/>
        </w:rPr>
        <w:tab/>
      </w:r>
      <w:r w:rsidRPr="002E68D5">
        <w:rPr>
          <w:rFonts w:ascii="Times New Roman" w:eastAsia="Times New Roman" w:hAnsi="Times New Roman" w:cs="Times New Roman"/>
          <w:sz w:val="24"/>
          <w:szCs w:val="24"/>
          <w:lang w:val="en-GB"/>
        </w:rPr>
        <w:tab/>
        <w:t xml:space="preserve">=  </w:t>
      </w:r>
      <w:r w:rsidRPr="002E68D5">
        <w:rPr>
          <w:rFonts w:ascii="Times New Roman" w:eastAsia="Times New Roman" w:hAnsi="Times New Roman" w:cs="Times New Roman"/>
          <w:sz w:val="24"/>
          <w:szCs w:val="24"/>
          <w:lang w:val="en-GB"/>
        </w:rPr>
        <w:tab/>
        <w:t>Firm size (Control variable)</w:t>
      </w:r>
    </w:p>
    <w:p w14:paraId="7D4A3DFC" w14:textId="77777777" w:rsidR="0072696F" w:rsidRPr="002E68D5" w:rsidRDefault="0072696F" w:rsidP="0072696F">
      <w:pPr>
        <w:spacing w:after="0" w:line="240" w:lineRule="auto"/>
        <w:jc w:val="both"/>
        <w:rPr>
          <w:rFonts w:ascii="Times New Roman" w:eastAsia="Times New Roman" w:hAnsi="Times New Roman" w:cs="Times New Roman"/>
          <w:bCs/>
          <w:sz w:val="24"/>
          <w:szCs w:val="24"/>
          <w:vertAlign w:val="subscript"/>
          <w:lang w:val="en-GB"/>
        </w:rPr>
      </w:pPr>
      <w:r w:rsidRPr="002E68D5">
        <w:rPr>
          <w:rFonts w:ascii="Times New Roman" w:eastAsia="Times New Roman" w:hAnsi="Times New Roman" w:cs="Times New Roman"/>
          <w:bCs/>
          <w:sz w:val="24"/>
          <w:szCs w:val="24"/>
        </w:rPr>
        <w:t>β</w:t>
      </w:r>
      <w:r w:rsidRPr="002E68D5">
        <w:rPr>
          <w:rFonts w:ascii="Times New Roman" w:eastAsia="Times New Roman" w:hAnsi="Times New Roman" w:cs="Times New Roman"/>
          <w:bCs/>
          <w:sz w:val="24"/>
          <w:szCs w:val="24"/>
          <w:vertAlign w:val="subscript"/>
          <w:lang w:val="en-GB"/>
        </w:rPr>
        <w:fldChar w:fldCharType="begin"/>
      </w:r>
      <w:r w:rsidRPr="002E68D5">
        <w:rPr>
          <w:rFonts w:ascii="Times New Roman" w:eastAsia="Times New Roman" w:hAnsi="Times New Roman" w:cs="Times New Roman"/>
          <w:bCs/>
          <w:sz w:val="24"/>
          <w:szCs w:val="24"/>
          <w:vertAlign w:val="subscript"/>
          <w:lang w:val="en-GB"/>
        </w:rPr>
        <w:instrText xml:space="preserve"> QUOTE  </w:instrText>
      </w:r>
      <w:r w:rsidRPr="002E68D5">
        <w:rPr>
          <w:rFonts w:ascii="Times New Roman" w:eastAsia="Times New Roman" w:hAnsi="Times New Roman" w:cs="Times New Roman"/>
          <w:bCs/>
          <w:sz w:val="24"/>
          <w:szCs w:val="24"/>
          <w:vertAlign w:val="subscript"/>
          <w:lang w:val="en-GB"/>
        </w:rPr>
        <w:fldChar w:fldCharType="end"/>
      </w:r>
      <w:r w:rsidRPr="002E68D5">
        <w:rPr>
          <w:rFonts w:ascii="Times New Roman" w:eastAsia="Times New Roman" w:hAnsi="Times New Roman" w:cs="Times New Roman"/>
          <w:bCs/>
          <w:sz w:val="24"/>
          <w:szCs w:val="24"/>
          <w:vertAlign w:val="subscript"/>
          <w:lang w:val="en-GB"/>
        </w:rPr>
        <w:t xml:space="preserve">0                               </w:t>
      </w:r>
      <w:r w:rsidRPr="002E68D5">
        <w:rPr>
          <w:rFonts w:ascii="Times New Roman" w:eastAsia="Times New Roman" w:hAnsi="Times New Roman" w:cs="Times New Roman"/>
          <w:bCs/>
          <w:sz w:val="24"/>
          <w:szCs w:val="24"/>
          <w:lang w:val="en-GB"/>
        </w:rPr>
        <w:t xml:space="preserve">=  </w:t>
      </w:r>
      <w:r w:rsidRPr="002E68D5">
        <w:rPr>
          <w:rFonts w:ascii="Times New Roman" w:eastAsia="Times New Roman" w:hAnsi="Times New Roman" w:cs="Times New Roman"/>
          <w:bCs/>
          <w:sz w:val="24"/>
          <w:szCs w:val="24"/>
          <w:lang w:val="en-GB"/>
        </w:rPr>
        <w:tab/>
        <w:t>Model intercept</w:t>
      </w:r>
    </w:p>
    <w:p w14:paraId="2438E329" w14:textId="77777777" w:rsidR="0072696F" w:rsidRPr="002E68D5" w:rsidRDefault="0072696F" w:rsidP="0072696F">
      <w:pPr>
        <w:spacing w:after="0" w:line="240" w:lineRule="auto"/>
        <w:jc w:val="both"/>
        <w:rPr>
          <w:rFonts w:ascii="Times New Roman" w:eastAsia="Times New Roman" w:hAnsi="Times New Roman" w:cs="Times New Roman"/>
          <w:bCs/>
          <w:sz w:val="24"/>
          <w:szCs w:val="24"/>
          <w:lang w:val="en-GB"/>
        </w:rPr>
      </w:pPr>
      <w:r w:rsidRPr="002E68D5">
        <w:rPr>
          <w:rFonts w:ascii="Times New Roman" w:eastAsia="Times New Roman" w:hAnsi="Times New Roman" w:cs="Times New Roman"/>
          <w:bCs/>
          <w:sz w:val="24"/>
          <w:szCs w:val="24"/>
        </w:rPr>
        <w:t>β</w:t>
      </w:r>
      <w:r w:rsidRPr="002E68D5">
        <w:rPr>
          <w:rFonts w:ascii="Times New Roman" w:eastAsia="Times New Roman" w:hAnsi="Times New Roman" w:cs="Times New Roman"/>
          <w:bCs/>
          <w:sz w:val="24"/>
          <w:szCs w:val="24"/>
          <w:vertAlign w:val="subscript"/>
          <w:lang w:val="en-GB"/>
        </w:rPr>
        <w:fldChar w:fldCharType="begin"/>
      </w:r>
      <w:r w:rsidRPr="002E68D5">
        <w:rPr>
          <w:rFonts w:ascii="Times New Roman" w:eastAsia="Times New Roman" w:hAnsi="Times New Roman" w:cs="Times New Roman"/>
          <w:bCs/>
          <w:sz w:val="24"/>
          <w:szCs w:val="24"/>
          <w:vertAlign w:val="subscript"/>
          <w:lang w:val="en-GB"/>
        </w:rPr>
        <w:instrText xml:space="preserve"> QUOTE  </w:instrText>
      </w:r>
      <w:r w:rsidRPr="002E68D5">
        <w:rPr>
          <w:rFonts w:ascii="Times New Roman" w:eastAsia="Times New Roman" w:hAnsi="Times New Roman" w:cs="Times New Roman"/>
          <w:bCs/>
          <w:sz w:val="24"/>
          <w:szCs w:val="24"/>
          <w:vertAlign w:val="subscript"/>
          <w:lang w:val="en-GB"/>
        </w:rPr>
        <w:fldChar w:fldCharType="end"/>
      </w:r>
      <w:r w:rsidRPr="002E68D5">
        <w:rPr>
          <w:rFonts w:ascii="Times New Roman" w:eastAsia="Times New Roman" w:hAnsi="Times New Roman" w:cs="Times New Roman"/>
          <w:bCs/>
          <w:sz w:val="24"/>
          <w:szCs w:val="24"/>
          <w:vertAlign w:val="subscript"/>
          <w:lang w:val="en-GB"/>
        </w:rPr>
        <w:t>1-</w:t>
      </w:r>
      <w:r w:rsidRPr="002E68D5">
        <w:rPr>
          <w:rFonts w:ascii="Times New Roman" w:eastAsia="Times New Roman" w:hAnsi="Times New Roman" w:cs="Times New Roman"/>
          <w:bCs/>
          <w:sz w:val="24"/>
          <w:szCs w:val="24"/>
        </w:rPr>
        <w:t>β</w:t>
      </w:r>
      <w:r w:rsidRPr="002E68D5">
        <w:rPr>
          <w:rFonts w:ascii="Times New Roman" w:eastAsia="Times New Roman" w:hAnsi="Times New Roman" w:cs="Times New Roman"/>
          <w:bCs/>
          <w:sz w:val="24"/>
          <w:szCs w:val="24"/>
          <w:vertAlign w:val="subscript"/>
          <w:lang w:val="en-GB"/>
        </w:rPr>
        <w:fldChar w:fldCharType="begin"/>
      </w:r>
      <w:r w:rsidRPr="002E68D5">
        <w:rPr>
          <w:rFonts w:ascii="Times New Roman" w:eastAsia="Times New Roman" w:hAnsi="Times New Roman" w:cs="Times New Roman"/>
          <w:bCs/>
          <w:sz w:val="24"/>
          <w:szCs w:val="24"/>
          <w:vertAlign w:val="subscript"/>
          <w:lang w:val="en-GB"/>
        </w:rPr>
        <w:instrText xml:space="preserve"> QUOTE  </w:instrText>
      </w:r>
      <w:r w:rsidRPr="002E68D5">
        <w:rPr>
          <w:rFonts w:ascii="Times New Roman" w:eastAsia="Times New Roman" w:hAnsi="Times New Roman" w:cs="Times New Roman"/>
          <w:bCs/>
          <w:sz w:val="24"/>
          <w:szCs w:val="24"/>
          <w:vertAlign w:val="subscript"/>
          <w:lang w:val="en-GB"/>
        </w:rPr>
        <w:fldChar w:fldCharType="end"/>
      </w:r>
      <w:r w:rsidRPr="002E68D5">
        <w:rPr>
          <w:rFonts w:ascii="Times New Roman" w:eastAsia="Times New Roman" w:hAnsi="Times New Roman" w:cs="Times New Roman"/>
          <w:bCs/>
          <w:sz w:val="24"/>
          <w:szCs w:val="24"/>
          <w:vertAlign w:val="subscript"/>
          <w:lang w:val="en-GB"/>
        </w:rPr>
        <w:t>4</w:t>
      </w:r>
      <w:r w:rsidRPr="002E68D5">
        <w:rPr>
          <w:rFonts w:ascii="Times New Roman" w:eastAsia="Times New Roman" w:hAnsi="Times New Roman" w:cs="Times New Roman"/>
          <w:bCs/>
          <w:sz w:val="24"/>
          <w:szCs w:val="24"/>
          <w:vertAlign w:val="subscript"/>
          <w:lang w:val="en-GB"/>
        </w:rPr>
        <w:tab/>
      </w:r>
      <w:r w:rsidRPr="002E68D5">
        <w:rPr>
          <w:rFonts w:ascii="Times New Roman" w:eastAsia="Times New Roman" w:hAnsi="Times New Roman" w:cs="Times New Roman"/>
          <w:bCs/>
          <w:sz w:val="24"/>
          <w:szCs w:val="24"/>
          <w:vertAlign w:val="subscript"/>
          <w:lang w:val="en-GB"/>
        </w:rPr>
        <w:tab/>
      </w:r>
      <w:r w:rsidRPr="002E68D5">
        <w:rPr>
          <w:rFonts w:ascii="Times New Roman" w:eastAsia="Times New Roman" w:hAnsi="Times New Roman" w:cs="Times New Roman"/>
          <w:bCs/>
          <w:sz w:val="24"/>
          <w:szCs w:val="24"/>
          <w:lang w:val="en-GB"/>
        </w:rPr>
        <w:t xml:space="preserve">=   </w:t>
      </w:r>
      <w:r w:rsidRPr="002E68D5">
        <w:rPr>
          <w:rFonts w:ascii="Times New Roman" w:eastAsia="Times New Roman" w:hAnsi="Times New Roman" w:cs="Times New Roman"/>
          <w:bCs/>
          <w:sz w:val="24"/>
          <w:szCs w:val="24"/>
          <w:lang w:val="en-GB"/>
        </w:rPr>
        <w:tab/>
        <w:t>Coefficient to be estimated in the study</w:t>
      </w:r>
    </w:p>
    <w:p w14:paraId="356F640D" w14:textId="77777777" w:rsidR="0072696F" w:rsidRPr="002E68D5" w:rsidRDefault="0072696F" w:rsidP="0072696F">
      <w:pPr>
        <w:spacing w:after="0" w:line="240" w:lineRule="auto"/>
        <w:jc w:val="both"/>
        <w:rPr>
          <w:rFonts w:ascii="Times New Roman" w:eastAsia="Times New Roman" w:hAnsi="Times New Roman" w:cs="Times New Roman"/>
          <w:bCs/>
          <w:sz w:val="24"/>
          <w:szCs w:val="24"/>
          <w:lang w:val="en-GB"/>
        </w:rPr>
      </w:pPr>
      <w:r w:rsidRPr="002E68D5">
        <w:rPr>
          <w:rFonts w:ascii="Times New Roman" w:eastAsia="Times New Roman" w:hAnsi="Times New Roman" w:cs="Times New Roman"/>
          <w:bCs/>
          <w:sz w:val="24"/>
          <w:szCs w:val="24"/>
          <w:vertAlign w:val="subscript"/>
          <w:lang w:val="en-GB"/>
        </w:rPr>
        <w:t>it</w:t>
      </w:r>
      <w:r w:rsidRPr="002E68D5">
        <w:rPr>
          <w:rFonts w:ascii="Times New Roman" w:eastAsia="Times New Roman" w:hAnsi="Times New Roman" w:cs="Times New Roman"/>
          <w:bCs/>
          <w:sz w:val="24"/>
          <w:szCs w:val="24"/>
          <w:vertAlign w:val="subscript"/>
          <w:lang w:val="en-GB"/>
        </w:rPr>
        <w:tab/>
      </w:r>
      <w:r w:rsidRPr="002E68D5">
        <w:rPr>
          <w:rFonts w:ascii="Times New Roman" w:eastAsia="Times New Roman" w:hAnsi="Times New Roman" w:cs="Times New Roman"/>
          <w:bCs/>
          <w:sz w:val="24"/>
          <w:szCs w:val="24"/>
          <w:vertAlign w:val="subscript"/>
          <w:lang w:val="en-GB"/>
        </w:rPr>
        <w:tab/>
      </w:r>
      <w:r w:rsidRPr="002E68D5">
        <w:rPr>
          <w:rFonts w:ascii="Times New Roman" w:eastAsia="Times New Roman" w:hAnsi="Times New Roman" w:cs="Times New Roman"/>
          <w:bCs/>
          <w:sz w:val="24"/>
          <w:szCs w:val="24"/>
          <w:lang w:val="en-GB"/>
        </w:rPr>
        <w:t xml:space="preserve">=    </w:t>
      </w:r>
      <w:r w:rsidRPr="002E68D5">
        <w:rPr>
          <w:rFonts w:ascii="Times New Roman" w:eastAsia="Times New Roman" w:hAnsi="Times New Roman" w:cs="Times New Roman"/>
          <w:bCs/>
          <w:sz w:val="24"/>
          <w:szCs w:val="24"/>
          <w:lang w:val="en-GB"/>
        </w:rPr>
        <w:tab/>
        <w:t>Cross section of listed nonfinancial companies with time variant</w:t>
      </w:r>
    </w:p>
    <w:p w14:paraId="0D5E1D7E" w14:textId="77777777" w:rsidR="0072696F" w:rsidRPr="002E68D5" w:rsidRDefault="0072696F" w:rsidP="0072696F">
      <w:pPr>
        <w:spacing w:after="0" w:line="240" w:lineRule="auto"/>
        <w:jc w:val="both"/>
        <w:rPr>
          <w:rFonts w:ascii="Times New Roman" w:eastAsia="Times New Roman" w:hAnsi="Times New Roman" w:cs="Times New Roman"/>
          <w:bCs/>
          <w:sz w:val="24"/>
          <w:szCs w:val="24"/>
          <w:lang w:val="en-GB"/>
        </w:rPr>
      </w:pPr>
      <w:r w:rsidRPr="002E68D5">
        <w:rPr>
          <w:rFonts w:ascii="Times New Roman" w:eastAsia="Times New Roman" w:hAnsi="Times New Roman" w:cs="Times New Roman"/>
          <w:bCs/>
          <w:sz w:val="24"/>
          <w:szCs w:val="24"/>
          <w:lang w:val="en-GB"/>
        </w:rPr>
        <w:t>£</w:t>
      </w:r>
      <w:r w:rsidRPr="002E68D5">
        <w:rPr>
          <w:rFonts w:ascii="Times New Roman" w:eastAsia="Times New Roman" w:hAnsi="Times New Roman" w:cs="Times New Roman"/>
          <w:bCs/>
          <w:sz w:val="24"/>
          <w:szCs w:val="24"/>
          <w:vertAlign w:val="subscript"/>
          <w:lang w:val="en-GB"/>
        </w:rPr>
        <w:t>it</w:t>
      </w:r>
      <w:r w:rsidRPr="002E68D5">
        <w:rPr>
          <w:rFonts w:ascii="Times New Roman" w:eastAsia="Times New Roman" w:hAnsi="Times New Roman" w:cs="Times New Roman"/>
          <w:bCs/>
          <w:sz w:val="24"/>
          <w:szCs w:val="24"/>
          <w:lang w:val="en-GB"/>
        </w:rPr>
        <w:tab/>
      </w:r>
      <w:r w:rsidRPr="002E68D5">
        <w:rPr>
          <w:rFonts w:ascii="Times New Roman" w:eastAsia="Times New Roman" w:hAnsi="Times New Roman" w:cs="Times New Roman"/>
          <w:bCs/>
          <w:sz w:val="24"/>
          <w:szCs w:val="24"/>
          <w:lang w:val="en-GB"/>
        </w:rPr>
        <w:tab/>
        <w:t xml:space="preserve"> =   </w:t>
      </w:r>
      <w:r w:rsidRPr="002E68D5">
        <w:rPr>
          <w:rFonts w:ascii="Times New Roman" w:eastAsia="Times New Roman" w:hAnsi="Times New Roman" w:cs="Times New Roman"/>
          <w:bCs/>
          <w:sz w:val="24"/>
          <w:szCs w:val="24"/>
          <w:lang w:val="en-GB"/>
        </w:rPr>
        <w:tab/>
        <w:t>Stochastic error term</w:t>
      </w:r>
    </w:p>
    <w:p w14:paraId="6E9E2B49" w14:textId="77777777" w:rsidR="0072696F" w:rsidRPr="002E68D5" w:rsidRDefault="0072696F" w:rsidP="0072696F">
      <w:pPr>
        <w:spacing w:after="0" w:line="240" w:lineRule="auto"/>
        <w:jc w:val="both"/>
        <w:rPr>
          <w:rFonts w:ascii="Times New Roman" w:eastAsia="SimSun" w:hAnsi="Times New Roman" w:cs="Times New Roman"/>
          <w:sz w:val="24"/>
          <w:szCs w:val="24"/>
          <w:lang w:eastAsia="zh-CN"/>
        </w:rPr>
      </w:pPr>
    </w:p>
    <w:p w14:paraId="44EF786B" w14:textId="77777777" w:rsidR="0072696F" w:rsidRPr="002E68D5" w:rsidRDefault="00084607" w:rsidP="0072696F">
      <w:pPr>
        <w:spacing w:before="240" w:after="0" w:line="480" w:lineRule="auto"/>
        <w:jc w:val="both"/>
        <w:rPr>
          <w:rFonts w:ascii="Times New Roman" w:eastAsia="Times New Roman" w:hAnsi="Times New Roman" w:cs="Times New Roman"/>
          <w:b/>
          <w:sz w:val="24"/>
          <w:szCs w:val="24"/>
          <w:lang w:val="en-GB" w:eastAsia="en-GB"/>
        </w:rPr>
      </w:pPr>
      <w:r w:rsidRPr="002E68D5">
        <w:rPr>
          <w:rFonts w:ascii="Times New Roman" w:eastAsia="DengXian" w:hAnsi="Times New Roman" w:cs="Times New Roman"/>
          <w:b/>
          <w:sz w:val="24"/>
          <w:szCs w:val="24"/>
          <w:lang w:val="en-US" w:eastAsia="zh-CN"/>
        </w:rPr>
        <w:t xml:space="preserve">4.0 </w:t>
      </w:r>
      <w:r w:rsidR="0072696F" w:rsidRPr="002E68D5">
        <w:rPr>
          <w:rFonts w:ascii="Times New Roman" w:eastAsia="Times New Roman" w:hAnsi="Times New Roman" w:cs="Times New Roman"/>
          <w:b/>
          <w:bCs/>
          <w:sz w:val="24"/>
          <w:szCs w:val="24"/>
          <w:lang w:val="en-GB" w:eastAsia="en-GB"/>
        </w:rPr>
        <w:t>Analysis and Discussion</w:t>
      </w:r>
    </w:p>
    <w:p w14:paraId="31EB861A" w14:textId="77777777" w:rsidR="0072696F" w:rsidRPr="002E68D5" w:rsidRDefault="0072696F" w:rsidP="0072696F">
      <w:pPr>
        <w:widowControl w:val="0"/>
        <w:autoSpaceDE w:val="0"/>
        <w:autoSpaceDN w:val="0"/>
        <w:adjustRightInd w:val="0"/>
        <w:spacing w:after="0" w:line="360" w:lineRule="auto"/>
        <w:rPr>
          <w:rFonts w:ascii="Times New Roman" w:eastAsia="DengXian" w:hAnsi="Times New Roman" w:cs="Times New Roman"/>
          <w:b/>
          <w:sz w:val="24"/>
          <w:szCs w:val="24"/>
          <w:lang w:eastAsia="zh-CN"/>
        </w:rPr>
      </w:pPr>
      <w:r w:rsidRPr="002E68D5">
        <w:rPr>
          <w:rFonts w:ascii="Times New Roman" w:hAnsi="Times New Roman" w:cs="Times New Roman"/>
          <w:b/>
          <w:bCs/>
          <w:sz w:val="24"/>
          <w:szCs w:val="24"/>
        </w:rPr>
        <w:t>Table 1</w:t>
      </w:r>
      <w:r w:rsidRPr="002E68D5">
        <w:rPr>
          <w:rFonts w:ascii="Times New Roman" w:hAnsi="Times New Roman" w:cs="Times New Roman"/>
          <w:b/>
          <w:bCs/>
          <w:sz w:val="24"/>
          <w:szCs w:val="24"/>
          <w:lang w:val="en-GB"/>
        </w:rPr>
        <w:t xml:space="preserve">: </w:t>
      </w:r>
      <w:r w:rsidRPr="002E68D5">
        <w:rPr>
          <w:rFonts w:ascii="Times New Roman" w:hAnsi="Times New Roman" w:cs="Times New Roman"/>
          <w:b/>
          <w:bCs/>
          <w:sz w:val="24"/>
          <w:szCs w:val="24"/>
        </w:rPr>
        <w:t xml:space="preserve">Descriptive </w:t>
      </w:r>
      <w:r w:rsidRPr="002E68D5">
        <w:rPr>
          <w:rFonts w:ascii="Times New Roman" w:hAnsi="Times New Roman" w:cs="Times New Roman"/>
          <w:b/>
          <w:bCs/>
          <w:sz w:val="24"/>
          <w:szCs w:val="24"/>
          <w:lang w:val="en-GB"/>
        </w:rPr>
        <w:t>s</w:t>
      </w:r>
      <w:r w:rsidRPr="002E68D5">
        <w:rPr>
          <w:rFonts w:ascii="Times New Roman" w:hAnsi="Times New Roman" w:cs="Times New Roman"/>
          <w:b/>
          <w:bCs/>
          <w:sz w:val="24"/>
          <w:szCs w:val="24"/>
        </w:rPr>
        <w:t>tatistics</w:t>
      </w:r>
      <w:r w:rsidRPr="002E68D5">
        <w:rPr>
          <w:rFonts w:ascii="Times New Roman" w:hAnsi="Times New Roman" w:cs="Times New Roman"/>
          <w:b/>
          <w:bCs/>
          <w:sz w:val="24"/>
          <w:szCs w:val="24"/>
          <w:lang w:val="en-GB"/>
        </w:rPr>
        <w:t xml:space="preserve"> of the effect of firm attributes on financial reporting quality</w:t>
      </w:r>
    </w:p>
    <w:tbl>
      <w:tblPr>
        <w:tblW w:w="0" w:type="auto"/>
        <w:tblLayout w:type="fixed"/>
        <w:tblLook w:val="0000" w:firstRow="0" w:lastRow="0" w:firstColumn="0" w:lastColumn="0" w:noHBand="0" w:noVBand="0"/>
      </w:tblPr>
      <w:tblGrid>
        <w:gridCol w:w="2508"/>
        <w:gridCol w:w="800"/>
        <w:gridCol w:w="1400"/>
        <w:gridCol w:w="1400"/>
        <w:gridCol w:w="1400"/>
        <w:gridCol w:w="1400"/>
      </w:tblGrid>
      <w:tr w:rsidR="002E68D5" w:rsidRPr="002E68D5" w14:paraId="2F6E14A6" w14:textId="77777777" w:rsidTr="00BD74E9">
        <w:tc>
          <w:tcPr>
            <w:tcW w:w="2508" w:type="dxa"/>
            <w:tcBorders>
              <w:top w:val="single" w:sz="4" w:space="0" w:color="auto"/>
              <w:left w:val="nil"/>
              <w:bottom w:val="single" w:sz="10" w:space="0" w:color="auto"/>
              <w:right w:val="nil"/>
            </w:tcBorders>
          </w:tcPr>
          <w:p w14:paraId="33845622"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Variable</w:t>
            </w:r>
          </w:p>
        </w:tc>
        <w:tc>
          <w:tcPr>
            <w:tcW w:w="800" w:type="dxa"/>
            <w:tcBorders>
              <w:top w:val="single" w:sz="4" w:space="0" w:color="auto"/>
              <w:left w:val="nil"/>
              <w:bottom w:val="single" w:sz="10" w:space="0" w:color="auto"/>
              <w:right w:val="nil"/>
            </w:tcBorders>
          </w:tcPr>
          <w:p w14:paraId="76E92326"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 xml:space="preserve"> Obs</w:t>
            </w:r>
          </w:p>
        </w:tc>
        <w:tc>
          <w:tcPr>
            <w:tcW w:w="1400" w:type="dxa"/>
            <w:tcBorders>
              <w:top w:val="single" w:sz="4" w:space="0" w:color="auto"/>
              <w:left w:val="nil"/>
              <w:bottom w:val="single" w:sz="10" w:space="0" w:color="auto"/>
              <w:right w:val="nil"/>
            </w:tcBorders>
          </w:tcPr>
          <w:p w14:paraId="68F66FF9"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 xml:space="preserve"> Mean</w:t>
            </w:r>
          </w:p>
        </w:tc>
        <w:tc>
          <w:tcPr>
            <w:tcW w:w="1400" w:type="dxa"/>
            <w:tcBorders>
              <w:top w:val="single" w:sz="4" w:space="0" w:color="auto"/>
              <w:left w:val="nil"/>
              <w:bottom w:val="single" w:sz="10" w:space="0" w:color="auto"/>
              <w:right w:val="nil"/>
            </w:tcBorders>
          </w:tcPr>
          <w:p w14:paraId="5132975F"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 xml:space="preserve"> Std. Dev.</w:t>
            </w:r>
          </w:p>
        </w:tc>
        <w:tc>
          <w:tcPr>
            <w:tcW w:w="1400" w:type="dxa"/>
            <w:tcBorders>
              <w:top w:val="single" w:sz="4" w:space="0" w:color="auto"/>
              <w:left w:val="nil"/>
              <w:bottom w:val="single" w:sz="10" w:space="0" w:color="auto"/>
              <w:right w:val="nil"/>
            </w:tcBorders>
          </w:tcPr>
          <w:p w14:paraId="1CE5F147"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 xml:space="preserve"> Min</w:t>
            </w:r>
          </w:p>
        </w:tc>
        <w:tc>
          <w:tcPr>
            <w:tcW w:w="1400" w:type="dxa"/>
            <w:tcBorders>
              <w:top w:val="single" w:sz="4" w:space="0" w:color="auto"/>
              <w:left w:val="nil"/>
              <w:bottom w:val="single" w:sz="10" w:space="0" w:color="auto"/>
              <w:right w:val="nil"/>
            </w:tcBorders>
          </w:tcPr>
          <w:p w14:paraId="3C65FB7F"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 xml:space="preserve"> Max</w:t>
            </w:r>
          </w:p>
        </w:tc>
      </w:tr>
      <w:tr w:rsidR="002E68D5" w:rsidRPr="002E68D5" w14:paraId="1D81216D" w14:textId="77777777" w:rsidTr="00BD74E9">
        <w:tc>
          <w:tcPr>
            <w:tcW w:w="2508" w:type="dxa"/>
            <w:tcBorders>
              <w:top w:val="nil"/>
              <w:left w:val="nil"/>
              <w:bottom w:val="nil"/>
              <w:right w:val="nil"/>
            </w:tcBorders>
          </w:tcPr>
          <w:p w14:paraId="2D1AF228"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lastRenderedPageBreak/>
              <w:t xml:space="preserve"> incs</w:t>
            </w:r>
          </w:p>
        </w:tc>
        <w:tc>
          <w:tcPr>
            <w:tcW w:w="800" w:type="dxa"/>
            <w:tcBorders>
              <w:top w:val="nil"/>
              <w:left w:val="nil"/>
              <w:bottom w:val="nil"/>
              <w:right w:val="nil"/>
            </w:tcBorders>
          </w:tcPr>
          <w:p w14:paraId="7DC8B7CD"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850</w:t>
            </w:r>
          </w:p>
        </w:tc>
        <w:tc>
          <w:tcPr>
            <w:tcW w:w="1400" w:type="dxa"/>
            <w:tcBorders>
              <w:top w:val="nil"/>
              <w:left w:val="nil"/>
              <w:bottom w:val="nil"/>
              <w:right w:val="nil"/>
            </w:tcBorders>
          </w:tcPr>
          <w:p w14:paraId="18403A6C"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14.535</w:t>
            </w:r>
          </w:p>
        </w:tc>
        <w:tc>
          <w:tcPr>
            <w:tcW w:w="1400" w:type="dxa"/>
            <w:tcBorders>
              <w:top w:val="nil"/>
              <w:left w:val="nil"/>
              <w:bottom w:val="nil"/>
              <w:right w:val="nil"/>
            </w:tcBorders>
          </w:tcPr>
          <w:p w14:paraId="730DF9F4"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751.589</w:t>
            </w:r>
          </w:p>
        </w:tc>
        <w:tc>
          <w:tcPr>
            <w:tcW w:w="1400" w:type="dxa"/>
            <w:tcBorders>
              <w:top w:val="nil"/>
              <w:left w:val="nil"/>
              <w:bottom w:val="nil"/>
              <w:right w:val="nil"/>
            </w:tcBorders>
          </w:tcPr>
          <w:p w14:paraId="7A3AF2BC"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-5475.142</w:t>
            </w:r>
          </w:p>
        </w:tc>
        <w:tc>
          <w:tcPr>
            <w:tcW w:w="1400" w:type="dxa"/>
            <w:tcBorders>
              <w:top w:val="nil"/>
              <w:left w:val="nil"/>
              <w:bottom w:val="nil"/>
              <w:right w:val="nil"/>
            </w:tcBorders>
          </w:tcPr>
          <w:p w14:paraId="427F021E"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21008.732</w:t>
            </w:r>
          </w:p>
        </w:tc>
      </w:tr>
      <w:tr w:rsidR="002E68D5" w:rsidRPr="002E68D5" w14:paraId="3C704635" w14:textId="77777777" w:rsidTr="00BD74E9">
        <w:tc>
          <w:tcPr>
            <w:tcW w:w="2508" w:type="dxa"/>
            <w:tcBorders>
              <w:top w:val="nil"/>
              <w:left w:val="nil"/>
              <w:bottom w:val="nil"/>
              <w:right w:val="nil"/>
            </w:tcBorders>
          </w:tcPr>
          <w:p w14:paraId="7DEC14FB"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autt</w:t>
            </w:r>
          </w:p>
        </w:tc>
        <w:tc>
          <w:tcPr>
            <w:tcW w:w="800" w:type="dxa"/>
            <w:tcBorders>
              <w:top w:val="nil"/>
              <w:left w:val="nil"/>
              <w:bottom w:val="nil"/>
              <w:right w:val="nil"/>
            </w:tcBorders>
          </w:tcPr>
          <w:p w14:paraId="64EDDED6"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850</w:t>
            </w:r>
          </w:p>
        </w:tc>
        <w:tc>
          <w:tcPr>
            <w:tcW w:w="1400" w:type="dxa"/>
            <w:tcBorders>
              <w:top w:val="nil"/>
              <w:left w:val="nil"/>
              <w:bottom w:val="nil"/>
              <w:right w:val="nil"/>
            </w:tcBorders>
          </w:tcPr>
          <w:p w14:paraId="148AA91D"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.661</w:t>
            </w:r>
          </w:p>
        </w:tc>
        <w:tc>
          <w:tcPr>
            <w:tcW w:w="1400" w:type="dxa"/>
            <w:tcBorders>
              <w:top w:val="nil"/>
              <w:left w:val="nil"/>
              <w:bottom w:val="nil"/>
              <w:right w:val="nil"/>
            </w:tcBorders>
          </w:tcPr>
          <w:p w14:paraId="26866A32"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.474</w:t>
            </w:r>
          </w:p>
        </w:tc>
        <w:tc>
          <w:tcPr>
            <w:tcW w:w="1400" w:type="dxa"/>
            <w:tcBorders>
              <w:top w:val="nil"/>
              <w:left w:val="nil"/>
              <w:bottom w:val="nil"/>
              <w:right w:val="nil"/>
            </w:tcBorders>
          </w:tcPr>
          <w:p w14:paraId="0DA4BD89"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0</w:t>
            </w:r>
          </w:p>
        </w:tc>
        <w:tc>
          <w:tcPr>
            <w:tcW w:w="1400" w:type="dxa"/>
            <w:tcBorders>
              <w:top w:val="nil"/>
              <w:left w:val="nil"/>
              <w:bottom w:val="nil"/>
              <w:right w:val="nil"/>
            </w:tcBorders>
          </w:tcPr>
          <w:p w14:paraId="0407DB2F"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1</w:t>
            </w:r>
          </w:p>
        </w:tc>
      </w:tr>
      <w:tr w:rsidR="002E68D5" w:rsidRPr="002E68D5" w14:paraId="1694DA83" w14:textId="77777777" w:rsidTr="00BD74E9">
        <w:tc>
          <w:tcPr>
            <w:tcW w:w="2508" w:type="dxa"/>
            <w:tcBorders>
              <w:top w:val="nil"/>
              <w:left w:val="nil"/>
              <w:bottom w:val="nil"/>
              <w:right w:val="nil"/>
            </w:tcBorders>
          </w:tcPr>
          <w:p w14:paraId="3A423892"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sudp</w:t>
            </w:r>
          </w:p>
        </w:tc>
        <w:tc>
          <w:tcPr>
            <w:tcW w:w="800" w:type="dxa"/>
            <w:tcBorders>
              <w:top w:val="nil"/>
              <w:left w:val="nil"/>
              <w:bottom w:val="nil"/>
              <w:right w:val="nil"/>
            </w:tcBorders>
          </w:tcPr>
          <w:p w14:paraId="1981004C"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850</w:t>
            </w:r>
          </w:p>
        </w:tc>
        <w:tc>
          <w:tcPr>
            <w:tcW w:w="1400" w:type="dxa"/>
            <w:tcBorders>
              <w:top w:val="nil"/>
              <w:left w:val="nil"/>
              <w:bottom w:val="nil"/>
              <w:right w:val="nil"/>
            </w:tcBorders>
          </w:tcPr>
          <w:p w14:paraId="04F5337D"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.703</w:t>
            </w:r>
          </w:p>
        </w:tc>
        <w:tc>
          <w:tcPr>
            <w:tcW w:w="1400" w:type="dxa"/>
            <w:tcBorders>
              <w:top w:val="nil"/>
              <w:left w:val="nil"/>
              <w:bottom w:val="nil"/>
              <w:right w:val="nil"/>
            </w:tcBorders>
          </w:tcPr>
          <w:p w14:paraId="4DC4E7A6"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.196</w:t>
            </w:r>
          </w:p>
        </w:tc>
        <w:tc>
          <w:tcPr>
            <w:tcW w:w="1400" w:type="dxa"/>
            <w:tcBorders>
              <w:top w:val="nil"/>
              <w:left w:val="nil"/>
              <w:bottom w:val="nil"/>
              <w:right w:val="nil"/>
            </w:tcBorders>
          </w:tcPr>
          <w:p w14:paraId="15F7AFB6"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.4</w:t>
            </w:r>
          </w:p>
        </w:tc>
        <w:tc>
          <w:tcPr>
            <w:tcW w:w="1400" w:type="dxa"/>
            <w:tcBorders>
              <w:top w:val="nil"/>
              <w:left w:val="nil"/>
              <w:bottom w:val="nil"/>
              <w:right w:val="nil"/>
            </w:tcBorders>
          </w:tcPr>
          <w:p w14:paraId="5A1C9BE1"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1</w:t>
            </w:r>
          </w:p>
        </w:tc>
      </w:tr>
      <w:tr w:rsidR="002E68D5" w:rsidRPr="002E68D5" w14:paraId="637E8EC6" w14:textId="77777777" w:rsidTr="00BD74E9">
        <w:tc>
          <w:tcPr>
            <w:tcW w:w="2508" w:type="dxa"/>
            <w:tcBorders>
              <w:top w:val="nil"/>
              <w:left w:val="nil"/>
              <w:bottom w:val="nil"/>
              <w:right w:val="nil"/>
            </w:tcBorders>
          </w:tcPr>
          <w:p w14:paraId="678F89E9"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bofe</w:t>
            </w:r>
          </w:p>
        </w:tc>
        <w:tc>
          <w:tcPr>
            <w:tcW w:w="800" w:type="dxa"/>
            <w:tcBorders>
              <w:top w:val="nil"/>
              <w:left w:val="nil"/>
              <w:bottom w:val="nil"/>
              <w:right w:val="nil"/>
            </w:tcBorders>
          </w:tcPr>
          <w:p w14:paraId="08AAA3F0"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850</w:t>
            </w:r>
          </w:p>
        </w:tc>
        <w:tc>
          <w:tcPr>
            <w:tcW w:w="1400" w:type="dxa"/>
            <w:tcBorders>
              <w:top w:val="nil"/>
              <w:left w:val="nil"/>
              <w:bottom w:val="nil"/>
              <w:right w:val="nil"/>
            </w:tcBorders>
          </w:tcPr>
          <w:p w14:paraId="155FDE12"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.234</w:t>
            </w:r>
          </w:p>
        </w:tc>
        <w:tc>
          <w:tcPr>
            <w:tcW w:w="1400" w:type="dxa"/>
            <w:tcBorders>
              <w:top w:val="nil"/>
              <w:left w:val="nil"/>
              <w:bottom w:val="nil"/>
              <w:right w:val="nil"/>
            </w:tcBorders>
          </w:tcPr>
          <w:p w14:paraId="19D70EA4"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.197</w:t>
            </w:r>
          </w:p>
        </w:tc>
        <w:tc>
          <w:tcPr>
            <w:tcW w:w="1400" w:type="dxa"/>
            <w:tcBorders>
              <w:top w:val="nil"/>
              <w:left w:val="nil"/>
              <w:bottom w:val="nil"/>
              <w:right w:val="nil"/>
            </w:tcBorders>
          </w:tcPr>
          <w:p w14:paraId="6A596299"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0</w:t>
            </w:r>
          </w:p>
        </w:tc>
        <w:tc>
          <w:tcPr>
            <w:tcW w:w="1400" w:type="dxa"/>
            <w:tcBorders>
              <w:top w:val="nil"/>
              <w:left w:val="nil"/>
              <w:bottom w:val="nil"/>
              <w:right w:val="nil"/>
            </w:tcBorders>
          </w:tcPr>
          <w:p w14:paraId="02286A31"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.833</w:t>
            </w:r>
          </w:p>
        </w:tc>
      </w:tr>
      <w:tr w:rsidR="002E68D5" w:rsidRPr="002E68D5" w14:paraId="43494BD7" w14:textId="77777777" w:rsidTr="00BD74E9">
        <w:tc>
          <w:tcPr>
            <w:tcW w:w="2508" w:type="dxa"/>
            <w:tcBorders>
              <w:top w:val="nil"/>
              <w:left w:val="nil"/>
              <w:bottom w:val="nil"/>
              <w:right w:val="nil"/>
            </w:tcBorders>
          </w:tcPr>
          <w:p w14:paraId="09382BE2"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fimz</w:t>
            </w:r>
          </w:p>
        </w:tc>
        <w:tc>
          <w:tcPr>
            <w:tcW w:w="800" w:type="dxa"/>
            <w:tcBorders>
              <w:top w:val="nil"/>
              <w:left w:val="nil"/>
              <w:bottom w:val="nil"/>
              <w:right w:val="nil"/>
            </w:tcBorders>
          </w:tcPr>
          <w:p w14:paraId="4AF84170"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850</w:t>
            </w:r>
          </w:p>
        </w:tc>
        <w:tc>
          <w:tcPr>
            <w:tcW w:w="1400" w:type="dxa"/>
            <w:tcBorders>
              <w:top w:val="nil"/>
              <w:left w:val="nil"/>
              <w:bottom w:val="nil"/>
              <w:right w:val="nil"/>
            </w:tcBorders>
          </w:tcPr>
          <w:p w14:paraId="30F33257"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17.046</w:t>
            </w:r>
          </w:p>
        </w:tc>
        <w:tc>
          <w:tcPr>
            <w:tcW w:w="1400" w:type="dxa"/>
            <w:tcBorders>
              <w:top w:val="nil"/>
              <w:left w:val="nil"/>
              <w:bottom w:val="nil"/>
              <w:right w:val="nil"/>
            </w:tcBorders>
          </w:tcPr>
          <w:p w14:paraId="7CDF0679"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3.613</w:t>
            </w:r>
          </w:p>
        </w:tc>
        <w:tc>
          <w:tcPr>
            <w:tcW w:w="1400" w:type="dxa"/>
            <w:tcBorders>
              <w:top w:val="nil"/>
              <w:left w:val="nil"/>
              <w:bottom w:val="nil"/>
              <w:right w:val="nil"/>
            </w:tcBorders>
          </w:tcPr>
          <w:p w14:paraId="13084C1E"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11.057</w:t>
            </w:r>
          </w:p>
        </w:tc>
        <w:tc>
          <w:tcPr>
            <w:tcW w:w="1400" w:type="dxa"/>
            <w:tcBorders>
              <w:top w:val="nil"/>
              <w:left w:val="nil"/>
              <w:bottom w:val="nil"/>
              <w:right w:val="nil"/>
            </w:tcBorders>
          </w:tcPr>
          <w:p w14:paraId="405CCDA0" w14:textId="77777777" w:rsidR="0072696F" w:rsidRPr="002E68D5" w:rsidRDefault="0072696F" w:rsidP="00BD74E9">
            <w:pPr>
              <w:widowControl w:val="0"/>
              <w:autoSpaceDE w:val="0"/>
              <w:autoSpaceDN w:val="0"/>
              <w:adjustRightInd w:val="0"/>
              <w:spacing w:after="0" w:line="240" w:lineRule="auto"/>
              <w:jc w:val="right"/>
              <w:rPr>
                <w:rFonts w:ascii="Times New Roman" w:hAnsi="Times New Roman" w:cs="Times New Roman"/>
                <w:sz w:val="24"/>
                <w:szCs w:val="24"/>
              </w:rPr>
            </w:pPr>
            <w:r w:rsidRPr="002E68D5">
              <w:rPr>
                <w:rFonts w:ascii="Times New Roman" w:hAnsi="Times New Roman" w:cs="Times New Roman"/>
                <w:sz w:val="24"/>
                <w:szCs w:val="24"/>
              </w:rPr>
              <w:t>25.511</w:t>
            </w:r>
          </w:p>
        </w:tc>
      </w:tr>
      <w:tr w:rsidR="002E68D5" w:rsidRPr="002E68D5" w14:paraId="3CD90189" w14:textId="77777777" w:rsidTr="00BD74E9">
        <w:trPr>
          <w:trHeight w:val="201"/>
        </w:trPr>
        <w:tc>
          <w:tcPr>
            <w:tcW w:w="8908" w:type="dxa"/>
            <w:gridSpan w:val="6"/>
            <w:tcBorders>
              <w:top w:val="single" w:sz="6" w:space="0" w:color="auto"/>
              <w:left w:val="nil"/>
              <w:bottom w:val="nil"/>
              <w:right w:val="nil"/>
            </w:tcBorders>
          </w:tcPr>
          <w:p w14:paraId="6DEF5357" w14:textId="77777777" w:rsidR="0072696F" w:rsidRPr="002E68D5" w:rsidRDefault="0072696F" w:rsidP="00BD74E9">
            <w:pPr>
              <w:spacing w:after="0" w:line="240" w:lineRule="auto"/>
              <w:rPr>
                <w:rFonts w:ascii="Times New Roman" w:hAnsi="Times New Roman" w:cs="Times New Roman"/>
                <w:bCs/>
                <w:sz w:val="24"/>
                <w:szCs w:val="24"/>
                <w:lang w:val="en-GB"/>
              </w:rPr>
            </w:pPr>
            <w:r w:rsidRPr="002E68D5">
              <w:rPr>
                <w:rFonts w:ascii="Times New Roman" w:hAnsi="Times New Roman" w:cs="Times New Roman"/>
                <w:bCs/>
                <w:sz w:val="24"/>
                <w:szCs w:val="24"/>
                <w:lang w:val="en-GB"/>
              </w:rPr>
              <w:t>Source: Author’s computation (2026)</w:t>
            </w:r>
          </w:p>
          <w:p w14:paraId="115D2173"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r>
    </w:tbl>
    <w:p w14:paraId="6C1CA68E" w14:textId="77777777" w:rsidR="0072696F" w:rsidRPr="002E68D5" w:rsidRDefault="0072696F" w:rsidP="0072696F">
      <w:pPr>
        <w:spacing w:after="0" w:line="480" w:lineRule="auto"/>
        <w:ind w:firstLine="720"/>
        <w:jc w:val="both"/>
        <w:rPr>
          <w:rFonts w:ascii="Times New Roman" w:eastAsia="DengXian" w:hAnsi="Times New Roman" w:cs="Times New Roman"/>
          <w:sz w:val="24"/>
          <w:szCs w:val="24"/>
          <w:lang w:eastAsia="zh-CN"/>
        </w:rPr>
      </w:pPr>
      <w:r>
        <w:rPr>
          <w:rFonts w:ascii="Times New Roman" w:hAnsi="Times New Roman" w:cs="Times New Roman"/>
          <w:sz w:val="24"/>
          <w:szCs w:val="24"/>
          <w:highlight w:val="yellow"/>
        </w:rPr>
        <w:t>As sh</w:t>
      </w:r>
      <w:r>
        <w:rPr>
          <w:rFonts w:ascii="Times New Roman" w:hAnsi="Times New Roman" w:cs="Times New Roman"/>
          <w:sz w:val="24"/>
          <w:szCs w:val="24"/>
        </w:rPr>
        <w:t>o</w:t>
      </w:r>
      <w:r>
        <w:rPr>
          <w:rFonts w:ascii="Times New Roman" w:hAnsi="Times New Roman" w:cs="Times New Roman"/>
          <w:sz w:val="24"/>
          <w:szCs w:val="24"/>
          <w:highlight w:val="yellow"/>
        </w:rPr>
        <w:t>wn in</w:t>
      </w:r>
      <w:r>
        <w:rPr>
          <w:rFonts w:ascii="Times New Roman" w:hAnsi="Times New Roman" w:cs="Times New Roman"/>
          <w:sz w:val="24"/>
          <w:szCs w:val="24"/>
        </w:rPr>
        <w:t xml:space="preserve"> Table 1, the dependent variable, </w:t>
      </w:r>
      <w:r>
        <w:rPr>
          <w:rFonts w:ascii="Times New Roman" w:hAnsi="Times New Roman" w:cs="Times New Roman"/>
          <w:sz w:val="24"/>
          <w:szCs w:val="24"/>
          <w:highlight w:val="yellow"/>
        </w:rPr>
        <w:t>i</w:t>
      </w:r>
      <w:r>
        <w:rPr>
          <w:rFonts w:ascii="Times New Roman" w:hAnsi="Times New Roman" w:cs="Times New Roman"/>
          <w:sz w:val="24"/>
          <w:szCs w:val="24"/>
        </w:rPr>
        <w:t xml:space="preserve">ncome </w:t>
      </w:r>
      <w:r>
        <w:rPr>
          <w:rFonts w:ascii="Times New Roman" w:hAnsi="Times New Roman" w:cs="Times New Roman"/>
          <w:sz w:val="24"/>
          <w:szCs w:val="24"/>
          <w:highlight w:val="yellow"/>
        </w:rPr>
        <w:t>s</w:t>
      </w:r>
      <w:r>
        <w:rPr>
          <w:rFonts w:ascii="Times New Roman" w:hAnsi="Times New Roman" w:cs="Times New Roman"/>
          <w:sz w:val="24"/>
          <w:szCs w:val="24"/>
        </w:rPr>
        <w:t>moothing (INCS), recorded an average value of 14.535. This suggests that, on average, firms exhibit a relatively moderate level of income smoothing behaviour. The standard deviation of 751.589, which is substantially higher than the mean, reflects a very high level of dispersion, suggesting the presence of outliers and significant inconsistencies in income smoothing practices among the sampled firms.</w:t>
      </w:r>
      <w:r>
        <w:rPr>
          <w:rFonts w:ascii="Times New Roman" w:hAnsi="Times New Roman" w:cs="Times New Roman"/>
          <w:sz w:val="24"/>
          <w:szCs w:val="24"/>
          <w:lang w:val="en-US"/>
        </w:rPr>
        <w:t xml:space="preserve"> </w:t>
      </w:r>
      <w:r>
        <w:rPr>
          <w:rFonts w:ascii="Times New Roman" w:hAnsi="Times New Roman" w:cs="Times New Roman"/>
          <w:sz w:val="24"/>
          <w:szCs w:val="24"/>
        </w:rPr>
        <w:t>Auditor type (AUTT), measured as a dummy variable, recorded a mean value of 0.661. This implies that approximately 66.1% of the sampled firms are audited by Big 4 audit firms, indicating a relatively high presence of reputable auditors. Board financial expertise (BOFE) recorded a mean value of 0.234, indicating that, on average, about 23.4% of board members possess</w:t>
      </w:r>
      <w:r>
        <w:rPr>
          <w:rFonts w:ascii="Times New Roman" w:hAnsi="Times New Roman" w:cs="Times New Roman"/>
          <w:sz w:val="24"/>
          <w:szCs w:val="24"/>
          <w:highlight w:val="yellow"/>
        </w:rPr>
        <w:t>ed</w:t>
      </w:r>
      <w:r>
        <w:rPr>
          <w:rFonts w:ascii="Times New Roman" w:hAnsi="Times New Roman" w:cs="Times New Roman"/>
          <w:sz w:val="24"/>
          <w:szCs w:val="24"/>
        </w:rPr>
        <w:t xml:space="preserve"> accounting or economics expertise. This suggests a relatively low level of financial expertise on corporate boards.</w:t>
      </w:r>
      <w:r>
        <w:rPr>
          <w:rFonts w:ascii="Times New Roman" w:hAnsi="Times New Roman" w:cs="Times New Roman"/>
          <w:sz w:val="24"/>
          <w:szCs w:val="24"/>
          <w:lang w:val="en-US"/>
        </w:rPr>
        <w:t xml:space="preserve"> </w:t>
      </w:r>
      <w:r>
        <w:rPr>
          <w:rFonts w:ascii="Times New Roman" w:hAnsi="Times New Roman" w:cs="Times New Roman"/>
          <w:sz w:val="24"/>
          <w:szCs w:val="24"/>
        </w:rPr>
        <w:t>Finally, firm size (FIMZ), measured as the natural logarithm of total assets, recorded a mean value of 17.046. This suggests that the sampled firms are, on average, moderately large in terms of asset base. The standard deviation of 3.613 indicates considerable dispersion, suggesting significant differences in firm scale, which may influence financial reporting quality and governance structures.</w:t>
      </w:r>
    </w:p>
    <w:p w14:paraId="222E81DC" w14:textId="77777777" w:rsidR="0072696F" w:rsidRPr="002E68D5" w:rsidRDefault="0072696F" w:rsidP="0072696F">
      <w:pPr>
        <w:spacing w:after="0" w:line="432" w:lineRule="auto"/>
        <w:ind w:firstLine="720"/>
        <w:jc w:val="both"/>
        <w:rPr>
          <w:rFonts w:ascii="Times New Roman" w:hAnsi="Times New Roman" w:cs="Times New Roman"/>
          <w:sz w:val="24"/>
          <w:szCs w:val="24"/>
          <w:lang w:val="en-GB"/>
        </w:rPr>
      </w:pPr>
    </w:p>
    <w:p w14:paraId="6D389A87" w14:textId="77777777" w:rsidR="0072696F" w:rsidRPr="002E68D5" w:rsidRDefault="0072696F" w:rsidP="0072696F">
      <w:pPr>
        <w:widowControl w:val="0"/>
        <w:autoSpaceDE w:val="0"/>
        <w:autoSpaceDN w:val="0"/>
        <w:adjustRightInd w:val="0"/>
        <w:spacing w:after="0" w:line="360" w:lineRule="auto"/>
        <w:rPr>
          <w:rFonts w:ascii="Times New Roman" w:hAnsi="Times New Roman" w:cs="Times New Roman"/>
          <w:b/>
          <w:sz w:val="24"/>
          <w:szCs w:val="24"/>
        </w:rPr>
      </w:pPr>
      <w:r w:rsidRPr="002E68D5">
        <w:rPr>
          <w:rFonts w:ascii="Times New Roman" w:hAnsi="Times New Roman" w:cs="Times New Roman"/>
          <w:b/>
          <w:bCs/>
          <w:sz w:val="24"/>
          <w:szCs w:val="24"/>
          <w:lang w:val="en-GB"/>
        </w:rPr>
        <w:t xml:space="preserve">Table.2: </w:t>
      </w:r>
      <w:r w:rsidRPr="002E68D5">
        <w:rPr>
          <w:rFonts w:ascii="Times New Roman" w:hAnsi="Times New Roman" w:cs="Times New Roman"/>
          <w:b/>
          <w:sz w:val="24"/>
          <w:szCs w:val="24"/>
        </w:rPr>
        <w:t>Shapiro-Wilk W test for normal data</w:t>
      </w:r>
    </w:p>
    <w:tbl>
      <w:tblPr>
        <w:tblW w:w="0" w:type="auto"/>
        <w:tblLayout w:type="fixed"/>
        <w:tblLook w:val="0000" w:firstRow="0" w:lastRow="0" w:firstColumn="0" w:lastColumn="0" w:noHBand="0" w:noVBand="0"/>
      </w:tblPr>
      <w:tblGrid>
        <w:gridCol w:w="1608"/>
        <w:gridCol w:w="1200"/>
        <w:gridCol w:w="1200"/>
        <w:gridCol w:w="1200"/>
        <w:gridCol w:w="1200"/>
        <w:gridCol w:w="1200"/>
      </w:tblGrid>
      <w:tr w:rsidR="002E68D5" w:rsidRPr="002E68D5" w14:paraId="2DC2B90E" w14:textId="77777777" w:rsidTr="00BD74E9">
        <w:tc>
          <w:tcPr>
            <w:tcW w:w="1608" w:type="dxa"/>
            <w:tcBorders>
              <w:top w:val="single" w:sz="4" w:space="0" w:color="auto"/>
              <w:left w:val="nil"/>
              <w:bottom w:val="single" w:sz="10" w:space="0" w:color="auto"/>
              <w:right w:val="nil"/>
            </w:tcBorders>
          </w:tcPr>
          <w:p w14:paraId="2F8D236E"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Variable </w:t>
            </w:r>
          </w:p>
        </w:tc>
        <w:tc>
          <w:tcPr>
            <w:tcW w:w="1200" w:type="dxa"/>
            <w:tcBorders>
              <w:top w:val="single" w:sz="4" w:space="0" w:color="auto"/>
              <w:left w:val="nil"/>
              <w:bottom w:val="single" w:sz="10" w:space="0" w:color="auto"/>
              <w:right w:val="nil"/>
            </w:tcBorders>
          </w:tcPr>
          <w:p w14:paraId="54950C80"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Obs</w:t>
            </w:r>
          </w:p>
        </w:tc>
        <w:tc>
          <w:tcPr>
            <w:tcW w:w="1200" w:type="dxa"/>
            <w:tcBorders>
              <w:top w:val="single" w:sz="4" w:space="0" w:color="auto"/>
              <w:left w:val="nil"/>
              <w:bottom w:val="single" w:sz="10" w:space="0" w:color="auto"/>
              <w:right w:val="nil"/>
            </w:tcBorders>
          </w:tcPr>
          <w:p w14:paraId="750D66A9"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W</w:t>
            </w:r>
          </w:p>
        </w:tc>
        <w:tc>
          <w:tcPr>
            <w:tcW w:w="1200" w:type="dxa"/>
            <w:tcBorders>
              <w:top w:val="single" w:sz="4" w:space="0" w:color="auto"/>
              <w:left w:val="nil"/>
              <w:bottom w:val="single" w:sz="10" w:space="0" w:color="auto"/>
              <w:right w:val="nil"/>
            </w:tcBorders>
          </w:tcPr>
          <w:p w14:paraId="1E284B45"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V</w:t>
            </w:r>
          </w:p>
        </w:tc>
        <w:tc>
          <w:tcPr>
            <w:tcW w:w="1200" w:type="dxa"/>
            <w:tcBorders>
              <w:top w:val="single" w:sz="4" w:space="0" w:color="auto"/>
              <w:left w:val="nil"/>
              <w:bottom w:val="single" w:sz="10" w:space="0" w:color="auto"/>
              <w:right w:val="nil"/>
            </w:tcBorders>
          </w:tcPr>
          <w:p w14:paraId="0ADC62DF"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z</w:t>
            </w:r>
          </w:p>
        </w:tc>
        <w:tc>
          <w:tcPr>
            <w:tcW w:w="1200" w:type="dxa"/>
            <w:tcBorders>
              <w:top w:val="single" w:sz="4" w:space="0" w:color="auto"/>
              <w:left w:val="nil"/>
              <w:bottom w:val="single" w:sz="10" w:space="0" w:color="auto"/>
              <w:right w:val="nil"/>
            </w:tcBorders>
          </w:tcPr>
          <w:p w14:paraId="43C9BF75"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Prob&gt;z</w:t>
            </w:r>
          </w:p>
        </w:tc>
      </w:tr>
      <w:tr w:rsidR="002E68D5" w:rsidRPr="002E68D5" w14:paraId="63C5BE3C" w14:textId="77777777" w:rsidTr="00BD74E9">
        <w:tc>
          <w:tcPr>
            <w:tcW w:w="1608" w:type="dxa"/>
            <w:tcBorders>
              <w:top w:val="nil"/>
              <w:left w:val="nil"/>
              <w:bottom w:val="nil"/>
              <w:right w:val="nil"/>
            </w:tcBorders>
          </w:tcPr>
          <w:p w14:paraId="224227DA"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intc </w:t>
            </w:r>
          </w:p>
        </w:tc>
        <w:tc>
          <w:tcPr>
            <w:tcW w:w="1200" w:type="dxa"/>
            <w:tcBorders>
              <w:top w:val="nil"/>
              <w:left w:val="nil"/>
              <w:bottom w:val="nil"/>
              <w:right w:val="nil"/>
            </w:tcBorders>
          </w:tcPr>
          <w:p w14:paraId="5EFFA0E6"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850</w:t>
            </w:r>
          </w:p>
        </w:tc>
        <w:tc>
          <w:tcPr>
            <w:tcW w:w="1200" w:type="dxa"/>
            <w:tcBorders>
              <w:top w:val="nil"/>
              <w:left w:val="nil"/>
              <w:bottom w:val="nil"/>
              <w:right w:val="nil"/>
            </w:tcBorders>
          </w:tcPr>
          <w:p w14:paraId="0FCC7512"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0.991</w:t>
            </w:r>
          </w:p>
        </w:tc>
        <w:tc>
          <w:tcPr>
            <w:tcW w:w="1200" w:type="dxa"/>
            <w:tcBorders>
              <w:top w:val="nil"/>
              <w:left w:val="nil"/>
              <w:bottom w:val="nil"/>
              <w:right w:val="nil"/>
            </w:tcBorders>
          </w:tcPr>
          <w:p w14:paraId="31B3DB07"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4.627</w:t>
            </w:r>
          </w:p>
        </w:tc>
        <w:tc>
          <w:tcPr>
            <w:tcW w:w="1200" w:type="dxa"/>
            <w:tcBorders>
              <w:top w:val="nil"/>
              <w:left w:val="nil"/>
              <w:bottom w:val="nil"/>
              <w:right w:val="nil"/>
            </w:tcBorders>
          </w:tcPr>
          <w:p w14:paraId="5BE66AD1"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3.768</w:t>
            </w:r>
          </w:p>
        </w:tc>
        <w:tc>
          <w:tcPr>
            <w:tcW w:w="1200" w:type="dxa"/>
            <w:tcBorders>
              <w:top w:val="nil"/>
              <w:left w:val="nil"/>
              <w:bottom w:val="nil"/>
              <w:right w:val="nil"/>
            </w:tcBorders>
          </w:tcPr>
          <w:p w14:paraId="319CB482"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0.000</w:t>
            </w:r>
          </w:p>
        </w:tc>
      </w:tr>
      <w:tr w:rsidR="002E68D5" w:rsidRPr="002E68D5" w14:paraId="09FE3680" w14:textId="77777777" w:rsidTr="00BD74E9">
        <w:tc>
          <w:tcPr>
            <w:tcW w:w="1608" w:type="dxa"/>
            <w:tcBorders>
              <w:top w:val="nil"/>
              <w:left w:val="nil"/>
              <w:bottom w:val="nil"/>
              <w:right w:val="nil"/>
            </w:tcBorders>
          </w:tcPr>
          <w:p w14:paraId="341FE9ED"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autt </w:t>
            </w:r>
          </w:p>
        </w:tc>
        <w:tc>
          <w:tcPr>
            <w:tcW w:w="1200" w:type="dxa"/>
            <w:tcBorders>
              <w:top w:val="nil"/>
              <w:left w:val="nil"/>
              <w:bottom w:val="nil"/>
              <w:right w:val="nil"/>
            </w:tcBorders>
          </w:tcPr>
          <w:p w14:paraId="475DF2AD"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850</w:t>
            </w:r>
          </w:p>
        </w:tc>
        <w:tc>
          <w:tcPr>
            <w:tcW w:w="1200" w:type="dxa"/>
            <w:tcBorders>
              <w:top w:val="nil"/>
              <w:left w:val="nil"/>
              <w:bottom w:val="nil"/>
              <w:right w:val="nil"/>
            </w:tcBorders>
          </w:tcPr>
          <w:p w14:paraId="7A33BEEB"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0.999</w:t>
            </w:r>
          </w:p>
        </w:tc>
        <w:tc>
          <w:tcPr>
            <w:tcW w:w="1200" w:type="dxa"/>
            <w:tcBorders>
              <w:top w:val="nil"/>
              <w:left w:val="nil"/>
              <w:bottom w:val="nil"/>
              <w:right w:val="nil"/>
            </w:tcBorders>
          </w:tcPr>
          <w:p w14:paraId="2E30490A"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0.599</w:t>
            </w:r>
          </w:p>
        </w:tc>
        <w:tc>
          <w:tcPr>
            <w:tcW w:w="1200" w:type="dxa"/>
            <w:tcBorders>
              <w:top w:val="nil"/>
              <w:left w:val="nil"/>
              <w:bottom w:val="nil"/>
              <w:right w:val="nil"/>
            </w:tcBorders>
          </w:tcPr>
          <w:p w14:paraId="0D6ECE4A"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-1.259</w:t>
            </w:r>
          </w:p>
        </w:tc>
        <w:tc>
          <w:tcPr>
            <w:tcW w:w="1200" w:type="dxa"/>
            <w:tcBorders>
              <w:top w:val="nil"/>
              <w:left w:val="nil"/>
              <w:bottom w:val="nil"/>
              <w:right w:val="nil"/>
            </w:tcBorders>
          </w:tcPr>
          <w:p w14:paraId="6EECB590"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0.896</w:t>
            </w:r>
          </w:p>
        </w:tc>
      </w:tr>
      <w:tr w:rsidR="002E68D5" w:rsidRPr="002E68D5" w14:paraId="177EC178" w14:textId="77777777" w:rsidTr="00BD74E9">
        <w:tc>
          <w:tcPr>
            <w:tcW w:w="1608" w:type="dxa"/>
            <w:tcBorders>
              <w:top w:val="nil"/>
              <w:left w:val="nil"/>
              <w:bottom w:val="nil"/>
              <w:right w:val="nil"/>
            </w:tcBorders>
          </w:tcPr>
          <w:p w14:paraId="787D703D"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sudp </w:t>
            </w:r>
          </w:p>
        </w:tc>
        <w:tc>
          <w:tcPr>
            <w:tcW w:w="1200" w:type="dxa"/>
            <w:tcBorders>
              <w:top w:val="nil"/>
              <w:left w:val="nil"/>
              <w:bottom w:val="nil"/>
              <w:right w:val="nil"/>
            </w:tcBorders>
          </w:tcPr>
          <w:p w14:paraId="7F47C6A6"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850</w:t>
            </w:r>
          </w:p>
        </w:tc>
        <w:tc>
          <w:tcPr>
            <w:tcW w:w="1200" w:type="dxa"/>
            <w:tcBorders>
              <w:top w:val="nil"/>
              <w:left w:val="nil"/>
              <w:bottom w:val="nil"/>
              <w:right w:val="nil"/>
            </w:tcBorders>
          </w:tcPr>
          <w:p w14:paraId="7F9CBD1F"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0.990</w:t>
            </w:r>
          </w:p>
        </w:tc>
        <w:tc>
          <w:tcPr>
            <w:tcW w:w="1200" w:type="dxa"/>
            <w:tcBorders>
              <w:top w:val="nil"/>
              <w:left w:val="nil"/>
              <w:bottom w:val="nil"/>
              <w:right w:val="nil"/>
            </w:tcBorders>
          </w:tcPr>
          <w:p w14:paraId="3B1040FA"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5.692</w:t>
            </w:r>
          </w:p>
        </w:tc>
        <w:tc>
          <w:tcPr>
            <w:tcW w:w="1200" w:type="dxa"/>
            <w:tcBorders>
              <w:top w:val="nil"/>
              <w:left w:val="nil"/>
              <w:bottom w:val="nil"/>
              <w:right w:val="nil"/>
            </w:tcBorders>
          </w:tcPr>
          <w:p w14:paraId="79999441"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4.278</w:t>
            </w:r>
          </w:p>
        </w:tc>
        <w:tc>
          <w:tcPr>
            <w:tcW w:w="1200" w:type="dxa"/>
            <w:tcBorders>
              <w:top w:val="nil"/>
              <w:left w:val="nil"/>
              <w:bottom w:val="nil"/>
              <w:right w:val="nil"/>
            </w:tcBorders>
          </w:tcPr>
          <w:p w14:paraId="13D96EDD"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0.000</w:t>
            </w:r>
          </w:p>
        </w:tc>
      </w:tr>
      <w:tr w:rsidR="002E68D5" w:rsidRPr="002E68D5" w14:paraId="68F7D73A" w14:textId="77777777" w:rsidTr="00BD74E9">
        <w:tc>
          <w:tcPr>
            <w:tcW w:w="1608" w:type="dxa"/>
            <w:tcBorders>
              <w:top w:val="nil"/>
              <w:left w:val="nil"/>
              <w:bottom w:val="nil"/>
              <w:right w:val="nil"/>
            </w:tcBorders>
          </w:tcPr>
          <w:p w14:paraId="74D0E05F"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bofe </w:t>
            </w:r>
          </w:p>
        </w:tc>
        <w:tc>
          <w:tcPr>
            <w:tcW w:w="1200" w:type="dxa"/>
            <w:tcBorders>
              <w:top w:val="nil"/>
              <w:left w:val="nil"/>
              <w:bottom w:val="nil"/>
              <w:right w:val="nil"/>
            </w:tcBorders>
          </w:tcPr>
          <w:p w14:paraId="0C3C9D2B"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850</w:t>
            </w:r>
          </w:p>
        </w:tc>
        <w:tc>
          <w:tcPr>
            <w:tcW w:w="1200" w:type="dxa"/>
            <w:tcBorders>
              <w:top w:val="nil"/>
              <w:left w:val="nil"/>
              <w:bottom w:val="nil"/>
              <w:right w:val="nil"/>
            </w:tcBorders>
          </w:tcPr>
          <w:p w14:paraId="0C662974"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0.973</w:t>
            </w:r>
          </w:p>
        </w:tc>
        <w:tc>
          <w:tcPr>
            <w:tcW w:w="1200" w:type="dxa"/>
            <w:tcBorders>
              <w:top w:val="nil"/>
              <w:left w:val="nil"/>
              <w:bottom w:val="nil"/>
              <w:right w:val="nil"/>
            </w:tcBorders>
          </w:tcPr>
          <w:p w14:paraId="46510EC6"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14.664</w:t>
            </w:r>
          </w:p>
        </w:tc>
        <w:tc>
          <w:tcPr>
            <w:tcW w:w="1200" w:type="dxa"/>
            <w:tcBorders>
              <w:top w:val="nil"/>
              <w:left w:val="nil"/>
              <w:bottom w:val="nil"/>
              <w:right w:val="nil"/>
            </w:tcBorders>
          </w:tcPr>
          <w:p w14:paraId="2EB08E48"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6.606</w:t>
            </w:r>
          </w:p>
        </w:tc>
        <w:tc>
          <w:tcPr>
            <w:tcW w:w="1200" w:type="dxa"/>
            <w:tcBorders>
              <w:top w:val="nil"/>
              <w:left w:val="nil"/>
              <w:bottom w:val="nil"/>
              <w:right w:val="nil"/>
            </w:tcBorders>
          </w:tcPr>
          <w:p w14:paraId="464F3D84"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0.000</w:t>
            </w:r>
          </w:p>
        </w:tc>
      </w:tr>
      <w:tr w:rsidR="002E68D5" w:rsidRPr="002E68D5" w14:paraId="091B36B4" w14:textId="77777777" w:rsidTr="00BD74E9">
        <w:tblPrEx>
          <w:tblBorders>
            <w:bottom w:val="single" w:sz="4" w:space="0" w:color="auto"/>
          </w:tblBorders>
        </w:tblPrEx>
        <w:tc>
          <w:tcPr>
            <w:tcW w:w="1608" w:type="dxa"/>
          </w:tcPr>
          <w:p w14:paraId="0708C9F4"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fimz </w:t>
            </w:r>
          </w:p>
        </w:tc>
        <w:tc>
          <w:tcPr>
            <w:tcW w:w="1200" w:type="dxa"/>
          </w:tcPr>
          <w:p w14:paraId="77384F1C"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850</w:t>
            </w:r>
          </w:p>
        </w:tc>
        <w:tc>
          <w:tcPr>
            <w:tcW w:w="1200" w:type="dxa"/>
          </w:tcPr>
          <w:p w14:paraId="463FCB39"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0.928</w:t>
            </w:r>
          </w:p>
        </w:tc>
        <w:tc>
          <w:tcPr>
            <w:tcW w:w="1200" w:type="dxa"/>
          </w:tcPr>
          <w:p w14:paraId="186432D6"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39.402</w:t>
            </w:r>
          </w:p>
        </w:tc>
        <w:tc>
          <w:tcPr>
            <w:tcW w:w="1200" w:type="dxa"/>
          </w:tcPr>
          <w:p w14:paraId="56FEE926"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9.037</w:t>
            </w:r>
          </w:p>
        </w:tc>
        <w:tc>
          <w:tcPr>
            <w:tcW w:w="1200" w:type="dxa"/>
          </w:tcPr>
          <w:p w14:paraId="0C43337F" w14:textId="77777777" w:rsidR="0072696F" w:rsidRPr="002E68D5" w:rsidRDefault="0072696F" w:rsidP="00DB406E">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 xml:space="preserve">    0.000</w:t>
            </w:r>
          </w:p>
        </w:tc>
      </w:tr>
    </w:tbl>
    <w:p w14:paraId="740E4744" w14:textId="77777777" w:rsidR="0072696F" w:rsidRPr="002E68D5" w:rsidRDefault="0072696F" w:rsidP="0072696F">
      <w:pPr>
        <w:rPr>
          <w:rFonts w:ascii="Times New Roman" w:hAnsi="Times New Roman" w:cs="Times New Roman"/>
          <w:b/>
          <w:bCs/>
          <w:sz w:val="24"/>
          <w:szCs w:val="24"/>
          <w:lang w:val="en-GB"/>
        </w:rPr>
      </w:pPr>
      <w:r w:rsidRPr="002E68D5">
        <w:rPr>
          <w:rFonts w:ascii="Times New Roman" w:hAnsi="Times New Roman" w:cs="Times New Roman"/>
          <w:b/>
          <w:bCs/>
          <w:sz w:val="24"/>
          <w:szCs w:val="24"/>
          <w:lang w:val="en-GB"/>
        </w:rPr>
        <w:t>Source: Author’s computation (2026)</w:t>
      </w:r>
    </w:p>
    <w:p w14:paraId="62D0FE87" w14:textId="77777777" w:rsidR="0072696F" w:rsidRPr="002E68D5" w:rsidRDefault="0072696F" w:rsidP="00EE415D">
      <w:pPr>
        <w:spacing w:after="0"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rPr>
        <w:lastRenderedPageBreak/>
        <w:t xml:space="preserve">Table </w:t>
      </w:r>
      <w:r>
        <w:rPr>
          <w:rFonts w:ascii="Times New Roman" w:hAnsi="Times New Roman" w:cs="Times New Roman"/>
          <w:sz w:val="24"/>
          <w:szCs w:val="24"/>
          <w:lang w:val="en-US"/>
        </w:rPr>
        <w:t>2</w:t>
      </w:r>
      <w:r>
        <w:rPr>
          <w:rFonts w:ascii="Times New Roman" w:hAnsi="Times New Roman" w:cs="Times New Roman"/>
          <w:sz w:val="24"/>
          <w:szCs w:val="24"/>
        </w:rPr>
        <w:t xml:space="preserve"> presents the results of the Shapiro</w:t>
      </w:r>
      <w:r>
        <w:rPr>
          <w:rFonts w:ascii="Times New Roman" w:hAnsi="Times New Roman" w:cs="Times New Roman"/>
          <w:sz w:val="24"/>
          <w:szCs w:val="24"/>
          <w:highlight w:val="yellow"/>
        </w:rPr>
        <w:t>–</w:t>
      </w:r>
      <w:r>
        <w:rPr>
          <w:rFonts w:ascii="Times New Roman" w:hAnsi="Times New Roman" w:cs="Times New Roman"/>
          <w:sz w:val="24"/>
          <w:szCs w:val="24"/>
        </w:rPr>
        <w:t xml:space="preserve">Wilk W test used to assess the normality of the study variables. The decision rule is based on the p-value (Prob &gt; z), where a p-value less than 0.05 leads to rejection of the null hypothesis of normality. Income smoothing (INCS) recorded a W statistic of 0.042 and a p-value of 0.000, indicating a strong rejection of the null hypothesis. This </w:t>
      </w:r>
      <w:r>
        <w:rPr>
          <w:rFonts w:ascii="Times New Roman" w:hAnsi="Times New Roman" w:cs="Times New Roman"/>
          <w:sz w:val="24"/>
          <w:szCs w:val="24"/>
          <w:highlight w:val="yellow"/>
        </w:rPr>
        <w:t>indi</w:t>
      </w:r>
      <w:r>
        <w:rPr>
          <w:rFonts w:ascii="Times New Roman" w:hAnsi="Times New Roman" w:cs="Times New Roman"/>
          <w:sz w:val="24"/>
          <w:szCs w:val="24"/>
        </w:rPr>
        <w:t>c</w:t>
      </w:r>
      <w:r>
        <w:rPr>
          <w:rFonts w:ascii="Times New Roman" w:hAnsi="Times New Roman" w:cs="Times New Roman"/>
          <w:sz w:val="24"/>
          <w:szCs w:val="24"/>
          <w:highlight w:val="yellow"/>
        </w:rPr>
        <w:t>ate</w:t>
      </w:r>
      <w:r>
        <w:rPr>
          <w:rFonts w:ascii="Times New Roman" w:hAnsi="Times New Roman" w:cs="Times New Roman"/>
          <w:sz w:val="24"/>
          <w:szCs w:val="24"/>
        </w:rPr>
        <w:t>s that INCS is not normally distributed, likely due to extreme values or high variability across firms.</w:t>
      </w:r>
      <w:r>
        <w:rPr>
          <w:rFonts w:ascii="Times New Roman" w:hAnsi="Times New Roman" w:cs="Times New Roman"/>
          <w:sz w:val="24"/>
          <w:szCs w:val="24"/>
          <w:lang w:val="en-US"/>
        </w:rPr>
        <w:t xml:space="preserve"> S</w:t>
      </w:r>
      <w:r>
        <w:rPr>
          <w:rFonts w:ascii="Times New Roman" w:hAnsi="Times New Roman" w:cs="Times New Roman"/>
          <w:sz w:val="24"/>
          <w:szCs w:val="24"/>
        </w:rPr>
        <w:t xml:space="preserve">ustainability disclosure practices (SUDP, W = 0.990, p = 0.000), board financial expertise (BOFE, W = 0.973, p = 0.000), and firm size (FIMZ, W = 0.928, p = 0.000) all significantly deviate from normality. This pattern </w:t>
      </w:r>
      <w:r>
        <w:rPr>
          <w:rFonts w:ascii="Times New Roman" w:hAnsi="Times New Roman" w:cs="Times New Roman"/>
          <w:sz w:val="24"/>
          <w:szCs w:val="24"/>
          <w:highlight w:val="yellow"/>
        </w:rPr>
        <w:t xml:space="preserve">may </w:t>
      </w:r>
      <w:r>
        <w:rPr>
          <w:rFonts w:ascii="Times New Roman" w:hAnsi="Times New Roman" w:cs="Times New Roman"/>
          <w:sz w:val="24"/>
          <w:szCs w:val="24"/>
        </w:rPr>
        <w:t>reflect skewness, outliers and heterogeneity in firms’ characteristics and reporting practices.</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In contrast, auditor type (AUTT) recorded a W statistic of 0.999 and a p-value of 0.896, which is greater than the 0.05 threshold. This </w:t>
      </w:r>
      <w:r>
        <w:rPr>
          <w:rFonts w:ascii="Times New Roman" w:hAnsi="Times New Roman" w:cs="Times New Roman"/>
          <w:sz w:val="24"/>
          <w:szCs w:val="24"/>
          <w:highlight w:val="yellow"/>
        </w:rPr>
        <w:t>sugges</w:t>
      </w:r>
      <w:r>
        <w:rPr>
          <w:rFonts w:ascii="Times New Roman" w:hAnsi="Times New Roman" w:cs="Times New Roman"/>
          <w:sz w:val="24"/>
          <w:szCs w:val="24"/>
        </w:rPr>
        <w:t xml:space="preserve">ts that AUTT is approximately normally distributed, reflecting a balanced mix of firms audited by Big 4 and non-Big 4 auditors. </w:t>
      </w:r>
    </w:p>
    <w:p w14:paraId="06C16095" w14:textId="77777777" w:rsidR="00DB406E" w:rsidRPr="002E68D5" w:rsidRDefault="00DB406E" w:rsidP="0072696F">
      <w:pPr>
        <w:keepNext/>
        <w:widowControl w:val="0"/>
        <w:autoSpaceDE w:val="0"/>
        <w:autoSpaceDN w:val="0"/>
        <w:adjustRightInd w:val="0"/>
        <w:spacing w:after="0" w:line="360" w:lineRule="auto"/>
        <w:rPr>
          <w:rFonts w:ascii="Times New Roman" w:hAnsi="Times New Roman" w:cs="Times New Roman"/>
          <w:b/>
          <w:bCs/>
          <w:sz w:val="24"/>
          <w:szCs w:val="24"/>
          <w:lang w:val="en-US"/>
        </w:rPr>
      </w:pPr>
    </w:p>
    <w:p w14:paraId="43A2D7F2" w14:textId="77777777" w:rsidR="0072696F" w:rsidRPr="002E68D5" w:rsidRDefault="0072696F" w:rsidP="0072696F">
      <w:pPr>
        <w:keepNext/>
        <w:widowControl w:val="0"/>
        <w:autoSpaceDE w:val="0"/>
        <w:autoSpaceDN w:val="0"/>
        <w:adjustRightInd w:val="0"/>
        <w:spacing w:after="0" w:line="360" w:lineRule="auto"/>
        <w:rPr>
          <w:rFonts w:ascii="Times New Roman" w:hAnsi="Times New Roman" w:cs="Times New Roman"/>
          <w:b/>
          <w:bCs/>
          <w:sz w:val="24"/>
          <w:szCs w:val="24"/>
        </w:rPr>
      </w:pPr>
      <w:r w:rsidRPr="002E68D5">
        <w:rPr>
          <w:rFonts w:ascii="Times New Roman" w:hAnsi="Times New Roman" w:cs="Times New Roman"/>
          <w:b/>
          <w:bCs/>
          <w:sz w:val="24"/>
          <w:szCs w:val="24"/>
        </w:rPr>
        <w:t>Table.</w:t>
      </w:r>
      <w:r w:rsidR="00EE415D" w:rsidRPr="002E68D5">
        <w:rPr>
          <w:rFonts w:ascii="Times New Roman" w:hAnsi="Times New Roman" w:cs="Times New Roman"/>
          <w:b/>
          <w:bCs/>
          <w:sz w:val="24"/>
          <w:szCs w:val="24"/>
          <w:lang w:val="en-US"/>
        </w:rPr>
        <w:t>3</w:t>
      </w:r>
      <w:r w:rsidRPr="002E68D5">
        <w:rPr>
          <w:rFonts w:ascii="Times New Roman" w:hAnsi="Times New Roman" w:cs="Times New Roman"/>
          <w:b/>
          <w:bCs/>
          <w:sz w:val="24"/>
          <w:szCs w:val="24"/>
          <w:lang w:val="en-GB"/>
        </w:rPr>
        <w:t xml:space="preserve">: </w:t>
      </w:r>
      <w:r w:rsidRPr="002E68D5">
        <w:rPr>
          <w:rFonts w:ascii="Times New Roman" w:hAnsi="Times New Roman" w:cs="Times New Roman"/>
          <w:b/>
          <w:bCs/>
          <w:sz w:val="24"/>
          <w:szCs w:val="24"/>
        </w:rPr>
        <w:t xml:space="preserve">Regression </w:t>
      </w:r>
      <w:r w:rsidRPr="002E68D5">
        <w:rPr>
          <w:rFonts w:ascii="Times New Roman" w:hAnsi="Times New Roman" w:cs="Times New Roman"/>
          <w:b/>
          <w:bCs/>
          <w:sz w:val="24"/>
          <w:szCs w:val="24"/>
          <w:lang w:val="en-GB"/>
        </w:rPr>
        <w:t>r</w:t>
      </w:r>
      <w:r w:rsidRPr="002E68D5">
        <w:rPr>
          <w:rFonts w:ascii="Times New Roman" w:hAnsi="Times New Roman" w:cs="Times New Roman"/>
          <w:b/>
          <w:bCs/>
          <w:sz w:val="24"/>
          <w:szCs w:val="24"/>
        </w:rPr>
        <w:t>esults</w:t>
      </w:r>
    </w:p>
    <w:tbl>
      <w:tblPr>
        <w:tblW w:w="0" w:type="auto"/>
        <w:tblLayout w:type="fixed"/>
        <w:tblLook w:val="0000" w:firstRow="0" w:lastRow="0" w:firstColumn="0" w:lastColumn="0" w:noHBand="0" w:noVBand="0"/>
      </w:tblPr>
      <w:tblGrid>
        <w:gridCol w:w="2434"/>
        <w:gridCol w:w="1887"/>
        <w:gridCol w:w="1887"/>
        <w:gridCol w:w="1887"/>
      </w:tblGrid>
      <w:tr w:rsidR="002E68D5" w:rsidRPr="002E68D5" w14:paraId="4578C769" w14:textId="77777777" w:rsidTr="00BD74E9">
        <w:trPr>
          <w:trHeight w:val="271"/>
        </w:trPr>
        <w:tc>
          <w:tcPr>
            <w:tcW w:w="2434" w:type="dxa"/>
            <w:tcBorders>
              <w:top w:val="single" w:sz="4" w:space="0" w:color="auto"/>
              <w:left w:val="nil"/>
              <w:bottom w:val="nil"/>
              <w:right w:val="nil"/>
            </w:tcBorders>
          </w:tcPr>
          <w:p w14:paraId="59433202"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single" w:sz="4" w:space="0" w:color="auto"/>
              <w:left w:val="nil"/>
              <w:bottom w:val="nil"/>
              <w:right w:val="nil"/>
            </w:tcBorders>
          </w:tcPr>
          <w:p w14:paraId="01E2616E"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(1)</w:t>
            </w:r>
          </w:p>
          <w:p w14:paraId="64C05F3F"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ols</w:t>
            </w:r>
          </w:p>
        </w:tc>
        <w:tc>
          <w:tcPr>
            <w:tcW w:w="1887" w:type="dxa"/>
            <w:tcBorders>
              <w:top w:val="single" w:sz="4" w:space="0" w:color="auto"/>
              <w:left w:val="nil"/>
              <w:bottom w:val="nil"/>
              <w:right w:val="nil"/>
            </w:tcBorders>
          </w:tcPr>
          <w:p w14:paraId="4312ED20"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(2)</w:t>
            </w:r>
          </w:p>
          <w:p w14:paraId="481FAB0F"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rem</w:t>
            </w:r>
          </w:p>
        </w:tc>
        <w:tc>
          <w:tcPr>
            <w:tcW w:w="1887" w:type="dxa"/>
            <w:tcBorders>
              <w:top w:val="single" w:sz="4" w:space="0" w:color="auto"/>
              <w:left w:val="nil"/>
              <w:bottom w:val="nil"/>
              <w:right w:val="nil"/>
            </w:tcBorders>
          </w:tcPr>
          <w:p w14:paraId="01F22E67"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(3)</w:t>
            </w:r>
          </w:p>
          <w:p w14:paraId="42EAD1A0"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irls</w:t>
            </w:r>
          </w:p>
        </w:tc>
      </w:tr>
      <w:tr w:rsidR="002E68D5" w:rsidRPr="002E68D5" w14:paraId="7FFABDE8" w14:textId="77777777" w:rsidTr="00BD74E9">
        <w:trPr>
          <w:trHeight w:val="261"/>
        </w:trPr>
        <w:tc>
          <w:tcPr>
            <w:tcW w:w="2434" w:type="dxa"/>
            <w:tcBorders>
              <w:top w:val="nil"/>
              <w:left w:val="nil"/>
              <w:bottom w:val="nil"/>
              <w:right w:val="nil"/>
            </w:tcBorders>
          </w:tcPr>
          <w:p w14:paraId="4586E149"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627D74B3"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Incs</w:t>
            </w:r>
          </w:p>
        </w:tc>
        <w:tc>
          <w:tcPr>
            <w:tcW w:w="1887" w:type="dxa"/>
            <w:tcBorders>
              <w:top w:val="nil"/>
              <w:left w:val="nil"/>
              <w:bottom w:val="nil"/>
              <w:right w:val="nil"/>
            </w:tcBorders>
          </w:tcPr>
          <w:p w14:paraId="01F2E64D"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incs</w:t>
            </w:r>
          </w:p>
        </w:tc>
        <w:tc>
          <w:tcPr>
            <w:tcW w:w="1887" w:type="dxa"/>
            <w:tcBorders>
              <w:top w:val="nil"/>
              <w:left w:val="nil"/>
              <w:bottom w:val="nil"/>
              <w:right w:val="nil"/>
            </w:tcBorders>
          </w:tcPr>
          <w:p w14:paraId="5E79C155"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incs</w:t>
            </w:r>
          </w:p>
        </w:tc>
      </w:tr>
      <w:tr w:rsidR="002E68D5" w:rsidRPr="002E68D5" w14:paraId="4001982F" w14:textId="77777777" w:rsidTr="00BD74E9">
        <w:trPr>
          <w:trHeight w:val="261"/>
        </w:trPr>
        <w:tc>
          <w:tcPr>
            <w:tcW w:w="2434" w:type="dxa"/>
            <w:tcBorders>
              <w:top w:val="nil"/>
              <w:left w:val="nil"/>
              <w:bottom w:val="nil"/>
              <w:right w:val="nil"/>
            </w:tcBorders>
          </w:tcPr>
          <w:p w14:paraId="515470EE"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2F7D39D9"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7220F612"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758D123D"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r>
      <w:tr w:rsidR="002E68D5" w:rsidRPr="002E68D5" w14:paraId="4B90282A" w14:textId="77777777" w:rsidTr="00BD74E9">
        <w:trPr>
          <w:trHeight w:val="271"/>
        </w:trPr>
        <w:tc>
          <w:tcPr>
            <w:tcW w:w="2434" w:type="dxa"/>
            <w:tcBorders>
              <w:top w:val="nil"/>
              <w:left w:val="nil"/>
              <w:bottom w:val="nil"/>
              <w:right w:val="nil"/>
            </w:tcBorders>
          </w:tcPr>
          <w:p w14:paraId="18381DD1"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autt</w:t>
            </w:r>
          </w:p>
        </w:tc>
        <w:tc>
          <w:tcPr>
            <w:tcW w:w="1887" w:type="dxa"/>
            <w:tcBorders>
              <w:top w:val="nil"/>
              <w:left w:val="nil"/>
              <w:bottom w:val="nil"/>
              <w:right w:val="nil"/>
            </w:tcBorders>
          </w:tcPr>
          <w:p w14:paraId="3BDC8D21"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12.358</w:t>
            </w:r>
          </w:p>
        </w:tc>
        <w:tc>
          <w:tcPr>
            <w:tcW w:w="1887" w:type="dxa"/>
            <w:tcBorders>
              <w:top w:val="nil"/>
              <w:left w:val="nil"/>
              <w:bottom w:val="nil"/>
              <w:right w:val="nil"/>
            </w:tcBorders>
          </w:tcPr>
          <w:p w14:paraId="171EF94B"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12.358</w:t>
            </w:r>
          </w:p>
        </w:tc>
        <w:tc>
          <w:tcPr>
            <w:tcW w:w="1887" w:type="dxa"/>
            <w:tcBorders>
              <w:top w:val="nil"/>
              <w:left w:val="nil"/>
              <w:bottom w:val="nil"/>
              <w:right w:val="nil"/>
            </w:tcBorders>
          </w:tcPr>
          <w:p w14:paraId="1A4E5E9B"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 xml:space="preserve">  0.387</w:t>
            </w:r>
            <w:r w:rsidRPr="002E68D5">
              <w:rPr>
                <w:rFonts w:ascii="Times New Roman" w:hAnsi="Times New Roman" w:cs="Times New Roman"/>
                <w:sz w:val="24"/>
                <w:szCs w:val="24"/>
                <w:vertAlign w:val="superscript"/>
              </w:rPr>
              <w:t>***</w:t>
            </w:r>
          </w:p>
        </w:tc>
      </w:tr>
      <w:tr w:rsidR="002E68D5" w:rsidRPr="002E68D5" w14:paraId="76D16287" w14:textId="77777777" w:rsidTr="00BD74E9">
        <w:trPr>
          <w:trHeight w:val="271"/>
        </w:trPr>
        <w:tc>
          <w:tcPr>
            <w:tcW w:w="2434" w:type="dxa"/>
            <w:tcBorders>
              <w:top w:val="nil"/>
              <w:left w:val="nil"/>
              <w:bottom w:val="nil"/>
              <w:right w:val="nil"/>
            </w:tcBorders>
          </w:tcPr>
          <w:p w14:paraId="7461B483"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6356FCF3"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(0.845)</w:t>
            </w:r>
          </w:p>
        </w:tc>
        <w:tc>
          <w:tcPr>
            <w:tcW w:w="1887" w:type="dxa"/>
            <w:tcBorders>
              <w:top w:val="nil"/>
              <w:left w:val="nil"/>
              <w:bottom w:val="nil"/>
              <w:right w:val="nil"/>
            </w:tcBorders>
          </w:tcPr>
          <w:p w14:paraId="1B32DDC2"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(0.845)</w:t>
            </w:r>
          </w:p>
        </w:tc>
        <w:tc>
          <w:tcPr>
            <w:tcW w:w="1887" w:type="dxa"/>
            <w:tcBorders>
              <w:top w:val="nil"/>
              <w:left w:val="nil"/>
              <w:bottom w:val="nil"/>
              <w:right w:val="nil"/>
            </w:tcBorders>
          </w:tcPr>
          <w:p w14:paraId="09720909"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(0.007)</w:t>
            </w:r>
          </w:p>
        </w:tc>
      </w:tr>
      <w:tr w:rsidR="002E68D5" w:rsidRPr="002E68D5" w14:paraId="04121248" w14:textId="77777777" w:rsidTr="00BD74E9">
        <w:trPr>
          <w:trHeight w:val="261"/>
        </w:trPr>
        <w:tc>
          <w:tcPr>
            <w:tcW w:w="2434" w:type="dxa"/>
            <w:tcBorders>
              <w:top w:val="nil"/>
              <w:left w:val="nil"/>
              <w:bottom w:val="nil"/>
              <w:right w:val="nil"/>
            </w:tcBorders>
          </w:tcPr>
          <w:p w14:paraId="59BDC117"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5FA5667F"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6759F97D"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01C52B12"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r>
      <w:tr w:rsidR="002E68D5" w:rsidRPr="002E68D5" w14:paraId="53E608A9" w14:textId="77777777" w:rsidTr="00BD74E9">
        <w:trPr>
          <w:trHeight w:val="271"/>
        </w:trPr>
        <w:tc>
          <w:tcPr>
            <w:tcW w:w="2434" w:type="dxa"/>
            <w:tcBorders>
              <w:top w:val="nil"/>
              <w:left w:val="nil"/>
              <w:bottom w:val="nil"/>
              <w:right w:val="nil"/>
            </w:tcBorders>
          </w:tcPr>
          <w:p w14:paraId="4454053D"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sudp</w:t>
            </w:r>
          </w:p>
        </w:tc>
        <w:tc>
          <w:tcPr>
            <w:tcW w:w="1887" w:type="dxa"/>
            <w:tcBorders>
              <w:top w:val="nil"/>
              <w:left w:val="nil"/>
              <w:bottom w:val="nil"/>
              <w:right w:val="nil"/>
            </w:tcBorders>
          </w:tcPr>
          <w:p w14:paraId="6659BEA7"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-158.934</w:t>
            </w:r>
          </w:p>
        </w:tc>
        <w:tc>
          <w:tcPr>
            <w:tcW w:w="1887" w:type="dxa"/>
            <w:tcBorders>
              <w:top w:val="nil"/>
              <w:left w:val="nil"/>
              <w:bottom w:val="nil"/>
              <w:right w:val="nil"/>
            </w:tcBorders>
          </w:tcPr>
          <w:p w14:paraId="1BF404DB"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-158.934</w:t>
            </w:r>
          </w:p>
        </w:tc>
        <w:tc>
          <w:tcPr>
            <w:tcW w:w="1887" w:type="dxa"/>
            <w:tcBorders>
              <w:top w:val="nil"/>
              <w:left w:val="nil"/>
              <w:bottom w:val="nil"/>
              <w:right w:val="nil"/>
            </w:tcBorders>
          </w:tcPr>
          <w:p w14:paraId="7B6B0685"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0.525</w:t>
            </w:r>
          </w:p>
        </w:tc>
      </w:tr>
      <w:tr w:rsidR="002E68D5" w:rsidRPr="002E68D5" w14:paraId="492274AA" w14:textId="77777777" w:rsidTr="00BD74E9">
        <w:trPr>
          <w:trHeight w:val="261"/>
        </w:trPr>
        <w:tc>
          <w:tcPr>
            <w:tcW w:w="2434" w:type="dxa"/>
            <w:tcBorders>
              <w:top w:val="nil"/>
              <w:left w:val="nil"/>
              <w:bottom w:val="nil"/>
              <w:right w:val="nil"/>
            </w:tcBorders>
          </w:tcPr>
          <w:p w14:paraId="3AE72E69"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51EC4504"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(0.230)</w:t>
            </w:r>
          </w:p>
        </w:tc>
        <w:tc>
          <w:tcPr>
            <w:tcW w:w="1887" w:type="dxa"/>
            <w:tcBorders>
              <w:top w:val="nil"/>
              <w:left w:val="nil"/>
              <w:bottom w:val="nil"/>
              <w:right w:val="nil"/>
            </w:tcBorders>
          </w:tcPr>
          <w:p w14:paraId="7020803E"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(0.229)</w:t>
            </w:r>
          </w:p>
        </w:tc>
        <w:tc>
          <w:tcPr>
            <w:tcW w:w="1887" w:type="dxa"/>
            <w:tcBorders>
              <w:top w:val="nil"/>
              <w:left w:val="nil"/>
              <w:bottom w:val="nil"/>
              <w:right w:val="nil"/>
            </w:tcBorders>
          </w:tcPr>
          <w:p w14:paraId="29E4C9E7"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(0.491)</w:t>
            </w:r>
          </w:p>
        </w:tc>
      </w:tr>
      <w:tr w:rsidR="002E68D5" w:rsidRPr="002E68D5" w14:paraId="689FB2B5" w14:textId="77777777" w:rsidTr="00BD74E9">
        <w:trPr>
          <w:trHeight w:val="271"/>
        </w:trPr>
        <w:tc>
          <w:tcPr>
            <w:tcW w:w="2434" w:type="dxa"/>
            <w:tcBorders>
              <w:top w:val="nil"/>
              <w:left w:val="nil"/>
              <w:bottom w:val="nil"/>
              <w:right w:val="nil"/>
            </w:tcBorders>
          </w:tcPr>
          <w:p w14:paraId="49E27E1E"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110D0F01"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3D05657E"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13135B3B"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r>
      <w:tr w:rsidR="002E68D5" w:rsidRPr="002E68D5" w14:paraId="4FBB0FBE" w14:textId="77777777" w:rsidTr="00BD74E9">
        <w:trPr>
          <w:trHeight w:val="271"/>
        </w:trPr>
        <w:tc>
          <w:tcPr>
            <w:tcW w:w="2434" w:type="dxa"/>
            <w:tcBorders>
              <w:top w:val="nil"/>
              <w:left w:val="nil"/>
              <w:bottom w:val="nil"/>
              <w:right w:val="nil"/>
            </w:tcBorders>
          </w:tcPr>
          <w:p w14:paraId="5197C682"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bofe</w:t>
            </w:r>
          </w:p>
        </w:tc>
        <w:tc>
          <w:tcPr>
            <w:tcW w:w="1887" w:type="dxa"/>
            <w:tcBorders>
              <w:top w:val="nil"/>
              <w:left w:val="nil"/>
              <w:bottom w:val="nil"/>
              <w:right w:val="nil"/>
            </w:tcBorders>
          </w:tcPr>
          <w:p w14:paraId="46A753A0"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-52.310</w:t>
            </w:r>
          </w:p>
        </w:tc>
        <w:tc>
          <w:tcPr>
            <w:tcW w:w="1887" w:type="dxa"/>
            <w:tcBorders>
              <w:top w:val="nil"/>
              <w:left w:val="nil"/>
              <w:bottom w:val="nil"/>
              <w:right w:val="nil"/>
            </w:tcBorders>
          </w:tcPr>
          <w:p w14:paraId="1C3FF845"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-52.310</w:t>
            </w:r>
          </w:p>
        </w:tc>
        <w:tc>
          <w:tcPr>
            <w:tcW w:w="1887" w:type="dxa"/>
            <w:tcBorders>
              <w:top w:val="nil"/>
              <w:left w:val="nil"/>
              <w:bottom w:val="nil"/>
              <w:right w:val="nil"/>
            </w:tcBorders>
          </w:tcPr>
          <w:p w14:paraId="5D242C0E"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 xml:space="preserve"> 1.597</w:t>
            </w:r>
            <w:r w:rsidRPr="002E68D5">
              <w:rPr>
                <w:rFonts w:ascii="Times New Roman" w:hAnsi="Times New Roman" w:cs="Times New Roman"/>
                <w:sz w:val="24"/>
                <w:szCs w:val="24"/>
                <w:vertAlign w:val="superscript"/>
              </w:rPr>
              <w:t>**</w:t>
            </w:r>
          </w:p>
        </w:tc>
      </w:tr>
      <w:tr w:rsidR="002E68D5" w:rsidRPr="002E68D5" w14:paraId="65EDC270" w14:textId="77777777" w:rsidTr="00BD74E9">
        <w:trPr>
          <w:trHeight w:val="261"/>
        </w:trPr>
        <w:tc>
          <w:tcPr>
            <w:tcW w:w="2434" w:type="dxa"/>
            <w:tcBorders>
              <w:top w:val="nil"/>
              <w:left w:val="nil"/>
              <w:bottom w:val="nil"/>
              <w:right w:val="nil"/>
            </w:tcBorders>
          </w:tcPr>
          <w:p w14:paraId="5657D320"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024B4A12"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(0.695)</w:t>
            </w:r>
          </w:p>
        </w:tc>
        <w:tc>
          <w:tcPr>
            <w:tcW w:w="1887" w:type="dxa"/>
            <w:tcBorders>
              <w:top w:val="nil"/>
              <w:left w:val="nil"/>
              <w:bottom w:val="nil"/>
              <w:right w:val="nil"/>
            </w:tcBorders>
          </w:tcPr>
          <w:p w14:paraId="1D65470B"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(0.695)</w:t>
            </w:r>
          </w:p>
        </w:tc>
        <w:tc>
          <w:tcPr>
            <w:tcW w:w="1887" w:type="dxa"/>
            <w:tcBorders>
              <w:top w:val="nil"/>
              <w:left w:val="nil"/>
              <w:bottom w:val="nil"/>
              <w:right w:val="nil"/>
            </w:tcBorders>
          </w:tcPr>
          <w:p w14:paraId="516334CF"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(0.038)</w:t>
            </w:r>
          </w:p>
        </w:tc>
      </w:tr>
      <w:tr w:rsidR="002E68D5" w:rsidRPr="002E68D5" w14:paraId="1B952FE7" w14:textId="77777777" w:rsidTr="00BD74E9">
        <w:trPr>
          <w:trHeight w:val="271"/>
        </w:trPr>
        <w:tc>
          <w:tcPr>
            <w:tcW w:w="2434" w:type="dxa"/>
            <w:tcBorders>
              <w:top w:val="nil"/>
              <w:left w:val="nil"/>
              <w:bottom w:val="nil"/>
              <w:right w:val="nil"/>
            </w:tcBorders>
          </w:tcPr>
          <w:p w14:paraId="6D492956"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2AC3C29A"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330D5940"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2225B4C8"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r>
      <w:tr w:rsidR="002E68D5" w:rsidRPr="002E68D5" w14:paraId="60AFACCF" w14:textId="77777777" w:rsidTr="00BD74E9">
        <w:trPr>
          <w:trHeight w:val="261"/>
        </w:trPr>
        <w:tc>
          <w:tcPr>
            <w:tcW w:w="2434" w:type="dxa"/>
            <w:tcBorders>
              <w:top w:val="nil"/>
              <w:left w:val="nil"/>
              <w:bottom w:val="nil"/>
              <w:right w:val="nil"/>
            </w:tcBorders>
          </w:tcPr>
          <w:p w14:paraId="455B8330"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fimz</w:t>
            </w:r>
          </w:p>
        </w:tc>
        <w:tc>
          <w:tcPr>
            <w:tcW w:w="1887" w:type="dxa"/>
            <w:tcBorders>
              <w:top w:val="nil"/>
              <w:left w:val="nil"/>
              <w:bottom w:val="nil"/>
              <w:right w:val="nil"/>
            </w:tcBorders>
          </w:tcPr>
          <w:p w14:paraId="62C4B335"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-3.196</w:t>
            </w:r>
          </w:p>
        </w:tc>
        <w:tc>
          <w:tcPr>
            <w:tcW w:w="1887" w:type="dxa"/>
            <w:tcBorders>
              <w:top w:val="nil"/>
              <w:left w:val="nil"/>
              <w:bottom w:val="nil"/>
              <w:right w:val="nil"/>
            </w:tcBorders>
          </w:tcPr>
          <w:p w14:paraId="2F1BF23D"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-3.196</w:t>
            </w:r>
          </w:p>
        </w:tc>
        <w:tc>
          <w:tcPr>
            <w:tcW w:w="1887" w:type="dxa"/>
            <w:tcBorders>
              <w:top w:val="nil"/>
              <w:left w:val="nil"/>
              <w:bottom w:val="nil"/>
              <w:right w:val="nil"/>
            </w:tcBorders>
          </w:tcPr>
          <w:p w14:paraId="5E28DCE9"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0.230</w:t>
            </w:r>
            <w:r w:rsidRPr="002E68D5">
              <w:rPr>
                <w:rFonts w:ascii="Times New Roman" w:hAnsi="Times New Roman" w:cs="Times New Roman"/>
                <w:sz w:val="24"/>
                <w:szCs w:val="24"/>
                <w:vertAlign w:val="superscript"/>
              </w:rPr>
              <w:t>***</w:t>
            </w:r>
          </w:p>
        </w:tc>
      </w:tr>
      <w:tr w:rsidR="002E68D5" w:rsidRPr="002E68D5" w14:paraId="7A557941" w14:textId="77777777" w:rsidTr="00BD74E9">
        <w:trPr>
          <w:trHeight w:val="271"/>
        </w:trPr>
        <w:tc>
          <w:tcPr>
            <w:tcW w:w="2434" w:type="dxa"/>
            <w:tcBorders>
              <w:top w:val="nil"/>
              <w:left w:val="nil"/>
              <w:bottom w:val="nil"/>
              <w:right w:val="nil"/>
            </w:tcBorders>
          </w:tcPr>
          <w:p w14:paraId="4E857D0E"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721B6597"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(0.755)</w:t>
            </w:r>
          </w:p>
        </w:tc>
        <w:tc>
          <w:tcPr>
            <w:tcW w:w="1887" w:type="dxa"/>
            <w:tcBorders>
              <w:top w:val="nil"/>
              <w:left w:val="nil"/>
              <w:bottom w:val="nil"/>
              <w:right w:val="nil"/>
            </w:tcBorders>
          </w:tcPr>
          <w:p w14:paraId="20153417"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(0.755)</w:t>
            </w:r>
          </w:p>
        </w:tc>
        <w:tc>
          <w:tcPr>
            <w:tcW w:w="1887" w:type="dxa"/>
            <w:tcBorders>
              <w:top w:val="nil"/>
              <w:left w:val="nil"/>
              <w:bottom w:val="nil"/>
              <w:right w:val="nil"/>
            </w:tcBorders>
          </w:tcPr>
          <w:p w14:paraId="687C0EED"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(0.000)</w:t>
            </w:r>
          </w:p>
        </w:tc>
      </w:tr>
      <w:tr w:rsidR="002E68D5" w:rsidRPr="002E68D5" w14:paraId="346568C1" w14:textId="77777777" w:rsidTr="00BD74E9">
        <w:trPr>
          <w:trHeight w:val="271"/>
        </w:trPr>
        <w:tc>
          <w:tcPr>
            <w:tcW w:w="2434" w:type="dxa"/>
            <w:tcBorders>
              <w:top w:val="nil"/>
              <w:left w:val="nil"/>
              <w:bottom w:val="nil"/>
              <w:right w:val="nil"/>
            </w:tcBorders>
          </w:tcPr>
          <w:p w14:paraId="3C19A6AE"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3F1C22A0"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35691D8E"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nil"/>
              <w:right w:val="nil"/>
            </w:tcBorders>
          </w:tcPr>
          <w:p w14:paraId="1C9FAABA"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r>
      <w:tr w:rsidR="002E68D5" w:rsidRPr="002E68D5" w14:paraId="04D73D83" w14:textId="77777777" w:rsidTr="00BD74E9">
        <w:trPr>
          <w:trHeight w:val="261"/>
        </w:trPr>
        <w:tc>
          <w:tcPr>
            <w:tcW w:w="2434" w:type="dxa"/>
            <w:tcBorders>
              <w:top w:val="nil"/>
              <w:left w:val="nil"/>
              <w:bottom w:val="nil"/>
              <w:right w:val="nil"/>
            </w:tcBorders>
          </w:tcPr>
          <w:p w14:paraId="31707D05"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Constant</w:t>
            </w:r>
          </w:p>
        </w:tc>
        <w:tc>
          <w:tcPr>
            <w:tcW w:w="1887" w:type="dxa"/>
            <w:tcBorders>
              <w:top w:val="nil"/>
              <w:left w:val="nil"/>
              <w:bottom w:val="nil"/>
              <w:right w:val="nil"/>
            </w:tcBorders>
          </w:tcPr>
          <w:p w14:paraId="4378F88A"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101.187</w:t>
            </w:r>
          </w:p>
        </w:tc>
        <w:tc>
          <w:tcPr>
            <w:tcW w:w="1887" w:type="dxa"/>
            <w:tcBorders>
              <w:top w:val="nil"/>
              <w:left w:val="nil"/>
              <w:bottom w:val="nil"/>
              <w:right w:val="nil"/>
            </w:tcBorders>
          </w:tcPr>
          <w:p w14:paraId="12E3AA2A"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101.187</w:t>
            </w:r>
          </w:p>
        </w:tc>
        <w:tc>
          <w:tcPr>
            <w:tcW w:w="1887" w:type="dxa"/>
            <w:tcBorders>
              <w:top w:val="nil"/>
              <w:left w:val="nil"/>
              <w:bottom w:val="nil"/>
              <w:right w:val="nil"/>
            </w:tcBorders>
          </w:tcPr>
          <w:p w14:paraId="4303D38A"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-3.019</w:t>
            </w:r>
            <w:r w:rsidRPr="002E68D5">
              <w:rPr>
                <w:rFonts w:ascii="Times New Roman" w:hAnsi="Times New Roman" w:cs="Times New Roman"/>
                <w:sz w:val="24"/>
                <w:szCs w:val="24"/>
                <w:vertAlign w:val="superscript"/>
              </w:rPr>
              <w:t>**</w:t>
            </w:r>
          </w:p>
        </w:tc>
      </w:tr>
      <w:tr w:rsidR="002E68D5" w:rsidRPr="002E68D5" w14:paraId="62D3C130" w14:textId="77777777" w:rsidTr="00BD74E9">
        <w:trPr>
          <w:trHeight w:val="271"/>
        </w:trPr>
        <w:tc>
          <w:tcPr>
            <w:tcW w:w="2434" w:type="dxa"/>
            <w:tcBorders>
              <w:top w:val="nil"/>
              <w:left w:val="nil"/>
              <w:bottom w:val="single" w:sz="4" w:space="0" w:color="auto"/>
              <w:right w:val="nil"/>
            </w:tcBorders>
          </w:tcPr>
          <w:p w14:paraId="505F7F0A"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p>
        </w:tc>
        <w:tc>
          <w:tcPr>
            <w:tcW w:w="1887" w:type="dxa"/>
            <w:tcBorders>
              <w:top w:val="nil"/>
              <w:left w:val="nil"/>
              <w:bottom w:val="single" w:sz="4" w:space="0" w:color="auto"/>
              <w:right w:val="nil"/>
            </w:tcBorders>
          </w:tcPr>
          <w:p w14:paraId="7A99822A"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(0.677)</w:t>
            </w:r>
          </w:p>
        </w:tc>
        <w:tc>
          <w:tcPr>
            <w:tcW w:w="1887" w:type="dxa"/>
            <w:tcBorders>
              <w:top w:val="nil"/>
              <w:left w:val="nil"/>
              <w:bottom w:val="single" w:sz="4" w:space="0" w:color="auto"/>
              <w:right w:val="nil"/>
            </w:tcBorders>
          </w:tcPr>
          <w:p w14:paraId="6E2375CC"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(0.677)</w:t>
            </w:r>
          </w:p>
        </w:tc>
        <w:tc>
          <w:tcPr>
            <w:tcW w:w="1887" w:type="dxa"/>
            <w:tcBorders>
              <w:top w:val="nil"/>
              <w:left w:val="nil"/>
              <w:bottom w:val="single" w:sz="4" w:space="0" w:color="auto"/>
              <w:right w:val="nil"/>
            </w:tcBorders>
          </w:tcPr>
          <w:p w14:paraId="616B0CB7"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(0.031)</w:t>
            </w:r>
          </w:p>
        </w:tc>
      </w:tr>
      <w:tr w:rsidR="002E68D5" w:rsidRPr="002E68D5" w14:paraId="5F138A43" w14:textId="77777777" w:rsidTr="00BD74E9">
        <w:trPr>
          <w:trHeight w:val="271"/>
        </w:trPr>
        <w:tc>
          <w:tcPr>
            <w:tcW w:w="2434" w:type="dxa"/>
            <w:tcBorders>
              <w:top w:val="single" w:sz="4" w:space="0" w:color="auto"/>
              <w:left w:val="nil"/>
              <w:bottom w:val="nil"/>
              <w:right w:val="nil"/>
            </w:tcBorders>
          </w:tcPr>
          <w:p w14:paraId="70A7402D"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r</w:t>
            </w:r>
            <w:r w:rsidRPr="002E68D5">
              <w:rPr>
                <w:rFonts w:ascii="Times New Roman" w:hAnsi="Times New Roman" w:cs="Times New Roman"/>
                <w:sz w:val="24"/>
                <w:szCs w:val="24"/>
                <w:vertAlign w:val="superscript"/>
              </w:rPr>
              <w:t>2</w:t>
            </w:r>
          </w:p>
        </w:tc>
        <w:tc>
          <w:tcPr>
            <w:tcW w:w="1887" w:type="dxa"/>
            <w:tcBorders>
              <w:top w:val="single" w:sz="4" w:space="0" w:color="auto"/>
              <w:left w:val="nil"/>
              <w:bottom w:val="nil"/>
              <w:right w:val="nil"/>
            </w:tcBorders>
          </w:tcPr>
          <w:p w14:paraId="5B55F435"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0.008</w:t>
            </w:r>
          </w:p>
        </w:tc>
        <w:tc>
          <w:tcPr>
            <w:tcW w:w="1887" w:type="dxa"/>
            <w:tcBorders>
              <w:top w:val="single" w:sz="4" w:space="0" w:color="auto"/>
              <w:left w:val="nil"/>
              <w:bottom w:val="nil"/>
              <w:right w:val="nil"/>
            </w:tcBorders>
          </w:tcPr>
          <w:p w14:paraId="0B868AD2"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0.008</w:t>
            </w:r>
          </w:p>
        </w:tc>
        <w:tc>
          <w:tcPr>
            <w:tcW w:w="1887" w:type="dxa"/>
            <w:tcBorders>
              <w:top w:val="single" w:sz="4" w:space="0" w:color="auto"/>
              <w:left w:val="nil"/>
              <w:bottom w:val="nil"/>
              <w:right w:val="nil"/>
            </w:tcBorders>
          </w:tcPr>
          <w:p w14:paraId="43884D8A"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0.476</w:t>
            </w:r>
          </w:p>
        </w:tc>
      </w:tr>
      <w:tr w:rsidR="002E68D5" w:rsidRPr="002E68D5" w14:paraId="28E79FED" w14:textId="77777777" w:rsidTr="00BD74E9">
        <w:trPr>
          <w:trHeight w:val="261"/>
        </w:trPr>
        <w:tc>
          <w:tcPr>
            <w:tcW w:w="2434" w:type="dxa"/>
            <w:tcBorders>
              <w:top w:val="nil"/>
              <w:left w:val="nil"/>
              <w:bottom w:val="nil"/>
              <w:right w:val="nil"/>
            </w:tcBorders>
          </w:tcPr>
          <w:p w14:paraId="0BAC1219"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N</w:t>
            </w:r>
          </w:p>
        </w:tc>
        <w:tc>
          <w:tcPr>
            <w:tcW w:w="1887" w:type="dxa"/>
            <w:tcBorders>
              <w:top w:val="nil"/>
              <w:left w:val="nil"/>
              <w:bottom w:val="nil"/>
              <w:right w:val="nil"/>
            </w:tcBorders>
          </w:tcPr>
          <w:p w14:paraId="633EEFD1"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850.000</w:t>
            </w:r>
          </w:p>
        </w:tc>
        <w:tc>
          <w:tcPr>
            <w:tcW w:w="1887" w:type="dxa"/>
            <w:tcBorders>
              <w:top w:val="nil"/>
              <w:left w:val="nil"/>
              <w:bottom w:val="nil"/>
              <w:right w:val="nil"/>
            </w:tcBorders>
          </w:tcPr>
          <w:p w14:paraId="0083219C"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850.000</w:t>
            </w:r>
          </w:p>
        </w:tc>
        <w:tc>
          <w:tcPr>
            <w:tcW w:w="1887" w:type="dxa"/>
            <w:tcBorders>
              <w:top w:val="nil"/>
              <w:left w:val="nil"/>
              <w:bottom w:val="nil"/>
              <w:right w:val="nil"/>
            </w:tcBorders>
          </w:tcPr>
          <w:p w14:paraId="41AD1ABD"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850.000</w:t>
            </w:r>
          </w:p>
        </w:tc>
      </w:tr>
      <w:tr w:rsidR="002E68D5" w:rsidRPr="002E68D5" w14:paraId="64E7602E" w14:textId="77777777" w:rsidTr="00BD74E9">
        <w:trPr>
          <w:trHeight w:val="271"/>
        </w:trPr>
        <w:tc>
          <w:tcPr>
            <w:tcW w:w="2434" w:type="dxa"/>
            <w:tcBorders>
              <w:top w:val="nil"/>
              <w:left w:val="nil"/>
              <w:bottom w:val="nil"/>
              <w:right w:val="nil"/>
            </w:tcBorders>
          </w:tcPr>
          <w:p w14:paraId="58EF0F2D"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F/W</w:t>
            </w:r>
          </w:p>
        </w:tc>
        <w:tc>
          <w:tcPr>
            <w:tcW w:w="1887" w:type="dxa"/>
            <w:tcBorders>
              <w:top w:val="nil"/>
              <w:left w:val="nil"/>
              <w:bottom w:val="nil"/>
              <w:right w:val="nil"/>
            </w:tcBorders>
          </w:tcPr>
          <w:p w14:paraId="66262782"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0.809</w:t>
            </w:r>
          </w:p>
        </w:tc>
        <w:tc>
          <w:tcPr>
            <w:tcW w:w="1887" w:type="dxa"/>
            <w:tcBorders>
              <w:top w:val="nil"/>
              <w:left w:val="nil"/>
              <w:bottom w:val="nil"/>
              <w:right w:val="nil"/>
            </w:tcBorders>
          </w:tcPr>
          <w:p w14:paraId="60C69139"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6.472</w:t>
            </w:r>
          </w:p>
        </w:tc>
        <w:tc>
          <w:tcPr>
            <w:tcW w:w="1887" w:type="dxa"/>
            <w:tcBorders>
              <w:top w:val="nil"/>
              <w:left w:val="nil"/>
              <w:bottom w:val="nil"/>
              <w:right w:val="nil"/>
            </w:tcBorders>
          </w:tcPr>
          <w:p w14:paraId="3CBE203C"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8.682</w:t>
            </w:r>
          </w:p>
        </w:tc>
      </w:tr>
      <w:tr w:rsidR="002E68D5" w:rsidRPr="002E68D5" w14:paraId="72439D30" w14:textId="77777777" w:rsidTr="00BD74E9">
        <w:trPr>
          <w:trHeight w:val="261"/>
        </w:trPr>
        <w:tc>
          <w:tcPr>
            <w:tcW w:w="2434" w:type="dxa"/>
            <w:tcBorders>
              <w:top w:val="nil"/>
              <w:left w:val="nil"/>
              <w:bottom w:val="nil"/>
              <w:right w:val="nil"/>
            </w:tcBorders>
          </w:tcPr>
          <w:p w14:paraId="1B61C25E"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p</w:t>
            </w:r>
          </w:p>
        </w:tc>
        <w:tc>
          <w:tcPr>
            <w:tcW w:w="1887" w:type="dxa"/>
            <w:tcBorders>
              <w:top w:val="nil"/>
              <w:left w:val="nil"/>
              <w:bottom w:val="nil"/>
              <w:right w:val="nil"/>
            </w:tcBorders>
          </w:tcPr>
          <w:p w14:paraId="106A5B14"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0.595</w:t>
            </w:r>
          </w:p>
        </w:tc>
        <w:tc>
          <w:tcPr>
            <w:tcW w:w="1887" w:type="dxa"/>
            <w:tcBorders>
              <w:top w:val="nil"/>
              <w:left w:val="nil"/>
              <w:bottom w:val="nil"/>
              <w:right w:val="nil"/>
            </w:tcBorders>
          </w:tcPr>
          <w:p w14:paraId="5B34DA51"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0.594</w:t>
            </w:r>
          </w:p>
        </w:tc>
        <w:tc>
          <w:tcPr>
            <w:tcW w:w="1887" w:type="dxa"/>
            <w:tcBorders>
              <w:top w:val="nil"/>
              <w:left w:val="nil"/>
              <w:bottom w:val="nil"/>
              <w:right w:val="nil"/>
            </w:tcBorders>
          </w:tcPr>
          <w:p w14:paraId="15A83D48"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0.000</w:t>
            </w:r>
          </w:p>
        </w:tc>
      </w:tr>
      <w:tr w:rsidR="002E68D5" w:rsidRPr="002E68D5" w14:paraId="162342C6" w14:textId="77777777" w:rsidTr="00BD74E9">
        <w:trPr>
          <w:trHeight w:val="279"/>
        </w:trPr>
        <w:tc>
          <w:tcPr>
            <w:tcW w:w="2434" w:type="dxa"/>
            <w:tcBorders>
              <w:top w:val="nil"/>
              <w:left w:val="nil"/>
              <w:bottom w:val="nil"/>
              <w:right w:val="nil"/>
            </w:tcBorders>
          </w:tcPr>
          <w:p w14:paraId="26F236D2"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hettest</w:t>
            </w:r>
          </w:p>
        </w:tc>
        <w:tc>
          <w:tcPr>
            <w:tcW w:w="1887" w:type="dxa"/>
            <w:tcBorders>
              <w:top w:val="nil"/>
              <w:left w:val="nil"/>
              <w:bottom w:val="nil"/>
              <w:right w:val="nil"/>
            </w:tcBorders>
          </w:tcPr>
          <w:p w14:paraId="352DDDD9"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2530.000(0.000)</w:t>
            </w:r>
          </w:p>
        </w:tc>
        <w:tc>
          <w:tcPr>
            <w:tcW w:w="1887" w:type="dxa"/>
            <w:tcBorders>
              <w:top w:val="nil"/>
              <w:left w:val="nil"/>
              <w:bottom w:val="nil"/>
              <w:right w:val="nil"/>
            </w:tcBorders>
          </w:tcPr>
          <w:p w14:paraId="3BA49337"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p>
        </w:tc>
        <w:tc>
          <w:tcPr>
            <w:tcW w:w="1887" w:type="dxa"/>
            <w:tcBorders>
              <w:top w:val="nil"/>
              <w:left w:val="nil"/>
              <w:bottom w:val="nil"/>
              <w:right w:val="nil"/>
            </w:tcBorders>
          </w:tcPr>
          <w:p w14:paraId="33B08677"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p>
        </w:tc>
      </w:tr>
      <w:tr w:rsidR="002E68D5" w:rsidRPr="002E68D5" w14:paraId="647B7A74" w14:textId="77777777" w:rsidTr="00BD74E9">
        <w:trPr>
          <w:trHeight w:val="261"/>
        </w:trPr>
        <w:tc>
          <w:tcPr>
            <w:tcW w:w="2434" w:type="dxa"/>
            <w:tcBorders>
              <w:top w:val="nil"/>
              <w:left w:val="nil"/>
              <w:bottom w:val="nil"/>
              <w:right w:val="nil"/>
            </w:tcBorders>
          </w:tcPr>
          <w:p w14:paraId="61C55A9A"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lastRenderedPageBreak/>
              <w:t>vif</w:t>
            </w:r>
          </w:p>
        </w:tc>
        <w:tc>
          <w:tcPr>
            <w:tcW w:w="1887" w:type="dxa"/>
            <w:tcBorders>
              <w:top w:val="nil"/>
              <w:left w:val="nil"/>
              <w:bottom w:val="nil"/>
              <w:right w:val="nil"/>
            </w:tcBorders>
          </w:tcPr>
          <w:p w14:paraId="6B31BA62"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1.27</w:t>
            </w:r>
          </w:p>
        </w:tc>
        <w:tc>
          <w:tcPr>
            <w:tcW w:w="1887" w:type="dxa"/>
            <w:tcBorders>
              <w:top w:val="nil"/>
              <w:left w:val="nil"/>
              <w:bottom w:val="nil"/>
              <w:right w:val="nil"/>
            </w:tcBorders>
          </w:tcPr>
          <w:p w14:paraId="6DC825C7"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p>
        </w:tc>
        <w:tc>
          <w:tcPr>
            <w:tcW w:w="1887" w:type="dxa"/>
            <w:tcBorders>
              <w:top w:val="nil"/>
              <w:left w:val="nil"/>
              <w:bottom w:val="nil"/>
              <w:right w:val="nil"/>
            </w:tcBorders>
          </w:tcPr>
          <w:p w14:paraId="325E3DF4"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p>
        </w:tc>
      </w:tr>
      <w:tr w:rsidR="002E68D5" w:rsidRPr="002E68D5" w14:paraId="1586F105" w14:textId="77777777" w:rsidTr="00BD74E9">
        <w:trPr>
          <w:trHeight w:val="271"/>
        </w:trPr>
        <w:tc>
          <w:tcPr>
            <w:tcW w:w="2434" w:type="dxa"/>
            <w:tcBorders>
              <w:top w:val="nil"/>
              <w:left w:val="nil"/>
              <w:bottom w:val="single" w:sz="4" w:space="0" w:color="auto"/>
              <w:right w:val="nil"/>
            </w:tcBorders>
          </w:tcPr>
          <w:p w14:paraId="7015928C" w14:textId="77777777" w:rsidR="0072696F" w:rsidRPr="002E68D5" w:rsidRDefault="0072696F" w:rsidP="00BD74E9">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rPr>
              <w:t>lagrange</w:t>
            </w:r>
          </w:p>
        </w:tc>
        <w:tc>
          <w:tcPr>
            <w:tcW w:w="1887" w:type="dxa"/>
            <w:tcBorders>
              <w:top w:val="nil"/>
              <w:left w:val="nil"/>
              <w:bottom w:val="single" w:sz="4" w:space="0" w:color="auto"/>
              <w:right w:val="nil"/>
            </w:tcBorders>
          </w:tcPr>
          <w:p w14:paraId="06A3FFF8"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p>
        </w:tc>
        <w:tc>
          <w:tcPr>
            <w:tcW w:w="1887" w:type="dxa"/>
            <w:tcBorders>
              <w:top w:val="nil"/>
              <w:left w:val="nil"/>
              <w:bottom w:val="single" w:sz="4" w:space="0" w:color="auto"/>
              <w:right w:val="nil"/>
            </w:tcBorders>
          </w:tcPr>
          <w:p w14:paraId="5C9F915A"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r w:rsidRPr="002E68D5">
              <w:rPr>
                <w:rFonts w:ascii="Times New Roman" w:hAnsi="Times New Roman" w:cs="Times New Roman"/>
                <w:sz w:val="24"/>
                <w:szCs w:val="24"/>
              </w:rPr>
              <w:t>0.000(1.000)</w:t>
            </w:r>
          </w:p>
        </w:tc>
        <w:tc>
          <w:tcPr>
            <w:tcW w:w="1887" w:type="dxa"/>
            <w:tcBorders>
              <w:top w:val="nil"/>
              <w:left w:val="nil"/>
              <w:bottom w:val="single" w:sz="4" w:space="0" w:color="auto"/>
              <w:right w:val="nil"/>
            </w:tcBorders>
          </w:tcPr>
          <w:p w14:paraId="709815BD" w14:textId="77777777" w:rsidR="0072696F" w:rsidRPr="002E68D5" w:rsidRDefault="0072696F" w:rsidP="00BD74E9">
            <w:pPr>
              <w:widowControl w:val="0"/>
              <w:autoSpaceDE w:val="0"/>
              <w:autoSpaceDN w:val="0"/>
              <w:adjustRightInd w:val="0"/>
              <w:spacing w:after="0" w:line="240" w:lineRule="auto"/>
              <w:jc w:val="center"/>
              <w:rPr>
                <w:rFonts w:ascii="Times New Roman" w:hAnsi="Times New Roman" w:cs="Times New Roman"/>
                <w:sz w:val="24"/>
                <w:szCs w:val="24"/>
              </w:rPr>
            </w:pPr>
          </w:p>
        </w:tc>
      </w:tr>
    </w:tbl>
    <w:p w14:paraId="74D8FBF2" w14:textId="77777777" w:rsidR="0072696F" w:rsidRPr="002E68D5" w:rsidRDefault="0072696F" w:rsidP="0072696F">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i/>
          <w:iCs/>
          <w:sz w:val="24"/>
          <w:szCs w:val="24"/>
        </w:rPr>
        <w:t>p</w:t>
      </w:r>
      <w:r w:rsidRPr="002E68D5">
        <w:rPr>
          <w:rFonts w:ascii="Times New Roman" w:hAnsi="Times New Roman" w:cs="Times New Roman"/>
          <w:sz w:val="24"/>
          <w:szCs w:val="24"/>
        </w:rPr>
        <w:t>-values in parentheses</w:t>
      </w:r>
    </w:p>
    <w:p w14:paraId="4346566B" w14:textId="77777777" w:rsidR="0072696F" w:rsidRPr="002E68D5" w:rsidRDefault="0072696F" w:rsidP="0072696F">
      <w:pPr>
        <w:widowControl w:val="0"/>
        <w:autoSpaceDE w:val="0"/>
        <w:autoSpaceDN w:val="0"/>
        <w:adjustRightInd w:val="0"/>
        <w:spacing w:after="0" w:line="240" w:lineRule="auto"/>
        <w:rPr>
          <w:rFonts w:ascii="Times New Roman" w:hAnsi="Times New Roman" w:cs="Times New Roman"/>
          <w:sz w:val="24"/>
          <w:szCs w:val="24"/>
        </w:rPr>
      </w:pPr>
      <w:r w:rsidRPr="002E68D5">
        <w:rPr>
          <w:rFonts w:ascii="Times New Roman" w:hAnsi="Times New Roman" w:cs="Times New Roman"/>
          <w:sz w:val="24"/>
          <w:szCs w:val="24"/>
          <w:vertAlign w:val="superscript"/>
        </w:rPr>
        <w:t>*</w:t>
      </w:r>
      <w:r w:rsidRPr="002E68D5">
        <w:rPr>
          <w:rFonts w:ascii="Times New Roman" w:hAnsi="Times New Roman" w:cs="Times New Roman"/>
          <w:i/>
          <w:iCs/>
          <w:sz w:val="24"/>
          <w:szCs w:val="24"/>
        </w:rPr>
        <w:t>p</w:t>
      </w:r>
      <w:r w:rsidRPr="002E68D5">
        <w:rPr>
          <w:rFonts w:ascii="Times New Roman" w:hAnsi="Times New Roman" w:cs="Times New Roman"/>
          <w:sz w:val="24"/>
          <w:szCs w:val="24"/>
        </w:rPr>
        <w:t xml:space="preserve">&lt; 0.10, </w:t>
      </w:r>
      <w:r w:rsidRPr="002E68D5">
        <w:rPr>
          <w:rFonts w:ascii="Times New Roman" w:hAnsi="Times New Roman" w:cs="Times New Roman"/>
          <w:sz w:val="24"/>
          <w:szCs w:val="24"/>
          <w:vertAlign w:val="superscript"/>
        </w:rPr>
        <w:t>**</w:t>
      </w:r>
      <w:r w:rsidRPr="002E68D5">
        <w:rPr>
          <w:rFonts w:ascii="Times New Roman" w:hAnsi="Times New Roman" w:cs="Times New Roman"/>
          <w:i/>
          <w:iCs/>
          <w:sz w:val="24"/>
          <w:szCs w:val="24"/>
        </w:rPr>
        <w:t>p</w:t>
      </w:r>
      <w:r w:rsidRPr="002E68D5">
        <w:rPr>
          <w:rFonts w:ascii="Times New Roman" w:hAnsi="Times New Roman" w:cs="Times New Roman"/>
          <w:sz w:val="24"/>
          <w:szCs w:val="24"/>
        </w:rPr>
        <w:t xml:space="preserve">&lt; 0.05, </w:t>
      </w:r>
      <w:r w:rsidRPr="002E68D5">
        <w:rPr>
          <w:rFonts w:ascii="Times New Roman" w:hAnsi="Times New Roman" w:cs="Times New Roman"/>
          <w:sz w:val="24"/>
          <w:szCs w:val="24"/>
          <w:vertAlign w:val="superscript"/>
        </w:rPr>
        <w:t>***</w:t>
      </w:r>
      <w:r w:rsidRPr="002E68D5">
        <w:rPr>
          <w:rFonts w:ascii="Times New Roman" w:hAnsi="Times New Roman" w:cs="Times New Roman"/>
          <w:i/>
          <w:iCs/>
          <w:sz w:val="24"/>
          <w:szCs w:val="24"/>
        </w:rPr>
        <w:t>p</w:t>
      </w:r>
      <w:r w:rsidRPr="002E68D5">
        <w:rPr>
          <w:rFonts w:ascii="Times New Roman" w:hAnsi="Times New Roman" w:cs="Times New Roman"/>
          <w:sz w:val="24"/>
          <w:szCs w:val="24"/>
        </w:rPr>
        <w:t>&lt; 0.01</w:t>
      </w:r>
    </w:p>
    <w:p w14:paraId="7C6E2919" w14:textId="77777777" w:rsidR="0072696F" w:rsidRPr="002E68D5" w:rsidRDefault="0072696F" w:rsidP="0072696F">
      <w:pPr>
        <w:rPr>
          <w:rFonts w:ascii="Times New Roman" w:hAnsi="Times New Roman" w:cs="Times New Roman"/>
          <w:b/>
          <w:bCs/>
          <w:sz w:val="24"/>
          <w:szCs w:val="24"/>
          <w:lang w:val="en-GB"/>
        </w:rPr>
      </w:pPr>
      <w:r w:rsidRPr="002E68D5">
        <w:rPr>
          <w:rFonts w:ascii="Times New Roman" w:hAnsi="Times New Roman" w:cs="Times New Roman"/>
          <w:b/>
          <w:bCs/>
          <w:sz w:val="24"/>
          <w:szCs w:val="24"/>
          <w:lang w:val="en-GB"/>
        </w:rPr>
        <w:t>Source: Author’s computation (2026)</w:t>
      </w:r>
    </w:p>
    <w:p w14:paraId="292BA94E" w14:textId="77777777" w:rsidR="0072696F" w:rsidRPr="002E68D5" w:rsidRDefault="0072696F" w:rsidP="0072696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results obtained from the multivariate regression analyses are presented in Table </w:t>
      </w:r>
      <w:r>
        <w:rPr>
          <w:rFonts w:ascii="Times New Roman" w:hAnsi="Times New Roman" w:cs="Times New Roman"/>
          <w:sz w:val="24"/>
          <w:szCs w:val="24"/>
          <w:lang w:val="en-US"/>
        </w:rPr>
        <w:t>3</w:t>
      </w:r>
      <w:r>
        <w:rPr>
          <w:rFonts w:ascii="Times New Roman" w:hAnsi="Times New Roman" w:cs="Times New Roman"/>
          <w:sz w:val="24"/>
          <w:szCs w:val="24"/>
        </w:rPr>
        <w:t>. The iterated robust least squares (IRLS) model reports an F-statistic of 8.682 with a p-value of 0.000, indicating that the model is statistically significant. The R-squared value of 0.476 suggests that approximately 47.6% of the variation in income smoothing (INCS) is explained by the included independent variables, while the remaining 52.4% is captured in the error term, reflecting other factors not included in the model.</w:t>
      </w:r>
    </w:p>
    <w:p w14:paraId="0B0AEDAE" w14:textId="77777777" w:rsidR="0072696F" w:rsidRPr="002E68D5" w:rsidRDefault="00084607" w:rsidP="0072696F">
      <w:pPr>
        <w:spacing w:before="240" w:after="0" w:line="480" w:lineRule="auto"/>
        <w:jc w:val="both"/>
        <w:rPr>
          <w:rFonts w:ascii="Times New Roman" w:hAnsi="Times New Roman" w:cs="Times New Roman"/>
          <w:b/>
          <w:bCs/>
          <w:sz w:val="24"/>
          <w:szCs w:val="24"/>
        </w:rPr>
      </w:pPr>
      <w:r w:rsidRPr="002E68D5">
        <w:rPr>
          <w:rFonts w:ascii="Times New Roman" w:hAnsi="Times New Roman" w:cs="Times New Roman"/>
          <w:b/>
          <w:bCs/>
          <w:sz w:val="24"/>
          <w:szCs w:val="24"/>
          <w:lang w:val="en-US"/>
        </w:rPr>
        <w:t xml:space="preserve">4.1 </w:t>
      </w:r>
      <w:r w:rsidR="0072696F" w:rsidRPr="002E68D5">
        <w:rPr>
          <w:rFonts w:ascii="Times New Roman" w:hAnsi="Times New Roman" w:cs="Times New Roman"/>
          <w:b/>
          <w:bCs/>
          <w:sz w:val="24"/>
          <w:szCs w:val="24"/>
        </w:rPr>
        <w:t>Checks for regression assumptions and other diagnostics</w:t>
      </w:r>
    </w:p>
    <w:p w14:paraId="3D4CE59B" w14:textId="77777777" w:rsidR="0072696F" w:rsidRPr="002E68D5" w:rsidRDefault="0072696F" w:rsidP="0072696F">
      <w:pPr>
        <w:spacing w:after="0" w:line="480" w:lineRule="auto"/>
        <w:jc w:val="both"/>
        <w:rPr>
          <w:rFonts w:ascii="Times New Roman" w:hAnsi="Times New Roman" w:cs="Times New Roman"/>
          <w:b/>
          <w:bCs/>
          <w:sz w:val="24"/>
          <w:szCs w:val="24"/>
        </w:rPr>
      </w:pPr>
      <w:r w:rsidRPr="002E68D5">
        <w:rPr>
          <w:rFonts w:ascii="Times New Roman" w:hAnsi="Times New Roman" w:cs="Times New Roman"/>
          <w:b/>
          <w:bCs/>
          <w:sz w:val="24"/>
          <w:szCs w:val="24"/>
        </w:rPr>
        <w:t>Homoscedasticity</w:t>
      </w:r>
    </w:p>
    <w:p w14:paraId="4A114A64" w14:textId="77777777" w:rsidR="0072696F" w:rsidRPr="002E68D5" w:rsidRDefault="0072696F" w:rsidP="0072696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As shown in Table</w:t>
      </w:r>
      <w:r>
        <w:rPr>
          <w:rFonts w:ascii="Times New Roman" w:hAnsi="Times New Roman" w:cs="Times New Roman"/>
          <w:sz w:val="24"/>
          <w:szCs w:val="24"/>
          <w:highlight w:val="yellow"/>
        </w:rPr>
        <w:t xml:space="preserve"> </w:t>
      </w:r>
      <w:r>
        <w:rPr>
          <w:rFonts w:ascii="Times New Roman" w:hAnsi="Times New Roman" w:cs="Times New Roman"/>
          <w:sz w:val="24"/>
          <w:szCs w:val="24"/>
          <w:lang w:val="en-US"/>
        </w:rPr>
        <w:t>3</w:t>
      </w:r>
      <w:r>
        <w:rPr>
          <w:rFonts w:ascii="Times New Roman" w:hAnsi="Times New Roman" w:cs="Times New Roman"/>
          <w:sz w:val="24"/>
          <w:szCs w:val="24"/>
        </w:rPr>
        <w:t xml:space="preserve">, the Breusch-Pagan heteroscedasticity test returned a chi-square value of 2530.000 with a p-value of 0.000 (&lt; 0.05), indicating a clear violation of the homoscedasticity assumption. Consequently, the OLS estimates could not be relied upon for valid inference. To address this issue, the model was respecified using iterated robust least squares (IRLS) regression, which employs robust standard errors. </w:t>
      </w:r>
    </w:p>
    <w:p w14:paraId="145FCB6D" w14:textId="77777777" w:rsidR="0072696F" w:rsidRPr="002E68D5" w:rsidRDefault="0072696F" w:rsidP="0072696F">
      <w:pPr>
        <w:spacing w:before="240" w:after="0" w:line="480" w:lineRule="auto"/>
        <w:jc w:val="both"/>
        <w:rPr>
          <w:rFonts w:ascii="Times New Roman" w:hAnsi="Times New Roman" w:cs="Times New Roman"/>
          <w:b/>
          <w:bCs/>
          <w:sz w:val="24"/>
          <w:szCs w:val="24"/>
        </w:rPr>
      </w:pPr>
      <w:r w:rsidRPr="002E68D5">
        <w:rPr>
          <w:rFonts w:ascii="Times New Roman" w:hAnsi="Times New Roman" w:cs="Times New Roman"/>
          <w:b/>
          <w:bCs/>
          <w:sz w:val="24"/>
          <w:szCs w:val="24"/>
        </w:rPr>
        <w:t>Multicollinearity</w:t>
      </w:r>
    </w:p>
    <w:p w14:paraId="3A0BDA0F" w14:textId="77777777" w:rsidR="0072696F" w:rsidRPr="002E68D5" w:rsidRDefault="0072696F" w:rsidP="0072696F">
      <w:pPr>
        <w:spacing w:after="0" w:line="480" w:lineRule="auto"/>
        <w:ind w:firstLine="720"/>
        <w:jc w:val="both"/>
        <w:rPr>
          <w:rFonts w:ascii="Times New Roman" w:eastAsia="DengXian" w:hAnsi="Times New Roman" w:cs="Times New Roman"/>
          <w:sz w:val="24"/>
          <w:szCs w:val="24"/>
          <w:lang w:eastAsia="zh-CN"/>
        </w:rPr>
      </w:pPr>
      <w:r>
        <w:rPr>
          <w:rFonts w:ascii="Times New Roman" w:hAnsi="Times New Roman" w:cs="Times New Roman"/>
          <w:sz w:val="24"/>
          <w:szCs w:val="24"/>
        </w:rPr>
        <w:t xml:space="preserve"> </w:t>
      </w:r>
      <w:r>
        <w:rPr>
          <w:rFonts w:ascii="Times New Roman" w:hAnsi="Times New Roman" w:cs="Times New Roman"/>
          <w:sz w:val="24"/>
          <w:szCs w:val="24"/>
          <w:highlight w:val="yellow"/>
        </w:rPr>
        <w:t>T</w:t>
      </w:r>
      <w:r>
        <w:rPr>
          <w:rFonts w:ascii="Times New Roman" w:hAnsi="Times New Roman" w:cs="Times New Roman"/>
          <w:sz w:val="24"/>
          <w:szCs w:val="24"/>
        </w:rPr>
        <w:t xml:space="preserve">he mean </w:t>
      </w:r>
      <w:r>
        <w:rPr>
          <w:rFonts w:ascii="Times New Roman" w:hAnsi="Times New Roman" w:cs="Times New Roman"/>
          <w:sz w:val="24"/>
          <w:szCs w:val="24"/>
          <w:highlight w:val="yellow"/>
        </w:rPr>
        <w:t>variance inflation factor (</w:t>
      </w:r>
      <w:r>
        <w:rPr>
          <w:rFonts w:ascii="Times New Roman" w:hAnsi="Times New Roman" w:cs="Times New Roman"/>
          <w:sz w:val="24"/>
          <w:szCs w:val="24"/>
        </w:rPr>
        <w:t>VIF</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 xml:space="preserve">of 1.27 </w:t>
      </w:r>
      <w:r>
        <w:rPr>
          <w:rFonts w:ascii="Times New Roman" w:hAnsi="Times New Roman" w:cs="Times New Roman"/>
          <w:sz w:val="24"/>
          <w:szCs w:val="24"/>
        </w:rPr>
        <w:t>re</w:t>
      </w:r>
      <w:r>
        <w:rPr>
          <w:rFonts w:ascii="Times New Roman" w:hAnsi="Times New Roman" w:cs="Times New Roman"/>
          <w:sz w:val="24"/>
          <w:szCs w:val="24"/>
          <w:highlight w:val="yellow"/>
        </w:rPr>
        <w:t>por</w:t>
      </w:r>
      <w:r>
        <w:rPr>
          <w:rFonts w:ascii="Times New Roman" w:hAnsi="Times New Roman" w:cs="Times New Roman"/>
          <w:sz w:val="24"/>
          <w:szCs w:val="24"/>
        </w:rPr>
        <w:t xml:space="preserve">ted in </w:t>
      </w:r>
      <w:r>
        <w:rPr>
          <w:rFonts w:ascii="Times New Roman" w:hAnsi="Times New Roman" w:cs="Times New Roman"/>
          <w:sz w:val="24"/>
          <w:szCs w:val="24"/>
          <w:highlight w:val="yellow"/>
        </w:rPr>
        <w:t>T</w:t>
      </w:r>
      <w:r>
        <w:rPr>
          <w:rFonts w:ascii="Times New Roman" w:hAnsi="Times New Roman" w:cs="Times New Roman"/>
          <w:sz w:val="24"/>
          <w:szCs w:val="24"/>
        </w:rPr>
        <w:t xml:space="preserve">able </w:t>
      </w:r>
      <w:r>
        <w:rPr>
          <w:rFonts w:ascii="Times New Roman" w:hAnsi="Times New Roman" w:cs="Times New Roman"/>
          <w:sz w:val="24"/>
          <w:szCs w:val="24"/>
          <w:lang w:val="en-US"/>
        </w:rPr>
        <w:t>3</w:t>
      </w:r>
      <w:r>
        <w:rPr>
          <w:rFonts w:ascii="Times New Roman" w:hAnsi="Times New Roman" w:cs="Times New Roman"/>
          <w:sz w:val="24"/>
          <w:szCs w:val="24"/>
        </w:rPr>
        <w:t xml:space="preserve"> </w:t>
      </w:r>
      <w:r>
        <w:rPr>
          <w:rFonts w:ascii="Times New Roman" w:hAnsi="Times New Roman" w:cs="Times New Roman"/>
          <w:sz w:val="24"/>
          <w:szCs w:val="24"/>
          <w:highlight w:val="yellow"/>
        </w:rPr>
        <w:t>sugg</w:t>
      </w:r>
      <w:r>
        <w:rPr>
          <w:rFonts w:ascii="Times New Roman" w:hAnsi="Times New Roman" w:cs="Times New Roman"/>
          <w:sz w:val="24"/>
          <w:szCs w:val="24"/>
        </w:rPr>
        <w:t>e</w:t>
      </w:r>
      <w:r>
        <w:rPr>
          <w:rFonts w:ascii="Times New Roman" w:hAnsi="Times New Roman" w:cs="Times New Roman"/>
          <w:sz w:val="24"/>
          <w:szCs w:val="24"/>
          <w:highlight w:val="yellow"/>
        </w:rPr>
        <w:t>s</w:t>
      </w:r>
      <w:r>
        <w:rPr>
          <w:rFonts w:ascii="Times New Roman" w:hAnsi="Times New Roman" w:cs="Times New Roman"/>
          <w:sz w:val="24"/>
          <w:szCs w:val="24"/>
        </w:rPr>
        <w:t>ts that multicollinearity</w:t>
      </w:r>
      <w:r>
        <w:rPr>
          <w:rFonts w:ascii="Times New Roman" w:hAnsi="Times New Roman" w:cs="Times New Roman"/>
          <w:sz w:val="24"/>
          <w:szCs w:val="24"/>
          <w:highlight w:val="yellow"/>
        </w:rPr>
        <w:t xml:space="preserve"> was not</w:t>
      </w:r>
      <w:r>
        <w:rPr>
          <w:rFonts w:ascii="Times New Roman" w:hAnsi="Times New Roman" w:cs="Times New Roman"/>
          <w:sz w:val="24"/>
          <w:szCs w:val="24"/>
        </w:rPr>
        <w:t xml:space="preserve"> evident in the dataset.</w:t>
      </w:r>
    </w:p>
    <w:p w14:paraId="73B93388" w14:textId="77777777" w:rsidR="0072696F" w:rsidRPr="002E68D5" w:rsidRDefault="0072696F" w:rsidP="0072696F">
      <w:pPr>
        <w:spacing w:before="240" w:after="0" w:line="480" w:lineRule="auto"/>
        <w:jc w:val="both"/>
        <w:rPr>
          <w:rFonts w:ascii="Times New Roman" w:hAnsi="Times New Roman" w:cs="Times New Roman"/>
          <w:b/>
          <w:bCs/>
          <w:sz w:val="24"/>
          <w:szCs w:val="24"/>
        </w:rPr>
      </w:pPr>
      <w:r w:rsidRPr="002E68D5">
        <w:rPr>
          <w:rFonts w:ascii="Times New Roman" w:hAnsi="Times New Roman" w:cs="Times New Roman"/>
          <w:b/>
          <w:bCs/>
          <w:sz w:val="24"/>
          <w:szCs w:val="24"/>
        </w:rPr>
        <w:t xml:space="preserve">Lagrange </w:t>
      </w:r>
      <w:r w:rsidRPr="002E68D5">
        <w:rPr>
          <w:rFonts w:ascii="Times New Roman" w:hAnsi="Times New Roman" w:cs="Times New Roman"/>
          <w:b/>
          <w:bCs/>
          <w:sz w:val="24"/>
          <w:szCs w:val="24"/>
          <w:lang w:val="en-GB"/>
        </w:rPr>
        <w:t>m</w:t>
      </w:r>
      <w:r w:rsidRPr="002E68D5">
        <w:rPr>
          <w:rFonts w:ascii="Times New Roman" w:hAnsi="Times New Roman" w:cs="Times New Roman"/>
          <w:b/>
          <w:bCs/>
          <w:sz w:val="24"/>
          <w:szCs w:val="24"/>
        </w:rPr>
        <w:t xml:space="preserve">ultiplier (LM) </w:t>
      </w:r>
      <w:r w:rsidRPr="002E68D5">
        <w:rPr>
          <w:rFonts w:ascii="Times New Roman" w:hAnsi="Times New Roman" w:cs="Times New Roman"/>
          <w:b/>
          <w:bCs/>
          <w:sz w:val="24"/>
          <w:szCs w:val="24"/>
          <w:lang w:val="en-GB"/>
        </w:rPr>
        <w:t>t</w:t>
      </w:r>
      <w:r w:rsidRPr="002E68D5">
        <w:rPr>
          <w:rFonts w:ascii="Times New Roman" w:hAnsi="Times New Roman" w:cs="Times New Roman"/>
          <w:b/>
          <w:bCs/>
          <w:sz w:val="24"/>
          <w:szCs w:val="24"/>
        </w:rPr>
        <w:t>est</w:t>
      </w:r>
    </w:p>
    <w:p w14:paraId="22FAF08E" w14:textId="77777777" w:rsidR="0072696F" w:rsidRPr="002E68D5" w:rsidRDefault="0072696F" w:rsidP="0072696F">
      <w:pPr>
        <w:spacing w:after="0" w:line="480" w:lineRule="auto"/>
        <w:ind w:firstLine="720"/>
        <w:jc w:val="both"/>
        <w:rPr>
          <w:rFonts w:ascii="Times New Roman" w:hAnsi="Times New Roman" w:cs="Times New Roman"/>
          <w:b/>
          <w:sz w:val="24"/>
          <w:szCs w:val="24"/>
        </w:rPr>
      </w:pPr>
      <w:r>
        <w:rPr>
          <w:rFonts w:ascii="Times New Roman" w:hAnsi="Times New Roman" w:cs="Times New Roman"/>
          <w:sz w:val="24"/>
          <w:szCs w:val="24"/>
        </w:rPr>
        <w:t xml:space="preserve">The Lagrange Multiplier (LM) test </w:t>
      </w:r>
      <w:r>
        <w:rPr>
          <w:rFonts w:ascii="Times New Roman" w:hAnsi="Times New Roman" w:cs="Times New Roman"/>
          <w:sz w:val="24"/>
          <w:szCs w:val="24"/>
          <w:lang w:val="en-US"/>
        </w:rPr>
        <w:t>was</w:t>
      </w:r>
      <w:r>
        <w:rPr>
          <w:rFonts w:ascii="Times New Roman" w:hAnsi="Times New Roman" w:cs="Times New Roman"/>
          <w:sz w:val="24"/>
          <w:szCs w:val="24"/>
        </w:rPr>
        <w:t xml:space="preserve"> applied to determine whether a random-effects </w:t>
      </w:r>
      <w:r>
        <w:rPr>
          <w:rFonts w:ascii="Times New Roman" w:hAnsi="Times New Roman" w:cs="Times New Roman"/>
          <w:sz w:val="24"/>
          <w:szCs w:val="24"/>
          <w:highlight w:val="yellow"/>
        </w:rPr>
        <w:t>g</w:t>
      </w:r>
      <w:r>
        <w:rPr>
          <w:rFonts w:ascii="Times New Roman" w:hAnsi="Times New Roman" w:cs="Times New Roman"/>
          <w:sz w:val="24"/>
          <w:szCs w:val="24"/>
        </w:rPr>
        <w:t>enerali</w:t>
      </w:r>
      <w:r>
        <w:rPr>
          <w:rFonts w:ascii="Times New Roman" w:hAnsi="Times New Roman" w:cs="Times New Roman"/>
          <w:sz w:val="24"/>
          <w:szCs w:val="24"/>
          <w:highlight w:val="yellow"/>
        </w:rPr>
        <w:t>s</w:t>
      </w:r>
      <w:r>
        <w:rPr>
          <w:rFonts w:ascii="Times New Roman" w:hAnsi="Times New Roman" w:cs="Times New Roman"/>
          <w:sz w:val="24"/>
          <w:szCs w:val="24"/>
        </w:rPr>
        <w:t xml:space="preserve">ed </w:t>
      </w:r>
      <w:r>
        <w:rPr>
          <w:rFonts w:ascii="Times New Roman" w:hAnsi="Times New Roman" w:cs="Times New Roman"/>
          <w:sz w:val="24"/>
          <w:szCs w:val="24"/>
          <w:highlight w:val="yellow"/>
        </w:rPr>
        <w:t>l</w:t>
      </w:r>
      <w:r>
        <w:rPr>
          <w:rFonts w:ascii="Times New Roman" w:hAnsi="Times New Roman" w:cs="Times New Roman"/>
          <w:sz w:val="24"/>
          <w:szCs w:val="24"/>
        </w:rPr>
        <w:t xml:space="preserve">east </w:t>
      </w:r>
      <w:r>
        <w:rPr>
          <w:rFonts w:ascii="Times New Roman" w:hAnsi="Times New Roman" w:cs="Times New Roman"/>
          <w:sz w:val="24"/>
          <w:szCs w:val="24"/>
          <w:highlight w:val="yellow"/>
        </w:rPr>
        <w:t>s</w:t>
      </w:r>
      <w:r>
        <w:rPr>
          <w:rFonts w:ascii="Times New Roman" w:hAnsi="Times New Roman" w:cs="Times New Roman"/>
          <w:sz w:val="24"/>
          <w:szCs w:val="24"/>
        </w:rPr>
        <w:t xml:space="preserve">quares (GLS) model or a pooled OLS model </w:t>
      </w:r>
      <w:r>
        <w:rPr>
          <w:rFonts w:ascii="Times New Roman" w:hAnsi="Times New Roman" w:cs="Times New Roman"/>
          <w:sz w:val="24"/>
          <w:szCs w:val="24"/>
          <w:highlight w:val="yellow"/>
        </w:rPr>
        <w:t>wa</w:t>
      </w:r>
      <w:r>
        <w:rPr>
          <w:rFonts w:ascii="Times New Roman" w:hAnsi="Times New Roman" w:cs="Times New Roman"/>
          <w:sz w:val="24"/>
          <w:szCs w:val="24"/>
        </w:rPr>
        <w:t xml:space="preserve">s more appropriate for the panel data (Breusch &amp; Pagan, 1980). As shown in Table </w:t>
      </w:r>
      <w:r>
        <w:rPr>
          <w:rFonts w:ascii="Times New Roman" w:hAnsi="Times New Roman" w:cs="Times New Roman"/>
          <w:sz w:val="24"/>
          <w:szCs w:val="24"/>
          <w:lang w:val="en-US"/>
        </w:rPr>
        <w:t>3</w:t>
      </w:r>
      <w:r>
        <w:rPr>
          <w:rFonts w:ascii="Times New Roman" w:hAnsi="Times New Roman" w:cs="Times New Roman"/>
          <w:sz w:val="24"/>
          <w:szCs w:val="24"/>
        </w:rPr>
        <w:t xml:space="preserve">, the LM test returned a statistic of 0.000 with a corresponding p-value of 1.000, indicating that the null hypothesis cannot be </w:t>
      </w:r>
      <w:r>
        <w:rPr>
          <w:rFonts w:ascii="Times New Roman" w:hAnsi="Times New Roman" w:cs="Times New Roman"/>
          <w:sz w:val="24"/>
          <w:szCs w:val="24"/>
        </w:rPr>
        <w:lastRenderedPageBreak/>
        <w:t>rejected. This implies that there are no significant random effects across firms, and therefore, the pooled OLS model is appropriate. However, due to the earlier detection of heteroscedasticity and potential outliers, the pooled OLS model was estimated using iterated robust least squares regression to ensure reliable coefficient estimates and standard errors.</w:t>
      </w:r>
    </w:p>
    <w:p w14:paraId="0FEB2CB7" w14:textId="77777777" w:rsidR="0072696F" w:rsidRPr="002E68D5" w:rsidRDefault="0072696F" w:rsidP="0072696F">
      <w:pPr>
        <w:spacing w:after="0" w:line="276" w:lineRule="auto"/>
        <w:jc w:val="both"/>
        <w:rPr>
          <w:rFonts w:ascii="Times New Roman" w:hAnsi="Times New Roman" w:cs="Times New Roman"/>
          <w:b/>
          <w:sz w:val="24"/>
          <w:szCs w:val="24"/>
        </w:rPr>
      </w:pPr>
    </w:p>
    <w:p w14:paraId="4C1F13A4" w14:textId="77777777" w:rsidR="0072696F" w:rsidRPr="002E68D5" w:rsidRDefault="00084607" w:rsidP="0072696F">
      <w:pPr>
        <w:spacing w:after="0" w:line="480" w:lineRule="auto"/>
        <w:jc w:val="both"/>
        <w:rPr>
          <w:rFonts w:ascii="Times New Roman" w:hAnsi="Times New Roman" w:cs="Times New Roman"/>
          <w:b/>
          <w:bCs/>
          <w:sz w:val="24"/>
          <w:szCs w:val="24"/>
        </w:rPr>
      </w:pPr>
      <w:r w:rsidRPr="002E68D5">
        <w:rPr>
          <w:rFonts w:ascii="Times New Roman" w:hAnsi="Times New Roman" w:cs="Times New Roman"/>
          <w:b/>
          <w:bCs/>
          <w:sz w:val="24"/>
          <w:szCs w:val="24"/>
          <w:lang w:val="en-US"/>
        </w:rPr>
        <w:t xml:space="preserve">4.2 </w:t>
      </w:r>
      <w:r w:rsidR="0072696F" w:rsidRPr="002E68D5">
        <w:rPr>
          <w:rFonts w:ascii="Times New Roman" w:hAnsi="Times New Roman" w:cs="Times New Roman"/>
          <w:b/>
          <w:bCs/>
          <w:sz w:val="24"/>
          <w:szCs w:val="24"/>
        </w:rPr>
        <w:t>Discussion of findings</w:t>
      </w:r>
    </w:p>
    <w:p w14:paraId="5F414608" w14:textId="77777777" w:rsidR="0072696F" w:rsidRPr="002E68D5" w:rsidRDefault="0072696F" w:rsidP="0072696F">
      <w:pPr>
        <w:spacing w:after="0" w:line="480" w:lineRule="auto"/>
        <w:rPr>
          <w:rFonts w:ascii="Times New Roman" w:hAnsi="Times New Roman" w:cs="Times New Roman"/>
          <w:b/>
          <w:bCs/>
          <w:sz w:val="24"/>
          <w:szCs w:val="24"/>
        </w:rPr>
      </w:pPr>
      <w:r w:rsidRPr="002E68D5">
        <w:rPr>
          <w:rFonts w:ascii="Times New Roman" w:hAnsi="Times New Roman" w:cs="Times New Roman"/>
          <w:b/>
          <w:bCs/>
          <w:sz w:val="24"/>
          <w:szCs w:val="24"/>
        </w:rPr>
        <w:t>Auditor type and income smoothing</w:t>
      </w:r>
    </w:p>
    <w:p w14:paraId="6628775F" w14:textId="77777777" w:rsidR="0072696F" w:rsidRPr="002E68D5" w:rsidRDefault="0072696F" w:rsidP="0072696F">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The results obtained from the iterated robust regression model</w:t>
      </w:r>
      <w:r>
        <w:rPr>
          <w:rFonts w:ascii="Times New Roman" w:hAnsi="Times New Roman" w:cs="Times New Roman"/>
          <w:sz w:val="24"/>
          <w:szCs w:val="24"/>
          <w:lang w:val="en-US"/>
        </w:rPr>
        <w:t xml:space="preserve"> in </w:t>
      </w:r>
      <w:r>
        <w:rPr>
          <w:rFonts w:ascii="Times New Roman" w:hAnsi="Times New Roman" w:cs="Times New Roman"/>
          <w:sz w:val="24"/>
          <w:szCs w:val="24"/>
          <w:highlight w:val="yellow"/>
          <w:lang w:val="en-US"/>
        </w:rPr>
        <w:t>T</w:t>
      </w:r>
      <w:r>
        <w:rPr>
          <w:rFonts w:ascii="Times New Roman" w:hAnsi="Times New Roman" w:cs="Times New Roman"/>
          <w:sz w:val="24"/>
          <w:szCs w:val="24"/>
          <w:lang w:val="en-US"/>
        </w:rPr>
        <w:t>able 3</w:t>
      </w:r>
      <w:r>
        <w:rPr>
          <w:rFonts w:ascii="Times New Roman" w:hAnsi="Times New Roman" w:cs="Times New Roman"/>
          <w:sz w:val="24"/>
          <w:szCs w:val="24"/>
        </w:rPr>
        <w:t xml:space="preserve"> revealed that auditor type (AUTT) (0.387 [0.007]) has a positive and statistically significant effect on Eckel’s income smoothing index of listed non-financial companies in Nigeria. This implies that the type of auditor engaged by firms significantly influences the level of income smoothing among the sampled firms. Given that higher Eckel index values indicate less income smoothing, the positive coefficient suggests that firms audited by higher-quality auditors (e.g., Big 4) are associated with a reduction in income smoothing practices, thereby improving financial reporting quality.</w:t>
      </w:r>
      <w:r>
        <w:rPr>
          <w:rFonts w:ascii="Times New Roman" w:hAnsi="Times New Roman" w:cs="Times New Roman"/>
          <w:sz w:val="24"/>
          <w:szCs w:val="24"/>
          <w:highlight w:val="yellow"/>
        </w:rPr>
        <w:t xml:space="preserve"> </w:t>
      </w:r>
      <w:r>
        <w:rPr>
          <w:rFonts w:ascii="Times New Roman" w:hAnsi="Times New Roman" w:cs="Times New Roman"/>
          <w:sz w:val="24"/>
          <w:szCs w:val="24"/>
        </w:rPr>
        <w:t>This finding is consistent with the a</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priori expectation, which posits that reputable audit firms, particularly the Big 4, provide more rigorous monitoring, enforce stricter compliance with accounting standards, and are less tolerant of aggressive accounting practices. This finding supports the findings from several empirical studies. For instance, Olowookere et al. (2025) examined Big Four auditor status in relation to income smoothing, while Yousefi Nejad et al. (2024) studied the association of audit quality with financial-statement fraud. Knechel et al. (2015) found that audit-partner reporting styles persist across engagements, underscoring the importance of auditor-level variation. Similarly, Olaoye and Akintayo (2021) identified audit-firm characteristics, including tenure, audit fees and independence, as reporting-quality determinants. However, Awodiji et al. (2025) examined audit-quality </w:t>
      </w:r>
      <w:r>
        <w:rPr>
          <w:rFonts w:ascii="Times New Roman" w:hAnsi="Times New Roman" w:cs="Times New Roman"/>
          <w:sz w:val="24"/>
          <w:szCs w:val="24"/>
        </w:rPr>
        <w:lastRenderedPageBreak/>
        <w:t>indicators in relation to financial performance, not income smoothing; differences in outcomes and samples therefore limit direct comparability.</w:t>
      </w:r>
    </w:p>
    <w:p w14:paraId="397868E1" w14:textId="77777777" w:rsidR="0072696F" w:rsidRPr="002E68D5" w:rsidRDefault="0072696F" w:rsidP="0072696F">
      <w:pPr>
        <w:spacing w:before="240"/>
        <w:rPr>
          <w:rFonts w:ascii="Times New Roman" w:hAnsi="Times New Roman" w:cs="Times New Roman"/>
          <w:b/>
          <w:bCs/>
          <w:sz w:val="24"/>
          <w:szCs w:val="24"/>
        </w:rPr>
      </w:pPr>
      <w:r w:rsidRPr="002E68D5">
        <w:rPr>
          <w:rFonts w:ascii="Times New Roman" w:hAnsi="Times New Roman" w:cs="Times New Roman"/>
          <w:b/>
          <w:bCs/>
          <w:sz w:val="24"/>
          <w:szCs w:val="24"/>
        </w:rPr>
        <w:t>Sustainability disclosure practices and income smoothing</w:t>
      </w:r>
    </w:p>
    <w:p w14:paraId="5B5C52C2" w14:textId="77777777" w:rsidR="0072696F" w:rsidRPr="002E68D5" w:rsidRDefault="0072696F" w:rsidP="0072696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results obtained from the iterated robust regression</w:t>
      </w:r>
      <w:r>
        <w:rPr>
          <w:rFonts w:ascii="Times New Roman" w:hAnsi="Times New Roman" w:cs="Times New Roman"/>
          <w:sz w:val="24"/>
          <w:szCs w:val="24"/>
          <w:lang w:val="en-US"/>
        </w:rPr>
        <w:t xml:space="preserve"> </w:t>
      </w:r>
      <w:r>
        <w:rPr>
          <w:rFonts w:ascii="Times New Roman" w:hAnsi="Times New Roman" w:cs="Times New Roman"/>
          <w:sz w:val="24"/>
          <w:szCs w:val="24"/>
        </w:rPr>
        <w:t>model</w:t>
      </w:r>
      <w:r>
        <w:rPr>
          <w:rFonts w:ascii="Times New Roman" w:hAnsi="Times New Roman" w:cs="Times New Roman"/>
          <w:sz w:val="24"/>
          <w:szCs w:val="24"/>
          <w:lang w:val="en-US"/>
        </w:rPr>
        <w:t xml:space="preserve"> in </w:t>
      </w:r>
      <w:r>
        <w:rPr>
          <w:rFonts w:ascii="Times New Roman" w:hAnsi="Times New Roman" w:cs="Times New Roman"/>
          <w:sz w:val="24"/>
          <w:szCs w:val="24"/>
          <w:highlight w:val="yellow"/>
          <w:lang w:val="en-US"/>
        </w:rPr>
        <w:t>T</w:t>
      </w:r>
      <w:r>
        <w:rPr>
          <w:rFonts w:ascii="Times New Roman" w:hAnsi="Times New Roman" w:cs="Times New Roman"/>
          <w:sz w:val="24"/>
          <w:szCs w:val="24"/>
          <w:lang w:val="en-US"/>
        </w:rPr>
        <w:t>able 3</w:t>
      </w:r>
      <w:r>
        <w:rPr>
          <w:rFonts w:ascii="Times New Roman" w:hAnsi="Times New Roman" w:cs="Times New Roman"/>
          <w:sz w:val="24"/>
          <w:szCs w:val="24"/>
        </w:rPr>
        <w:t xml:space="preserve"> revealed that sustainability disclosure practices (SUDP) (0.525 [0.491]) have a positive but statistically insignificant effect on Eckel’s income smoothing index of listed non-financial companies in Nigeria. This implies that sustainability disclosure practices do not significantly influence the level of income smoothing among the sampled firms. This finding is not fully consistent with the a</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priori expectation, which suggests that firms with robust sustainability disclosure practices should exhibit lower levels of earnings management due to increased transparency, stakeholder scrutiny, and alignment with ethical reporting standards. This finding aligns with studies such as Adegbayibi et al. (2024), which reported insignificant or weak relationships between sustainability disclosure practices and financial reporting quality. </w:t>
      </w:r>
      <w:r>
        <w:rPr>
          <w:rFonts w:ascii="Times New Roman" w:hAnsi="Times New Roman" w:cs="Times New Roman"/>
          <w:sz w:val="24"/>
          <w:szCs w:val="24"/>
          <w:highlight w:val="yellow"/>
        </w:rPr>
        <w:t xml:space="preserve">The finding also aligns with Nurullah et al. (2025), who reported a non-significant relationship in Indonesian corporations. </w:t>
      </w:r>
      <w:r>
        <w:rPr>
          <w:rFonts w:ascii="Times New Roman" w:hAnsi="Times New Roman" w:cs="Times New Roman"/>
          <w:sz w:val="24"/>
          <w:szCs w:val="24"/>
        </w:rPr>
        <w:t>The non-significant finding differs from the negative association between sustainability disclosure and discretionary accruals reported by Malo-Alain et al. (2019), and from the environmental-disclosure association reported by Amenaghawon et al. (2021).</w:t>
      </w:r>
    </w:p>
    <w:p w14:paraId="7FDFC034" w14:textId="77777777" w:rsidR="0072696F" w:rsidRPr="002E68D5" w:rsidRDefault="0072696F" w:rsidP="0072696F">
      <w:pPr>
        <w:spacing w:before="240"/>
        <w:rPr>
          <w:rFonts w:ascii="Times New Roman" w:hAnsi="Times New Roman" w:cs="Times New Roman"/>
          <w:b/>
          <w:bCs/>
          <w:sz w:val="24"/>
          <w:szCs w:val="24"/>
        </w:rPr>
      </w:pPr>
      <w:r w:rsidRPr="002E68D5">
        <w:rPr>
          <w:rFonts w:ascii="Times New Roman" w:hAnsi="Times New Roman" w:cs="Times New Roman"/>
          <w:b/>
          <w:bCs/>
          <w:sz w:val="24"/>
          <w:szCs w:val="24"/>
        </w:rPr>
        <w:t>Board financial expertise and income smoothing</w:t>
      </w:r>
    </w:p>
    <w:p w14:paraId="45DD8207" w14:textId="77777777" w:rsidR="0072696F" w:rsidRPr="002E68D5" w:rsidRDefault="0072696F" w:rsidP="0072696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results obtained from the iterated robust regression model </w:t>
      </w:r>
      <w:r>
        <w:rPr>
          <w:rFonts w:ascii="Times New Roman" w:hAnsi="Times New Roman" w:cs="Times New Roman"/>
          <w:sz w:val="24"/>
          <w:szCs w:val="24"/>
          <w:lang w:val="en-US"/>
        </w:rPr>
        <w:t xml:space="preserve">in Table 3 </w:t>
      </w:r>
      <w:r>
        <w:rPr>
          <w:rFonts w:ascii="Times New Roman" w:hAnsi="Times New Roman" w:cs="Times New Roman"/>
          <w:sz w:val="24"/>
          <w:szCs w:val="24"/>
        </w:rPr>
        <w:t>revealed that board financial expertise (BOFE) (1.597 [0.038]) has a positive and statistically significant effect on Eckel’s income smoothing index of listed non-financial companies in Nigeria. This implies that board financial expertise significantly influences the level of income smoothing among the sampled firms. This finding is consistent with the a</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priori expectation, which posits that board members with financial knowledge and expertise are better equipped to monitor financial reporting processes, detect irregularities, and constrain managerial opportunism. This </w:t>
      </w:r>
      <w:r>
        <w:rPr>
          <w:rFonts w:ascii="Times New Roman" w:hAnsi="Times New Roman" w:cs="Times New Roman"/>
          <w:sz w:val="24"/>
          <w:szCs w:val="24"/>
        </w:rPr>
        <w:lastRenderedPageBreak/>
        <w:t>finding aligns with several empirical studies. For instance, Adeyemi and Yahaya (2024) examined the role of board financial expertise in earnings quality, while Etuk et al. (2025) reported a significant positive association between audit committee financial expertise and the income-smoothing index among Nigerian banks. Similarly, Alshareef and Sulimany (2024) found a positive association between board financial expertise and financial sustainability among Saudi-listed firms, although this is not the same outcome as income smoothing. The relationship should nevertheless be interpreted within its study context: Awodiran and Ogundele (2022) focused on other firm-level determinants, while Abe et al. (2025) examined separate board-governance characteristics and financial-reporting timeliness.</w:t>
      </w:r>
    </w:p>
    <w:p w14:paraId="5DD21930" w14:textId="77777777" w:rsidR="0072696F" w:rsidRPr="002E68D5" w:rsidRDefault="0072696F" w:rsidP="0072696F">
      <w:pPr>
        <w:tabs>
          <w:tab w:val="left" w:pos="0"/>
        </w:tabs>
        <w:spacing w:after="0" w:line="276" w:lineRule="auto"/>
        <w:jc w:val="both"/>
        <w:rPr>
          <w:rFonts w:ascii="Times New Roman" w:hAnsi="Times New Roman" w:cs="Times New Roman"/>
          <w:sz w:val="24"/>
          <w:szCs w:val="24"/>
        </w:rPr>
      </w:pPr>
    </w:p>
    <w:p w14:paraId="601D2DB0" w14:textId="77777777" w:rsidR="0072696F" w:rsidRPr="002E68D5" w:rsidRDefault="00DD0783" w:rsidP="0072696F">
      <w:pPr>
        <w:tabs>
          <w:tab w:val="left" w:pos="0"/>
        </w:tabs>
        <w:spacing w:after="0" w:line="480" w:lineRule="auto"/>
        <w:jc w:val="both"/>
        <w:rPr>
          <w:rFonts w:ascii="Times New Roman" w:hAnsi="Times New Roman" w:cs="Times New Roman"/>
          <w:b/>
          <w:bCs/>
          <w:sz w:val="24"/>
          <w:szCs w:val="24"/>
          <w:lang w:val="en-US"/>
        </w:rPr>
      </w:pPr>
      <w:r w:rsidRPr="002E68D5">
        <w:rPr>
          <w:rFonts w:ascii="Times New Roman" w:hAnsi="Times New Roman" w:cs="Times New Roman"/>
          <w:b/>
          <w:bCs/>
          <w:sz w:val="24"/>
          <w:szCs w:val="24"/>
          <w:lang w:val="en-US"/>
        </w:rPr>
        <w:t xml:space="preserve">5.0 </w:t>
      </w:r>
      <w:r w:rsidR="0072696F" w:rsidRPr="002E68D5">
        <w:rPr>
          <w:rFonts w:ascii="Times New Roman" w:hAnsi="Times New Roman" w:cs="Times New Roman"/>
          <w:b/>
          <w:bCs/>
          <w:sz w:val="24"/>
          <w:szCs w:val="24"/>
        </w:rPr>
        <w:t>Conclusion</w:t>
      </w:r>
      <w:r w:rsidRPr="002E68D5">
        <w:rPr>
          <w:rFonts w:ascii="Times New Roman" w:hAnsi="Times New Roman" w:cs="Times New Roman"/>
          <w:b/>
          <w:bCs/>
          <w:sz w:val="24"/>
          <w:szCs w:val="24"/>
          <w:lang w:val="en-US"/>
        </w:rPr>
        <w:t xml:space="preserve"> and recommendations</w:t>
      </w:r>
    </w:p>
    <w:p w14:paraId="5A6E9E50" w14:textId="77777777" w:rsidR="0072696F" w:rsidRDefault="0072696F" w:rsidP="00DD0783">
      <w:pPr>
        <w:spacing w:after="0"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rPr>
        <w:t>This study investigated the effect of firm attributes on</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financial reporting quality of listed non-financial firms in Nigeria, covering the period from 201</w:t>
      </w:r>
      <w:r>
        <w:rPr>
          <w:rFonts w:ascii="Times New Roman" w:hAnsi="Times New Roman" w:cs="Times New Roman"/>
          <w:sz w:val="24"/>
          <w:szCs w:val="24"/>
          <w:lang w:val="en-US"/>
        </w:rPr>
        <w:t>6</w:t>
      </w:r>
      <w:r>
        <w:rPr>
          <w:rFonts w:ascii="Times New Roman" w:hAnsi="Times New Roman" w:cs="Times New Roman"/>
          <w:sz w:val="24"/>
          <w:szCs w:val="24"/>
        </w:rPr>
        <w:t xml:space="preserve"> to 202</w:t>
      </w:r>
      <w:r>
        <w:rPr>
          <w:rFonts w:ascii="Times New Roman" w:hAnsi="Times New Roman" w:cs="Times New Roman"/>
          <w:sz w:val="24"/>
          <w:szCs w:val="24"/>
          <w:lang w:val="en-US"/>
        </w:rPr>
        <w:t>5</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Based on the empirical evidence, this study </w:t>
      </w:r>
      <w:r>
        <w:rPr>
          <w:rFonts w:ascii="Times New Roman" w:eastAsia="Times New Roman" w:hAnsi="Times New Roman" w:cs="Times New Roman"/>
          <w:sz w:val="24"/>
          <w:szCs w:val="24"/>
          <w:lang w:val="en-US"/>
        </w:rPr>
        <w:t>revealed</w:t>
      </w:r>
      <w:r>
        <w:rPr>
          <w:rFonts w:ascii="Times New Roman" w:eastAsia="Times New Roman" w:hAnsi="Times New Roman" w:cs="Times New Roman"/>
          <w:sz w:val="24"/>
          <w:szCs w:val="24"/>
        </w:rPr>
        <w:t xml:space="preserve"> that firm attributes play a critical role in shaping the financial reporting quality of listed non-financial companies in Nigeria, particularly through their influence on income smoothing practices. Overall, the study conclude</w:t>
      </w:r>
      <w:r>
        <w:rPr>
          <w:rFonts w:ascii="Times New Roman" w:eastAsia="Times New Roman" w:hAnsi="Times New Roman" w:cs="Times New Roman"/>
          <w:sz w:val="24"/>
          <w:szCs w:val="24"/>
          <w:lang w:val="en-US"/>
        </w:rPr>
        <w:t>d</w:t>
      </w:r>
      <w:r>
        <w:rPr>
          <w:rFonts w:ascii="Times New Roman" w:eastAsia="Times New Roman" w:hAnsi="Times New Roman" w:cs="Times New Roman"/>
          <w:sz w:val="24"/>
          <w:szCs w:val="24"/>
        </w:rPr>
        <w:t xml:space="preserve"> that strengthening corporate governance frameworks remains essential for improving financial reporting quality in Nigeria. Thus, firm attributes</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particularly those related to governance effectiveness</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are fundamental in reducing income smoothing and enhancing the integrity, transparency, and decision-usefulness of financial reports among listed non-financial companies in Nigeria.</w:t>
      </w:r>
      <w:r>
        <w:rPr>
          <w:rFonts w:ascii="Times New Roman" w:eastAsia="Times New Roman" w:hAnsi="Times New Roman" w:cs="Times New Roman"/>
          <w:sz w:val="24"/>
          <w:szCs w:val="24"/>
          <w:lang w:val="en-US"/>
        </w:rPr>
        <w:t xml:space="preserve"> It was therefore recommended that the management of listed nonfinancial c</w:t>
      </w:r>
      <w:r>
        <w:rPr>
          <w:rFonts w:ascii="Times New Roman" w:hAnsi="Times New Roman" w:cs="Times New Roman"/>
          <w:sz w:val="24"/>
          <w:szCs w:val="24"/>
        </w:rPr>
        <w:t xml:space="preserve">ompanies </w:t>
      </w:r>
      <w:r>
        <w:rPr>
          <w:rFonts w:ascii="Times New Roman" w:hAnsi="Times New Roman" w:cs="Times New Roman"/>
          <w:sz w:val="24"/>
          <w:szCs w:val="24"/>
          <w:lang w:val="en-US"/>
        </w:rPr>
        <w:t xml:space="preserve">should </w:t>
      </w:r>
      <w:r>
        <w:rPr>
          <w:rFonts w:ascii="Times New Roman" w:hAnsi="Times New Roman" w:cs="Times New Roman"/>
          <w:sz w:val="24"/>
          <w:szCs w:val="24"/>
        </w:rPr>
        <w:t xml:space="preserve">establish stringent auditor selection criteria based on competence, experience, and professional reputation. </w:t>
      </w:r>
      <w:r>
        <w:rPr>
          <w:rFonts w:ascii="Times New Roman" w:hAnsi="Times New Roman" w:cs="Times New Roman"/>
          <w:sz w:val="24"/>
          <w:szCs w:val="24"/>
          <w:highlight w:val="yellow"/>
        </w:rPr>
        <w:t>In additi</w:t>
      </w:r>
      <w:r>
        <w:rPr>
          <w:rFonts w:ascii="Times New Roman" w:hAnsi="Times New Roman" w:cs="Times New Roman"/>
          <w:sz w:val="24"/>
          <w:szCs w:val="24"/>
        </w:rPr>
        <w:t>o</w:t>
      </w:r>
      <w:r>
        <w:rPr>
          <w:rFonts w:ascii="Times New Roman" w:hAnsi="Times New Roman" w:cs="Times New Roman"/>
          <w:sz w:val="24"/>
          <w:szCs w:val="24"/>
          <w:highlight w:val="yellow"/>
          <w:lang w:val="en-US"/>
        </w:rPr>
        <w:t>n</w:t>
      </w:r>
      <w:r>
        <w:rPr>
          <w:rFonts w:ascii="Times New Roman" w:hAnsi="Times New Roman" w:cs="Times New Roman"/>
          <w:sz w:val="24"/>
          <w:szCs w:val="24"/>
          <w:lang w:val="en-US"/>
        </w:rPr>
        <w:t>, these firms should</w:t>
      </w:r>
      <w:r>
        <w:rPr>
          <w:rFonts w:ascii="Times New Roman" w:hAnsi="Times New Roman" w:cs="Times New Roman"/>
          <w:sz w:val="24"/>
          <w:szCs w:val="24"/>
        </w:rPr>
        <w:t xml:space="preserve"> adopt globally recogni</w:t>
      </w:r>
      <w:r>
        <w:rPr>
          <w:rFonts w:ascii="Times New Roman" w:hAnsi="Times New Roman" w:cs="Times New Roman"/>
          <w:sz w:val="24"/>
          <w:szCs w:val="24"/>
          <w:highlight w:val="yellow"/>
        </w:rPr>
        <w:t>s</w:t>
      </w:r>
      <w:r>
        <w:rPr>
          <w:rFonts w:ascii="Times New Roman" w:hAnsi="Times New Roman" w:cs="Times New Roman"/>
          <w:sz w:val="24"/>
          <w:szCs w:val="24"/>
        </w:rPr>
        <w:t>ed sustainability reporting frameworks and integrat</w:t>
      </w:r>
      <w:r>
        <w:rPr>
          <w:rFonts w:ascii="Times New Roman" w:hAnsi="Times New Roman" w:cs="Times New Roman"/>
          <w:sz w:val="24"/>
          <w:szCs w:val="24"/>
          <w:highlight w:val="yellow"/>
        </w:rPr>
        <w:t>e</w:t>
      </w:r>
      <w:r>
        <w:rPr>
          <w:rFonts w:ascii="Times New Roman" w:hAnsi="Times New Roman" w:cs="Times New Roman"/>
          <w:sz w:val="24"/>
          <w:szCs w:val="24"/>
        </w:rPr>
        <w:t xml:space="preserve"> sustainability reporting processes with </w:t>
      </w:r>
      <w:r>
        <w:rPr>
          <w:rFonts w:ascii="Times New Roman" w:hAnsi="Times New Roman" w:cs="Times New Roman"/>
          <w:sz w:val="24"/>
          <w:szCs w:val="24"/>
          <w:highlight w:val="yellow"/>
        </w:rPr>
        <w:t xml:space="preserve">their </w:t>
      </w:r>
      <w:r>
        <w:rPr>
          <w:rFonts w:ascii="Times New Roman" w:hAnsi="Times New Roman" w:cs="Times New Roman"/>
          <w:sz w:val="24"/>
          <w:szCs w:val="24"/>
        </w:rPr>
        <w:t>financial reporting systems.</w:t>
      </w:r>
      <w:r w:rsidR="00750FC9">
        <w:rPr>
          <w:rFonts w:ascii="Times New Roman" w:hAnsi="Times New Roman" w:cs="Times New Roman"/>
          <w:sz w:val="24"/>
          <w:szCs w:val="24"/>
          <w:lang w:val="en-GB"/>
        </w:rPr>
        <w:t xml:space="preserve">  </w:t>
      </w:r>
    </w:p>
    <w:p w14:paraId="60BC5A0C" w14:textId="77777777" w:rsidR="00750FC9" w:rsidRPr="00750FC9" w:rsidRDefault="00750FC9" w:rsidP="00750FC9">
      <w:pPr>
        <w:spacing w:before="100" w:beforeAutospacing="1" w:after="100" w:afterAutospacing="1" w:line="240" w:lineRule="auto"/>
        <w:rPr>
          <w:rFonts w:ascii="Times New Roman" w:eastAsia="Times New Roman" w:hAnsi="Times New Roman" w:cs="Times New Roman"/>
          <w:b/>
          <w:bCs/>
          <w:sz w:val="24"/>
          <w:szCs w:val="24"/>
          <w:lang w:val="en-US"/>
        </w:rPr>
      </w:pPr>
      <w:r w:rsidRPr="00750FC9">
        <w:rPr>
          <w:rFonts w:ascii="Times New Roman" w:eastAsia="Times New Roman" w:hAnsi="Times New Roman" w:cs="Times New Roman"/>
          <w:b/>
          <w:bCs/>
          <w:sz w:val="24"/>
          <w:szCs w:val="24"/>
          <w:lang w:val="en-US"/>
        </w:rPr>
        <w:lastRenderedPageBreak/>
        <w:t>Limitations</w:t>
      </w:r>
    </w:p>
    <w:p w14:paraId="34D76948" w14:textId="77777777" w:rsidR="00750FC9" w:rsidRPr="00750FC9" w:rsidRDefault="00750FC9" w:rsidP="00750FC9">
      <w:pPr>
        <w:spacing w:before="100" w:beforeAutospacing="1" w:after="100" w:afterAutospacing="1" w:line="240" w:lineRule="auto"/>
        <w:rPr>
          <w:rFonts w:ascii="Times New Roman" w:eastAsia="Times New Roman" w:hAnsi="Times New Roman" w:cs="Times New Roman"/>
          <w:sz w:val="24"/>
          <w:szCs w:val="24"/>
          <w:lang w:val="en-US"/>
        </w:rPr>
      </w:pPr>
      <w:r w:rsidRPr="00750FC9">
        <w:rPr>
          <w:rFonts w:ascii="Times New Roman" w:eastAsia="Times New Roman" w:hAnsi="Times New Roman" w:cs="Times New Roman"/>
          <w:sz w:val="24"/>
          <w:szCs w:val="24"/>
          <w:lang w:val="en-US"/>
        </w:rPr>
        <w:t xml:space="preserve">The study used secondary data from 85 purposively selected listed non-financial companies in Nigeria for 2016–2025, which may limit </w:t>
      </w:r>
      <w:proofErr w:type="spellStart"/>
      <w:r w:rsidRPr="00750FC9">
        <w:rPr>
          <w:rFonts w:ascii="Times New Roman" w:eastAsia="Times New Roman" w:hAnsi="Times New Roman" w:cs="Times New Roman"/>
          <w:sz w:val="24"/>
          <w:szCs w:val="24"/>
          <w:lang w:val="en-US"/>
        </w:rPr>
        <w:t>generalisability</w:t>
      </w:r>
      <w:proofErr w:type="spellEnd"/>
      <w:r w:rsidRPr="00750FC9">
        <w:rPr>
          <w:rFonts w:ascii="Times New Roman" w:eastAsia="Times New Roman" w:hAnsi="Times New Roman" w:cs="Times New Roman"/>
          <w:sz w:val="24"/>
          <w:szCs w:val="24"/>
          <w:lang w:val="en-US"/>
        </w:rPr>
        <w:t xml:space="preserve"> to other firms, sectors or periods. Financial reporting quality was represented by an income-smoothing index rather than multiple reporting-quality measures. As an observational study, its regression results do not establish causality. The substantial dispersion in the income-smoothing variable also warrants caution when interpreting the estimates.</w:t>
      </w:r>
    </w:p>
    <w:p w14:paraId="46EED0B6" w14:textId="77777777" w:rsidR="00750FC9" w:rsidRPr="00750FC9" w:rsidRDefault="00750FC9" w:rsidP="00DD0783">
      <w:pPr>
        <w:spacing w:after="0" w:line="480" w:lineRule="auto"/>
        <w:ind w:firstLine="720"/>
        <w:jc w:val="both"/>
        <w:rPr>
          <w:rFonts w:ascii="Times New Roman" w:hAnsi="Times New Roman" w:cs="Times New Roman"/>
          <w:sz w:val="24"/>
          <w:szCs w:val="24"/>
          <w:lang w:val="en-GB"/>
        </w:rPr>
      </w:pPr>
    </w:p>
    <w:p w14:paraId="52C9C2FD" w14:textId="77777777" w:rsidR="00F250D3" w:rsidRDefault="00F250D3" w:rsidP="00F250D3">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214A3AD4" w14:textId="77777777" w:rsidR="00F250D3" w:rsidRDefault="00F250D3" w:rsidP="00F250D3">
      <w:pPr>
        <w:spacing w:after="0" w:line="240" w:lineRule="auto"/>
        <w:rPr>
          <w:rFonts w:ascii="Times New Roman" w:hAnsi="Times New Roman" w:cs="Times New Roman"/>
          <w:b/>
        </w:rPr>
      </w:pPr>
    </w:p>
    <w:p w14:paraId="37BFA577" w14:textId="77777777" w:rsidR="00F250D3" w:rsidRDefault="00F250D3" w:rsidP="00F250D3">
      <w:pPr>
        <w:spacing w:after="0" w:line="240" w:lineRule="auto"/>
        <w:rPr>
          <w:rFonts w:ascii="Times New Roman" w:hAnsi="Times New Roman" w:cs="Times New Roman"/>
          <w:b/>
        </w:rPr>
      </w:pPr>
    </w:p>
    <w:p w14:paraId="4E3BA6E3" w14:textId="77777777" w:rsidR="00F250D3" w:rsidRDefault="00F250D3" w:rsidP="00F250D3">
      <w:pPr>
        <w:spacing w:after="0" w:line="240" w:lineRule="auto"/>
        <w:rPr>
          <w:rFonts w:ascii="Times New Roman" w:hAnsi="Times New Roman" w:cs="Times New Roman"/>
          <w:b/>
        </w:rPr>
      </w:pPr>
    </w:p>
    <w:p w14:paraId="617E3871" w14:textId="77777777" w:rsidR="00F250D3" w:rsidRPr="002D08AC" w:rsidRDefault="00F250D3" w:rsidP="00F250D3">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248290F" w14:textId="77777777" w:rsidR="00F250D3" w:rsidRPr="00F250D3" w:rsidRDefault="00F250D3" w:rsidP="00DD0783">
      <w:pPr>
        <w:spacing w:after="0" w:line="480" w:lineRule="auto"/>
        <w:ind w:firstLine="720"/>
        <w:jc w:val="both"/>
        <w:rPr>
          <w:rFonts w:ascii="Times New Roman" w:eastAsia="SimSun" w:hAnsi="Times New Roman" w:cs="Times New Roman"/>
          <w:bCs/>
          <w:sz w:val="24"/>
          <w:szCs w:val="24"/>
          <w:lang w:val="en-IN" w:eastAsia="zh-CN"/>
        </w:rPr>
      </w:pPr>
    </w:p>
    <w:bookmarkEnd w:id="6"/>
    <w:p w14:paraId="655BEE67" w14:textId="77777777" w:rsidR="0072696F" w:rsidRPr="002E68D5" w:rsidRDefault="0072696F" w:rsidP="0072696F">
      <w:pPr>
        <w:rPr>
          <w:rFonts w:ascii="Times New Roman" w:hAnsi="Times New Roman" w:cs="Times New Roman"/>
          <w:sz w:val="24"/>
          <w:szCs w:val="24"/>
        </w:rPr>
      </w:pPr>
    </w:p>
    <w:p w14:paraId="12D5C9FA" w14:textId="77777777" w:rsidR="0072696F" w:rsidRPr="002E68D5" w:rsidRDefault="0072696F" w:rsidP="0072696F">
      <w:pPr>
        <w:spacing w:line="480" w:lineRule="auto"/>
        <w:jc w:val="both"/>
        <w:rPr>
          <w:rFonts w:ascii="Times New Roman" w:eastAsia="Times New Roman" w:hAnsi="Times New Roman" w:cs="Times New Roman"/>
          <w:b/>
          <w:sz w:val="24"/>
          <w:szCs w:val="24"/>
          <w:lang w:val="en-US"/>
        </w:rPr>
      </w:pPr>
    </w:p>
    <w:p w14:paraId="2EB22628" w14:textId="77777777" w:rsidR="00F26318" w:rsidRPr="002E68D5" w:rsidRDefault="00F26318" w:rsidP="0072696F">
      <w:pPr>
        <w:spacing w:line="480" w:lineRule="auto"/>
        <w:jc w:val="both"/>
        <w:rPr>
          <w:rFonts w:ascii="Times New Roman" w:eastAsia="Times New Roman" w:hAnsi="Times New Roman" w:cs="Times New Roman"/>
          <w:b/>
          <w:sz w:val="24"/>
          <w:szCs w:val="24"/>
          <w:lang w:val="en-US"/>
        </w:rPr>
      </w:pPr>
    </w:p>
    <w:p w14:paraId="036E9810" w14:textId="77777777" w:rsidR="00F26318" w:rsidRPr="002E68D5" w:rsidRDefault="00F26318" w:rsidP="00F26318">
      <w:pPr>
        <w:rPr>
          <w:rFonts w:ascii="Times New Roman" w:hAnsi="Times New Roman" w:cs="Times New Roman"/>
          <w:sz w:val="24"/>
          <w:szCs w:val="24"/>
        </w:rPr>
      </w:pPr>
    </w:p>
    <w:p w14:paraId="44CC54E3" w14:textId="77777777" w:rsidR="00F26318" w:rsidRPr="002E68D5" w:rsidRDefault="00F26318" w:rsidP="00F26318">
      <w:pPr>
        <w:pStyle w:val="Heading3"/>
        <w:ind w:hanging="397"/>
        <w:jc w:val="center"/>
        <w:rPr>
          <w:rFonts w:ascii="Times New Roman" w:hAnsi="Times New Roman" w:cs="Times New Roman"/>
          <w:color w:val="auto"/>
          <w:lang w:val="en-US"/>
        </w:rPr>
      </w:pPr>
      <w:r w:rsidRPr="002E68D5">
        <w:rPr>
          <w:rFonts w:ascii="Times New Roman" w:hAnsi="Times New Roman" w:cs="Times New Roman"/>
          <w:color w:val="auto"/>
        </w:rPr>
        <w:t>REFERENCE</w:t>
      </w:r>
      <w:r w:rsidRPr="002E68D5">
        <w:rPr>
          <w:rFonts w:ascii="Times New Roman" w:hAnsi="Times New Roman" w:cs="Times New Roman"/>
          <w:color w:val="auto"/>
          <w:lang w:val="en-US"/>
        </w:rPr>
        <w:t>S</w:t>
      </w:r>
    </w:p>
    <w:p w14:paraId="6DE14F58" w14:textId="77777777" w:rsidR="000D3DBA" w:rsidRDefault="00000000">
      <w:pPr>
        <w:spacing w:before="30" w:after="70" w:line="240" w:lineRule="auto"/>
        <w:ind w:left="504" w:hanging="504"/>
      </w:pPr>
      <w:r>
        <w:rPr>
          <w:rFonts w:ascii="Times New Roman" w:hAnsi="Times New Roman"/>
          <w:sz w:val="24"/>
        </w:rPr>
        <w:t xml:space="preserve">Abe, T. O., Adekoya, A. C., &amp; Ifeanyi, J. O. (2025). Corporate governance mechanisms and financial reporting quality among listed Nigerian oil and gas firms. </w:t>
      </w:r>
      <w:r>
        <w:rPr>
          <w:rFonts w:ascii="Times New Roman" w:hAnsi="Times New Roman"/>
          <w:i/>
          <w:sz w:val="24"/>
        </w:rPr>
        <w:t>International Journal of Innovative Research in Accounting and Sustainability</w:t>
      </w:r>
      <w:r>
        <w:rPr>
          <w:rFonts w:ascii="Times New Roman" w:hAnsi="Times New Roman"/>
          <w:sz w:val="24"/>
        </w:rPr>
        <w:t xml:space="preserve">, </w:t>
      </w:r>
      <w:r>
        <w:rPr>
          <w:rFonts w:ascii="Times New Roman" w:hAnsi="Times New Roman"/>
          <w:i/>
          <w:sz w:val="24"/>
        </w:rPr>
        <w:t>10</w:t>
      </w:r>
      <w:r>
        <w:rPr>
          <w:rFonts w:ascii="Times New Roman" w:hAnsi="Times New Roman"/>
          <w:sz w:val="24"/>
        </w:rPr>
        <w:t xml:space="preserve">(1), 14–23. </w:t>
      </w:r>
      <w:hyperlink r:id="rId13">
        <w:r>
          <w:rPr>
            <w:rFonts w:ascii="Times New Roman" w:hAnsi="Times New Roman"/>
            <w:color w:val="0563C1"/>
            <w:sz w:val="24"/>
          </w:rPr>
          <w:t>https://ijiras.org/article/ART1743452528</w:t>
        </w:r>
      </w:hyperlink>
    </w:p>
    <w:p w14:paraId="77ADDCB9" w14:textId="77777777" w:rsidR="000D3DBA" w:rsidRDefault="00000000">
      <w:pPr>
        <w:spacing w:before="30" w:after="70" w:line="240" w:lineRule="auto"/>
        <w:ind w:left="504" w:hanging="504"/>
      </w:pPr>
      <w:r>
        <w:rPr>
          <w:rFonts w:ascii="Times New Roman" w:hAnsi="Times New Roman"/>
          <w:sz w:val="24"/>
        </w:rPr>
        <w:t xml:space="preserve">Adegbayibi, A. T., Adu, B. O., &amp; Oyedokun, O. I. (2024). Sustainability reporting and financial reporting quality of listed consumer goods firms in Nigeria. </w:t>
      </w:r>
      <w:r>
        <w:rPr>
          <w:rFonts w:ascii="Times New Roman" w:hAnsi="Times New Roman"/>
          <w:i/>
          <w:sz w:val="24"/>
        </w:rPr>
        <w:t>Journal of Global Accounting</w:t>
      </w:r>
      <w:r>
        <w:rPr>
          <w:rFonts w:ascii="Times New Roman" w:hAnsi="Times New Roman"/>
          <w:sz w:val="24"/>
        </w:rPr>
        <w:t xml:space="preserve">, </w:t>
      </w:r>
      <w:r>
        <w:rPr>
          <w:rFonts w:ascii="Times New Roman" w:hAnsi="Times New Roman"/>
          <w:i/>
          <w:sz w:val="24"/>
        </w:rPr>
        <w:t>10</w:t>
      </w:r>
      <w:r>
        <w:rPr>
          <w:rFonts w:ascii="Times New Roman" w:hAnsi="Times New Roman"/>
          <w:sz w:val="24"/>
        </w:rPr>
        <w:t xml:space="preserve">(2), 78–101. </w:t>
      </w:r>
      <w:hyperlink r:id="rId14">
        <w:r>
          <w:rPr>
            <w:rFonts w:ascii="Times New Roman" w:hAnsi="Times New Roman"/>
            <w:color w:val="0563C1"/>
            <w:sz w:val="24"/>
          </w:rPr>
          <w:t>https://journals.unizik.edu.ng/joga/article/view/4157</w:t>
        </w:r>
      </w:hyperlink>
    </w:p>
    <w:p w14:paraId="63F9ABDA" w14:textId="77777777" w:rsidR="000D3DBA" w:rsidRDefault="00000000">
      <w:pPr>
        <w:spacing w:before="30" w:after="70" w:line="240" w:lineRule="auto"/>
        <w:ind w:left="504" w:hanging="504"/>
      </w:pPr>
      <w:r>
        <w:rPr>
          <w:rFonts w:ascii="Times New Roman" w:hAnsi="Times New Roman"/>
          <w:sz w:val="24"/>
        </w:rPr>
        <w:t xml:space="preserve">Adeyemi, E., &amp; Yahaya, O. A. (2024). The impact of board financial expertise on earnings quality in Nigerian listed companies. </w:t>
      </w:r>
      <w:r>
        <w:rPr>
          <w:rFonts w:ascii="Times New Roman" w:hAnsi="Times New Roman"/>
          <w:i/>
          <w:sz w:val="24"/>
        </w:rPr>
        <w:t>NDA Original Research Paper</w:t>
      </w:r>
      <w:r>
        <w:rPr>
          <w:rFonts w:ascii="Times New Roman" w:hAnsi="Times New Roman"/>
          <w:sz w:val="24"/>
        </w:rPr>
        <w:t xml:space="preserve">, </w:t>
      </w:r>
      <w:r>
        <w:rPr>
          <w:rFonts w:ascii="Times New Roman" w:hAnsi="Times New Roman"/>
          <w:i/>
          <w:sz w:val="24"/>
        </w:rPr>
        <w:t>9</w:t>
      </w:r>
      <w:r>
        <w:rPr>
          <w:rFonts w:ascii="Times New Roman" w:hAnsi="Times New Roman"/>
          <w:sz w:val="24"/>
        </w:rPr>
        <w:t xml:space="preserve">(4), 1–30. </w:t>
      </w:r>
      <w:hyperlink r:id="rId15">
        <w:r>
          <w:rPr>
            <w:rFonts w:ascii="Times New Roman" w:hAnsi="Times New Roman"/>
            <w:color w:val="0563C1"/>
            <w:sz w:val="24"/>
          </w:rPr>
          <w:t>https://doi.org/10.2139/ssrn.4950387</w:t>
        </w:r>
      </w:hyperlink>
    </w:p>
    <w:p w14:paraId="7C42B3C4" w14:textId="77777777" w:rsidR="000D3DBA" w:rsidRDefault="00000000">
      <w:pPr>
        <w:spacing w:before="30" w:after="70" w:line="240" w:lineRule="auto"/>
        <w:ind w:left="504" w:hanging="504"/>
      </w:pPr>
      <w:r>
        <w:rPr>
          <w:rFonts w:ascii="Times New Roman" w:hAnsi="Times New Roman"/>
          <w:sz w:val="24"/>
        </w:rPr>
        <w:t xml:space="preserve">Akosile, A. I., &amp; Famoyin, S. O. (2025). Audit market structure and financial reporting quality of listed deposit money banks in Nigeria. </w:t>
      </w:r>
      <w:r>
        <w:rPr>
          <w:rFonts w:ascii="Times New Roman" w:hAnsi="Times New Roman"/>
          <w:i/>
          <w:sz w:val="24"/>
        </w:rPr>
        <w:t>International Journal of Business Economics and Management Science</w:t>
      </w:r>
      <w:r>
        <w:rPr>
          <w:rFonts w:ascii="Times New Roman" w:hAnsi="Times New Roman"/>
          <w:sz w:val="24"/>
        </w:rPr>
        <w:t xml:space="preserve">, </w:t>
      </w:r>
      <w:r>
        <w:rPr>
          <w:rFonts w:ascii="Times New Roman" w:hAnsi="Times New Roman"/>
          <w:i/>
          <w:sz w:val="24"/>
        </w:rPr>
        <w:t>9</w:t>
      </w:r>
      <w:r>
        <w:rPr>
          <w:rFonts w:ascii="Times New Roman" w:hAnsi="Times New Roman"/>
          <w:sz w:val="24"/>
        </w:rPr>
        <w:t xml:space="preserve">(7), 183–197. </w:t>
      </w:r>
      <w:hyperlink r:id="rId16">
        <w:r>
          <w:rPr>
            <w:rFonts w:ascii="Times New Roman" w:hAnsi="Times New Roman"/>
            <w:color w:val="0563C1"/>
            <w:sz w:val="24"/>
          </w:rPr>
          <w:t>https://doi.org/10.70382/hijbems.v09i7.063</w:t>
        </w:r>
      </w:hyperlink>
    </w:p>
    <w:p w14:paraId="25F763C9" w14:textId="77777777" w:rsidR="000D3DBA" w:rsidRDefault="00000000">
      <w:pPr>
        <w:spacing w:before="30" w:after="70" w:line="240" w:lineRule="auto"/>
        <w:ind w:left="504" w:hanging="504"/>
      </w:pPr>
      <w:r>
        <w:rPr>
          <w:rFonts w:ascii="Times New Roman" w:hAnsi="Times New Roman"/>
          <w:sz w:val="24"/>
        </w:rPr>
        <w:t xml:space="preserve">Akpabio, I. I., &amp; Azubike, J. U. B. (2024). Determinants of financial reporting quality of listed firms in Nigeria. </w:t>
      </w:r>
      <w:r>
        <w:rPr>
          <w:rFonts w:ascii="Times New Roman" w:hAnsi="Times New Roman"/>
          <w:i/>
          <w:sz w:val="24"/>
        </w:rPr>
        <w:t>Journal of Accounting and Financial Management</w:t>
      </w:r>
      <w:r>
        <w:rPr>
          <w:rFonts w:ascii="Times New Roman" w:hAnsi="Times New Roman"/>
          <w:sz w:val="24"/>
        </w:rPr>
        <w:t xml:space="preserve">, </w:t>
      </w:r>
      <w:r>
        <w:rPr>
          <w:rFonts w:ascii="Times New Roman" w:hAnsi="Times New Roman"/>
          <w:i/>
          <w:sz w:val="24"/>
        </w:rPr>
        <w:t>10</w:t>
      </w:r>
      <w:r>
        <w:rPr>
          <w:rFonts w:ascii="Times New Roman" w:hAnsi="Times New Roman"/>
          <w:sz w:val="24"/>
        </w:rPr>
        <w:t xml:space="preserve">(8), 142–165. </w:t>
      </w:r>
      <w:hyperlink r:id="rId17">
        <w:r>
          <w:rPr>
            <w:rFonts w:ascii="Times New Roman" w:hAnsi="Times New Roman"/>
            <w:color w:val="0563C1"/>
            <w:sz w:val="24"/>
          </w:rPr>
          <w:t>https://doi.org/10.56201/jafm.v10.no8.2024.pg142.165</w:t>
        </w:r>
      </w:hyperlink>
    </w:p>
    <w:p w14:paraId="1EBBD9FB" w14:textId="77777777" w:rsidR="000D3DBA" w:rsidRDefault="00000000">
      <w:pPr>
        <w:spacing w:before="30" w:after="70" w:line="240" w:lineRule="auto"/>
        <w:ind w:left="504" w:hanging="504"/>
      </w:pPr>
      <w:r>
        <w:rPr>
          <w:rFonts w:ascii="Times New Roman" w:hAnsi="Times New Roman"/>
          <w:sz w:val="24"/>
        </w:rPr>
        <w:lastRenderedPageBreak/>
        <w:t xml:space="preserve">Akpan, D. C., &amp; Nsentip, E. B. (2019). Audit committee attributes and qualitative financial reporting: Implication for Nigerian banking sector. </w:t>
      </w:r>
      <w:r>
        <w:rPr>
          <w:rFonts w:ascii="Times New Roman" w:hAnsi="Times New Roman"/>
          <w:i/>
          <w:sz w:val="24"/>
        </w:rPr>
        <w:t>IAA Journal of Applied Sciences</w:t>
      </w:r>
      <w:r>
        <w:rPr>
          <w:rFonts w:ascii="Times New Roman" w:hAnsi="Times New Roman"/>
          <w:sz w:val="24"/>
        </w:rPr>
        <w:t xml:space="preserve">, </w:t>
      </w:r>
      <w:r>
        <w:rPr>
          <w:rFonts w:ascii="Times New Roman" w:hAnsi="Times New Roman"/>
          <w:i/>
          <w:sz w:val="24"/>
        </w:rPr>
        <w:t>5</w:t>
      </w:r>
      <w:r>
        <w:rPr>
          <w:rFonts w:ascii="Times New Roman" w:hAnsi="Times New Roman"/>
          <w:sz w:val="24"/>
        </w:rPr>
        <w:t xml:space="preserve">(1), 9–20. </w:t>
      </w:r>
      <w:hyperlink r:id="rId18">
        <w:r>
          <w:rPr>
            <w:rFonts w:ascii="Times New Roman" w:hAnsi="Times New Roman"/>
            <w:color w:val="0563C1"/>
            <w:sz w:val="24"/>
          </w:rPr>
          <w:t>https://www.researchgate.net/publication/368392751_Audit_Committee_Attributes_and_Qualitative_Financial_Reporting_Implication_for_Nigerian_Banking_Sector</w:t>
        </w:r>
      </w:hyperlink>
    </w:p>
    <w:p w14:paraId="27A6425C" w14:textId="77777777" w:rsidR="000D3DBA" w:rsidRDefault="00000000">
      <w:pPr>
        <w:spacing w:before="30" w:after="70" w:line="240" w:lineRule="auto"/>
        <w:ind w:left="504" w:hanging="504"/>
      </w:pPr>
      <w:r>
        <w:rPr>
          <w:rFonts w:ascii="Times New Roman" w:hAnsi="Times New Roman"/>
          <w:sz w:val="24"/>
        </w:rPr>
        <w:t xml:space="preserve">Alshareef, M. N., &amp; Sulimany, H. G. H. (2024). Board financial expertise and financial sustainability: Evidence from Saudi-listed firms. </w:t>
      </w:r>
      <w:r>
        <w:rPr>
          <w:rFonts w:ascii="Times New Roman" w:hAnsi="Times New Roman"/>
          <w:i/>
          <w:sz w:val="24"/>
        </w:rPr>
        <w:t>Sustainability</w:t>
      </w:r>
      <w:r>
        <w:rPr>
          <w:rFonts w:ascii="Times New Roman" w:hAnsi="Times New Roman"/>
          <w:sz w:val="24"/>
        </w:rPr>
        <w:t xml:space="preserve">, </w:t>
      </w:r>
      <w:r>
        <w:rPr>
          <w:rFonts w:ascii="Times New Roman" w:hAnsi="Times New Roman"/>
          <w:i/>
          <w:sz w:val="24"/>
        </w:rPr>
        <w:t>16</w:t>
      </w:r>
      <w:r>
        <w:rPr>
          <w:rFonts w:ascii="Times New Roman" w:hAnsi="Times New Roman"/>
          <w:sz w:val="24"/>
        </w:rPr>
        <w:t xml:space="preserve">(16), Article 7100. </w:t>
      </w:r>
      <w:hyperlink r:id="rId19">
        <w:r>
          <w:rPr>
            <w:rFonts w:ascii="Times New Roman" w:hAnsi="Times New Roman"/>
            <w:color w:val="0563C1"/>
            <w:sz w:val="24"/>
          </w:rPr>
          <w:t>https://doi.org/10.3390/su16167100</w:t>
        </w:r>
      </w:hyperlink>
    </w:p>
    <w:p w14:paraId="304C8489" w14:textId="77777777" w:rsidR="000D3DBA" w:rsidRDefault="00000000">
      <w:pPr>
        <w:spacing w:before="30" w:after="70" w:line="240" w:lineRule="auto"/>
        <w:ind w:left="504" w:hanging="504"/>
      </w:pPr>
      <w:r>
        <w:rPr>
          <w:rFonts w:ascii="Times New Roman" w:hAnsi="Times New Roman"/>
          <w:sz w:val="24"/>
        </w:rPr>
        <w:t xml:space="preserve">Amenaghawon, O. H., Ekundayo, G., Odhigu, F., &amp; Josiah, M. (2021). Nexus between corporate social responsibility, environmental disclosure and financial reporting quality among listed firms in Nigeria. </w:t>
      </w:r>
      <w:r>
        <w:rPr>
          <w:rFonts w:ascii="Times New Roman" w:hAnsi="Times New Roman"/>
          <w:i/>
          <w:sz w:val="24"/>
        </w:rPr>
        <w:t>International Journal of Financial Research</w:t>
      </w:r>
      <w:r>
        <w:rPr>
          <w:rFonts w:ascii="Times New Roman" w:hAnsi="Times New Roman"/>
          <w:sz w:val="24"/>
        </w:rPr>
        <w:t xml:space="preserve">, </w:t>
      </w:r>
      <w:r>
        <w:rPr>
          <w:rFonts w:ascii="Times New Roman" w:hAnsi="Times New Roman"/>
          <w:i/>
          <w:sz w:val="24"/>
        </w:rPr>
        <w:t>12</w:t>
      </w:r>
      <w:r>
        <w:rPr>
          <w:rFonts w:ascii="Times New Roman" w:hAnsi="Times New Roman"/>
          <w:sz w:val="24"/>
        </w:rPr>
        <w:t xml:space="preserve">(2), 93–105. </w:t>
      </w:r>
      <w:hyperlink r:id="rId20">
        <w:r>
          <w:rPr>
            <w:rFonts w:ascii="Times New Roman" w:hAnsi="Times New Roman"/>
            <w:color w:val="0563C1"/>
            <w:sz w:val="24"/>
          </w:rPr>
          <w:t>https://doi.org/10.5430/ijfr.v12n2p93</w:t>
        </w:r>
      </w:hyperlink>
    </w:p>
    <w:p w14:paraId="02854FB1" w14:textId="77777777" w:rsidR="000D3DBA" w:rsidRDefault="00000000">
      <w:pPr>
        <w:spacing w:before="30" w:after="70" w:line="240" w:lineRule="auto"/>
        <w:ind w:left="504" w:hanging="504"/>
      </w:pPr>
      <w:r>
        <w:rPr>
          <w:rFonts w:ascii="Times New Roman" w:hAnsi="Times New Roman"/>
          <w:sz w:val="24"/>
        </w:rPr>
        <w:t xml:space="preserve">Anto, L. O., &amp; Yusran, I. N. (2023). Determinants of the quality of financial reports. </w:t>
      </w:r>
      <w:r>
        <w:rPr>
          <w:rFonts w:ascii="Times New Roman" w:hAnsi="Times New Roman"/>
          <w:i/>
          <w:sz w:val="24"/>
        </w:rPr>
        <w:t>International Journal of Professional Business Review</w:t>
      </w:r>
      <w:r>
        <w:rPr>
          <w:rFonts w:ascii="Times New Roman" w:hAnsi="Times New Roman"/>
          <w:sz w:val="24"/>
        </w:rPr>
        <w:t xml:space="preserve">, </w:t>
      </w:r>
      <w:r>
        <w:rPr>
          <w:rFonts w:ascii="Times New Roman" w:hAnsi="Times New Roman"/>
          <w:i/>
          <w:sz w:val="24"/>
        </w:rPr>
        <w:t>8</w:t>
      </w:r>
      <w:r>
        <w:rPr>
          <w:rFonts w:ascii="Times New Roman" w:hAnsi="Times New Roman"/>
          <w:sz w:val="24"/>
        </w:rPr>
        <w:t xml:space="preserve">(3), Article e01331. </w:t>
      </w:r>
      <w:hyperlink r:id="rId21">
        <w:r>
          <w:rPr>
            <w:rFonts w:ascii="Times New Roman" w:hAnsi="Times New Roman"/>
            <w:color w:val="0563C1"/>
            <w:sz w:val="24"/>
          </w:rPr>
          <w:t>https://doi.org/10.26668/businessreview/2023.v8i3.1331</w:t>
        </w:r>
      </w:hyperlink>
    </w:p>
    <w:p w14:paraId="4F4EFD8F" w14:textId="77777777" w:rsidR="000D3DBA" w:rsidRDefault="00000000">
      <w:pPr>
        <w:spacing w:before="30" w:after="70" w:line="240" w:lineRule="auto"/>
        <w:ind w:left="504" w:hanging="504"/>
      </w:pPr>
      <w:r>
        <w:rPr>
          <w:rFonts w:ascii="Times New Roman" w:hAnsi="Times New Roman"/>
          <w:sz w:val="24"/>
        </w:rPr>
        <w:t xml:space="preserve">Atabo, V. O., Eshemokhai, B. J., &amp; Ayuba, S. (2023). Ownership structure and financial reporting quality of listed financial service firms in Nigeria: Moderating effect of audit firm tenure. </w:t>
      </w:r>
      <w:r>
        <w:rPr>
          <w:rFonts w:ascii="Times New Roman" w:hAnsi="Times New Roman"/>
          <w:i/>
          <w:sz w:val="24"/>
        </w:rPr>
        <w:t>International Journal of Accounting, Finance and Administrative Research</w:t>
      </w:r>
      <w:r>
        <w:rPr>
          <w:rFonts w:ascii="Times New Roman" w:hAnsi="Times New Roman"/>
          <w:sz w:val="24"/>
        </w:rPr>
        <w:t xml:space="preserve">, </w:t>
      </w:r>
      <w:r>
        <w:rPr>
          <w:rFonts w:ascii="Times New Roman" w:hAnsi="Times New Roman"/>
          <w:i/>
          <w:sz w:val="24"/>
        </w:rPr>
        <w:t>1</w:t>
      </w:r>
      <w:r>
        <w:rPr>
          <w:rFonts w:ascii="Times New Roman" w:hAnsi="Times New Roman"/>
          <w:sz w:val="24"/>
        </w:rPr>
        <w:t xml:space="preserve">(1). </w:t>
      </w:r>
      <w:hyperlink r:id="rId22">
        <w:r>
          <w:rPr>
            <w:rFonts w:ascii="Times New Roman" w:hAnsi="Times New Roman"/>
            <w:color w:val="0563C1"/>
            <w:sz w:val="24"/>
          </w:rPr>
          <w:t>https://ijafar.com.ng/index.php/ijafar/article/view/40</w:t>
        </w:r>
      </w:hyperlink>
    </w:p>
    <w:p w14:paraId="24624300" w14:textId="77777777" w:rsidR="000D3DBA" w:rsidRDefault="00000000">
      <w:pPr>
        <w:spacing w:before="30" w:after="70" w:line="240" w:lineRule="auto"/>
        <w:ind w:left="504" w:hanging="504"/>
      </w:pPr>
      <w:r>
        <w:rPr>
          <w:rFonts w:ascii="Times New Roman" w:hAnsi="Times New Roman"/>
          <w:sz w:val="24"/>
        </w:rPr>
        <w:t xml:space="preserve">Awodiji, F. B., Adeyemi, S. B., &amp; Okpala, O. P. (2025). Audit quality indicators and financial performance of selected quoted manufacturing firms in Nigeria. </w:t>
      </w:r>
      <w:r>
        <w:rPr>
          <w:rFonts w:ascii="Times New Roman" w:hAnsi="Times New Roman"/>
          <w:i/>
          <w:sz w:val="24"/>
        </w:rPr>
        <w:t>Lagos Journal of Banking, Finance and Economic Issues</w:t>
      </w:r>
      <w:r>
        <w:rPr>
          <w:rFonts w:ascii="Times New Roman" w:hAnsi="Times New Roman"/>
          <w:sz w:val="24"/>
        </w:rPr>
        <w:t xml:space="preserve">, </w:t>
      </w:r>
      <w:r>
        <w:rPr>
          <w:rFonts w:ascii="Times New Roman" w:hAnsi="Times New Roman"/>
          <w:i/>
          <w:sz w:val="24"/>
        </w:rPr>
        <w:t>6</w:t>
      </w:r>
      <w:r>
        <w:rPr>
          <w:rFonts w:ascii="Times New Roman" w:hAnsi="Times New Roman"/>
          <w:sz w:val="24"/>
        </w:rPr>
        <w:t xml:space="preserve">(1), 172–180. </w:t>
      </w:r>
      <w:hyperlink r:id="rId23">
        <w:r>
          <w:rPr>
            <w:rFonts w:ascii="Times New Roman" w:hAnsi="Times New Roman"/>
            <w:color w:val="0563C1"/>
            <w:sz w:val="24"/>
          </w:rPr>
          <w:t>https://journals.unilag.edu.ng/index.php/LJBFEI/article/download/2553/2061/</w:t>
        </w:r>
      </w:hyperlink>
    </w:p>
    <w:p w14:paraId="68B11EA1" w14:textId="77777777" w:rsidR="000D3DBA" w:rsidRDefault="00000000">
      <w:pPr>
        <w:spacing w:before="30" w:after="70" w:line="240" w:lineRule="auto"/>
        <w:ind w:left="504" w:hanging="504"/>
      </w:pPr>
      <w:r>
        <w:rPr>
          <w:rFonts w:ascii="Times New Roman" w:hAnsi="Times New Roman"/>
          <w:sz w:val="24"/>
        </w:rPr>
        <w:t xml:space="preserve">Awodiran, M. A., &amp; Ogundele, A. T. (2022). Determinants of financial reporting quality: Evidence from listed industrial goods firms in Nigeria. </w:t>
      </w:r>
      <w:r>
        <w:rPr>
          <w:rFonts w:ascii="Times New Roman" w:hAnsi="Times New Roman"/>
          <w:i/>
          <w:sz w:val="24"/>
        </w:rPr>
        <w:t>Academy of Accounting and Financial Studies Journal</w:t>
      </w:r>
      <w:r>
        <w:rPr>
          <w:rFonts w:ascii="Times New Roman" w:hAnsi="Times New Roman"/>
          <w:sz w:val="24"/>
        </w:rPr>
        <w:t xml:space="preserve">, </w:t>
      </w:r>
      <w:r>
        <w:rPr>
          <w:rFonts w:ascii="Times New Roman" w:hAnsi="Times New Roman"/>
          <w:i/>
          <w:sz w:val="24"/>
        </w:rPr>
        <w:t>26</w:t>
      </w:r>
      <w:r>
        <w:rPr>
          <w:rFonts w:ascii="Times New Roman" w:hAnsi="Times New Roman"/>
          <w:sz w:val="24"/>
        </w:rPr>
        <w:t xml:space="preserve">(S5), 1–8. </w:t>
      </w:r>
      <w:hyperlink r:id="rId24">
        <w:r>
          <w:rPr>
            <w:rFonts w:ascii="Times New Roman" w:hAnsi="Times New Roman"/>
            <w:color w:val="0563C1"/>
            <w:sz w:val="24"/>
          </w:rPr>
          <w:t>https://www.abacademies.org/articles/determinants-of-financial-reporting-quality-evidence-from-listed-industrial-goods-firms-in-nigeria-14281.html</w:t>
        </w:r>
      </w:hyperlink>
    </w:p>
    <w:p w14:paraId="6DF0F933" w14:textId="77777777" w:rsidR="000D3DBA" w:rsidRDefault="00000000">
      <w:pPr>
        <w:spacing w:before="30" w:after="70" w:line="240" w:lineRule="auto"/>
        <w:ind w:left="504" w:hanging="504"/>
      </w:pPr>
      <w:r>
        <w:rPr>
          <w:rFonts w:ascii="Times New Roman" w:hAnsi="Times New Roman"/>
          <w:sz w:val="24"/>
        </w:rPr>
        <w:t xml:space="preserve">Bala, H., Ahmad, W., Khatoon, G., &amp; Karaye, A. B. (2022). Audit firm attributes and income smoothing: The moderating influence of audit committee accounting expertise. </w:t>
      </w:r>
      <w:r>
        <w:rPr>
          <w:rFonts w:ascii="Times New Roman" w:hAnsi="Times New Roman"/>
          <w:i/>
          <w:sz w:val="24"/>
        </w:rPr>
        <w:t>Cogent Business &amp; Management</w:t>
      </w:r>
      <w:r>
        <w:rPr>
          <w:rFonts w:ascii="Times New Roman" w:hAnsi="Times New Roman"/>
          <w:sz w:val="24"/>
        </w:rPr>
        <w:t xml:space="preserve">, </w:t>
      </w:r>
      <w:r>
        <w:rPr>
          <w:rFonts w:ascii="Times New Roman" w:hAnsi="Times New Roman"/>
          <w:i/>
          <w:sz w:val="24"/>
        </w:rPr>
        <w:t>9</w:t>
      </w:r>
      <w:r>
        <w:rPr>
          <w:rFonts w:ascii="Times New Roman" w:hAnsi="Times New Roman"/>
          <w:sz w:val="24"/>
        </w:rPr>
        <w:t xml:space="preserve">(1), Article 2127194. </w:t>
      </w:r>
      <w:hyperlink r:id="rId25">
        <w:r>
          <w:rPr>
            <w:rFonts w:ascii="Times New Roman" w:hAnsi="Times New Roman"/>
            <w:color w:val="0563C1"/>
            <w:sz w:val="24"/>
          </w:rPr>
          <w:t>https://doi.org/10.1080/23311975.2022.2127194</w:t>
        </w:r>
      </w:hyperlink>
    </w:p>
    <w:p w14:paraId="50951D40" w14:textId="77777777" w:rsidR="000D3DBA" w:rsidRDefault="00000000">
      <w:pPr>
        <w:spacing w:before="30" w:after="70" w:line="240" w:lineRule="auto"/>
        <w:ind w:left="504" w:hanging="504"/>
      </w:pPr>
      <w:r>
        <w:rPr>
          <w:rFonts w:ascii="Times New Roman" w:hAnsi="Times New Roman"/>
          <w:sz w:val="24"/>
        </w:rPr>
        <w:t xml:space="preserve">Breusch, T. S., &amp; Pagan, A. R. (1980). The Lagrange multiplier test and its applications to model specification in econometrics. </w:t>
      </w:r>
      <w:r>
        <w:rPr>
          <w:rFonts w:ascii="Times New Roman" w:hAnsi="Times New Roman"/>
          <w:i/>
          <w:sz w:val="24"/>
        </w:rPr>
        <w:t>The Review of Economic Studies</w:t>
      </w:r>
      <w:r>
        <w:rPr>
          <w:rFonts w:ascii="Times New Roman" w:hAnsi="Times New Roman"/>
          <w:sz w:val="24"/>
        </w:rPr>
        <w:t xml:space="preserve">, </w:t>
      </w:r>
      <w:r>
        <w:rPr>
          <w:rFonts w:ascii="Times New Roman" w:hAnsi="Times New Roman"/>
          <w:i/>
          <w:sz w:val="24"/>
        </w:rPr>
        <w:t>47</w:t>
      </w:r>
      <w:r>
        <w:rPr>
          <w:rFonts w:ascii="Times New Roman" w:hAnsi="Times New Roman"/>
          <w:sz w:val="24"/>
        </w:rPr>
        <w:t xml:space="preserve">(1), 239–253. </w:t>
      </w:r>
      <w:hyperlink r:id="rId26">
        <w:r>
          <w:rPr>
            <w:rFonts w:ascii="Times New Roman" w:hAnsi="Times New Roman"/>
            <w:color w:val="0563C1"/>
            <w:sz w:val="24"/>
          </w:rPr>
          <w:t>https://doi.org/10.2307/2297111</w:t>
        </w:r>
      </w:hyperlink>
    </w:p>
    <w:p w14:paraId="039006AE" w14:textId="77777777" w:rsidR="000D3DBA" w:rsidRDefault="00000000">
      <w:pPr>
        <w:spacing w:before="30" w:after="70" w:line="240" w:lineRule="auto"/>
        <w:ind w:left="504" w:hanging="504"/>
      </w:pPr>
      <w:r>
        <w:rPr>
          <w:rFonts w:ascii="Times New Roman" w:hAnsi="Times New Roman"/>
          <w:sz w:val="24"/>
        </w:rPr>
        <w:t xml:space="preserve">Chinda, B. P., &amp; Joseph, B. H. (2025). Impact of firm characteristics on social and environmental accounting disclosure quality: A study of listed non-service companies in Nigeria. </w:t>
      </w:r>
      <w:r>
        <w:rPr>
          <w:rFonts w:ascii="Times New Roman" w:hAnsi="Times New Roman"/>
          <w:i/>
          <w:sz w:val="24"/>
        </w:rPr>
        <w:t>Asian Journal of Economics, Business and Accounting</w:t>
      </w:r>
      <w:r>
        <w:rPr>
          <w:rFonts w:ascii="Times New Roman" w:hAnsi="Times New Roman"/>
          <w:sz w:val="24"/>
        </w:rPr>
        <w:t xml:space="preserve">, </w:t>
      </w:r>
      <w:r>
        <w:rPr>
          <w:rFonts w:ascii="Times New Roman" w:hAnsi="Times New Roman"/>
          <w:i/>
          <w:sz w:val="24"/>
        </w:rPr>
        <w:t>25</w:t>
      </w:r>
      <w:r>
        <w:rPr>
          <w:rFonts w:ascii="Times New Roman" w:hAnsi="Times New Roman"/>
          <w:sz w:val="24"/>
        </w:rPr>
        <w:t xml:space="preserve">(2), 184–199. </w:t>
      </w:r>
      <w:hyperlink r:id="rId27">
        <w:r>
          <w:rPr>
            <w:rFonts w:ascii="Times New Roman" w:hAnsi="Times New Roman"/>
            <w:color w:val="0563C1"/>
            <w:sz w:val="24"/>
          </w:rPr>
          <w:t>https://doi.org/10.9734/ajeba/2025/v25i21673</w:t>
        </w:r>
      </w:hyperlink>
    </w:p>
    <w:p w14:paraId="475D004D" w14:textId="77777777" w:rsidR="000D3DBA" w:rsidRDefault="00000000">
      <w:pPr>
        <w:spacing w:before="30" w:after="70" w:line="240" w:lineRule="auto"/>
        <w:ind w:left="504" w:hanging="504"/>
      </w:pPr>
      <w:r>
        <w:rPr>
          <w:rFonts w:ascii="Times New Roman" w:hAnsi="Times New Roman"/>
          <w:sz w:val="24"/>
        </w:rPr>
        <w:t xml:space="preserve">Cui, X., Li, R., Xue, S., &amp; Zhang, X. (2025). Mandatory versus voluntary: The real effect of ESG disclosures on corporate earnings management. </w:t>
      </w:r>
      <w:r>
        <w:rPr>
          <w:rFonts w:ascii="Times New Roman" w:hAnsi="Times New Roman"/>
          <w:i/>
          <w:sz w:val="24"/>
        </w:rPr>
        <w:t>Journal of International Money and Finance</w:t>
      </w:r>
      <w:r>
        <w:rPr>
          <w:rFonts w:ascii="Times New Roman" w:hAnsi="Times New Roman"/>
          <w:sz w:val="24"/>
        </w:rPr>
        <w:t xml:space="preserve">, </w:t>
      </w:r>
      <w:r>
        <w:rPr>
          <w:rFonts w:ascii="Times New Roman" w:hAnsi="Times New Roman"/>
          <w:i/>
          <w:sz w:val="24"/>
        </w:rPr>
        <w:t>154</w:t>
      </w:r>
      <w:r>
        <w:rPr>
          <w:rFonts w:ascii="Times New Roman" w:hAnsi="Times New Roman"/>
          <w:sz w:val="24"/>
        </w:rPr>
        <w:t xml:space="preserve">, Article 103323. </w:t>
      </w:r>
      <w:hyperlink r:id="rId28">
        <w:r>
          <w:rPr>
            <w:rFonts w:ascii="Times New Roman" w:hAnsi="Times New Roman"/>
            <w:color w:val="0563C1"/>
            <w:sz w:val="24"/>
          </w:rPr>
          <w:t>https://doi.org/10.1016/j.jimonfin.2025.103323</w:t>
        </w:r>
      </w:hyperlink>
    </w:p>
    <w:p w14:paraId="55E16190" w14:textId="77777777" w:rsidR="000D3DBA" w:rsidRDefault="00000000">
      <w:pPr>
        <w:spacing w:before="30" w:after="70" w:line="240" w:lineRule="auto"/>
        <w:ind w:left="504" w:hanging="504"/>
      </w:pPr>
      <w:r>
        <w:rPr>
          <w:rFonts w:ascii="Times New Roman" w:hAnsi="Times New Roman"/>
          <w:sz w:val="24"/>
        </w:rPr>
        <w:t xml:space="preserve">Daferighe, E. E., &amp; George, E. M. (2020). Audit firm attributes and financial reporting quality of quoted manufacturing firms in Nigeria. </w:t>
      </w:r>
      <w:r>
        <w:rPr>
          <w:rFonts w:ascii="Times New Roman" w:hAnsi="Times New Roman"/>
          <w:i/>
          <w:sz w:val="24"/>
        </w:rPr>
        <w:t>International Journal of Economics and Management Studies</w:t>
      </w:r>
      <w:r>
        <w:rPr>
          <w:rFonts w:ascii="Times New Roman" w:hAnsi="Times New Roman"/>
          <w:sz w:val="24"/>
        </w:rPr>
        <w:t xml:space="preserve">, </w:t>
      </w:r>
      <w:r>
        <w:rPr>
          <w:rFonts w:ascii="Times New Roman" w:hAnsi="Times New Roman"/>
          <w:i/>
          <w:sz w:val="24"/>
        </w:rPr>
        <w:t>7</w:t>
      </w:r>
      <w:r>
        <w:rPr>
          <w:rFonts w:ascii="Times New Roman" w:hAnsi="Times New Roman"/>
          <w:sz w:val="24"/>
        </w:rPr>
        <w:t xml:space="preserve">(1), 41–52. </w:t>
      </w:r>
      <w:hyperlink r:id="rId29">
        <w:r>
          <w:rPr>
            <w:rFonts w:ascii="Times New Roman" w:hAnsi="Times New Roman"/>
            <w:color w:val="0563C1"/>
            <w:sz w:val="24"/>
          </w:rPr>
          <w:t>https://doi.org/10.14445/23939125/IJEMS-V7I1P107</w:t>
        </w:r>
      </w:hyperlink>
    </w:p>
    <w:p w14:paraId="4268B81D" w14:textId="77777777" w:rsidR="000D3DBA" w:rsidRDefault="00000000">
      <w:pPr>
        <w:spacing w:before="30" w:after="70" w:line="240" w:lineRule="auto"/>
        <w:ind w:left="504" w:hanging="504"/>
      </w:pPr>
      <w:r>
        <w:rPr>
          <w:rFonts w:ascii="Times New Roman" w:hAnsi="Times New Roman"/>
          <w:sz w:val="24"/>
        </w:rPr>
        <w:lastRenderedPageBreak/>
        <w:t xml:space="preserve">DeAngelo, L. E. (1981). Auditor size and audit quality. </w:t>
      </w:r>
      <w:r>
        <w:rPr>
          <w:rFonts w:ascii="Times New Roman" w:hAnsi="Times New Roman"/>
          <w:i/>
          <w:sz w:val="24"/>
        </w:rPr>
        <w:t>Journal of Accounting and Economics</w:t>
      </w:r>
      <w:r>
        <w:rPr>
          <w:rFonts w:ascii="Times New Roman" w:hAnsi="Times New Roman"/>
          <w:sz w:val="24"/>
        </w:rPr>
        <w:t xml:space="preserve">, </w:t>
      </w:r>
      <w:r>
        <w:rPr>
          <w:rFonts w:ascii="Times New Roman" w:hAnsi="Times New Roman"/>
          <w:i/>
          <w:sz w:val="24"/>
        </w:rPr>
        <w:t>3</w:t>
      </w:r>
      <w:r>
        <w:rPr>
          <w:rFonts w:ascii="Times New Roman" w:hAnsi="Times New Roman"/>
          <w:sz w:val="24"/>
        </w:rPr>
        <w:t xml:space="preserve">(3), 183–199. </w:t>
      </w:r>
      <w:hyperlink r:id="rId30">
        <w:r>
          <w:rPr>
            <w:rFonts w:ascii="Times New Roman" w:hAnsi="Times New Roman"/>
            <w:color w:val="0563C1"/>
            <w:sz w:val="24"/>
          </w:rPr>
          <w:t>https://doi.org/10.1016/0165-4101(81)90002-1</w:t>
        </w:r>
      </w:hyperlink>
    </w:p>
    <w:p w14:paraId="466C1277" w14:textId="77777777" w:rsidR="000D3DBA" w:rsidRDefault="00000000">
      <w:pPr>
        <w:spacing w:before="30" w:after="70" w:line="240" w:lineRule="auto"/>
        <w:ind w:left="504" w:hanging="504"/>
      </w:pPr>
      <w:r>
        <w:rPr>
          <w:rFonts w:ascii="Times New Roman" w:hAnsi="Times New Roman"/>
          <w:sz w:val="24"/>
        </w:rPr>
        <w:t xml:space="preserve">Dechow, P. M., Ge, W., &amp; Schrand, C. (2010). Understanding earnings quality: A review of the proxies, their determinants and their consequences. </w:t>
      </w:r>
      <w:r>
        <w:rPr>
          <w:rFonts w:ascii="Times New Roman" w:hAnsi="Times New Roman"/>
          <w:i/>
          <w:sz w:val="24"/>
        </w:rPr>
        <w:t>Journal of Accounting and Economics</w:t>
      </w:r>
      <w:r>
        <w:rPr>
          <w:rFonts w:ascii="Times New Roman" w:hAnsi="Times New Roman"/>
          <w:sz w:val="24"/>
        </w:rPr>
        <w:t xml:space="preserve">, </w:t>
      </w:r>
      <w:r>
        <w:rPr>
          <w:rFonts w:ascii="Times New Roman" w:hAnsi="Times New Roman"/>
          <w:i/>
          <w:sz w:val="24"/>
        </w:rPr>
        <w:t>50</w:t>
      </w:r>
      <w:r>
        <w:rPr>
          <w:rFonts w:ascii="Times New Roman" w:hAnsi="Times New Roman"/>
          <w:sz w:val="24"/>
        </w:rPr>
        <w:t xml:space="preserve">(2–3), 344–401. </w:t>
      </w:r>
      <w:hyperlink r:id="rId31">
        <w:r>
          <w:rPr>
            <w:rFonts w:ascii="Times New Roman" w:hAnsi="Times New Roman"/>
            <w:color w:val="0563C1"/>
            <w:sz w:val="24"/>
          </w:rPr>
          <w:t>https://doi.org/10.1016/j.jacceco.2010.09.001</w:t>
        </w:r>
      </w:hyperlink>
    </w:p>
    <w:p w14:paraId="3B0D4895" w14:textId="77777777" w:rsidR="000D3DBA" w:rsidRDefault="00000000">
      <w:pPr>
        <w:spacing w:before="30" w:after="70" w:line="240" w:lineRule="auto"/>
        <w:ind w:left="504" w:hanging="504"/>
      </w:pPr>
      <w:r>
        <w:rPr>
          <w:rFonts w:ascii="Times New Roman" w:hAnsi="Times New Roman"/>
          <w:sz w:val="24"/>
        </w:rPr>
        <w:t xml:space="preserve">Ekwueme, C. M., &amp; Aniefor, S. J. (2019). Determinants of financial reporting quality: Evidence from listed manufacturing firms in Nigeria. </w:t>
      </w:r>
      <w:r>
        <w:rPr>
          <w:rFonts w:ascii="Times New Roman" w:hAnsi="Times New Roman"/>
          <w:i/>
          <w:sz w:val="24"/>
        </w:rPr>
        <w:t>Journal of Global Accounting</w:t>
      </w:r>
      <w:r>
        <w:rPr>
          <w:rFonts w:ascii="Times New Roman" w:hAnsi="Times New Roman"/>
          <w:sz w:val="24"/>
        </w:rPr>
        <w:t xml:space="preserve">, </w:t>
      </w:r>
      <w:r>
        <w:rPr>
          <w:rFonts w:ascii="Times New Roman" w:hAnsi="Times New Roman"/>
          <w:i/>
          <w:sz w:val="24"/>
        </w:rPr>
        <w:t>6</w:t>
      </w:r>
      <w:r>
        <w:rPr>
          <w:rFonts w:ascii="Times New Roman" w:hAnsi="Times New Roman"/>
          <w:sz w:val="24"/>
        </w:rPr>
        <w:t xml:space="preserve">(2), 22–35. </w:t>
      </w:r>
      <w:hyperlink r:id="rId32">
        <w:r>
          <w:rPr>
            <w:rFonts w:ascii="Times New Roman" w:hAnsi="Times New Roman"/>
            <w:color w:val="0563C1"/>
            <w:sz w:val="24"/>
          </w:rPr>
          <w:t>https://journals.unizik.edu.ng/joga/article/view/2326</w:t>
        </w:r>
      </w:hyperlink>
    </w:p>
    <w:p w14:paraId="07A63E72" w14:textId="77777777" w:rsidR="000D3DBA" w:rsidRDefault="00000000">
      <w:pPr>
        <w:spacing w:before="30" w:after="70" w:line="240" w:lineRule="auto"/>
        <w:ind w:left="504" w:hanging="504"/>
      </w:pPr>
      <w:r>
        <w:rPr>
          <w:rFonts w:ascii="Times New Roman" w:hAnsi="Times New Roman"/>
          <w:sz w:val="24"/>
        </w:rPr>
        <w:t xml:space="preserve">Erin, O., Adegboye, A., &amp; Bamigboye, O. A. (2022). Corporate governance and sustainability reporting quality: Evidence from Nigeria. </w:t>
      </w:r>
      <w:r>
        <w:rPr>
          <w:rFonts w:ascii="Times New Roman" w:hAnsi="Times New Roman"/>
          <w:i/>
          <w:sz w:val="24"/>
        </w:rPr>
        <w:t>Sustainability Accounting, Management and Policy Journal</w:t>
      </w:r>
      <w:r>
        <w:rPr>
          <w:rFonts w:ascii="Times New Roman" w:hAnsi="Times New Roman"/>
          <w:sz w:val="24"/>
        </w:rPr>
        <w:t xml:space="preserve">, </w:t>
      </w:r>
      <w:r>
        <w:rPr>
          <w:rFonts w:ascii="Times New Roman" w:hAnsi="Times New Roman"/>
          <w:i/>
          <w:sz w:val="24"/>
        </w:rPr>
        <w:t>13</w:t>
      </w:r>
      <w:r>
        <w:rPr>
          <w:rFonts w:ascii="Times New Roman" w:hAnsi="Times New Roman"/>
          <w:sz w:val="24"/>
        </w:rPr>
        <w:t xml:space="preserve">(3), 680–707. </w:t>
      </w:r>
      <w:hyperlink r:id="rId33">
        <w:r>
          <w:rPr>
            <w:rFonts w:ascii="Times New Roman" w:hAnsi="Times New Roman"/>
            <w:color w:val="0563C1"/>
            <w:sz w:val="24"/>
          </w:rPr>
          <w:t>https://doi.org/10.1108/SAMPJ-06-2020-0185</w:t>
        </w:r>
      </w:hyperlink>
    </w:p>
    <w:p w14:paraId="0FB64561" w14:textId="77777777" w:rsidR="000D3DBA" w:rsidRDefault="00000000">
      <w:pPr>
        <w:spacing w:before="30" w:after="70" w:line="240" w:lineRule="auto"/>
        <w:ind w:left="504" w:hanging="504"/>
      </w:pPr>
      <w:r>
        <w:rPr>
          <w:rFonts w:ascii="Times New Roman" w:hAnsi="Times New Roman"/>
          <w:sz w:val="24"/>
        </w:rPr>
        <w:t xml:space="preserve">Etim, J. A., &amp; Akpan, D. C. (2023). Sustainability disclosure and financial performance of oil and gas companies in Nigeria. </w:t>
      </w:r>
      <w:r>
        <w:rPr>
          <w:rFonts w:ascii="Times New Roman" w:hAnsi="Times New Roman"/>
          <w:i/>
          <w:sz w:val="24"/>
        </w:rPr>
        <w:t>Journal of Business and African Economy</w:t>
      </w:r>
      <w:r>
        <w:rPr>
          <w:rFonts w:ascii="Times New Roman" w:hAnsi="Times New Roman"/>
          <w:sz w:val="24"/>
        </w:rPr>
        <w:t xml:space="preserve">, </w:t>
      </w:r>
      <w:r>
        <w:rPr>
          <w:rFonts w:ascii="Times New Roman" w:hAnsi="Times New Roman"/>
          <w:i/>
          <w:sz w:val="24"/>
        </w:rPr>
        <w:t>9</w:t>
      </w:r>
      <w:r>
        <w:rPr>
          <w:rFonts w:ascii="Times New Roman" w:hAnsi="Times New Roman"/>
          <w:sz w:val="24"/>
        </w:rPr>
        <w:t xml:space="preserve">(3), 39–55. </w:t>
      </w:r>
      <w:hyperlink r:id="rId34">
        <w:r>
          <w:rPr>
            <w:rFonts w:ascii="Times New Roman" w:hAnsi="Times New Roman"/>
            <w:color w:val="0563C1"/>
            <w:sz w:val="24"/>
          </w:rPr>
          <w:t>https://doi.org/10.56201/jbae.v9.no3.2023.pg39.55</w:t>
        </w:r>
      </w:hyperlink>
    </w:p>
    <w:p w14:paraId="5E9042EC" w14:textId="77777777" w:rsidR="000D3DBA" w:rsidRDefault="00000000">
      <w:pPr>
        <w:spacing w:before="30" w:after="70" w:line="240" w:lineRule="auto"/>
        <w:ind w:left="504" w:hanging="504"/>
      </w:pPr>
      <w:r>
        <w:rPr>
          <w:rFonts w:ascii="Times New Roman" w:hAnsi="Times New Roman"/>
          <w:sz w:val="24"/>
        </w:rPr>
        <w:t xml:space="preserve">Etuk, N. J., Ukpong, E. G., &amp; Emenyi, E. O. (2025). Audit committee attributes and financial reporting quality of listed deposit money banks in Nigeria. </w:t>
      </w:r>
      <w:r>
        <w:rPr>
          <w:rFonts w:ascii="Times New Roman" w:hAnsi="Times New Roman"/>
          <w:i/>
          <w:sz w:val="24"/>
        </w:rPr>
        <w:t>International Journal of Banking and Finance Research</w:t>
      </w:r>
      <w:r>
        <w:rPr>
          <w:rFonts w:ascii="Times New Roman" w:hAnsi="Times New Roman"/>
          <w:sz w:val="24"/>
        </w:rPr>
        <w:t xml:space="preserve">, </w:t>
      </w:r>
      <w:r>
        <w:rPr>
          <w:rFonts w:ascii="Times New Roman" w:hAnsi="Times New Roman"/>
          <w:i/>
          <w:sz w:val="24"/>
        </w:rPr>
        <w:t>11</w:t>
      </w:r>
      <w:r>
        <w:rPr>
          <w:rFonts w:ascii="Times New Roman" w:hAnsi="Times New Roman"/>
          <w:sz w:val="24"/>
        </w:rPr>
        <w:t xml:space="preserve">(1), 1–19. </w:t>
      </w:r>
      <w:hyperlink r:id="rId35">
        <w:r>
          <w:rPr>
            <w:rFonts w:ascii="Times New Roman" w:hAnsi="Times New Roman"/>
            <w:color w:val="0563C1"/>
            <w:sz w:val="24"/>
          </w:rPr>
          <w:t>https://doi.org/10.56201/ijbfr.v11.no1.2025.pg1.19</w:t>
        </w:r>
      </w:hyperlink>
    </w:p>
    <w:p w14:paraId="5F6449C6" w14:textId="77777777" w:rsidR="000D3DBA" w:rsidRDefault="00000000">
      <w:pPr>
        <w:spacing w:before="30" w:after="70" w:line="240" w:lineRule="auto"/>
        <w:ind w:left="504" w:hanging="504"/>
      </w:pPr>
      <w:r>
        <w:rPr>
          <w:rFonts w:ascii="Times New Roman" w:hAnsi="Times New Roman"/>
          <w:sz w:val="24"/>
        </w:rPr>
        <w:t xml:space="preserve">Etukenyin, S. G., Akpan, D. C., &amp; Umoren, A. (2025). Firms' characteristics and financial reporting quality of listed service firms in Nigeria. </w:t>
      </w:r>
      <w:r>
        <w:rPr>
          <w:rFonts w:ascii="Times New Roman" w:hAnsi="Times New Roman"/>
          <w:i/>
          <w:sz w:val="24"/>
        </w:rPr>
        <w:t>Journal of Accounting and Financial Management</w:t>
      </w:r>
      <w:r>
        <w:rPr>
          <w:rFonts w:ascii="Times New Roman" w:hAnsi="Times New Roman"/>
          <w:sz w:val="24"/>
        </w:rPr>
        <w:t xml:space="preserve">, </w:t>
      </w:r>
      <w:r>
        <w:rPr>
          <w:rFonts w:ascii="Times New Roman" w:hAnsi="Times New Roman"/>
          <w:i/>
          <w:sz w:val="24"/>
        </w:rPr>
        <w:t>11</w:t>
      </w:r>
      <w:r>
        <w:rPr>
          <w:rFonts w:ascii="Times New Roman" w:hAnsi="Times New Roman"/>
          <w:sz w:val="24"/>
        </w:rPr>
        <w:t xml:space="preserve">(2), 145–159. </w:t>
      </w:r>
      <w:hyperlink r:id="rId36">
        <w:r>
          <w:rPr>
            <w:rFonts w:ascii="Times New Roman" w:hAnsi="Times New Roman"/>
            <w:color w:val="0563C1"/>
            <w:sz w:val="24"/>
          </w:rPr>
          <w:t>https://doi.org/10.56201/jafm.vol.11.no2.2025.pg145.159</w:t>
        </w:r>
      </w:hyperlink>
    </w:p>
    <w:p w14:paraId="256F1C4E" w14:textId="77777777" w:rsidR="000D3DBA" w:rsidRDefault="00000000">
      <w:pPr>
        <w:spacing w:before="30" w:after="70" w:line="240" w:lineRule="auto"/>
        <w:ind w:left="504" w:hanging="504"/>
      </w:pPr>
      <w:r>
        <w:rPr>
          <w:rFonts w:ascii="Times New Roman" w:hAnsi="Times New Roman"/>
          <w:sz w:val="24"/>
        </w:rPr>
        <w:t xml:space="preserve">Global Reporting Initiative (2023). </w:t>
      </w:r>
      <w:r>
        <w:rPr>
          <w:rFonts w:ascii="Times New Roman" w:hAnsi="Times New Roman"/>
          <w:i/>
          <w:sz w:val="24"/>
        </w:rPr>
        <w:t>GRI sustainability reporting standards</w:t>
      </w:r>
      <w:r>
        <w:rPr>
          <w:rFonts w:ascii="Times New Roman" w:hAnsi="Times New Roman"/>
          <w:sz w:val="24"/>
        </w:rPr>
        <w:t xml:space="preserve">. </w:t>
      </w:r>
      <w:hyperlink r:id="rId37">
        <w:r>
          <w:rPr>
            <w:rFonts w:ascii="Times New Roman" w:hAnsi="Times New Roman"/>
            <w:color w:val="0563C1"/>
            <w:sz w:val="24"/>
          </w:rPr>
          <w:t>https://www.globalreporting.org/standards/</w:t>
        </w:r>
      </w:hyperlink>
    </w:p>
    <w:p w14:paraId="329D9AFA" w14:textId="77777777" w:rsidR="000D3DBA" w:rsidRDefault="00000000">
      <w:pPr>
        <w:spacing w:before="30" w:after="70" w:line="240" w:lineRule="auto"/>
        <w:ind w:left="504" w:hanging="504"/>
      </w:pPr>
      <w:r>
        <w:rPr>
          <w:rFonts w:ascii="Times New Roman" w:hAnsi="Times New Roman"/>
          <w:sz w:val="24"/>
        </w:rPr>
        <w:t xml:space="preserve">International Accounting Standards Board (2018). </w:t>
      </w:r>
      <w:r>
        <w:rPr>
          <w:rFonts w:ascii="Times New Roman" w:hAnsi="Times New Roman"/>
          <w:i/>
          <w:sz w:val="24"/>
        </w:rPr>
        <w:t>Conceptual framework for financial reporting</w:t>
      </w:r>
      <w:r>
        <w:rPr>
          <w:rFonts w:ascii="Times New Roman" w:hAnsi="Times New Roman"/>
          <w:sz w:val="24"/>
        </w:rPr>
        <w:t xml:space="preserve">. IFRS Foundation. </w:t>
      </w:r>
      <w:hyperlink r:id="rId38">
        <w:r>
          <w:rPr>
            <w:rFonts w:ascii="Times New Roman" w:hAnsi="Times New Roman"/>
            <w:color w:val="0563C1"/>
            <w:sz w:val="24"/>
          </w:rPr>
          <w:t>https://www.ifrs.org/projects/completed-projects/2018/conceptual-framework/</w:t>
        </w:r>
      </w:hyperlink>
    </w:p>
    <w:p w14:paraId="634F3CF7" w14:textId="77777777" w:rsidR="000D3DBA" w:rsidRDefault="00000000">
      <w:pPr>
        <w:spacing w:before="30" w:after="70" w:line="240" w:lineRule="auto"/>
        <w:ind w:left="504" w:hanging="504"/>
      </w:pPr>
      <w:r>
        <w:rPr>
          <w:rFonts w:ascii="Times New Roman" w:hAnsi="Times New Roman"/>
          <w:sz w:val="24"/>
        </w:rPr>
        <w:t xml:space="preserve">International Sustainability Standards Board (2023). </w:t>
      </w:r>
      <w:r>
        <w:rPr>
          <w:rFonts w:ascii="Times New Roman" w:hAnsi="Times New Roman"/>
          <w:i/>
          <w:sz w:val="24"/>
        </w:rPr>
        <w:t>IFRS S1: General requirements for disclosure of sustainability-related financial information</w:t>
      </w:r>
      <w:r>
        <w:rPr>
          <w:rFonts w:ascii="Times New Roman" w:hAnsi="Times New Roman"/>
          <w:sz w:val="24"/>
        </w:rPr>
        <w:t xml:space="preserve">. IFRS Foundation. </w:t>
      </w:r>
      <w:hyperlink r:id="rId39">
        <w:r>
          <w:rPr>
            <w:rFonts w:ascii="Times New Roman" w:hAnsi="Times New Roman"/>
            <w:color w:val="0563C1"/>
            <w:sz w:val="24"/>
          </w:rPr>
          <w:t>https://www.ifrs.org/issued-standards/ifrs-sustainability-standards-navigator/ifrs-s1-general-requirements/</w:t>
        </w:r>
      </w:hyperlink>
    </w:p>
    <w:p w14:paraId="71E2A8E4" w14:textId="77777777" w:rsidR="000D3DBA" w:rsidRDefault="00000000">
      <w:pPr>
        <w:spacing w:before="30" w:after="70" w:line="240" w:lineRule="auto"/>
        <w:ind w:left="504" w:hanging="504"/>
      </w:pPr>
      <w:r>
        <w:rPr>
          <w:rFonts w:ascii="Times New Roman" w:hAnsi="Times New Roman"/>
          <w:sz w:val="24"/>
        </w:rPr>
        <w:t xml:space="preserve">Jensen, M. C., &amp; Meckling, W. H. (1976). Theory of the firm: Managerial behavior, agency costs and ownership structure. </w:t>
      </w:r>
      <w:r>
        <w:rPr>
          <w:rFonts w:ascii="Times New Roman" w:hAnsi="Times New Roman"/>
          <w:i/>
          <w:sz w:val="24"/>
        </w:rPr>
        <w:t>Journal of Financial Economics</w:t>
      </w:r>
      <w:r>
        <w:rPr>
          <w:rFonts w:ascii="Times New Roman" w:hAnsi="Times New Roman"/>
          <w:sz w:val="24"/>
        </w:rPr>
        <w:t xml:space="preserve">, </w:t>
      </w:r>
      <w:r>
        <w:rPr>
          <w:rFonts w:ascii="Times New Roman" w:hAnsi="Times New Roman"/>
          <w:i/>
          <w:sz w:val="24"/>
        </w:rPr>
        <w:t>3</w:t>
      </w:r>
      <w:r>
        <w:rPr>
          <w:rFonts w:ascii="Times New Roman" w:hAnsi="Times New Roman"/>
          <w:sz w:val="24"/>
        </w:rPr>
        <w:t xml:space="preserve">(4), 305–360. </w:t>
      </w:r>
      <w:hyperlink r:id="rId40">
        <w:r>
          <w:rPr>
            <w:rFonts w:ascii="Times New Roman" w:hAnsi="Times New Roman"/>
            <w:color w:val="0563C1"/>
            <w:sz w:val="24"/>
          </w:rPr>
          <w:t>https://doi.org/10.1016/0304-405X(76)90026-X</w:t>
        </w:r>
      </w:hyperlink>
    </w:p>
    <w:p w14:paraId="1F7638E1" w14:textId="77777777" w:rsidR="000D3DBA" w:rsidRDefault="00000000">
      <w:pPr>
        <w:spacing w:before="30" w:after="70" w:line="240" w:lineRule="auto"/>
        <w:ind w:left="504" w:hanging="504"/>
      </w:pPr>
      <w:r>
        <w:rPr>
          <w:rFonts w:ascii="Times New Roman" w:hAnsi="Times New Roman"/>
          <w:sz w:val="24"/>
        </w:rPr>
        <w:t xml:space="preserve">Jinadu, O., Fagboye, A. J., Ogunmola, D., Aladesawe, S. A., Adigun, B. A., &amp; Fasua, H. K. (2025). Audit committee attributes and quality of financial reporting in Nigerian oil and gas companies. </w:t>
      </w:r>
      <w:r>
        <w:rPr>
          <w:rFonts w:ascii="Times New Roman" w:hAnsi="Times New Roman"/>
          <w:i/>
          <w:sz w:val="24"/>
        </w:rPr>
        <w:t>Asian Research Journal of Current Science</w:t>
      </w:r>
      <w:r>
        <w:rPr>
          <w:rFonts w:ascii="Times New Roman" w:hAnsi="Times New Roman"/>
          <w:sz w:val="24"/>
        </w:rPr>
        <w:t xml:space="preserve">, </w:t>
      </w:r>
      <w:r>
        <w:rPr>
          <w:rFonts w:ascii="Times New Roman" w:hAnsi="Times New Roman"/>
          <w:i/>
          <w:sz w:val="24"/>
        </w:rPr>
        <w:t>7</w:t>
      </w:r>
      <w:r>
        <w:rPr>
          <w:rFonts w:ascii="Times New Roman" w:hAnsi="Times New Roman"/>
          <w:sz w:val="24"/>
        </w:rPr>
        <w:t xml:space="preserve">(1), 388–396. </w:t>
      </w:r>
      <w:hyperlink r:id="rId41">
        <w:r>
          <w:rPr>
            <w:rFonts w:ascii="Times New Roman" w:hAnsi="Times New Roman"/>
            <w:color w:val="0563C1"/>
            <w:sz w:val="24"/>
          </w:rPr>
          <w:t>https://doi.org/10.56557/arjocs/2025/v7i1159</w:t>
        </w:r>
      </w:hyperlink>
    </w:p>
    <w:p w14:paraId="1570C192" w14:textId="77777777" w:rsidR="000D3DBA" w:rsidRDefault="00000000">
      <w:pPr>
        <w:spacing w:before="30" w:after="70" w:line="240" w:lineRule="auto"/>
        <w:ind w:left="504" w:hanging="504"/>
      </w:pPr>
      <w:r>
        <w:rPr>
          <w:rFonts w:ascii="Times New Roman" w:hAnsi="Times New Roman"/>
          <w:sz w:val="24"/>
        </w:rPr>
        <w:t xml:space="preserve">Kartiko, E., Suryaputra, V., Hamdah, D. F. L., &amp; Amirrudin, M. S. (2025). Determinants of financial reporting quality in the banking sector. </w:t>
      </w:r>
      <w:r>
        <w:rPr>
          <w:rFonts w:ascii="Times New Roman" w:hAnsi="Times New Roman"/>
          <w:i/>
          <w:sz w:val="24"/>
        </w:rPr>
        <w:t>International Journal of Research and Innovation in Social Science</w:t>
      </w:r>
      <w:r>
        <w:rPr>
          <w:rFonts w:ascii="Times New Roman" w:hAnsi="Times New Roman"/>
          <w:sz w:val="24"/>
        </w:rPr>
        <w:t xml:space="preserve">, </w:t>
      </w:r>
      <w:r>
        <w:rPr>
          <w:rFonts w:ascii="Times New Roman" w:hAnsi="Times New Roman"/>
          <w:i/>
          <w:sz w:val="24"/>
        </w:rPr>
        <w:t>9</w:t>
      </w:r>
      <w:r>
        <w:rPr>
          <w:rFonts w:ascii="Times New Roman" w:hAnsi="Times New Roman"/>
          <w:sz w:val="24"/>
        </w:rPr>
        <w:t xml:space="preserve">(8), 4217–4235. </w:t>
      </w:r>
      <w:hyperlink r:id="rId42">
        <w:r>
          <w:rPr>
            <w:rFonts w:ascii="Times New Roman" w:hAnsi="Times New Roman"/>
            <w:color w:val="0563C1"/>
            <w:sz w:val="24"/>
          </w:rPr>
          <w:t>https://doi.org/10.47772/IJRISS.2025.908000342</w:t>
        </w:r>
      </w:hyperlink>
    </w:p>
    <w:p w14:paraId="21BEA980" w14:textId="77777777" w:rsidR="000D3DBA" w:rsidRDefault="00000000">
      <w:pPr>
        <w:spacing w:before="30" w:after="70" w:line="240" w:lineRule="auto"/>
        <w:ind w:left="504" w:hanging="504"/>
      </w:pPr>
      <w:r>
        <w:rPr>
          <w:rFonts w:ascii="Times New Roman" w:hAnsi="Times New Roman"/>
          <w:sz w:val="24"/>
        </w:rPr>
        <w:t xml:space="preserve">Knechel, W. R., Vanstraelen, A., &amp; Zerni, M. (2015). Does the identity of engagement partners matter? An analysis of audit partner reporting decisions. </w:t>
      </w:r>
      <w:r>
        <w:rPr>
          <w:rFonts w:ascii="Times New Roman" w:hAnsi="Times New Roman"/>
          <w:i/>
          <w:sz w:val="24"/>
        </w:rPr>
        <w:t>Contemporary Accounting Research</w:t>
      </w:r>
      <w:r>
        <w:rPr>
          <w:rFonts w:ascii="Times New Roman" w:hAnsi="Times New Roman"/>
          <w:sz w:val="24"/>
        </w:rPr>
        <w:t xml:space="preserve">, </w:t>
      </w:r>
      <w:r>
        <w:rPr>
          <w:rFonts w:ascii="Times New Roman" w:hAnsi="Times New Roman"/>
          <w:i/>
          <w:sz w:val="24"/>
        </w:rPr>
        <w:t>32</w:t>
      </w:r>
      <w:r>
        <w:rPr>
          <w:rFonts w:ascii="Times New Roman" w:hAnsi="Times New Roman"/>
          <w:sz w:val="24"/>
        </w:rPr>
        <w:t xml:space="preserve">(4), 1443–1478. </w:t>
      </w:r>
      <w:hyperlink r:id="rId43">
        <w:r>
          <w:rPr>
            <w:rFonts w:ascii="Times New Roman" w:hAnsi="Times New Roman"/>
            <w:color w:val="0563C1"/>
            <w:sz w:val="24"/>
          </w:rPr>
          <w:t>https://doi.org/10.1111/1911-3846.12113</w:t>
        </w:r>
      </w:hyperlink>
    </w:p>
    <w:p w14:paraId="2A795477" w14:textId="77777777" w:rsidR="000D3DBA" w:rsidRDefault="00000000">
      <w:pPr>
        <w:spacing w:before="30" w:after="70" w:line="240" w:lineRule="auto"/>
        <w:ind w:left="504" w:hanging="504"/>
      </w:pPr>
      <w:r>
        <w:rPr>
          <w:rFonts w:ascii="Times New Roman" w:hAnsi="Times New Roman"/>
          <w:sz w:val="24"/>
        </w:rPr>
        <w:lastRenderedPageBreak/>
        <w:t xml:space="preserve">Kothari, P., Ferris, S. P., &amp; Jayaraman, N. (2026). From boardroom to balance sheet: How director quality affects accounting practices and disclosures. </w:t>
      </w:r>
      <w:r>
        <w:rPr>
          <w:rFonts w:ascii="Times New Roman" w:hAnsi="Times New Roman"/>
          <w:i/>
          <w:sz w:val="24"/>
        </w:rPr>
        <w:t>Journal of Corporate Accounting &amp; Finance</w:t>
      </w:r>
      <w:r>
        <w:rPr>
          <w:rFonts w:ascii="Times New Roman" w:hAnsi="Times New Roman"/>
          <w:sz w:val="24"/>
        </w:rPr>
        <w:t xml:space="preserve">, </w:t>
      </w:r>
      <w:r>
        <w:rPr>
          <w:rFonts w:ascii="Times New Roman" w:hAnsi="Times New Roman"/>
          <w:i/>
          <w:sz w:val="24"/>
        </w:rPr>
        <w:t>37</w:t>
      </w:r>
      <w:r>
        <w:rPr>
          <w:rFonts w:ascii="Times New Roman" w:hAnsi="Times New Roman"/>
          <w:sz w:val="24"/>
        </w:rPr>
        <w:t xml:space="preserve">(3), 9–37. </w:t>
      </w:r>
      <w:hyperlink r:id="rId44">
        <w:r>
          <w:rPr>
            <w:rFonts w:ascii="Times New Roman" w:hAnsi="Times New Roman"/>
            <w:color w:val="0563C1"/>
            <w:sz w:val="24"/>
          </w:rPr>
          <w:t>https://doi.org/10.1002/jcaf.70023</w:t>
        </w:r>
      </w:hyperlink>
    </w:p>
    <w:p w14:paraId="0BAA1F38" w14:textId="77777777" w:rsidR="000D3DBA" w:rsidRDefault="00000000">
      <w:pPr>
        <w:spacing w:before="30" w:after="70" w:line="240" w:lineRule="auto"/>
        <w:ind w:left="504" w:hanging="504"/>
      </w:pPr>
      <w:r>
        <w:rPr>
          <w:rFonts w:ascii="Times New Roman" w:hAnsi="Times New Roman"/>
          <w:sz w:val="24"/>
        </w:rPr>
        <w:t xml:space="preserve">Malo-Alain, A. M., Melegy, M. M. A. H., &amp; Ghoneim, M. R. Y. (2019). The effects of sustainability disclosure on the quality of financial reports in Saudi business environment. </w:t>
      </w:r>
      <w:r>
        <w:rPr>
          <w:rFonts w:ascii="Times New Roman" w:hAnsi="Times New Roman"/>
          <w:i/>
          <w:sz w:val="24"/>
        </w:rPr>
        <w:t>Academy of Accounting and Financial Studies Journal</w:t>
      </w:r>
      <w:r>
        <w:rPr>
          <w:rFonts w:ascii="Times New Roman" w:hAnsi="Times New Roman"/>
          <w:sz w:val="24"/>
        </w:rPr>
        <w:t xml:space="preserve">, </w:t>
      </w:r>
      <w:r>
        <w:rPr>
          <w:rFonts w:ascii="Times New Roman" w:hAnsi="Times New Roman"/>
          <w:i/>
          <w:sz w:val="24"/>
        </w:rPr>
        <w:t>23</w:t>
      </w:r>
      <w:r>
        <w:rPr>
          <w:rFonts w:ascii="Times New Roman" w:hAnsi="Times New Roman"/>
          <w:sz w:val="24"/>
        </w:rPr>
        <w:t xml:space="preserve">(5), 1–12. </w:t>
      </w:r>
      <w:hyperlink r:id="rId45">
        <w:r>
          <w:rPr>
            <w:rFonts w:ascii="Times New Roman" w:hAnsi="Times New Roman"/>
            <w:color w:val="0563C1"/>
            <w:sz w:val="24"/>
          </w:rPr>
          <w:t>https://www.abacademies.org/articles/the-effects-of-sustainability-disclosure-on-the-quality-of-financial-reports-in-saudi-business-environment-8693.html</w:t>
        </w:r>
      </w:hyperlink>
    </w:p>
    <w:p w14:paraId="187C4D7C" w14:textId="77777777" w:rsidR="000D3DBA" w:rsidRDefault="00000000">
      <w:pPr>
        <w:spacing w:before="30" w:after="70" w:line="240" w:lineRule="auto"/>
        <w:ind w:left="504" w:hanging="504"/>
      </w:pPr>
      <w:r>
        <w:rPr>
          <w:rFonts w:ascii="Times New Roman" w:hAnsi="Times New Roman"/>
          <w:sz w:val="24"/>
        </w:rPr>
        <w:t xml:space="preserve">Nurullah, A., Hamzah, R. S., &amp; Kesuma, N. (2025). Sustainability reporting and the quality of financial reports: Analysis of the role of ownership structure in Indonesian corporations. </w:t>
      </w:r>
      <w:r>
        <w:rPr>
          <w:rFonts w:ascii="Times New Roman" w:hAnsi="Times New Roman"/>
          <w:i/>
          <w:sz w:val="24"/>
        </w:rPr>
        <w:t>MAKSIMUM: Media Akuntansi Universitas Muhammadiyah Semarang</w:t>
      </w:r>
      <w:r>
        <w:rPr>
          <w:rFonts w:ascii="Times New Roman" w:hAnsi="Times New Roman"/>
          <w:sz w:val="24"/>
        </w:rPr>
        <w:t xml:space="preserve">, </w:t>
      </w:r>
      <w:r>
        <w:rPr>
          <w:rFonts w:ascii="Times New Roman" w:hAnsi="Times New Roman"/>
          <w:i/>
          <w:sz w:val="24"/>
        </w:rPr>
        <w:t>15</w:t>
      </w:r>
      <w:r>
        <w:rPr>
          <w:rFonts w:ascii="Times New Roman" w:hAnsi="Times New Roman"/>
          <w:sz w:val="24"/>
        </w:rPr>
        <w:t xml:space="preserve">(2), 157–169. </w:t>
      </w:r>
      <w:hyperlink r:id="rId46">
        <w:r>
          <w:rPr>
            <w:rFonts w:ascii="Times New Roman" w:hAnsi="Times New Roman"/>
            <w:color w:val="0563C1"/>
            <w:sz w:val="24"/>
          </w:rPr>
          <w:t>https://doi.org/10.26714/mki.15.2.2025.157-169</w:t>
        </w:r>
      </w:hyperlink>
    </w:p>
    <w:p w14:paraId="73B552FA" w14:textId="77777777" w:rsidR="000D3DBA" w:rsidRDefault="00000000">
      <w:pPr>
        <w:spacing w:before="30" w:after="70" w:line="240" w:lineRule="auto"/>
        <w:ind w:left="504" w:hanging="504"/>
      </w:pPr>
      <w:r>
        <w:rPr>
          <w:rFonts w:ascii="Times New Roman" w:hAnsi="Times New Roman"/>
          <w:sz w:val="24"/>
        </w:rPr>
        <w:t xml:space="preserve">Obeitoh, O. O., Yunusa, A., &amp; Yusuf, M. A. (2023). Effect of board and audit committee attributes on earnings management: Evidence from listed non-financial firms in Nigeria. </w:t>
      </w:r>
      <w:r>
        <w:rPr>
          <w:rFonts w:ascii="Times New Roman" w:hAnsi="Times New Roman"/>
          <w:i/>
          <w:sz w:val="24"/>
        </w:rPr>
        <w:t>FUDMA Journal of Accounting and Finance Research</w:t>
      </w:r>
      <w:r>
        <w:rPr>
          <w:rFonts w:ascii="Times New Roman" w:hAnsi="Times New Roman"/>
          <w:sz w:val="24"/>
        </w:rPr>
        <w:t xml:space="preserve">, </w:t>
      </w:r>
      <w:r>
        <w:rPr>
          <w:rFonts w:ascii="Times New Roman" w:hAnsi="Times New Roman"/>
          <w:i/>
          <w:sz w:val="24"/>
        </w:rPr>
        <w:t>1</w:t>
      </w:r>
      <w:r>
        <w:rPr>
          <w:rFonts w:ascii="Times New Roman" w:hAnsi="Times New Roman"/>
          <w:sz w:val="24"/>
        </w:rPr>
        <w:t xml:space="preserve">(2), 33–50. </w:t>
      </w:r>
      <w:hyperlink r:id="rId47">
        <w:r>
          <w:rPr>
            <w:rFonts w:ascii="Times New Roman" w:hAnsi="Times New Roman"/>
            <w:color w:val="0563C1"/>
            <w:sz w:val="24"/>
          </w:rPr>
          <w:t>https://doi.org/10.33003/fujafr-2023.v1i2.26.33-50</w:t>
        </w:r>
      </w:hyperlink>
    </w:p>
    <w:p w14:paraId="0E3D4539" w14:textId="77777777" w:rsidR="000D3DBA" w:rsidRDefault="00000000">
      <w:pPr>
        <w:spacing w:before="30" w:after="70" w:line="240" w:lineRule="auto"/>
        <w:ind w:left="504" w:hanging="504"/>
      </w:pPr>
      <w:r>
        <w:rPr>
          <w:rFonts w:ascii="Times New Roman" w:hAnsi="Times New Roman"/>
          <w:sz w:val="24"/>
        </w:rPr>
        <w:t xml:space="preserve">Olaoye, C. O., &amp; Akintayo, O. A. (2021). Determinants of financial reporting quality in Nigeria non-financial institutions (2010–2018). </w:t>
      </w:r>
      <w:r>
        <w:rPr>
          <w:rFonts w:ascii="Times New Roman" w:hAnsi="Times New Roman"/>
          <w:i/>
          <w:sz w:val="24"/>
        </w:rPr>
        <w:t>KIU Interdisciplinary Journal of Humanities and Social Sciences</w:t>
      </w:r>
      <w:r>
        <w:rPr>
          <w:rFonts w:ascii="Times New Roman" w:hAnsi="Times New Roman"/>
          <w:sz w:val="24"/>
        </w:rPr>
        <w:t xml:space="preserve">, </w:t>
      </w:r>
      <w:r>
        <w:rPr>
          <w:rFonts w:ascii="Times New Roman" w:hAnsi="Times New Roman"/>
          <w:i/>
          <w:sz w:val="24"/>
        </w:rPr>
        <w:t>2</w:t>
      </w:r>
      <w:r>
        <w:rPr>
          <w:rFonts w:ascii="Times New Roman" w:hAnsi="Times New Roman"/>
          <w:sz w:val="24"/>
        </w:rPr>
        <w:t xml:space="preserve">(2), 263–282. </w:t>
      </w:r>
      <w:hyperlink r:id="rId48">
        <w:r>
          <w:rPr>
            <w:rFonts w:ascii="Times New Roman" w:hAnsi="Times New Roman"/>
            <w:color w:val="0563C1"/>
            <w:sz w:val="24"/>
          </w:rPr>
          <w:t>https://journals.kiu.ac.ug/kijhus/article/kj0002y02dfc/kijhus-106-determinants-of-financial-reporting-quality-in-nigeria-non-financial-institutions-2010-2018</w:t>
        </w:r>
      </w:hyperlink>
    </w:p>
    <w:p w14:paraId="5F954DAF" w14:textId="77777777" w:rsidR="000D3DBA" w:rsidRDefault="00000000">
      <w:pPr>
        <w:spacing w:before="30" w:after="70" w:line="240" w:lineRule="auto"/>
        <w:ind w:left="504" w:hanging="504"/>
      </w:pPr>
      <w:r>
        <w:rPr>
          <w:rFonts w:ascii="Times New Roman" w:hAnsi="Times New Roman"/>
          <w:sz w:val="24"/>
        </w:rPr>
        <w:t xml:space="preserve">Ololade, B. M., &amp; Adekanmi, A. D. (2019). Sustainability information disclosure and financial reporting quality of listed non-financial firms in Nigeria. </w:t>
      </w:r>
      <w:r>
        <w:rPr>
          <w:rFonts w:ascii="Times New Roman" w:hAnsi="Times New Roman"/>
          <w:i/>
          <w:sz w:val="24"/>
        </w:rPr>
        <w:t>African Journal of Corporate Governance Research</w:t>
      </w:r>
      <w:r>
        <w:rPr>
          <w:rFonts w:ascii="Times New Roman" w:hAnsi="Times New Roman"/>
          <w:sz w:val="24"/>
        </w:rPr>
        <w:t xml:space="preserve">, </w:t>
      </w:r>
      <w:r>
        <w:rPr>
          <w:rFonts w:ascii="Times New Roman" w:hAnsi="Times New Roman"/>
          <w:i/>
          <w:sz w:val="24"/>
        </w:rPr>
        <w:t>1</w:t>
      </w:r>
      <w:r>
        <w:rPr>
          <w:rFonts w:ascii="Times New Roman" w:hAnsi="Times New Roman"/>
          <w:sz w:val="24"/>
        </w:rPr>
        <w:t xml:space="preserve">(2), 106–125. </w:t>
      </w:r>
      <w:hyperlink r:id="rId49">
        <w:r>
          <w:rPr>
            <w:rFonts w:ascii="Times New Roman" w:hAnsi="Times New Roman"/>
            <w:color w:val="0563C1"/>
            <w:sz w:val="24"/>
          </w:rPr>
          <w:t>https://www.researchgate.net/publication/390694545_Sustainability_Information_Disclosure_and_Financial_Reporting_Quality_of_Listed_Non-Financial_Firms_in_Nigeria</w:t>
        </w:r>
      </w:hyperlink>
    </w:p>
    <w:p w14:paraId="7DD21254" w14:textId="77777777" w:rsidR="000D3DBA" w:rsidRDefault="00000000">
      <w:pPr>
        <w:spacing w:before="30" w:after="70" w:line="240" w:lineRule="auto"/>
        <w:ind w:left="504" w:hanging="504"/>
      </w:pPr>
      <w:r>
        <w:rPr>
          <w:rFonts w:ascii="Times New Roman" w:hAnsi="Times New Roman"/>
          <w:sz w:val="24"/>
        </w:rPr>
        <w:t xml:space="preserve">Olowookere, J. K., Adeyemi, A. A., Olagunju, A., Ibrahim, J., &amp; Adebowale, H. A. (2025). Audit quality and income smoothing among listed deposit money banks in Nigeria. </w:t>
      </w:r>
      <w:r>
        <w:rPr>
          <w:rFonts w:ascii="Times New Roman" w:hAnsi="Times New Roman"/>
          <w:i/>
          <w:sz w:val="24"/>
        </w:rPr>
        <w:t>Iranian Journal of Accounting, Auditing and Finance</w:t>
      </w:r>
      <w:r>
        <w:rPr>
          <w:rFonts w:ascii="Times New Roman" w:hAnsi="Times New Roman"/>
          <w:sz w:val="24"/>
        </w:rPr>
        <w:t xml:space="preserve">, </w:t>
      </w:r>
      <w:r>
        <w:rPr>
          <w:rFonts w:ascii="Times New Roman" w:hAnsi="Times New Roman"/>
          <w:i/>
          <w:sz w:val="24"/>
        </w:rPr>
        <w:t>9</w:t>
      </w:r>
      <w:r>
        <w:rPr>
          <w:rFonts w:ascii="Times New Roman" w:hAnsi="Times New Roman"/>
          <w:sz w:val="24"/>
        </w:rPr>
        <w:t xml:space="preserve">(1), 1–13. </w:t>
      </w:r>
      <w:hyperlink r:id="rId50">
        <w:r>
          <w:rPr>
            <w:rFonts w:ascii="Times New Roman" w:hAnsi="Times New Roman"/>
            <w:color w:val="0563C1"/>
            <w:sz w:val="24"/>
          </w:rPr>
          <w:t>https://doi.org/10.22067/ijaaf.2025.45230.1441</w:t>
        </w:r>
      </w:hyperlink>
    </w:p>
    <w:p w14:paraId="7F1625F6" w14:textId="77777777" w:rsidR="000D3DBA" w:rsidRDefault="00000000">
      <w:pPr>
        <w:spacing w:before="30" w:after="70" w:line="240" w:lineRule="auto"/>
        <w:ind w:left="504" w:hanging="504"/>
      </w:pPr>
      <w:r>
        <w:rPr>
          <w:rFonts w:ascii="Times New Roman" w:hAnsi="Times New Roman"/>
          <w:sz w:val="24"/>
        </w:rPr>
        <w:t xml:space="preserve">Ronen, J., &amp; Yaari, V. (2008). </w:t>
      </w:r>
      <w:r>
        <w:rPr>
          <w:rFonts w:ascii="Times New Roman" w:hAnsi="Times New Roman"/>
          <w:i/>
          <w:sz w:val="24"/>
        </w:rPr>
        <w:t>Earnings management: Emerging insights in theory, practice, and research</w:t>
      </w:r>
      <w:r>
        <w:rPr>
          <w:rFonts w:ascii="Times New Roman" w:hAnsi="Times New Roman"/>
          <w:sz w:val="24"/>
        </w:rPr>
        <w:t xml:space="preserve">. Springer. </w:t>
      </w:r>
      <w:hyperlink r:id="rId51">
        <w:r>
          <w:rPr>
            <w:rFonts w:ascii="Times New Roman" w:hAnsi="Times New Roman"/>
            <w:color w:val="0563C1"/>
            <w:sz w:val="24"/>
          </w:rPr>
          <w:t>https://doi.org/10.1007/978-0-387-25771-6</w:t>
        </w:r>
      </w:hyperlink>
    </w:p>
    <w:p w14:paraId="0FBB3B8A" w14:textId="77777777" w:rsidR="000D3DBA" w:rsidRDefault="00000000">
      <w:pPr>
        <w:spacing w:before="30" w:after="70" w:line="240" w:lineRule="auto"/>
        <w:ind w:left="504" w:hanging="504"/>
      </w:pPr>
      <w:r>
        <w:rPr>
          <w:rFonts w:ascii="Times New Roman" w:hAnsi="Times New Roman"/>
          <w:sz w:val="24"/>
        </w:rPr>
        <w:t xml:space="preserve">Rufus, O. S., &amp; Ologun, O. V. (2024). Determinants of transparency and the financial reporting quality of Nigeria listed firms. </w:t>
      </w:r>
      <w:r>
        <w:rPr>
          <w:rFonts w:ascii="Times New Roman" w:hAnsi="Times New Roman"/>
          <w:i/>
          <w:sz w:val="24"/>
        </w:rPr>
        <w:t>Bayero University Journal of Finance</w:t>
      </w:r>
      <w:r>
        <w:rPr>
          <w:rFonts w:ascii="Times New Roman" w:hAnsi="Times New Roman"/>
          <w:sz w:val="24"/>
        </w:rPr>
        <w:t xml:space="preserve">, </w:t>
      </w:r>
      <w:r>
        <w:rPr>
          <w:rFonts w:ascii="Times New Roman" w:hAnsi="Times New Roman"/>
          <w:i/>
          <w:sz w:val="24"/>
        </w:rPr>
        <w:t>1</w:t>
      </w:r>
      <w:r>
        <w:rPr>
          <w:rFonts w:ascii="Times New Roman" w:hAnsi="Times New Roman"/>
          <w:sz w:val="24"/>
        </w:rPr>
        <w:t xml:space="preserve">(1), 17–33. </w:t>
      </w:r>
      <w:hyperlink r:id="rId52">
        <w:r>
          <w:rPr>
            <w:rFonts w:ascii="Times New Roman" w:hAnsi="Times New Roman"/>
            <w:color w:val="0563C1"/>
            <w:sz w:val="24"/>
          </w:rPr>
          <w:t>https://www.femsbukjournals.org.ng/bjf/article/determinants-of-transparency-and-the-financial-reporting-quality-of-nigeria-listed-firms</w:t>
        </w:r>
      </w:hyperlink>
    </w:p>
    <w:p w14:paraId="1CE7E9A3" w14:textId="77777777" w:rsidR="000D3DBA" w:rsidRDefault="00000000">
      <w:pPr>
        <w:spacing w:before="30" w:after="70" w:line="240" w:lineRule="auto"/>
        <w:ind w:left="504" w:hanging="504"/>
      </w:pPr>
      <w:r>
        <w:rPr>
          <w:rFonts w:ascii="Times New Roman" w:hAnsi="Times New Roman"/>
          <w:sz w:val="24"/>
        </w:rPr>
        <w:t xml:space="preserve">Yousefi Nejad, M., Khan, A. S., &amp; Othman, J. (2024). A panel data analysis of the effect of audit quality on financial statement fraud. </w:t>
      </w:r>
      <w:r>
        <w:rPr>
          <w:rFonts w:ascii="Times New Roman" w:hAnsi="Times New Roman"/>
          <w:i/>
          <w:sz w:val="24"/>
        </w:rPr>
        <w:t>Asian Journal of Accounting Research</w:t>
      </w:r>
      <w:r>
        <w:rPr>
          <w:rFonts w:ascii="Times New Roman" w:hAnsi="Times New Roman"/>
          <w:sz w:val="24"/>
        </w:rPr>
        <w:t xml:space="preserve">, </w:t>
      </w:r>
      <w:r>
        <w:rPr>
          <w:rFonts w:ascii="Times New Roman" w:hAnsi="Times New Roman"/>
          <w:i/>
          <w:sz w:val="24"/>
        </w:rPr>
        <w:t>9</w:t>
      </w:r>
      <w:r>
        <w:rPr>
          <w:rFonts w:ascii="Times New Roman" w:hAnsi="Times New Roman"/>
          <w:sz w:val="24"/>
        </w:rPr>
        <w:t xml:space="preserve">(4), 422–445. </w:t>
      </w:r>
      <w:hyperlink r:id="rId53">
        <w:r>
          <w:rPr>
            <w:rFonts w:ascii="Times New Roman" w:hAnsi="Times New Roman"/>
            <w:color w:val="0563C1"/>
            <w:sz w:val="24"/>
          </w:rPr>
          <w:t>https://doi.org/10.1108/AJAR-04-2023-0112</w:t>
        </w:r>
      </w:hyperlink>
    </w:p>
    <w:p w14:paraId="07FAD727" w14:textId="77777777" w:rsidR="000D3DBA" w:rsidRDefault="00000000">
      <w:pPr>
        <w:spacing w:before="30" w:after="70" w:line="240" w:lineRule="auto"/>
        <w:ind w:left="504" w:hanging="504"/>
      </w:pPr>
      <w:r>
        <w:rPr>
          <w:rFonts w:ascii="Times New Roman" w:hAnsi="Times New Roman"/>
          <w:sz w:val="24"/>
        </w:rPr>
        <w:t xml:space="preserve">Yudhanto, S. K., &amp; Rahmawati, E. (2025). Determinants of financial reporting quality: Local government status as moderator. </w:t>
      </w:r>
      <w:r>
        <w:rPr>
          <w:rFonts w:ascii="Times New Roman" w:hAnsi="Times New Roman"/>
          <w:i/>
          <w:sz w:val="24"/>
        </w:rPr>
        <w:t>Journal of Accounting and Investment</w:t>
      </w:r>
      <w:r>
        <w:rPr>
          <w:rFonts w:ascii="Times New Roman" w:hAnsi="Times New Roman"/>
          <w:sz w:val="24"/>
        </w:rPr>
        <w:t xml:space="preserve">, </w:t>
      </w:r>
      <w:r>
        <w:rPr>
          <w:rFonts w:ascii="Times New Roman" w:hAnsi="Times New Roman"/>
          <w:i/>
          <w:sz w:val="24"/>
        </w:rPr>
        <w:t>26</w:t>
      </w:r>
      <w:r>
        <w:rPr>
          <w:rFonts w:ascii="Times New Roman" w:hAnsi="Times New Roman"/>
          <w:sz w:val="24"/>
        </w:rPr>
        <w:t xml:space="preserve">(1), 401–419. </w:t>
      </w:r>
      <w:hyperlink r:id="rId54">
        <w:r>
          <w:rPr>
            <w:rFonts w:ascii="Times New Roman" w:hAnsi="Times New Roman"/>
            <w:color w:val="0563C1"/>
            <w:sz w:val="24"/>
          </w:rPr>
          <w:t>https://doi.org/10.18196/jai.v26i1.25426</w:t>
        </w:r>
      </w:hyperlink>
    </w:p>
    <w:sectPr w:rsidR="000D3DBA" w:rsidSect="0072696F">
      <w:type w:val="continuous"/>
      <w:pgSz w:w="11906" w:h="16838" w:code="9"/>
      <w:pgMar w:top="1440" w:right="1440" w:bottom="155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B28CC" w14:textId="77777777" w:rsidR="00157821" w:rsidRDefault="00157821" w:rsidP="00DD0783">
      <w:pPr>
        <w:spacing w:after="0" w:line="240" w:lineRule="auto"/>
      </w:pPr>
      <w:r>
        <w:separator/>
      </w:r>
    </w:p>
  </w:endnote>
  <w:endnote w:type="continuationSeparator" w:id="0">
    <w:p w14:paraId="4D26D91F" w14:textId="77777777" w:rsidR="00157821" w:rsidRDefault="00157821" w:rsidP="00DD0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59C12" w14:textId="77777777" w:rsidR="00E050A7" w:rsidRDefault="00E050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74409" w14:textId="77777777" w:rsidR="00DD0783" w:rsidRDefault="00DD0783">
    <w:pPr>
      <w:pStyle w:val="Footer"/>
      <w:jc w:val="center"/>
    </w:pPr>
  </w:p>
  <w:p w14:paraId="4B49FF76" w14:textId="77777777" w:rsidR="001A6F9B" w:rsidRDefault="001A6F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D6B4C" w14:textId="77777777" w:rsidR="00E050A7" w:rsidRDefault="00E050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E7400" w14:textId="77777777" w:rsidR="00157821" w:rsidRDefault="00157821" w:rsidP="00DD0783">
      <w:pPr>
        <w:spacing w:after="0" w:line="240" w:lineRule="auto"/>
      </w:pPr>
      <w:r>
        <w:separator/>
      </w:r>
    </w:p>
  </w:footnote>
  <w:footnote w:type="continuationSeparator" w:id="0">
    <w:p w14:paraId="6A2AF2C6" w14:textId="77777777" w:rsidR="00157821" w:rsidRDefault="00157821" w:rsidP="00DD07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FCFC2" w14:textId="77777777" w:rsidR="00E050A7" w:rsidRDefault="00000000">
    <w:pPr>
      <w:pStyle w:val="Header"/>
    </w:pPr>
    <w:r>
      <w:rPr>
        <w:noProof/>
      </w:rPr>
      <w:pict w14:anchorId="39A169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016844"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57956" w14:textId="77777777" w:rsidR="00E050A7" w:rsidRDefault="00000000">
    <w:pPr>
      <w:pStyle w:val="Header"/>
    </w:pPr>
    <w:r>
      <w:rPr>
        <w:noProof/>
      </w:rPr>
      <w:pict w14:anchorId="58BDC0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016845"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31C52" w14:textId="77777777" w:rsidR="00E050A7" w:rsidRDefault="00000000">
    <w:pPr>
      <w:pStyle w:val="Header"/>
    </w:pPr>
    <w:r>
      <w:rPr>
        <w:noProof/>
      </w:rPr>
      <w:pict w14:anchorId="66AA25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016843"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2C12"/>
    <w:multiLevelType w:val="hybridMultilevel"/>
    <w:tmpl w:val="B3509C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B77A3"/>
    <w:multiLevelType w:val="hybridMultilevel"/>
    <w:tmpl w:val="CFE288B4"/>
    <w:lvl w:ilvl="0" w:tplc="DF8EE058">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98ACD5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DC4370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5B8398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E8AA24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19ED85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F26B7C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87CC20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FB0D8C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1165C48"/>
    <w:multiLevelType w:val="multilevel"/>
    <w:tmpl w:val="01165C48"/>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B852032"/>
    <w:multiLevelType w:val="multilevel"/>
    <w:tmpl w:val="0B8520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C3C0A57"/>
    <w:multiLevelType w:val="hybridMultilevel"/>
    <w:tmpl w:val="0BEA74EA"/>
    <w:lvl w:ilvl="0" w:tplc="2BD2A0B6">
      <w:numFmt w:val="bullet"/>
      <w:lvlText w:val=""/>
      <w:lvlJc w:val="left"/>
      <w:pPr>
        <w:ind w:left="730" w:hanging="37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6E11AF"/>
    <w:multiLevelType w:val="hybridMultilevel"/>
    <w:tmpl w:val="CFE288B4"/>
    <w:lvl w:ilvl="0" w:tplc="DF8EE058">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98ACD5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DC4370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5B8398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E8AA24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19ED85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F26B7C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87CC20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FB0D8C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4F65D22"/>
    <w:multiLevelType w:val="hybridMultilevel"/>
    <w:tmpl w:val="8EC46CFE"/>
    <w:lvl w:ilvl="0" w:tplc="FFFFFFFF">
      <w:start w:val="1"/>
      <w:numFmt w:val="decimal"/>
      <w:lvlText w:val="%1."/>
      <w:lvlJc w:val="left"/>
      <w:pPr>
        <w:ind w:left="720" w:hanging="360"/>
      </w:pPr>
    </w:lvl>
    <w:lvl w:ilvl="1" w:tplc="0409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50A4849"/>
    <w:multiLevelType w:val="multilevel"/>
    <w:tmpl w:val="965C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2B2411"/>
    <w:multiLevelType w:val="hybridMultilevel"/>
    <w:tmpl w:val="CFE288B4"/>
    <w:lvl w:ilvl="0" w:tplc="DF8EE058">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98ACD5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DC4370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5B8398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E8AA24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19ED85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F26B7C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87CC20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FB0D8C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E5C36A6"/>
    <w:multiLevelType w:val="multilevel"/>
    <w:tmpl w:val="63504A0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31346252"/>
    <w:multiLevelType w:val="multilevel"/>
    <w:tmpl w:val="5E66D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3219E6"/>
    <w:multiLevelType w:val="multilevel"/>
    <w:tmpl w:val="8D22C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3709A2"/>
    <w:multiLevelType w:val="multilevel"/>
    <w:tmpl w:val="493709A2"/>
    <w:lvl w:ilvl="0">
      <w:start w:val="1"/>
      <w:numFmt w:val="decimal"/>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1A44062"/>
    <w:multiLevelType w:val="multilevel"/>
    <w:tmpl w:val="50F896F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530F34E0"/>
    <w:multiLevelType w:val="hybridMultilevel"/>
    <w:tmpl w:val="25F6CA4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6F72430D"/>
    <w:multiLevelType w:val="multilevel"/>
    <w:tmpl w:val="6F72430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A031235"/>
    <w:multiLevelType w:val="hybridMultilevel"/>
    <w:tmpl w:val="2AF0A796"/>
    <w:lvl w:ilvl="0" w:tplc="0409000F">
      <w:start w:val="1"/>
      <w:numFmt w:val="decimal"/>
      <w:lvlText w:val="%1."/>
      <w:lvlJc w:val="left"/>
      <w:pPr>
        <w:ind w:left="720" w:hanging="360"/>
      </w:pPr>
    </w:lvl>
    <w:lvl w:ilvl="1" w:tplc="A39891FA">
      <w:numFmt w:val="bullet"/>
      <w:lvlText w:val=""/>
      <w:lvlJc w:val="left"/>
      <w:pPr>
        <w:ind w:left="1440" w:hanging="360"/>
      </w:pPr>
      <w:rPr>
        <w:rFonts w:ascii="Times New Roman" w:eastAsiaTheme="minorEastAs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C003CB"/>
    <w:multiLevelType w:val="multilevel"/>
    <w:tmpl w:val="7DC003CB"/>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342636100">
    <w:abstractNumId w:val="12"/>
  </w:num>
  <w:num w:numId="2" w16cid:durableId="1440375265">
    <w:abstractNumId w:val="2"/>
  </w:num>
  <w:num w:numId="3" w16cid:durableId="1937446162">
    <w:abstractNumId w:val="17"/>
  </w:num>
  <w:num w:numId="4" w16cid:durableId="1125195852">
    <w:abstractNumId w:val="15"/>
  </w:num>
  <w:num w:numId="5" w16cid:durableId="1004087888">
    <w:abstractNumId w:val="3"/>
  </w:num>
  <w:num w:numId="6" w16cid:durableId="1402868307">
    <w:abstractNumId w:val="1"/>
  </w:num>
  <w:num w:numId="7" w16cid:durableId="759133600">
    <w:abstractNumId w:val="8"/>
  </w:num>
  <w:num w:numId="8" w16cid:durableId="1687780917">
    <w:abstractNumId w:val="5"/>
  </w:num>
  <w:num w:numId="9" w16cid:durableId="278145248">
    <w:abstractNumId w:val="10"/>
  </w:num>
  <w:num w:numId="10" w16cid:durableId="182398833">
    <w:abstractNumId w:val="7"/>
  </w:num>
  <w:num w:numId="11" w16cid:durableId="1830442921">
    <w:abstractNumId w:val="11"/>
  </w:num>
  <w:num w:numId="12" w16cid:durableId="1418333165">
    <w:abstractNumId w:val="16"/>
  </w:num>
  <w:num w:numId="13" w16cid:durableId="362900234">
    <w:abstractNumId w:val="4"/>
  </w:num>
  <w:num w:numId="14" w16cid:durableId="1731074241">
    <w:abstractNumId w:val="0"/>
  </w:num>
  <w:num w:numId="15" w16cid:durableId="579682449">
    <w:abstractNumId w:val="6"/>
  </w:num>
  <w:num w:numId="16" w16cid:durableId="554389738">
    <w:abstractNumId w:val="13"/>
  </w:num>
  <w:num w:numId="17" w16cid:durableId="345442636">
    <w:abstractNumId w:val="14"/>
  </w:num>
  <w:num w:numId="18" w16cid:durableId="3745000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96F"/>
    <w:rsid w:val="00016D21"/>
    <w:rsid w:val="000426D3"/>
    <w:rsid w:val="00084607"/>
    <w:rsid w:val="00085E8B"/>
    <w:rsid w:val="000D3DBA"/>
    <w:rsid w:val="001571DA"/>
    <w:rsid w:val="00157821"/>
    <w:rsid w:val="00160264"/>
    <w:rsid w:val="001766AE"/>
    <w:rsid w:val="00184F85"/>
    <w:rsid w:val="001A6F9B"/>
    <w:rsid w:val="00262CE4"/>
    <w:rsid w:val="002810CE"/>
    <w:rsid w:val="00294049"/>
    <w:rsid w:val="002E5C4F"/>
    <w:rsid w:val="002E68D5"/>
    <w:rsid w:val="003317AB"/>
    <w:rsid w:val="00335C53"/>
    <w:rsid w:val="003516D5"/>
    <w:rsid w:val="003B2B89"/>
    <w:rsid w:val="003C4AFC"/>
    <w:rsid w:val="0048708C"/>
    <w:rsid w:val="004D5BA0"/>
    <w:rsid w:val="005218D1"/>
    <w:rsid w:val="005B5693"/>
    <w:rsid w:val="005C1124"/>
    <w:rsid w:val="005E312C"/>
    <w:rsid w:val="00600124"/>
    <w:rsid w:val="0068604C"/>
    <w:rsid w:val="0072696F"/>
    <w:rsid w:val="00750FC9"/>
    <w:rsid w:val="0076517E"/>
    <w:rsid w:val="00775453"/>
    <w:rsid w:val="007839A5"/>
    <w:rsid w:val="007C0F1F"/>
    <w:rsid w:val="007F03C0"/>
    <w:rsid w:val="008210ED"/>
    <w:rsid w:val="00876A15"/>
    <w:rsid w:val="00876D78"/>
    <w:rsid w:val="008D08E8"/>
    <w:rsid w:val="008F6F32"/>
    <w:rsid w:val="008F741A"/>
    <w:rsid w:val="009028E5"/>
    <w:rsid w:val="00982C11"/>
    <w:rsid w:val="009D61BF"/>
    <w:rsid w:val="00A04322"/>
    <w:rsid w:val="00B445BE"/>
    <w:rsid w:val="00C01B00"/>
    <w:rsid w:val="00CD134D"/>
    <w:rsid w:val="00CF3AC5"/>
    <w:rsid w:val="00D1208E"/>
    <w:rsid w:val="00D21305"/>
    <w:rsid w:val="00D64987"/>
    <w:rsid w:val="00D755D1"/>
    <w:rsid w:val="00DB406E"/>
    <w:rsid w:val="00DD0783"/>
    <w:rsid w:val="00E050A7"/>
    <w:rsid w:val="00E1670F"/>
    <w:rsid w:val="00EE415D"/>
    <w:rsid w:val="00EF25B0"/>
    <w:rsid w:val="00F250D3"/>
    <w:rsid w:val="00F26318"/>
    <w:rsid w:val="00F42341"/>
    <w:rsid w:val="00FE538F"/>
    <w:rsid w:val="00FF31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6C251"/>
  <w15:chartTrackingRefBased/>
  <w15:docId w15:val="{DF4FB58F-A8DD-4E02-A403-4709AC679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96F"/>
    <w:rPr>
      <w:lang w:val="zh-CN"/>
    </w:rPr>
  </w:style>
  <w:style w:type="paragraph" w:styleId="Heading1">
    <w:name w:val="heading 1"/>
    <w:basedOn w:val="Normal"/>
    <w:next w:val="Normal"/>
    <w:link w:val="Heading1Char"/>
    <w:uiPriority w:val="9"/>
    <w:qFormat/>
    <w:rsid w:val="007269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269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269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269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69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69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69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69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69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69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269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69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69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69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69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69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69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696F"/>
    <w:rPr>
      <w:rFonts w:eastAsiaTheme="majorEastAsia" w:cstheme="majorBidi"/>
      <w:color w:val="272727" w:themeColor="text1" w:themeTint="D8"/>
    </w:rPr>
  </w:style>
  <w:style w:type="paragraph" w:styleId="Title">
    <w:name w:val="Title"/>
    <w:basedOn w:val="Normal"/>
    <w:next w:val="Normal"/>
    <w:link w:val="TitleChar"/>
    <w:uiPriority w:val="10"/>
    <w:qFormat/>
    <w:rsid w:val="007269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69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69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69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696F"/>
    <w:pPr>
      <w:spacing w:before="160"/>
      <w:jc w:val="center"/>
    </w:pPr>
    <w:rPr>
      <w:i/>
      <w:iCs/>
      <w:color w:val="404040" w:themeColor="text1" w:themeTint="BF"/>
    </w:rPr>
  </w:style>
  <w:style w:type="character" w:customStyle="1" w:styleId="QuoteChar">
    <w:name w:val="Quote Char"/>
    <w:basedOn w:val="DefaultParagraphFont"/>
    <w:link w:val="Quote"/>
    <w:uiPriority w:val="29"/>
    <w:rsid w:val="0072696F"/>
    <w:rPr>
      <w:i/>
      <w:iCs/>
      <w:color w:val="404040" w:themeColor="text1" w:themeTint="BF"/>
    </w:rPr>
  </w:style>
  <w:style w:type="paragraph" w:styleId="ListParagraph">
    <w:name w:val="List Paragraph"/>
    <w:basedOn w:val="Normal"/>
    <w:uiPriority w:val="34"/>
    <w:qFormat/>
    <w:rsid w:val="0072696F"/>
    <w:pPr>
      <w:ind w:left="720"/>
      <w:contextualSpacing/>
    </w:pPr>
  </w:style>
  <w:style w:type="character" w:styleId="IntenseEmphasis">
    <w:name w:val="Intense Emphasis"/>
    <w:basedOn w:val="DefaultParagraphFont"/>
    <w:uiPriority w:val="21"/>
    <w:qFormat/>
    <w:rsid w:val="0072696F"/>
    <w:rPr>
      <w:i/>
      <w:iCs/>
      <w:color w:val="0F4761" w:themeColor="accent1" w:themeShade="BF"/>
    </w:rPr>
  </w:style>
  <w:style w:type="paragraph" w:styleId="IntenseQuote">
    <w:name w:val="Intense Quote"/>
    <w:basedOn w:val="Normal"/>
    <w:next w:val="Normal"/>
    <w:link w:val="IntenseQuoteChar"/>
    <w:uiPriority w:val="30"/>
    <w:qFormat/>
    <w:rsid w:val="007269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696F"/>
    <w:rPr>
      <w:i/>
      <w:iCs/>
      <w:color w:val="0F4761" w:themeColor="accent1" w:themeShade="BF"/>
    </w:rPr>
  </w:style>
  <w:style w:type="character" w:styleId="IntenseReference">
    <w:name w:val="Intense Reference"/>
    <w:basedOn w:val="DefaultParagraphFont"/>
    <w:uiPriority w:val="32"/>
    <w:qFormat/>
    <w:rsid w:val="0072696F"/>
    <w:rPr>
      <w:b/>
      <w:bCs/>
      <w:smallCaps/>
      <w:color w:val="0F4761" w:themeColor="accent1" w:themeShade="BF"/>
      <w:spacing w:val="5"/>
    </w:rPr>
  </w:style>
  <w:style w:type="paragraph" w:styleId="Footer">
    <w:name w:val="footer"/>
    <w:basedOn w:val="Normal"/>
    <w:link w:val="FooterChar"/>
    <w:uiPriority w:val="99"/>
    <w:unhideWhenUsed/>
    <w:rsid w:val="007269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696F"/>
    <w:rPr>
      <w:lang w:val="zh-CN"/>
    </w:rPr>
  </w:style>
  <w:style w:type="paragraph" w:styleId="Header">
    <w:name w:val="header"/>
    <w:basedOn w:val="Normal"/>
    <w:link w:val="HeaderChar"/>
    <w:unhideWhenUsed/>
    <w:rsid w:val="0072696F"/>
    <w:pPr>
      <w:tabs>
        <w:tab w:val="center" w:pos="4513"/>
        <w:tab w:val="right" w:pos="9026"/>
      </w:tabs>
      <w:spacing w:after="0" w:line="240" w:lineRule="auto"/>
    </w:pPr>
  </w:style>
  <w:style w:type="character" w:customStyle="1" w:styleId="HeaderChar">
    <w:name w:val="Header Char"/>
    <w:basedOn w:val="DefaultParagraphFont"/>
    <w:link w:val="Header"/>
    <w:rsid w:val="0072696F"/>
    <w:rPr>
      <w:lang w:val="zh-CN"/>
    </w:rPr>
  </w:style>
  <w:style w:type="paragraph" w:styleId="NormalWeb">
    <w:name w:val="Normal (Web)"/>
    <w:uiPriority w:val="99"/>
    <w:unhideWhenUsed/>
    <w:rsid w:val="0072696F"/>
    <w:pPr>
      <w:spacing w:beforeAutospacing="1" w:after="0" w:afterAutospacing="1"/>
    </w:pPr>
    <w:rPr>
      <w:rFonts w:ascii="Times New Roman" w:eastAsia="SimSun" w:hAnsi="Times New Roman" w:cs="Times New Roman"/>
      <w:sz w:val="24"/>
      <w:szCs w:val="24"/>
      <w:lang w:val="en-US" w:eastAsia="zh-CN"/>
    </w:rPr>
  </w:style>
  <w:style w:type="character" w:styleId="Hyperlink">
    <w:name w:val="Hyperlink"/>
    <w:basedOn w:val="DefaultParagraphFont"/>
    <w:uiPriority w:val="99"/>
    <w:rsid w:val="0072696F"/>
    <w:rPr>
      <w:color w:val="0563C1"/>
      <w:u w:val="single"/>
    </w:rPr>
  </w:style>
  <w:style w:type="table" w:styleId="TableGrid">
    <w:name w:val="Table Grid"/>
    <w:basedOn w:val="TableNormal"/>
    <w:uiPriority w:val="39"/>
    <w:qFormat/>
    <w:rsid w:val="0072696F"/>
    <w:pPr>
      <w:spacing w:after="0" w:line="240" w:lineRule="auto"/>
    </w:pPr>
    <w:rPr>
      <w:rFonts w:ascii="Calibri" w:eastAsia="Calibri" w:hAnsi="Calibri" w:cs="SimSun"/>
      <w:kern w:val="2"/>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72696F"/>
    <w:pPr>
      <w:ind w:left="720"/>
      <w:contextualSpacing/>
    </w:pPr>
  </w:style>
  <w:style w:type="paragraph" w:customStyle="1" w:styleId="NoSpacing1">
    <w:name w:val="No Spacing1"/>
    <w:link w:val="NoSpacingChar"/>
    <w:uiPriority w:val="1"/>
    <w:qFormat/>
    <w:rsid w:val="0072696F"/>
    <w:pPr>
      <w:spacing w:after="0" w:line="240" w:lineRule="auto"/>
    </w:pPr>
    <w:rPr>
      <w:rFonts w:ascii="Calibri" w:eastAsia="Calibri" w:hAnsi="Calibri" w:cs="Times New Roman"/>
      <w:lang w:val="en-US"/>
    </w:rPr>
  </w:style>
  <w:style w:type="character" w:customStyle="1" w:styleId="NoSpacingChar">
    <w:name w:val="No Spacing Char"/>
    <w:link w:val="NoSpacing1"/>
    <w:uiPriority w:val="1"/>
    <w:rsid w:val="0072696F"/>
    <w:rPr>
      <w:rFonts w:ascii="Calibri" w:eastAsia="Calibri" w:hAnsi="Calibri" w:cs="Times New Roman"/>
      <w:lang w:val="en-US"/>
    </w:rPr>
  </w:style>
  <w:style w:type="paragraph" w:customStyle="1" w:styleId="Default">
    <w:name w:val="Default"/>
    <w:qFormat/>
    <w:rsid w:val="0072696F"/>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table" w:customStyle="1" w:styleId="TableGrid0">
    <w:name w:val="TableGrid"/>
    <w:rsid w:val="0072696F"/>
    <w:pPr>
      <w:spacing w:after="0" w:line="240" w:lineRule="auto"/>
    </w:pPr>
    <w:rPr>
      <w:rFonts w:ascii="Times New Roman" w:eastAsiaTheme="minorEastAsia" w:hAnsi="Times New Roman" w:cs="Times New Roman"/>
      <w:sz w:val="20"/>
      <w:szCs w:val="20"/>
      <w:lang w:val="en-US" w:eastAsia="zh-CN"/>
    </w:rPr>
    <w:tblPr>
      <w:tblCellMar>
        <w:top w:w="0" w:type="dxa"/>
        <w:left w:w="0" w:type="dxa"/>
        <w:bottom w:w="0" w:type="dxa"/>
        <w:right w:w="0" w:type="dxa"/>
      </w:tblCellMar>
    </w:tblPr>
  </w:style>
  <w:style w:type="paragraph" w:styleId="BodyText">
    <w:name w:val="Body Text"/>
    <w:basedOn w:val="Normal"/>
    <w:link w:val="BodyTextChar"/>
    <w:uiPriority w:val="1"/>
    <w:qFormat/>
    <w:rsid w:val="0072696F"/>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72696F"/>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72696F"/>
    <w:rPr>
      <w:b/>
      <w:bCs/>
    </w:rPr>
  </w:style>
  <w:style w:type="character" w:styleId="Emphasis">
    <w:name w:val="Emphasis"/>
    <w:basedOn w:val="DefaultParagraphFont"/>
    <w:uiPriority w:val="20"/>
    <w:qFormat/>
    <w:rsid w:val="0072696F"/>
    <w:rPr>
      <w:i/>
      <w:iCs/>
    </w:rPr>
  </w:style>
  <w:style w:type="character" w:styleId="FollowedHyperlink">
    <w:name w:val="FollowedHyperlink"/>
    <w:basedOn w:val="DefaultParagraphFont"/>
    <w:uiPriority w:val="99"/>
    <w:semiHidden/>
    <w:unhideWhenUsed/>
    <w:rsid w:val="0072696F"/>
    <w:rPr>
      <w:color w:val="954F72"/>
      <w:u w:val="single"/>
    </w:rPr>
  </w:style>
  <w:style w:type="paragraph" w:customStyle="1" w:styleId="msonormal0">
    <w:name w:val="msonormal"/>
    <w:basedOn w:val="Normal"/>
    <w:rsid w:val="0072696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5">
    <w:name w:val="xl65"/>
    <w:basedOn w:val="Normal"/>
    <w:rsid w:val="0072696F"/>
    <w:pPr>
      <w:spacing w:before="100" w:beforeAutospacing="1" w:after="100" w:afterAutospacing="1" w:line="240" w:lineRule="auto"/>
      <w:textAlignment w:val="bottom"/>
    </w:pPr>
    <w:rPr>
      <w:rFonts w:ascii="Times New Roman" w:eastAsia="Times New Roman" w:hAnsi="Times New Roman" w:cs="Times New Roman"/>
      <w:color w:val="000000"/>
      <w:sz w:val="24"/>
      <w:szCs w:val="24"/>
      <w:lang w:val="en-US"/>
    </w:rPr>
  </w:style>
  <w:style w:type="paragraph" w:customStyle="1" w:styleId="xl66">
    <w:name w:val="xl66"/>
    <w:basedOn w:val="Normal"/>
    <w:rsid w:val="0072696F"/>
    <w:pPr>
      <w:spacing w:before="100" w:beforeAutospacing="1" w:after="100" w:afterAutospacing="1" w:line="240" w:lineRule="auto"/>
      <w:textAlignment w:val="bottom"/>
    </w:pPr>
    <w:rPr>
      <w:rFonts w:ascii="Times New Roman" w:eastAsia="Times New Roman" w:hAnsi="Times New Roman" w:cs="Times New Roman"/>
      <w:color w:val="000000"/>
      <w:sz w:val="24"/>
      <w:szCs w:val="24"/>
      <w:lang w:val="en-US"/>
    </w:rPr>
  </w:style>
  <w:style w:type="paragraph" w:customStyle="1" w:styleId="xl67">
    <w:name w:val="xl67"/>
    <w:basedOn w:val="Normal"/>
    <w:rsid w:val="0072696F"/>
    <w:pPr>
      <w:spacing w:before="100" w:beforeAutospacing="1" w:after="100" w:afterAutospacing="1" w:line="240" w:lineRule="auto"/>
      <w:textAlignment w:val="bottom"/>
    </w:pPr>
    <w:rPr>
      <w:rFonts w:ascii="Times New Roman" w:eastAsia="Times New Roman" w:hAnsi="Times New Roman" w:cs="Times New Roman"/>
      <w:color w:val="000000"/>
      <w:sz w:val="24"/>
      <w:szCs w:val="24"/>
      <w:lang w:val="en-US"/>
    </w:rPr>
  </w:style>
  <w:style w:type="paragraph" w:customStyle="1" w:styleId="xl68">
    <w:name w:val="xl68"/>
    <w:basedOn w:val="Normal"/>
    <w:rsid w:val="0072696F"/>
    <w:pPr>
      <w:spacing w:before="100" w:beforeAutospacing="1" w:after="100" w:afterAutospacing="1" w:line="240" w:lineRule="auto"/>
      <w:textAlignment w:val="bottom"/>
    </w:pPr>
    <w:rPr>
      <w:rFonts w:ascii="Times New Roman" w:eastAsia="Times New Roman" w:hAnsi="Times New Roman" w:cs="Times New Roman"/>
      <w:color w:val="000000"/>
      <w:sz w:val="24"/>
      <w:szCs w:val="24"/>
      <w:lang w:val="en-US"/>
    </w:rPr>
  </w:style>
  <w:style w:type="paragraph" w:customStyle="1" w:styleId="xl70">
    <w:name w:val="xl70"/>
    <w:basedOn w:val="Normal"/>
    <w:rsid w:val="0072696F"/>
    <w:pPr>
      <w:spacing w:before="100" w:beforeAutospacing="1" w:after="100" w:afterAutospacing="1" w:line="240" w:lineRule="auto"/>
      <w:textAlignment w:val="bottom"/>
    </w:pPr>
    <w:rPr>
      <w:rFonts w:ascii="Calibri" w:eastAsia="Times New Roman" w:hAnsi="Calibri" w:cs="Calibri"/>
      <w:color w:val="000000"/>
      <w:sz w:val="24"/>
      <w:szCs w:val="24"/>
      <w:lang w:val="en-US"/>
    </w:rPr>
  </w:style>
  <w:style w:type="paragraph" w:styleId="BalloonText">
    <w:name w:val="Balloon Text"/>
    <w:basedOn w:val="Normal"/>
    <w:link w:val="BalloonTextChar"/>
    <w:uiPriority w:val="99"/>
    <w:semiHidden/>
    <w:unhideWhenUsed/>
    <w:rsid w:val="007269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696F"/>
    <w:rPr>
      <w:rFonts w:ascii="Tahoma" w:hAnsi="Tahoma" w:cs="Tahoma"/>
      <w:sz w:val="16"/>
      <w:szCs w:val="16"/>
      <w:lang w:val="zh-CN"/>
    </w:rPr>
  </w:style>
  <w:style w:type="numbering" w:customStyle="1" w:styleId="NoList1">
    <w:name w:val="No List1"/>
    <w:next w:val="NoList"/>
    <w:uiPriority w:val="99"/>
    <w:semiHidden/>
    <w:unhideWhenUsed/>
    <w:rsid w:val="0072696F"/>
  </w:style>
  <w:style w:type="character" w:styleId="UnresolvedMention">
    <w:name w:val="Unresolved Mention"/>
    <w:basedOn w:val="DefaultParagraphFont"/>
    <w:uiPriority w:val="99"/>
    <w:semiHidden/>
    <w:unhideWhenUsed/>
    <w:rsid w:val="0072696F"/>
    <w:rPr>
      <w:color w:val="605E5C"/>
      <w:shd w:val="clear" w:color="auto" w:fill="E1DFDD"/>
    </w:rPr>
  </w:style>
  <w:style w:type="paragraph" w:customStyle="1" w:styleId="Normal1">
    <w:name w:val="Normal1"/>
    <w:rsid w:val="005E312C"/>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324196">
      <w:bodyDiv w:val="1"/>
      <w:marLeft w:val="0"/>
      <w:marRight w:val="0"/>
      <w:marTop w:val="0"/>
      <w:marBottom w:val="0"/>
      <w:divBdr>
        <w:top w:val="none" w:sz="0" w:space="0" w:color="auto"/>
        <w:left w:val="none" w:sz="0" w:space="0" w:color="auto"/>
        <w:bottom w:val="none" w:sz="0" w:space="0" w:color="auto"/>
        <w:right w:val="none" w:sz="0" w:space="0" w:color="auto"/>
      </w:divBdr>
    </w:div>
    <w:div w:id="441342989">
      <w:bodyDiv w:val="1"/>
      <w:marLeft w:val="0"/>
      <w:marRight w:val="0"/>
      <w:marTop w:val="0"/>
      <w:marBottom w:val="0"/>
      <w:divBdr>
        <w:top w:val="none" w:sz="0" w:space="0" w:color="auto"/>
        <w:left w:val="none" w:sz="0" w:space="0" w:color="auto"/>
        <w:bottom w:val="none" w:sz="0" w:space="0" w:color="auto"/>
        <w:right w:val="none" w:sz="0" w:space="0" w:color="auto"/>
      </w:divBdr>
    </w:div>
    <w:div w:id="913709994">
      <w:bodyDiv w:val="1"/>
      <w:marLeft w:val="0"/>
      <w:marRight w:val="0"/>
      <w:marTop w:val="0"/>
      <w:marBottom w:val="0"/>
      <w:divBdr>
        <w:top w:val="none" w:sz="0" w:space="0" w:color="auto"/>
        <w:left w:val="none" w:sz="0" w:space="0" w:color="auto"/>
        <w:bottom w:val="none" w:sz="0" w:space="0" w:color="auto"/>
        <w:right w:val="none" w:sz="0" w:space="0" w:color="auto"/>
      </w:divBdr>
    </w:div>
    <w:div w:id="1335766685">
      <w:bodyDiv w:val="1"/>
      <w:marLeft w:val="0"/>
      <w:marRight w:val="0"/>
      <w:marTop w:val="0"/>
      <w:marBottom w:val="0"/>
      <w:divBdr>
        <w:top w:val="none" w:sz="0" w:space="0" w:color="auto"/>
        <w:left w:val="none" w:sz="0" w:space="0" w:color="auto"/>
        <w:bottom w:val="none" w:sz="0" w:space="0" w:color="auto"/>
        <w:right w:val="none" w:sz="0" w:space="0" w:color="auto"/>
      </w:divBdr>
    </w:div>
    <w:div w:id="1860465789">
      <w:bodyDiv w:val="1"/>
      <w:marLeft w:val="0"/>
      <w:marRight w:val="0"/>
      <w:marTop w:val="0"/>
      <w:marBottom w:val="0"/>
      <w:divBdr>
        <w:top w:val="none" w:sz="0" w:space="0" w:color="auto"/>
        <w:left w:val="none" w:sz="0" w:space="0" w:color="auto"/>
        <w:bottom w:val="none" w:sz="0" w:space="0" w:color="auto"/>
        <w:right w:val="none" w:sz="0" w:space="0" w:color="auto"/>
      </w:divBdr>
    </w:div>
    <w:div w:id="196007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jiras.org/article/ART1743452528" TargetMode="External"/><Relationship Id="rId18" Type="http://schemas.openxmlformats.org/officeDocument/2006/relationships/hyperlink" Target="https://www.researchgate.net/publication/368392751_Audit_Committee_Attributes_and_Qualitative_Financial_Reporting_Implication_for_Nigerian_Banking_Sector" TargetMode="External"/><Relationship Id="rId26" Type="http://schemas.openxmlformats.org/officeDocument/2006/relationships/hyperlink" Target="https://doi.org/10.2307/2297111" TargetMode="External"/><Relationship Id="rId39" Type="http://schemas.openxmlformats.org/officeDocument/2006/relationships/hyperlink" Target="https://www.ifrs.org/issued-standards/ifrs-sustainability-standards-navigator/ifrs-s1-general-requirements/" TargetMode="External"/><Relationship Id="rId21" Type="http://schemas.openxmlformats.org/officeDocument/2006/relationships/hyperlink" Target="https://doi.org/10.26668/businessreview/2023.v8i3.1331" TargetMode="External"/><Relationship Id="rId34" Type="http://schemas.openxmlformats.org/officeDocument/2006/relationships/hyperlink" Target="https://doi.org/10.56201/jbae.v9.no3.2023.pg39.55" TargetMode="External"/><Relationship Id="rId42" Type="http://schemas.openxmlformats.org/officeDocument/2006/relationships/hyperlink" Target="https://doi.org/10.47772/IJRISS.2025.908000342" TargetMode="External"/><Relationship Id="rId47" Type="http://schemas.openxmlformats.org/officeDocument/2006/relationships/hyperlink" Target="https://doi.org/10.33003/fujafr-2023.v1i2.26.33-50" TargetMode="External"/><Relationship Id="rId50" Type="http://schemas.openxmlformats.org/officeDocument/2006/relationships/hyperlink" Target="https://doi.org/10.22067/ijaaf.2025.45230.1441" TargetMode="External"/><Relationship Id="rId55"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70382/hijbems.v09i7.063" TargetMode="External"/><Relationship Id="rId29" Type="http://schemas.openxmlformats.org/officeDocument/2006/relationships/hyperlink" Target="https://doi.org/10.14445/23939125/IJEMS-V7I1P107" TargetMode="External"/><Relationship Id="rId11" Type="http://schemas.openxmlformats.org/officeDocument/2006/relationships/header" Target="header3.xml"/><Relationship Id="rId24" Type="http://schemas.openxmlformats.org/officeDocument/2006/relationships/hyperlink" Target="https://www.abacademies.org/articles/determinants-of-financial-reporting-quality-evidence-from-listed-industrial-goods-firms-in-nigeria-14281.html" TargetMode="External"/><Relationship Id="rId32" Type="http://schemas.openxmlformats.org/officeDocument/2006/relationships/hyperlink" Target="https://journals.unizik.edu.ng/joga/article/view/2326" TargetMode="External"/><Relationship Id="rId37" Type="http://schemas.openxmlformats.org/officeDocument/2006/relationships/hyperlink" Target="https://www.globalreporting.org/standards/" TargetMode="External"/><Relationship Id="rId40" Type="http://schemas.openxmlformats.org/officeDocument/2006/relationships/hyperlink" Target="https://doi.org/10.1016/0304-405X(76)90026-X" TargetMode="External"/><Relationship Id="rId45" Type="http://schemas.openxmlformats.org/officeDocument/2006/relationships/hyperlink" Target="https://www.abacademies.org/articles/the-effects-of-sustainability-disclosure-on-the-quality-of-financial-reports-in-saudi-business-environment-8693.html" TargetMode="External"/><Relationship Id="rId53" Type="http://schemas.openxmlformats.org/officeDocument/2006/relationships/hyperlink" Target="https://doi.org/10.1108/AJAR-04-2023-0112" TargetMode="External"/><Relationship Id="rId5" Type="http://schemas.openxmlformats.org/officeDocument/2006/relationships/footnotes" Target="footnotes.xml"/><Relationship Id="rId10" Type="http://schemas.openxmlformats.org/officeDocument/2006/relationships/footer" Target="footer2.xml"/><Relationship Id="rId19" Type="http://schemas.openxmlformats.org/officeDocument/2006/relationships/hyperlink" Target="https://doi.org/10.3390/su16167100" TargetMode="External"/><Relationship Id="rId31" Type="http://schemas.openxmlformats.org/officeDocument/2006/relationships/hyperlink" Target="https://doi.org/10.1016/j.jacceco.2010.09.001" TargetMode="External"/><Relationship Id="rId44" Type="http://schemas.openxmlformats.org/officeDocument/2006/relationships/hyperlink" Target="https://doi.org/10.1002/jcaf.70023" TargetMode="External"/><Relationship Id="rId52" Type="http://schemas.openxmlformats.org/officeDocument/2006/relationships/hyperlink" Target="https://www.femsbukjournals.org.ng/bjf/article/determinants-of-transparency-and-the-financial-reporting-quality-of-nigeria-listed-firms"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journals.unizik.edu.ng/joga/article/view/4157" TargetMode="External"/><Relationship Id="rId22" Type="http://schemas.openxmlformats.org/officeDocument/2006/relationships/hyperlink" Target="https://ijafar.com.ng/index.php/ijafar/article/view/40" TargetMode="External"/><Relationship Id="rId27" Type="http://schemas.openxmlformats.org/officeDocument/2006/relationships/hyperlink" Target="https://doi.org/10.9734/ajeba/2025/v25i21673" TargetMode="External"/><Relationship Id="rId30" Type="http://schemas.openxmlformats.org/officeDocument/2006/relationships/hyperlink" Target="https://doi.org/10.1016/0165-4101(81)90002-1" TargetMode="External"/><Relationship Id="rId35" Type="http://schemas.openxmlformats.org/officeDocument/2006/relationships/hyperlink" Target="https://doi.org/10.56201/ijbfr.v11.no1.2025.pg1.19" TargetMode="External"/><Relationship Id="rId43" Type="http://schemas.openxmlformats.org/officeDocument/2006/relationships/hyperlink" Target="https://doi.org/10.1111/1911-3846.12113" TargetMode="External"/><Relationship Id="rId48" Type="http://schemas.openxmlformats.org/officeDocument/2006/relationships/hyperlink" Target="https://journals.kiu.ac.ug/kijhus/article/kj0002y02dfc/kijhus-106-determinants-of-financial-reporting-quality-in-nigeria-non-financial-institutions-2010-2018" TargetMode="External"/><Relationship Id="rId56" Type="http://schemas.openxmlformats.org/officeDocument/2006/relationships/theme" Target="theme/theme1.xml"/><Relationship Id="rId8" Type="http://schemas.openxmlformats.org/officeDocument/2006/relationships/header" Target="header2.xml"/><Relationship Id="rId51" Type="http://schemas.openxmlformats.org/officeDocument/2006/relationships/hyperlink" Target="https://doi.org/10.1007/978-0-387-25771-6" TargetMode="Externa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yperlink" Target="https://doi.org/10.56201/jafm.v10.no8.2024.pg142.165" TargetMode="External"/><Relationship Id="rId25" Type="http://schemas.openxmlformats.org/officeDocument/2006/relationships/hyperlink" Target="https://doi.org/10.1080/23311975.2022.2127194" TargetMode="External"/><Relationship Id="rId33" Type="http://schemas.openxmlformats.org/officeDocument/2006/relationships/hyperlink" Target="https://doi.org/10.1108/SAMPJ-06-2020-0185" TargetMode="External"/><Relationship Id="rId38" Type="http://schemas.openxmlformats.org/officeDocument/2006/relationships/hyperlink" Target="https://www.ifrs.org/projects/completed-projects/2018/conceptual-framework/" TargetMode="External"/><Relationship Id="rId46" Type="http://schemas.openxmlformats.org/officeDocument/2006/relationships/hyperlink" Target="https://doi.org/10.26714/mki.15.2.2025.157-169" TargetMode="External"/><Relationship Id="rId20" Type="http://schemas.openxmlformats.org/officeDocument/2006/relationships/hyperlink" Target="https://doi.org/10.5430/ijfr.v12n2p93" TargetMode="External"/><Relationship Id="rId41" Type="http://schemas.openxmlformats.org/officeDocument/2006/relationships/hyperlink" Target="https://doi.org/10.56557/arjocs/2025/v7i1159" TargetMode="External"/><Relationship Id="rId54" Type="http://schemas.openxmlformats.org/officeDocument/2006/relationships/hyperlink" Target="https://doi.org/10.18196/jai.v26i1.25426"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2139/ssrn.4950387" TargetMode="External"/><Relationship Id="rId23" Type="http://schemas.openxmlformats.org/officeDocument/2006/relationships/hyperlink" Target="https://journals.unilag.edu.ng/index.php/LJBFEI/article/download/2553/2061/" TargetMode="External"/><Relationship Id="rId28" Type="http://schemas.openxmlformats.org/officeDocument/2006/relationships/hyperlink" Target="https://doi.org/10.1016/j.jimonfin.2025.103323" TargetMode="External"/><Relationship Id="rId36" Type="http://schemas.openxmlformats.org/officeDocument/2006/relationships/hyperlink" Target="https://doi.org/10.56201/jafm.vol.11.no2.2025.pg145.159" TargetMode="External"/><Relationship Id="rId49" Type="http://schemas.openxmlformats.org/officeDocument/2006/relationships/hyperlink" Target="https://www.researchgate.net/publication/390694545_Sustainability_Information_Disclosure_and_Financial_Reporting_Quality_of_Listed_Non-Financial_Firms_in_Nige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23</Pages>
  <Words>8044</Words>
  <Characters>45854</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dorathyakpan@aksu.edu.ng</dc:creator>
  <cp:keywords/>
  <dc:description/>
  <cp:lastModifiedBy>SDI CPU 1117</cp:lastModifiedBy>
  <cp:revision>19</cp:revision>
  <dcterms:created xsi:type="dcterms:W3CDTF">2026-09-03T03:59:00Z</dcterms:created>
  <dcterms:modified xsi:type="dcterms:W3CDTF">2026-10-12T12:35:00Z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f8dbc38e-d7a3-4cfd-9a04-1ad50b4d2e8b</vt:lpwstr>
  </property>
</Properties>
</file>