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F2F81" w14:textId="77777777" w:rsidR="005867C7" w:rsidRPr="005C337E" w:rsidRDefault="004456DF" w:rsidP="005867C7">
      <w:pPr>
        <w:pStyle w:val="NoSpacing"/>
        <w:rPr>
          <w:rFonts w:ascii="Times New Roman" w:hAnsi="Times New Roman" w:cs="Times New Roman"/>
          <w:b/>
          <w:bCs/>
          <w:sz w:val="28"/>
          <w:szCs w:val="28"/>
        </w:rPr>
      </w:pPr>
      <w:r w:rsidRPr="005C337E">
        <w:rPr>
          <w:rFonts w:ascii="Times New Roman" w:hAnsi="Times New Roman" w:cs="Times New Roman"/>
          <w:b/>
          <w:bCs/>
          <w:sz w:val="28"/>
          <w:szCs w:val="28"/>
        </w:rPr>
        <w:t>Macroeconomic Drivers Shaping Foreign Direct Investment in Kenya: Evidence from Time-Series Analysis</w:t>
      </w:r>
    </w:p>
    <w:p w14:paraId="6FFE3290" w14:textId="77777777" w:rsidR="005867C7" w:rsidRPr="005C337E" w:rsidRDefault="005867C7" w:rsidP="005867C7">
      <w:pPr>
        <w:spacing w:after="0" w:line="240" w:lineRule="auto"/>
        <w:jc w:val="both"/>
        <w:rPr>
          <w:rFonts w:ascii="Times New Roman" w:hAnsi="Times New Roman" w:cs="Times New Roman"/>
        </w:rPr>
      </w:pPr>
    </w:p>
    <w:p w14:paraId="05E6C231" w14:textId="77777777" w:rsidR="00A059D0" w:rsidRPr="005C337E" w:rsidRDefault="00A059D0" w:rsidP="00A059D0">
      <w:pPr>
        <w:spacing w:after="0"/>
        <w:jc w:val="both"/>
        <w:rPr>
          <w:rFonts w:ascii="Times New Roman" w:hAnsi="Times New Roman" w:cs="Times New Roman"/>
          <w:b/>
          <w:bCs/>
        </w:rPr>
      </w:pPr>
      <w:r w:rsidRPr="005C337E">
        <w:rPr>
          <w:rFonts w:ascii="Times New Roman" w:hAnsi="Times New Roman" w:cs="Times New Roman"/>
          <w:b/>
          <w:bCs/>
          <w:sz w:val="28"/>
          <w:szCs w:val="28"/>
        </w:rPr>
        <w:t>Abstract</w:t>
      </w:r>
    </w:p>
    <w:p w14:paraId="00B4794B"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Introduction: </w:t>
      </w:r>
      <w:r w:rsidRPr="005C337E">
        <w:rPr>
          <w:rFonts w:ascii="Times New Roman" w:hAnsi="Times New Roman" w:cs="Times New Roman"/>
          <w:lang w:val="en-US"/>
        </w:rPr>
        <w:t>Foreign direct investment (FDI) is a vital source of external finance for developing economies, yet Kenya has experienced marked fluctuations in FDI inflows over time. Understanding the core macroeconomic drivers shaping foreign capital flows is essential for enhancing Kenya’s competitiveness and investment attractiveness.</w:t>
      </w:r>
    </w:p>
    <w:p w14:paraId="269DDB29"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Methods: </w:t>
      </w:r>
      <w:r w:rsidRPr="005C337E">
        <w:rPr>
          <w:rFonts w:ascii="Times New Roman" w:hAnsi="Times New Roman" w:cs="Times New Roman"/>
          <w:lang w:val="en-US"/>
        </w:rPr>
        <w:t xml:space="preserve">This study evaluated the effects of real interest rate, inflation, economic growth, exchange rate, and exogenous structural disruptions on inward foreign direct investment (FDI) in Kenya using annual time-series data from 1966 to 2019 (N = 54). Phillips-Perron unit-root tests confirmed a mixed integration profile of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0) and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1) series with no </w:t>
      </w:r>
      <w:r w:rsidR="00C71CDF" w:rsidRPr="005C337E">
        <w:rPr>
          <w:rFonts w:ascii="Times New Roman" w:hAnsi="Times New Roman" w:cs="Times New Roman"/>
          <w:lang w:val="en-US"/>
        </w:rPr>
        <w:t>I (</w:t>
      </w:r>
      <w:r w:rsidRPr="005C337E">
        <w:rPr>
          <w:rFonts w:ascii="Times New Roman" w:hAnsi="Times New Roman" w:cs="Times New Roman"/>
          <w:lang w:val="en-US"/>
        </w:rPr>
        <w:t xml:space="preserve">2) variables present, validating the use of an Autoregressive Distributed Lag (ARDL) Bounds Testing approach under an ARDL (1, 1, 0, 1, 0) specification selected via the Akaike Information Criterion (AIC). Cointegration was evaluated using the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Shin, and Smith bounds test under an unrestricted intercept and no trend deterministic specification (k = 5). Dynamic short-run error-correction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Granger causality testing, and post-estimation diagnostic checking</w:t>
      </w:r>
      <w:r w:rsidR="00C71CDF" w:rsidRPr="005C337E">
        <w:rPr>
          <w:rFonts w:ascii="Times New Roman" w:hAnsi="Times New Roman" w:cs="Times New Roman"/>
          <w:lang w:val="en-US"/>
        </w:rPr>
        <w:t xml:space="preserve">, </w:t>
      </w:r>
      <w:r w:rsidRPr="005C337E">
        <w:rPr>
          <w:rFonts w:ascii="Times New Roman" w:hAnsi="Times New Roman" w:cs="Times New Roman"/>
          <w:lang w:val="en-US"/>
        </w:rPr>
        <w:t>including Breusch-Godfrey serial correlation, ARCH heteroscedasticity, Jarque-Bera normality, Ramsey RESET functional form, and CUSUM/CUSUMSQ parameter stability tests</w:t>
      </w:r>
      <w:r w:rsidR="00C71CDF" w:rsidRPr="005C337E">
        <w:rPr>
          <w:rFonts w:ascii="Times New Roman" w:hAnsi="Times New Roman" w:cs="Times New Roman"/>
          <w:lang w:val="en-US"/>
        </w:rPr>
        <w:t xml:space="preserve"> </w:t>
      </w:r>
      <w:r w:rsidRPr="005C337E">
        <w:rPr>
          <w:rFonts w:ascii="Times New Roman" w:hAnsi="Times New Roman" w:cs="Times New Roman"/>
          <w:lang w:val="en-US"/>
        </w:rPr>
        <w:t>were conducted to ensure robust model specification.</w:t>
      </w:r>
    </w:p>
    <w:p w14:paraId="10ED6E1E"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Results: </w:t>
      </w:r>
      <w:r w:rsidRPr="005C337E">
        <w:rPr>
          <w:rFonts w:ascii="Times New Roman" w:hAnsi="Times New Roman" w:cs="Times New Roman"/>
          <w:lang w:val="en-US"/>
        </w:rPr>
        <w:t>The ARDL bounds test confirmed a statistically significant long-run cointegrating relationship among the variables (F = 6.842, exceeding the 1% upper critical bound of 4.15). Long-run elasticity estimates established that economic growth exerted the primary positive effect on inward FDI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0.6845, p = 0.0000), followed by real interest rate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0.1872, p = 0.0279) and exchange rate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0.1534, p = 0.0208). Conversely, inflation (</w:t>
      </w:r>
      <w:r w:rsidR="00C71CDF" w:rsidRPr="005C337E">
        <w:rPr>
          <w:rFonts w:ascii="Times New Roman" w:hAnsi="Times New Roman" w:cs="Times New Roman"/>
          <w:lang w:val="en-US"/>
        </w:rPr>
        <w:t>β</w:t>
      </w:r>
      <w:r w:rsidRPr="005C337E">
        <w:rPr>
          <w:rFonts w:ascii="Times New Roman" w:hAnsi="Times New Roman" w:cs="Times New Roman"/>
          <w:lang w:val="en-US"/>
        </w:rPr>
        <w:t xml:space="preserve"> = -0.2856, p = 0.0161) and exogenous structural disruptions </w:t>
      </w:r>
      <w:r w:rsidR="00C71CDF" w:rsidRPr="005C337E">
        <w:rPr>
          <w:rFonts w:ascii="Times New Roman" w:hAnsi="Times New Roman" w:cs="Times New Roman"/>
          <w:lang w:val="en-US"/>
        </w:rPr>
        <w:t xml:space="preserve">(β </w:t>
      </w:r>
      <w:r w:rsidRPr="005C337E">
        <w:rPr>
          <w:rFonts w:ascii="Times New Roman" w:hAnsi="Times New Roman" w:cs="Times New Roman"/>
          <w:lang w:val="en-US"/>
        </w:rPr>
        <w:t>= -0.5210, p = 0.0084) exercised statistically significant negative impacts on capital inflows. Granger causality tests revealed unidirectional linkages running from exchange rate and economic growth to FDI. The error correction term (</w:t>
      </w:r>
      <m:oMath>
        <m:sSub>
          <m:sSubPr>
            <m:ctrlPr>
              <w:rPr>
                <w:rFonts w:ascii="Cambria Math" w:hAnsi="Cambria Math" w:cs="Times New Roman"/>
                <w:i/>
                <w:lang w:val="en-US"/>
              </w:rPr>
            </m:ctrlPr>
          </m:sSubPr>
          <m:e>
            <m:r>
              <w:rPr>
                <w:rFonts w:ascii="Cambria Math" w:hAnsi="Cambria Math" w:cs="Times New Roman"/>
                <w:lang w:val="en-US"/>
              </w:rPr>
              <m:t>ECT</m:t>
            </m:r>
          </m:e>
          <m:sub>
            <m:r>
              <w:rPr>
                <w:rFonts w:ascii="Cambria Math" w:hAnsi="Cambria Math" w:cs="Times New Roman"/>
                <w:lang w:val="en-US"/>
              </w:rPr>
              <m:t>t-1</m:t>
            </m:r>
          </m:sub>
        </m:sSub>
      </m:oMath>
      <w:r w:rsidRPr="005C337E">
        <w:rPr>
          <w:rFonts w:ascii="Times New Roman" w:hAnsi="Times New Roman" w:cs="Times New Roman"/>
          <w:lang w:val="en-US"/>
        </w:rPr>
        <w:t xml:space="preserve"> = -0.4265, p = 0.0000) proved that 42.65% of short-run disequilibria from external shocks are adjusted back </w:t>
      </w:r>
      <w:r w:rsidRPr="005C337E">
        <w:rPr>
          <w:rFonts w:ascii="Times New Roman" w:hAnsi="Times New Roman" w:cs="Times New Roman"/>
          <w:highlight w:val="yellow"/>
          <w:lang w:val="en-US"/>
        </w:rPr>
        <w:t xml:space="preserve">towards </w:t>
      </w:r>
      <w:r w:rsidRPr="005C337E">
        <w:rPr>
          <w:rFonts w:ascii="Times New Roman" w:hAnsi="Times New Roman" w:cs="Times New Roman"/>
          <w:lang w:val="en-US"/>
        </w:rPr>
        <w:t xml:space="preserve">long-run equilibrium annually. Comprehensive post-estimation diagnostics verified the empirical validity of the model, establishing an absence of serial correlation (Breusch-Godfrey F = 1.342, p = 0.2720), constant error variance (ARCH Test F = 0.815, p = 0.3710), normally distributed residuals (Jarque-Bera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p = 0.5760), correct functional specification (Ramsey RESET F = 0.489, p = 0.4880), and structural parameter stability via CUSUM and CUSUMSQ tests.</w:t>
      </w:r>
    </w:p>
    <w:p w14:paraId="7FA6390B"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t xml:space="preserve">Conclusion: </w:t>
      </w:r>
      <w:r w:rsidRPr="005C337E">
        <w:rPr>
          <w:rFonts w:ascii="Times New Roman" w:hAnsi="Times New Roman" w:cs="Times New Roman"/>
          <w:lang w:val="en-US"/>
        </w:rPr>
        <w:t>Inward FDI in Kenya is strongly anchored in host-country macroeconomic performance and institutional stability. Economic growth serves as the primary catalyst for market-seeking FDI, while inflation and structural disruptions remain critical deterrents.</w:t>
      </w:r>
    </w:p>
    <w:p w14:paraId="26E74FC6" w14:textId="77777777" w:rsidR="00022648" w:rsidRPr="005C337E" w:rsidRDefault="00022648" w:rsidP="00022648">
      <w:pPr>
        <w:spacing w:after="0"/>
        <w:jc w:val="both"/>
        <w:rPr>
          <w:rFonts w:ascii="Times New Roman" w:hAnsi="Times New Roman" w:cs="Times New Roman"/>
          <w:lang w:val="en-US"/>
        </w:rPr>
      </w:pPr>
      <w:r w:rsidRPr="005C337E">
        <w:rPr>
          <w:rFonts w:ascii="Times New Roman" w:hAnsi="Times New Roman" w:cs="Times New Roman"/>
          <w:b/>
          <w:bCs/>
          <w:lang w:val="en-US"/>
        </w:rPr>
        <w:lastRenderedPageBreak/>
        <w:t xml:space="preserve">Recommendations: </w:t>
      </w:r>
      <w:r w:rsidRPr="005C337E">
        <w:rPr>
          <w:rFonts w:ascii="Times New Roman" w:hAnsi="Times New Roman" w:cs="Times New Roman"/>
          <w:lang w:val="en-US"/>
        </w:rPr>
        <w:t xml:space="preserve">Policymakers should </w:t>
      </w:r>
      <w:r w:rsidRPr="005C337E">
        <w:rPr>
          <w:rFonts w:ascii="Times New Roman" w:hAnsi="Times New Roman" w:cs="Times New Roman"/>
          <w:highlight w:val="yellow"/>
          <w:lang w:val="en-US"/>
        </w:rPr>
        <w:t>prioritise</w:t>
      </w:r>
      <w:r w:rsidRPr="005C337E">
        <w:rPr>
          <w:rFonts w:ascii="Times New Roman" w:hAnsi="Times New Roman" w:cs="Times New Roman"/>
          <w:lang w:val="en-US"/>
        </w:rPr>
        <w:t xml:space="preserve"> sustained economic growth initiatives, maintain low and stable consumer price inflation, manage foreign exchange stability, and strengthen institutional frameworks to reduce macroeconomic volatility and attract foreign capital.</w:t>
      </w:r>
    </w:p>
    <w:p w14:paraId="12EC2909" w14:textId="77777777" w:rsidR="00C71CDF" w:rsidRPr="005C337E" w:rsidRDefault="00C71CDF" w:rsidP="00022648">
      <w:pPr>
        <w:spacing w:after="0"/>
        <w:jc w:val="both"/>
        <w:rPr>
          <w:rFonts w:ascii="Times New Roman" w:hAnsi="Times New Roman" w:cs="Times New Roman"/>
          <w:lang w:val="en-US"/>
        </w:rPr>
      </w:pPr>
    </w:p>
    <w:p w14:paraId="08EF0A66" w14:textId="77777777" w:rsidR="00022648" w:rsidRPr="005C337E" w:rsidRDefault="00022648" w:rsidP="00022648">
      <w:pPr>
        <w:spacing w:after="0"/>
        <w:jc w:val="both"/>
        <w:rPr>
          <w:rFonts w:ascii="Times New Roman" w:hAnsi="Times New Roman" w:cs="Times New Roman"/>
          <w:i/>
          <w:iCs/>
          <w:lang w:val="en-US"/>
        </w:rPr>
      </w:pPr>
      <w:r w:rsidRPr="005C337E">
        <w:rPr>
          <w:rFonts w:ascii="Times New Roman" w:hAnsi="Times New Roman" w:cs="Times New Roman"/>
          <w:b/>
          <w:bCs/>
          <w:lang w:val="en-US"/>
        </w:rPr>
        <w:t xml:space="preserve">Keywords: </w:t>
      </w:r>
      <w:r w:rsidRPr="005C337E">
        <w:rPr>
          <w:rFonts w:ascii="Times New Roman" w:hAnsi="Times New Roman" w:cs="Times New Roman"/>
          <w:i/>
          <w:iCs/>
          <w:lang w:val="en-US"/>
        </w:rPr>
        <w:t>Foreign direct investment; macroeconomic drivers; ARDL bounds testing; error correction model; post-estimation diagnostics; economic growth; exchange rate; Kenya.</w:t>
      </w:r>
    </w:p>
    <w:p w14:paraId="556EB382" w14:textId="77777777" w:rsidR="00BF4264" w:rsidRPr="005C337E" w:rsidRDefault="00BF4264" w:rsidP="00A059D0">
      <w:pPr>
        <w:spacing w:after="0"/>
        <w:jc w:val="both"/>
        <w:rPr>
          <w:rFonts w:ascii="Times New Roman" w:hAnsi="Times New Roman" w:cs="Times New Roman"/>
          <w:lang w:val="en-US"/>
        </w:rPr>
      </w:pPr>
    </w:p>
    <w:p w14:paraId="12E974DF" w14:textId="77777777" w:rsidR="00B37433" w:rsidRPr="005C337E" w:rsidRDefault="00B37433" w:rsidP="00A059D0">
      <w:pPr>
        <w:spacing w:after="0"/>
        <w:jc w:val="both"/>
        <w:rPr>
          <w:rFonts w:ascii="Times New Roman" w:hAnsi="Times New Roman" w:cs="Times New Roman"/>
          <w:b/>
          <w:bCs/>
        </w:rPr>
      </w:pPr>
      <w:r w:rsidRPr="005C337E">
        <w:rPr>
          <w:rFonts w:ascii="Times New Roman" w:hAnsi="Times New Roman" w:cs="Times New Roman"/>
          <w:b/>
          <w:bCs/>
        </w:rPr>
        <w:t>1. Introduction</w:t>
      </w:r>
    </w:p>
    <w:p w14:paraId="21353F0B" w14:textId="77777777" w:rsidR="00B37433" w:rsidRPr="005C337E" w:rsidRDefault="00B37433" w:rsidP="00A059D0">
      <w:pPr>
        <w:spacing w:after="0"/>
        <w:jc w:val="both"/>
        <w:rPr>
          <w:rFonts w:ascii="Times New Roman" w:hAnsi="Times New Roman" w:cs="Times New Roman"/>
        </w:rPr>
      </w:pPr>
      <w:r w:rsidRPr="005C337E">
        <w:rPr>
          <w:rFonts w:ascii="Times New Roman" w:hAnsi="Times New Roman" w:cs="Times New Roman"/>
        </w:rPr>
        <w:t>Foreign direct investment (FDI) is an important source of external finance for developing economies</w:t>
      </w:r>
      <w:r w:rsidR="002160A0" w:rsidRPr="005C337E">
        <w:rPr>
          <w:rFonts w:ascii="Times New Roman" w:hAnsi="Times New Roman" w:cs="Times New Roman"/>
        </w:rPr>
        <w:t xml:space="preserve"> (</w:t>
      </w:r>
      <w:r w:rsidR="002160A0" w:rsidRPr="005C337E">
        <w:rPr>
          <w:rFonts w:ascii="Times New Roman" w:hAnsi="Times New Roman" w:cs="Times New Roman"/>
          <w:color w:val="000000" w:themeColor="text1"/>
        </w:rPr>
        <w:t xml:space="preserve">Izadi &amp; </w:t>
      </w:r>
      <w:proofErr w:type="spellStart"/>
      <w:r w:rsidR="002160A0" w:rsidRPr="005C337E">
        <w:rPr>
          <w:rFonts w:ascii="Times New Roman" w:hAnsi="Times New Roman" w:cs="Times New Roman"/>
          <w:color w:val="000000" w:themeColor="text1"/>
        </w:rPr>
        <w:t>Madirimov</w:t>
      </w:r>
      <w:proofErr w:type="spellEnd"/>
      <w:r w:rsidR="002160A0" w:rsidRPr="005C337E">
        <w:rPr>
          <w:rFonts w:ascii="Times New Roman" w:hAnsi="Times New Roman" w:cs="Times New Roman"/>
          <w:color w:val="000000" w:themeColor="text1"/>
        </w:rPr>
        <w:t xml:space="preserve">, 2026). </w:t>
      </w:r>
      <w:r w:rsidRPr="005C337E">
        <w:rPr>
          <w:rFonts w:ascii="Times New Roman" w:hAnsi="Times New Roman" w:cs="Times New Roman"/>
        </w:rPr>
        <w:t xml:space="preserve"> It supplements domestic savings and investment and can contribute to economic development through capital accumulation, technology transfer, improved managerial efficiency, innovation, employment creation and export-led growth</w:t>
      </w:r>
      <w:r w:rsidR="002160A0" w:rsidRPr="005C337E">
        <w:rPr>
          <w:rFonts w:ascii="Times New Roman" w:hAnsi="Times New Roman" w:cs="Times New Roman"/>
        </w:rPr>
        <w:t xml:space="preserve"> (</w:t>
      </w:r>
      <w:r w:rsidR="002160A0" w:rsidRPr="005C337E">
        <w:rPr>
          <w:rFonts w:ascii="Times New Roman" w:hAnsi="Times New Roman" w:cs="Times New Roman"/>
          <w:color w:val="000000" w:themeColor="text1"/>
        </w:rPr>
        <w:t>Adelakun et al., 2025)</w:t>
      </w:r>
      <w:r w:rsidRPr="005C337E">
        <w:rPr>
          <w:rFonts w:ascii="Times New Roman" w:hAnsi="Times New Roman" w:cs="Times New Roman"/>
        </w:rPr>
        <w:t xml:space="preserve">. FDI can also improve foreign exchange reserves and the balance of payments of host countries (Pilarska, 2015; Kim, 2018). </w:t>
      </w:r>
    </w:p>
    <w:p w14:paraId="12C04D09" w14:textId="77777777" w:rsidR="00A059D0" w:rsidRPr="005C337E" w:rsidRDefault="00A059D0" w:rsidP="00A059D0">
      <w:pPr>
        <w:spacing w:after="0"/>
        <w:jc w:val="both"/>
        <w:rPr>
          <w:rFonts w:ascii="Times New Roman" w:hAnsi="Times New Roman" w:cs="Times New Roman"/>
        </w:rPr>
      </w:pPr>
    </w:p>
    <w:p w14:paraId="7658030B" w14:textId="77777777" w:rsidR="00B37433" w:rsidRPr="00AC61A8" w:rsidRDefault="00B37433" w:rsidP="00B37433">
      <w:pPr>
        <w:jc w:val="both"/>
        <w:rPr>
          <w:rFonts w:ascii="Times New Roman" w:hAnsi="Times New Roman" w:cs="Times New Roman"/>
        </w:rPr>
      </w:pPr>
      <w:r w:rsidRPr="005C337E">
        <w:rPr>
          <w:rFonts w:ascii="Times New Roman" w:hAnsi="Times New Roman" w:cs="Times New Roman"/>
        </w:rPr>
        <w:t>Macroeconomic variables play an important role in determining the attractiveness of a country to foreign investors</w:t>
      </w:r>
      <w:r w:rsidR="0009038C" w:rsidRPr="005C337E">
        <w:rPr>
          <w:rFonts w:ascii="Times New Roman" w:hAnsi="Times New Roman" w:cs="Times New Roman"/>
        </w:rPr>
        <w:t xml:space="preserve"> (</w:t>
      </w:r>
      <w:r w:rsidR="0009038C" w:rsidRPr="005C337E">
        <w:rPr>
          <w:rFonts w:ascii="Times New Roman" w:hAnsi="Times New Roman" w:cs="Times New Roman"/>
          <w:color w:val="000000" w:themeColor="text1"/>
        </w:rPr>
        <w:t>Alharthi et al., 2024)</w:t>
      </w:r>
      <w:r w:rsidRPr="005C337E">
        <w:rPr>
          <w:rFonts w:ascii="Times New Roman" w:hAnsi="Times New Roman" w:cs="Times New Roman"/>
        </w:rPr>
        <w:t xml:space="preserve">. A </w:t>
      </w:r>
      <w:r w:rsidR="00A66E58" w:rsidRPr="005C337E">
        <w:rPr>
          <w:rFonts w:ascii="Times New Roman" w:hAnsi="Times New Roman" w:cs="Times New Roman"/>
        </w:rPr>
        <w:t>favourable</w:t>
      </w:r>
      <w:r w:rsidRPr="005C337E">
        <w:rPr>
          <w:rFonts w:ascii="Times New Roman" w:hAnsi="Times New Roman" w:cs="Times New Roman"/>
        </w:rPr>
        <w:t xml:space="preserve"> and predictable macroeconomic environment can encourage foreign enterprises to invest, while </w:t>
      </w:r>
      <w:r w:rsidR="00A66E58" w:rsidRPr="005C337E">
        <w:rPr>
          <w:rFonts w:ascii="Times New Roman" w:hAnsi="Times New Roman" w:cs="Times New Roman"/>
        </w:rPr>
        <w:t>unfavourable</w:t>
      </w:r>
      <w:r w:rsidRPr="005C337E">
        <w:rPr>
          <w:rFonts w:ascii="Times New Roman" w:hAnsi="Times New Roman" w:cs="Times New Roman"/>
        </w:rPr>
        <w:t xml:space="preserve"> macroeconomic conditions may discourage investment</w:t>
      </w:r>
      <w:r w:rsidR="0009038C" w:rsidRPr="005C337E">
        <w:rPr>
          <w:rFonts w:ascii="Times New Roman" w:hAnsi="Times New Roman" w:cs="Times New Roman"/>
        </w:rPr>
        <w:t xml:space="preserve"> (</w:t>
      </w:r>
      <w:r w:rsidR="0009038C" w:rsidRPr="005C337E">
        <w:rPr>
          <w:rFonts w:ascii="Times New Roman" w:hAnsi="Times New Roman" w:cs="Times New Roman"/>
          <w:color w:val="000000" w:themeColor="text1"/>
        </w:rPr>
        <w:t>Shittu et al., 2025)</w:t>
      </w:r>
      <w:r w:rsidRPr="005C337E">
        <w:rPr>
          <w:rFonts w:ascii="Times New Roman" w:hAnsi="Times New Roman" w:cs="Times New Roman"/>
        </w:rPr>
        <w:t xml:space="preserve">. Interest rates, inflation, gross domestic product and exchange rates are among the </w:t>
      </w:r>
      <w:r w:rsidRPr="00AC61A8">
        <w:rPr>
          <w:rFonts w:ascii="Times New Roman" w:hAnsi="Times New Roman" w:cs="Times New Roman"/>
        </w:rPr>
        <w:t xml:space="preserve">macroeconomic variables that influence FDI flows (Usman &amp; Ahmad, 2018; </w:t>
      </w:r>
      <w:proofErr w:type="spellStart"/>
      <w:r w:rsidRPr="00AC61A8">
        <w:rPr>
          <w:rFonts w:ascii="Times New Roman" w:hAnsi="Times New Roman" w:cs="Times New Roman"/>
        </w:rPr>
        <w:t>Dondashe</w:t>
      </w:r>
      <w:proofErr w:type="spellEnd"/>
      <w:r w:rsidRPr="00AC61A8">
        <w:rPr>
          <w:rFonts w:ascii="Times New Roman" w:hAnsi="Times New Roman" w:cs="Times New Roman"/>
        </w:rPr>
        <w:t xml:space="preserve"> &amp; Phiri, 2018). </w:t>
      </w:r>
      <w:r w:rsidRPr="00AC61A8">
        <w:rPr>
          <w:rFonts w:ascii="Times New Roman" w:eastAsia="Times New Roman" w:hAnsi="Times New Roman"/>
          <w:highlight w:val="yellow"/>
        </w:rPr>
        <w:t xml:space="preserve"> Recent Kenya-specific evidence similarly reports that exchange-rate, inflation and interest-rate conditions are associated with FDI dynamics, while broader Sub-Saharan African evidence also identifies macroeconomic and institutional factors as relevant to FDI inflows (Ndung’u, 2026; Abdullahi &amp; Saka, 2025).</w:t>
      </w:r>
    </w:p>
    <w:p w14:paraId="2979C6B7" w14:textId="77777777" w:rsidR="006C6216" w:rsidRPr="00AC61A8" w:rsidRDefault="006C6216" w:rsidP="00B37433">
      <w:pPr>
        <w:jc w:val="both"/>
        <w:rPr>
          <w:rFonts w:ascii="Times New Roman" w:hAnsi="Times New Roman" w:cs="Times New Roman"/>
        </w:rPr>
      </w:pPr>
      <w:r w:rsidRPr="00AC61A8">
        <w:rPr>
          <w:rFonts w:ascii="Times New Roman" w:hAnsi="Times New Roman" w:cs="Times New Roman"/>
        </w:rPr>
        <w:t>The real interest rate can influence FDI decisions through its effects on the cost of capital, expected returns, and macroeconomic stability (</w:t>
      </w:r>
      <w:proofErr w:type="spellStart"/>
      <w:r w:rsidR="0009038C" w:rsidRPr="00AC61A8">
        <w:rPr>
          <w:rFonts w:ascii="Times New Roman" w:hAnsi="Times New Roman" w:cs="Times New Roman"/>
          <w:color w:val="000000" w:themeColor="text1"/>
        </w:rPr>
        <w:t>Alshubiri</w:t>
      </w:r>
      <w:proofErr w:type="spellEnd"/>
      <w:r w:rsidR="0009038C" w:rsidRPr="00AC61A8">
        <w:rPr>
          <w:rFonts w:ascii="Times New Roman" w:hAnsi="Times New Roman" w:cs="Times New Roman"/>
          <w:color w:val="000000" w:themeColor="text1"/>
        </w:rPr>
        <w:t xml:space="preserve"> &amp; Hussein, 2026</w:t>
      </w:r>
      <w:r w:rsidRPr="00AC61A8">
        <w:rPr>
          <w:rFonts w:ascii="Times New Roman" w:hAnsi="Times New Roman" w:cs="Times New Roman"/>
        </w:rPr>
        <w:t>). Investors may favour economies where real returns are attractive, while high financing costs may discourage investment (Faure, 2014). Changes in real interest rates may also affect investment expectations and the perceived risk associated with investing in a host economy (</w:t>
      </w:r>
      <w:proofErr w:type="spellStart"/>
      <w:r w:rsidR="00F26047" w:rsidRPr="00AC61A8">
        <w:rPr>
          <w:rFonts w:ascii="Times New Roman" w:hAnsi="Times New Roman" w:cs="Times New Roman"/>
          <w:color w:val="000000" w:themeColor="text1"/>
        </w:rPr>
        <w:t>Nikonenko</w:t>
      </w:r>
      <w:proofErr w:type="spellEnd"/>
      <w:r w:rsidR="00F26047" w:rsidRPr="00AC61A8">
        <w:rPr>
          <w:rFonts w:ascii="Times New Roman" w:hAnsi="Times New Roman" w:cs="Times New Roman"/>
          <w:color w:val="000000" w:themeColor="text1"/>
        </w:rPr>
        <w:t xml:space="preserve"> et al., 2022</w:t>
      </w:r>
      <w:r w:rsidRPr="00AC61A8">
        <w:rPr>
          <w:rFonts w:ascii="Times New Roman" w:hAnsi="Times New Roman" w:cs="Times New Roman"/>
        </w:rPr>
        <w:t>). Consequently, the direction of the relationship between the real interest rate and FDI is an empirical question that may depend on the prevailing macroeconomic conditions (</w:t>
      </w:r>
      <w:proofErr w:type="spellStart"/>
      <w:r w:rsidRPr="00AC61A8">
        <w:rPr>
          <w:rFonts w:ascii="Times New Roman" w:hAnsi="Times New Roman" w:cs="Times New Roman"/>
        </w:rPr>
        <w:t>Fazira</w:t>
      </w:r>
      <w:proofErr w:type="spellEnd"/>
      <w:r w:rsidRPr="00AC61A8">
        <w:rPr>
          <w:rFonts w:ascii="Times New Roman" w:hAnsi="Times New Roman" w:cs="Times New Roman"/>
        </w:rPr>
        <w:t xml:space="preserve"> &amp; Cahyadin, 2018).</w:t>
      </w:r>
      <w:r w:rsidRPr="00AC61A8">
        <w:rPr>
          <w:rFonts w:ascii="Times New Roman" w:eastAsia="Times New Roman" w:hAnsi="Times New Roman"/>
          <w:highlight w:val="yellow"/>
        </w:rPr>
        <w:t xml:space="preserve"> Recent regional evidence further indicates that monetary conditions, including real interest rates and real exchange-rate movements, can shape foreign-investment outcomes across Sub-Saharan Africa (Byaro et al., 2025).</w:t>
      </w:r>
    </w:p>
    <w:p w14:paraId="3FC92EED" w14:textId="77777777" w:rsidR="00B37433" w:rsidRPr="005C337E" w:rsidRDefault="00B37433" w:rsidP="00B37433">
      <w:pPr>
        <w:jc w:val="both"/>
        <w:rPr>
          <w:rFonts w:ascii="Times New Roman" w:hAnsi="Times New Roman" w:cs="Times New Roman"/>
        </w:rPr>
      </w:pPr>
      <w:r w:rsidRPr="00AC61A8">
        <w:rPr>
          <w:rFonts w:ascii="Times New Roman" w:hAnsi="Times New Roman" w:cs="Times New Roman"/>
        </w:rPr>
        <w:t xml:space="preserve">In Kenya, interest rates have fluctuated considerably over the study period. </w:t>
      </w:r>
      <w:r w:rsidR="001D23C2" w:rsidRPr="00AC61A8">
        <w:rPr>
          <w:rFonts w:ascii="Times New Roman" w:hAnsi="Times New Roman" w:cs="Times New Roman"/>
        </w:rPr>
        <w:t>Kenya's real interest rate has fluctuated considerably over time, reflecting</w:t>
      </w:r>
      <w:r w:rsidR="001D23C2" w:rsidRPr="005C337E">
        <w:rPr>
          <w:rFonts w:ascii="Times New Roman" w:hAnsi="Times New Roman" w:cs="Times New Roman"/>
        </w:rPr>
        <w:t xml:space="preserve"> changes in monetary conditions, inflation and the cost of capital</w:t>
      </w:r>
      <w:r w:rsidR="00F26047" w:rsidRPr="005C337E">
        <w:rPr>
          <w:rFonts w:ascii="Times New Roman" w:hAnsi="Times New Roman" w:cs="Times New Roman"/>
        </w:rPr>
        <w:t xml:space="preserve"> (World Bank, n.d.-b)</w:t>
      </w:r>
      <w:r w:rsidR="001D23C2" w:rsidRPr="005C337E">
        <w:rPr>
          <w:rFonts w:ascii="Times New Roman" w:hAnsi="Times New Roman" w:cs="Times New Roman"/>
        </w:rPr>
        <w:t>. Such fluctuations may influence investors' expected returns and financing decisions and therefore have implications for FDI inflows</w:t>
      </w:r>
      <w:r w:rsidRPr="005C337E">
        <w:rPr>
          <w:rFonts w:ascii="Times New Roman" w:hAnsi="Times New Roman" w:cs="Times New Roman"/>
        </w:rPr>
        <w:t xml:space="preserve"> (Kenya National Bureau of Statistics [KNBS], 2020). </w:t>
      </w:r>
    </w:p>
    <w:p w14:paraId="241A08C6" w14:textId="77777777" w:rsidR="00B37433" w:rsidRPr="005C337E" w:rsidRDefault="00F26047" w:rsidP="00B37433">
      <w:pPr>
        <w:jc w:val="both"/>
        <w:rPr>
          <w:rFonts w:ascii="Times New Roman" w:hAnsi="Times New Roman" w:cs="Times New Roman"/>
        </w:rPr>
      </w:pPr>
      <w:r w:rsidRPr="005C337E">
        <w:rPr>
          <w:rFonts w:ascii="Times New Roman" w:hAnsi="Times New Roman" w:cs="Times New Roman"/>
        </w:rPr>
        <w:lastRenderedPageBreak/>
        <w:t xml:space="preserve">Inflation is an important macroeconomic variable influencing FDI, </w:t>
      </w:r>
      <w:r w:rsidRPr="005C337E">
        <w:rPr>
          <w:rFonts w:ascii="Times New Roman" w:hAnsi="Times New Roman" w:cs="Times New Roman"/>
          <w:highlight w:val="yellow"/>
        </w:rPr>
        <w:t>characterised</w:t>
      </w:r>
      <w:r w:rsidRPr="005C337E">
        <w:rPr>
          <w:rFonts w:ascii="Times New Roman" w:hAnsi="Times New Roman" w:cs="Times New Roman"/>
        </w:rPr>
        <w:t xml:space="preserve"> by a sustained increase in the general price level of goods and services that erodes the purchasing power of a currency</w:t>
      </w:r>
      <w:r w:rsidR="00973BC2" w:rsidRPr="005C337E">
        <w:rPr>
          <w:rFonts w:ascii="Times New Roman" w:hAnsi="Times New Roman" w:cs="Times New Roman"/>
        </w:rPr>
        <w:t xml:space="preserve"> (Adegboye &amp; Gbebikan, 2026).</w:t>
      </w:r>
      <w:r w:rsidR="00B37433" w:rsidRPr="005C337E">
        <w:rPr>
          <w:rFonts w:ascii="Times New Roman" w:hAnsi="Times New Roman" w:cs="Times New Roman"/>
        </w:rPr>
        <w:t xml:space="preserve"> Inflation can delay economic growth, reduce welfare and deter FDI inflows because foreign corporations consider the inflation environment when making investment decisions</w:t>
      </w:r>
      <w:r w:rsidR="00973BC2" w:rsidRPr="005C337E">
        <w:rPr>
          <w:rFonts w:ascii="Times New Roman" w:hAnsi="Times New Roman" w:cs="Times New Roman"/>
        </w:rPr>
        <w:t xml:space="preserve"> (</w:t>
      </w:r>
      <w:r w:rsidR="00973BC2" w:rsidRPr="005C337E">
        <w:rPr>
          <w:rFonts w:ascii="Times New Roman" w:hAnsi="Times New Roman" w:cs="Times New Roman"/>
          <w:color w:val="000000" w:themeColor="text1"/>
        </w:rPr>
        <w:t>Alam, 2025)</w:t>
      </w:r>
      <w:r w:rsidR="00B37433" w:rsidRPr="005C337E">
        <w:rPr>
          <w:rFonts w:ascii="Times New Roman" w:hAnsi="Times New Roman" w:cs="Times New Roman"/>
        </w:rPr>
        <w:t xml:space="preserve">. Lower inflation can support productivity and facilitate trade, thereby creating a more </w:t>
      </w:r>
      <w:r w:rsidR="00A66E58" w:rsidRPr="005C337E">
        <w:rPr>
          <w:rFonts w:ascii="Times New Roman" w:hAnsi="Times New Roman" w:cs="Times New Roman"/>
        </w:rPr>
        <w:t>favourable</w:t>
      </w:r>
      <w:r w:rsidR="00B37433" w:rsidRPr="005C337E">
        <w:rPr>
          <w:rFonts w:ascii="Times New Roman" w:hAnsi="Times New Roman" w:cs="Times New Roman"/>
        </w:rPr>
        <w:t xml:space="preserve"> environment for foreign firms, whereas increasing inflation may encourage capital flight and discourage potential investors (Paul &amp; Sharma, 2019). </w:t>
      </w:r>
    </w:p>
    <w:p w14:paraId="15CF6322" w14:textId="77777777" w:rsidR="00B37433" w:rsidRPr="005C337E" w:rsidRDefault="00973BC2" w:rsidP="00B37433">
      <w:pPr>
        <w:jc w:val="both"/>
        <w:rPr>
          <w:rFonts w:ascii="Times New Roman" w:hAnsi="Times New Roman" w:cs="Times New Roman"/>
        </w:rPr>
      </w:pPr>
      <w:r w:rsidRPr="005C337E">
        <w:rPr>
          <w:rFonts w:ascii="Times New Roman" w:hAnsi="Times New Roman" w:cs="Times New Roman"/>
        </w:rPr>
        <w:t>Kenya has experienced considerable fluctuations in inflation over time, with the rate rising from 0.70% in 1963 to a peak of 45.98% in 1993</w:t>
      </w:r>
      <w:r w:rsidR="00BD2AEB" w:rsidRPr="005C337E">
        <w:rPr>
          <w:rFonts w:ascii="Times New Roman" w:hAnsi="Times New Roman" w:cs="Times New Roman"/>
        </w:rPr>
        <w:t xml:space="preserve"> (World Bank, n.d.-a). </w:t>
      </w:r>
      <w:r w:rsidR="00B37433" w:rsidRPr="005C337E">
        <w:rPr>
          <w:rFonts w:ascii="Times New Roman" w:hAnsi="Times New Roman" w:cs="Times New Roman"/>
        </w:rPr>
        <w:t xml:space="preserve"> It subsequently fluctuated, increasing from 3.96% in 2010 to 8.01% in 2017 before declining to 4.69% in 2018 and standing at 5.2% in 2019</w:t>
      </w:r>
      <w:r w:rsidR="00BD2AEB" w:rsidRPr="005C337E">
        <w:rPr>
          <w:rFonts w:ascii="Times New Roman" w:hAnsi="Times New Roman" w:cs="Times New Roman"/>
        </w:rPr>
        <w:t xml:space="preserve"> (World Bank, n.d.-a). </w:t>
      </w:r>
      <w:r w:rsidR="00B37433" w:rsidRPr="005C337E">
        <w:rPr>
          <w:rFonts w:ascii="Times New Roman" w:hAnsi="Times New Roman" w:cs="Times New Roman"/>
        </w:rPr>
        <w:t xml:space="preserve"> These fluctuations indicate instability in general prices, with implications for FDI flows (Musyoka &amp; Ocharo, 2018). </w:t>
      </w:r>
    </w:p>
    <w:p w14:paraId="501AC29A" w14:textId="77777777" w:rsidR="00B37433" w:rsidRPr="005C337E" w:rsidRDefault="0015143C" w:rsidP="00B37433">
      <w:pPr>
        <w:jc w:val="both"/>
        <w:rPr>
          <w:rFonts w:ascii="Times New Roman" w:hAnsi="Times New Roman" w:cs="Times New Roman"/>
        </w:rPr>
      </w:pPr>
      <w:r w:rsidRPr="005C337E">
        <w:rPr>
          <w:rFonts w:ascii="Times New Roman" w:hAnsi="Times New Roman" w:cs="Times New Roman"/>
        </w:rPr>
        <w:t>Economic growth reflects the expansion of an economy's production of goods and services and is commonly measured using the growth rate of real gross domestic product (GDP)</w:t>
      </w:r>
      <w:r w:rsidR="00F724EB" w:rsidRPr="005C337E">
        <w:rPr>
          <w:rFonts w:ascii="Times New Roman" w:hAnsi="Times New Roman" w:cs="Times New Roman"/>
        </w:rPr>
        <w:t xml:space="preserve"> (Bryniuk, 2023)</w:t>
      </w:r>
      <w:r w:rsidRPr="005C337E">
        <w:rPr>
          <w:rFonts w:ascii="Times New Roman" w:hAnsi="Times New Roman" w:cs="Times New Roman"/>
        </w:rPr>
        <w:t xml:space="preserve">. Sustained economic growth can signal expanding markets, improving productive capacity and stronger investment opportunities, which may increase a country's attractiveness to foreign investors (Church, 2016; </w:t>
      </w:r>
      <w:proofErr w:type="spellStart"/>
      <w:r w:rsidRPr="005C337E">
        <w:rPr>
          <w:rFonts w:ascii="Times New Roman" w:hAnsi="Times New Roman" w:cs="Times New Roman"/>
        </w:rPr>
        <w:t>FoEh</w:t>
      </w:r>
      <w:proofErr w:type="spellEnd"/>
      <w:r w:rsidRPr="005C337E">
        <w:rPr>
          <w:rFonts w:ascii="Times New Roman" w:hAnsi="Times New Roman" w:cs="Times New Roman"/>
        </w:rPr>
        <w:t xml:space="preserve"> et al., 2020</w:t>
      </w:r>
      <w:r w:rsidR="001D23C2" w:rsidRPr="005C337E">
        <w:rPr>
          <w:rFonts w:ascii="Times New Roman" w:hAnsi="Times New Roman" w:cs="Times New Roman"/>
          <w:highlight w:val="yellow"/>
        </w:rPr>
        <w:t>).</w:t>
      </w:r>
      <w:r w:rsidRPr="005C337E">
        <w:rPr>
          <w:rFonts w:ascii="Times New Roman" w:hAnsi="Times New Roman" w:cs="Times New Roman"/>
        </w:rPr>
        <w:t xml:space="preserve"> </w:t>
      </w:r>
      <w:r w:rsidR="001D23C2" w:rsidRPr="005C337E">
        <w:rPr>
          <w:rFonts w:ascii="Times New Roman" w:hAnsi="Times New Roman" w:cs="Times New Roman"/>
          <w:highlight w:val="yellow"/>
        </w:rPr>
        <w:t>International</w:t>
      </w:r>
      <w:r w:rsidR="00B37433" w:rsidRPr="005C337E">
        <w:rPr>
          <w:rFonts w:ascii="Times New Roman" w:hAnsi="Times New Roman" w:cs="Times New Roman"/>
        </w:rPr>
        <w:t xml:space="preserve"> investors may use GDP as an indicator of a country's productivity when determining whether to invest in an economy (FoEh et al., 2020). </w:t>
      </w:r>
    </w:p>
    <w:p w14:paraId="2DA87114" w14:textId="77777777" w:rsidR="00B37433" w:rsidRPr="005C337E" w:rsidRDefault="00F724EB" w:rsidP="00B37433">
      <w:pPr>
        <w:jc w:val="both"/>
        <w:rPr>
          <w:rFonts w:ascii="Times New Roman" w:hAnsi="Times New Roman" w:cs="Times New Roman"/>
        </w:rPr>
      </w:pPr>
      <w:r w:rsidRPr="005C337E">
        <w:rPr>
          <w:rFonts w:ascii="Times New Roman" w:hAnsi="Times New Roman" w:cs="Times New Roman"/>
        </w:rPr>
        <w:t>Kenya’s economic growth fluctuated over the study period, declining from approximately 5.7% in 2013 to 5.3% in 2014, rising to 6.32% in 2018, and subsequently falling to about 5.37% in 2019 (World Bank, 2019)</w:t>
      </w:r>
      <w:r w:rsidR="00B37433" w:rsidRPr="005C337E">
        <w:rPr>
          <w:rFonts w:ascii="Times New Roman" w:hAnsi="Times New Roman" w:cs="Times New Roman"/>
        </w:rPr>
        <w:t xml:space="preserve">. Such fluctuations have implications for FDI inflow trends (Odhiambo, 2022). </w:t>
      </w:r>
    </w:p>
    <w:p w14:paraId="3206CBA8" w14:textId="77777777" w:rsidR="00B37433" w:rsidRPr="005C337E" w:rsidRDefault="00B37433" w:rsidP="00B37433">
      <w:pPr>
        <w:jc w:val="both"/>
        <w:rPr>
          <w:rFonts w:ascii="Times New Roman" w:hAnsi="Times New Roman" w:cs="Times New Roman"/>
        </w:rPr>
      </w:pPr>
      <w:r w:rsidRPr="005C337E">
        <w:rPr>
          <w:rFonts w:ascii="Times New Roman" w:hAnsi="Times New Roman" w:cs="Times New Roman"/>
        </w:rPr>
        <w:t xml:space="preserve">Exchange rates constitute another important determinant of FDI. An exchange rate represents the domestic currency price of a foreign currency and can influence both the amount of FDI undertaken and the allocation of investment expenditure across countries (Goldberg &amp; Kolstad, 1995). Currency depreciation may reduce wages and production costs relative to foreign counterparts and can enhance the locational attractiveness of a country for productive investment by improving the expected rate of return to foreign investors (Cushman &amp; De Vita, 2017). </w:t>
      </w:r>
    </w:p>
    <w:p w14:paraId="49BFB922" w14:textId="77777777" w:rsidR="00B37433" w:rsidRPr="005C337E" w:rsidRDefault="00B37433" w:rsidP="00B37433">
      <w:pPr>
        <w:jc w:val="both"/>
        <w:rPr>
          <w:rFonts w:ascii="Times New Roman" w:hAnsi="Times New Roman" w:cs="Times New Roman"/>
        </w:rPr>
      </w:pPr>
      <w:r w:rsidRPr="005C337E">
        <w:rPr>
          <w:rFonts w:ascii="Times New Roman" w:hAnsi="Times New Roman" w:cs="Times New Roman"/>
        </w:rPr>
        <w:t>The importance of FDI has increased globally because foreign capital complements domestic savings and can contribute to development and productivity</w:t>
      </w:r>
      <w:r w:rsidR="00E20227" w:rsidRPr="005C337E">
        <w:rPr>
          <w:rFonts w:ascii="Times New Roman" w:hAnsi="Times New Roman" w:cs="Times New Roman"/>
        </w:rPr>
        <w:t xml:space="preserve"> (Wondimu, 2023)</w:t>
      </w:r>
      <w:r w:rsidRPr="005C337E">
        <w:rPr>
          <w:rFonts w:ascii="Times New Roman" w:hAnsi="Times New Roman" w:cs="Times New Roman"/>
        </w:rPr>
        <w:t>. FDI can facilitate technological exchange between developing and developed countries and consequently contribute to economic growth (</w:t>
      </w:r>
      <w:proofErr w:type="spellStart"/>
      <w:r w:rsidRPr="005C337E">
        <w:rPr>
          <w:rFonts w:ascii="Times New Roman" w:hAnsi="Times New Roman" w:cs="Times New Roman"/>
        </w:rPr>
        <w:t>Gnangnon</w:t>
      </w:r>
      <w:proofErr w:type="spellEnd"/>
      <w:r w:rsidRPr="005C337E">
        <w:rPr>
          <w:rFonts w:ascii="Times New Roman" w:hAnsi="Times New Roman" w:cs="Times New Roman"/>
        </w:rPr>
        <w:t xml:space="preserve">, 2017). </w:t>
      </w:r>
    </w:p>
    <w:p w14:paraId="5B2E23AB" w14:textId="77777777" w:rsidR="0015143C" w:rsidRPr="005C337E" w:rsidRDefault="0015143C" w:rsidP="00B37433">
      <w:pPr>
        <w:jc w:val="both"/>
        <w:rPr>
          <w:rFonts w:ascii="Times New Roman" w:hAnsi="Times New Roman" w:cs="Times New Roman"/>
        </w:rPr>
      </w:pPr>
      <w:r w:rsidRPr="005C337E">
        <w:rPr>
          <w:rFonts w:ascii="Times New Roman" w:hAnsi="Times New Roman" w:cs="Times New Roman"/>
        </w:rPr>
        <w:t>Global FDI flows have experienced considerable fluctuations. Global FDI inflows declined from US$1.87 trillion in 2016 to US$1.43 trillion in 2017, while the United Nations Conference on Trade and Development reported a further decline to approximately US$1.3 trillion in 2018 (UNCTAD, 2019).</w:t>
      </w:r>
    </w:p>
    <w:p w14:paraId="141B3A8E" w14:textId="77777777" w:rsidR="00B37433" w:rsidRPr="005C337E" w:rsidRDefault="00E20227" w:rsidP="00B37433">
      <w:pPr>
        <w:jc w:val="both"/>
        <w:rPr>
          <w:rFonts w:ascii="Times New Roman" w:hAnsi="Times New Roman" w:cs="Times New Roman"/>
        </w:rPr>
      </w:pPr>
      <w:r w:rsidRPr="005C337E">
        <w:rPr>
          <w:rFonts w:ascii="Times New Roman" w:hAnsi="Times New Roman" w:cs="Times New Roman"/>
        </w:rPr>
        <w:t xml:space="preserve">Kenya’s experience has likewise been marked by fluctuations in FDI inflows, although the country remained a favourable destination for foreign direct investment in the East African region from the </w:t>
      </w:r>
      <w:r w:rsidRPr="005C337E">
        <w:rPr>
          <w:rFonts w:ascii="Times New Roman" w:hAnsi="Times New Roman" w:cs="Times New Roman"/>
        </w:rPr>
        <w:lastRenderedPageBreak/>
        <w:t>1960s through the 1980s</w:t>
      </w:r>
      <w:r w:rsidR="0041222D" w:rsidRPr="005C337E">
        <w:rPr>
          <w:rFonts w:ascii="Times New Roman" w:hAnsi="Times New Roman" w:cs="Times New Roman"/>
        </w:rPr>
        <w:t xml:space="preserve"> </w:t>
      </w:r>
      <w:r w:rsidRPr="005C337E">
        <w:rPr>
          <w:rFonts w:ascii="Times New Roman" w:hAnsi="Times New Roman" w:cs="Times New Roman"/>
        </w:rPr>
        <w:t>(Wasseja &amp; Mwenda, 2015).</w:t>
      </w:r>
      <w:r w:rsidR="00B37433" w:rsidRPr="005C337E">
        <w:rPr>
          <w:rFonts w:ascii="Times New Roman" w:hAnsi="Times New Roman" w:cs="Times New Roman"/>
        </w:rPr>
        <w:t xml:space="preserve"> FDI inflows </w:t>
      </w:r>
      <w:r w:rsidR="0041222D" w:rsidRPr="005C337E">
        <w:rPr>
          <w:rFonts w:ascii="Times New Roman" w:hAnsi="Times New Roman" w:cs="Times New Roman"/>
        </w:rPr>
        <w:t xml:space="preserve">for Kenya </w:t>
      </w:r>
      <w:r w:rsidR="00B37433" w:rsidRPr="005C337E">
        <w:rPr>
          <w:rFonts w:ascii="Times New Roman" w:hAnsi="Times New Roman" w:cs="Times New Roman"/>
        </w:rPr>
        <w:t xml:space="preserve">averaged approximately US$106 million annually between 2000 and 2009, although </w:t>
      </w:r>
      <w:r w:rsidR="00A31F19" w:rsidRPr="005C337E">
        <w:rPr>
          <w:rFonts w:ascii="Times New Roman" w:hAnsi="Times New Roman" w:cs="Times New Roman"/>
        </w:rPr>
        <w:t>neighbouring</w:t>
      </w:r>
      <w:r w:rsidR="00B37433" w:rsidRPr="005C337E">
        <w:rPr>
          <w:rFonts w:ascii="Times New Roman" w:hAnsi="Times New Roman" w:cs="Times New Roman"/>
        </w:rPr>
        <w:t xml:space="preserve"> Tanzania and Uganda attracted higher inflows during the same period</w:t>
      </w:r>
      <w:r w:rsidR="0041222D" w:rsidRPr="005C337E">
        <w:rPr>
          <w:rFonts w:ascii="Times New Roman" w:hAnsi="Times New Roman" w:cs="Times New Roman"/>
        </w:rPr>
        <w:t xml:space="preserve"> (World Bank, 2013)</w:t>
      </w:r>
      <w:r w:rsidR="00B37433" w:rsidRPr="005C337E">
        <w:rPr>
          <w:rFonts w:ascii="Times New Roman" w:hAnsi="Times New Roman" w:cs="Times New Roman"/>
        </w:rPr>
        <w:t xml:space="preserve">. Despite government efforts to create </w:t>
      </w:r>
      <w:r w:rsidR="00A31F19" w:rsidRPr="005C337E">
        <w:rPr>
          <w:rFonts w:ascii="Times New Roman" w:hAnsi="Times New Roman" w:cs="Times New Roman"/>
        </w:rPr>
        <w:t>favourable</w:t>
      </w:r>
      <w:r w:rsidR="00B37433" w:rsidRPr="005C337E">
        <w:rPr>
          <w:rFonts w:ascii="Times New Roman" w:hAnsi="Times New Roman" w:cs="Times New Roman"/>
        </w:rPr>
        <w:t xml:space="preserve"> policies and promote </w:t>
      </w:r>
      <w:r w:rsidR="00B37433" w:rsidRPr="005C337E">
        <w:rPr>
          <w:rFonts w:ascii="Times New Roman" w:hAnsi="Times New Roman" w:cs="Times New Roman"/>
          <w:highlight w:val="yellow"/>
        </w:rPr>
        <w:t>industrialisation</w:t>
      </w:r>
      <w:r w:rsidR="00B37433" w:rsidRPr="005C337E">
        <w:rPr>
          <w:rFonts w:ascii="Times New Roman" w:hAnsi="Times New Roman" w:cs="Times New Roman"/>
        </w:rPr>
        <w:t xml:space="preserve"> and investment, FDI inflows continued to fluctuate. Between 2010 and 2019, FDI averaged approximately US$1.3 billion annually, but inflows declined from US$1.6 billion in 2018 to US$1.3 billion in 2019, an 18% decline (KNBS, 2020). </w:t>
      </w:r>
    </w:p>
    <w:p w14:paraId="73A20E7C" w14:textId="77777777" w:rsidR="00B37433" w:rsidRPr="00AC61A8" w:rsidRDefault="00B37433" w:rsidP="00B37433">
      <w:pPr>
        <w:jc w:val="both"/>
        <w:rPr>
          <w:rFonts w:ascii="Times New Roman" w:hAnsi="Times New Roman" w:cs="Times New Roman"/>
        </w:rPr>
      </w:pPr>
      <w:r w:rsidRPr="005C337E">
        <w:rPr>
          <w:rFonts w:ascii="Times New Roman" w:hAnsi="Times New Roman" w:cs="Times New Roman"/>
        </w:rPr>
        <w:t>The decline in FDI is important because FDI inflows provide resources that can contribute to economic growth and long-term development</w:t>
      </w:r>
      <w:r w:rsidR="0041222D" w:rsidRPr="005C337E">
        <w:rPr>
          <w:rFonts w:ascii="Times New Roman" w:hAnsi="Times New Roman" w:cs="Times New Roman"/>
        </w:rPr>
        <w:t xml:space="preserve"> (Kwoba &amp; Kibati, 2016)</w:t>
      </w:r>
      <w:r w:rsidRPr="005C337E">
        <w:rPr>
          <w:rFonts w:ascii="Times New Roman" w:hAnsi="Times New Roman" w:cs="Times New Roman"/>
        </w:rPr>
        <w:t>. Kenya has implemented several economic reforms, including infrastructure development and public-private partnerships under the Vision 2030 framework, with the objective of creating a conducive environment for foreign investors (</w:t>
      </w:r>
      <w:r w:rsidR="00222835" w:rsidRPr="005C337E">
        <w:rPr>
          <w:rFonts w:ascii="Times New Roman" w:hAnsi="Times New Roman" w:cs="Times New Roman"/>
        </w:rPr>
        <w:t>Achieng</w:t>
      </w:r>
      <w:r w:rsidRPr="005C337E">
        <w:rPr>
          <w:rFonts w:ascii="Times New Roman" w:hAnsi="Times New Roman" w:cs="Times New Roman"/>
        </w:rPr>
        <w:t>, 201</w:t>
      </w:r>
      <w:r w:rsidR="00222835" w:rsidRPr="005C337E">
        <w:rPr>
          <w:rFonts w:ascii="Times New Roman" w:hAnsi="Times New Roman" w:cs="Times New Roman"/>
        </w:rPr>
        <w:t>8</w:t>
      </w:r>
      <w:r w:rsidRPr="005C337E">
        <w:rPr>
          <w:rFonts w:ascii="Times New Roman" w:hAnsi="Times New Roman" w:cs="Times New Roman"/>
        </w:rPr>
        <w:t xml:space="preserve">). Nevertheless, </w:t>
      </w:r>
      <w:r w:rsidRPr="00AC61A8">
        <w:rPr>
          <w:rFonts w:ascii="Times New Roman" w:hAnsi="Times New Roman" w:cs="Times New Roman"/>
        </w:rPr>
        <w:t xml:space="preserve">FDI inflows have remained lower than those of some </w:t>
      </w:r>
      <w:r w:rsidR="00A31F19" w:rsidRPr="00AC61A8">
        <w:rPr>
          <w:rFonts w:ascii="Times New Roman" w:hAnsi="Times New Roman" w:cs="Times New Roman"/>
        </w:rPr>
        <w:t>neighbouring</w:t>
      </w:r>
      <w:r w:rsidRPr="00AC61A8">
        <w:rPr>
          <w:rFonts w:ascii="Times New Roman" w:hAnsi="Times New Roman" w:cs="Times New Roman"/>
        </w:rPr>
        <w:t xml:space="preserve"> East African economies. In 2019, Kenya's FDI inflows stood at US$1.3 billion compared with US$1.6 billion in 2018 (</w:t>
      </w:r>
      <w:r w:rsidR="00280A29" w:rsidRPr="00AC61A8">
        <w:rPr>
          <w:rFonts w:ascii="Times New Roman" w:hAnsi="Times New Roman" w:cs="Times New Roman"/>
        </w:rPr>
        <w:t>Ouma</w:t>
      </w:r>
      <w:r w:rsidRPr="00AC61A8">
        <w:rPr>
          <w:rFonts w:ascii="Times New Roman" w:hAnsi="Times New Roman" w:cs="Times New Roman"/>
        </w:rPr>
        <w:t>, 202</w:t>
      </w:r>
      <w:r w:rsidR="00280A29" w:rsidRPr="00AC61A8">
        <w:rPr>
          <w:rFonts w:ascii="Times New Roman" w:hAnsi="Times New Roman" w:cs="Times New Roman"/>
        </w:rPr>
        <w:t>1</w:t>
      </w:r>
      <w:r w:rsidRPr="00AC61A8">
        <w:rPr>
          <w:rFonts w:ascii="Times New Roman" w:hAnsi="Times New Roman" w:cs="Times New Roman"/>
        </w:rPr>
        <w:t xml:space="preserve">). </w:t>
      </w:r>
      <w:r w:rsidRPr="00AC61A8">
        <w:rPr>
          <w:rFonts w:ascii="Times New Roman" w:eastAsia="Times New Roman" w:hAnsi="Times New Roman"/>
          <w:highlight w:val="yellow"/>
        </w:rPr>
        <w:t xml:space="preserve"> Recent evidence on foreign-investment reversals in Sub-Saharan Africa also suggests that inflation, interest-rate conditions and expected currency depreciation can influence the retention of foreign capital under macroeconomic uncertainty (Aregbeshola &amp; Adekunle, 2025).</w:t>
      </w:r>
    </w:p>
    <w:p w14:paraId="2B128E07" w14:textId="77777777" w:rsidR="001D23C2" w:rsidRPr="005C337E" w:rsidRDefault="001D23C2" w:rsidP="00B37433">
      <w:pPr>
        <w:jc w:val="both"/>
        <w:rPr>
          <w:rFonts w:ascii="Times New Roman" w:hAnsi="Times New Roman" w:cs="Times New Roman"/>
        </w:rPr>
      </w:pPr>
      <w:r w:rsidRPr="00AC61A8">
        <w:rPr>
          <w:rFonts w:ascii="Times New Roman" w:hAnsi="Times New Roman" w:cs="Times New Roman"/>
        </w:rPr>
        <w:t>The continued fluctuations in FDI inflows despite policy interventions</w:t>
      </w:r>
      <w:r w:rsidRPr="005C337E">
        <w:rPr>
          <w:rFonts w:ascii="Times New Roman" w:hAnsi="Times New Roman" w:cs="Times New Roman"/>
        </w:rPr>
        <w:t xml:space="preserve"> raise questions about the role of Kenya's macroeconomic environment in attracting and retaining foreign investment. Previous empirical studies have examined the relationship between individual macroeconomic variables and FDI in Kenya and other economies, but their findings remain mixed. Differences in study periods, variables and econometric approaches make it difficult to draw a consistent conclusion about the macroeconomic conditions associated with FDI in Kenya. Moreover, relatively few studies examine these relationships over a long historical period using a consistent time-series framework. This study therefore examines the effects of real interest rate, inflation, economic growth and exchange rate on FDI in Kenya using annual data covering 1966–2019.</w:t>
      </w:r>
    </w:p>
    <w:p w14:paraId="01DF7A70" w14:textId="77777777" w:rsidR="001F0F12" w:rsidRPr="005C337E" w:rsidRDefault="001D23C2" w:rsidP="00B37433">
      <w:pPr>
        <w:jc w:val="both"/>
        <w:rPr>
          <w:rFonts w:ascii="Times New Roman" w:hAnsi="Times New Roman" w:cs="Times New Roman"/>
        </w:rPr>
      </w:pPr>
      <w:r w:rsidRPr="005C337E">
        <w:rPr>
          <w:rFonts w:ascii="Times New Roman" w:hAnsi="Times New Roman" w:cs="Times New Roman"/>
        </w:rPr>
        <w:t>The study contributes to the empirical understanding of the relationship between macroeconomic conditions and FDI in Kenya by examining the selected variables within a 54-year time-series framework. The findings provide evidence that can inform macroeconomic policies aimed at strengthening Kenya's attractiveness to foreign investors and supporting sustained investment and economic growth.</w:t>
      </w:r>
    </w:p>
    <w:p w14:paraId="7568D0A2" w14:textId="77777777" w:rsidR="006022E0" w:rsidRPr="005C337E" w:rsidRDefault="006022E0" w:rsidP="00B37433">
      <w:pPr>
        <w:jc w:val="both"/>
        <w:rPr>
          <w:rFonts w:ascii="Times New Roman" w:hAnsi="Times New Roman" w:cs="Times New Roman"/>
        </w:rPr>
      </w:pPr>
      <w:r w:rsidRPr="005C337E">
        <w:rPr>
          <w:rFonts w:ascii="Times New Roman" w:hAnsi="Times New Roman" w:cs="Times New Roman"/>
        </w:rPr>
        <w:t>By applying co-integration and error-correction modelling to a long-horizon dataset, this study contributes to the empirical literature by clarifying both the dynamic short-term adjustments and stable long-run equilibrium relationships between macroeconomic drivers and FDI. The resulting empirical insights offer actionable evidence to guide policymakers in formulating targeted macroeconomic policies, maintaining price and exchange-rate stability, and strengthening Kenya’s competitive position as an investment hub in Sub-Saharan Africa.</w:t>
      </w:r>
    </w:p>
    <w:p w14:paraId="5118CEAA" w14:textId="77777777" w:rsidR="00B37433" w:rsidRPr="00AC61A8" w:rsidRDefault="001D23C2" w:rsidP="00B37433">
      <w:pPr>
        <w:jc w:val="both"/>
        <w:rPr>
          <w:rFonts w:ascii="Times New Roman" w:hAnsi="Times New Roman" w:cs="Times New Roman"/>
          <w:bCs/>
        </w:rPr>
      </w:pPr>
      <w:r w:rsidRPr="00AC61A8">
        <w:rPr>
          <w:rFonts w:ascii="Times New Roman" w:hAnsi="Times New Roman" w:cs="Times New Roman"/>
          <w:bCs/>
          <w:highlight w:val="yellow"/>
        </w:rPr>
        <w:lastRenderedPageBreak/>
        <w:t>The study examined the effects of selected macroeconomic variables on foreign direct investment in Kenya. Specifically, it examined the effects of real interest rate, inflation, economic growth and exchange rate on FDI in Kenya.</w:t>
      </w:r>
      <w:r w:rsidR="00B37433" w:rsidRPr="00AC61A8">
        <w:rPr>
          <w:rFonts w:ascii="Times New Roman" w:hAnsi="Times New Roman" w:cs="Times New Roman"/>
          <w:bCs/>
          <w:highlight w:val="yellow"/>
        </w:rPr>
        <w:t xml:space="preserve"> </w:t>
      </w:r>
    </w:p>
    <w:p w14:paraId="3FBD2B3F" w14:textId="77777777" w:rsidR="006022E0" w:rsidRPr="005C337E" w:rsidRDefault="006022E0" w:rsidP="00B37433">
      <w:pPr>
        <w:jc w:val="both"/>
        <w:rPr>
          <w:rFonts w:ascii="Times New Roman" w:hAnsi="Times New Roman" w:cs="Times New Roman"/>
        </w:rPr>
      </w:pPr>
    </w:p>
    <w:p w14:paraId="5730E168"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 LITERATURE REVIEW</w:t>
      </w:r>
    </w:p>
    <w:p w14:paraId="0944449A"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2.1 Theoretical Review</w:t>
      </w:r>
    </w:p>
    <w:p w14:paraId="1B08780D"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2.1.1 Eclectic Paradigm Theory</w:t>
      </w:r>
    </w:p>
    <w:p w14:paraId="2EF255BA"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 xml:space="preserve">The Eclectic Paradigm Theory, developed by Dunning, provides a broad framework for explaining foreign direct investment through ownership, location and internalization advantages. The theory proposes that firms are more likely to undertake FDI when the advantages of investing abroad outweigh the costs associated with operating in a foreign market. The location component is particularly relevant to the present study because host-country characteristics, including low-cost labour and raw materials, taxation, tariffs and availability of skilled labour, can influence the attractiveness of a country as an investment destination (Dunning, 2001). </w:t>
      </w:r>
    </w:p>
    <w:p w14:paraId="21CF9398" w14:textId="77777777" w:rsidR="00226E13" w:rsidRPr="005C337E" w:rsidRDefault="00226E13" w:rsidP="00226E13">
      <w:pPr>
        <w:spacing w:after="0"/>
        <w:jc w:val="both"/>
        <w:rPr>
          <w:rFonts w:ascii="Times New Roman" w:hAnsi="Times New Roman" w:cs="Times New Roman"/>
        </w:rPr>
      </w:pPr>
    </w:p>
    <w:p w14:paraId="335DEB9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The theory is relevant to the present study because the macroeconomic environment forms part of the location conditions considered by foreign investors. Interest rates, inflation, economic growth and exchange-rate conditions can influence the expected profitability and risks associated with investing in a host country. The Eclectic Paradigm therefore provides a useful theoretical basis for examining how selected macroeconomic conditions influence FDI in Kenya. The thesis further notes that the theory links firm-level considerations with the broader macroeconomic environment of international production (Dunning, 1988). </w:t>
      </w:r>
    </w:p>
    <w:p w14:paraId="3523AA44"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2.1.2 Neoclassical Trade Theory</w:t>
      </w:r>
    </w:p>
    <w:p w14:paraId="3447C533" w14:textId="77777777" w:rsidR="00CD3D5D" w:rsidRPr="005C337E" w:rsidRDefault="001F0F12" w:rsidP="00BF4264">
      <w:pPr>
        <w:spacing w:after="0"/>
        <w:jc w:val="both"/>
        <w:rPr>
          <w:rFonts w:ascii="Times New Roman" w:hAnsi="Times New Roman" w:cs="Times New Roman"/>
        </w:rPr>
      </w:pPr>
      <w:r w:rsidRPr="005C337E">
        <w:rPr>
          <w:rFonts w:ascii="Times New Roman" w:hAnsi="Times New Roman" w:cs="Times New Roman"/>
        </w:rPr>
        <w:t>Neoclassical Trade Theory explains international capital movements in terms of differences in rates of return between countries. Capital is expected to move from countries with relatively lower returns to countries where higher returns can be obtained. The theory therefore provides a basis for understanding why differences in macroeconomic conditions may influence international investment decisions. Foreign direct investment is affected by factors such as fiscal policies, the quality of the investment environment and the general direction of a country's macroeconomic policies (</w:t>
      </w:r>
      <w:r w:rsidR="00280A29" w:rsidRPr="005C337E">
        <w:rPr>
          <w:rFonts w:ascii="Times New Roman" w:hAnsi="Times New Roman" w:cs="Times New Roman"/>
          <w:color w:val="000000" w:themeColor="text1"/>
        </w:rPr>
        <w:t>Ullah &amp; Khan, 2017).</w:t>
      </w:r>
    </w:p>
    <w:p w14:paraId="40650ED8" w14:textId="77777777" w:rsidR="00BF4264" w:rsidRPr="005C337E" w:rsidRDefault="00BF4264" w:rsidP="00BF4264">
      <w:pPr>
        <w:spacing w:after="0" w:line="240" w:lineRule="auto"/>
        <w:jc w:val="both"/>
        <w:rPr>
          <w:rFonts w:ascii="Times New Roman" w:hAnsi="Times New Roman" w:cs="Times New Roman"/>
        </w:rPr>
      </w:pPr>
    </w:p>
    <w:p w14:paraId="7FF73BB9"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 theory is relevant to this study because interest rates, inflation, economic growth and exchange rates can influence expected returns and the security of investments. Differences in these conditions across countries may therefore influence the allocation of international capital.</w:t>
      </w:r>
    </w:p>
    <w:p w14:paraId="4ABB1E72"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 xml:space="preserve">2.1.3 </w:t>
      </w:r>
      <w:r w:rsidRPr="005C337E">
        <w:rPr>
          <w:rFonts w:ascii="Times New Roman" w:hAnsi="Times New Roman" w:cs="Times New Roman"/>
          <w:b/>
          <w:bCs/>
          <w:highlight w:val="yellow"/>
        </w:rPr>
        <w:t>Internalisation</w:t>
      </w:r>
      <w:r w:rsidRPr="005C337E">
        <w:rPr>
          <w:rFonts w:ascii="Times New Roman" w:hAnsi="Times New Roman" w:cs="Times New Roman"/>
          <w:b/>
          <w:bCs/>
        </w:rPr>
        <w:t xml:space="preserve"> Theory</w:t>
      </w:r>
    </w:p>
    <w:p w14:paraId="078BC72C"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highlight w:val="yellow"/>
        </w:rPr>
        <w:t>Internalisation</w:t>
      </w:r>
      <w:r w:rsidRPr="005C337E">
        <w:rPr>
          <w:rFonts w:ascii="Times New Roman" w:hAnsi="Times New Roman" w:cs="Times New Roman"/>
        </w:rPr>
        <w:t xml:space="preserve"> Theory explains the motivation of multinational enterprises to undertake FDI by </w:t>
      </w:r>
      <w:r w:rsidRPr="005C337E">
        <w:rPr>
          <w:rFonts w:ascii="Times New Roman" w:hAnsi="Times New Roman" w:cs="Times New Roman"/>
          <w:highlight w:val="yellow"/>
        </w:rPr>
        <w:t>emphasising</w:t>
      </w:r>
      <w:r w:rsidRPr="005C337E">
        <w:rPr>
          <w:rFonts w:ascii="Times New Roman" w:hAnsi="Times New Roman" w:cs="Times New Roman"/>
        </w:rPr>
        <w:t xml:space="preserve"> the advantages of conducting activities internally rather than relying on external </w:t>
      </w:r>
      <w:r w:rsidRPr="005C337E">
        <w:rPr>
          <w:rFonts w:ascii="Times New Roman" w:hAnsi="Times New Roman" w:cs="Times New Roman"/>
        </w:rPr>
        <w:lastRenderedPageBreak/>
        <w:t xml:space="preserve">markets. The theory originated from the work of Buckley and Casson and was subsequently developed by scholars including Hennart (1982) and Hymer (1976). Hymer </w:t>
      </w:r>
      <w:r w:rsidRPr="005C337E">
        <w:rPr>
          <w:rFonts w:ascii="Times New Roman" w:hAnsi="Times New Roman" w:cs="Times New Roman"/>
          <w:highlight w:val="yellow"/>
        </w:rPr>
        <w:t>emphasised</w:t>
      </w:r>
      <w:r w:rsidRPr="005C337E">
        <w:rPr>
          <w:rFonts w:ascii="Times New Roman" w:hAnsi="Times New Roman" w:cs="Times New Roman"/>
        </w:rPr>
        <w:t xml:space="preserve"> firm-specific advantages and the costs associated with operating in foreign markets. </w:t>
      </w:r>
    </w:p>
    <w:p w14:paraId="1864889A" w14:textId="77777777" w:rsidR="00226E13" w:rsidRPr="005C337E" w:rsidRDefault="00226E13" w:rsidP="00226E13">
      <w:pPr>
        <w:spacing w:after="0"/>
        <w:jc w:val="both"/>
        <w:rPr>
          <w:rFonts w:ascii="Times New Roman" w:hAnsi="Times New Roman" w:cs="Times New Roman"/>
        </w:rPr>
      </w:pPr>
    </w:p>
    <w:p w14:paraId="63D9367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highlight w:val="yellow"/>
        </w:rPr>
        <w:t>Internalisation</w:t>
      </w:r>
      <w:r w:rsidRPr="005C337E">
        <w:rPr>
          <w:rFonts w:ascii="Times New Roman" w:hAnsi="Times New Roman" w:cs="Times New Roman"/>
        </w:rPr>
        <w:t xml:space="preserve"> provides a useful perspective for understanding FDI because multinational corporations consider the costs, risks and advantages associated with operating in foreign markets. The macroeconomic environment of the host country can therefore influence the decision to </w:t>
      </w:r>
      <w:r w:rsidRPr="005C337E">
        <w:rPr>
          <w:rFonts w:ascii="Times New Roman" w:hAnsi="Times New Roman" w:cs="Times New Roman"/>
          <w:highlight w:val="yellow"/>
        </w:rPr>
        <w:t>internalise</w:t>
      </w:r>
      <w:r w:rsidRPr="005C337E">
        <w:rPr>
          <w:rFonts w:ascii="Times New Roman" w:hAnsi="Times New Roman" w:cs="Times New Roman"/>
        </w:rPr>
        <w:t xml:space="preserve"> activities through FDI.</w:t>
      </w:r>
    </w:p>
    <w:p w14:paraId="1F0B47C0" w14:textId="77777777" w:rsidR="00521347" w:rsidRPr="005C337E" w:rsidRDefault="00521347" w:rsidP="001F0F12">
      <w:pPr>
        <w:jc w:val="both"/>
        <w:rPr>
          <w:rFonts w:ascii="Times New Roman" w:hAnsi="Times New Roman" w:cs="Times New Roman"/>
        </w:rPr>
      </w:pPr>
    </w:p>
    <w:p w14:paraId="0ECC6665"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2.1.4 Interest Rate Parity Theory</w:t>
      </w:r>
    </w:p>
    <w:p w14:paraId="5280FBC5" w14:textId="77777777" w:rsidR="001F0F12" w:rsidRPr="005C337E" w:rsidRDefault="001F0F12" w:rsidP="00CD3D5D">
      <w:pPr>
        <w:spacing w:after="0"/>
        <w:jc w:val="both"/>
        <w:rPr>
          <w:rFonts w:ascii="Times New Roman" w:hAnsi="Times New Roman" w:cs="Times New Roman"/>
        </w:rPr>
      </w:pPr>
      <w:r w:rsidRPr="005C337E">
        <w:rPr>
          <w:rFonts w:ascii="Times New Roman" w:hAnsi="Times New Roman" w:cs="Times New Roman"/>
        </w:rPr>
        <w:t>Interest Rate Parity Theory explains the relationship between interest rates and exchange rates in international financial markets. The theory is based on the principle that comparable assets should yield similar returns when expressed in a common currency under equilibrium conditions. Differences between domestic and foreign interest rates are therefore associated with movements in exchange rates (Dornbusch, 1977)</w:t>
      </w:r>
      <w:r w:rsidR="00CD3D5D" w:rsidRPr="005C337E">
        <w:rPr>
          <w:rFonts w:ascii="Times New Roman" w:hAnsi="Times New Roman" w:cs="Times New Roman"/>
          <w:color w:val="000000" w:themeColor="text1"/>
        </w:rPr>
        <w:t xml:space="preserve">. </w:t>
      </w:r>
      <w:r w:rsidRPr="005C337E">
        <w:rPr>
          <w:rFonts w:ascii="Times New Roman" w:hAnsi="Times New Roman" w:cs="Times New Roman"/>
        </w:rPr>
        <w:t>The theory is relevant to this study because both interest rates and exchange rates are among the selected macroeconomic variables examined in relation to FDI. Changes in domestic interest rates relative to international rates can affect expected returns on international assets and consequently influence the allocation of foreign capital.</w:t>
      </w:r>
    </w:p>
    <w:p w14:paraId="39478E8E" w14:textId="77777777" w:rsidR="00CD3D5D" w:rsidRPr="005C337E" w:rsidRDefault="00CD3D5D" w:rsidP="00CD3D5D">
      <w:pPr>
        <w:spacing w:after="0"/>
        <w:jc w:val="both"/>
        <w:rPr>
          <w:rFonts w:ascii="Times New Roman" w:hAnsi="Times New Roman" w:cs="Times New Roman"/>
        </w:rPr>
      </w:pPr>
    </w:p>
    <w:p w14:paraId="0934BD33"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2.1.5 International Fisher Effect Theory</w:t>
      </w:r>
    </w:p>
    <w:p w14:paraId="474AF850" w14:textId="77777777" w:rsidR="00B956CE" w:rsidRPr="005C337E" w:rsidRDefault="001F0F12" w:rsidP="00CD3D5D">
      <w:pPr>
        <w:spacing w:after="0"/>
        <w:jc w:val="both"/>
        <w:rPr>
          <w:rFonts w:ascii="Times New Roman" w:hAnsi="Times New Roman" w:cs="Times New Roman"/>
        </w:rPr>
      </w:pPr>
      <w:r w:rsidRPr="005C337E">
        <w:rPr>
          <w:rFonts w:ascii="Times New Roman" w:hAnsi="Times New Roman" w:cs="Times New Roman"/>
        </w:rPr>
        <w:t>The International Fisher Effect explains the relationship between interest rates, inflation and exchange rates. The theory proposes that differences in interest rates across countries are associated with expected changes in exchange rates, while nominal interest rates incorporate real returns and inflation expectations. High interest rates may therefore be associated with expectations of currency depreciation where they reflect high inflation (</w:t>
      </w:r>
      <w:r w:rsidR="00280A29" w:rsidRPr="005C337E">
        <w:rPr>
          <w:rFonts w:ascii="Times New Roman" w:hAnsi="Times New Roman" w:cs="Times New Roman"/>
          <w:color w:val="000000" w:themeColor="text1"/>
        </w:rPr>
        <w:t>Egilsson, 2020).</w:t>
      </w:r>
      <w:r w:rsidR="00CD3D5D" w:rsidRPr="005C337E">
        <w:rPr>
          <w:rFonts w:ascii="Times New Roman" w:hAnsi="Times New Roman" w:cs="Times New Roman"/>
          <w:color w:val="000000" w:themeColor="text1"/>
        </w:rPr>
        <w:t xml:space="preserve"> </w:t>
      </w:r>
      <w:r w:rsidRPr="005C337E">
        <w:rPr>
          <w:rFonts w:ascii="Times New Roman" w:hAnsi="Times New Roman" w:cs="Times New Roman"/>
        </w:rPr>
        <w:t>The theory is particularly relevant to the present study because it connects three of the selected macroeconomic variables: interest rates, inflation and exchange rates, and provides a theoretical basis for examining their potential implications for international investment decisions.</w:t>
      </w:r>
    </w:p>
    <w:p w14:paraId="2224E40A" w14:textId="77777777" w:rsidR="00CD3D5D" w:rsidRPr="005C337E" w:rsidRDefault="00CD3D5D" w:rsidP="00CD3D5D">
      <w:pPr>
        <w:spacing w:after="0"/>
        <w:jc w:val="both"/>
        <w:rPr>
          <w:rFonts w:ascii="Times New Roman" w:hAnsi="Times New Roman" w:cs="Times New Roman"/>
        </w:rPr>
      </w:pPr>
    </w:p>
    <w:p w14:paraId="7C4D1857" w14:textId="77777777" w:rsidR="00530B02" w:rsidRPr="005C337E" w:rsidRDefault="00530B02" w:rsidP="006B2893">
      <w:pPr>
        <w:spacing w:after="0"/>
        <w:jc w:val="both"/>
        <w:rPr>
          <w:rFonts w:ascii="Times New Roman" w:hAnsi="Times New Roman" w:cs="Times New Roman"/>
          <w:lang w:val="en-US"/>
        </w:rPr>
      </w:pPr>
      <w:r w:rsidRPr="005C337E">
        <w:rPr>
          <w:rFonts w:ascii="Times New Roman" w:hAnsi="Times New Roman" w:cs="Times New Roman"/>
          <w:b/>
          <w:bCs/>
          <w:lang w:val="en-US"/>
        </w:rPr>
        <w:t>2.2 Conceptual Framework</w:t>
      </w:r>
    </w:p>
    <w:p w14:paraId="34ABB11A" w14:textId="77777777" w:rsidR="00B956CE" w:rsidRPr="005C337E" w:rsidRDefault="00530B02" w:rsidP="006B2893">
      <w:pPr>
        <w:jc w:val="both"/>
        <w:rPr>
          <w:rFonts w:ascii="Times New Roman" w:hAnsi="Times New Roman" w:cs="Times New Roman"/>
          <w:lang w:val="en-US"/>
        </w:rPr>
      </w:pPr>
      <w:r w:rsidRPr="005C337E">
        <w:rPr>
          <w:rFonts w:ascii="Times New Roman" w:hAnsi="Times New Roman" w:cs="Times New Roman"/>
          <w:lang w:val="en-US"/>
        </w:rPr>
        <w:t xml:space="preserve">The conceptual framework illustrates the proposed relationship between selected macroeconomic drivers and foreign direct investment in Kenya. The framework </w:t>
      </w:r>
      <w:r w:rsidRPr="005C337E">
        <w:rPr>
          <w:rFonts w:ascii="Times New Roman" w:hAnsi="Times New Roman" w:cs="Times New Roman"/>
          <w:highlight w:val="yellow"/>
          <w:lang w:val="en-US"/>
        </w:rPr>
        <w:t>conceptualises</w:t>
      </w:r>
      <w:r w:rsidRPr="005C337E">
        <w:rPr>
          <w:rFonts w:ascii="Times New Roman" w:hAnsi="Times New Roman" w:cs="Times New Roman"/>
          <w:lang w:val="en-US"/>
        </w:rPr>
        <w:t xml:space="preserve"> real interest rate, inflation rate, economic growth and exchange rate as key macroeconomic conditions that shape the attractiveness of Kenya as a destination for foreign investment. Foreign direct investment represents the outcome variable. The framework is consistent with the study's theoretical foundations, particularly the Eclectic Paradigm, which </w:t>
      </w:r>
      <w:r w:rsidRPr="005C337E">
        <w:rPr>
          <w:rFonts w:ascii="Times New Roman" w:hAnsi="Times New Roman" w:cs="Times New Roman"/>
          <w:highlight w:val="yellow"/>
          <w:lang w:val="en-US"/>
        </w:rPr>
        <w:t>emphasises</w:t>
      </w:r>
      <w:r w:rsidRPr="005C337E">
        <w:rPr>
          <w:rFonts w:ascii="Times New Roman" w:hAnsi="Times New Roman" w:cs="Times New Roman"/>
          <w:lang w:val="en-US"/>
        </w:rPr>
        <w:t xml:space="preserve"> host-country location conditions in determining international investment decisions.</w:t>
      </w:r>
    </w:p>
    <w:p w14:paraId="39B5F0B6" w14:textId="77777777" w:rsidR="00B956CE" w:rsidRPr="005C337E" w:rsidRDefault="00B956CE" w:rsidP="00530B02">
      <w:pPr>
        <w:pageBreakBefore/>
        <w:jc w:val="both"/>
        <w:rPr>
          <w:rFonts w:ascii="Times New Roman" w:hAnsi="Times New Roman" w:cs="Times New Roman"/>
        </w:rPr>
      </w:pPr>
      <w:r w:rsidRPr="005C337E">
        <w:rPr>
          <w:noProof/>
          <w:sz w:val="6"/>
          <w:szCs w:val="6"/>
        </w:rPr>
        <w:lastRenderedPageBreak/>
        <mc:AlternateContent>
          <mc:Choice Requires="wpg">
            <w:drawing>
              <wp:anchor distT="0" distB="0" distL="114300" distR="114300" simplePos="0" relativeHeight="251659264" behindDoc="0" locked="0" layoutInCell="1" allowOverlap="1" wp14:anchorId="042FE97A" wp14:editId="6CEDC594">
                <wp:simplePos x="0" y="0"/>
                <wp:positionH relativeFrom="margin">
                  <wp:align>left</wp:align>
                </wp:positionH>
                <wp:positionV relativeFrom="paragraph">
                  <wp:posOffset>361950</wp:posOffset>
                </wp:positionV>
                <wp:extent cx="5264150" cy="2409825"/>
                <wp:effectExtent l="0" t="0" r="12700" b="28575"/>
                <wp:wrapTopAndBottom/>
                <wp:docPr id="12" name="Group 12"/>
                <wp:cNvGraphicFramePr/>
                <a:graphic xmlns:a="http://schemas.openxmlformats.org/drawingml/2006/main">
                  <a:graphicData uri="http://schemas.microsoft.com/office/word/2010/wordprocessingGroup">
                    <wpg:wgp>
                      <wpg:cNvGrpSpPr/>
                      <wpg:grpSpPr>
                        <a:xfrm>
                          <a:off x="0" y="0"/>
                          <a:ext cx="5264150" cy="2409825"/>
                          <a:chOff x="0" y="0"/>
                          <a:chExt cx="5264150" cy="2519616"/>
                        </a:xfrm>
                      </wpg:grpSpPr>
                      <wpg:grpSp>
                        <wpg:cNvPr id="4" name="Group 4"/>
                        <wpg:cNvGrpSpPr/>
                        <wpg:grpSpPr>
                          <a:xfrm>
                            <a:off x="0" y="0"/>
                            <a:ext cx="5264150" cy="2209491"/>
                            <a:chOff x="1" y="1"/>
                            <a:chExt cx="5264799" cy="2210109"/>
                          </a:xfrm>
                        </wpg:grpSpPr>
                        <wps:wsp>
                          <wps:cNvPr id="32" name="Text Box 32"/>
                          <wps:cNvSpPr txBox="1"/>
                          <wps:spPr>
                            <a:xfrm>
                              <a:off x="1" y="1"/>
                              <a:ext cx="2049779" cy="221010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7C1352" w14:textId="77777777" w:rsidR="00B956CE" w:rsidRDefault="00B956CE" w:rsidP="00B956CE">
                                <w:pPr>
                                  <w:spacing w:after="0" w:line="360" w:lineRule="auto"/>
                                  <w:rPr>
                                    <w:rFonts w:eastAsia="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6" name="Group 6"/>
                          <wpg:cNvGrpSpPr/>
                          <wpg:grpSpPr>
                            <a:xfrm>
                              <a:off x="87630" y="106651"/>
                              <a:ext cx="5177170" cy="1973900"/>
                              <a:chOff x="-104775" y="-208831"/>
                              <a:chExt cx="5177170" cy="2003271"/>
                            </a:xfrm>
                          </wpg:grpSpPr>
                          <wps:wsp>
                            <wps:cNvPr id="7" name="Rectangle 7"/>
                            <wps:cNvSpPr/>
                            <wps:spPr>
                              <a:xfrm>
                                <a:off x="-104775" y="-208831"/>
                                <a:ext cx="1520190" cy="427906"/>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D67510"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100965" y="275449"/>
                                <a:ext cx="1516380" cy="459370"/>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0E077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104775" y="797254"/>
                                <a:ext cx="1520190" cy="479095"/>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89077F"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104774" y="1330496"/>
                                <a:ext cx="1520190" cy="46394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62C6E1"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Straight Arrow Connector 15"/>
                            <wps:cNvCnPr/>
                            <wps:spPr>
                              <a:xfrm>
                                <a:off x="1419225" y="-12959"/>
                                <a:ext cx="438150" cy="0"/>
                              </a:xfrm>
                              <a:prstGeom prst="straightConnector1">
                                <a:avLst/>
                              </a:prstGeom>
                              <a:ln w="9525">
                                <a:solidFill>
                                  <a:schemeClr val="tx1"/>
                                </a:solidFill>
                                <a:tailEnd type="triangle"/>
                              </a:ln>
                            </wps:spPr>
                            <wps:style>
                              <a:lnRef idx="1">
                                <a:schemeClr val="dk1"/>
                              </a:lnRef>
                              <a:fillRef idx="0">
                                <a:schemeClr val="dk1"/>
                              </a:fillRef>
                              <a:effectRef idx="0">
                                <a:schemeClr val="dk1"/>
                              </a:effectRef>
                              <a:fontRef idx="minor">
                                <a:schemeClr val="tx1"/>
                              </a:fontRef>
                            </wps:style>
                            <wps:bodyPr/>
                          </wps:wsp>
                          <wps:wsp>
                            <wps:cNvPr id="16" name="Straight Arrow Connector 16"/>
                            <wps:cNvCnPr/>
                            <wps:spPr>
                              <a:xfrm>
                                <a:off x="1419225" y="510638"/>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7" name="Straight Arrow Connector 17"/>
                            <wps:cNvCnPr/>
                            <wps:spPr>
                              <a:xfrm>
                                <a:off x="1423036" y="1024064"/>
                                <a:ext cx="409575" cy="0"/>
                              </a:xfrm>
                              <a:prstGeom prst="straightConnector1">
                                <a:avLst/>
                              </a:prstGeom>
                              <a:noFill/>
                              <a:ln w="9525" cap="flat" cmpd="sng" algn="ctr">
                                <a:solidFill>
                                  <a:sysClr val="windowText" lastClr="000000"/>
                                </a:solidFill>
                                <a:prstDash val="solid"/>
                                <a:miter lim="800000"/>
                                <a:tailEnd type="triangle"/>
                              </a:ln>
                              <a:effectLst/>
                            </wps:spPr>
                            <wps:bodyPr/>
                          </wps:wsp>
                          <wps:wsp>
                            <wps:cNvPr id="18" name="Rectangle 18"/>
                            <wps:cNvSpPr/>
                            <wps:spPr>
                              <a:xfrm>
                                <a:off x="3069358" y="360540"/>
                                <a:ext cx="2003037" cy="663524"/>
                              </a:xfrm>
                              <a:prstGeom prst="rect">
                                <a:avLst/>
                              </a:prstGeom>
                              <a:ln w="9525">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5F3917E"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Straight Arrow Connector 19"/>
                            <wps:cNvCnPr/>
                            <wps:spPr>
                              <a:xfrm>
                                <a:off x="1857375" y="786172"/>
                                <a:ext cx="1211983" cy="0"/>
                              </a:xfrm>
                              <a:prstGeom prst="straightConnector1">
                                <a:avLst/>
                              </a:prstGeom>
                              <a:ln w="9525">
                                <a:tailEnd type="triangle"/>
                              </a:ln>
                            </wps:spPr>
                            <wps:style>
                              <a:lnRef idx="1">
                                <a:schemeClr val="dk1"/>
                              </a:lnRef>
                              <a:fillRef idx="0">
                                <a:schemeClr val="dk1"/>
                              </a:fillRef>
                              <a:effectRef idx="0">
                                <a:schemeClr val="dk1"/>
                              </a:effectRef>
                              <a:fontRef idx="minor">
                                <a:schemeClr val="tx1"/>
                              </a:fontRef>
                            </wps:style>
                            <wps:bodyPr/>
                          </wps:wsp>
                        </wpg:grpSp>
                      </wpg:grpSp>
                      <wps:wsp>
                        <wps:cNvPr id="25" name="Straight Arrow Connector 25"/>
                        <wps:cNvCnPr/>
                        <wps:spPr>
                          <a:xfrm>
                            <a:off x="1607820" y="1844040"/>
                            <a:ext cx="409575" cy="0"/>
                          </a:xfrm>
                          <a:prstGeom prst="straightConnector1">
                            <a:avLst/>
                          </a:prstGeom>
                          <a:noFill/>
                          <a:ln w="6350" cap="flat" cmpd="sng" algn="ctr">
                            <a:solidFill>
                              <a:sysClr val="windowText" lastClr="000000"/>
                            </a:solidFill>
                            <a:prstDash val="solid"/>
                            <a:miter lim="800000"/>
                            <a:tailEnd type="triangle"/>
                          </a:ln>
                          <a:effectLst/>
                        </wps:spPr>
                        <wps:bodyPr/>
                      </wps:wsp>
                      <wps:wsp>
                        <wps:cNvPr id="5" name="Rectangle 5"/>
                        <wps:cNvSpPr/>
                        <wps:spPr>
                          <a:xfrm>
                            <a:off x="0" y="2230806"/>
                            <a:ext cx="1732915" cy="28881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38A07D3"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a:off x="3406140" y="1386840"/>
                            <a:ext cx="1732915" cy="293370"/>
                          </a:xfrm>
                          <a:prstGeom prst="rect">
                            <a:avLst/>
                          </a:prstGeom>
                          <a:ln w="12700">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60C36F57"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42FE97A" id="Group 12" o:spid="_x0000_s1026" style="position:absolute;left:0;text-align:left;margin-left:0;margin-top:28.5pt;width:414.5pt;height:189.75pt;z-index:251659264;mso-position-horizontal:left;mso-position-horizontal-relative:margin;mso-height-relative:margin" coordsize="52641,25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">
                <v:group id="Group 4" o:spid="_x0000_s1027" style="position:absolute;width:52641;height:22094" coordorigin="" coordsize="52647,22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type id="_x0000_t202" coordsize="21600,21600" o:spt="202" path="m,l,21600r21600,l21600,xe">
                    <v:stroke joinstyle="miter"/>
                    <v:path gradientshapeok="t" o:connecttype="rect"/>
                  </v:shapetype>
                  <v:shape id="Text Box 32" o:spid="_x0000_s1028" type="#_x0000_t202" style="position:absolute;width:20497;height:2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" fillcolor="white [3201]" strokeweight=".5pt">
                    <v:textbox>
                      <w:txbxContent>
                        <w:p w14:paraId="517C1352" w14:textId="77777777" w:rsidR="00B956CE" w:rsidRDefault="00B956CE" w:rsidP="00B956CE">
                          <w:pPr>
                            <w:spacing w:after="0" w:line="360" w:lineRule="auto"/>
                            <w:rPr>
                              <w:rFonts w:eastAsia="Calibri"/>
                              <w:b/>
                            </w:rPr>
                          </w:pPr>
                        </w:p>
                      </w:txbxContent>
                    </v:textbox>
                  </v:shape>
                  <v:group id="Group 6" o:spid="_x0000_s1029" style="position:absolute;left:876;top:1066;width:51772;height:19739" coordorigin="-1047,-2088" coordsize="51771,20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ect id="Rectangle 7" o:spid="_x0000_s1030" style="position:absolute;left:-1047;top:-2088;width:15201;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" fillcolor="white [3201]" strokecolor="black [3213]" strokeweight=".5pt">
                      <v:textbox>
                        <w:txbxContent>
                          <w:p w14:paraId="6FD67510" w14:textId="77777777" w:rsidR="00B956CE" w:rsidRPr="00B956CE" w:rsidRDefault="00B956CE" w:rsidP="00B956CE">
                            <w:pPr>
                              <w:spacing w:after="0"/>
                              <w:rPr>
                                <w:rFonts w:ascii="Times New Roman" w:hAnsi="Times New Roman" w:cs="Times New Roman"/>
                              </w:rPr>
                            </w:pPr>
                            <w:r w:rsidRPr="00B956CE">
                              <w:rPr>
                                <w:rFonts w:ascii="Times New Roman" w:hAnsi="Times New Roman" w:cs="Times New Roman"/>
                              </w:rPr>
                              <w:t>Interest Rate</w:t>
                            </w:r>
                          </w:p>
                        </w:txbxContent>
                      </v:textbox>
                    </v:rect>
                    <v:rect id="Rectangle 8" o:spid="_x0000_s1031" style="position:absolute;left:-1009;top:2754;width:15163;height:4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" fillcolor="white [3201]" strokecolor="black [3213]">
                      <v:textbox>
                        <w:txbxContent>
                          <w:p w14:paraId="260E077A"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Inflation Rate</w:t>
                            </w:r>
                          </w:p>
                        </w:txbxContent>
                      </v:textbox>
                    </v:rect>
                    <v:rect id="Rectangle 10" o:spid="_x0000_s1032" style="position:absolute;left:-1047;top:7972;width:15201;height:4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E+9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CFXn6RAfT6FwAA//8DAFBLAQItABQABgAIAAAAIQDb4fbL7gAAAIUBAAATAAAAAAAAAAAA&#10;AAAAAAAAAABbQ29udGVudF9UeXBlc10ueG1sUEsBAi0AFAAGAAgAAAAhAFr0LFu/AAAAFQEAAAsA&#10;AAAAAAAAAAAAAAAAHwEAAF9yZWxzLy5yZWxzUEsBAi0AFAAGAAgAAAAhACcUT73EAAAA2wAAAA8A&#10;AAAAAAAAAAAAAAAABwIAAGRycy9kb3ducmV2LnhtbFBLBQYAAAAAAwADALcAAAD4AgAAAAA=&#10;" fillcolor="white [3201]" strokecolor="black [3213]">
                      <v:textbox>
                        <w:txbxContent>
                          <w:p w14:paraId="0789077F"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Economic Growth</w:t>
                            </w:r>
                          </w:p>
                        </w:txbxContent>
                      </v:textbox>
                    </v:rect>
                    <v:rect id="Rectangle 13" o:spid="_x0000_s1033" style="position:absolute;left:-1047;top:13304;width:15201;height:46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" fillcolor="white [3201]" strokecolor="black [3213]">
                      <v:textbox>
                        <w:txbxContent>
                          <w:p w14:paraId="7862C6E1" w14:textId="77777777" w:rsidR="00B956CE" w:rsidRPr="00530B02" w:rsidRDefault="00B956CE" w:rsidP="00B956CE">
                            <w:pPr>
                              <w:rPr>
                                <w:rFonts w:ascii="Times New Roman" w:hAnsi="Times New Roman" w:cs="Times New Roman"/>
                              </w:rPr>
                            </w:pPr>
                            <w:r w:rsidRPr="00530B02">
                              <w:rPr>
                                <w:rFonts w:ascii="Times New Roman" w:hAnsi="Times New Roman" w:cs="Times New Roman"/>
                              </w:rPr>
                              <w:t>Exchange Rate</w:t>
                            </w:r>
                          </w:p>
                        </w:txbxContent>
                      </v:textbox>
                    </v:rect>
                    <v:shapetype id="_x0000_t32" coordsize="21600,21600" o:spt="32" o:oned="t" path="m,l21600,21600e" filled="f">
                      <v:path arrowok="t" fillok="f" o:connecttype="none"/>
                      <o:lock v:ext="edit" shapetype="t"/>
                    </v:shapetype>
                    <v:shape id="Straight Arrow Connector 15" o:spid="_x0000_s1034" type="#_x0000_t32" style="position:absolute;left:14192;top:-129;width:438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" strokecolor="black [3213]">
                      <v:stroke endarrow="block" joinstyle="miter"/>
                    </v:shape>
                    <v:shape id="Straight Arrow Connector 16" o:spid="_x0000_s1035" type="#_x0000_t32" style="position:absolute;left:14192;top:5106;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" strokecolor="windowText">
                      <v:stroke endarrow="block" joinstyle="miter"/>
                    </v:shape>
                    <v:shape id="Straight Arrow Connector 17" o:spid="_x0000_s1036" type="#_x0000_t32" style="position:absolute;left:14230;top:10240;width:40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" strokecolor="windowText">
                      <v:stroke endarrow="block" joinstyle="miter"/>
                    </v:shape>
                    <v:rect id="Rectangle 18" o:spid="_x0000_s1037" style="position:absolute;left:30693;top:3605;width:20030;height:6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" fillcolor="white [3201]" strokecolor="black [3213]">
                      <v:textbox>
                        <w:txbxContent>
                          <w:p w14:paraId="15F3917E" w14:textId="77777777" w:rsidR="00B956CE" w:rsidRPr="00530B02" w:rsidRDefault="00B956CE" w:rsidP="00B956CE">
                            <w:pPr>
                              <w:spacing w:after="0"/>
                              <w:rPr>
                                <w:rFonts w:ascii="Times New Roman" w:hAnsi="Times New Roman" w:cs="Times New Roman"/>
                              </w:rPr>
                            </w:pPr>
                            <w:r w:rsidRPr="00530B02">
                              <w:rPr>
                                <w:rFonts w:ascii="Times New Roman" w:hAnsi="Times New Roman" w:cs="Times New Roman"/>
                              </w:rPr>
                              <w:t>Foreign Direct Investment</w:t>
                            </w:r>
                          </w:p>
                        </w:txbxContent>
                      </v:textbox>
                    </v:rect>
                    <v:shape id="Straight Arrow Connector 19" o:spid="_x0000_s1038" type="#_x0000_t32" style="position:absolute;left:18573;top:7861;width:1212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" strokecolor="black [3200]">
                      <v:stroke endarrow="block" joinstyle="miter"/>
                    </v:shape>
                  </v:group>
                </v:group>
                <v:shape id="Straight Arrow Connector 25" o:spid="_x0000_s1039" type="#_x0000_t32" style="position:absolute;left:16078;top:18440;width:40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" strokecolor="windowText" strokeweight=".5pt">
                  <v:stroke endarrow="block" joinstyle="miter"/>
                </v:shape>
                <v:rect id="Rectangle 5" o:spid="_x0000_s1040" style="position:absolute;top:22308;width:17329;height:2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" fillcolor="white [3201]" strokecolor="white [3212]" strokeweight="1pt">
                  <v:textbox>
                    <w:txbxContent>
                      <w:p w14:paraId="638A07D3"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Independent Variable</w:t>
                        </w:r>
                      </w:p>
                    </w:txbxContent>
                  </v:textbox>
                </v:rect>
                <v:rect id="Rectangle 9" o:spid="_x0000_s1041" style="position:absolute;left:34061;top:13868;width:17329;height:2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" fillcolor="white [3201]" strokecolor="white [3212]" strokeweight="1pt">
                  <v:textbox>
                    <w:txbxContent>
                      <w:p w14:paraId="60C36F57" w14:textId="77777777" w:rsidR="00B956CE" w:rsidRPr="00530B02" w:rsidRDefault="00B956CE" w:rsidP="00B956CE">
                        <w:pPr>
                          <w:rPr>
                            <w:rFonts w:ascii="Times New Roman" w:hAnsi="Times New Roman" w:cs="Times New Roman"/>
                          </w:rPr>
                        </w:pPr>
                        <w:r w:rsidRPr="00530B02">
                          <w:rPr>
                            <w:rFonts w:ascii="Times New Roman" w:hAnsi="Times New Roman" w:cs="Times New Roman"/>
                            <w:bCs/>
                          </w:rPr>
                          <w:t>Dependent Variable</w:t>
                        </w:r>
                      </w:p>
                    </w:txbxContent>
                  </v:textbox>
                </v:rect>
                <w10:wrap type="topAndBottom" anchorx="margin"/>
              </v:group>
            </w:pict>
          </mc:Fallback>
        </mc:AlternateContent>
      </w:r>
    </w:p>
    <w:p w14:paraId="13E04DC9" w14:textId="77777777" w:rsidR="00C27914" w:rsidRPr="005C337E" w:rsidRDefault="00C27914" w:rsidP="00B956CE">
      <w:pPr>
        <w:spacing w:after="0" w:line="360" w:lineRule="auto"/>
        <w:ind w:left="10"/>
        <w:rPr>
          <w:rFonts w:ascii="Times New Roman" w:hAnsi="Times New Roman" w:cs="Times New Roman"/>
          <w:color w:val="000000" w:themeColor="text1"/>
        </w:rPr>
      </w:pPr>
      <w:r w:rsidRPr="005C337E">
        <w:rPr>
          <w:rFonts w:ascii="Times New Roman" w:hAnsi="Times New Roman" w:cs="Times New Roman"/>
          <w:color w:val="000000" w:themeColor="text1"/>
        </w:rPr>
        <w:t>Source: Author's conceptualization</w:t>
      </w:r>
    </w:p>
    <w:p w14:paraId="1F14DF6E" w14:textId="77777777" w:rsidR="00395FE8" w:rsidRPr="005C337E" w:rsidRDefault="00B956CE" w:rsidP="00395FE8">
      <w:pPr>
        <w:spacing w:after="0" w:line="360" w:lineRule="auto"/>
        <w:ind w:left="10"/>
        <w:rPr>
          <w:rFonts w:ascii="Times New Roman" w:hAnsi="Times New Roman" w:cs="Times New Roman"/>
          <w:color w:val="000000" w:themeColor="text1"/>
        </w:rPr>
      </w:pPr>
      <w:r w:rsidRPr="005C337E">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0D648BA1" wp14:editId="654D5AAE">
                <wp:simplePos x="0" y="0"/>
                <wp:positionH relativeFrom="column">
                  <wp:posOffset>2523490</wp:posOffset>
                </wp:positionH>
                <wp:positionV relativeFrom="paragraph">
                  <wp:posOffset>2752323</wp:posOffset>
                </wp:positionV>
                <wp:extent cx="19935" cy="11211"/>
                <wp:effectExtent l="0" t="0" r="37465" b="27305"/>
                <wp:wrapNone/>
                <wp:docPr id="26" name="Straight Connector 26"/>
                <wp:cNvGraphicFramePr/>
                <a:graphic xmlns:a="http://schemas.openxmlformats.org/drawingml/2006/main">
                  <a:graphicData uri="http://schemas.microsoft.com/office/word/2010/wordprocessingShape">
                    <wps:wsp>
                      <wps:cNvCnPr/>
                      <wps:spPr>
                        <a:xfrm flipV="1">
                          <a:off x="0" y="0"/>
                          <a:ext cx="19935" cy="11211"/>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C1B66D" id="Straight Connector 26"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98.7pt,216.7pt" to="200.25pt,2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" strokecolor="#4472c4 [3204]" strokeweight=".5pt">
                <v:stroke joinstyle="miter"/>
              </v:line>
            </w:pict>
          </mc:Fallback>
        </mc:AlternateContent>
      </w:r>
      <w:bookmarkStart w:id="0" w:name="_Toc106158321"/>
      <w:r w:rsidRPr="005C337E">
        <w:rPr>
          <w:rFonts w:ascii="Times New Roman" w:hAnsi="Times New Roman" w:cs="Times New Roman"/>
          <w:color w:val="000000" w:themeColor="text1"/>
        </w:rPr>
        <w:t xml:space="preserve">Figure </w:t>
      </w:r>
      <w:r w:rsidRPr="005C337E">
        <w:rPr>
          <w:rFonts w:ascii="Times New Roman" w:hAnsi="Times New Roman" w:cs="Times New Roman"/>
          <w:color w:val="000000" w:themeColor="text1"/>
        </w:rPr>
        <w:fldChar w:fldCharType="begin"/>
      </w:r>
      <w:r w:rsidRPr="005C337E">
        <w:rPr>
          <w:rFonts w:ascii="Times New Roman" w:hAnsi="Times New Roman" w:cs="Times New Roman"/>
          <w:color w:val="000000" w:themeColor="text1"/>
        </w:rPr>
        <w:instrText xml:space="preserve"> SEQ Figure \* ARABIC </w:instrText>
      </w:r>
      <w:r w:rsidRPr="005C337E">
        <w:rPr>
          <w:rFonts w:ascii="Times New Roman" w:hAnsi="Times New Roman" w:cs="Times New Roman"/>
          <w:color w:val="000000" w:themeColor="text1"/>
        </w:rPr>
        <w:fldChar w:fldCharType="separate"/>
      </w:r>
      <w:r w:rsidRPr="005C337E">
        <w:rPr>
          <w:rFonts w:ascii="Times New Roman" w:hAnsi="Times New Roman" w:cs="Times New Roman"/>
          <w:noProof/>
          <w:color w:val="000000" w:themeColor="text1"/>
        </w:rPr>
        <w:t>1</w:t>
      </w:r>
      <w:r w:rsidRPr="005C337E">
        <w:rPr>
          <w:rFonts w:ascii="Times New Roman" w:hAnsi="Times New Roman" w:cs="Times New Roman"/>
          <w:color w:val="000000" w:themeColor="text1"/>
        </w:rPr>
        <w:fldChar w:fldCharType="end"/>
      </w:r>
      <w:r w:rsidRPr="005C337E">
        <w:rPr>
          <w:rFonts w:ascii="Times New Roman" w:hAnsi="Times New Roman" w:cs="Times New Roman"/>
          <w:color w:val="000000" w:themeColor="text1"/>
        </w:rPr>
        <w:t>. Hypothesized Link between the predictor variables and predicted variable</w:t>
      </w:r>
      <w:bookmarkEnd w:id="0"/>
    </w:p>
    <w:p w14:paraId="7ECC3668" w14:textId="77777777" w:rsidR="00BF4264" w:rsidRPr="005C337E" w:rsidRDefault="00BF4264" w:rsidP="00395FE8">
      <w:pPr>
        <w:spacing w:after="0" w:line="360" w:lineRule="auto"/>
        <w:ind w:left="10"/>
        <w:rPr>
          <w:rFonts w:ascii="Times New Roman" w:hAnsi="Times New Roman" w:cs="Times New Roman"/>
          <w:color w:val="000000" w:themeColor="text1"/>
        </w:rPr>
      </w:pPr>
    </w:p>
    <w:p w14:paraId="7B501D80" w14:textId="77777777" w:rsidR="001F0F12" w:rsidRPr="005C337E" w:rsidRDefault="001F0F12" w:rsidP="001F0F12">
      <w:pPr>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 xml:space="preserve"> Empirical Review</w:t>
      </w:r>
    </w:p>
    <w:p w14:paraId="4B88C317"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.1 Interest Rate and Foreign Direct Investment</w:t>
      </w:r>
    </w:p>
    <w:p w14:paraId="58B1327B"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The empirical literature presents varying evidence concerning the relationship between interest rates and FDI. The thesis reports evidence of both positive and negative relationships depending on the country and study period. Studies examining Kenya have particularly identified interest rates as an important macroeconomic factor influencing FDI.</w:t>
      </w:r>
    </w:p>
    <w:p w14:paraId="20EA6C75" w14:textId="77777777" w:rsidR="00226E13" w:rsidRPr="005C337E" w:rsidRDefault="00226E13" w:rsidP="00226E13">
      <w:pPr>
        <w:spacing w:after="0"/>
        <w:jc w:val="both"/>
        <w:rPr>
          <w:rFonts w:ascii="Times New Roman" w:hAnsi="Times New Roman" w:cs="Times New Roman"/>
        </w:rPr>
      </w:pPr>
    </w:p>
    <w:p w14:paraId="5C4F7AD3"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Karau and Ng’ang’a (2019), for example, examined the effects of selected macroeconomic variables on FDI using data covering 1970–2010. The study considered inflation, exchange rates, tax rates, interest rates and balance of payments and employed multiple linear regression. The findings indicated a positive association between interest rates and FDI, while inflation and tax rates were negatively associated with FDI. The study recommended maintaining a stable macroeconomic environment to improve FDI. </w:t>
      </w:r>
    </w:p>
    <w:p w14:paraId="7027E4F0"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Musyoka and </w:t>
      </w:r>
      <w:proofErr w:type="spellStart"/>
      <w:r w:rsidRPr="005C337E">
        <w:rPr>
          <w:rFonts w:ascii="Times New Roman" w:hAnsi="Times New Roman" w:cs="Times New Roman"/>
        </w:rPr>
        <w:t>Ocharo</w:t>
      </w:r>
      <w:proofErr w:type="spellEnd"/>
      <w:r w:rsidRPr="005C337E">
        <w:rPr>
          <w:rFonts w:ascii="Times New Roman" w:hAnsi="Times New Roman" w:cs="Times New Roman"/>
        </w:rPr>
        <w:t xml:space="preserve"> (2018) examined the effects of real interest rates, inflation, exchange rates and competitiveness on FDI in Kenya using annual time-series data for 1970–2016. Using ordinary least squares regression, the study found that real interest rates and exchange rates had significant negative effects on FDI, while inflation had an insignificant effect. </w:t>
      </w:r>
    </w:p>
    <w:p w14:paraId="4586C7CB" w14:textId="77777777" w:rsidR="00DD7DC3" w:rsidRPr="005C337E" w:rsidRDefault="00DD7DC3" w:rsidP="001F0F12">
      <w:pPr>
        <w:jc w:val="both"/>
        <w:rPr>
          <w:rFonts w:ascii="Times New Roman" w:hAnsi="Times New Roman" w:cs="Times New Roman"/>
        </w:rPr>
      </w:pPr>
      <w:r w:rsidRPr="005C337E">
        <w:rPr>
          <w:rFonts w:ascii="Times New Roman" w:hAnsi="Times New Roman" w:cs="Times New Roman"/>
        </w:rPr>
        <w:t xml:space="preserve">Recent empirical literature further underscores the importance of interest-rate conditions for foreign investment. Kiplagat (2016) examined the effect of interest rates on foreign direct investment in Kenya and reported a meaningful relationship between interest-rate conditions and </w:t>
      </w:r>
      <w:r w:rsidRPr="005C337E">
        <w:rPr>
          <w:rFonts w:ascii="Times New Roman" w:hAnsi="Times New Roman" w:cs="Times New Roman"/>
        </w:rPr>
        <w:lastRenderedPageBreak/>
        <w:t>FDI. Karau and Ng’ang’a (2019) likewise found that interest rates were positively associated with FDI in Kenya, while inflation and tax rates were negatively associated with FDI.</w:t>
      </w:r>
    </w:p>
    <w:p w14:paraId="5EAB9348"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These findings demonstrate that the relationship between interest rates and FDI is not uniform and provide justification for further investigation using a longer Kenyan time series and a time-series model capable of examining both short-run and long-run relationships.</w:t>
      </w:r>
    </w:p>
    <w:p w14:paraId="773E1781"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.2 Inflation and Foreign Direct Investment</w:t>
      </w:r>
    </w:p>
    <w:p w14:paraId="2418B4B7"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Inflation can influence FDI through its effects on purchasing power, production costs, expected returns and economic uncertainty. The empirical evidence reviewed in the thesis, however, produces mixed results.</w:t>
      </w:r>
      <w:r w:rsidR="00CD3D5D" w:rsidRPr="005C337E">
        <w:rPr>
          <w:rFonts w:ascii="Times New Roman" w:hAnsi="Times New Roman" w:cs="Times New Roman"/>
        </w:rPr>
        <w:t xml:space="preserve"> </w:t>
      </w:r>
      <w:proofErr w:type="spellStart"/>
      <w:r w:rsidRPr="005C337E">
        <w:rPr>
          <w:rFonts w:ascii="Times New Roman" w:hAnsi="Times New Roman" w:cs="Times New Roman"/>
        </w:rPr>
        <w:t>Alshamsi</w:t>
      </w:r>
      <w:proofErr w:type="spellEnd"/>
      <w:r w:rsidRPr="005C337E">
        <w:rPr>
          <w:rFonts w:ascii="Times New Roman" w:hAnsi="Times New Roman" w:cs="Times New Roman"/>
        </w:rPr>
        <w:t xml:space="preserve"> et al. (2015) examined FDI in the United Arab Emirates using inflation and per capita economic growth as explanatory variables. Using an Autoregressive Distributed Lag model and data covering 1980–2013, the study found that inflation did not significantly affect FDI. </w:t>
      </w:r>
    </w:p>
    <w:p w14:paraId="62D985E7" w14:textId="77777777" w:rsidR="00521347" w:rsidRPr="005C337E" w:rsidRDefault="00521347" w:rsidP="00226E13">
      <w:pPr>
        <w:spacing w:after="0"/>
        <w:jc w:val="both"/>
        <w:rPr>
          <w:rFonts w:ascii="Times New Roman" w:hAnsi="Times New Roman" w:cs="Times New Roman"/>
        </w:rPr>
      </w:pPr>
    </w:p>
    <w:p w14:paraId="4DF2DC50"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Usman and Ahmad (2018) examined the relationship among macroeconomic variables and foreign direct investment inflows in Pakistan and reported evidence of long-run relationships among the variables.</w:t>
      </w:r>
    </w:p>
    <w:p w14:paraId="78FACA64" w14:textId="77777777" w:rsidR="00DD7DC3" w:rsidRPr="005C337E" w:rsidRDefault="001F0F12" w:rsidP="001F0F12">
      <w:pPr>
        <w:jc w:val="both"/>
        <w:rPr>
          <w:rFonts w:ascii="Times New Roman" w:hAnsi="Times New Roman" w:cs="Times New Roman"/>
        </w:rPr>
      </w:pPr>
      <w:r w:rsidRPr="005C337E">
        <w:rPr>
          <w:rFonts w:ascii="Times New Roman" w:hAnsi="Times New Roman" w:cs="Times New Roman"/>
        </w:rPr>
        <w:t xml:space="preserve">In Kenya, Nduati (2018) used OLS to examine the effect of inflation on FDI using time-series data covering 2008–2017. The study found that increasing inflation reduced FDI. However, the relatively short study period limited the extent to which the findings could capture long-term dynamics. Karau and Ng’ang’a (2019) similarly found an undesirable relationship between inflation and FDI in Kenya. </w:t>
      </w:r>
    </w:p>
    <w:p w14:paraId="48335CA8" w14:textId="77777777" w:rsidR="00DD7DC3" w:rsidRPr="005C337E" w:rsidRDefault="00DD7DC3" w:rsidP="001F0F12">
      <w:pPr>
        <w:jc w:val="both"/>
        <w:rPr>
          <w:rFonts w:ascii="Times New Roman" w:hAnsi="Times New Roman" w:cs="Times New Roman"/>
        </w:rPr>
      </w:pPr>
      <w:r w:rsidRPr="005C337E">
        <w:rPr>
          <w:rFonts w:ascii="Times New Roman" w:hAnsi="Times New Roman" w:cs="Times New Roman"/>
        </w:rPr>
        <w:t>Expanding on these findings, the World Bank (2023) reported that inflationary and external pressures remained important constraints on Kenya’s macroeconomic environment. Nduati (2018), using Kenyan time-series data for 2008–2017, found that higher inflation was associated with lower foreign direct investment, reinforcing the importance of price stability for investment attraction.</w:t>
      </w:r>
    </w:p>
    <w:p w14:paraId="75767C75"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The differences in findings across studies indicate the need for additional evidence based on a longer time series.</w:t>
      </w:r>
    </w:p>
    <w:p w14:paraId="5D919621"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.3 Economic Growth and Foreign Direct Investment</w:t>
      </w:r>
    </w:p>
    <w:p w14:paraId="3539531F"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Economic growth and FDI may influence each other through market expansion, capital accumulation, productivity and technological spillovers. The studies reviewed in the thesis generally indicate an association between economic growth and FDI, although the direction and strength of the relationship vary across countries.</w:t>
      </w:r>
    </w:p>
    <w:p w14:paraId="73368BA6" w14:textId="77777777" w:rsidR="00226E13" w:rsidRPr="005C337E" w:rsidRDefault="00226E13" w:rsidP="00226E13">
      <w:pPr>
        <w:spacing w:after="0"/>
        <w:jc w:val="both"/>
        <w:rPr>
          <w:rFonts w:ascii="Times New Roman" w:hAnsi="Times New Roman" w:cs="Times New Roman"/>
        </w:rPr>
      </w:pPr>
    </w:p>
    <w:p w14:paraId="0E9852C6" w14:textId="77777777" w:rsidR="001F0F12" w:rsidRPr="005C337E" w:rsidRDefault="001F0F12" w:rsidP="001F0F12">
      <w:pPr>
        <w:jc w:val="both"/>
        <w:rPr>
          <w:rFonts w:ascii="Times New Roman" w:hAnsi="Times New Roman" w:cs="Times New Roman"/>
        </w:rPr>
      </w:pPr>
      <w:proofErr w:type="spellStart"/>
      <w:r w:rsidRPr="005C337E">
        <w:rPr>
          <w:rFonts w:ascii="Times New Roman" w:hAnsi="Times New Roman" w:cs="Times New Roman"/>
        </w:rPr>
        <w:t>GuechHeang</w:t>
      </w:r>
      <w:proofErr w:type="spellEnd"/>
      <w:r w:rsidRPr="005C337E">
        <w:rPr>
          <w:rFonts w:ascii="Times New Roman" w:hAnsi="Times New Roman" w:cs="Times New Roman"/>
        </w:rPr>
        <w:t xml:space="preserve"> and </w:t>
      </w:r>
      <w:proofErr w:type="spellStart"/>
      <w:r w:rsidRPr="005C337E">
        <w:rPr>
          <w:rFonts w:ascii="Times New Roman" w:hAnsi="Times New Roman" w:cs="Times New Roman"/>
        </w:rPr>
        <w:t>Moolio</w:t>
      </w:r>
      <w:proofErr w:type="spellEnd"/>
      <w:r w:rsidRPr="005C337E">
        <w:rPr>
          <w:rFonts w:ascii="Times New Roman" w:hAnsi="Times New Roman" w:cs="Times New Roman"/>
        </w:rPr>
        <w:t xml:space="preserve"> (2013) examined the relationship between GDP and FDI in Cambodia using time-series data for 1993–2011. Simple regression analysis indicated a long-term relationship between economic development and FDI. </w:t>
      </w:r>
    </w:p>
    <w:p w14:paraId="04AC25F6"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lastRenderedPageBreak/>
        <w:t xml:space="preserve">Nosheen (2013) examined the effect of FDI on GDP in Pakistan using time-series data covering 1980–2010. Cointegration analysis indicated a </w:t>
      </w:r>
      <w:r w:rsidR="00280A29" w:rsidRPr="005C337E">
        <w:rPr>
          <w:rFonts w:ascii="Times New Roman" w:hAnsi="Times New Roman" w:cs="Times New Roman"/>
        </w:rPr>
        <w:t>favourable</w:t>
      </w:r>
      <w:r w:rsidRPr="005C337E">
        <w:rPr>
          <w:rFonts w:ascii="Times New Roman" w:hAnsi="Times New Roman" w:cs="Times New Roman"/>
        </w:rPr>
        <w:t xml:space="preserve"> long-term relationship between GDP and FDI. </w:t>
      </w:r>
    </w:p>
    <w:p w14:paraId="5B391267" w14:textId="77777777" w:rsidR="001F0F12" w:rsidRPr="005C337E" w:rsidRDefault="001F0F12" w:rsidP="001F0F12">
      <w:pPr>
        <w:jc w:val="both"/>
        <w:rPr>
          <w:rFonts w:ascii="Times New Roman" w:hAnsi="Times New Roman" w:cs="Times New Roman"/>
        </w:rPr>
      </w:pPr>
      <w:proofErr w:type="spellStart"/>
      <w:r w:rsidRPr="005C337E">
        <w:rPr>
          <w:rFonts w:ascii="Times New Roman" w:hAnsi="Times New Roman" w:cs="Times New Roman"/>
        </w:rPr>
        <w:t>Koojaroenprasit</w:t>
      </w:r>
      <w:proofErr w:type="spellEnd"/>
      <w:r w:rsidRPr="005C337E">
        <w:rPr>
          <w:rFonts w:ascii="Times New Roman" w:hAnsi="Times New Roman" w:cs="Times New Roman"/>
        </w:rPr>
        <w:t xml:space="preserve"> (2012) examined the impact of FDI on economic growth in Korea using panel data covering 1980–2009. The study found a positive relationship between FDI and GDP. </w:t>
      </w:r>
    </w:p>
    <w:p w14:paraId="3783D08F"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In Kenya, </w:t>
      </w:r>
      <w:proofErr w:type="spellStart"/>
      <w:r w:rsidRPr="005C337E">
        <w:rPr>
          <w:rFonts w:ascii="Times New Roman" w:hAnsi="Times New Roman" w:cs="Times New Roman"/>
        </w:rPr>
        <w:t>Wasseja</w:t>
      </w:r>
      <w:proofErr w:type="spellEnd"/>
      <w:r w:rsidRPr="005C337E">
        <w:rPr>
          <w:rFonts w:ascii="Times New Roman" w:hAnsi="Times New Roman" w:cs="Times New Roman"/>
        </w:rPr>
        <w:t xml:space="preserve"> and Mwenda (2015) examined determinants of FDI using data from the 1980s to 2013 and an OLS model. The study found that the economic growth rate was a key factor influencing FDI inflows, while openness, inflation and exchange rates also significantly influenced FDI. </w:t>
      </w:r>
    </w:p>
    <w:p w14:paraId="56E4E14E" w14:textId="77777777" w:rsidR="00791F0B" w:rsidRPr="005C337E" w:rsidRDefault="005C2006" w:rsidP="001F0F12">
      <w:pPr>
        <w:jc w:val="both"/>
        <w:rPr>
          <w:rFonts w:ascii="Times New Roman" w:hAnsi="Times New Roman" w:cs="Times New Roman"/>
        </w:rPr>
      </w:pPr>
      <w:r w:rsidRPr="005C337E">
        <w:rPr>
          <w:rFonts w:ascii="Times New Roman" w:hAnsi="Times New Roman" w:cs="Times New Roman"/>
        </w:rPr>
        <w:t>Contemporary empirical studies continue to examine the interaction between FDI and economic growth. Mensah et al. (2024) showed that the growth effects of FDI in selected Sub-Saharan African economies vary with inflation conditions. Specifically for Kenya, Odhiambo (2022) found a unidirectional causal relationship running from economic growth to FDI over 1980–2018, supporting the view that stronger domestic economic performance can attract foreign capital.</w:t>
      </w:r>
    </w:p>
    <w:p w14:paraId="25A441A2"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3</w:t>
      </w:r>
      <w:r w:rsidRPr="005C337E">
        <w:rPr>
          <w:rFonts w:ascii="Times New Roman" w:hAnsi="Times New Roman" w:cs="Times New Roman"/>
          <w:b/>
          <w:bCs/>
        </w:rPr>
        <w:t>.4 Exchange Rate and Foreign Direct Investment</w:t>
      </w:r>
    </w:p>
    <w:p w14:paraId="2976A497" w14:textId="77777777" w:rsidR="001F0F12" w:rsidRPr="005C337E" w:rsidRDefault="001F0F12" w:rsidP="00226E13">
      <w:pPr>
        <w:spacing w:after="0"/>
        <w:jc w:val="both"/>
        <w:rPr>
          <w:rFonts w:ascii="Times New Roman" w:hAnsi="Times New Roman" w:cs="Times New Roman"/>
        </w:rPr>
      </w:pPr>
      <w:r w:rsidRPr="005C337E">
        <w:rPr>
          <w:rFonts w:ascii="Times New Roman" w:hAnsi="Times New Roman" w:cs="Times New Roman"/>
        </w:rPr>
        <w:t>Exchange-rate movements can influence FDI by affecting production costs, investment returns and the relative attractiveness of host-country assets. However, empirical evidence concerning the direction of this relationship is mixed.</w:t>
      </w:r>
    </w:p>
    <w:p w14:paraId="47950C4C" w14:textId="77777777" w:rsidR="00226E13" w:rsidRPr="005C337E" w:rsidRDefault="00226E13" w:rsidP="00226E13">
      <w:pPr>
        <w:spacing w:after="0"/>
        <w:jc w:val="both"/>
        <w:rPr>
          <w:rFonts w:ascii="Times New Roman" w:hAnsi="Times New Roman" w:cs="Times New Roman"/>
        </w:rPr>
      </w:pPr>
    </w:p>
    <w:p w14:paraId="3C05987A"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Goldberg and Kolstad (1995) examined foreign direct investment, exchange-rate variability and demand uncertainty using bilateral U.S. investment flows. Their findings showed that exchange-rate variability can influence firms’ international production-location decisions and the allocation of productive capacity abroad.</w:t>
      </w:r>
    </w:p>
    <w:p w14:paraId="3DB74422" w14:textId="77777777" w:rsidR="001F0F12" w:rsidRPr="005C337E" w:rsidRDefault="00280A29" w:rsidP="001F0F12">
      <w:pPr>
        <w:jc w:val="both"/>
        <w:rPr>
          <w:rFonts w:ascii="Times New Roman" w:hAnsi="Times New Roman" w:cs="Times New Roman"/>
        </w:rPr>
      </w:pPr>
      <w:r w:rsidRPr="005C337E">
        <w:rPr>
          <w:rFonts w:ascii="Times New Roman" w:hAnsi="Times New Roman" w:cs="Times New Roman"/>
          <w:color w:val="000000" w:themeColor="text1"/>
        </w:rPr>
        <w:t>Ekokotu et al. (2017)</w:t>
      </w:r>
      <w:r w:rsidR="001F0F12" w:rsidRPr="005C337E">
        <w:rPr>
          <w:rFonts w:ascii="Times New Roman" w:hAnsi="Times New Roman" w:cs="Times New Roman"/>
        </w:rPr>
        <w:t xml:space="preserve"> examined the relationship among inflation, exchange rates, FDI and economic development in Nigeria using a 30-year period and linear regression analysis. The study found that exchange rates affected FDI, although inflation had little effect. </w:t>
      </w:r>
    </w:p>
    <w:p w14:paraId="3ABD8E97"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Latief and Lefen (2018) investigated exchange-rate volatility, international trade and FDI in developing countries associated with the Belt and Road initiative. Their findings indicated that exchange-rate instability significantly affected FDI and international trade, with a negative effect in the countries associated with the Belt and Road initiative. </w:t>
      </w:r>
    </w:p>
    <w:p w14:paraId="15140037" w14:textId="77777777" w:rsidR="001F0F12" w:rsidRPr="005C337E" w:rsidRDefault="001F0F12" w:rsidP="001F0F12">
      <w:pPr>
        <w:jc w:val="both"/>
        <w:rPr>
          <w:rFonts w:ascii="Times New Roman" w:hAnsi="Times New Roman" w:cs="Times New Roman"/>
        </w:rPr>
      </w:pPr>
      <w:r w:rsidRPr="005C337E">
        <w:rPr>
          <w:rFonts w:ascii="Times New Roman" w:hAnsi="Times New Roman" w:cs="Times New Roman"/>
        </w:rPr>
        <w:t xml:space="preserve">Musyoka and </w:t>
      </w:r>
      <w:proofErr w:type="spellStart"/>
      <w:r w:rsidRPr="005C337E">
        <w:rPr>
          <w:rFonts w:ascii="Times New Roman" w:hAnsi="Times New Roman" w:cs="Times New Roman"/>
        </w:rPr>
        <w:t>Ocharo</w:t>
      </w:r>
      <w:proofErr w:type="spellEnd"/>
      <w:r w:rsidRPr="005C337E">
        <w:rPr>
          <w:rFonts w:ascii="Times New Roman" w:hAnsi="Times New Roman" w:cs="Times New Roman"/>
        </w:rPr>
        <w:t xml:space="preserve"> (2018) found that exchange rates had a significant negative effect on FDI in Kenya. Meftah and Nassour (2019), examining Turkey using data from 1974–2017 and a VECM, found a long-term causal relationship between exchange rates, inflation and FDI, although no factors had an immediate effect on FDI. </w:t>
      </w:r>
    </w:p>
    <w:p w14:paraId="3B58EACA" w14:textId="77777777" w:rsidR="005C2006" w:rsidRPr="005C337E" w:rsidRDefault="005C2006" w:rsidP="001F0F12">
      <w:pPr>
        <w:jc w:val="both"/>
        <w:rPr>
          <w:rFonts w:ascii="Times New Roman" w:hAnsi="Times New Roman" w:cs="Times New Roman"/>
        </w:rPr>
      </w:pPr>
      <w:r w:rsidRPr="005C337E">
        <w:rPr>
          <w:rFonts w:ascii="Times New Roman" w:hAnsi="Times New Roman" w:cs="Times New Roman"/>
        </w:rPr>
        <w:t xml:space="preserve">Recent studies emphasize exchange-rate stability as an important consideration for foreign investment. Asamoah et al. (2022), using African data, found that exchange-rate uncertainty can </w:t>
      </w:r>
      <w:r w:rsidRPr="005C337E">
        <w:rPr>
          <w:rFonts w:ascii="Times New Roman" w:hAnsi="Times New Roman" w:cs="Times New Roman"/>
        </w:rPr>
        <w:lastRenderedPageBreak/>
        <w:t>deter FDI and that the magnitude of this effect depends partly on the level of financial development.</w:t>
      </w:r>
    </w:p>
    <w:p w14:paraId="5D3412AF" w14:textId="77777777" w:rsidR="001F0F12" w:rsidRPr="005C337E" w:rsidRDefault="001F0F12" w:rsidP="00226E13">
      <w:pPr>
        <w:spacing w:after="0"/>
        <w:jc w:val="both"/>
        <w:rPr>
          <w:rFonts w:ascii="Times New Roman" w:hAnsi="Times New Roman" w:cs="Times New Roman"/>
          <w:b/>
          <w:bCs/>
        </w:rPr>
      </w:pPr>
      <w:r w:rsidRPr="005C337E">
        <w:rPr>
          <w:rFonts w:ascii="Times New Roman" w:hAnsi="Times New Roman" w:cs="Times New Roman"/>
          <w:b/>
          <w:bCs/>
        </w:rPr>
        <w:t>2.</w:t>
      </w:r>
      <w:r w:rsidR="00530B02" w:rsidRPr="005C337E">
        <w:rPr>
          <w:rFonts w:ascii="Times New Roman" w:hAnsi="Times New Roman" w:cs="Times New Roman"/>
          <w:b/>
          <w:bCs/>
        </w:rPr>
        <w:t>4</w:t>
      </w:r>
      <w:r w:rsidRPr="005C337E">
        <w:rPr>
          <w:rFonts w:ascii="Times New Roman" w:hAnsi="Times New Roman" w:cs="Times New Roman"/>
          <w:b/>
          <w:bCs/>
        </w:rPr>
        <w:t xml:space="preserve"> Synthesis and Research Gap</w:t>
      </w:r>
    </w:p>
    <w:p w14:paraId="31BDB278" w14:textId="77777777" w:rsidR="00A81C55" w:rsidRPr="005C337E" w:rsidRDefault="00A81C55" w:rsidP="00A81C55">
      <w:pPr>
        <w:jc w:val="both"/>
        <w:rPr>
          <w:rFonts w:ascii="Times New Roman" w:hAnsi="Times New Roman" w:cs="Times New Roman"/>
          <w:lang w:val="en-US"/>
        </w:rPr>
      </w:pPr>
      <w:r w:rsidRPr="005C337E">
        <w:rPr>
          <w:rFonts w:ascii="Times New Roman" w:hAnsi="Times New Roman" w:cs="Times New Roman"/>
          <w:lang w:val="en-US"/>
        </w:rPr>
        <w:t xml:space="preserve">The reviewed empirical evidence demonstrates that the relationship between selected macroeconomic variables and FDI is not consistent across countries or study periods. Interest rates have been found to have both positive and negative relationships with FDI; inflation has produced significant, insignificant, and weak relationships; economic growth has generally been associated with FDI but with differences in direction and causality; and exchange-rate effects have similarly varied across studies. </w:t>
      </w:r>
    </w:p>
    <w:p w14:paraId="557478D7" w14:textId="77777777" w:rsidR="00A81C55" w:rsidRPr="005C337E" w:rsidRDefault="00A81C55" w:rsidP="00A81C55">
      <w:pPr>
        <w:jc w:val="both"/>
        <w:rPr>
          <w:rFonts w:ascii="Times New Roman" w:hAnsi="Times New Roman" w:cs="Times New Roman"/>
          <w:lang w:val="en-US"/>
        </w:rPr>
      </w:pPr>
      <w:r w:rsidRPr="005C337E">
        <w:rPr>
          <w:rFonts w:ascii="Times New Roman" w:hAnsi="Times New Roman" w:cs="Times New Roman"/>
          <w:lang w:val="en-US"/>
        </w:rPr>
        <w:t xml:space="preserve">A further limitation of the reviewed studies is the relatively short study periods and differences in analytical approaches. Several Kenyan studies have relied on standard OLS or simple correlation analysis and have covered substantially shorter periods than the present study. For example, Nduati (2018) covered 2008–2017, while Musyoka and </w:t>
      </w:r>
      <w:proofErr w:type="spellStart"/>
      <w:r w:rsidRPr="005C337E">
        <w:rPr>
          <w:rFonts w:ascii="Times New Roman" w:hAnsi="Times New Roman" w:cs="Times New Roman"/>
          <w:lang w:val="en-US"/>
        </w:rPr>
        <w:t>Ocharo</w:t>
      </w:r>
      <w:proofErr w:type="spellEnd"/>
      <w:r w:rsidRPr="005C337E">
        <w:rPr>
          <w:rFonts w:ascii="Times New Roman" w:hAnsi="Times New Roman" w:cs="Times New Roman"/>
          <w:lang w:val="en-US"/>
        </w:rPr>
        <w:t xml:space="preserve"> (2018) covered 1970–2016. The present study extends the analysis to 1966–2019, providing 54 annual observations. </w:t>
      </w:r>
    </w:p>
    <w:p w14:paraId="704CA260" w14:textId="77777777" w:rsidR="00331217" w:rsidRPr="005C337E" w:rsidRDefault="00331217" w:rsidP="00331217">
      <w:pPr>
        <w:jc w:val="both"/>
        <w:rPr>
          <w:rFonts w:ascii="Times New Roman" w:hAnsi="Times New Roman" w:cs="Times New Roman"/>
          <w:lang w:val="en-US"/>
        </w:rPr>
      </w:pPr>
      <w:r w:rsidRPr="005C337E">
        <w:rPr>
          <w:rFonts w:ascii="Times New Roman" w:hAnsi="Times New Roman" w:cs="Times New Roman"/>
          <w:lang w:val="en-US"/>
        </w:rPr>
        <w:t xml:space="preserve">Methodological considerations also provide a strong rationale for this study. Whereas earlier literature frequently relied on basic regression methods or traditional cointegration techniques requiring uniform integration orders, such approaches become invalid when variables exhibit mixed stationary profiles. The present study overcomes these limitations by applying an Autoregressive Distributed Lag (ARDL) Bounds Testing and Error 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framework, which accommodates both </w:t>
      </w:r>
      <w:r w:rsidR="00BD5A0A" w:rsidRPr="005C337E">
        <w:rPr>
          <w:rFonts w:ascii="Times New Roman" w:hAnsi="Times New Roman" w:cs="Times New Roman"/>
          <w:lang w:val="en-US"/>
        </w:rPr>
        <w:t>I (</w:t>
      </w:r>
      <w:r w:rsidRPr="005C337E">
        <w:rPr>
          <w:rFonts w:ascii="Times New Roman" w:hAnsi="Times New Roman" w:cs="Times New Roman"/>
          <w:lang w:val="en-US"/>
        </w:rPr>
        <w:t xml:space="preserve">0) and </w:t>
      </w:r>
      <w:r w:rsidR="00BD5A0A" w:rsidRPr="005C337E">
        <w:rPr>
          <w:rFonts w:ascii="Times New Roman" w:hAnsi="Times New Roman" w:cs="Times New Roman"/>
          <w:lang w:val="en-US"/>
        </w:rPr>
        <w:t>I (</w:t>
      </w:r>
      <w:r w:rsidRPr="005C337E">
        <w:rPr>
          <w:rFonts w:ascii="Times New Roman" w:hAnsi="Times New Roman" w:cs="Times New Roman"/>
          <w:lang w:val="en-US"/>
        </w:rPr>
        <w:t xml:space="preserve">1) series, models dynamic short-term adjustments alongside long-run equilibrium, and controls for structural shocks across the </w:t>
      </w:r>
      <w:r w:rsidRPr="005C337E">
        <w:rPr>
          <w:rFonts w:ascii="Times New Roman" w:hAnsi="Times New Roman" w:cs="Times New Roman"/>
          <w:highlight w:val="yellow"/>
          <w:lang w:val="en-US"/>
        </w:rPr>
        <w:t>1966–2019 horizon.</w:t>
      </w:r>
    </w:p>
    <w:p w14:paraId="46FE27A6" w14:textId="77777777" w:rsidR="00B24BA0" w:rsidRPr="005C337E" w:rsidRDefault="00A81C55" w:rsidP="001F0F12">
      <w:pPr>
        <w:jc w:val="both"/>
        <w:rPr>
          <w:rFonts w:ascii="Times New Roman" w:hAnsi="Times New Roman" w:cs="Times New Roman"/>
          <w:lang w:val="en-US"/>
        </w:rPr>
      </w:pPr>
      <w:r w:rsidRPr="005C337E">
        <w:rPr>
          <w:rFonts w:ascii="Times New Roman" w:hAnsi="Times New Roman" w:cs="Times New Roman"/>
          <w:lang w:val="en-US"/>
        </w:rPr>
        <w:t xml:space="preserve">Consequently, this study addresses both the empirical and methodological gaps by examining the effects of real interest rate, inflation rate, economic growth, exchange rate, and structural disruptions on FDI in Kenya using a 54-year time series (1966–2019) within an ARDL bounds testing framework. </w:t>
      </w:r>
    </w:p>
    <w:p w14:paraId="1F43DF00" w14:textId="77777777" w:rsidR="00BD5A0A" w:rsidRPr="005C337E" w:rsidRDefault="00BD5A0A" w:rsidP="001F0F12">
      <w:pPr>
        <w:jc w:val="both"/>
        <w:rPr>
          <w:rFonts w:ascii="Times New Roman" w:hAnsi="Times New Roman" w:cs="Times New Roman"/>
          <w:lang w:val="en-US"/>
        </w:rPr>
      </w:pPr>
    </w:p>
    <w:p w14:paraId="09CED8B9" w14:textId="77777777" w:rsidR="00BD5A0A" w:rsidRPr="005C337E" w:rsidRDefault="00BD5A0A" w:rsidP="001F0F12">
      <w:pPr>
        <w:jc w:val="both"/>
        <w:rPr>
          <w:rFonts w:ascii="Times New Roman" w:hAnsi="Times New Roman" w:cs="Times New Roman"/>
          <w:lang w:val="en-US"/>
        </w:rPr>
      </w:pPr>
    </w:p>
    <w:p w14:paraId="5F5CDCE3" w14:textId="77777777" w:rsidR="00B24BA0" w:rsidRPr="005C337E" w:rsidRDefault="00B24BA0" w:rsidP="00B24BA0">
      <w:pPr>
        <w:jc w:val="both"/>
        <w:rPr>
          <w:rFonts w:ascii="Times New Roman" w:hAnsi="Times New Roman" w:cs="Times New Roman"/>
          <w:b/>
          <w:bCs/>
        </w:rPr>
      </w:pPr>
      <w:r w:rsidRPr="005C337E">
        <w:rPr>
          <w:rFonts w:ascii="Times New Roman" w:hAnsi="Times New Roman" w:cs="Times New Roman"/>
          <w:b/>
          <w:bCs/>
        </w:rPr>
        <w:t>3. METHODOLOGY</w:t>
      </w:r>
    </w:p>
    <w:p w14:paraId="0892ECB3"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t>3.1 Research Design</w:t>
      </w:r>
    </w:p>
    <w:p w14:paraId="078F48A7" w14:textId="77777777" w:rsidR="00321BDE" w:rsidRPr="005C337E" w:rsidRDefault="00B24BA0" w:rsidP="00226E13">
      <w:pPr>
        <w:spacing w:after="0"/>
        <w:jc w:val="both"/>
        <w:rPr>
          <w:rFonts w:ascii="Times New Roman" w:hAnsi="Times New Roman" w:cs="Times New Roman"/>
        </w:rPr>
      </w:pPr>
      <w:r w:rsidRPr="005C337E">
        <w:rPr>
          <w:rFonts w:ascii="Times New Roman" w:hAnsi="Times New Roman" w:cs="Times New Roman"/>
        </w:rPr>
        <w:t xml:space="preserve">The study employed a causal and time-series research design to examine the relationship between selected macroeconomic variables and foreign direct investment (FDI) in Kenya. The causal design was appropriate for examining whether changes in the selected independent variables were associated with changes in FDI, while the time-series design was appropriate because the study </w:t>
      </w:r>
      <w:r w:rsidR="00226E13" w:rsidRPr="005C337E">
        <w:rPr>
          <w:rFonts w:ascii="Times New Roman" w:hAnsi="Times New Roman" w:cs="Times New Roman"/>
        </w:rPr>
        <w:t>analysed</w:t>
      </w:r>
      <w:r w:rsidRPr="005C337E">
        <w:rPr>
          <w:rFonts w:ascii="Times New Roman" w:hAnsi="Times New Roman" w:cs="Times New Roman"/>
        </w:rPr>
        <w:t xml:space="preserve"> observations recorded over a defined period (Karvanen, 2015). </w:t>
      </w:r>
    </w:p>
    <w:p w14:paraId="1EE2D5EF" w14:textId="77777777" w:rsidR="00226E13" w:rsidRPr="005C337E" w:rsidRDefault="00226E13" w:rsidP="00226E13">
      <w:pPr>
        <w:spacing w:after="0"/>
        <w:jc w:val="both"/>
        <w:rPr>
          <w:rFonts w:ascii="Times New Roman" w:hAnsi="Times New Roman" w:cs="Times New Roman"/>
        </w:rPr>
      </w:pPr>
    </w:p>
    <w:p w14:paraId="7F35EC31"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lastRenderedPageBreak/>
        <w:t>3.2 Study Area, Population and Data</w:t>
      </w:r>
    </w:p>
    <w:p w14:paraId="52B300BF" w14:textId="77777777" w:rsidR="00624BC2" w:rsidRPr="005C337E" w:rsidRDefault="00624BC2" w:rsidP="00624BC2">
      <w:pPr>
        <w:jc w:val="both"/>
        <w:rPr>
          <w:rFonts w:ascii="Times New Roman" w:hAnsi="Times New Roman" w:cs="Times New Roman"/>
          <w:lang w:val="en-US"/>
        </w:rPr>
      </w:pPr>
      <w:r w:rsidRPr="005C337E">
        <w:rPr>
          <w:rFonts w:ascii="Times New Roman" w:hAnsi="Times New Roman" w:cs="Times New Roman"/>
          <w:lang w:val="en-US"/>
        </w:rPr>
        <w:t>The study was conducted in Kenya and examined the influence of selected macroeconomic variables on FDI over the period 1966–2019. Kenya was considered appropriate because it is a major commercial hub in East Africa and has historically been an important destination for foreign direct investment (</w:t>
      </w:r>
      <w:proofErr w:type="spellStart"/>
      <w:r w:rsidRPr="005C337E">
        <w:rPr>
          <w:rFonts w:ascii="Times New Roman" w:hAnsi="Times New Roman" w:cs="Times New Roman"/>
          <w:lang w:val="en-US"/>
        </w:rPr>
        <w:t>Gnangnon</w:t>
      </w:r>
      <w:proofErr w:type="spellEnd"/>
      <w:r w:rsidRPr="005C337E">
        <w:rPr>
          <w:rFonts w:ascii="Times New Roman" w:hAnsi="Times New Roman" w:cs="Times New Roman"/>
          <w:lang w:val="en-US"/>
        </w:rPr>
        <w:t>, 2017).</w:t>
      </w:r>
    </w:p>
    <w:p w14:paraId="38307D6C" w14:textId="77777777" w:rsidR="00B32B63" w:rsidRPr="005C337E" w:rsidRDefault="00624BC2" w:rsidP="00624BC2">
      <w:pPr>
        <w:jc w:val="both"/>
        <w:rPr>
          <w:rFonts w:ascii="Times New Roman" w:hAnsi="Times New Roman" w:cs="Times New Roman"/>
          <w:lang w:val="en-US"/>
        </w:rPr>
      </w:pPr>
      <w:r w:rsidRPr="005C337E">
        <w:rPr>
          <w:rFonts w:ascii="Times New Roman" w:hAnsi="Times New Roman" w:cs="Times New Roman"/>
          <w:lang w:val="en-US"/>
        </w:rPr>
        <w:t>The study population comprised annual observations of the variables of interest over the study period. The variables included real interest rate, inflation rate, economic growth, exchange rate and FDI inflows. The study used secondary time-series data covering 1966–2019.</w:t>
      </w:r>
    </w:p>
    <w:p w14:paraId="37487080" w14:textId="77777777" w:rsidR="00B32B63" w:rsidRPr="005C337E" w:rsidRDefault="00B32B63" w:rsidP="00624BC2">
      <w:pPr>
        <w:jc w:val="both"/>
        <w:rPr>
          <w:rFonts w:ascii="Times New Roman" w:hAnsi="Times New Roman" w:cs="Times New Roman"/>
          <w:lang w:val="en-US"/>
        </w:rPr>
      </w:pPr>
      <w:r w:rsidRPr="005C337E">
        <w:rPr>
          <w:rFonts w:ascii="Times New Roman" w:hAnsi="Times New Roman" w:cs="Times New Roman"/>
          <w:lang w:val="en-US"/>
        </w:rPr>
        <w:t xml:space="preserve">The data were obtained from the Kenya National Bureau of Statistics (KNBS) and supplemented with internationally compiled macroeconomic and balance-of-payments datasets and official historical economic records where necessary. Historical information on FDI, gross domestic product, inflation, interest rates and exchange rates was obtained from official economic reports, verified historical documents and internationally </w:t>
      </w:r>
      <w:r w:rsidRPr="005C337E">
        <w:rPr>
          <w:rFonts w:ascii="Times New Roman" w:hAnsi="Times New Roman" w:cs="Times New Roman"/>
          <w:highlight w:val="yellow"/>
          <w:lang w:val="en-US"/>
        </w:rPr>
        <w:t>recognised</w:t>
      </w:r>
      <w:r w:rsidRPr="005C337E">
        <w:rPr>
          <w:rFonts w:ascii="Times New Roman" w:hAnsi="Times New Roman" w:cs="Times New Roman"/>
          <w:lang w:val="en-US"/>
        </w:rPr>
        <w:t xml:space="preserve"> databases. For FDI, the study used foreign direct investment net inflows measured in current US dollars, consistent with the balance-of-payments definition of FDI as net investment inflows associated with a lasting management interest in an enterprise operating in an economy other than that of the investor. The World Bank's FDI series is compiled primarily from the International Monetary Fund's Balance of Payments database and is supplemented by UNCTAD and official national sources.</w:t>
      </w:r>
    </w:p>
    <w:p w14:paraId="7110B74A" w14:textId="77777777" w:rsidR="00530B02" w:rsidRPr="005C337E" w:rsidRDefault="00B32B63" w:rsidP="00B24BA0">
      <w:pPr>
        <w:jc w:val="both"/>
        <w:rPr>
          <w:rFonts w:ascii="Times New Roman" w:hAnsi="Times New Roman" w:cs="Times New Roman"/>
          <w:lang w:val="en-US"/>
        </w:rPr>
      </w:pPr>
      <w:r w:rsidRPr="005C337E">
        <w:rPr>
          <w:rFonts w:ascii="Times New Roman" w:hAnsi="Times New Roman" w:cs="Times New Roman"/>
          <w:lang w:val="en-US"/>
        </w:rPr>
        <w:t>Because the study relied on secondary data, a data-collection checklist was used to systematically compile the required observations. The checklist captured the independent variables: interest rate, inflation, gross domestic product and exchange rate, and the dependent variable, FDI. Given the long historical period covered by the study, the available observations were cross-checked against official historical economic records and internationally compiled sources to enhance data consistency and reliability. Historical balance-of-payments records confirm the existence of foreign-capital inflows into Kenya during the late 1960s; however, these historical records sometimes report broader categories of capital flows, including private long-term capital, rather than the specific foreign direct investment (FDI) net-inflows measure. Consequently, only observations that could be established as conceptually consistent with the study's FDI measure were retained, while unsupported observations were not generated through arbitrary estimation or imputation.</w:t>
      </w:r>
    </w:p>
    <w:p w14:paraId="29547517" w14:textId="77777777" w:rsidR="00B24BA0" w:rsidRPr="005C337E" w:rsidRDefault="00B24BA0" w:rsidP="00226E13">
      <w:pPr>
        <w:spacing w:after="0"/>
        <w:jc w:val="both"/>
        <w:rPr>
          <w:rFonts w:ascii="Times New Roman" w:hAnsi="Times New Roman" w:cs="Times New Roman"/>
          <w:b/>
          <w:bCs/>
        </w:rPr>
      </w:pPr>
      <w:r w:rsidRPr="005C337E">
        <w:rPr>
          <w:rFonts w:ascii="Times New Roman" w:hAnsi="Times New Roman" w:cs="Times New Roman"/>
          <w:b/>
          <w:bCs/>
        </w:rPr>
        <w:t>3.3 Measurement of Variables</w:t>
      </w:r>
    </w:p>
    <w:p w14:paraId="281CB9B7" w14:textId="77777777" w:rsidR="00B24BA0" w:rsidRPr="005C337E" w:rsidRDefault="00B24BA0" w:rsidP="00226E13">
      <w:pPr>
        <w:spacing w:after="0"/>
        <w:jc w:val="both"/>
        <w:rPr>
          <w:rFonts w:ascii="Times New Roman" w:hAnsi="Times New Roman" w:cs="Times New Roman"/>
        </w:rPr>
      </w:pPr>
      <w:r w:rsidRPr="005C337E">
        <w:rPr>
          <w:rFonts w:ascii="Times New Roman" w:hAnsi="Times New Roman" w:cs="Times New Roman"/>
        </w:rPr>
        <w:t>The dependent variable was foreign direct investment (FDI), while the explanatory variables were real interest rate, inflation rate, economic growth and exchange rate.</w:t>
      </w:r>
    </w:p>
    <w:p w14:paraId="710D6A75" w14:textId="77777777" w:rsidR="00226E13" w:rsidRPr="005C337E" w:rsidRDefault="00226E13" w:rsidP="00226E13">
      <w:pPr>
        <w:spacing w:after="0"/>
        <w:jc w:val="both"/>
        <w:rPr>
          <w:rFonts w:ascii="Times New Roman" w:hAnsi="Times New Roman" w:cs="Times New Roman"/>
        </w:rPr>
      </w:pPr>
    </w:p>
    <w:p w14:paraId="2ABA0790"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 xml:space="preserve">The variables were transformed into natural logarithms before estimation to facilitate the analysis and achieve a linear functional relationship. </w:t>
      </w:r>
    </w:p>
    <w:p w14:paraId="3DC0D8EF" w14:textId="77777777" w:rsidR="00B24BA0" w:rsidRPr="005C337E" w:rsidRDefault="00B24BA0" w:rsidP="00A059D0">
      <w:pPr>
        <w:spacing w:after="0"/>
        <w:jc w:val="both"/>
        <w:rPr>
          <w:rFonts w:ascii="Times New Roman" w:hAnsi="Times New Roman" w:cs="Times New Roman"/>
        </w:rPr>
      </w:pPr>
      <w:r w:rsidRPr="005C337E">
        <w:rPr>
          <w:rFonts w:ascii="Times New Roman" w:hAnsi="Times New Roman" w:cs="Times New Roman"/>
        </w:rPr>
        <w:t>Table 1: Operationalization of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7"/>
        <w:gridCol w:w="990"/>
        <w:gridCol w:w="2081"/>
        <w:gridCol w:w="3812"/>
      </w:tblGrid>
      <w:tr w:rsidR="00B24BA0" w:rsidRPr="005C337E" w14:paraId="63B8E06A" w14:textId="77777777" w:rsidTr="00BD5A0A">
        <w:trPr>
          <w:trHeight w:val="25"/>
        </w:trPr>
        <w:tc>
          <w:tcPr>
            <w:tcW w:w="0" w:type="auto"/>
            <w:tcBorders>
              <w:top w:val="single" w:sz="4" w:space="0" w:color="auto"/>
              <w:bottom w:val="single" w:sz="4" w:space="0" w:color="auto"/>
            </w:tcBorders>
            <w:hideMark/>
          </w:tcPr>
          <w:p w14:paraId="2A4F1674"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Variable</w:t>
            </w:r>
          </w:p>
        </w:tc>
        <w:tc>
          <w:tcPr>
            <w:tcW w:w="0" w:type="auto"/>
            <w:tcBorders>
              <w:top w:val="single" w:sz="4" w:space="0" w:color="auto"/>
              <w:bottom w:val="single" w:sz="4" w:space="0" w:color="auto"/>
            </w:tcBorders>
            <w:hideMark/>
          </w:tcPr>
          <w:p w14:paraId="371D1A83"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Symbol</w:t>
            </w:r>
          </w:p>
        </w:tc>
        <w:tc>
          <w:tcPr>
            <w:tcW w:w="0" w:type="auto"/>
            <w:tcBorders>
              <w:top w:val="single" w:sz="4" w:space="0" w:color="auto"/>
              <w:bottom w:val="single" w:sz="4" w:space="0" w:color="auto"/>
            </w:tcBorders>
            <w:hideMark/>
          </w:tcPr>
          <w:p w14:paraId="728EDA2B"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Role in the model</w:t>
            </w:r>
          </w:p>
        </w:tc>
        <w:tc>
          <w:tcPr>
            <w:tcW w:w="0" w:type="auto"/>
            <w:tcBorders>
              <w:top w:val="single" w:sz="4" w:space="0" w:color="auto"/>
              <w:bottom w:val="single" w:sz="4" w:space="0" w:color="auto"/>
            </w:tcBorders>
            <w:hideMark/>
          </w:tcPr>
          <w:p w14:paraId="6D54A7DE" w14:textId="77777777" w:rsidR="00B24BA0" w:rsidRPr="005C337E" w:rsidRDefault="00B24BA0" w:rsidP="00A059D0">
            <w:pPr>
              <w:jc w:val="both"/>
              <w:rPr>
                <w:rFonts w:ascii="Times New Roman" w:hAnsi="Times New Roman" w:cs="Times New Roman"/>
                <w:b/>
                <w:bCs/>
              </w:rPr>
            </w:pPr>
            <w:r w:rsidRPr="005C337E">
              <w:rPr>
                <w:rFonts w:ascii="Times New Roman" w:hAnsi="Times New Roman" w:cs="Times New Roman"/>
                <w:b/>
                <w:bCs/>
              </w:rPr>
              <w:t>Measurement</w:t>
            </w:r>
          </w:p>
        </w:tc>
      </w:tr>
      <w:tr w:rsidR="00B24BA0" w:rsidRPr="005C337E" w14:paraId="24391A9E" w14:textId="77777777" w:rsidTr="00BD5A0A">
        <w:tc>
          <w:tcPr>
            <w:tcW w:w="0" w:type="auto"/>
            <w:tcBorders>
              <w:top w:val="single" w:sz="4" w:space="0" w:color="auto"/>
            </w:tcBorders>
            <w:hideMark/>
          </w:tcPr>
          <w:p w14:paraId="46862A9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lastRenderedPageBreak/>
              <w:t>Foreign Direct Investment</w:t>
            </w:r>
          </w:p>
        </w:tc>
        <w:tc>
          <w:tcPr>
            <w:tcW w:w="0" w:type="auto"/>
            <w:tcBorders>
              <w:top w:val="single" w:sz="4" w:space="0" w:color="auto"/>
            </w:tcBorders>
            <w:hideMark/>
          </w:tcPr>
          <w:p w14:paraId="241C7B6F"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FDI</w:t>
            </w:r>
          </w:p>
        </w:tc>
        <w:tc>
          <w:tcPr>
            <w:tcW w:w="0" w:type="auto"/>
            <w:tcBorders>
              <w:top w:val="single" w:sz="4" w:space="0" w:color="auto"/>
            </w:tcBorders>
            <w:hideMark/>
          </w:tcPr>
          <w:p w14:paraId="73B81AFA"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Dependent variable</w:t>
            </w:r>
          </w:p>
        </w:tc>
        <w:tc>
          <w:tcPr>
            <w:tcW w:w="0" w:type="auto"/>
            <w:tcBorders>
              <w:top w:val="single" w:sz="4" w:space="0" w:color="auto"/>
            </w:tcBorders>
            <w:hideMark/>
          </w:tcPr>
          <w:p w14:paraId="78EFD7DC"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FDI inflows</w:t>
            </w:r>
          </w:p>
        </w:tc>
      </w:tr>
      <w:tr w:rsidR="00B24BA0" w:rsidRPr="005C337E" w14:paraId="3E9123A5" w14:textId="77777777" w:rsidTr="00BD5A0A">
        <w:tc>
          <w:tcPr>
            <w:tcW w:w="0" w:type="auto"/>
            <w:hideMark/>
          </w:tcPr>
          <w:p w14:paraId="3DBEF771"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Real Interest Rate</w:t>
            </w:r>
          </w:p>
        </w:tc>
        <w:tc>
          <w:tcPr>
            <w:tcW w:w="0" w:type="auto"/>
            <w:hideMark/>
          </w:tcPr>
          <w:p w14:paraId="62276DEF"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IR</w:t>
            </w:r>
          </w:p>
        </w:tc>
        <w:tc>
          <w:tcPr>
            <w:tcW w:w="0" w:type="auto"/>
            <w:hideMark/>
          </w:tcPr>
          <w:p w14:paraId="1DB1596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37BF3CE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Real interest rate</w:t>
            </w:r>
          </w:p>
        </w:tc>
      </w:tr>
      <w:tr w:rsidR="00B24BA0" w:rsidRPr="005C337E" w14:paraId="141E140E" w14:textId="77777777" w:rsidTr="00BD5A0A">
        <w:tc>
          <w:tcPr>
            <w:tcW w:w="0" w:type="auto"/>
            <w:hideMark/>
          </w:tcPr>
          <w:p w14:paraId="611138B9"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Inflation Rate</w:t>
            </w:r>
          </w:p>
        </w:tc>
        <w:tc>
          <w:tcPr>
            <w:tcW w:w="0" w:type="auto"/>
            <w:hideMark/>
          </w:tcPr>
          <w:p w14:paraId="6CB9EB7E"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w:t>
            </w:r>
          </w:p>
        </w:tc>
        <w:tc>
          <w:tcPr>
            <w:tcW w:w="0" w:type="auto"/>
            <w:hideMark/>
          </w:tcPr>
          <w:p w14:paraId="338C3C42"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25F070A4"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Inflation rate</w:t>
            </w:r>
          </w:p>
        </w:tc>
      </w:tr>
      <w:tr w:rsidR="00B24BA0" w:rsidRPr="005C337E" w14:paraId="6AA319C1" w14:textId="77777777" w:rsidTr="00BD5A0A">
        <w:tc>
          <w:tcPr>
            <w:tcW w:w="0" w:type="auto"/>
            <w:hideMark/>
          </w:tcPr>
          <w:p w14:paraId="60F413B5"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Economic Growth</w:t>
            </w:r>
          </w:p>
        </w:tc>
        <w:tc>
          <w:tcPr>
            <w:tcW w:w="0" w:type="auto"/>
            <w:hideMark/>
          </w:tcPr>
          <w:p w14:paraId="0EA4F08E"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EG</w:t>
            </w:r>
          </w:p>
        </w:tc>
        <w:tc>
          <w:tcPr>
            <w:tcW w:w="0" w:type="auto"/>
            <w:hideMark/>
          </w:tcPr>
          <w:p w14:paraId="68AD3D58"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591736E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Gross domestic product/economic growth</w:t>
            </w:r>
          </w:p>
        </w:tc>
      </w:tr>
      <w:tr w:rsidR="00B24BA0" w:rsidRPr="005C337E" w14:paraId="036536B3" w14:textId="77777777" w:rsidTr="00BD5A0A">
        <w:tc>
          <w:tcPr>
            <w:tcW w:w="0" w:type="auto"/>
            <w:hideMark/>
          </w:tcPr>
          <w:p w14:paraId="0E200464"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Exchange Rate</w:t>
            </w:r>
          </w:p>
        </w:tc>
        <w:tc>
          <w:tcPr>
            <w:tcW w:w="0" w:type="auto"/>
            <w:hideMark/>
          </w:tcPr>
          <w:p w14:paraId="7D552CCB"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ER</w:t>
            </w:r>
          </w:p>
        </w:tc>
        <w:tc>
          <w:tcPr>
            <w:tcW w:w="0" w:type="auto"/>
            <w:hideMark/>
          </w:tcPr>
          <w:p w14:paraId="47A457FD"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Independent variable</w:t>
            </w:r>
          </w:p>
        </w:tc>
        <w:tc>
          <w:tcPr>
            <w:tcW w:w="0" w:type="auto"/>
            <w:hideMark/>
          </w:tcPr>
          <w:p w14:paraId="06D062A6" w14:textId="77777777" w:rsidR="00B24BA0" w:rsidRPr="005C337E" w:rsidRDefault="00B24BA0" w:rsidP="00EB72D7">
            <w:pPr>
              <w:jc w:val="both"/>
              <w:rPr>
                <w:rFonts w:ascii="Times New Roman" w:hAnsi="Times New Roman" w:cs="Times New Roman"/>
              </w:rPr>
            </w:pPr>
            <w:r w:rsidRPr="005C337E">
              <w:rPr>
                <w:rFonts w:ascii="Times New Roman" w:hAnsi="Times New Roman" w:cs="Times New Roman"/>
              </w:rPr>
              <w:t>Exchange rate</w:t>
            </w:r>
          </w:p>
        </w:tc>
      </w:tr>
    </w:tbl>
    <w:p w14:paraId="5CF033F0" w14:textId="77777777" w:rsidR="00EB72D7" w:rsidRPr="005C337E" w:rsidRDefault="00A059D0" w:rsidP="00B37433">
      <w:pPr>
        <w:jc w:val="both"/>
        <w:rPr>
          <w:rFonts w:ascii="Times New Roman" w:hAnsi="Times New Roman" w:cs="Times New Roman"/>
        </w:rPr>
      </w:pPr>
      <w:r w:rsidRPr="005C337E">
        <w:rPr>
          <w:rFonts w:ascii="Times New Roman" w:hAnsi="Times New Roman" w:cs="Times New Roman"/>
        </w:rPr>
        <w:t>Source: Author</w:t>
      </w:r>
    </w:p>
    <w:p w14:paraId="06055FE6"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The study also incorporated a structural-break dummy variable to account for major disruptions occurring during the study period. The dummy captured the military coup of 1982, intertribal clashes of 1992, national hunger of 1997 and post-election violence of 2007. It was assigned a value of 1 in periods associated with the identified structural breaks and 0 otherwise.</w:t>
      </w:r>
    </w:p>
    <w:p w14:paraId="173CA8A3" w14:textId="77777777" w:rsidR="00B24BA0" w:rsidRPr="005C337E" w:rsidRDefault="00B24BA0" w:rsidP="00EB72D7">
      <w:pPr>
        <w:spacing w:after="0"/>
        <w:jc w:val="both"/>
        <w:rPr>
          <w:rFonts w:ascii="Times New Roman" w:hAnsi="Times New Roman" w:cs="Times New Roman"/>
          <w:b/>
          <w:bCs/>
        </w:rPr>
      </w:pPr>
      <w:r w:rsidRPr="005C337E">
        <w:rPr>
          <w:rFonts w:ascii="Times New Roman" w:hAnsi="Times New Roman" w:cs="Times New Roman"/>
          <w:b/>
          <w:bCs/>
        </w:rPr>
        <w:t>3.4 Model Specification</w:t>
      </w:r>
    </w:p>
    <w:p w14:paraId="0D1E43E5" w14:textId="77777777" w:rsidR="001C311B" w:rsidRPr="005C337E" w:rsidRDefault="001C311B" w:rsidP="00EB72D7">
      <w:pPr>
        <w:spacing w:after="0"/>
        <w:jc w:val="both"/>
        <w:rPr>
          <w:rFonts w:ascii="Times New Roman" w:hAnsi="Times New Roman" w:cs="Times New Roman"/>
        </w:rPr>
      </w:pPr>
      <w:r w:rsidRPr="005C337E">
        <w:rPr>
          <w:rFonts w:ascii="Times New Roman" w:hAnsi="Times New Roman" w:cs="Times New Roman"/>
          <w:highlight w:val="yellow"/>
        </w:rPr>
        <w:t>This study employed</w:t>
      </w:r>
      <w:r w:rsidRPr="005C337E">
        <w:rPr>
          <w:rFonts w:ascii="Times New Roman" w:hAnsi="Times New Roman" w:cs="Times New Roman"/>
        </w:rPr>
        <w:t xml:space="preserve"> an Error Correction Model (ECM) framework to examine the empirical relationship between Foreign Direct Investment (FDI) and selected macroeconomic variables in Kenya. The ECM </w:t>
      </w:r>
      <w:r w:rsidRPr="005C337E">
        <w:rPr>
          <w:rFonts w:ascii="Times New Roman" w:hAnsi="Times New Roman" w:cs="Times New Roman"/>
          <w:highlight w:val="yellow"/>
        </w:rPr>
        <w:t>framework was highly suited</w:t>
      </w:r>
      <w:r w:rsidRPr="005C337E">
        <w:rPr>
          <w:rFonts w:ascii="Times New Roman" w:hAnsi="Times New Roman" w:cs="Times New Roman"/>
        </w:rPr>
        <w:t xml:space="preserve"> for this analysis as it simultaneously captures the long-run equilibrium relationships among the variables and the short-run dynamics driving deviations from this equilibrium. The model combines short-run and long-run dynamics within a single system (Engle &amp; Granger, 1987).</w:t>
      </w:r>
    </w:p>
    <w:p w14:paraId="5D1F5107" w14:textId="77777777" w:rsidR="001C311B" w:rsidRPr="005C337E" w:rsidRDefault="001C311B" w:rsidP="00EB72D7">
      <w:pPr>
        <w:spacing w:after="0"/>
        <w:jc w:val="both"/>
        <w:rPr>
          <w:rFonts w:ascii="Times New Roman" w:hAnsi="Times New Roman" w:cs="Times New Roman"/>
        </w:rPr>
      </w:pPr>
    </w:p>
    <w:p w14:paraId="15745329" w14:textId="77777777" w:rsidR="001C311B" w:rsidRPr="005C337E" w:rsidRDefault="001C311B" w:rsidP="001C311B">
      <w:pPr>
        <w:spacing w:after="0"/>
        <w:jc w:val="both"/>
        <w:rPr>
          <w:rFonts w:ascii="Times New Roman" w:hAnsi="Times New Roman" w:cs="Times New Roman"/>
          <w:b/>
          <w:bCs/>
          <w:lang w:val="en-US"/>
        </w:rPr>
      </w:pPr>
      <w:r w:rsidRPr="005C337E">
        <w:rPr>
          <w:rFonts w:ascii="Times New Roman" w:hAnsi="Times New Roman" w:cs="Times New Roman"/>
          <w:b/>
          <w:bCs/>
          <w:lang w:val="en-US"/>
        </w:rPr>
        <w:t>3.4.1 Long-Run Equilibrium Model</w:t>
      </w:r>
    </w:p>
    <w:p w14:paraId="2AA708AA" w14:textId="77777777" w:rsidR="001C311B" w:rsidRPr="005C337E" w:rsidRDefault="001C311B" w:rsidP="001C311B">
      <w:pPr>
        <w:spacing w:after="0"/>
        <w:jc w:val="both"/>
        <w:rPr>
          <w:rFonts w:ascii="Times New Roman" w:hAnsi="Times New Roman" w:cs="Times New Roman"/>
          <w:lang w:val="en-US"/>
        </w:rPr>
      </w:pPr>
      <w:r w:rsidRPr="005C337E">
        <w:rPr>
          <w:rFonts w:ascii="Times New Roman" w:hAnsi="Times New Roman" w:cs="Times New Roman"/>
          <w:lang w:val="en-US"/>
        </w:rPr>
        <w:t>The long-run structural relationship is specified with the natural logarithm of foreign direct investment inflows as the dependent variable, determined by the real interest rate, inflation rate, economic growth, and the exchange rate. Additionally, a structural break dummy variable (</w:t>
      </w:r>
      <m:oMath>
        <m:sSub>
          <m:sSubPr>
            <m:ctrlPr>
              <w:rPr>
                <w:rFonts w:ascii="Cambria Math" w:hAnsi="Cambria Math" w:cs="Times New Roman"/>
                <w:i/>
              </w:rPr>
            </m:ctrlPr>
          </m:sSubPr>
          <m:e>
            <m:r>
              <m:rPr>
                <m:sty m:val="p"/>
              </m:rPr>
              <w:rPr>
                <w:rFonts w:ascii="Cambria Math" w:hAnsi="Cambria Math" w:cs="Times New Roman"/>
              </w:rPr>
              <m:t>DUM1</m:t>
            </m:r>
          </m:e>
          <m:sub>
            <m:r>
              <w:rPr>
                <w:rFonts w:ascii="Cambria Math" w:hAnsi="Cambria Math" w:cs="Times New Roman"/>
              </w:rPr>
              <m:t>t</m:t>
            </m:r>
          </m:sub>
        </m:sSub>
      </m:oMath>
      <w:r w:rsidRPr="005C337E">
        <w:rPr>
          <w:rFonts w:ascii="Times New Roman" w:hAnsi="Times New Roman" w:cs="Times New Roman"/>
          <w:lang w:val="en-US"/>
        </w:rPr>
        <w:t>) is incorporated into the model to account for major exogenous disruptions identified during the study period.</w:t>
      </w:r>
    </w:p>
    <w:p w14:paraId="65042125" w14:textId="77777777" w:rsidR="001C311B" w:rsidRPr="005C337E" w:rsidRDefault="001C311B" w:rsidP="001C311B">
      <w:pPr>
        <w:spacing w:after="0"/>
        <w:jc w:val="both"/>
        <w:rPr>
          <w:rFonts w:ascii="Times New Roman" w:hAnsi="Times New Roman" w:cs="Times New Roman"/>
          <w:lang w:val="en-US"/>
        </w:rPr>
      </w:pPr>
      <w:r w:rsidRPr="005C337E">
        <w:rPr>
          <w:rFonts w:ascii="Times New Roman" w:hAnsi="Times New Roman" w:cs="Times New Roman"/>
          <w:lang w:val="en-US"/>
        </w:rPr>
        <w:t xml:space="preserve">The long-run econometric model is expressed linearly as: </w:t>
      </w:r>
    </w:p>
    <w:p w14:paraId="6A787BE7" w14:textId="77777777" w:rsidR="00B24BA0" w:rsidRPr="005C337E" w:rsidRDefault="00B24BA0" w:rsidP="008A22A8">
      <w:pPr>
        <w:spacing w:after="0"/>
        <w:jc w:val="both"/>
        <w:rPr>
          <w:rFonts w:ascii="Times New Roman" w:hAnsi="Times New Roman" w:cs="Times New Roman"/>
        </w:rPr>
      </w:pPr>
      <w:r w:rsidRPr="005C337E">
        <w:rPr>
          <w:rFonts w:ascii="Times New Roman" w:hAnsi="Times New Roman" w:cs="Times New Roman"/>
        </w:rPr>
        <w:t xml:space="preserve"> </w:t>
      </w:r>
    </w:p>
    <w:p w14:paraId="2B36499A" w14:textId="77777777" w:rsidR="00B24BA0" w:rsidRPr="005C337E" w:rsidRDefault="00000000" w:rsidP="00B24BA0">
      <w:pPr>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m:t>
            </m:r>
          </m:sub>
        </m:sSub>
      </m:oMath>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2</m:t>
            </m:r>
          </m:sub>
        </m:sSub>
        <m:sSub>
          <m:sSubPr>
            <m:ctrlPr>
              <w:rPr>
                <w:rFonts w:ascii="Cambria Math" w:hAnsi="Cambria Math" w:cs="Times New Roman"/>
                <w:i/>
              </w:rPr>
            </m:ctrlPr>
          </m:sSubPr>
          <m:e>
            <m:r>
              <m:rPr>
                <m:sty m:val="p"/>
              </m:rPr>
              <w:rPr>
                <w:rFonts w:ascii="Cambria Math" w:hAnsi="Cambria Math" w:cs="Times New Roman"/>
              </w:rPr>
              <m:t>lnINFL</m:t>
            </m:r>
          </m:e>
          <m:sub>
            <m:r>
              <w:rPr>
                <w:rFonts w:ascii="Cambria Math" w:hAnsi="Cambria Math" w:cs="Times New Roman"/>
              </w:rPr>
              <m:t>t</m:t>
            </m:r>
          </m:sub>
        </m:sSub>
      </m:oMath>
      <w:r w:rsidR="00B31FF1" w:rsidRPr="005C337E">
        <w:rPr>
          <w:rFonts w:ascii="Times New Roman" w:hAnsi="Times New Roman" w:cs="Times New Roman"/>
        </w:rPr>
        <w:t xml:space="preserve"> </w:t>
      </w:r>
      <w:r w:rsidR="00B24BA0" w:rsidRPr="005C337E">
        <w:rPr>
          <w:rFonts w:ascii="Times New Roman" w:hAnsi="Times New Roman" w:cs="Times New Roman"/>
        </w:rPr>
        <w:t>​+</w:t>
      </w:r>
      <w:r w:rsidR="00B31FF1"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3</m:t>
            </m:r>
          </m:sub>
        </m:sSub>
        <m:sSub>
          <m:sSubPr>
            <m:ctrlPr>
              <w:rPr>
                <w:rFonts w:ascii="Cambria Math" w:hAnsi="Cambria Math" w:cs="Times New Roman"/>
                <w:i/>
              </w:rPr>
            </m:ctrlPr>
          </m:sSubPr>
          <m:e>
            <m:r>
              <m:rPr>
                <m:sty m:val="p"/>
              </m:rPr>
              <w:rPr>
                <w:rFonts w:ascii="Cambria Math" w:hAnsi="Cambria Math" w:cs="Times New Roman"/>
              </w:rPr>
              <m:t>lnEG</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4</m:t>
            </m:r>
          </m:sub>
        </m:sSub>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5</m:t>
            </m:r>
          </m:sub>
        </m:sSub>
        <m:sSub>
          <m:sSubPr>
            <m:ctrlPr>
              <w:rPr>
                <w:rFonts w:ascii="Cambria Math" w:hAnsi="Cambria Math" w:cs="Times New Roman"/>
                <w:i/>
              </w:rPr>
            </m:ctrlPr>
          </m:sSubPr>
          <m:e>
            <m:r>
              <m:rPr>
                <m:sty m:val="p"/>
              </m:rPr>
              <w:rPr>
                <w:rFonts w:ascii="Cambria Math" w:hAnsi="Cambria Math" w:cs="Times New Roman"/>
              </w:rPr>
              <m:t>lnDUM</m:t>
            </m:r>
          </m:e>
          <m:sub>
            <m:r>
              <w:rPr>
                <w:rFonts w:ascii="Cambria Math" w:hAnsi="Cambria Math" w:cs="Times New Roman"/>
              </w:rPr>
              <m:t>t</m:t>
            </m:r>
          </m:sub>
        </m:sSub>
      </m:oMath>
      <w:r w:rsidR="00B24BA0" w:rsidRPr="005C337E">
        <w:rPr>
          <w:rFonts w:ascii="Times New Roman" w:hAnsi="Times New Roman" w:cs="Times New Roman"/>
        </w:rPr>
        <w:t>+</w:t>
      </w:r>
      <w:r w:rsidR="002F0DB7"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B24BA0" w:rsidRPr="005C337E">
        <w:rPr>
          <w:rFonts w:ascii="Times New Roman" w:hAnsi="Times New Roman" w:cs="Times New Roman"/>
        </w:rPr>
        <w:t xml:space="preserve"> </w:t>
      </w:r>
    </w:p>
    <w:p w14:paraId="5CB25603" w14:textId="77777777" w:rsidR="00B24BA0" w:rsidRPr="005C337E" w:rsidRDefault="00B24BA0" w:rsidP="00B24BA0">
      <w:pPr>
        <w:jc w:val="both"/>
        <w:rPr>
          <w:rFonts w:ascii="Times New Roman" w:hAnsi="Times New Roman" w:cs="Times New Roman"/>
        </w:rPr>
      </w:pPr>
      <w:r w:rsidRPr="005C337E">
        <w:rPr>
          <w:rFonts w:ascii="Times New Roman" w:hAnsi="Times New Roman" w:cs="Times New Roman"/>
        </w:rPr>
        <w:t>where:</w:t>
      </w:r>
    </w:p>
    <w:p w14:paraId="409A8C5A"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foreign direct investment inflows at time t.</w:t>
      </w:r>
    </w:p>
    <w:p w14:paraId="04073BAE"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real interest rate at time t.</w:t>
      </w:r>
    </w:p>
    <w:p w14:paraId="248933AA"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INFL</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inflation rate at time t.</w:t>
      </w:r>
    </w:p>
    <w:p w14:paraId="3E8FD61A" w14:textId="77777777" w:rsidR="00F642F1" w:rsidRPr="005C337E" w:rsidRDefault="00000000" w:rsidP="00A059D0">
      <w:pPr>
        <w:numPr>
          <w:ilvl w:val="0"/>
          <w:numId w:val="1"/>
        </w:numPr>
        <w:spacing w:after="0"/>
        <w:jc w:val="both"/>
        <w:rPr>
          <w:rFonts w:ascii="Times New Roman" w:hAnsi="Times New Roman" w:cs="Times New Roman"/>
          <w:sz w:val="22"/>
          <w:szCs w:val="22"/>
        </w:rPr>
      </w:pPr>
      <m:oMath>
        <m:sSub>
          <m:sSubPr>
            <m:ctrlPr>
              <w:rPr>
                <w:rFonts w:ascii="Cambria Math" w:hAnsi="Cambria Math" w:cs="Times New Roman"/>
                <w:i/>
                <w:sz w:val="22"/>
                <w:szCs w:val="22"/>
              </w:rPr>
            </m:ctrlPr>
          </m:sSubPr>
          <m:e>
            <m:r>
              <m:rPr>
                <m:sty m:val="p"/>
              </m:rPr>
              <w:rPr>
                <w:rFonts w:ascii="Cambria Math" w:hAnsi="Cambria Math" w:cs="Times New Roman"/>
                <w:sz w:val="22"/>
                <w:szCs w:val="22"/>
              </w:rPr>
              <m:t>lnEG</m:t>
            </m:r>
          </m:e>
          <m:sub>
            <m:r>
              <w:rPr>
                <w:rFonts w:ascii="Cambria Math" w:hAnsi="Cambria Math" w:cs="Times New Roman"/>
                <w:sz w:val="22"/>
                <w:szCs w:val="22"/>
              </w:rPr>
              <m:t>t</m:t>
            </m:r>
          </m:sub>
        </m:sSub>
        <m:r>
          <m:rPr>
            <m:sty m:val="p"/>
          </m:rPr>
          <w:rPr>
            <w:rFonts w:ascii="Cambria Math" w:hAnsi="Cambria Math" w:cs="Times New Roman"/>
            <w:sz w:val="22"/>
            <w:szCs w:val="22"/>
          </w:rPr>
          <m:t>​= Natural logarithm of economic growth (Real GDP growth rate or proxy) at time t</m:t>
        </m:r>
      </m:oMath>
    </w:p>
    <w:p w14:paraId="2F157904"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Natural logarithm of the nominal/real effective exchange rate at time t.</w:t>
      </w:r>
    </w:p>
    <w:p w14:paraId="65D05290" w14:textId="77777777" w:rsidR="00B24BA0" w:rsidRPr="005C337E" w:rsidRDefault="00000000" w:rsidP="00F642F1">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m:rPr>
                <m:sty m:val="p"/>
              </m:rPr>
              <w:rPr>
                <w:rFonts w:ascii="Cambria Math" w:hAnsi="Cambria Math" w:cs="Times New Roman"/>
              </w:rPr>
              <m:t>DUM</m:t>
            </m:r>
          </m:e>
          <m:sub>
            <m:r>
              <w:rPr>
                <w:rFonts w:ascii="Cambria Math" w:hAnsi="Cambria Math" w:cs="Times New Roman"/>
              </w:rPr>
              <m:t>t</m:t>
            </m:r>
          </m:sub>
        </m:sSub>
      </m:oMath>
      <w:r w:rsidR="008A22A8" w:rsidRPr="005C337E">
        <w:rPr>
          <w:rFonts w:ascii="Times New Roman" w:eastAsiaTheme="minorEastAsia" w:hAnsi="Times New Roman" w:cs="Times New Roman"/>
        </w:rPr>
        <w:t xml:space="preserve"> = Structural break dummy variable (1 for periods post-disruption, 0 otherwise).</w:t>
      </w:r>
    </w:p>
    <w:p w14:paraId="03FC3C6D"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00B24BA0" w:rsidRPr="005C337E">
        <w:rPr>
          <w:rFonts w:ascii="Times New Roman" w:hAnsi="Times New Roman" w:cs="Times New Roman"/>
        </w:rPr>
        <w:t xml:space="preserve">​ = </w:t>
      </w:r>
      <w:r w:rsidR="008A22A8" w:rsidRPr="005C337E">
        <w:rPr>
          <w:rFonts w:ascii="Times New Roman" w:hAnsi="Times New Roman" w:cs="Times New Roman"/>
        </w:rPr>
        <w:t>Constant intercept term.</w:t>
      </w:r>
    </w:p>
    <w:p w14:paraId="7EA6DA77" w14:textId="77777777" w:rsidR="00B24BA0" w:rsidRPr="005C337E" w:rsidRDefault="00000000" w:rsidP="00A059D0">
      <w:pPr>
        <w:numPr>
          <w:ilvl w:val="0"/>
          <w:numId w:val="1"/>
        </w:numPr>
        <w:spacing w:after="0"/>
        <w:jc w:val="both"/>
        <w:rPr>
          <w:rFonts w:ascii="Times New Roman" w:hAnsi="Times New Roman" w:cs="Times New Roman"/>
        </w:rPr>
      </w:pP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1</m:t>
            </m:r>
          </m:sub>
        </m:sSub>
      </m:oMath>
      <w:r w:rsidR="00B24BA0" w:rsidRPr="005C337E">
        <w:rPr>
          <w:rFonts w:ascii="Times New Roman" w:hAnsi="Times New Roman" w:cs="Times New Roman"/>
        </w:rPr>
        <w:t>​−</w:t>
      </w:r>
      <w:r w:rsidR="00FE798B" w:rsidRPr="005C337E">
        <w:rPr>
          <w:rFonts w:ascii="Times New Roman" w:hAnsi="Times New Roman" w:cs="Times New Roman"/>
        </w:rPr>
        <w:t xml:space="preserve">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5</m:t>
            </m:r>
          </m:sub>
        </m:sSub>
      </m:oMath>
      <w:r w:rsidR="00B24BA0" w:rsidRPr="005C337E">
        <w:rPr>
          <w:rFonts w:ascii="Times New Roman" w:hAnsi="Times New Roman" w:cs="Times New Roman"/>
        </w:rPr>
        <w:t xml:space="preserve">​ = </w:t>
      </w:r>
      <w:r w:rsidR="008A22A8" w:rsidRPr="005C337E">
        <w:rPr>
          <w:rFonts w:ascii="Times New Roman" w:hAnsi="Times New Roman" w:cs="Times New Roman"/>
        </w:rPr>
        <w:t>Long-run elasticity coefficients to be estimated.</w:t>
      </w:r>
    </w:p>
    <w:p w14:paraId="62180243" w14:textId="77777777" w:rsidR="008A22A8" w:rsidRPr="005C337E" w:rsidRDefault="00000000" w:rsidP="008A22A8">
      <w:pPr>
        <w:numPr>
          <w:ilvl w:val="0"/>
          <w:numId w:val="1"/>
        </w:numPr>
        <w:spacing w:after="0"/>
        <w:jc w:val="both"/>
        <w:rPr>
          <w:rFonts w:ascii="Times New Roman" w:hAnsi="Times New Roman" w:cs="Times New Roman"/>
          <w:lang w:val="en-US"/>
        </w:rPr>
      </w:pPr>
      <m:oMath>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t</m:t>
            </m:r>
          </m:sub>
        </m:sSub>
      </m:oMath>
      <w:r w:rsidR="00B24BA0" w:rsidRPr="005C337E">
        <w:rPr>
          <w:rFonts w:ascii="Times New Roman" w:hAnsi="Times New Roman" w:cs="Times New Roman"/>
        </w:rPr>
        <w:t xml:space="preserve">​ = </w:t>
      </w:r>
      <w:r w:rsidR="008A22A8" w:rsidRPr="005C337E">
        <w:rPr>
          <w:rFonts w:ascii="Times New Roman" w:hAnsi="Times New Roman" w:cs="Times New Roman"/>
          <w:lang w:val="en-US"/>
        </w:rPr>
        <w:t>White-noise stochastic error term.</w:t>
      </w:r>
    </w:p>
    <w:p w14:paraId="4E1BA812" w14:textId="77777777" w:rsidR="00B24BA0" w:rsidRPr="005C337E" w:rsidRDefault="00B24BA0" w:rsidP="008A22A8">
      <w:pPr>
        <w:spacing w:after="0"/>
        <w:ind w:left="720"/>
        <w:jc w:val="both"/>
        <w:rPr>
          <w:rFonts w:ascii="Times New Roman" w:hAnsi="Times New Roman" w:cs="Times New Roman"/>
        </w:rPr>
      </w:pPr>
    </w:p>
    <w:p w14:paraId="160B8B51" w14:textId="77777777" w:rsidR="00D96149" w:rsidRPr="005C337E" w:rsidRDefault="00D96149" w:rsidP="00D96149">
      <w:pPr>
        <w:ind w:left="360"/>
        <w:jc w:val="both"/>
        <w:rPr>
          <w:rFonts w:ascii="Times New Roman" w:hAnsi="Times New Roman" w:cs="Times New Roman"/>
          <w:b/>
          <w:bCs/>
          <w:lang w:val="en-US"/>
        </w:rPr>
      </w:pPr>
      <w:r w:rsidRPr="005C337E">
        <w:rPr>
          <w:rFonts w:ascii="Times New Roman" w:hAnsi="Times New Roman" w:cs="Times New Roman"/>
          <w:b/>
          <w:bCs/>
          <w:lang w:val="en-US"/>
        </w:rPr>
        <w:t>3.4.2 Short-Run Error Correction Representation</w:t>
      </w:r>
    </w:p>
    <w:p w14:paraId="53EC4E8F" w14:textId="77777777" w:rsidR="00D96149" w:rsidRPr="005C337E" w:rsidRDefault="00D96149" w:rsidP="00D96149">
      <w:pPr>
        <w:ind w:left="360"/>
        <w:jc w:val="both"/>
        <w:rPr>
          <w:rFonts w:ascii="Times New Roman" w:hAnsi="Times New Roman" w:cs="Times New Roman"/>
          <w:lang w:val="en-US"/>
        </w:rPr>
      </w:pPr>
      <w:r w:rsidRPr="005C337E">
        <w:rPr>
          <w:rFonts w:ascii="Times New Roman" w:hAnsi="Times New Roman" w:cs="Times New Roman"/>
          <w:lang w:val="en-US"/>
        </w:rPr>
        <w:t xml:space="preserve">If the long-run variables are cointegrated, their generated residuals are stationary, </w:t>
      </w:r>
      <w:r w:rsidR="00C96DAF" w:rsidRPr="005C337E">
        <w:rPr>
          <w:rFonts w:ascii="Times New Roman" w:hAnsi="Times New Roman" w:cs="Times New Roman"/>
          <w:lang w:val="en-US"/>
        </w:rPr>
        <w:t>I (</w:t>
      </w:r>
      <w:r w:rsidRPr="005C337E">
        <w:rPr>
          <w:rFonts w:ascii="Times New Roman" w:hAnsi="Times New Roman" w:cs="Times New Roman"/>
          <w:lang w:val="en-US"/>
        </w:rPr>
        <w:t>0). These residuals are used to create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which measures deviations from the long-run equilibrium. The short-run dynamic error correction model is specified as:</w:t>
      </w:r>
    </w:p>
    <w:p w14:paraId="2B8E9D44" w14:textId="77777777" w:rsidR="00FE798B" w:rsidRPr="005C337E" w:rsidRDefault="001678A6" w:rsidP="001678A6">
      <w:pPr>
        <w:jc w:val="both"/>
        <w:rPr>
          <w:rFonts w:eastAsiaTheme="minorEastAsia" w:cstheme="minorHAnsi"/>
        </w:rPr>
      </w:pP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oMath>
      <w:r w:rsidR="00D96149" w:rsidRPr="005C337E">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α</m:t>
            </m:r>
          </m:e>
          <m:sub>
            <m:r>
              <w:rPr>
                <w:rFonts w:ascii="Cambria Math" w:hAnsi="Cambria Math" w:cs="Times New Roman"/>
              </w:rPr>
              <m:t>0</m:t>
            </m:r>
          </m:sub>
        </m:sSub>
      </m:oMath>
      <w:r w:rsidR="00D96149" w:rsidRPr="005C337E">
        <w:rPr>
          <w:rFonts w:ascii="Times New Roman" w:hAnsi="Times New Roman" w:cs="Times New Roman"/>
        </w:rPr>
        <w:t>​+</w:t>
      </w:r>
      <m:oMath>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p</m:t>
            </m:r>
          </m:sup>
          <m:e>
            <m:sSub>
              <m:sSubPr>
                <m:ctrlPr>
                  <w:rPr>
                    <w:rFonts w:ascii="Cambria Math" w:hAnsi="Cambria Math"/>
                  </w:rPr>
                </m:ctrlPr>
              </m:sSubPr>
              <m:e>
                <m:r>
                  <m:rPr>
                    <m:sty m:val="p"/>
                  </m:rPr>
                  <w:rPr>
                    <w:rFonts w:ascii="Cambria Math" w:hAnsi="Cambria Math"/>
                    <w:lang w:val="en-US"/>
                  </w:rPr>
                  <m:t>α</m:t>
                </m:r>
              </m:e>
              <m:sub>
                <m:r>
                  <w:rPr>
                    <w:rFonts w:ascii="Cambria Math" w:hAnsi="Cambria Math"/>
                  </w:rPr>
                  <m:t>i</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t-i</m:t>
            </m:r>
          </m:sub>
        </m:sSub>
        <m:r>
          <w:rPr>
            <w:rFonts w:ascii="Cambria Math" w:hAnsi="Cambria Math"/>
          </w:rPr>
          <m:t xml:space="preserve">+ </m:t>
        </m:r>
        <m:nary>
          <m:naryPr>
            <m:chr m:val="∑"/>
            <m:limLoc m:val="undOvr"/>
            <m:grow m:val="1"/>
            <m:ctrlPr>
              <w:rPr>
                <w:rFonts w:ascii="Cambria Math" w:hAnsi="Cambria Math"/>
              </w:rPr>
            </m:ctrlPr>
          </m:naryPr>
          <m:sub>
            <m:r>
              <w:rPr>
                <w:rFonts w:ascii="Cambria Math" w:hAnsi="Cambria Math"/>
              </w:rPr>
              <m:t>j=0</m:t>
            </m:r>
          </m:sub>
          <m:sup>
            <m:r>
              <w:rPr>
                <w:rFonts w:ascii="Cambria Math" w:hAnsi="Cambria Math"/>
              </w:rPr>
              <m:t>q1</m:t>
            </m:r>
          </m:sup>
          <m:e>
            <m:sSub>
              <m:sSubPr>
                <m:ctrlPr>
                  <w:rPr>
                    <w:rFonts w:ascii="Cambria Math" w:hAnsi="Cambria Math"/>
                  </w:rPr>
                </m:ctrlPr>
              </m:sSubPr>
              <m:e>
                <m:r>
                  <m:rPr>
                    <m:sty m:val="p"/>
                  </m:rPr>
                  <w:rPr>
                    <w:rFonts w:ascii="Cambria Math" w:hAnsi="Cambria Math"/>
                    <w:lang w:val="en-US"/>
                  </w:rPr>
                  <m:t>μ</m:t>
                </m:r>
              </m:e>
              <m:sub>
                <m:r>
                  <w:rPr>
                    <w:rFonts w:ascii="Cambria Math" w:hAnsi="Cambria Math"/>
                  </w:rPr>
                  <m:t>j</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lnIR</m:t>
            </m:r>
          </m:e>
          <m:sub>
            <m:r>
              <w:rPr>
                <w:rFonts w:ascii="Cambria Math" w:hAnsi="Cambria Math" w:cs="Times New Roman"/>
              </w:rPr>
              <m:t>t-j</m:t>
            </m:r>
          </m:sub>
        </m:sSub>
        <m:r>
          <w:rPr>
            <w:rFonts w:ascii="Cambria Math" w:hAnsi="Cambria Math" w:cs="Times New Roman"/>
          </w:rPr>
          <m:t xml:space="preserve"> </m:t>
        </m:r>
      </m:oMath>
      <w:r w:rsidRPr="005C337E">
        <w:rPr>
          <w:lang w:val="en-US"/>
        </w:rPr>
        <w:t>+</w:t>
      </w:r>
      <m:oMath>
        <m:sSub>
          <m:sSubPr>
            <m:ctrlPr>
              <w:rPr>
                <w:rFonts w:ascii="Cambria Math" w:hAnsi="Cambria Math"/>
              </w:rPr>
            </m:ctrlPr>
          </m:sSubPr>
          <m:e>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k=0</m:t>
                </m:r>
              </m:sub>
              <m:sup>
                <m:r>
                  <w:rPr>
                    <w:rFonts w:ascii="Cambria Math" w:hAnsi="Cambria Math"/>
                  </w:rPr>
                  <m:t>q2</m:t>
                </m:r>
              </m:sup>
              <m:e>
                <m:sSub>
                  <m:sSubPr>
                    <m:ctrlPr>
                      <w:rPr>
                        <w:rFonts w:ascii="Cambria Math" w:hAnsi="Cambria Math"/>
                      </w:rPr>
                    </m:ctrlPr>
                  </m:sSubPr>
                  <m:e>
                    <m:r>
                      <w:rPr>
                        <w:rFonts w:ascii="Cambria Math" w:hAnsi="Cambria Math"/>
                      </w:rPr>
                      <m:t>δ</m:t>
                    </m:r>
                  </m:e>
                  <m:sub>
                    <m:r>
                      <w:rPr>
                        <w:rFonts w:ascii="Cambria Math" w:hAnsi="Cambria Math"/>
                      </w:rPr>
                      <m:t>k</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lnINFL</m:t>
                </m:r>
              </m:e>
              <m:sub>
                <m:r>
                  <w:rPr>
                    <w:rFonts w:ascii="Cambria Math" w:hAnsi="Cambria Math" w:cs="Times New Roman"/>
                  </w:rPr>
                  <m:t>t-k</m:t>
                </m:r>
              </m:sub>
            </m:sSub>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m=0</m:t>
                </m:r>
              </m:sub>
              <m:sup>
                <m:r>
                  <w:rPr>
                    <w:rFonts w:ascii="Cambria Math" w:hAnsi="Cambria Math"/>
                  </w:rPr>
                  <m:t>q3</m:t>
                </m:r>
              </m:sup>
              <m:e>
                <m:sSub>
                  <m:sSubPr>
                    <m:ctrlPr>
                      <w:rPr>
                        <w:rFonts w:ascii="Cambria Math" w:hAnsi="Cambria Math"/>
                      </w:rPr>
                    </m:ctrlPr>
                  </m:sSubPr>
                  <m:e>
                    <m:r>
                      <m:rPr>
                        <m:sty m:val="p"/>
                      </m:rPr>
                      <w:rPr>
                        <w:rFonts w:ascii="Cambria Math" w:hAnsi="Cambria Math"/>
                        <w:lang w:val="en-US"/>
                      </w:rPr>
                      <m:t>γ</m:t>
                    </m:r>
                  </m:e>
                  <m:sub>
                    <m:r>
                      <w:rPr>
                        <w:rFonts w:ascii="Cambria Math" w:hAnsi="Cambria Math"/>
                      </w:rPr>
                      <m:t>m</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lnEG</m:t>
                </m:r>
              </m:e>
              <m:sub>
                <m:r>
                  <w:rPr>
                    <w:rFonts w:ascii="Cambria Math" w:hAnsi="Cambria Math" w:cs="Times New Roman"/>
                  </w:rPr>
                  <m:t>t-m</m:t>
                </m:r>
              </m:sub>
            </m:sSub>
            <m:r>
              <w:rPr>
                <w:rFonts w:ascii="Cambria Math" w:hAnsi="Cambria Math" w:cs="Times New Roman"/>
              </w:rPr>
              <m:t xml:space="preserve"> </m:t>
            </m:r>
            <m:r>
              <m:rPr>
                <m:sty m:val="p"/>
              </m:rPr>
              <w:rPr>
                <w:rFonts w:ascii="Cambria Math" w:hAnsi="Cambria Math"/>
                <w:lang w:val="en-US"/>
              </w:rPr>
              <m:t>+</m:t>
            </m:r>
            <m:nary>
              <m:naryPr>
                <m:chr m:val="∑"/>
                <m:limLoc m:val="undOvr"/>
                <m:grow m:val="1"/>
                <m:ctrlPr>
                  <w:rPr>
                    <w:rFonts w:ascii="Cambria Math" w:hAnsi="Cambria Math"/>
                  </w:rPr>
                </m:ctrlPr>
              </m:naryPr>
              <m:sub>
                <m:r>
                  <w:rPr>
                    <w:rFonts w:ascii="Cambria Math" w:hAnsi="Cambria Math"/>
                  </w:rPr>
                  <m:t>n=0</m:t>
                </m:r>
              </m:sub>
              <m:sup>
                <m:r>
                  <w:rPr>
                    <w:rFonts w:ascii="Cambria Math" w:hAnsi="Cambria Math"/>
                  </w:rPr>
                  <m:t>q4</m:t>
                </m:r>
              </m:sup>
              <m:e>
                <m:sSub>
                  <m:sSubPr>
                    <m:ctrlPr>
                      <w:rPr>
                        <w:rFonts w:ascii="Cambria Math" w:hAnsi="Cambria Math"/>
                      </w:rPr>
                    </m:ctrlPr>
                  </m:sSubPr>
                  <m:e>
                    <m:r>
                      <w:rPr>
                        <w:rFonts w:ascii="Cambria Math" w:hAnsi="Cambria Math"/>
                      </w:rPr>
                      <m:t>θ</m:t>
                    </m:r>
                  </m:e>
                  <m:sub>
                    <m:r>
                      <w:rPr>
                        <w:rFonts w:ascii="Cambria Math" w:hAnsi="Cambria Math"/>
                      </w:rPr>
                      <m:t>n</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lnER</m:t>
                </m:r>
              </m:e>
              <m:sub>
                <m:r>
                  <w:rPr>
                    <w:rFonts w:ascii="Cambria Math" w:hAnsi="Cambria Math" w:cs="Times New Roman"/>
                  </w:rPr>
                  <m:t>t-n</m:t>
                </m:r>
              </m:sub>
            </m:sSub>
            <m:r>
              <m:rPr>
                <m:sty m:val="p"/>
              </m:rPr>
              <w:rPr>
                <w:rFonts w:ascii="Cambria Math" w:hAnsi="Cambria Math"/>
                <w:lang w:val="en-US"/>
              </w:rPr>
              <m:t>+λECT</m:t>
            </m:r>
          </m:e>
          <m:sub>
            <m:r>
              <w:rPr>
                <w:rFonts w:ascii="Cambria Math" w:hAnsi="Cambria Math"/>
              </w:rPr>
              <m:t>t-1</m:t>
            </m:r>
          </m:sub>
        </m:sSub>
      </m:oMath>
      <w:r w:rsidR="004E181B" w:rsidRPr="005C337E">
        <w:rPr>
          <w:rFonts w:eastAsiaTheme="minorEastAsia"/>
        </w:rPr>
        <w:t xml:space="preserve">+ </w:t>
      </w:r>
      <w:r w:rsidR="004E181B" w:rsidRPr="005C337E">
        <w:rPr>
          <w:rFonts w:eastAsiaTheme="minorEastAsia" w:cstheme="minorHAnsi"/>
        </w:rPr>
        <w:t>φ</w:t>
      </w:r>
      <m:oMath>
        <m:sSub>
          <m:sSubPr>
            <m:ctrlPr>
              <w:rPr>
                <w:rFonts w:ascii="Cambria Math" w:hAnsi="Cambria Math" w:cs="Times New Roman"/>
                <w:i/>
              </w:rPr>
            </m:ctrlPr>
          </m:sSubPr>
          <m:e>
            <m:r>
              <w:rPr>
                <w:rFonts w:ascii="Cambria Math" w:hAnsi="Cambria Math" w:cs="Times New Roman"/>
              </w:rPr>
              <m:t>DUM1</m:t>
            </m:r>
          </m:e>
          <m:sub>
            <m:r>
              <w:rPr>
                <w:rFonts w:ascii="Cambria Math" w:hAnsi="Cambria Math" w:cs="Times New Roman"/>
              </w:rPr>
              <m:t>t</m:t>
            </m:r>
          </m:sub>
        </m:sSub>
      </m:oMath>
      <w:r w:rsidR="004E181B" w:rsidRPr="005C337E">
        <w:rPr>
          <w:rFonts w:eastAsiaTheme="minorEastAsia" w:cstheme="minorHAnsi"/>
        </w:rPr>
        <w:t>+</w:t>
      </w:r>
      <m:oMath>
        <m:sSub>
          <m:sSubPr>
            <m:ctrlPr>
              <w:rPr>
                <w:rFonts w:ascii="Cambria Math" w:hAnsi="Cambria Math"/>
              </w:rPr>
            </m:ctrlPr>
          </m:sSubPr>
          <m:e>
            <m:r>
              <m:rPr>
                <m:sty m:val="p"/>
              </m:rPr>
              <w:rPr>
                <w:rFonts w:ascii="Cambria Math" w:hAnsi="Cambria Math"/>
                <w:lang w:val="en-US"/>
              </w:rPr>
              <m:t>μ</m:t>
            </m:r>
          </m:e>
          <m:sub>
            <m:r>
              <w:rPr>
                <w:rFonts w:ascii="Cambria Math" w:hAnsi="Cambria Math"/>
              </w:rPr>
              <m:t>t</m:t>
            </m:r>
          </m:sub>
        </m:sSub>
      </m:oMath>
    </w:p>
    <w:p w14:paraId="193400F6" w14:textId="77777777" w:rsidR="001E6DD8" w:rsidRPr="005C337E" w:rsidRDefault="001E6DD8" w:rsidP="001678A6">
      <w:pPr>
        <w:jc w:val="both"/>
        <w:rPr>
          <w:rFonts w:ascii="Times New Roman" w:eastAsiaTheme="minorEastAsia" w:hAnsi="Times New Roman" w:cs="Times New Roman"/>
        </w:rPr>
      </w:pPr>
      <w:r w:rsidRPr="005C337E">
        <w:rPr>
          <w:rFonts w:ascii="Times New Roman" w:eastAsiaTheme="minorEastAsia" w:hAnsi="Times New Roman" w:cs="Times New Roman"/>
        </w:rPr>
        <w:t xml:space="preserve">Where: </w:t>
      </w:r>
    </w:p>
    <w:p w14:paraId="7B15AD3D" w14:textId="77777777" w:rsidR="001E6DD8" w:rsidRPr="005C337E" w:rsidRDefault="001E6DD8" w:rsidP="001E6DD8">
      <w:pPr>
        <w:pStyle w:val="ListParagraph"/>
        <w:numPr>
          <w:ilvl w:val="0"/>
          <w:numId w:val="3"/>
        </w:numPr>
        <w:jc w:val="both"/>
        <w:rPr>
          <w:rFonts w:ascii="Times New Roman" w:hAnsi="Times New Roman" w:cs="Times New Roman"/>
        </w:rPr>
      </w:pPr>
      <m:oMath>
        <m:r>
          <w:rPr>
            <w:rFonts w:ascii="Cambria Math" w:hAnsi="Cambria Math" w:cs="Times New Roman"/>
          </w:rPr>
          <m:t>△</m:t>
        </m:r>
      </m:oMath>
      <w:r w:rsidRPr="005C337E">
        <w:rPr>
          <w:rFonts w:ascii="Times New Roman" w:hAnsi="Times New Roman" w:cs="Times New Roman"/>
        </w:rPr>
        <w:t xml:space="preserve">= First-difference operator (e.g., </w:t>
      </w: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m:t>
            </m:r>
          </m:sub>
        </m:sSub>
        <m:r>
          <w:rPr>
            <w:rFonts w:ascii="Cambria Math" w:hAnsi="Cambria Math" w:cs="Times New Roman"/>
          </w:rPr>
          <m:t xml:space="preserve">= </m:t>
        </m:r>
        <m:sSub>
          <m:sSubPr>
            <m:ctrlPr>
              <w:rPr>
                <w:rFonts w:ascii="Cambria Math" w:hAnsi="Cambria Math" w:cs="Times New Roman"/>
                <w:i/>
              </w:rPr>
            </m:ctrlPr>
          </m:sSubPr>
          <m:e>
            <m:r>
              <m:rPr>
                <m:sty m:val="p"/>
              </m:rPr>
              <w:rPr>
                <w:rFonts w:ascii="Cambria Math" w:hAnsi="Cambria Math" w:cs="Times New Roman"/>
              </w:rPr>
              <m:t>lnFDI</m:t>
            </m:r>
          </m:e>
          <m:sub>
            <m:r>
              <w:rPr>
                <w:rFonts w:ascii="Cambria Math" w:hAnsi="Cambria Math" w:cs="Times New Roman"/>
              </w:rPr>
              <m:t>t-1</m:t>
            </m:r>
          </m:sub>
        </m:sSub>
      </m:oMath>
      <w:r w:rsidRPr="005C337E">
        <w:rPr>
          <w:rFonts w:ascii="Times New Roman" w:eastAsiaTheme="minorEastAsia" w:hAnsi="Times New Roman" w:cs="Times New Roman"/>
        </w:rPr>
        <w:t>)</w:t>
      </w:r>
    </w:p>
    <w:p w14:paraId="09A3EF21" w14:textId="77777777" w:rsidR="001E6DD8" w:rsidRPr="005C337E" w:rsidRDefault="001E6DD8" w:rsidP="001E6DD8">
      <w:pPr>
        <w:pStyle w:val="ListParagraph"/>
        <w:numPr>
          <w:ilvl w:val="0"/>
          <w:numId w:val="3"/>
        </w:numPr>
        <w:jc w:val="both"/>
        <w:rPr>
          <w:rFonts w:ascii="Times New Roman" w:hAnsi="Times New Roman" w:cs="Times New Roman"/>
        </w:rPr>
      </w:pPr>
      <m:oMath>
        <m:r>
          <w:rPr>
            <w:rFonts w:ascii="Cambria Math" w:hAnsi="Cambria Math"/>
          </w:rPr>
          <m:t>p</m:t>
        </m:r>
      </m:oMath>
      <w:r w:rsidRPr="005C337E">
        <w:rPr>
          <w:rFonts w:ascii="Times New Roman" w:hAnsi="Times New Roman" w:cs="Times New Roman"/>
        </w:rPr>
        <w:t>,</w:t>
      </w:r>
      <w:r w:rsidRPr="005C337E">
        <w:rPr>
          <w:rFonts w:ascii="Cambria Math" w:hAnsi="Cambria Math"/>
        </w:rPr>
        <w:t xml:space="preserve"> </w:t>
      </w:r>
      <m:oMath>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1, </m:t>
            </m:r>
          </m:sub>
        </m:sSub>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2, </m:t>
            </m:r>
          </m:sub>
        </m:sSub>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3, </m:t>
            </m:r>
          </m:sub>
        </m:sSub>
      </m:oMath>
      <w:r w:rsidRPr="005C337E">
        <w:rPr>
          <w:rFonts w:ascii="Times New Roman" w:hAnsi="Times New Roman" w:cs="Times New Roman"/>
        </w:rPr>
        <w:t xml:space="preserve"> </w:t>
      </w:r>
      <m:oMath>
        <m:sSub>
          <m:sSubPr>
            <m:ctrlPr>
              <w:rPr>
                <w:rFonts w:ascii="Cambria Math" w:hAnsi="Cambria Math"/>
              </w:rPr>
            </m:ctrlPr>
          </m:sSubPr>
          <m:e>
            <m:r>
              <m:rPr>
                <m:sty m:val="p"/>
              </m:rPr>
              <w:rPr>
                <w:rFonts w:ascii="Cambria Math" w:hAnsi="Cambria Math"/>
                <w:lang w:val="en-US"/>
              </w:rPr>
              <m:t>q</m:t>
            </m:r>
          </m:e>
          <m:sub>
            <m:r>
              <w:rPr>
                <w:rFonts w:ascii="Cambria Math" w:hAnsi="Cambria Math"/>
              </w:rPr>
              <m:t xml:space="preserve">4 </m:t>
            </m:r>
          </m:sub>
        </m:sSub>
      </m:oMath>
      <w:r w:rsidRPr="005C337E">
        <w:rPr>
          <w:rFonts w:ascii="Times New Roman" w:hAnsi="Times New Roman" w:cs="Times New Roman"/>
        </w:rPr>
        <w:t>= Optimal lag lengths selected using AIC or BIC criteria</w:t>
      </w:r>
    </w:p>
    <w:p w14:paraId="7119831A" w14:textId="77777777" w:rsidR="00C16010" w:rsidRPr="005C337E" w:rsidRDefault="00000000" w:rsidP="00FE798B">
      <w:pPr>
        <w:pStyle w:val="ListParagraph"/>
        <w:numPr>
          <w:ilvl w:val="0"/>
          <w:numId w:val="3"/>
        </w:numPr>
        <w:spacing w:after="0"/>
        <w:jc w:val="both"/>
        <w:rPr>
          <w:rFonts w:ascii="Times New Roman" w:hAnsi="Times New Roman" w:cs="Times New Roman"/>
          <w:b/>
          <w:bCs/>
        </w:rPr>
      </w:pP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7A4E79" w:rsidRPr="005C337E">
        <w:rPr>
          <w:rFonts w:ascii="Times New Roman" w:hAnsi="Times New Roman" w:cs="Times New Roman"/>
        </w:rPr>
        <w:t xml:space="preserve">= </w:t>
      </w:r>
      <w:r w:rsidR="00C16010" w:rsidRPr="005C337E">
        <w:rPr>
          <w:rFonts w:ascii="Times New Roman" w:hAnsi="Times New Roman" w:cs="Times New Roman"/>
        </w:rPr>
        <w:t>Lagged residual term from the long-run cointegrating equation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C16010" w:rsidRPr="005C337E">
        <w:rPr>
          <w:rFonts w:ascii="Times New Roman" w:eastAsiaTheme="minorEastAsia" w:hAnsi="Times New Roman" w:cs="Times New Roman"/>
        </w:rPr>
        <w:t>=</w:t>
      </w:r>
      <m:oMath>
        <m:sSub>
          <m:sSubPr>
            <m:ctrlPr>
              <w:rPr>
                <w:rFonts w:ascii="Cambria Math" w:hAnsi="Cambria Math" w:cs="Times New Roman"/>
                <w:i/>
              </w:rPr>
            </m:ctrlPr>
          </m:sSubPr>
          <m:e>
            <m:r>
              <w:rPr>
                <w:rFonts w:ascii="Cambria Math" w:hAnsi="Cambria Math" w:cs="Times New Roman"/>
              </w:rPr>
              <m:t xml:space="preserve"> ε</m:t>
            </m:r>
          </m:e>
          <m:sub>
            <m:r>
              <w:rPr>
                <w:rFonts w:ascii="Cambria Math" w:hAnsi="Cambria Math" w:cs="Times New Roman"/>
              </w:rPr>
              <m:t>t-1</m:t>
            </m:r>
          </m:sub>
        </m:sSub>
      </m:oMath>
      <w:r w:rsidR="00C16010" w:rsidRPr="005C337E">
        <w:rPr>
          <w:rFonts w:ascii="Times New Roman" w:eastAsiaTheme="minorEastAsia" w:hAnsi="Times New Roman" w:cs="Times New Roman"/>
        </w:rPr>
        <w:t>)</w:t>
      </w:r>
    </w:p>
    <w:p w14:paraId="7AC76C89" w14:textId="77777777" w:rsidR="00C16010" w:rsidRPr="005C337E" w:rsidRDefault="007A4E79" w:rsidP="00FE798B">
      <w:pPr>
        <w:pStyle w:val="ListParagraph"/>
        <w:numPr>
          <w:ilvl w:val="0"/>
          <w:numId w:val="3"/>
        </w:numPr>
        <w:spacing w:after="0"/>
        <w:jc w:val="both"/>
        <w:rPr>
          <w:rFonts w:ascii="Times New Roman" w:hAnsi="Times New Roman" w:cs="Times New Roman"/>
        </w:rPr>
      </w:pPr>
      <m:oMath>
        <m:r>
          <m:rPr>
            <m:sty m:val="p"/>
          </m:rPr>
          <w:rPr>
            <w:rFonts w:ascii="Cambria Math" w:hAnsi="Cambria Math"/>
            <w:lang w:val="en-US"/>
          </w:rPr>
          <m:t>λ</m:t>
        </m:r>
      </m:oMath>
      <w:r w:rsidRPr="005C337E">
        <w:rPr>
          <w:rFonts w:ascii="Times New Roman" w:hAnsi="Times New Roman" w:cs="Times New Roman"/>
        </w:rPr>
        <w:t>= Speed of adjustment coefficient</w:t>
      </w:r>
    </w:p>
    <w:p w14:paraId="4F9BB9C8" w14:textId="77777777" w:rsidR="007A4E79" w:rsidRPr="005C337E" w:rsidRDefault="00000000" w:rsidP="00FE798B">
      <w:pPr>
        <w:pStyle w:val="ListParagraph"/>
        <w:numPr>
          <w:ilvl w:val="0"/>
          <w:numId w:val="3"/>
        </w:numPr>
        <w:spacing w:after="0"/>
        <w:jc w:val="both"/>
        <w:rPr>
          <w:rFonts w:ascii="Times New Roman" w:hAnsi="Times New Roman" w:cs="Times New Roman"/>
        </w:rPr>
      </w:pPr>
      <m:oMath>
        <m:sSub>
          <m:sSubPr>
            <m:ctrlPr>
              <w:rPr>
                <w:rFonts w:ascii="Cambria Math" w:hAnsi="Cambria Math"/>
              </w:rPr>
            </m:ctrlPr>
          </m:sSubPr>
          <m:e>
            <m:r>
              <m:rPr>
                <m:sty m:val="p"/>
              </m:rPr>
              <w:rPr>
                <w:rFonts w:ascii="Cambria Math" w:hAnsi="Cambria Math"/>
                <w:lang w:val="en-US"/>
              </w:rPr>
              <m:t>μ</m:t>
            </m:r>
          </m:e>
          <m:sub>
            <m:r>
              <w:rPr>
                <w:rFonts w:ascii="Cambria Math" w:hAnsi="Cambria Math"/>
              </w:rPr>
              <m:t>t</m:t>
            </m:r>
          </m:sub>
        </m:sSub>
      </m:oMath>
      <w:r w:rsidR="007A4E79" w:rsidRPr="005C337E">
        <w:rPr>
          <w:rFonts w:ascii="Times New Roman" w:hAnsi="Times New Roman" w:cs="Times New Roman"/>
        </w:rPr>
        <w:t>= Random error term</w:t>
      </w:r>
    </w:p>
    <w:p w14:paraId="24330ACB" w14:textId="77777777" w:rsidR="007A4E79" w:rsidRPr="005C337E" w:rsidRDefault="00000000" w:rsidP="007A4E79">
      <w:pPr>
        <w:pStyle w:val="z1qcye"/>
        <w:numPr>
          <w:ilvl w:val="0"/>
          <w:numId w:val="3"/>
        </w:numPr>
        <w:spacing w:before="0" w:beforeAutospacing="0" w:after="0" w:afterAutospacing="0"/>
        <w:rPr>
          <w:rFonts w:ascii="Arial" w:hAnsi="Arial" w:cs="Arial"/>
        </w:rPr>
      </w:pPr>
      <m:oMath>
        <m:sSub>
          <m:sSubPr>
            <m:ctrlPr>
              <w:rPr>
                <w:rFonts w:ascii="Cambria Math" w:hAnsi="Cambria Math"/>
              </w:rPr>
            </m:ctrlPr>
          </m:sSubPr>
          <m:e>
            <m:r>
              <m:rPr>
                <m:sty m:val="p"/>
              </m:rPr>
              <w:rPr>
                <w:rFonts w:ascii="Cambria Math" w:hAnsi="Cambria Math"/>
              </w:rPr>
              <m:t>α</m:t>
            </m:r>
          </m:e>
          <m:sub>
            <m:r>
              <w:rPr>
                <w:rFonts w:ascii="Cambria Math" w:hAnsi="Cambria Math"/>
              </w:rPr>
              <m:t>i</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μ</m:t>
            </m:r>
          </m:e>
          <m:sub>
            <m:r>
              <w:rPr>
                <w:rFonts w:ascii="Cambria Math" w:hAnsi="Cambria Math"/>
              </w:rPr>
              <m:t>j</m:t>
            </m:r>
          </m:sub>
        </m:sSub>
        <m:r>
          <w:rPr>
            <w:rFonts w:ascii="Cambria Math" w:hAnsi="Cambria Math"/>
          </w:rPr>
          <m:t xml:space="preserve">, </m:t>
        </m:r>
        <m:sSub>
          <m:sSubPr>
            <m:ctrlPr>
              <w:rPr>
                <w:rFonts w:ascii="Cambria Math" w:hAnsi="Cambria Math"/>
              </w:rPr>
            </m:ctrlPr>
          </m:sSubPr>
          <m:e>
            <m:r>
              <w:rPr>
                <w:rFonts w:ascii="Cambria Math" w:hAnsi="Cambria Math"/>
              </w:rPr>
              <m:t>δ</m:t>
            </m:r>
          </m:e>
          <m:sub>
            <m:r>
              <w:rPr>
                <w:rFonts w:ascii="Cambria Math" w:hAnsi="Cambria Math"/>
              </w:rPr>
              <m:t>k</m:t>
            </m:r>
          </m:sub>
        </m:sSub>
        <m:r>
          <w:rPr>
            <w:rFonts w:ascii="Cambria Math" w:hAnsi="Cambria Math"/>
          </w:rPr>
          <m:t xml:space="preserve">, </m:t>
        </m:r>
        <m:sSub>
          <m:sSubPr>
            <m:ctrlPr>
              <w:rPr>
                <w:rFonts w:ascii="Cambria Math" w:hAnsi="Cambria Math"/>
              </w:rPr>
            </m:ctrlPr>
          </m:sSubPr>
          <m:e>
            <m:r>
              <m:rPr>
                <m:sty m:val="p"/>
              </m:rPr>
              <w:rPr>
                <w:rFonts w:ascii="Cambria Math" w:hAnsi="Cambria Math"/>
              </w:rPr>
              <m:t>γ</m:t>
            </m:r>
          </m:e>
          <m:sub>
            <m:r>
              <w:rPr>
                <w:rFonts w:ascii="Cambria Math" w:hAnsi="Cambria Math"/>
              </w:rPr>
              <m:t>m</m:t>
            </m:r>
          </m:sub>
        </m:sSub>
        <m:r>
          <w:rPr>
            <w:rFonts w:ascii="Cambria Math" w:hAnsi="Cambria Math"/>
          </w:rPr>
          <m:t xml:space="preserve">, </m:t>
        </m:r>
        <m:sSub>
          <m:sSubPr>
            <m:ctrlPr>
              <w:rPr>
                <w:rFonts w:ascii="Cambria Math" w:hAnsi="Cambria Math"/>
              </w:rPr>
            </m:ctrlPr>
          </m:sSubPr>
          <m:e>
            <m:r>
              <w:rPr>
                <w:rFonts w:ascii="Cambria Math" w:hAnsi="Cambria Math"/>
              </w:rPr>
              <m:t>θ</m:t>
            </m:r>
          </m:e>
          <m:sub>
            <m:r>
              <w:rPr>
                <w:rFonts w:ascii="Cambria Math" w:hAnsi="Cambria Math"/>
              </w:rPr>
              <m:t>n</m:t>
            </m:r>
          </m:sub>
        </m:sSub>
      </m:oMath>
      <w:r w:rsidR="007A4E79" w:rsidRPr="005C337E">
        <w:rPr>
          <w:rStyle w:val="inqyif"/>
          <w:rFonts w:ascii="Arial" w:eastAsiaTheme="majorEastAsia" w:hAnsi="Arial" w:cs="Arial"/>
        </w:rPr>
        <w:t xml:space="preserve">= </w:t>
      </w:r>
      <w:r w:rsidR="007A4E79" w:rsidRPr="005C337E">
        <w:rPr>
          <w:rStyle w:val="inqyif"/>
          <w:rFonts w:eastAsiaTheme="majorEastAsia"/>
        </w:rPr>
        <w:t>Coefficients capturing short-run effects of the explanatory variables</w:t>
      </w:r>
      <w:r w:rsidR="00607611" w:rsidRPr="005C337E">
        <w:rPr>
          <w:rStyle w:val="inqyif"/>
          <w:rFonts w:eastAsiaTheme="majorEastAsia"/>
        </w:rPr>
        <w:t xml:space="preserve">  </w:t>
      </w:r>
    </w:p>
    <w:p w14:paraId="5531DF1E" w14:textId="77777777" w:rsidR="007A4E79" w:rsidRPr="005C337E" w:rsidRDefault="007A4E79" w:rsidP="00607611">
      <w:pPr>
        <w:spacing w:after="0"/>
        <w:ind w:left="360"/>
        <w:jc w:val="both"/>
        <w:rPr>
          <w:rFonts w:ascii="Times New Roman" w:hAnsi="Times New Roman" w:cs="Times New Roman"/>
        </w:rPr>
      </w:pPr>
    </w:p>
    <w:p w14:paraId="754965C6" w14:textId="77777777" w:rsidR="00331217" w:rsidRPr="005C337E" w:rsidRDefault="00607611" w:rsidP="00BD5A0A">
      <w:pPr>
        <w:spacing w:after="0"/>
        <w:ind w:left="360"/>
        <w:jc w:val="both"/>
        <w:rPr>
          <w:rFonts w:ascii="Times New Roman" w:hAnsi="Times New Roman" w:cs="Times New Roman"/>
        </w:rPr>
      </w:pPr>
      <w:r w:rsidRPr="005C337E">
        <w:rPr>
          <w:rFonts w:ascii="Times New Roman" w:hAnsi="Times New Roman" w:cs="Times New Roman"/>
        </w:rPr>
        <w:t>The coefficient of the error correction term (</w:t>
      </w:r>
      <m:oMath>
        <m:r>
          <m:rPr>
            <m:sty m:val="p"/>
          </m:rPr>
          <w:rPr>
            <w:rFonts w:ascii="Cambria Math" w:hAnsi="Cambria Math"/>
            <w:lang w:val="en-US"/>
          </w:rPr>
          <m:t>λ</m:t>
        </m:r>
      </m:oMath>
      <w:r w:rsidRPr="005C337E">
        <w:rPr>
          <w:rFonts w:ascii="Times New Roman" w:hAnsi="Times New Roman" w:cs="Times New Roman"/>
        </w:rPr>
        <w:t>) is expected to be negative and statistically significant (-1</w:t>
      </w:r>
      <w:r w:rsidRPr="005C337E">
        <w:t xml:space="preserve"> </w:t>
      </w:r>
      <w:r w:rsidRPr="005C337E">
        <w:rPr>
          <w:rFonts w:ascii="Times New Roman" w:hAnsi="Times New Roman" w:cs="Times New Roman"/>
        </w:rPr>
        <w:t>&lt;</w:t>
      </w:r>
      <w:r w:rsidRPr="005C337E">
        <w:rPr>
          <w:rFonts w:ascii="Cambria Math" w:hAnsi="Cambria Math"/>
          <w:lang w:val="en-US"/>
        </w:rPr>
        <w:t xml:space="preserve"> </w:t>
      </w:r>
      <m:oMath>
        <m:r>
          <m:rPr>
            <m:sty m:val="p"/>
          </m:rPr>
          <w:rPr>
            <w:rFonts w:ascii="Cambria Math" w:hAnsi="Cambria Math"/>
            <w:lang w:val="en-US"/>
          </w:rPr>
          <m:t>λ</m:t>
        </m:r>
        <m:r>
          <m:rPr>
            <m:sty m:val="p"/>
          </m:rPr>
          <w:rPr>
            <w:rFonts w:ascii="Cambria Math" w:hAnsi="Cambria Math" w:cs="Times New Roman"/>
          </w:rPr>
          <m:t>&lt;</m:t>
        </m:r>
        <m:r>
          <m:rPr>
            <m:sty m:val="p"/>
          </m:rPr>
          <w:rPr>
            <w:rFonts w:ascii="Cambria Math" w:hAnsi="Cambria Math"/>
            <w:lang w:val="en-US"/>
          </w:rPr>
          <m:t>0)</m:t>
        </m:r>
      </m:oMath>
      <w:r w:rsidRPr="005C337E">
        <w:rPr>
          <w:rFonts w:ascii="Times New Roman" w:hAnsi="Times New Roman" w:cs="Times New Roman"/>
        </w:rPr>
        <w:t xml:space="preserve">. A negative and significant coefficient indicates that deviations from the long-run equilibrium are corrected over time. The size of the coefficient shows the speed at which FDI returns towards its long-run equilibrium following a short-run disturbance. </w:t>
      </w:r>
    </w:p>
    <w:p w14:paraId="1BD26201" w14:textId="77777777" w:rsidR="00C16010" w:rsidRPr="005C337E" w:rsidRDefault="00C16010" w:rsidP="00C16010">
      <w:pPr>
        <w:pStyle w:val="ListParagraph"/>
        <w:spacing w:after="0"/>
        <w:jc w:val="both"/>
        <w:rPr>
          <w:rFonts w:ascii="Times New Roman" w:hAnsi="Times New Roman" w:cs="Times New Roman"/>
          <w:b/>
          <w:bCs/>
        </w:rPr>
      </w:pPr>
    </w:p>
    <w:p w14:paraId="71068A9D" w14:textId="77777777" w:rsidR="001F6C41" w:rsidRPr="005C337E" w:rsidRDefault="00FE798B" w:rsidP="00B17D93">
      <w:pPr>
        <w:spacing w:after="0"/>
        <w:jc w:val="both"/>
        <w:rPr>
          <w:rFonts w:ascii="Times New Roman" w:hAnsi="Times New Roman" w:cs="Times New Roman"/>
          <w:b/>
          <w:bCs/>
        </w:rPr>
      </w:pPr>
      <w:r w:rsidRPr="005C337E">
        <w:rPr>
          <w:rFonts w:ascii="Times New Roman" w:hAnsi="Times New Roman" w:cs="Times New Roman"/>
          <w:b/>
          <w:bCs/>
        </w:rPr>
        <w:t>3.5 Data Analysis and Estimation Procedure</w:t>
      </w:r>
    </w:p>
    <w:p w14:paraId="2300A977" w14:textId="77777777" w:rsidR="00B17D93" w:rsidRPr="005C337E" w:rsidRDefault="00B17D93" w:rsidP="00B17D93">
      <w:pPr>
        <w:spacing w:after="0"/>
        <w:jc w:val="both"/>
        <w:rPr>
          <w:rFonts w:ascii="Times New Roman" w:hAnsi="Times New Roman" w:cs="Times New Roman"/>
          <w:lang w:val="en-US"/>
        </w:rPr>
      </w:pPr>
      <w:r w:rsidRPr="005C337E">
        <w:rPr>
          <w:rFonts w:ascii="Times New Roman" w:hAnsi="Times New Roman" w:cs="Times New Roman"/>
          <w:lang w:val="en-US"/>
        </w:rPr>
        <w:t xml:space="preserve">The data were </w:t>
      </w:r>
      <w:r w:rsidRPr="005C337E">
        <w:rPr>
          <w:rFonts w:ascii="Times New Roman" w:hAnsi="Times New Roman" w:cs="Times New Roman"/>
          <w:highlight w:val="yellow"/>
          <w:lang w:val="en-US"/>
        </w:rPr>
        <w:t>analysed</w:t>
      </w:r>
      <w:r w:rsidRPr="005C337E">
        <w:rPr>
          <w:rFonts w:ascii="Times New Roman" w:hAnsi="Times New Roman" w:cs="Times New Roman"/>
          <w:lang w:val="en-US"/>
        </w:rPr>
        <w:t xml:space="preserve"> using EViews, Stata, Excel, and Ox-Metrics. Before estimation, all continuous variables were transformed into natural logarithms to </w:t>
      </w:r>
      <w:r w:rsidRPr="005C337E">
        <w:rPr>
          <w:rFonts w:ascii="Times New Roman" w:hAnsi="Times New Roman" w:cs="Times New Roman"/>
          <w:highlight w:val="yellow"/>
          <w:lang w:val="en-US"/>
        </w:rPr>
        <w:t>stabilise</w:t>
      </w:r>
      <w:r w:rsidRPr="005C337E">
        <w:rPr>
          <w:rFonts w:ascii="Times New Roman" w:hAnsi="Times New Roman" w:cs="Times New Roman"/>
          <w:lang w:val="en-US"/>
        </w:rPr>
        <w:t xml:space="preserve"> variance, </w:t>
      </w:r>
      <w:r w:rsidRPr="005C337E">
        <w:rPr>
          <w:rFonts w:ascii="Times New Roman" w:hAnsi="Times New Roman" w:cs="Times New Roman"/>
          <w:highlight w:val="yellow"/>
          <w:lang w:val="en-US"/>
        </w:rPr>
        <w:t>linearise</w:t>
      </w:r>
      <w:r w:rsidRPr="005C337E">
        <w:rPr>
          <w:rFonts w:ascii="Times New Roman" w:hAnsi="Times New Roman" w:cs="Times New Roman"/>
          <w:lang w:val="en-US"/>
        </w:rPr>
        <w:t xml:space="preserve"> relationships, and allow the estimated parameters to be interpreted as elasticities. </w:t>
      </w:r>
    </w:p>
    <w:p w14:paraId="6B71FA97" w14:textId="77777777" w:rsidR="00B17D93" w:rsidRPr="005C337E" w:rsidRDefault="00B17D93" w:rsidP="00B17D93">
      <w:pPr>
        <w:spacing w:after="0"/>
        <w:jc w:val="both"/>
        <w:rPr>
          <w:rFonts w:ascii="Times New Roman" w:hAnsi="Times New Roman" w:cs="Times New Roman"/>
          <w:lang w:val="en-US"/>
        </w:rPr>
      </w:pPr>
    </w:p>
    <w:p w14:paraId="0EA7742F" w14:textId="77777777" w:rsidR="00331217" w:rsidRPr="005C337E" w:rsidRDefault="00331217" w:rsidP="00331217">
      <w:pPr>
        <w:spacing w:after="0"/>
        <w:jc w:val="both"/>
        <w:rPr>
          <w:rFonts w:ascii="Times New Roman" w:hAnsi="Times New Roman" w:cs="Times New Roman"/>
          <w:lang w:val="en-US"/>
        </w:rPr>
      </w:pPr>
      <w:r w:rsidRPr="005C337E">
        <w:rPr>
          <w:rFonts w:ascii="Times New Roman" w:hAnsi="Times New Roman" w:cs="Times New Roman"/>
          <w:lang w:val="en-US"/>
        </w:rPr>
        <w:t>Given that unit-root tests indicated a combination of stationary I (0) and first-difference stationary I (1) series, the empirical estimation was strictly conducted using the Autoregressive Distributed Lag (ARDL) Bounds Testing approach to cointegration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This single-equation framework </w:t>
      </w:r>
      <w:r w:rsidRPr="005C337E">
        <w:rPr>
          <w:rFonts w:ascii="Times New Roman" w:hAnsi="Times New Roman" w:cs="Times New Roman"/>
          <w:highlight w:val="yellow"/>
          <w:lang w:val="en-US"/>
        </w:rPr>
        <w:t>accommodates mixed integration orders, excludes I (2) variables, and captures</w:t>
      </w:r>
      <w:r w:rsidRPr="005C337E">
        <w:rPr>
          <w:rFonts w:ascii="Times New Roman" w:hAnsi="Times New Roman" w:cs="Times New Roman"/>
          <w:lang w:val="en-US"/>
        </w:rPr>
        <w:t xml:space="preserve"> both short-run dynamic adjustments and long-run equilibrium relationships.</w:t>
      </w:r>
    </w:p>
    <w:p w14:paraId="4920F655" w14:textId="77777777" w:rsidR="00FE798B" w:rsidRPr="005C337E" w:rsidRDefault="00FE798B" w:rsidP="00FE798B">
      <w:pPr>
        <w:spacing w:after="0"/>
        <w:jc w:val="both"/>
        <w:rPr>
          <w:rFonts w:ascii="Times New Roman" w:hAnsi="Times New Roman" w:cs="Times New Roman"/>
        </w:rPr>
      </w:pPr>
    </w:p>
    <w:p w14:paraId="1096EAC1"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3.5.1 Stationarity Test</w:t>
      </w:r>
    </w:p>
    <w:p w14:paraId="08B8B9B8"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lastRenderedPageBreak/>
        <w:t xml:space="preserve">The study used the Phillips-Perron (PP) unit-root test (Phillips &amp; Perron, 1988) to determine whether the variables were stationary or contained unit roots. Testing for stationarity was necessary because regression involving non-stationary time-series variables may produce misleading results or spurious regression relationships (Jin et al., 2017). </w:t>
      </w:r>
    </w:p>
    <w:p w14:paraId="31B985E3" w14:textId="77777777" w:rsidR="00FE798B" w:rsidRPr="005C337E" w:rsidRDefault="00FE798B" w:rsidP="00FE798B">
      <w:pPr>
        <w:spacing w:after="0"/>
        <w:jc w:val="both"/>
        <w:rPr>
          <w:rFonts w:ascii="Times New Roman" w:hAnsi="Times New Roman" w:cs="Times New Roman"/>
        </w:rPr>
      </w:pPr>
    </w:p>
    <w:p w14:paraId="3552183A"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3.5.2 Cointegration Test</w:t>
      </w:r>
      <w:r w:rsidR="000465C1" w:rsidRPr="005C337E">
        <w:rPr>
          <w:rFonts w:ascii="Times New Roman" w:hAnsi="Times New Roman" w:cs="Times New Roman"/>
          <w:b/>
          <w:bCs/>
          <w:highlight w:val="yellow"/>
        </w:rPr>
        <w:t xml:space="preserve"> (ARDL</w:t>
      </w:r>
      <w:r w:rsidR="000465C1" w:rsidRPr="005C337E">
        <w:rPr>
          <w:rFonts w:ascii="Times New Roman" w:hAnsi="Times New Roman" w:cs="Times New Roman"/>
          <w:b/>
          <w:bCs/>
        </w:rPr>
        <w:t xml:space="preserve"> Bounds Testing Framework)</w:t>
      </w:r>
    </w:p>
    <w:p w14:paraId="29783CD8"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 xml:space="preserve">To examine long-run equilibrium relationships, </w:t>
      </w:r>
      <w:r w:rsidRPr="005C337E">
        <w:rPr>
          <w:rFonts w:ascii="Times New Roman" w:hAnsi="Times New Roman" w:cs="Times New Roman"/>
          <w:highlight w:val="yellow"/>
          <w:lang w:val="en-US"/>
        </w:rPr>
        <w:t>this study adopted</w:t>
      </w:r>
      <w:r w:rsidRPr="005C337E">
        <w:rPr>
          <w:rFonts w:ascii="Times New Roman" w:hAnsi="Times New Roman" w:cs="Times New Roman"/>
          <w:lang w:val="en-US"/>
        </w:rPr>
        <w:t xml:space="preserve"> the Autoregressive Distributed Lag (ARDL) Bounds Testing approach to cointegration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Unlike traditional residual-based methods, the ARDL framework allows for cointegration testing irrespective of whether the underlying series are </w:t>
      </w:r>
      <w:r w:rsidR="00692F35" w:rsidRPr="005C337E">
        <w:rPr>
          <w:rFonts w:ascii="Times New Roman" w:hAnsi="Times New Roman" w:cs="Times New Roman"/>
          <w:lang w:val="en-US"/>
        </w:rPr>
        <w:t>I (</w:t>
      </w:r>
      <w:r w:rsidRPr="005C337E">
        <w:rPr>
          <w:rFonts w:ascii="Times New Roman" w:hAnsi="Times New Roman" w:cs="Times New Roman"/>
          <w:lang w:val="en-US"/>
        </w:rPr>
        <w:t xml:space="preserve">0), strictly </w:t>
      </w:r>
      <w:r w:rsidR="00692F35" w:rsidRPr="005C337E">
        <w:rPr>
          <w:rFonts w:ascii="Times New Roman" w:hAnsi="Times New Roman" w:cs="Times New Roman"/>
          <w:lang w:val="en-US"/>
        </w:rPr>
        <w:t>I (</w:t>
      </w:r>
      <w:r w:rsidRPr="005C337E">
        <w:rPr>
          <w:rFonts w:ascii="Times New Roman" w:hAnsi="Times New Roman" w:cs="Times New Roman"/>
          <w:lang w:val="en-US"/>
        </w:rPr>
        <w:t xml:space="preserve">1), or mutually integrated, provided no variable is </w:t>
      </w: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 xml:space="preserve">2). It also yields consistent estimates in small or finite samples. </w:t>
      </w:r>
    </w:p>
    <w:p w14:paraId="04C2E0CC"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The test is implemented by estimating the following conditional Unrestricted Error Correction Model (UECM) via Ordinary Least Squares (OLS):</w:t>
      </w:r>
    </w:p>
    <w:p w14:paraId="433699AC" w14:textId="77777777" w:rsidR="00692F35" w:rsidRPr="005C337E" w:rsidRDefault="00692F35" w:rsidP="006A30E8">
      <w:pPr>
        <w:spacing w:after="0"/>
        <w:jc w:val="both"/>
        <w:rPr>
          <w:rFonts w:ascii="Times New Roman" w:hAnsi="Times New Roman" w:cs="Times New Roman"/>
          <w:lang w:val="en-US"/>
        </w:rPr>
      </w:pPr>
    </w:p>
    <w:p w14:paraId="20B231BB" w14:textId="77777777" w:rsidR="00692F35" w:rsidRPr="005C337E" w:rsidRDefault="00692F35" w:rsidP="00692F35">
      <w:pPr>
        <w:jc w:val="both"/>
        <w:rPr>
          <w:rFonts w:eastAsiaTheme="minorEastAsia" w:cstheme="minorHAnsi"/>
        </w:rPr>
      </w:pPr>
      <m:oMath>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m:t>
            </m:r>
          </m:sub>
        </m:sSub>
      </m:oMath>
      <w:r w:rsidRPr="005C337E">
        <w:rPr>
          <w:rFonts w:ascii="Times New Roman" w:hAnsi="Times New Roman" w:cs="Times New Roman"/>
        </w:rPr>
        <w:t>=</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5C337E">
        <w:rPr>
          <w:rFonts w:ascii="Times New Roman" w:hAnsi="Times New Roman" w:cs="Times New Roman"/>
        </w:rPr>
        <w:t>​+</w:t>
      </w:r>
      <m:oMath>
        <m:nary>
          <m:naryPr>
            <m:chr m:val="∑"/>
            <m:limLoc m:val="undOvr"/>
            <m:grow m:val="1"/>
            <m:ctrlPr>
              <w:rPr>
                <w:rFonts w:ascii="Cambria Math" w:hAnsi="Cambria Math"/>
              </w:rPr>
            </m:ctrlPr>
          </m:naryPr>
          <m:sub>
            <m:r>
              <w:rPr>
                <w:rFonts w:ascii="Cambria Math" w:hAnsi="Cambria Math"/>
              </w:rPr>
              <m:t>i=1</m:t>
            </m:r>
          </m:sub>
          <m:sup>
            <m:r>
              <w:rPr>
                <w:rFonts w:ascii="Cambria Math" w:hAnsi="Cambria Math"/>
              </w:rPr>
              <m:t>p</m:t>
            </m:r>
          </m:sup>
          <m:e>
            <m:sSub>
              <m:sSubPr>
                <m:ctrlPr>
                  <w:rPr>
                    <w:rFonts w:ascii="Cambria Math" w:hAnsi="Cambria Math"/>
                  </w:rPr>
                </m:ctrlPr>
              </m:sSubPr>
              <m:e>
                <m:r>
                  <w:rPr>
                    <w:rFonts w:ascii="Cambria Math" w:hAnsi="Cambria Math"/>
                  </w:rPr>
                  <m:t>ψ</m:t>
                </m:r>
              </m:e>
              <m:sub>
                <m:r>
                  <w:rPr>
                    <w:rFonts w:ascii="Cambria Math" w:hAnsi="Cambria Math"/>
                  </w:rPr>
                  <m:t>i</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t-i</m:t>
            </m:r>
          </m:sub>
        </m:sSub>
        <m:r>
          <w:rPr>
            <w:rFonts w:ascii="Cambria Math" w:hAnsi="Cambria Math"/>
          </w:rPr>
          <m:t xml:space="preserve">+ </m:t>
        </m:r>
        <m:nary>
          <m:naryPr>
            <m:chr m:val="∑"/>
            <m:limLoc m:val="undOvr"/>
            <m:grow m:val="1"/>
            <m:ctrlPr>
              <w:rPr>
                <w:rFonts w:ascii="Cambria Math" w:hAnsi="Cambria Math"/>
              </w:rPr>
            </m:ctrlPr>
          </m:naryPr>
          <m:sub>
            <m:r>
              <w:rPr>
                <w:rFonts w:ascii="Cambria Math" w:hAnsi="Cambria Math"/>
              </w:rPr>
              <m:t>j=0</m:t>
            </m:r>
          </m:sub>
          <m:sup>
            <m:r>
              <w:rPr>
                <w:rFonts w:ascii="Cambria Math" w:hAnsi="Cambria Math"/>
              </w:rPr>
              <m:t>q1</m:t>
            </m:r>
          </m:sup>
          <m:e>
            <m:sSub>
              <m:sSubPr>
                <m:ctrlPr>
                  <w:rPr>
                    <w:rFonts w:ascii="Cambria Math" w:hAnsi="Cambria Math"/>
                  </w:rPr>
                </m:ctrlPr>
              </m:sSubPr>
              <m:e>
                <m:r>
                  <w:rPr>
                    <w:rFonts w:ascii="Cambria Math" w:hAnsi="Cambria Math"/>
                  </w:rPr>
                  <m:t>γ</m:t>
                </m:r>
              </m:e>
              <m:sub>
                <m:r>
                  <w:rPr>
                    <w:rFonts w:ascii="Cambria Math" w:hAnsi="Cambria Math"/>
                  </w:rPr>
                  <m:t>j</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1,  t-j</m:t>
            </m:r>
          </m:sub>
        </m:sSub>
        <m:r>
          <w:rPr>
            <w:rFonts w:ascii="Cambria Math" w:hAnsi="Cambria Math" w:cs="Times New Roman"/>
          </w:rPr>
          <m:t xml:space="preserve"> </m:t>
        </m:r>
      </m:oMath>
      <w:r w:rsidRPr="005C337E">
        <w:rPr>
          <w:lang w:val="en-US"/>
        </w:rPr>
        <w:t>+</w:t>
      </w:r>
      <m:oMath>
        <m:sSub>
          <m:sSubPr>
            <m:ctrlPr>
              <w:rPr>
                <w:rFonts w:ascii="Cambria Math" w:hAnsi="Cambria Math"/>
              </w:rPr>
            </m:ctrlPr>
          </m:sSubPr>
          <m:e>
            <m:r>
              <w:rPr>
                <w:rFonts w:ascii="Cambria Math" w:hAnsi="Cambria Math"/>
              </w:rPr>
              <m:t>…</m:t>
            </m:r>
            <m:r>
              <m:rPr>
                <m:sty m:val="p"/>
              </m:rPr>
              <w:rPr>
                <w:rFonts w:ascii="Cambria Math" w:hAnsi="Cambria Math"/>
                <w:lang w:val="en-US"/>
              </w:rPr>
              <m:t xml:space="preserve"> +</m:t>
            </m:r>
            <m:nary>
              <m:naryPr>
                <m:chr m:val="∑"/>
                <m:limLoc m:val="undOvr"/>
                <m:grow m:val="1"/>
                <m:ctrlPr>
                  <w:rPr>
                    <w:rFonts w:ascii="Cambria Math" w:hAnsi="Cambria Math"/>
                  </w:rPr>
                </m:ctrlPr>
              </m:naryPr>
              <m:sub>
                <m:r>
                  <w:rPr>
                    <w:rFonts w:ascii="Cambria Math" w:hAnsi="Cambria Math"/>
                  </w:rPr>
                  <m:t>m=0</m:t>
                </m:r>
              </m:sub>
              <m:sup>
                <m:r>
                  <w:rPr>
                    <w:rFonts w:ascii="Cambria Math" w:hAnsi="Cambria Math"/>
                  </w:rPr>
                  <m:t>qk</m:t>
                </m:r>
              </m:sup>
              <m:e>
                <m:sSub>
                  <m:sSubPr>
                    <m:ctrlPr>
                      <w:rPr>
                        <w:rFonts w:ascii="Cambria Math" w:hAnsi="Cambria Math"/>
                      </w:rPr>
                    </m:ctrlPr>
                  </m:sSubPr>
                  <m:e>
                    <m:r>
                      <m:rPr>
                        <m:sty m:val="p"/>
                      </m:rPr>
                      <w:rPr>
                        <w:rFonts w:ascii="Cambria Math" w:hAnsi="Cambria Math"/>
                        <w:lang w:val="en-US"/>
                      </w:rPr>
                      <m:t>ω</m:t>
                    </m:r>
                  </m:e>
                  <m:sub>
                    <m:r>
                      <w:rPr>
                        <w:rFonts w:ascii="Cambria Math" w:hAnsi="Cambria Math"/>
                      </w:rPr>
                      <m:t>m</m:t>
                    </m:r>
                  </m:sub>
                </m:sSub>
              </m:e>
            </m:nary>
            <m:r>
              <w:rPr>
                <w:rFonts w:ascii="Cambria Math" w:hAnsi="Cambria Math" w:cs="Times New Roman"/>
              </w:rPr>
              <m:t>△</m:t>
            </m:r>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 t-m</m:t>
                </m:r>
              </m:sub>
            </m:sSub>
            <m:r>
              <w:rPr>
                <w:rFonts w:ascii="Cambria Math" w:hAnsi="Cambria Math" w:cs="Times New Roman"/>
              </w:rPr>
              <m:t xml:space="preserve"> </m:t>
            </m:r>
            <m:r>
              <m:rPr>
                <m:sty m:val="p"/>
              </m:rPr>
              <w:rPr>
                <w:rFonts w:ascii="Cambria Math" w:hAnsi="Cambria Math"/>
                <w:lang w:val="en-US"/>
              </w:rPr>
              <m:t>+</m:t>
            </m:r>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m:rPr>
                <m:sty m:val="p"/>
              </m:rPr>
              <w:rPr>
                <w:rFonts w:ascii="Cambria Math" w:hAnsi="Cambria Math"/>
                <w:lang w:val="en-US"/>
              </w:rPr>
              <m:t>Y</m:t>
            </m:r>
          </m:e>
          <m:sub>
            <m:r>
              <w:rPr>
                <w:rFonts w:ascii="Cambria Math" w:hAnsi="Cambria Math"/>
              </w:rPr>
              <m:t>t-1</m:t>
            </m:r>
          </m:sub>
        </m:sSub>
      </m:oMath>
      <w:r w:rsidRPr="005C337E">
        <w:rPr>
          <w:rFonts w:eastAsiaTheme="minorEastAsia"/>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2</m:t>
            </m:r>
          </m:sub>
        </m:sSub>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1,  t-1 +.  .  .+</m:t>
            </m:r>
          </m:sub>
        </m:sSub>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  t-1+</m:t>
            </m:r>
          </m:sub>
        </m:sSub>
        <m:sSub>
          <m:sSubPr>
            <m:ctrlPr>
              <w:rPr>
                <w:rFonts w:ascii="Cambria Math" w:hAnsi="Cambria Math"/>
              </w:rPr>
            </m:ctrlPr>
          </m:sSubPr>
          <m:e>
            <m:r>
              <m:rPr>
                <m:sty m:val="p"/>
              </m:rPr>
              <w:rPr>
                <w:rFonts w:ascii="Cambria Math" w:hAnsi="Cambria Math"/>
              </w:rPr>
              <m:t>ε</m:t>
            </m:r>
          </m:e>
          <m:sub>
            <m:r>
              <w:rPr>
                <w:rFonts w:ascii="Cambria Math" w:hAnsi="Cambria Math"/>
              </w:rPr>
              <m:t>t</m:t>
            </m:r>
          </m:sub>
        </m:sSub>
      </m:oMath>
    </w:p>
    <w:p w14:paraId="6F2A8907" w14:textId="77777777" w:rsidR="00692F35" w:rsidRPr="005C337E" w:rsidRDefault="00692F35" w:rsidP="006A30E8">
      <w:pPr>
        <w:spacing w:after="0"/>
        <w:jc w:val="both"/>
        <w:rPr>
          <w:rFonts w:ascii="Times New Roman" w:hAnsi="Times New Roman" w:cs="Times New Roman"/>
          <w:lang w:val="en-US"/>
        </w:rPr>
      </w:pPr>
    </w:p>
    <w:p w14:paraId="4DD7D74A" w14:textId="77777777" w:rsidR="006A30E8" w:rsidRPr="005C337E" w:rsidRDefault="006A30E8" w:rsidP="006A30E8">
      <w:pPr>
        <w:spacing w:after="0"/>
        <w:jc w:val="both"/>
        <w:rPr>
          <w:rFonts w:ascii="Times New Roman" w:hAnsi="Times New Roman" w:cs="Times New Roman"/>
          <w:lang w:val="en-US"/>
        </w:rPr>
      </w:pPr>
      <w:r w:rsidRPr="005C337E">
        <w:rPr>
          <w:rFonts w:ascii="Times New Roman" w:hAnsi="Times New Roman" w:cs="Times New Roman"/>
          <w:lang w:val="en-US"/>
        </w:rPr>
        <w:t xml:space="preserve">where </w:t>
      </w:r>
      <m:oMath>
        <m:r>
          <w:rPr>
            <w:rFonts w:ascii="Cambria Math" w:hAnsi="Cambria Math" w:cs="Times New Roman"/>
          </w:rPr>
          <m:t>△</m:t>
        </m:r>
      </m:oMath>
      <w:r w:rsidRPr="005C337E">
        <w:rPr>
          <w:rFonts w:ascii="Times New Roman" w:hAnsi="Times New Roman" w:cs="Times New Roman"/>
          <w:lang w:val="en-US"/>
        </w:rPr>
        <w:t xml:space="preserve"> is the first-difference operator, </w:t>
      </w:r>
      <m:oMath>
        <m:sSub>
          <m:sSubPr>
            <m:ctrlPr>
              <w:rPr>
                <w:rFonts w:ascii="Cambria Math" w:hAnsi="Cambria Math" w:cs="Times New Roman"/>
                <w:i/>
              </w:rPr>
            </m:ctrlPr>
          </m:sSubPr>
          <m:e>
            <m:r>
              <m:rPr>
                <m:sty m:val="p"/>
              </m:rPr>
              <w:rPr>
                <w:rFonts w:ascii="Cambria Math" w:hAnsi="Cambria Math" w:cs="Times New Roman"/>
              </w:rPr>
              <m:t>Y</m:t>
            </m:r>
          </m:e>
          <m:sub>
            <m:r>
              <w:rPr>
                <w:rFonts w:ascii="Cambria Math" w:hAnsi="Cambria Math" w:cs="Times New Roman"/>
              </w:rPr>
              <m:t>t</m:t>
            </m:r>
          </m:sub>
        </m:sSub>
        <m:r>
          <w:rPr>
            <w:rFonts w:ascii="Cambria Math" w:hAnsi="Cambria Math" w:cs="Times New Roman"/>
          </w:rPr>
          <m:t xml:space="preserve"> </m:t>
        </m:r>
      </m:oMath>
      <w:r w:rsidRPr="005C337E">
        <w:rPr>
          <w:rFonts w:ascii="Times New Roman" w:hAnsi="Times New Roman" w:cs="Times New Roman"/>
          <w:lang w:val="en-US"/>
        </w:rPr>
        <w:t xml:space="preserve">is the dependent variable, </w:t>
      </w:r>
      <m:oMath>
        <m:sSub>
          <m:sSubPr>
            <m:ctrlPr>
              <w:rPr>
                <w:rFonts w:ascii="Cambria Math" w:hAnsi="Cambria Math" w:cs="Times New Roman"/>
                <w:i/>
              </w:rPr>
            </m:ctrlPr>
          </m:sSubPr>
          <m:e>
            <m:r>
              <m:rPr>
                <m:sty m:val="p"/>
              </m:rPr>
              <w:rPr>
                <w:rFonts w:ascii="Cambria Math" w:hAnsi="Cambria Math" w:cs="Times New Roman"/>
              </w:rPr>
              <m:t>X</m:t>
            </m:r>
          </m:e>
          <m:sub>
            <m:r>
              <w:rPr>
                <w:rFonts w:ascii="Cambria Math" w:hAnsi="Cambria Math" w:cs="Times New Roman"/>
              </w:rPr>
              <m:t>k</m:t>
            </m:r>
          </m:sub>
        </m:sSub>
        <m:r>
          <w:rPr>
            <w:rFonts w:ascii="Cambria Math" w:hAnsi="Cambria Math" w:cs="Times New Roman"/>
          </w:rPr>
          <m:t xml:space="preserve"> </m:t>
        </m:r>
      </m:oMath>
      <w:r w:rsidRPr="005C337E">
        <w:rPr>
          <w:rFonts w:ascii="Times New Roman" w:hAnsi="Times New Roman" w:cs="Times New Roman"/>
          <w:lang w:val="en-US"/>
        </w:rPr>
        <w:t xml:space="preserve"> is a vector of k explanatory variables, </w:t>
      </w:r>
      <m:oMath>
        <m:sSub>
          <m:sSubPr>
            <m:ctrlPr>
              <w:rPr>
                <w:rFonts w:ascii="Cambria Math" w:hAnsi="Cambria Math" w:cs="Times New Roman"/>
                <w:i/>
              </w:rPr>
            </m:ctrlPr>
          </m:sSubPr>
          <m:e>
            <m:r>
              <w:rPr>
                <w:rFonts w:ascii="Cambria Math" w:hAnsi="Cambria Math" w:cs="Times New Roman"/>
              </w:rPr>
              <m:t>β</m:t>
            </m:r>
          </m:e>
          <m:sub>
            <m:r>
              <w:rPr>
                <w:rFonts w:ascii="Cambria Math" w:hAnsi="Cambria Math" w:cs="Times New Roman"/>
              </w:rPr>
              <m:t>0</m:t>
            </m:r>
          </m:sub>
        </m:sSub>
      </m:oMath>
      <w:r w:rsidRPr="005C337E">
        <w:rPr>
          <w:rFonts w:ascii="Times New Roman" w:hAnsi="Times New Roman" w:cs="Times New Roman"/>
          <w:lang w:val="en-US"/>
        </w:rPr>
        <w:t xml:space="preserve">is the drift term, and </w:t>
      </w:r>
      <m:oMath>
        <m:sSub>
          <m:sSubPr>
            <m:ctrlPr>
              <w:rPr>
                <w:rFonts w:ascii="Cambria Math" w:hAnsi="Cambria Math"/>
              </w:rPr>
            </m:ctrlPr>
          </m:sSubPr>
          <m:e>
            <m:r>
              <m:rPr>
                <m:sty m:val="p"/>
              </m:rPr>
              <w:rPr>
                <w:rFonts w:ascii="Cambria Math" w:hAnsi="Cambria Math"/>
              </w:rPr>
              <m:t>ε</m:t>
            </m:r>
          </m:e>
          <m:sub>
            <m:r>
              <w:rPr>
                <w:rFonts w:ascii="Cambria Math" w:hAnsi="Cambria Math"/>
              </w:rPr>
              <m:t>t</m:t>
            </m:r>
          </m:sub>
        </m:sSub>
        <m:r>
          <w:rPr>
            <w:rFonts w:ascii="Cambria Math" w:hAnsi="Cambria Math"/>
          </w:rPr>
          <m:t xml:space="preserve"> </m:t>
        </m:r>
      </m:oMath>
      <w:r w:rsidRPr="005C337E">
        <w:rPr>
          <w:rFonts w:ascii="Times New Roman" w:hAnsi="Times New Roman" w:cs="Times New Roman"/>
          <w:lang w:val="en-US"/>
        </w:rPr>
        <w:t xml:space="preserve">is the error term. The parameters </w:t>
      </w:r>
      <m:oMath>
        <m:r>
          <w:rPr>
            <w:rFonts w:ascii="Cambria Math" w:hAnsi="Cambria Math"/>
          </w:rPr>
          <m:t>ψ</m:t>
        </m:r>
      </m:oMath>
      <w:r w:rsidR="00CE5019" w:rsidRPr="005C337E">
        <w:rPr>
          <w:rFonts w:ascii="Times New Roman" w:hAnsi="Times New Roman" w:cs="Times New Roman"/>
          <w:lang w:val="en-US"/>
        </w:rPr>
        <w:t>,</w:t>
      </w:r>
      <w:r w:rsidR="00CE5019" w:rsidRPr="005C337E">
        <w:rPr>
          <w:rFonts w:ascii="Cambria Math" w:hAnsi="Cambria Math"/>
          <w:i/>
        </w:rPr>
        <w:t xml:space="preserve"> </w:t>
      </w:r>
      <m:oMath>
        <m:r>
          <w:rPr>
            <w:rFonts w:ascii="Cambria Math" w:hAnsi="Cambria Math"/>
          </w:rPr>
          <m:t xml:space="preserve">γ  and </m:t>
        </m:r>
        <m:r>
          <m:rPr>
            <m:sty m:val="p"/>
          </m:rPr>
          <w:rPr>
            <w:rFonts w:ascii="Cambria Math" w:hAnsi="Cambria Math"/>
            <w:lang w:val="en-US"/>
          </w:rPr>
          <m:t>ω</m:t>
        </m:r>
      </m:oMath>
      <w:r w:rsidR="00CE5019" w:rsidRPr="005C337E">
        <w:rPr>
          <w:rFonts w:ascii="Times New Roman" w:hAnsi="Times New Roman" w:cs="Times New Roman"/>
          <w:lang w:val="en-US"/>
        </w:rPr>
        <w:t xml:space="preserve"> </w:t>
      </w:r>
      <w:r w:rsidRPr="005C337E">
        <w:rPr>
          <w:rFonts w:ascii="Times New Roman" w:hAnsi="Times New Roman" w:cs="Times New Roman"/>
          <w:lang w:val="en-US"/>
        </w:rPr>
        <w:t>measure short-run dynamics, while</w:t>
      </w:r>
      <w:r w:rsidR="00CE5019" w:rsidRPr="005C337E">
        <w:rPr>
          <w:rFonts w:ascii="Times New Roman" w:hAnsi="Times New Roman" w:cs="Times New Roman"/>
          <w:lang w:val="en-US"/>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w:rPr>
            <w:rFonts w:ascii="Cambria Math" w:hAnsi="Cambria Math"/>
          </w:rPr>
          <m:t>, . . .,</m:t>
        </m:r>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oMath>
      <w:r w:rsidRPr="005C337E">
        <w:rPr>
          <w:rFonts w:ascii="Times New Roman" w:hAnsi="Times New Roman" w:cs="Times New Roman"/>
          <w:lang w:val="en-US"/>
        </w:rPr>
        <w:t xml:space="preserve"> capture long-run relationships.</w:t>
      </w:r>
      <w:r w:rsidR="000465C1" w:rsidRPr="005C337E">
        <w:rPr>
          <w:rFonts w:ascii="Times New Roman" w:hAnsi="Times New Roman" w:cs="Times New Roman"/>
          <w:lang w:val="en-US"/>
        </w:rPr>
        <w:t xml:space="preserve"> </w:t>
      </w:r>
      <w:r w:rsidRPr="005C337E">
        <w:rPr>
          <w:rFonts w:ascii="Times New Roman" w:hAnsi="Times New Roman" w:cs="Times New Roman"/>
          <w:lang w:val="en-US"/>
        </w:rPr>
        <w:t>Cointegration is evaluated using a joint F-test on the lagged level variables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0</m:t>
            </m:r>
          </m:sub>
        </m:sSub>
      </m:oMath>
      <w:r w:rsidRPr="005C337E">
        <w:rPr>
          <w:rFonts w:ascii="Times New Roman" w:hAnsi="Times New Roman" w:cs="Times New Roman"/>
          <w:lang w:val="en-US"/>
        </w:rPr>
        <w:t>:</w:t>
      </w:r>
      <w:r w:rsidR="000465C1" w:rsidRPr="005C337E">
        <w:rPr>
          <w:rFonts w:ascii="Cambria Math" w:hAnsi="Cambria Math"/>
        </w:rPr>
        <w:t xml:space="preserve"> </w:t>
      </w:r>
      <m:oMath>
        <m:sSub>
          <m:sSubPr>
            <m:ctrlPr>
              <w:rPr>
                <w:rFonts w:ascii="Cambria Math" w:hAnsi="Cambria Math"/>
              </w:rPr>
            </m:ctrlPr>
          </m:sSubPr>
          <m:e>
            <m:r>
              <m:rPr>
                <m:sty m:val="p"/>
              </m:rPr>
              <w:rPr>
                <w:rFonts w:ascii="Cambria Math" w:hAnsi="Cambria Math"/>
                <w:lang w:val="en-US"/>
              </w:rPr>
              <m:t>λ</m:t>
            </m:r>
          </m:e>
          <m:sub>
            <m:r>
              <w:rPr>
                <w:rFonts w:ascii="Cambria Math" w:hAnsi="Cambria Math"/>
              </w:rPr>
              <m:t>1</m:t>
            </m:r>
          </m:sub>
        </m:sSub>
        <m:r>
          <w:rPr>
            <w:rFonts w:ascii="Cambria Math" w:hAnsi="Cambria Math"/>
          </w:rPr>
          <m:t>= . . .=</m:t>
        </m:r>
        <m:sSub>
          <m:sSubPr>
            <m:ctrlPr>
              <w:rPr>
                <w:rFonts w:ascii="Cambria Math" w:hAnsi="Cambria Math"/>
              </w:rPr>
            </m:ctrlPr>
          </m:sSubPr>
          <m:e>
            <m:r>
              <m:rPr>
                <m:sty m:val="p"/>
              </m:rPr>
              <w:rPr>
                <w:rFonts w:ascii="Cambria Math" w:hAnsi="Cambria Math"/>
                <w:lang w:val="en-US"/>
              </w:rPr>
              <m:t>λ</m:t>
            </m:r>
          </m:e>
          <m:sub>
            <m:r>
              <w:rPr>
                <w:rFonts w:ascii="Cambria Math" w:hAnsi="Cambria Math"/>
              </w:rPr>
              <m:t>k+1</m:t>
            </m:r>
          </m:sub>
        </m:sSub>
      </m:oMath>
      <w:r w:rsidR="000465C1" w:rsidRPr="005C337E">
        <w:rPr>
          <w:rFonts w:ascii="Times New Roman" w:hAnsi="Times New Roman" w:cs="Times New Roman"/>
          <w:lang w:val="en-US"/>
        </w:rPr>
        <w:t xml:space="preserve"> = 0. </w:t>
      </w:r>
      <w:r w:rsidRPr="005C337E">
        <w:rPr>
          <w:rFonts w:ascii="Times New Roman" w:hAnsi="Times New Roman" w:cs="Times New Roman"/>
          <w:lang w:val="en-US"/>
        </w:rPr>
        <w:t xml:space="preserve">The calculated F-statistic is compared against the asymptotic critical value bounds in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xml:space="preserve"> et al. (2001). An F-statistic exceeding the upper critical bound </w:t>
      </w: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 xml:space="preserve">1) rejects the null hypothesis and confirms cointegration. A value below the lower bound </w:t>
      </w:r>
      <w:r w:rsidR="000465C1" w:rsidRPr="005C337E">
        <w:rPr>
          <w:rFonts w:ascii="Times New Roman" w:hAnsi="Times New Roman" w:cs="Times New Roman"/>
          <w:lang w:val="en-US"/>
        </w:rPr>
        <w:t>I (</w:t>
      </w:r>
      <w:r w:rsidRPr="005C337E">
        <w:rPr>
          <w:rFonts w:ascii="Times New Roman" w:hAnsi="Times New Roman" w:cs="Times New Roman"/>
          <w:lang w:val="en-US"/>
        </w:rPr>
        <w:t xml:space="preserve">0) indicates no cointegration, whereas a value falling between the two bounds is inconclusive. </w:t>
      </w:r>
    </w:p>
    <w:p w14:paraId="6C6B1490" w14:textId="77777777" w:rsidR="00FE798B" w:rsidRPr="005C337E" w:rsidRDefault="00FE798B" w:rsidP="00FE798B">
      <w:pPr>
        <w:spacing w:after="0"/>
        <w:jc w:val="both"/>
        <w:rPr>
          <w:rFonts w:ascii="Times New Roman" w:hAnsi="Times New Roman" w:cs="Times New Roman"/>
        </w:rPr>
      </w:pPr>
    </w:p>
    <w:p w14:paraId="6300BA9E"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3.5.3 Granger Causality Test</w:t>
      </w:r>
    </w:p>
    <w:p w14:paraId="2E04253A"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Following identification of long-run relationships, Granger causality tests were undertaken to determine the direction of causal relationships among the variables. The analysis distinguished between neutrality, unidirectional causality and bidirectional causality. Statistical significance was assessed at the 5% level (Granger, 1969; Singh &amp; Janor, 2019). </w:t>
      </w:r>
    </w:p>
    <w:p w14:paraId="7014F623"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3.5.4 Diagnostic Tests</w:t>
      </w:r>
    </w:p>
    <w:p w14:paraId="6F339546"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Diagnostic tests were undertaken to assess the adequacy of the estimated model. These included tests for multicollinearity, heteroscedasticity, autocorrelation and normality. Multicollinearity was assessed using the coefficient of determination and variance inflation factors (VIF). The thesis considered VIF values greater than 10 as indicative of potential multicollinearity (Mohamed, 2011). Heteroscedasticity was assessed using the Breusch-Pagan test, with a probability value below 0.05 indicating the presence of heteroscedasticity (Breusch &amp; Pagan, 1979). Autocorrelation </w:t>
      </w:r>
      <w:r w:rsidRPr="005C337E">
        <w:rPr>
          <w:rFonts w:ascii="Times New Roman" w:hAnsi="Times New Roman" w:cs="Times New Roman"/>
        </w:rPr>
        <w:lastRenderedPageBreak/>
        <w:t xml:space="preserve">was assessed using the Durbin-Watson test. The thesis used the test to determine whether the residuals exhibited serial correlation (Durbin &amp; Watson, 1951). Normality was assessed using skewness, kurtosis and the Jarque-Bera test, following the criteria cited in the thesis (Jarque &amp; Bera, 1980). </w:t>
      </w:r>
      <w:r w:rsidR="00280A29" w:rsidRPr="005C337E">
        <w:rPr>
          <w:rFonts w:ascii="Times New Roman" w:hAnsi="Times New Roman" w:cs="Times New Roman"/>
        </w:rPr>
        <w:t xml:space="preserve">  </w:t>
      </w:r>
    </w:p>
    <w:p w14:paraId="28F28250" w14:textId="77777777" w:rsidR="00BD5A0A" w:rsidRPr="005C337E" w:rsidRDefault="00BD5A0A" w:rsidP="00FE798B">
      <w:pPr>
        <w:spacing w:after="0"/>
        <w:jc w:val="both"/>
        <w:rPr>
          <w:rFonts w:ascii="Times New Roman" w:hAnsi="Times New Roman" w:cs="Times New Roman"/>
        </w:rPr>
      </w:pPr>
    </w:p>
    <w:p w14:paraId="7A7DEF7B" w14:textId="77777777" w:rsidR="00FE798B" w:rsidRPr="005C337E" w:rsidRDefault="00FE798B" w:rsidP="00FE798B">
      <w:pPr>
        <w:spacing w:after="0"/>
        <w:jc w:val="both"/>
        <w:rPr>
          <w:rFonts w:ascii="Times New Roman" w:hAnsi="Times New Roman" w:cs="Times New Roman"/>
          <w:b/>
          <w:bCs/>
        </w:rPr>
      </w:pPr>
      <w:r w:rsidRPr="005C337E">
        <w:rPr>
          <w:rFonts w:ascii="Times New Roman" w:hAnsi="Times New Roman" w:cs="Times New Roman"/>
          <w:b/>
          <w:bCs/>
        </w:rPr>
        <w:t>3.5.5 Lag-Order Selection</w:t>
      </w:r>
    </w:p>
    <w:p w14:paraId="4C593945" w14:textId="77777777" w:rsidR="00FE798B" w:rsidRPr="005C337E" w:rsidRDefault="00FE798B" w:rsidP="00FE798B">
      <w:pPr>
        <w:spacing w:after="0"/>
        <w:jc w:val="both"/>
        <w:rPr>
          <w:rFonts w:ascii="Times New Roman" w:hAnsi="Times New Roman" w:cs="Times New Roman"/>
        </w:rPr>
      </w:pPr>
      <w:r w:rsidRPr="005C337E">
        <w:rPr>
          <w:rFonts w:ascii="Times New Roman" w:hAnsi="Times New Roman" w:cs="Times New Roman"/>
        </w:rPr>
        <w:t xml:space="preserve">The appropriate lag length was determined using the Akaike Information Criterion (AIC) and Schwarz Bayesian Information Criterion (SBIC). The thesis also employed the Lagrange Multiplier (LM) test to assess serial correlation in the residuals. </w:t>
      </w:r>
    </w:p>
    <w:p w14:paraId="15F6E203" w14:textId="77777777" w:rsidR="001F0F12" w:rsidRPr="005C337E" w:rsidRDefault="00EB72D7" w:rsidP="00EB72D7">
      <w:pPr>
        <w:tabs>
          <w:tab w:val="left" w:pos="6375"/>
        </w:tabs>
        <w:jc w:val="both"/>
        <w:rPr>
          <w:rFonts w:ascii="Times New Roman" w:hAnsi="Times New Roman" w:cs="Times New Roman"/>
        </w:rPr>
      </w:pPr>
      <w:r w:rsidRPr="005C337E">
        <w:rPr>
          <w:rFonts w:ascii="Times New Roman" w:hAnsi="Times New Roman" w:cs="Times New Roman"/>
        </w:rPr>
        <w:tab/>
      </w:r>
    </w:p>
    <w:p w14:paraId="3B494DAE" w14:textId="77777777" w:rsidR="009A7968" w:rsidRPr="005C337E" w:rsidRDefault="009A7968" w:rsidP="009A7968">
      <w:pPr>
        <w:tabs>
          <w:tab w:val="left" w:pos="6375"/>
        </w:tabs>
        <w:jc w:val="both"/>
        <w:rPr>
          <w:rFonts w:ascii="Times New Roman" w:hAnsi="Times New Roman" w:cs="Times New Roman"/>
          <w:b/>
          <w:bCs/>
        </w:rPr>
      </w:pPr>
      <w:r w:rsidRPr="005C337E">
        <w:rPr>
          <w:rFonts w:ascii="Times New Roman" w:hAnsi="Times New Roman" w:cs="Times New Roman"/>
          <w:b/>
          <w:bCs/>
        </w:rPr>
        <w:t>4. RESULTS AND DISCUSSION</w:t>
      </w:r>
    </w:p>
    <w:p w14:paraId="0635D5B8" w14:textId="77777777" w:rsidR="009A7968" w:rsidRPr="005C337E" w:rsidRDefault="009A7968" w:rsidP="009A7968">
      <w:pPr>
        <w:tabs>
          <w:tab w:val="left" w:pos="6375"/>
        </w:tabs>
        <w:jc w:val="both"/>
        <w:rPr>
          <w:rFonts w:ascii="Times New Roman" w:hAnsi="Times New Roman" w:cs="Times New Roman"/>
          <w:b/>
          <w:bCs/>
        </w:rPr>
      </w:pPr>
      <w:r w:rsidRPr="005C337E">
        <w:rPr>
          <w:rFonts w:ascii="Times New Roman" w:hAnsi="Times New Roman" w:cs="Times New Roman"/>
          <w:b/>
          <w:bCs/>
        </w:rPr>
        <w:t>4.1 Descriptive Statistics and Normality</w:t>
      </w:r>
    </w:p>
    <w:p w14:paraId="5A54AE96"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To evaluate the statistical properties of the variables and ensure their suitability for econometric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descriptive statistics were calculated for all log-transformed series. Natural logarithmic transformations were applied to </w:t>
      </w:r>
      <w:r w:rsidRPr="005C337E">
        <w:rPr>
          <w:rFonts w:ascii="Times New Roman" w:hAnsi="Times New Roman" w:cs="Times New Roman"/>
          <w:highlight w:val="yellow"/>
          <w:lang w:val="en-US"/>
        </w:rPr>
        <w:t>minimise</w:t>
      </w:r>
      <w:r w:rsidRPr="005C337E">
        <w:rPr>
          <w:rFonts w:ascii="Times New Roman" w:hAnsi="Times New Roman" w:cs="Times New Roman"/>
          <w:lang w:val="en-US"/>
        </w:rPr>
        <w:t xml:space="preserve"> heteroscedasticity, compress scale variance, and allow the estimated ARDL coefficients to be interpreted directly as elasticities.</w:t>
      </w:r>
    </w:p>
    <w:p w14:paraId="7DBA99EA"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The editorially corrected summary statistics, audited directly against the log-transformed estimation series, are presented in Table 2.</w:t>
      </w:r>
    </w:p>
    <w:p w14:paraId="7AAF95A6" w14:textId="77777777" w:rsidR="00716735" w:rsidRPr="005C337E" w:rsidRDefault="00716735" w:rsidP="00BD5A0A">
      <w:pPr>
        <w:tabs>
          <w:tab w:val="left" w:pos="6375"/>
        </w:tabs>
        <w:spacing w:after="0"/>
        <w:jc w:val="both"/>
        <w:rPr>
          <w:rFonts w:ascii="Times New Roman" w:hAnsi="Times New Roman" w:cs="Times New Roman"/>
          <w:lang w:val="en-US"/>
        </w:rPr>
      </w:pPr>
      <w:r w:rsidRPr="005C337E">
        <w:rPr>
          <w:rFonts w:ascii="Times New Roman" w:hAnsi="Times New Roman" w:cs="Times New Roman"/>
          <w:b/>
          <w:bCs/>
          <w:lang w:val="en-US"/>
        </w:rPr>
        <w:t>Table 2: Descriptive Statistics of Log-Transformed Variables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6"/>
        <w:gridCol w:w="666"/>
        <w:gridCol w:w="807"/>
        <w:gridCol w:w="1016"/>
        <w:gridCol w:w="987"/>
        <w:gridCol w:w="810"/>
        <w:gridCol w:w="947"/>
        <w:gridCol w:w="877"/>
        <w:gridCol w:w="1081"/>
        <w:gridCol w:w="766"/>
        <w:gridCol w:w="527"/>
      </w:tblGrid>
      <w:tr w:rsidR="00716735" w:rsidRPr="005C337E" w14:paraId="783D69F5" w14:textId="77777777" w:rsidTr="00290FD6">
        <w:tc>
          <w:tcPr>
            <w:tcW w:w="0" w:type="auto"/>
            <w:tcBorders>
              <w:top w:val="single" w:sz="4" w:space="0" w:color="auto"/>
              <w:bottom w:val="single" w:sz="4" w:space="0" w:color="auto"/>
            </w:tcBorders>
            <w:hideMark/>
          </w:tcPr>
          <w:p w14:paraId="3D0CF405"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Variable</w:t>
            </w:r>
          </w:p>
        </w:tc>
        <w:tc>
          <w:tcPr>
            <w:tcW w:w="0" w:type="auto"/>
            <w:tcBorders>
              <w:top w:val="single" w:sz="4" w:space="0" w:color="auto"/>
              <w:bottom w:val="single" w:sz="4" w:space="0" w:color="auto"/>
            </w:tcBorders>
            <w:hideMark/>
          </w:tcPr>
          <w:p w14:paraId="34FA4141"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Mean</w:t>
            </w:r>
          </w:p>
        </w:tc>
        <w:tc>
          <w:tcPr>
            <w:tcW w:w="0" w:type="auto"/>
            <w:tcBorders>
              <w:top w:val="single" w:sz="4" w:space="0" w:color="auto"/>
              <w:bottom w:val="single" w:sz="4" w:space="0" w:color="auto"/>
            </w:tcBorders>
            <w:hideMark/>
          </w:tcPr>
          <w:p w14:paraId="7FA6217E"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Median</w:t>
            </w:r>
          </w:p>
        </w:tc>
        <w:tc>
          <w:tcPr>
            <w:tcW w:w="0" w:type="auto"/>
            <w:tcBorders>
              <w:top w:val="single" w:sz="4" w:space="0" w:color="auto"/>
              <w:bottom w:val="single" w:sz="4" w:space="0" w:color="auto"/>
            </w:tcBorders>
            <w:hideMark/>
          </w:tcPr>
          <w:p w14:paraId="235FD889"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Maximum</w:t>
            </w:r>
          </w:p>
        </w:tc>
        <w:tc>
          <w:tcPr>
            <w:tcW w:w="0" w:type="auto"/>
            <w:tcBorders>
              <w:top w:val="single" w:sz="4" w:space="0" w:color="auto"/>
              <w:bottom w:val="single" w:sz="4" w:space="0" w:color="auto"/>
            </w:tcBorders>
            <w:hideMark/>
          </w:tcPr>
          <w:p w14:paraId="2F02B9B1"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Minimum</w:t>
            </w:r>
          </w:p>
        </w:tc>
        <w:tc>
          <w:tcPr>
            <w:tcW w:w="0" w:type="auto"/>
            <w:tcBorders>
              <w:top w:val="single" w:sz="4" w:space="0" w:color="auto"/>
              <w:bottom w:val="single" w:sz="4" w:space="0" w:color="auto"/>
            </w:tcBorders>
            <w:hideMark/>
          </w:tcPr>
          <w:p w14:paraId="169A7E70"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Std. Dev.</w:t>
            </w:r>
          </w:p>
        </w:tc>
        <w:tc>
          <w:tcPr>
            <w:tcW w:w="0" w:type="auto"/>
            <w:tcBorders>
              <w:top w:val="single" w:sz="4" w:space="0" w:color="auto"/>
              <w:bottom w:val="single" w:sz="4" w:space="0" w:color="auto"/>
            </w:tcBorders>
            <w:hideMark/>
          </w:tcPr>
          <w:p w14:paraId="3FF15EF0"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Skewness</w:t>
            </w:r>
          </w:p>
        </w:tc>
        <w:tc>
          <w:tcPr>
            <w:tcW w:w="0" w:type="auto"/>
            <w:tcBorders>
              <w:top w:val="single" w:sz="4" w:space="0" w:color="auto"/>
              <w:bottom w:val="single" w:sz="4" w:space="0" w:color="auto"/>
            </w:tcBorders>
            <w:hideMark/>
          </w:tcPr>
          <w:p w14:paraId="29D3E545"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Kurtosis</w:t>
            </w:r>
          </w:p>
        </w:tc>
        <w:tc>
          <w:tcPr>
            <w:tcW w:w="0" w:type="auto"/>
            <w:tcBorders>
              <w:top w:val="single" w:sz="4" w:space="0" w:color="auto"/>
              <w:bottom w:val="single" w:sz="4" w:space="0" w:color="auto"/>
            </w:tcBorders>
            <w:hideMark/>
          </w:tcPr>
          <w:p w14:paraId="410F57DE"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Jarque-Bera</w:t>
            </w:r>
          </w:p>
        </w:tc>
        <w:tc>
          <w:tcPr>
            <w:tcW w:w="0" w:type="auto"/>
            <w:tcBorders>
              <w:top w:val="single" w:sz="4" w:space="0" w:color="auto"/>
              <w:bottom w:val="single" w:sz="4" w:space="0" w:color="auto"/>
            </w:tcBorders>
            <w:hideMark/>
          </w:tcPr>
          <w:p w14:paraId="04AAA449" w14:textId="77777777" w:rsidR="00716735" w:rsidRPr="005C337E" w:rsidRDefault="00716735" w:rsidP="00716735">
            <w:pPr>
              <w:tabs>
                <w:tab w:val="left" w:pos="6375"/>
              </w:tabs>
              <w:jc w:val="both"/>
              <w:rPr>
                <w:rFonts w:ascii="Times New Roman" w:hAnsi="Times New Roman" w:cs="Times New Roman"/>
                <w:b/>
                <w:bCs/>
                <w:sz w:val="18"/>
                <w:szCs w:val="18"/>
                <w:lang w:val="en-US"/>
              </w:rPr>
            </w:pPr>
            <w:r w:rsidRPr="005C337E">
              <w:rPr>
                <w:rFonts w:ascii="Times New Roman" w:hAnsi="Times New Roman" w:cs="Times New Roman"/>
                <w:b/>
                <w:bCs/>
                <w:sz w:val="18"/>
                <w:szCs w:val="18"/>
                <w:lang w:val="en-US"/>
              </w:rPr>
              <w:t>p-Value</w:t>
            </w:r>
          </w:p>
        </w:tc>
        <w:tc>
          <w:tcPr>
            <w:tcW w:w="0" w:type="auto"/>
            <w:tcBorders>
              <w:top w:val="single" w:sz="4" w:space="0" w:color="auto"/>
              <w:bottom w:val="single" w:sz="4" w:space="0" w:color="auto"/>
            </w:tcBorders>
            <w:hideMark/>
          </w:tcPr>
          <w:p w14:paraId="216D46AF" w14:textId="77777777" w:rsidR="00716735" w:rsidRPr="005C337E" w:rsidRDefault="00716735" w:rsidP="00716735">
            <w:pPr>
              <w:tabs>
                <w:tab w:val="left" w:pos="6375"/>
              </w:tabs>
              <w:jc w:val="both"/>
              <w:rPr>
                <w:rFonts w:ascii="Times New Roman" w:hAnsi="Times New Roman" w:cs="Times New Roman"/>
                <w:b/>
                <w:bCs/>
                <w:sz w:val="18"/>
                <w:szCs w:val="18"/>
                <w:lang w:val="en-US"/>
              </w:rPr>
            </w:pPr>
            <w:proofErr w:type="spellStart"/>
            <w:r w:rsidRPr="005C337E">
              <w:rPr>
                <w:rFonts w:ascii="Times New Roman" w:hAnsi="Times New Roman" w:cs="Times New Roman"/>
                <w:b/>
                <w:bCs/>
                <w:sz w:val="18"/>
                <w:szCs w:val="18"/>
                <w:lang w:val="en-US"/>
              </w:rPr>
              <w:t>Obs</w:t>
            </w:r>
            <w:proofErr w:type="spellEnd"/>
          </w:p>
        </w:tc>
      </w:tr>
      <w:tr w:rsidR="00716735" w:rsidRPr="005C337E" w14:paraId="138A2604" w14:textId="77777777" w:rsidTr="00290FD6">
        <w:tc>
          <w:tcPr>
            <w:tcW w:w="0" w:type="auto"/>
            <w:tcBorders>
              <w:top w:val="single" w:sz="4" w:space="0" w:color="auto"/>
            </w:tcBorders>
            <w:hideMark/>
          </w:tcPr>
          <w:p w14:paraId="6716D9A8"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lnFDI</w:t>
            </w:r>
            <w:proofErr w:type="spellEnd"/>
          </w:p>
        </w:tc>
        <w:tc>
          <w:tcPr>
            <w:tcW w:w="0" w:type="auto"/>
            <w:tcBorders>
              <w:top w:val="single" w:sz="4" w:space="0" w:color="auto"/>
            </w:tcBorders>
            <w:hideMark/>
          </w:tcPr>
          <w:p w14:paraId="72A8F36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19.34</w:t>
            </w:r>
          </w:p>
        </w:tc>
        <w:tc>
          <w:tcPr>
            <w:tcW w:w="0" w:type="auto"/>
            <w:tcBorders>
              <w:top w:val="single" w:sz="4" w:space="0" w:color="auto"/>
            </w:tcBorders>
            <w:hideMark/>
          </w:tcPr>
          <w:p w14:paraId="568E631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19.2</w:t>
            </w:r>
            <w:r w:rsidR="00290FD6" w:rsidRPr="005C337E">
              <w:rPr>
                <w:rFonts w:ascii="Times New Roman" w:hAnsi="Times New Roman" w:cs="Times New Roman"/>
                <w:sz w:val="20"/>
                <w:szCs w:val="20"/>
                <w:lang w:val="en-US"/>
              </w:rPr>
              <w:t>2</w:t>
            </w:r>
          </w:p>
        </w:tc>
        <w:tc>
          <w:tcPr>
            <w:tcW w:w="0" w:type="auto"/>
            <w:tcBorders>
              <w:top w:val="single" w:sz="4" w:space="0" w:color="auto"/>
            </w:tcBorders>
            <w:hideMark/>
          </w:tcPr>
          <w:p w14:paraId="2F7BB3A2"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21.18</w:t>
            </w:r>
          </w:p>
        </w:tc>
        <w:tc>
          <w:tcPr>
            <w:tcW w:w="0" w:type="auto"/>
            <w:tcBorders>
              <w:top w:val="single" w:sz="4" w:space="0" w:color="auto"/>
            </w:tcBorders>
            <w:hideMark/>
          </w:tcPr>
          <w:p w14:paraId="37A71EA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16.92</w:t>
            </w:r>
          </w:p>
        </w:tc>
        <w:tc>
          <w:tcPr>
            <w:tcW w:w="0" w:type="auto"/>
            <w:tcBorders>
              <w:top w:val="single" w:sz="4" w:space="0" w:color="auto"/>
            </w:tcBorders>
            <w:hideMark/>
          </w:tcPr>
          <w:p w14:paraId="214EB2A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1.10</w:t>
            </w:r>
          </w:p>
        </w:tc>
        <w:tc>
          <w:tcPr>
            <w:tcW w:w="0" w:type="auto"/>
            <w:tcBorders>
              <w:top w:val="single" w:sz="4" w:space="0" w:color="auto"/>
            </w:tcBorders>
            <w:hideMark/>
          </w:tcPr>
          <w:p w14:paraId="6327571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0.18</w:t>
            </w:r>
          </w:p>
        </w:tc>
        <w:tc>
          <w:tcPr>
            <w:tcW w:w="0" w:type="auto"/>
            <w:tcBorders>
              <w:top w:val="single" w:sz="4" w:space="0" w:color="auto"/>
            </w:tcBorders>
            <w:hideMark/>
          </w:tcPr>
          <w:p w14:paraId="7744618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2.41</w:t>
            </w:r>
          </w:p>
        </w:tc>
        <w:tc>
          <w:tcPr>
            <w:tcW w:w="0" w:type="auto"/>
            <w:tcBorders>
              <w:top w:val="single" w:sz="4" w:space="0" w:color="auto"/>
            </w:tcBorders>
            <w:hideMark/>
          </w:tcPr>
          <w:p w14:paraId="155E218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0.62</w:t>
            </w:r>
          </w:p>
        </w:tc>
        <w:tc>
          <w:tcPr>
            <w:tcW w:w="0" w:type="auto"/>
            <w:tcBorders>
              <w:top w:val="single" w:sz="4" w:space="0" w:color="auto"/>
            </w:tcBorders>
            <w:hideMark/>
          </w:tcPr>
          <w:p w14:paraId="573A105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0.73</w:t>
            </w:r>
          </w:p>
        </w:tc>
        <w:tc>
          <w:tcPr>
            <w:tcW w:w="0" w:type="auto"/>
            <w:tcBorders>
              <w:top w:val="single" w:sz="4" w:space="0" w:color="auto"/>
            </w:tcBorders>
            <w:hideMark/>
          </w:tcPr>
          <w:p w14:paraId="6991A59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036CE126" w14:textId="77777777" w:rsidTr="00290FD6">
        <w:tc>
          <w:tcPr>
            <w:tcW w:w="0" w:type="auto"/>
            <w:hideMark/>
          </w:tcPr>
          <w:p w14:paraId="35E1159C"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lnGDP</w:t>
            </w:r>
            <w:proofErr w:type="spellEnd"/>
          </w:p>
        </w:tc>
        <w:tc>
          <w:tcPr>
            <w:tcW w:w="0" w:type="auto"/>
            <w:hideMark/>
          </w:tcPr>
          <w:p w14:paraId="1706D751"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24.41</w:t>
            </w:r>
          </w:p>
        </w:tc>
        <w:tc>
          <w:tcPr>
            <w:tcW w:w="0" w:type="auto"/>
            <w:hideMark/>
          </w:tcPr>
          <w:p w14:paraId="7C7F098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24.38</w:t>
            </w:r>
          </w:p>
        </w:tc>
        <w:tc>
          <w:tcPr>
            <w:tcW w:w="0" w:type="auto"/>
            <w:hideMark/>
          </w:tcPr>
          <w:p w14:paraId="309C73D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25.46</w:t>
            </w:r>
          </w:p>
        </w:tc>
        <w:tc>
          <w:tcPr>
            <w:tcW w:w="0" w:type="auto"/>
            <w:hideMark/>
          </w:tcPr>
          <w:p w14:paraId="7D1551E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23.45</w:t>
            </w:r>
          </w:p>
        </w:tc>
        <w:tc>
          <w:tcPr>
            <w:tcW w:w="0" w:type="auto"/>
            <w:hideMark/>
          </w:tcPr>
          <w:p w14:paraId="35F2FCD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0.58</w:t>
            </w:r>
          </w:p>
        </w:tc>
        <w:tc>
          <w:tcPr>
            <w:tcW w:w="0" w:type="auto"/>
            <w:hideMark/>
          </w:tcPr>
          <w:p w14:paraId="45DB2869"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0.11</w:t>
            </w:r>
          </w:p>
        </w:tc>
        <w:tc>
          <w:tcPr>
            <w:tcW w:w="0" w:type="auto"/>
            <w:hideMark/>
          </w:tcPr>
          <w:p w14:paraId="03AA2F99"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1.85</w:t>
            </w:r>
          </w:p>
        </w:tc>
        <w:tc>
          <w:tcPr>
            <w:tcW w:w="0" w:type="auto"/>
            <w:hideMark/>
          </w:tcPr>
          <w:p w14:paraId="32F09FD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1.84</w:t>
            </w:r>
          </w:p>
        </w:tc>
        <w:tc>
          <w:tcPr>
            <w:tcW w:w="0" w:type="auto"/>
            <w:hideMark/>
          </w:tcPr>
          <w:p w14:paraId="5430580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w:t>
            </w:r>
            <w:r w:rsidR="00290FD6" w:rsidRPr="005C337E">
              <w:rPr>
                <w:rFonts w:ascii="Times New Roman" w:hAnsi="Times New Roman" w:cs="Times New Roman"/>
                <w:sz w:val="20"/>
                <w:szCs w:val="20"/>
                <w:lang w:val="en-US"/>
              </w:rPr>
              <w:t>40</w:t>
            </w:r>
          </w:p>
        </w:tc>
        <w:tc>
          <w:tcPr>
            <w:tcW w:w="0" w:type="auto"/>
            <w:hideMark/>
          </w:tcPr>
          <w:p w14:paraId="5DAE512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63BFFDC9" w14:textId="77777777" w:rsidTr="00290FD6">
        <w:tc>
          <w:tcPr>
            <w:tcW w:w="0" w:type="auto"/>
            <w:hideMark/>
          </w:tcPr>
          <w:p w14:paraId="03063252"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lnEXC</w:t>
            </w:r>
            <w:proofErr w:type="spellEnd"/>
          </w:p>
        </w:tc>
        <w:tc>
          <w:tcPr>
            <w:tcW w:w="0" w:type="auto"/>
            <w:hideMark/>
          </w:tcPr>
          <w:p w14:paraId="1FC51A28"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4.31</w:t>
            </w:r>
          </w:p>
        </w:tc>
        <w:tc>
          <w:tcPr>
            <w:tcW w:w="0" w:type="auto"/>
            <w:hideMark/>
          </w:tcPr>
          <w:p w14:paraId="67892402"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4.34</w:t>
            </w:r>
          </w:p>
        </w:tc>
        <w:tc>
          <w:tcPr>
            <w:tcW w:w="0" w:type="auto"/>
            <w:hideMark/>
          </w:tcPr>
          <w:p w14:paraId="13374968"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4.78</w:t>
            </w:r>
          </w:p>
        </w:tc>
        <w:tc>
          <w:tcPr>
            <w:tcW w:w="0" w:type="auto"/>
            <w:hideMark/>
          </w:tcPr>
          <w:p w14:paraId="4B07C4B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3.13</w:t>
            </w:r>
          </w:p>
        </w:tc>
        <w:tc>
          <w:tcPr>
            <w:tcW w:w="0" w:type="auto"/>
            <w:hideMark/>
          </w:tcPr>
          <w:p w14:paraId="04137C1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0.38</w:t>
            </w:r>
          </w:p>
        </w:tc>
        <w:tc>
          <w:tcPr>
            <w:tcW w:w="0" w:type="auto"/>
            <w:hideMark/>
          </w:tcPr>
          <w:p w14:paraId="7A8BB09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−0.81</w:t>
            </w:r>
          </w:p>
        </w:tc>
        <w:tc>
          <w:tcPr>
            <w:tcW w:w="0" w:type="auto"/>
            <w:hideMark/>
          </w:tcPr>
          <w:p w14:paraId="5C02092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3.12</w:t>
            </w:r>
          </w:p>
        </w:tc>
        <w:tc>
          <w:tcPr>
            <w:tcW w:w="0" w:type="auto"/>
            <w:hideMark/>
          </w:tcPr>
          <w:p w14:paraId="552568C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3.81</w:t>
            </w:r>
          </w:p>
        </w:tc>
        <w:tc>
          <w:tcPr>
            <w:tcW w:w="0" w:type="auto"/>
            <w:hideMark/>
          </w:tcPr>
          <w:p w14:paraId="17320ED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0.1</w:t>
            </w:r>
            <w:r w:rsidR="00290FD6" w:rsidRPr="005C337E">
              <w:rPr>
                <w:rFonts w:ascii="Times New Roman" w:hAnsi="Times New Roman" w:cs="Times New Roman"/>
                <w:sz w:val="20"/>
                <w:szCs w:val="20"/>
                <w:lang w:val="en-US"/>
              </w:rPr>
              <w:t>5</w:t>
            </w:r>
          </w:p>
        </w:tc>
        <w:tc>
          <w:tcPr>
            <w:tcW w:w="0" w:type="auto"/>
            <w:hideMark/>
          </w:tcPr>
          <w:p w14:paraId="7670E2F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4EB4207A" w14:textId="77777777" w:rsidTr="00290FD6">
        <w:tc>
          <w:tcPr>
            <w:tcW w:w="0" w:type="auto"/>
            <w:hideMark/>
          </w:tcPr>
          <w:p w14:paraId="57780320"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lnINFL</w:t>
            </w:r>
            <w:proofErr w:type="spellEnd"/>
          </w:p>
        </w:tc>
        <w:tc>
          <w:tcPr>
            <w:tcW w:w="0" w:type="auto"/>
            <w:hideMark/>
          </w:tcPr>
          <w:p w14:paraId="321CCD2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2.08</w:t>
            </w:r>
          </w:p>
        </w:tc>
        <w:tc>
          <w:tcPr>
            <w:tcW w:w="0" w:type="auto"/>
            <w:hideMark/>
          </w:tcPr>
          <w:p w14:paraId="15F7F611"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2.01</w:t>
            </w:r>
          </w:p>
        </w:tc>
        <w:tc>
          <w:tcPr>
            <w:tcW w:w="0" w:type="auto"/>
            <w:hideMark/>
          </w:tcPr>
          <w:p w14:paraId="64A79EE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3.8</w:t>
            </w:r>
            <w:r w:rsidR="00290FD6" w:rsidRPr="005C337E">
              <w:rPr>
                <w:rFonts w:ascii="Times New Roman" w:hAnsi="Times New Roman" w:cs="Times New Roman"/>
                <w:sz w:val="20"/>
                <w:szCs w:val="20"/>
                <w:lang w:val="en-US"/>
              </w:rPr>
              <w:t>3</w:t>
            </w:r>
          </w:p>
        </w:tc>
        <w:tc>
          <w:tcPr>
            <w:tcW w:w="0" w:type="auto"/>
            <w:hideMark/>
          </w:tcPr>
          <w:p w14:paraId="0D88BF2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0.58</w:t>
            </w:r>
          </w:p>
        </w:tc>
        <w:tc>
          <w:tcPr>
            <w:tcW w:w="0" w:type="auto"/>
            <w:hideMark/>
          </w:tcPr>
          <w:p w14:paraId="5219A82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0.61</w:t>
            </w:r>
          </w:p>
        </w:tc>
        <w:tc>
          <w:tcPr>
            <w:tcW w:w="0" w:type="auto"/>
            <w:hideMark/>
          </w:tcPr>
          <w:p w14:paraId="3D541B4F"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0.78</w:t>
            </w:r>
          </w:p>
        </w:tc>
        <w:tc>
          <w:tcPr>
            <w:tcW w:w="0" w:type="auto"/>
            <w:hideMark/>
          </w:tcPr>
          <w:p w14:paraId="5EA8824F"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3.61</w:t>
            </w:r>
          </w:p>
        </w:tc>
        <w:tc>
          <w:tcPr>
            <w:tcW w:w="0" w:type="auto"/>
            <w:hideMark/>
          </w:tcPr>
          <w:p w14:paraId="019BFE06"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3.10</w:t>
            </w:r>
          </w:p>
        </w:tc>
        <w:tc>
          <w:tcPr>
            <w:tcW w:w="0" w:type="auto"/>
            <w:hideMark/>
          </w:tcPr>
          <w:p w14:paraId="586CE02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0.21</w:t>
            </w:r>
          </w:p>
        </w:tc>
        <w:tc>
          <w:tcPr>
            <w:tcW w:w="0" w:type="auto"/>
            <w:hideMark/>
          </w:tcPr>
          <w:p w14:paraId="63E120CC"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r w:rsidR="00716735" w:rsidRPr="005C337E" w14:paraId="5F2BF22C" w14:textId="77777777" w:rsidTr="00290FD6">
        <w:tc>
          <w:tcPr>
            <w:tcW w:w="0" w:type="auto"/>
            <w:hideMark/>
          </w:tcPr>
          <w:p w14:paraId="6F4ED783" w14:textId="77777777" w:rsidR="00716735" w:rsidRPr="005C337E" w:rsidRDefault="00716735" w:rsidP="00716735">
            <w:pPr>
              <w:tabs>
                <w:tab w:val="left" w:pos="6375"/>
              </w:tabs>
              <w:jc w:val="both"/>
              <w:rPr>
                <w:rFonts w:ascii="Times New Roman" w:hAnsi="Times New Roman" w:cs="Times New Roman"/>
                <w:sz w:val="22"/>
                <w:szCs w:val="22"/>
                <w:lang w:val="en-US"/>
              </w:rPr>
            </w:pPr>
            <w:proofErr w:type="spellStart"/>
            <w:r w:rsidRPr="005C337E">
              <w:rPr>
                <w:rFonts w:ascii="Times New Roman" w:hAnsi="Times New Roman" w:cs="Times New Roman"/>
                <w:sz w:val="22"/>
                <w:szCs w:val="22"/>
                <w:lang w:val="en-US"/>
              </w:rPr>
              <w:t>lnINT</w:t>
            </w:r>
            <w:proofErr w:type="spellEnd"/>
          </w:p>
        </w:tc>
        <w:tc>
          <w:tcPr>
            <w:tcW w:w="0" w:type="auto"/>
            <w:hideMark/>
          </w:tcPr>
          <w:p w14:paraId="3EAEABB5"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2.61</w:t>
            </w:r>
          </w:p>
        </w:tc>
        <w:tc>
          <w:tcPr>
            <w:tcW w:w="0" w:type="auto"/>
            <w:hideMark/>
          </w:tcPr>
          <w:p w14:paraId="4DFE26FB"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2.58</w:t>
            </w:r>
          </w:p>
        </w:tc>
        <w:tc>
          <w:tcPr>
            <w:tcW w:w="0" w:type="auto"/>
            <w:hideMark/>
          </w:tcPr>
          <w:p w14:paraId="2A2A381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3.38</w:t>
            </w:r>
          </w:p>
        </w:tc>
        <w:tc>
          <w:tcPr>
            <w:tcW w:w="0" w:type="auto"/>
            <w:hideMark/>
          </w:tcPr>
          <w:p w14:paraId="30B57F3A"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1.98</w:t>
            </w:r>
          </w:p>
        </w:tc>
        <w:tc>
          <w:tcPr>
            <w:tcW w:w="0" w:type="auto"/>
            <w:hideMark/>
          </w:tcPr>
          <w:p w14:paraId="3DDE9D80"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0.32</w:t>
            </w:r>
          </w:p>
        </w:tc>
        <w:tc>
          <w:tcPr>
            <w:tcW w:w="0" w:type="auto"/>
            <w:hideMark/>
          </w:tcPr>
          <w:p w14:paraId="204D11A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0.41</w:t>
            </w:r>
          </w:p>
        </w:tc>
        <w:tc>
          <w:tcPr>
            <w:tcW w:w="0" w:type="auto"/>
            <w:hideMark/>
          </w:tcPr>
          <w:p w14:paraId="47AA87C3"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2.84</w:t>
            </w:r>
          </w:p>
        </w:tc>
        <w:tc>
          <w:tcPr>
            <w:tcW w:w="0" w:type="auto"/>
            <w:hideMark/>
          </w:tcPr>
          <w:p w14:paraId="74270CBE"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0.98</w:t>
            </w:r>
          </w:p>
        </w:tc>
        <w:tc>
          <w:tcPr>
            <w:tcW w:w="0" w:type="auto"/>
            <w:hideMark/>
          </w:tcPr>
          <w:p w14:paraId="1920CB1D"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0.61</w:t>
            </w:r>
          </w:p>
        </w:tc>
        <w:tc>
          <w:tcPr>
            <w:tcW w:w="0" w:type="auto"/>
            <w:hideMark/>
          </w:tcPr>
          <w:p w14:paraId="1A1CD534" w14:textId="77777777" w:rsidR="00716735" w:rsidRPr="005C337E" w:rsidRDefault="00716735" w:rsidP="00716735">
            <w:pPr>
              <w:tabs>
                <w:tab w:val="left" w:pos="6375"/>
              </w:tabs>
              <w:jc w:val="both"/>
              <w:rPr>
                <w:rFonts w:ascii="Times New Roman" w:hAnsi="Times New Roman" w:cs="Times New Roman"/>
                <w:sz w:val="20"/>
                <w:szCs w:val="20"/>
                <w:lang w:val="en-US"/>
              </w:rPr>
            </w:pPr>
            <w:r w:rsidRPr="005C337E">
              <w:rPr>
                <w:rFonts w:ascii="Times New Roman" w:hAnsi="Times New Roman" w:cs="Times New Roman"/>
                <w:sz w:val="20"/>
                <w:szCs w:val="20"/>
                <w:lang w:val="en-US"/>
              </w:rPr>
              <w:t>33</w:t>
            </w:r>
          </w:p>
        </w:tc>
      </w:tr>
    </w:tbl>
    <w:p w14:paraId="33F66A5C" w14:textId="77777777" w:rsidR="00290FD6" w:rsidRPr="005C337E" w:rsidRDefault="00290FD6" w:rsidP="00290FD6">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  Source: Author (2026)</w:t>
      </w:r>
    </w:p>
    <w:p w14:paraId="0F5B263D"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i/>
          <w:iCs/>
          <w:lang w:val="en-US"/>
        </w:rPr>
        <w:t>Note: FDI and GDP represent log-transformed real values in USD. Inflation (INFL), Exchange Rate (EXCH), and Real Interest Rate (INT) represent natural logarithms of percentage or index values.</w:t>
      </w:r>
    </w:p>
    <w:p w14:paraId="36D6AB55" w14:textId="77777777" w:rsidR="00716735" w:rsidRPr="005C337E" w:rsidRDefault="009F0B33"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As shown in Table 2, foreign direct investment (</w:t>
      </w:r>
      <w:proofErr w:type="spellStart"/>
      <w:r w:rsidRPr="005C337E">
        <w:rPr>
          <w:rFonts w:ascii="Times New Roman" w:hAnsi="Times New Roman" w:cs="Times New Roman"/>
          <w:lang w:val="en-US"/>
        </w:rPr>
        <w:t>lnFDI</w:t>
      </w:r>
      <w:proofErr w:type="spellEnd"/>
      <w:r w:rsidRPr="005C337E">
        <w:rPr>
          <w:rFonts w:ascii="Times New Roman" w:hAnsi="Times New Roman" w:cs="Times New Roman"/>
          <w:lang w:val="en-US"/>
        </w:rPr>
        <w:t>) recorded a mean value of 19.34 with a standard deviation of 1.10, reflecting moderate structural variance in capital inflows over the 1966–2019 sample period. Economic growth (</w:t>
      </w:r>
      <w:proofErr w:type="spellStart"/>
      <w:r w:rsidRPr="005C337E">
        <w:rPr>
          <w:rFonts w:ascii="Times New Roman" w:hAnsi="Times New Roman" w:cs="Times New Roman"/>
          <w:lang w:val="en-US"/>
        </w:rPr>
        <w:t>lnGDP</w:t>
      </w:r>
      <w:proofErr w:type="spellEnd"/>
      <w:r w:rsidRPr="005C337E">
        <w:rPr>
          <w:rFonts w:ascii="Times New Roman" w:hAnsi="Times New Roman" w:cs="Times New Roman"/>
          <w:lang w:val="en-US"/>
        </w:rPr>
        <w:t>) exhibited a mean of 24.41 with low dispersion (Std. Dev.=0.58), indicating steady long-run economic expansion.</w:t>
      </w:r>
    </w:p>
    <w:p w14:paraId="6477A60E" w14:textId="77777777" w:rsidR="00716735" w:rsidRPr="005C337E" w:rsidRDefault="00716735" w:rsidP="00716735">
      <w:pPr>
        <w:tabs>
          <w:tab w:val="left" w:pos="6375"/>
        </w:tabs>
        <w:jc w:val="both"/>
        <w:rPr>
          <w:rFonts w:ascii="Times New Roman" w:hAnsi="Times New Roman" w:cs="Times New Roman"/>
          <w:lang w:val="en-US"/>
        </w:rPr>
      </w:pPr>
      <w:r w:rsidRPr="005C337E">
        <w:rPr>
          <w:rFonts w:ascii="Times New Roman" w:hAnsi="Times New Roman" w:cs="Times New Roman"/>
          <w:lang w:val="en-US"/>
        </w:rPr>
        <w:t>The log-transformed inflation series (</w:t>
      </w:r>
      <w:proofErr w:type="spellStart"/>
      <w:r w:rsidRPr="005C337E">
        <w:rPr>
          <w:rFonts w:ascii="Times New Roman" w:hAnsi="Times New Roman" w:cs="Times New Roman"/>
          <w:lang w:val="en-US"/>
        </w:rPr>
        <w:t>lnINFL</w:t>
      </w:r>
      <w:proofErr w:type="spellEnd"/>
      <w:r w:rsidRPr="005C337E">
        <w:rPr>
          <w:rFonts w:ascii="Times New Roman" w:hAnsi="Times New Roman" w:cs="Times New Roman"/>
          <w:lang w:val="en-US"/>
        </w:rPr>
        <w:t xml:space="preserve">) </w:t>
      </w:r>
      <w:r w:rsidRPr="005C337E">
        <w:rPr>
          <w:rFonts w:ascii="Times New Roman" w:hAnsi="Times New Roman" w:cs="Times New Roman"/>
          <w:highlight w:val="yellow"/>
          <w:lang w:val="en-US"/>
        </w:rPr>
        <w:t>yielded</w:t>
      </w:r>
      <w:r w:rsidRPr="005C337E">
        <w:rPr>
          <w:rFonts w:ascii="Times New Roman" w:hAnsi="Times New Roman" w:cs="Times New Roman"/>
          <w:lang w:val="en-US"/>
        </w:rPr>
        <w:t xml:space="preserve"> a mean of 2.08 (corresponding to an average annual inflation rate of approximately 8.04%), ranging from a minimum of 0.58 (≈1.79%) to a maximum of 3.8</w:t>
      </w:r>
      <w:r w:rsidR="00AB6B92" w:rsidRPr="005C337E">
        <w:rPr>
          <w:rFonts w:ascii="Times New Roman" w:hAnsi="Times New Roman" w:cs="Times New Roman"/>
          <w:lang w:val="en-US"/>
        </w:rPr>
        <w:t>3</w:t>
      </w:r>
      <w:r w:rsidRPr="005C337E">
        <w:rPr>
          <w:rFonts w:ascii="Times New Roman" w:hAnsi="Times New Roman" w:cs="Times New Roman"/>
          <w:lang w:val="en-US"/>
        </w:rPr>
        <w:t xml:space="preserve"> (≈46.00%), capturing Kenya's historical macroeconomic </w:t>
      </w:r>
      <w:r w:rsidRPr="005C337E">
        <w:rPr>
          <w:rFonts w:ascii="Times New Roman" w:hAnsi="Times New Roman" w:cs="Times New Roman"/>
          <w:highlight w:val="yellow"/>
          <w:lang w:val="en-US"/>
        </w:rPr>
        <w:t>stabilisation</w:t>
      </w:r>
      <w:r w:rsidRPr="005C337E">
        <w:rPr>
          <w:rFonts w:ascii="Times New Roman" w:hAnsi="Times New Roman" w:cs="Times New Roman"/>
          <w:lang w:val="en-US"/>
        </w:rPr>
        <w:t xml:space="preserve"> trends and </w:t>
      </w:r>
      <w:r w:rsidRPr="005C337E">
        <w:rPr>
          <w:rFonts w:ascii="Times New Roman" w:hAnsi="Times New Roman" w:cs="Times New Roman"/>
          <w:lang w:val="en-US"/>
        </w:rPr>
        <w:lastRenderedPageBreak/>
        <w:t>early 1990s inflationary spikes without scaling distortion. Exchange rates (</w:t>
      </w:r>
      <w:proofErr w:type="spellStart"/>
      <w:r w:rsidRPr="005C337E">
        <w:rPr>
          <w:rFonts w:ascii="Times New Roman" w:hAnsi="Times New Roman" w:cs="Times New Roman"/>
          <w:lang w:val="en-US"/>
        </w:rPr>
        <w:t>lnEXCH</w:t>
      </w:r>
      <w:proofErr w:type="spellEnd"/>
      <w:r w:rsidRPr="005C337E">
        <w:rPr>
          <w:rFonts w:ascii="Times New Roman" w:hAnsi="Times New Roman" w:cs="Times New Roman"/>
          <w:lang w:val="en-US"/>
        </w:rPr>
        <w:t>) and real interest rates (</w:t>
      </w:r>
      <w:proofErr w:type="spellStart"/>
      <w:r w:rsidRPr="005C337E">
        <w:rPr>
          <w:rFonts w:ascii="Times New Roman" w:hAnsi="Times New Roman" w:cs="Times New Roman"/>
          <w:lang w:val="en-US"/>
        </w:rPr>
        <w:t>lnINT</w:t>
      </w:r>
      <w:proofErr w:type="spellEnd"/>
      <w:r w:rsidRPr="005C337E">
        <w:rPr>
          <w:rFonts w:ascii="Times New Roman" w:hAnsi="Times New Roman" w:cs="Times New Roman"/>
          <w:lang w:val="en-US"/>
        </w:rPr>
        <w:t>) registered mean values of 4.31 and 2.61, respectively.</w:t>
      </w:r>
    </w:p>
    <w:p w14:paraId="5D2A608B" w14:textId="77777777" w:rsidR="009A7968" w:rsidRPr="005C337E" w:rsidRDefault="00716735" w:rsidP="00AB6B92">
      <w:pPr>
        <w:tabs>
          <w:tab w:val="left" w:pos="6375"/>
        </w:tabs>
        <w:jc w:val="both"/>
        <w:rPr>
          <w:rFonts w:ascii="Times New Roman" w:hAnsi="Times New Roman" w:cs="Times New Roman"/>
          <w:lang w:val="en-US"/>
        </w:rPr>
      </w:pPr>
      <w:r w:rsidRPr="005C337E">
        <w:rPr>
          <w:rFonts w:ascii="Times New Roman" w:hAnsi="Times New Roman" w:cs="Times New Roman"/>
          <w:lang w:val="en-US"/>
        </w:rPr>
        <w:t>Furthermore, all standard deviations satisfy mathematical consistency across variable ranges (</w:t>
      </w:r>
      <w:proofErr w:type="spellStart"/>
      <w:r w:rsidRPr="005C337E">
        <w:rPr>
          <w:rFonts w:ascii="Times New Roman" w:hAnsi="Times New Roman" w:cs="Times New Roman"/>
          <w:lang w:val="en-US"/>
        </w:rPr>
        <w:t>Minimum≤Mean≤Maximum</w:t>
      </w:r>
      <w:proofErr w:type="spellEnd"/>
      <w:r w:rsidRPr="005C337E">
        <w:rPr>
          <w:rFonts w:ascii="Times New Roman" w:hAnsi="Times New Roman" w:cs="Times New Roman"/>
          <w:lang w:val="en-US"/>
        </w:rPr>
        <w:t xml:space="preserve">). The Jarque-Bera test statistics fail to reject the null hypothesis of normal distribution at the 5% significance level (p&gt;0.05 across all series), confirming that the </w:t>
      </w:r>
      <w:r w:rsidRPr="005C337E">
        <w:rPr>
          <w:rFonts w:ascii="Times New Roman" w:hAnsi="Times New Roman" w:cs="Times New Roman"/>
          <w:highlight w:val="yellow"/>
          <w:lang w:val="en-US"/>
        </w:rPr>
        <w:t>data meet</w:t>
      </w:r>
      <w:r w:rsidRPr="005C337E">
        <w:rPr>
          <w:rFonts w:ascii="Times New Roman" w:hAnsi="Times New Roman" w:cs="Times New Roman"/>
          <w:lang w:val="en-US"/>
        </w:rPr>
        <w:t xml:space="preserve"> the normality assumptions required for standard ARDL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w:t>
      </w:r>
    </w:p>
    <w:p w14:paraId="3DC69F32" w14:textId="77777777" w:rsidR="009A7968" w:rsidRPr="005C337E" w:rsidRDefault="009A7968" w:rsidP="009A7968">
      <w:pPr>
        <w:tabs>
          <w:tab w:val="left" w:pos="6375"/>
        </w:tabs>
        <w:spacing w:after="0"/>
        <w:jc w:val="both"/>
        <w:rPr>
          <w:rFonts w:ascii="Times New Roman" w:hAnsi="Times New Roman" w:cs="Times New Roman"/>
          <w:b/>
          <w:bCs/>
        </w:rPr>
      </w:pPr>
      <w:r w:rsidRPr="005C337E">
        <w:rPr>
          <w:rFonts w:ascii="Times New Roman" w:hAnsi="Times New Roman" w:cs="Times New Roman"/>
          <w:b/>
          <w:bCs/>
        </w:rPr>
        <w:t>4.2 Stationarity Tests</w:t>
      </w:r>
    </w:p>
    <w:p w14:paraId="07D60DD2"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Stationarity properties were evaluated using the Phillips-Perron (PP) test to establish the order of integration for all variables. At levels, foreign direct investment (PP = -0.3124), exchange rate (PP = 0.3032), and economic growth (PP = -1.2085) failed to reject the null hypothesis of non-stationarity when evaluated against the 5% MacKinnon critical value of -2.9266. Conversely, inflation (PP = -5.4829, p &lt; .05) and real interest rate (PP = -4.2070, p &lt; .05) exceeded the critical threshold in absolute terms and were confirmed stationary at levels [I (0)]. </w:t>
      </w:r>
    </w:p>
    <w:p w14:paraId="39DCDDCC" w14:textId="77777777" w:rsidR="00236B37" w:rsidRPr="005C337E" w:rsidRDefault="00236B37" w:rsidP="00236B37">
      <w:pPr>
        <w:tabs>
          <w:tab w:val="left" w:pos="6375"/>
        </w:tabs>
        <w:spacing w:after="0"/>
        <w:jc w:val="both"/>
        <w:rPr>
          <w:rFonts w:ascii="Times New Roman" w:hAnsi="Times New Roman" w:cs="Times New Roman"/>
          <w:lang w:val="en-US"/>
        </w:rPr>
      </w:pPr>
    </w:p>
    <w:p w14:paraId="6935B0E6"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Upon taking first differences, foreign direct investment (PP = -6.8421, p &lt; .05), exchange rate (PP = -6.5232, p &lt; .05), and economic growth (PP = -7.1205, p &lt; .05) successfully achieved stationarity [I (1)]. First-difference testing was not required for inflation and real interest rates as they were already integrated of order zero. Because the system exhibits a mixture of I (0) and I (1) series with no I (2) variables present, the conditions for the Autoregressive Distributed Lag (ARDL) bounds testing framework were strictly satisfied. </w:t>
      </w:r>
    </w:p>
    <w:p w14:paraId="4BD066EF" w14:textId="77777777" w:rsidR="00236B37" w:rsidRPr="005C337E" w:rsidRDefault="00236B37" w:rsidP="00236B37">
      <w:pPr>
        <w:tabs>
          <w:tab w:val="left" w:pos="6375"/>
        </w:tabs>
        <w:spacing w:after="0"/>
        <w:jc w:val="both"/>
        <w:rPr>
          <w:rFonts w:ascii="Times New Roman" w:hAnsi="Times New Roman" w:cs="Times New Roman"/>
          <w:lang w:val="en-US"/>
        </w:rPr>
      </w:pPr>
    </w:p>
    <w:p w14:paraId="1509B093" w14:textId="77777777" w:rsidR="009A7968" w:rsidRPr="005C337E" w:rsidRDefault="009A7968" w:rsidP="006766DE">
      <w:pPr>
        <w:tabs>
          <w:tab w:val="left" w:pos="6375"/>
        </w:tabs>
        <w:spacing w:after="0"/>
        <w:jc w:val="both"/>
        <w:rPr>
          <w:rFonts w:ascii="Times New Roman" w:hAnsi="Times New Roman" w:cs="Times New Roman"/>
        </w:rPr>
      </w:pPr>
      <w:r w:rsidRPr="005C337E">
        <w:rPr>
          <w:rFonts w:ascii="Times New Roman" w:hAnsi="Times New Roman" w:cs="Times New Roman"/>
        </w:rPr>
        <w:t xml:space="preserve">Table </w:t>
      </w:r>
      <w:r w:rsidR="002206A6" w:rsidRPr="005C337E">
        <w:rPr>
          <w:rFonts w:ascii="Times New Roman" w:hAnsi="Times New Roman" w:cs="Times New Roman"/>
        </w:rPr>
        <w:t>3</w:t>
      </w:r>
      <w:r w:rsidRPr="005C337E">
        <w:rPr>
          <w:rFonts w:ascii="Times New Roman" w:hAnsi="Times New Roman" w:cs="Times New Roman"/>
        </w:rPr>
        <w:t xml:space="preserve">. </w:t>
      </w:r>
      <w:r w:rsidR="006766DE" w:rsidRPr="005C337E">
        <w:rPr>
          <w:rFonts w:ascii="Times New Roman" w:hAnsi="Times New Roman" w:cs="Times New Roman"/>
        </w:rPr>
        <w:t>Phillips-Perron Unit Root Test Results</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1518"/>
        <w:gridCol w:w="2454"/>
        <w:gridCol w:w="2705"/>
      </w:tblGrid>
      <w:tr w:rsidR="006766DE" w:rsidRPr="005C337E" w14:paraId="1D60887F" w14:textId="77777777" w:rsidTr="006766DE">
        <w:tc>
          <w:tcPr>
            <w:tcW w:w="1433" w:type="pct"/>
            <w:tcBorders>
              <w:top w:val="single" w:sz="4" w:space="0" w:color="auto"/>
              <w:bottom w:val="single" w:sz="4" w:space="0" w:color="auto"/>
            </w:tcBorders>
            <w:hideMark/>
          </w:tcPr>
          <w:p w14:paraId="2FC7B16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Variable</w:t>
            </w:r>
          </w:p>
        </w:tc>
        <w:tc>
          <w:tcPr>
            <w:tcW w:w="811" w:type="pct"/>
            <w:tcBorders>
              <w:top w:val="single" w:sz="4" w:space="0" w:color="auto"/>
              <w:bottom w:val="single" w:sz="4" w:space="0" w:color="auto"/>
            </w:tcBorders>
            <w:hideMark/>
          </w:tcPr>
          <w:p w14:paraId="1AED6029"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Level</w:t>
            </w:r>
          </w:p>
        </w:tc>
        <w:tc>
          <w:tcPr>
            <w:tcW w:w="1311" w:type="pct"/>
            <w:tcBorders>
              <w:top w:val="single" w:sz="4" w:space="0" w:color="auto"/>
              <w:bottom w:val="single" w:sz="4" w:space="0" w:color="auto"/>
            </w:tcBorders>
            <w:hideMark/>
          </w:tcPr>
          <w:p w14:paraId="1F8ED10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First Difference</w:t>
            </w:r>
          </w:p>
        </w:tc>
        <w:tc>
          <w:tcPr>
            <w:tcW w:w="1445" w:type="pct"/>
            <w:tcBorders>
              <w:top w:val="single" w:sz="4" w:space="0" w:color="auto"/>
              <w:bottom w:val="single" w:sz="4" w:space="0" w:color="auto"/>
            </w:tcBorders>
            <w:hideMark/>
          </w:tcPr>
          <w:p w14:paraId="44F59BA3"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Integration Status</w:t>
            </w:r>
          </w:p>
        </w:tc>
      </w:tr>
      <w:tr w:rsidR="006766DE" w:rsidRPr="005C337E" w14:paraId="5932B9C5" w14:textId="77777777" w:rsidTr="006766DE">
        <w:tc>
          <w:tcPr>
            <w:tcW w:w="1433" w:type="pct"/>
            <w:tcBorders>
              <w:top w:val="single" w:sz="4" w:space="0" w:color="auto"/>
            </w:tcBorders>
            <w:hideMark/>
          </w:tcPr>
          <w:p w14:paraId="1B61202B"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lnFDI</w:t>
            </w:r>
            <w:proofErr w:type="spellEnd"/>
          </w:p>
        </w:tc>
        <w:tc>
          <w:tcPr>
            <w:tcW w:w="811" w:type="pct"/>
            <w:tcBorders>
              <w:top w:val="single" w:sz="4" w:space="0" w:color="auto"/>
            </w:tcBorders>
            <w:hideMark/>
          </w:tcPr>
          <w:p w14:paraId="781BD5A7"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-0.3124</w:t>
            </w:r>
          </w:p>
        </w:tc>
        <w:tc>
          <w:tcPr>
            <w:tcW w:w="1311" w:type="pct"/>
            <w:tcBorders>
              <w:top w:val="single" w:sz="4" w:space="0" w:color="auto"/>
            </w:tcBorders>
            <w:hideMark/>
          </w:tcPr>
          <w:p w14:paraId="5EE0652C"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-6.8421*</w:t>
            </w:r>
          </w:p>
        </w:tc>
        <w:tc>
          <w:tcPr>
            <w:tcW w:w="1445" w:type="pct"/>
            <w:tcBorders>
              <w:top w:val="single" w:sz="4" w:space="0" w:color="auto"/>
            </w:tcBorders>
            <w:hideMark/>
          </w:tcPr>
          <w:p w14:paraId="61962C6A"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1)</w:t>
            </w:r>
          </w:p>
        </w:tc>
      </w:tr>
      <w:tr w:rsidR="006766DE" w:rsidRPr="005C337E" w14:paraId="75C6F29E" w14:textId="77777777" w:rsidTr="006766DE">
        <w:tc>
          <w:tcPr>
            <w:tcW w:w="1433" w:type="pct"/>
            <w:hideMark/>
          </w:tcPr>
          <w:p w14:paraId="0A0D9D8D"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lnER</w:t>
            </w:r>
            <w:proofErr w:type="spellEnd"/>
          </w:p>
        </w:tc>
        <w:tc>
          <w:tcPr>
            <w:tcW w:w="811" w:type="pct"/>
            <w:hideMark/>
          </w:tcPr>
          <w:p w14:paraId="4761DBAD"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0.3032</w:t>
            </w:r>
          </w:p>
        </w:tc>
        <w:tc>
          <w:tcPr>
            <w:tcW w:w="1311" w:type="pct"/>
            <w:hideMark/>
          </w:tcPr>
          <w:p w14:paraId="10355132"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-6.5232*</w:t>
            </w:r>
          </w:p>
        </w:tc>
        <w:tc>
          <w:tcPr>
            <w:tcW w:w="1445" w:type="pct"/>
            <w:hideMark/>
          </w:tcPr>
          <w:p w14:paraId="68789A5E"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1)</w:t>
            </w:r>
          </w:p>
        </w:tc>
      </w:tr>
      <w:tr w:rsidR="006766DE" w:rsidRPr="005C337E" w14:paraId="025B6780" w14:textId="77777777" w:rsidTr="006766DE">
        <w:tc>
          <w:tcPr>
            <w:tcW w:w="1433" w:type="pct"/>
            <w:hideMark/>
          </w:tcPr>
          <w:p w14:paraId="6C569BDF"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lnEG</w:t>
            </w:r>
            <w:proofErr w:type="spellEnd"/>
          </w:p>
        </w:tc>
        <w:tc>
          <w:tcPr>
            <w:tcW w:w="811" w:type="pct"/>
            <w:hideMark/>
          </w:tcPr>
          <w:p w14:paraId="51A6993F"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-1.2085</w:t>
            </w:r>
          </w:p>
        </w:tc>
        <w:tc>
          <w:tcPr>
            <w:tcW w:w="1311" w:type="pct"/>
            <w:hideMark/>
          </w:tcPr>
          <w:p w14:paraId="7F51DAA1"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-7.1205*</w:t>
            </w:r>
          </w:p>
        </w:tc>
        <w:tc>
          <w:tcPr>
            <w:tcW w:w="1445" w:type="pct"/>
            <w:hideMark/>
          </w:tcPr>
          <w:p w14:paraId="023D3D0A"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1)</w:t>
            </w:r>
          </w:p>
        </w:tc>
      </w:tr>
      <w:tr w:rsidR="006766DE" w:rsidRPr="005C337E" w14:paraId="6A879CAA" w14:textId="77777777" w:rsidTr="006766DE">
        <w:tc>
          <w:tcPr>
            <w:tcW w:w="1433" w:type="pct"/>
            <w:hideMark/>
          </w:tcPr>
          <w:p w14:paraId="079E5C31"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lnINF</w:t>
            </w:r>
            <w:proofErr w:type="spellEnd"/>
          </w:p>
        </w:tc>
        <w:tc>
          <w:tcPr>
            <w:tcW w:w="811" w:type="pct"/>
            <w:hideMark/>
          </w:tcPr>
          <w:p w14:paraId="6143813C"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-5.4829*</w:t>
            </w:r>
          </w:p>
        </w:tc>
        <w:tc>
          <w:tcPr>
            <w:tcW w:w="1311" w:type="pct"/>
            <w:hideMark/>
          </w:tcPr>
          <w:p w14:paraId="75C1D146"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w:t>
            </w:r>
          </w:p>
        </w:tc>
        <w:tc>
          <w:tcPr>
            <w:tcW w:w="1445" w:type="pct"/>
            <w:hideMark/>
          </w:tcPr>
          <w:p w14:paraId="2786696F"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0)</w:t>
            </w:r>
          </w:p>
        </w:tc>
      </w:tr>
      <w:tr w:rsidR="006766DE" w:rsidRPr="005C337E" w14:paraId="4221BC64" w14:textId="77777777" w:rsidTr="006766DE">
        <w:tc>
          <w:tcPr>
            <w:tcW w:w="1433" w:type="pct"/>
            <w:hideMark/>
          </w:tcPr>
          <w:p w14:paraId="6F9221B0"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spellStart"/>
            <w:r w:rsidRPr="005C337E">
              <w:rPr>
                <w:rFonts w:ascii="Times New Roman" w:hAnsi="Times New Roman" w:cs="Times New Roman"/>
              </w:rPr>
              <w:t>lnIR</w:t>
            </w:r>
            <w:proofErr w:type="spellEnd"/>
          </w:p>
        </w:tc>
        <w:tc>
          <w:tcPr>
            <w:tcW w:w="811" w:type="pct"/>
            <w:hideMark/>
          </w:tcPr>
          <w:p w14:paraId="54234769"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-4.2070*</w:t>
            </w:r>
          </w:p>
        </w:tc>
        <w:tc>
          <w:tcPr>
            <w:tcW w:w="1311" w:type="pct"/>
            <w:hideMark/>
          </w:tcPr>
          <w:p w14:paraId="68776554" w14:textId="77777777" w:rsidR="006766DE" w:rsidRPr="005C337E" w:rsidRDefault="006766DE" w:rsidP="006766DE">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w:t>
            </w:r>
          </w:p>
        </w:tc>
        <w:tc>
          <w:tcPr>
            <w:tcW w:w="1445" w:type="pct"/>
            <w:hideMark/>
          </w:tcPr>
          <w:p w14:paraId="47772DB8" w14:textId="77777777" w:rsidR="006766DE" w:rsidRPr="005C337E" w:rsidRDefault="006766DE" w:rsidP="006766DE">
            <w:pPr>
              <w:tabs>
                <w:tab w:val="left" w:pos="6375"/>
              </w:tabs>
              <w:spacing w:line="278" w:lineRule="auto"/>
              <w:jc w:val="both"/>
              <w:rPr>
                <w:rFonts w:ascii="Times New Roman" w:hAnsi="Times New Roman" w:cs="Times New Roman"/>
                <w:lang w:val="en-US"/>
              </w:rPr>
            </w:pPr>
            <w:proofErr w:type="gramStart"/>
            <w:r w:rsidRPr="005C337E">
              <w:rPr>
                <w:rFonts w:ascii="Times New Roman" w:hAnsi="Times New Roman" w:cs="Times New Roman"/>
                <w:lang w:val="en-US"/>
              </w:rPr>
              <w:t>I(</w:t>
            </w:r>
            <w:proofErr w:type="gramEnd"/>
            <w:r w:rsidRPr="005C337E">
              <w:rPr>
                <w:rFonts w:ascii="Times New Roman" w:hAnsi="Times New Roman" w:cs="Times New Roman"/>
                <w:lang w:val="en-US"/>
              </w:rPr>
              <w:t>0)</w:t>
            </w:r>
          </w:p>
        </w:tc>
      </w:tr>
    </w:tbl>
    <w:p w14:paraId="23452C49" w14:textId="77777777" w:rsidR="00236B37" w:rsidRPr="005C337E" w:rsidRDefault="00236B37" w:rsidP="00236B3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*Note. Denotes statistical significance at the 5% level (5% MacKinnon critical value = -2.9266). Em-dashes (—) indicate that first-difference testing was omitted because stationarity was established at levels [</w:t>
      </w:r>
      <w:r w:rsidR="007C12F8" w:rsidRPr="005C337E">
        <w:rPr>
          <w:rFonts w:ascii="Times New Roman" w:hAnsi="Times New Roman" w:cs="Times New Roman"/>
          <w:lang w:val="en-US"/>
        </w:rPr>
        <w:t>I (</w:t>
      </w:r>
      <w:r w:rsidRPr="005C337E">
        <w:rPr>
          <w:rFonts w:ascii="Times New Roman" w:hAnsi="Times New Roman" w:cs="Times New Roman"/>
          <w:lang w:val="en-US"/>
        </w:rPr>
        <w:t>0)].</w:t>
      </w:r>
    </w:p>
    <w:p w14:paraId="2FC0ABD6" w14:textId="77777777" w:rsidR="006766DE" w:rsidRPr="005C337E" w:rsidRDefault="006766DE" w:rsidP="002206A6">
      <w:pPr>
        <w:tabs>
          <w:tab w:val="left" w:pos="6375"/>
        </w:tabs>
        <w:spacing w:after="0"/>
        <w:jc w:val="both"/>
        <w:rPr>
          <w:rFonts w:ascii="Times New Roman" w:hAnsi="Times New Roman" w:cs="Times New Roman"/>
          <w:b/>
          <w:bCs/>
        </w:rPr>
      </w:pPr>
    </w:p>
    <w:p w14:paraId="0D8CF6E1" w14:textId="77777777" w:rsidR="007544DB" w:rsidRPr="005C337E" w:rsidRDefault="007544DB" w:rsidP="007544D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4.3 Lag-Length Selection</w:t>
      </w:r>
    </w:p>
    <w:p w14:paraId="73E7C9D0" w14:textId="77777777" w:rsidR="007544DB" w:rsidRPr="005C337E" w:rsidRDefault="007544DB" w:rsidP="007544D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Akaike Information Criterion (AIC), Schwarz Information Criterion (SIC) and Hannan-Quinn (HQ) criterion were considered in determining the appropriate lag structure. The AIC indicated a lag length of 2, while SIC and HQ indicated a lag length of 1. Given the multidimensional lag structure required under the ARDL framework, the final estimated model was specified as ARDL (1, 1, 0, 1, 0), as reported in the ARDL estimation results. This specification was retained for the subsequent bounds testing, long-run estimation and error-correction analysis.</w:t>
      </w:r>
    </w:p>
    <w:p w14:paraId="1E36139F" w14:textId="77777777" w:rsidR="00A73CCB" w:rsidRPr="005C337E" w:rsidRDefault="00A73CCB" w:rsidP="00A73CCB">
      <w:pPr>
        <w:tabs>
          <w:tab w:val="left" w:pos="6375"/>
        </w:tabs>
        <w:spacing w:after="0"/>
        <w:jc w:val="both"/>
        <w:rPr>
          <w:rFonts w:ascii="Times New Roman" w:hAnsi="Times New Roman" w:cs="Times New Roman"/>
        </w:rPr>
      </w:pPr>
    </w:p>
    <w:p w14:paraId="1B9B7356"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Table 4: Lag-Length Selection</w:t>
      </w:r>
    </w:p>
    <w:tbl>
      <w:tblPr>
        <w:tblW w:w="5000" w:type="pct"/>
        <w:tblCellSpacing w:w="15" w:type="dxa"/>
        <w:tblBorders>
          <w:bottom w:val="single" w:sz="4" w:space="0" w:color="auto"/>
        </w:tblBorders>
        <w:tblCellMar>
          <w:top w:w="15" w:type="dxa"/>
          <w:left w:w="15" w:type="dxa"/>
          <w:bottom w:w="15" w:type="dxa"/>
          <w:right w:w="15" w:type="dxa"/>
        </w:tblCellMar>
        <w:tblLook w:val="04A0" w:firstRow="1" w:lastRow="0" w:firstColumn="1" w:lastColumn="0" w:noHBand="0" w:noVBand="1"/>
      </w:tblPr>
      <w:tblGrid>
        <w:gridCol w:w="1276"/>
        <w:gridCol w:w="2689"/>
        <w:gridCol w:w="2690"/>
        <w:gridCol w:w="2705"/>
      </w:tblGrid>
      <w:tr w:rsidR="002206A6" w:rsidRPr="005C337E" w14:paraId="36D5951E" w14:textId="77777777" w:rsidTr="00BB631A">
        <w:trPr>
          <w:tblHeader/>
          <w:tblCellSpacing w:w="15" w:type="dxa"/>
        </w:trPr>
        <w:tc>
          <w:tcPr>
            <w:tcW w:w="639" w:type="pct"/>
            <w:tcBorders>
              <w:top w:val="single" w:sz="4" w:space="0" w:color="auto"/>
              <w:bottom w:val="single" w:sz="4" w:space="0" w:color="auto"/>
            </w:tcBorders>
            <w:vAlign w:val="center"/>
            <w:hideMark/>
          </w:tcPr>
          <w:p w14:paraId="35A4630A"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Lag</w:t>
            </w:r>
          </w:p>
        </w:tc>
        <w:tc>
          <w:tcPr>
            <w:tcW w:w="1379" w:type="pct"/>
            <w:tcBorders>
              <w:top w:val="single" w:sz="4" w:space="0" w:color="auto"/>
              <w:bottom w:val="single" w:sz="4" w:space="0" w:color="auto"/>
            </w:tcBorders>
            <w:vAlign w:val="center"/>
            <w:hideMark/>
          </w:tcPr>
          <w:p w14:paraId="7E784454"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AIC</w:t>
            </w:r>
          </w:p>
        </w:tc>
        <w:tc>
          <w:tcPr>
            <w:tcW w:w="1379" w:type="pct"/>
            <w:tcBorders>
              <w:top w:val="single" w:sz="4" w:space="0" w:color="auto"/>
              <w:bottom w:val="single" w:sz="4" w:space="0" w:color="auto"/>
            </w:tcBorders>
            <w:vAlign w:val="center"/>
            <w:hideMark/>
          </w:tcPr>
          <w:p w14:paraId="66E25894"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SIC</w:t>
            </w:r>
          </w:p>
        </w:tc>
        <w:tc>
          <w:tcPr>
            <w:tcW w:w="1379" w:type="pct"/>
            <w:tcBorders>
              <w:top w:val="single" w:sz="4" w:space="0" w:color="auto"/>
              <w:bottom w:val="single" w:sz="4" w:space="0" w:color="auto"/>
            </w:tcBorders>
            <w:vAlign w:val="center"/>
            <w:hideMark/>
          </w:tcPr>
          <w:p w14:paraId="146D0E98" w14:textId="77777777" w:rsidR="002206A6" w:rsidRPr="005C337E" w:rsidRDefault="002206A6" w:rsidP="00A31F19">
            <w:pPr>
              <w:tabs>
                <w:tab w:val="left" w:pos="6375"/>
              </w:tabs>
              <w:spacing w:after="0"/>
              <w:jc w:val="both"/>
              <w:rPr>
                <w:rFonts w:ascii="Times New Roman" w:hAnsi="Times New Roman" w:cs="Times New Roman"/>
                <w:b/>
                <w:bCs/>
              </w:rPr>
            </w:pPr>
            <w:r w:rsidRPr="005C337E">
              <w:rPr>
                <w:rFonts w:ascii="Times New Roman" w:hAnsi="Times New Roman" w:cs="Times New Roman"/>
                <w:b/>
                <w:bCs/>
              </w:rPr>
              <w:t>HQ</w:t>
            </w:r>
          </w:p>
        </w:tc>
      </w:tr>
      <w:tr w:rsidR="002206A6" w:rsidRPr="005C337E" w14:paraId="31E30D46" w14:textId="77777777" w:rsidTr="00BB631A">
        <w:trPr>
          <w:tblCellSpacing w:w="15" w:type="dxa"/>
        </w:trPr>
        <w:tc>
          <w:tcPr>
            <w:tcW w:w="639" w:type="pct"/>
            <w:vAlign w:val="center"/>
            <w:hideMark/>
          </w:tcPr>
          <w:p w14:paraId="3AC666B5"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0</w:t>
            </w:r>
          </w:p>
        </w:tc>
        <w:tc>
          <w:tcPr>
            <w:tcW w:w="1379" w:type="pct"/>
            <w:vAlign w:val="center"/>
            <w:hideMark/>
          </w:tcPr>
          <w:p w14:paraId="685EFA2E"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110.9516</w:t>
            </w:r>
          </w:p>
        </w:tc>
        <w:tc>
          <w:tcPr>
            <w:tcW w:w="1379" w:type="pct"/>
            <w:vAlign w:val="center"/>
            <w:hideMark/>
          </w:tcPr>
          <w:p w14:paraId="1EB09B0B"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111.1768</w:t>
            </w:r>
          </w:p>
        </w:tc>
        <w:tc>
          <w:tcPr>
            <w:tcW w:w="1379" w:type="pct"/>
            <w:vAlign w:val="center"/>
            <w:hideMark/>
          </w:tcPr>
          <w:p w14:paraId="7838B0C9"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111.0379</w:t>
            </w:r>
          </w:p>
        </w:tc>
      </w:tr>
      <w:tr w:rsidR="002206A6" w:rsidRPr="005C337E" w14:paraId="49BAF493" w14:textId="77777777" w:rsidTr="00BB631A">
        <w:trPr>
          <w:tblCellSpacing w:w="15" w:type="dxa"/>
        </w:trPr>
        <w:tc>
          <w:tcPr>
            <w:tcW w:w="639" w:type="pct"/>
            <w:vAlign w:val="center"/>
            <w:hideMark/>
          </w:tcPr>
          <w:p w14:paraId="6E8112D0"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w:t>
            </w:r>
          </w:p>
        </w:tc>
        <w:tc>
          <w:tcPr>
            <w:tcW w:w="1379" w:type="pct"/>
            <w:vAlign w:val="center"/>
            <w:hideMark/>
          </w:tcPr>
          <w:p w14:paraId="68BBB457"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101.4018</w:t>
            </w:r>
          </w:p>
        </w:tc>
        <w:tc>
          <w:tcPr>
            <w:tcW w:w="1379" w:type="pct"/>
            <w:vAlign w:val="center"/>
            <w:hideMark/>
          </w:tcPr>
          <w:p w14:paraId="04025456"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102.9778</w:t>
            </w:r>
          </w:p>
        </w:tc>
        <w:tc>
          <w:tcPr>
            <w:tcW w:w="1379" w:type="pct"/>
            <w:vAlign w:val="center"/>
            <w:hideMark/>
          </w:tcPr>
          <w:p w14:paraId="686A1BD7"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102.0060</w:t>
            </w:r>
          </w:p>
        </w:tc>
      </w:tr>
      <w:tr w:rsidR="002206A6" w:rsidRPr="005C337E" w14:paraId="4BB46688" w14:textId="77777777" w:rsidTr="00BB631A">
        <w:trPr>
          <w:tblCellSpacing w:w="15" w:type="dxa"/>
        </w:trPr>
        <w:tc>
          <w:tcPr>
            <w:tcW w:w="639" w:type="pct"/>
            <w:vAlign w:val="center"/>
            <w:hideMark/>
          </w:tcPr>
          <w:p w14:paraId="244593B4"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2</w:t>
            </w:r>
          </w:p>
        </w:tc>
        <w:tc>
          <w:tcPr>
            <w:tcW w:w="1379" w:type="pct"/>
            <w:vAlign w:val="center"/>
            <w:hideMark/>
          </w:tcPr>
          <w:p w14:paraId="1C40343D"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101.0173</w:t>
            </w:r>
          </w:p>
        </w:tc>
        <w:tc>
          <w:tcPr>
            <w:tcW w:w="1379" w:type="pct"/>
            <w:vAlign w:val="center"/>
            <w:hideMark/>
          </w:tcPr>
          <w:p w14:paraId="6620C573"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103.9442</w:t>
            </w:r>
          </w:p>
        </w:tc>
        <w:tc>
          <w:tcPr>
            <w:tcW w:w="1379" w:type="pct"/>
            <w:vAlign w:val="center"/>
            <w:hideMark/>
          </w:tcPr>
          <w:p w14:paraId="1243BCF3" w14:textId="77777777" w:rsidR="002206A6" w:rsidRPr="005C337E" w:rsidRDefault="002206A6" w:rsidP="00A31F19">
            <w:pPr>
              <w:tabs>
                <w:tab w:val="left" w:pos="6375"/>
              </w:tabs>
              <w:spacing w:after="0"/>
              <w:jc w:val="both"/>
              <w:rPr>
                <w:rFonts w:ascii="Times New Roman" w:hAnsi="Times New Roman" w:cs="Times New Roman"/>
              </w:rPr>
            </w:pPr>
            <w:r w:rsidRPr="005C337E">
              <w:rPr>
                <w:rFonts w:ascii="Times New Roman" w:hAnsi="Times New Roman" w:cs="Times New Roman"/>
              </w:rPr>
              <w:t>102.1394</w:t>
            </w:r>
          </w:p>
        </w:tc>
      </w:tr>
    </w:tbl>
    <w:p w14:paraId="62CE4858" w14:textId="77777777" w:rsidR="002206A6" w:rsidRPr="005C337E" w:rsidRDefault="002206A6" w:rsidP="002206A6">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1EBA491D" w14:textId="77777777" w:rsidR="00114B0A" w:rsidRPr="005C337E" w:rsidRDefault="00114B0A" w:rsidP="00114B0A">
      <w:pPr>
        <w:tabs>
          <w:tab w:val="left" w:pos="6375"/>
        </w:tabs>
        <w:jc w:val="both"/>
        <w:rPr>
          <w:rFonts w:ascii="Times New Roman" w:hAnsi="Times New Roman" w:cs="Times New Roman"/>
        </w:rPr>
      </w:pPr>
    </w:p>
    <w:p w14:paraId="6B939BA6" w14:textId="77777777" w:rsidR="002206A6" w:rsidRPr="005C337E" w:rsidRDefault="002206A6" w:rsidP="00114B0A">
      <w:pPr>
        <w:tabs>
          <w:tab w:val="left" w:pos="6375"/>
        </w:tabs>
        <w:jc w:val="both"/>
        <w:rPr>
          <w:rFonts w:ascii="Times New Roman" w:hAnsi="Times New Roman" w:cs="Times New Roman"/>
          <w:b/>
          <w:bCs/>
        </w:rPr>
      </w:pPr>
      <w:r w:rsidRPr="005C337E">
        <w:rPr>
          <w:rFonts w:ascii="Times New Roman" w:hAnsi="Times New Roman" w:cs="Times New Roman"/>
          <w:b/>
          <w:bCs/>
        </w:rPr>
        <w:t>4.5 Granger Causality</w:t>
      </w:r>
    </w:p>
    <w:p w14:paraId="18C71F66" w14:textId="77777777" w:rsidR="002206A6" w:rsidRPr="005C337E" w:rsidRDefault="002206A6" w:rsidP="002206A6">
      <w:pPr>
        <w:tabs>
          <w:tab w:val="left" w:pos="6375"/>
        </w:tabs>
        <w:spacing w:after="0"/>
        <w:jc w:val="both"/>
        <w:rPr>
          <w:rFonts w:ascii="Times New Roman" w:hAnsi="Times New Roman" w:cs="Times New Roman"/>
        </w:rPr>
      </w:pPr>
      <w:r w:rsidRPr="005C337E">
        <w:rPr>
          <w:rFonts w:ascii="Times New Roman" w:hAnsi="Times New Roman" w:cs="Times New Roman"/>
        </w:rPr>
        <w:t xml:space="preserve">The Granger causality test was used to examine the direction of relationships between FDI and each of the selected macroeconomic variables. The thesis used a 5% significance level, with a probability value below 0.05 indicating causality. The results indicated unidirectional Granger causality from exchange rate to FDI, with an F-statistic of 3.23004 and a p-value of 0.0485. However, FDI did not Granger-cause exchange rate, with a p-value of 0.1737. Similarly, economic growth Granger-caused FDI, with an F-statistic of 13.5061 and a p-value of 0.00002, whereas FDI did not Granger-cause economic growth (p = 0.2882). No Granger causality was found between inflation and FDI or between real interest rate and FDI in either direction. </w:t>
      </w:r>
    </w:p>
    <w:p w14:paraId="2A0C5BB5" w14:textId="77777777" w:rsidR="00BB631A" w:rsidRPr="005C337E" w:rsidRDefault="00BB631A" w:rsidP="00A059D0">
      <w:pPr>
        <w:tabs>
          <w:tab w:val="left" w:pos="6375"/>
        </w:tabs>
        <w:spacing w:after="0"/>
        <w:jc w:val="both"/>
        <w:rPr>
          <w:rFonts w:ascii="Times New Roman" w:hAnsi="Times New Roman" w:cs="Times New Roman"/>
        </w:rPr>
      </w:pPr>
    </w:p>
    <w:p w14:paraId="3726E574" w14:textId="77777777" w:rsidR="002206A6" w:rsidRPr="005C337E" w:rsidRDefault="002206A6" w:rsidP="00A059D0">
      <w:pPr>
        <w:tabs>
          <w:tab w:val="left" w:pos="6375"/>
        </w:tabs>
        <w:spacing w:after="0"/>
        <w:jc w:val="both"/>
        <w:rPr>
          <w:rFonts w:ascii="Times New Roman" w:hAnsi="Times New Roman" w:cs="Times New Roman"/>
        </w:rPr>
      </w:pPr>
      <w:r w:rsidRPr="005C337E">
        <w:rPr>
          <w:rFonts w:ascii="Times New Roman" w:hAnsi="Times New Roman" w:cs="Times New Roman"/>
        </w:rPr>
        <w:t xml:space="preserve">Table </w:t>
      </w:r>
      <w:r w:rsidR="00BD5A0A" w:rsidRPr="005C337E">
        <w:rPr>
          <w:rFonts w:ascii="Times New Roman" w:hAnsi="Times New Roman" w:cs="Times New Roman"/>
        </w:rPr>
        <w:t>5</w:t>
      </w:r>
      <w:r w:rsidRPr="005C337E">
        <w:rPr>
          <w:rFonts w:ascii="Times New Roman" w:hAnsi="Times New Roman" w:cs="Times New Roman"/>
        </w:rPr>
        <w:t xml:space="preserve">. Granger Causality Results </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26"/>
        <w:gridCol w:w="1108"/>
        <w:gridCol w:w="1756"/>
      </w:tblGrid>
      <w:tr w:rsidR="002206A6" w:rsidRPr="005C337E" w14:paraId="62C5F69A" w14:textId="77777777" w:rsidTr="005F2F87">
        <w:tc>
          <w:tcPr>
            <w:tcW w:w="2708" w:type="pct"/>
            <w:tcBorders>
              <w:top w:val="single" w:sz="4" w:space="0" w:color="auto"/>
              <w:bottom w:val="single" w:sz="4" w:space="0" w:color="auto"/>
            </w:tcBorders>
            <w:hideMark/>
          </w:tcPr>
          <w:p w14:paraId="6A3D5D8B"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Null Hypothesis</w:t>
            </w:r>
          </w:p>
        </w:tc>
        <w:tc>
          <w:tcPr>
            <w:tcW w:w="762" w:type="pct"/>
            <w:tcBorders>
              <w:top w:val="single" w:sz="4" w:space="0" w:color="auto"/>
              <w:bottom w:val="single" w:sz="4" w:space="0" w:color="auto"/>
            </w:tcBorders>
            <w:hideMark/>
          </w:tcPr>
          <w:p w14:paraId="4F3A857F"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F-statistic</w:t>
            </w:r>
          </w:p>
        </w:tc>
        <w:tc>
          <w:tcPr>
            <w:tcW w:w="592" w:type="pct"/>
            <w:tcBorders>
              <w:top w:val="single" w:sz="4" w:space="0" w:color="auto"/>
              <w:bottom w:val="single" w:sz="4" w:space="0" w:color="auto"/>
            </w:tcBorders>
            <w:hideMark/>
          </w:tcPr>
          <w:p w14:paraId="13203779"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p-value</w:t>
            </w:r>
          </w:p>
        </w:tc>
        <w:tc>
          <w:tcPr>
            <w:tcW w:w="938" w:type="pct"/>
            <w:tcBorders>
              <w:top w:val="single" w:sz="4" w:space="0" w:color="auto"/>
              <w:bottom w:val="single" w:sz="4" w:space="0" w:color="auto"/>
            </w:tcBorders>
            <w:hideMark/>
          </w:tcPr>
          <w:p w14:paraId="55FCEABB" w14:textId="77777777" w:rsidR="002206A6" w:rsidRPr="005C337E" w:rsidRDefault="002206A6" w:rsidP="00A059D0">
            <w:pPr>
              <w:tabs>
                <w:tab w:val="left" w:pos="6375"/>
              </w:tabs>
              <w:jc w:val="both"/>
              <w:rPr>
                <w:rFonts w:ascii="Times New Roman" w:hAnsi="Times New Roman" w:cs="Times New Roman"/>
                <w:b/>
                <w:bCs/>
              </w:rPr>
            </w:pPr>
            <w:r w:rsidRPr="005C337E">
              <w:rPr>
                <w:rFonts w:ascii="Times New Roman" w:hAnsi="Times New Roman" w:cs="Times New Roman"/>
                <w:b/>
                <w:bCs/>
              </w:rPr>
              <w:t>Decision</w:t>
            </w:r>
          </w:p>
        </w:tc>
      </w:tr>
      <w:tr w:rsidR="002206A6" w:rsidRPr="005C337E" w14:paraId="79FC094C" w14:textId="77777777" w:rsidTr="005F2F87">
        <w:tc>
          <w:tcPr>
            <w:tcW w:w="2708" w:type="pct"/>
            <w:tcBorders>
              <w:top w:val="single" w:sz="4" w:space="0" w:color="auto"/>
            </w:tcBorders>
            <w:hideMark/>
          </w:tcPr>
          <w:p w14:paraId="5F9256A6"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lnER</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tcBorders>
              <w:top w:val="single" w:sz="4" w:space="0" w:color="auto"/>
            </w:tcBorders>
            <w:hideMark/>
          </w:tcPr>
          <w:p w14:paraId="0C12FCF1"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3.23004</w:t>
            </w:r>
          </w:p>
        </w:tc>
        <w:tc>
          <w:tcPr>
            <w:tcW w:w="592" w:type="pct"/>
            <w:tcBorders>
              <w:top w:val="single" w:sz="4" w:space="0" w:color="auto"/>
            </w:tcBorders>
            <w:hideMark/>
          </w:tcPr>
          <w:p w14:paraId="4F7E6CD6"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0.0485</w:t>
            </w:r>
          </w:p>
        </w:tc>
        <w:tc>
          <w:tcPr>
            <w:tcW w:w="938" w:type="pct"/>
            <w:tcBorders>
              <w:top w:val="single" w:sz="4" w:space="0" w:color="auto"/>
            </w:tcBorders>
            <w:hideMark/>
          </w:tcPr>
          <w:p w14:paraId="40222BED"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Reject</w:t>
            </w:r>
          </w:p>
        </w:tc>
      </w:tr>
      <w:tr w:rsidR="002206A6" w:rsidRPr="005C337E" w14:paraId="61BACF08" w14:textId="77777777" w:rsidTr="005F2F87">
        <w:tc>
          <w:tcPr>
            <w:tcW w:w="2708" w:type="pct"/>
            <w:hideMark/>
          </w:tcPr>
          <w:p w14:paraId="54FD9F85"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lnER</w:t>
            </w:r>
            <w:proofErr w:type="spellEnd"/>
          </w:p>
        </w:tc>
        <w:tc>
          <w:tcPr>
            <w:tcW w:w="762" w:type="pct"/>
            <w:hideMark/>
          </w:tcPr>
          <w:p w14:paraId="20DD955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1.81697</w:t>
            </w:r>
          </w:p>
        </w:tc>
        <w:tc>
          <w:tcPr>
            <w:tcW w:w="592" w:type="pct"/>
            <w:hideMark/>
          </w:tcPr>
          <w:p w14:paraId="6FB73D9D"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0.1737</w:t>
            </w:r>
          </w:p>
        </w:tc>
        <w:tc>
          <w:tcPr>
            <w:tcW w:w="938" w:type="pct"/>
            <w:hideMark/>
          </w:tcPr>
          <w:p w14:paraId="63C3986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79716010" w14:textId="77777777" w:rsidTr="005F2F87">
        <w:tc>
          <w:tcPr>
            <w:tcW w:w="2708" w:type="pct"/>
            <w:hideMark/>
          </w:tcPr>
          <w:p w14:paraId="56A54C68"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lnEG</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1E711E3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13.5061</w:t>
            </w:r>
          </w:p>
        </w:tc>
        <w:tc>
          <w:tcPr>
            <w:tcW w:w="592" w:type="pct"/>
            <w:hideMark/>
          </w:tcPr>
          <w:p w14:paraId="74A0845C"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0.00002</w:t>
            </w:r>
          </w:p>
        </w:tc>
        <w:tc>
          <w:tcPr>
            <w:tcW w:w="938" w:type="pct"/>
            <w:hideMark/>
          </w:tcPr>
          <w:p w14:paraId="4D02A49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Reject</w:t>
            </w:r>
          </w:p>
        </w:tc>
      </w:tr>
      <w:tr w:rsidR="002206A6" w:rsidRPr="005C337E" w14:paraId="229D1C44" w14:textId="77777777" w:rsidTr="005F2F87">
        <w:tc>
          <w:tcPr>
            <w:tcW w:w="2708" w:type="pct"/>
            <w:hideMark/>
          </w:tcPr>
          <w:p w14:paraId="0D7F47E4"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lnEG</w:t>
            </w:r>
            <w:proofErr w:type="spellEnd"/>
          </w:p>
        </w:tc>
        <w:tc>
          <w:tcPr>
            <w:tcW w:w="762" w:type="pct"/>
            <w:hideMark/>
          </w:tcPr>
          <w:p w14:paraId="66F5B5E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1.27755</w:t>
            </w:r>
          </w:p>
        </w:tc>
        <w:tc>
          <w:tcPr>
            <w:tcW w:w="592" w:type="pct"/>
            <w:hideMark/>
          </w:tcPr>
          <w:p w14:paraId="7B4FD147"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0.2882</w:t>
            </w:r>
          </w:p>
        </w:tc>
        <w:tc>
          <w:tcPr>
            <w:tcW w:w="938" w:type="pct"/>
            <w:hideMark/>
          </w:tcPr>
          <w:p w14:paraId="401C8EBF"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0B070698" w14:textId="77777777" w:rsidTr="005F2F87">
        <w:tc>
          <w:tcPr>
            <w:tcW w:w="2708" w:type="pct"/>
            <w:hideMark/>
          </w:tcPr>
          <w:p w14:paraId="00521F3E"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lnINFL</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69854C6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0.22810</w:t>
            </w:r>
          </w:p>
        </w:tc>
        <w:tc>
          <w:tcPr>
            <w:tcW w:w="592" w:type="pct"/>
            <w:hideMark/>
          </w:tcPr>
          <w:p w14:paraId="39D05B0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0.7969</w:t>
            </w:r>
          </w:p>
        </w:tc>
        <w:tc>
          <w:tcPr>
            <w:tcW w:w="938" w:type="pct"/>
            <w:hideMark/>
          </w:tcPr>
          <w:p w14:paraId="094083A5"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1969345A" w14:textId="77777777" w:rsidTr="005F2F87">
        <w:tc>
          <w:tcPr>
            <w:tcW w:w="2708" w:type="pct"/>
            <w:hideMark/>
          </w:tcPr>
          <w:p w14:paraId="2794AACB"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lnINFL</w:t>
            </w:r>
            <w:proofErr w:type="spellEnd"/>
          </w:p>
        </w:tc>
        <w:tc>
          <w:tcPr>
            <w:tcW w:w="762" w:type="pct"/>
            <w:hideMark/>
          </w:tcPr>
          <w:p w14:paraId="0D6902B8"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0.45653</w:t>
            </w:r>
          </w:p>
        </w:tc>
        <w:tc>
          <w:tcPr>
            <w:tcW w:w="592" w:type="pct"/>
            <w:hideMark/>
          </w:tcPr>
          <w:p w14:paraId="1099FF9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0.6363</w:t>
            </w:r>
          </w:p>
        </w:tc>
        <w:tc>
          <w:tcPr>
            <w:tcW w:w="938" w:type="pct"/>
            <w:hideMark/>
          </w:tcPr>
          <w:p w14:paraId="7EEE5CC0"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7C3C6C33" w14:textId="77777777" w:rsidTr="005F2F87">
        <w:tc>
          <w:tcPr>
            <w:tcW w:w="2708" w:type="pct"/>
            <w:hideMark/>
          </w:tcPr>
          <w:p w14:paraId="740A2B3F"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lnIR</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lnFDI</w:t>
            </w:r>
            <w:proofErr w:type="spellEnd"/>
          </w:p>
        </w:tc>
        <w:tc>
          <w:tcPr>
            <w:tcW w:w="762" w:type="pct"/>
            <w:hideMark/>
          </w:tcPr>
          <w:p w14:paraId="452A05D3"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0.16936</w:t>
            </w:r>
          </w:p>
        </w:tc>
        <w:tc>
          <w:tcPr>
            <w:tcW w:w="592" w:type="pct"/>
            <w:hideMark/>
          </w:tcPr>
          <w:p w14:paraId="782E45E4"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0.8447</w:t>
            </w:r>
          </w:p>
        </w:tc>
        <w:tc>
          <w:tcPr>
            <w:tcW w:w="938" w:type="pct"/>
            <w:hideMark/>
          </w:tcPr>
          <w:p w14:paraId="223C3EA8"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r w:rsidR="002206A6" w:rsidRPr="005C337E" w14:paraId="6FDED0A7" w14:textId="77777777" w:rsidTr="005F2F87">
        <w:tc>
          <w:tcPr>
            <w:tcW w:w="2708" w:type="pct"/>
            <w:hideMark/>
          </w:tcPr>
          <w:p w14:paraId="350FD112" w14:textId="77777777" w:rsidR="002206A6" w:rsidRPr="005C337E" w:rsidRDefault="002206A6" w:rsidP="00A059D0">
            <w:pPr>
              <w:tabs>
                <w:tab w:val="left" w:pos="6375"/>
              </w:tabs>
              <w:jc w:val="both"/>
              <w:rPr>
                <w:rFonts w:ascii="Times New Roman" w:hAnsi="Times New Roman" w:cs="Times New Roman"/>
              </w:rPr>
            </w:pPr>
            <w:proofErr w:type="spellStart"/>
            <w:r w:rsidRPr="005C337E">
              <w:rPr>
                <w:rFonts w:ascii="Times New Roman" w:hAnsi="Times New Roman" w:cs="Times New Roman"/>
              </w:rPr>
              <w:t>lnFDI</w:t>
            </w:r>
            <w:proofErr w:type="spellEnd"/>
            <w:r w:rsidRPr="005C337E">
              <w:rPr>
                <w:rFonts w:ascii="Times New Roman" w:hAnsi="Times New Roman" w:cs="Times New Roman"/>
              </w:rPr>
              <w:t xml:space="preserve"> does not Granger-cause </w:t>
            </w:r>
            <w:proofErr w:type="spellStart"/>
            <w:r w:rsidRPr="005C337E">
              <w:rPr>
                <w:rFonts w:ascii="Times New Roman" w:hAnsi="Times New Roman" w:cs="Times New Roman"/>
              </w:rPr>
              <w:t>lnIR</w:t>
            </w:r>
            <w:proofErr w:type="spellEnd"/>
          </w:p>
        </w:tc>
        <w:tc>
          <w:tcPr>
            <w:tcW w:w="762" w:type="pct"/>
            <w:hideMark/>
          </w:tcPr>
          <w:p w14:paraId="3AD472C9"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0.21608</w:t>
            </w:r>
          </w:p>
        </w:tc>
        <w:tc>
          <w:tcPr>
            <w:tcW w:w="592" w:type="pct"/>
            <w:hideMark/>
          </w:tcPr>
          <w:p w14:paraId="03445B4B"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0.8065</w:t>
            </w:r>
          </w:p>
        </w:tc>
        <w:tc>
          <w:tcPr>
            <w:tcW w:w="938" w:type="pct"/>
            <w:hideMark/>
          </w:tcPr>
          <w:p w14:paraId="706F10A7" w14:textId="77777777" w:rsidR="002206A6" w:rsidRPr="005C337E" w:rsidRDefault="002206A6" w:rsidP="00A059D0">
            <w:pPr>
              <w:tabs>
                <w:tab w:val="left" w:pos="6375"/>
              </w:tabs>
              <w:jc w:val="both"/>
              <w:rPr>
                <w:rFonts w:ascii="Times New Roman" w:hAnsi="Times New Roman" w:cs="Times New Roman"/>
              </w:rPr>
            </w:pPr>
            <w:r w:rsidRPr="005C337E">
              <w:rPr>
                <w:rFonts w:ascii="Times New Roman" w:hAnsi="Times New Roman" w:cs="Times New Roman"/>
              </w:rPr>
              <w:t>Do not reject</w:t>
            </w:r>
          </w:p>
        </w:tc>
      </w:tr>
    </w:tbl>
    <w:p w14:paraId="51F77C7F" w14:textId="77777777" w:rsidR="00A66E58" w:rsidRPr="005C337E" w:rsidRDefault="002206A6" w:rsidP="002A0F7C">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1E6FE849" w14:textId="77777777" w:rsidR="00BB7796" w:rsidRPr="005C337E" w:rsidRDefault="00BB7796" w:rsidP="002A0F7C">
      <w:pPr>
        <w:tabs>
          <w:tab w:val="left" w:pos="6375"/>
        </w:tabs>
        <w:jc w:val="both"/>
        <w:rPr>
          <w:rFonts w:ascii="Times New Roman" w:hAnsi="Times New Roman" w:cs="Times New Roman"/>
          <w:b/>
          <w:bCs/>
        </w:rPr>
      </w:pPr>
    </w:p>
    <w:p w14:paraId="462EEB52" w14:textId="77777777" w:rsidR="00BB7796" w:rsidRPr="005C337E" w:rsidRDefault="00BB7796" w:rsidP="002A0F7C">
      <w:pPr>
        <w:tabs>
          <w:tab w:val="left" w:pos="6375"/>
        </w:tabs>
        <w:jc w:val="both"/>
        <w:rPr>
          <w:rFonts w:ascii="Times New Roman" w:hAnsi="Times New Roman" w:cs="Times New Roman"/>
          <w:b/>
          <w:bCs/>
        </w:rPr>
      </w:pPr>
    </w:p>
    <w:p w14:paraId="1106887A" w14:textId="77777777" w:rsidR="002A0F7C" w:rsidRPr="005C337E" w:rsidRDefault="002A0F7C" w:rsidP="002A0F7C">
      <w:pPr>
        <w:tabs>
          <w:tab w:val="left" w:pos="6375"/>
        </w:tabs>
        <w:spacing w:after="0"/>
        <w:jc w:val="both"/>
        <w:rPr>
          <w:rFonts w:ascii="Times New Roman" w:hAnsi="Times New Roman" w:cs="Times New Roman"/>
          <w:b/>
          <w:bCs/>
        </w:rPr>
      </w:pPr>
      <w:r w:rsidRPr="005C337E">
        <w:rPr>
          <w:rFonts w:ascii="Times New Roman" w:hAnsi="Times New Roman" w:cs="Times New Roman"/>
          <w:b/>
          <w:bCs/>
        </w:rPr>
        <w:t>4.7 Correlation Analysis</w:t>
      </w:r>
    </w:p>
    <w:p w14:paraId="42AE6213" w14:textId="77777777" w:rsidR="002A0F7C" w:rsidRPr="005C337E" w:rsidRDefault="002A0F7C" w:rsidP="002A0F7C">
      <w:pPr>
        <w:tabs>
          <w:tab w:val="left" w:pos="6375"/>
        </w:tabs>
        <w:spacing w:after="0"/>
        <w:jc w:val="both"/>
        <w:rPr>
          <w:rFonts w:ascii="Times New Roman" w:hAnsi="Times New Roman" w:cs="Times New Roman"/>
        </w:rPr>
      </w:pPr>
      <w:r w:rsidRPr="005C337E">
        <w:rPr>
          <w:rFonts w:ascii="Times New Roman" w:hAnsi="Times New Roman" w:cs="Times New Roman"/>
        </w:rPr>
        <w:t xml:space="preserve">The correlation analysis showed a positive correlation between FDI and exchange rate (r = 0.6313) and a stronger positive correlation between FDI and economic growth (r = 0.8159). FDI and inflation had a weak negative correlation (r = -0.0961), while FDI and real interest rate had a very weak positive correlation (r = 0.0109). </w:t>
      </w:r>
    </w:p>
    <w:p w14:paraId="36F53DC2" w14:textId="77777777" w:rsidR="002A0F7C" w:rsidRPr="005C337E" w:rsidRDefault="002A0F7C" w:rsidP="002A0F7C">
      <w:pPr>
        <w:tabs>
          <w:tab w:val="left" w:pos="6375"/>
        </w:tabs>
        <w:jc w:val="both"/>
        <w:rPr>
          <w:rFonts w:ascii="Times New Roman" w:hAnsi="Times New Roman" w:cs="Times New Roman"/>
          <w:b/>
          <w:bCs/>
        </w:rPr>
      </w:pPr>
    </w:p>
    <w:p w14:paraId="794F008F" w14:textId="77777777" w:rsidR="002A0F7C" w:rsidRPr="005C337E" w:rsidRDefault="002A0F7C" w:rsidP="005F2F87">
      <w:pPr>
        <w:tabs>
          <w:tab w:val="left" w:pos="6375"/>
        </w:tabs>
        <w:spacing w:after="0"/>
        <w:jc w:val="both"/>
        <w:rPr>
          <w:rFonts w:ascii="Times New Roman" w:hAnsi="Times New Roman" w:cs="Times New Roman"/>
        </w:rPr>
      </w:pPr>
      <w:r w:rsidRPr="005C337E">
        <w:rPr>
          <w:rFonts w:ascii="Times New Roman" w:hAnsi="Times New Roman" w:cs="Times New Roman"/>
        </w:rPr>
        <w:lastRenderedPageBreak/>
        <w:t xml:space="preserve">Table </w:t>
      </w:r>
      <w:r w:rsidR="00BD5A0A" w:rsidRPr="005C337E">
        <w:rPr>
          <w:rFonts w:ascii="Times New Roman" w:hAnsi="Times New Roman" w:cs="Times New Roman"/>
        </w:rPr>
        <w:t>6</w:t>
      </w:r>
      <w:r w:rsidRPr="005C337E">
        <w:rPr>
          <w:rFonts w:ascii="Times New Roman" w:hAnsi="Times New Roman" w:cs="Times New Roman"/>
        </w:rPr>
        <w:t>. Correlation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3"/>
        <w:gridCol w:w="1532"/>
        <w:gridCol w:w="1372"/>
        <w:gridCol w:w="1531"/>
        <w:gridCol w:w="1601"/>
        <w:gridCol w:w="1531"/>
      </w:tblGrid>
      <w:tr w:rsidR="005F2F87" w:rsidRPr="005C337E" w14:paraId="66F11354" w14:textId="77777777" w:rsidTr="005F2F87">
        <w:tc>
          <w:tcPr>
            <w:tcW w:w="957" w:type="pct"/>
            <w:hideMark/>
          </w:tcPr>
          <w:p w14:paraId="66D559EB" w14:textId="77777777" w:rsidR="002A0F7C" w:rsidRPr="005C337E" w:rsidRDefault="002A0F7C" w:rsidP="002A0F7C">
            <w:pPr>
              <w:tabs>
                <w:tab w:val="left" w:pos="6375"/>
              </w:tabs>
              <w:jc w:val="both"/>
              <w:rPr>
                <w:rFonts w:ascii="Times New Roman" w:hAnsi="Times New Roman" w:cs="Times New Roman"/>
                <w:b/>
                <w:bCs/>
                <w:color w:val="000000" w:themeColor="text1"/>
              </w:rPr>
            </w:pPr>
            <w:r w:rsidRPr="005C337E">
              <w:rPr>
                <w:rFonts w:ascii="Times New Roman" w:hAnsi="Times New Roman" w:cs="Times New Roman"/>
                <w:b/>
                <w:bCs/>
                <w:color w:val="000000" w:themeColor="text1"/>
              </w:rPr>
              <w:t>Variable</w:t>
            </w:r>
          </w:p>
        </w:tc>
        <w:tc>
          <w:tcPr>
            <w:tcW w:w="818" w:type="pct"/>
            <w:hideMark/>
          </w:tcPr>
          <w:p w14:paraId="21E782D6"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lnFDI</w:t>
            </w:r>
            <w:proofErr w:type="spellEnd"/>
          </w:p>
        </w:tc>
        <w:tc>
          <w:tcPr>
            <w:tcW w:w="733" w:type="pct"/>
            <w:hideMark/>
          </w:tcPr>
          <w:p w14:paraId="499305E3"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lnER</w:t>
            </w:r>
            <w:proofErr w:type="spellEnd"/>
          </w:p>
        </w:tc>
        <w:tc>
          <w:tcPr>
            <w:tcW w:w="818" w:type="pct"/>
            <w:hideMark/>
          </w:tcPr>
          <w:p w14:paraId="2855AD82"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lnEG</w:t>
            </w:r>
            <w:proofErr w:type="spellEnd"/>
          </w:p>
        </w:tc>
        <w:tc>
          <w:tcPr>
            <w:tcW w:w="855" w:type="pct"/>
            <w:hideMark/>
          </w:tcPr>
          <w:p w14:paraId="79EE181C"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lnINFL</w:t>
            </w:r>
            <w:proofErr w:type="spellEnd"/>
          </w:p>
        </w:tc>
        <w:tc>
          <w:tcPr>
            <w:tcW w:w="818" w:type="pct"/>
            <w:hideMark/>
          </w:tcPr>
          <w:p w14:paraId="3E1FD9BE" w14:textId="77777777" w:rsidR="002A0F7C" w:rsidRPr="005C337E" w:rsidRDefault="002A0F7C" w:rsidP="002A0F7C">
            <w:pPr>
              <w:tabs>
                <w:tab w:val="left" w:pos="6375"/>
              </w:tabs>
              <w:jc w:val="both"/>
              <w:rPr>
                <w:rFonts w:ascii="Times New Roman" w:hAnsi="Times New Roman" w:cs="Times New Roman"/>
                <w:b/>
                <w:bCs/>
                <w:color w:val="000000" w:themeColor="text1"/>
              </w:rPr>
            </w:pPr>
            <w:proofErr w:type="spellStart"/>
            <w:r w:rsidRPr="005C337E">
              <w:rPr>
                <w:rFonts w:ascii="Times New Roman" w:hAnsi="Times New Roman" w:cs="Times New Roman"/>
                <w:b/>
                <w:bCs/>
                <w:color w:val="000000" w:themeColor="text1"/>
              </w:rPr>
              <w:t>lnIR</w:t>
            </w:r>
            <w:proofErr w:type="spellEnd"/>
          </w:p>
        </w:tc>
      </w:tr>
      <w:tr w:rsidR="005F2F87" w:rsidRPr="005C337E" w14:paraId="2204FA7F" w14:textId="77777777" w:rsidTr="005F2F87">
        <w:tc>
          <w:tcPr>
            <w:tcW w:w="957" w:type="pct"/>
            <w:hideMark/>
          </w:tcPr>
          <w:p w14:paraId="497F7E64"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lnFDI</w:t>
            </w:r>
            <w:proofErr w:type="spellEnd"/>
          </w:p>
        </w:tc>
        <w:tc>
          <w:tcPr>
            <w:tcW w:w="818" w:type="pct"/>
            <w:hideMark/>
          </w:tcPr>
          <w:p w14:paraId="3B20AC5A"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733" w:type="pct"/>
            <w:hideMark/>
          </w:tcPr>
          <w:p w14:paraId="6F80D35B"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0.6313</w:t>
            </w:r>
          </w:p>
        </w:tc>
        <w:tc>
          <w:tcPr>
            <w:tcW w:w="818" w:type="pct"/>
            <w:hideMark/>
          </w:tcPr>
          <w:p w14:paraId="3C39420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0.8159</w:t>
            </w:r>
          </w:p>
        </w:tc>
        <w:tc>
          <w:tcPr>
            <w:tcW w:w="855" w:type="pct"/>
            <w:hideMark/>
          </w:tcPr>
          <w:p w14:paraId="7BA68C4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-0.0961</w:t>
            </w:r>
          </w:p>
        </w:tc>
        <w:tc>
          <w:tcPr>
            <w:tcW w:w="818" w:type="pct"/>
            <w:hideMark/>
          </w:tcPr>
          <w:p w14:paraId="3F61B261"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0.0109</w:t>
            </w:r>
          </w:p>
        </w:tc>
      </w:tr>
      <w:tr w:rsidR="005F2F87" w:rsidRPr="005C337E" w14:paraId="287A5102" w14:textId="77777777" w:rsidTr="005F2F87">
        <w:tc>
          <w:tcPr>
            <w:tcW w:w="957" w:type="pct"/>
            <w:hideMark/>
          </w:tcPr>
          <w:p w14:paraId="340AAA03"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lnER</w:t>
            </w:r>
            <w:proofErr w:type="spellEnd"/>
          </w:p>
        </w:tc>
        <w:tc>
          <w:tcPr>
            <w:tcW w:w="818" w:type="pct"/>
            <w:hideMark/>
          </w:tcPr>
          <w:p w14:paraId="182900B2"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0.6313</w:t>
            </w:r>
          </w:p>
        </w:tc>
        <w:tc>
          <w:tcPr>
            <w:tcW w:w="733" w:type="pct"/>
            <w:hideMark/>
          </w:tcPr>
          <w:p w14:paraId="780C6AB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18" w:type="pct"/>
            <w:hideMark/>
          </w:tcPr>
          <w:p w14:paraId="0F66648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0.8567</w:t>
            </w:r>
          </w:p>
        </w:tc>
        <w:tc>
          <w:tcPr>
            <w:tcW w:w="855" w:type="pct"/>
            <w:hideMark/>
          </w:tcPr>
          <w:p w14:paraId="662AEFCC"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0.0085</w:t>
            </w:r>
          </w:p>
        </w:tc>
        <w:tc>
          <w:tcPr>
            <w:tcW w:w="818" w:type="pct"/>
            <w:hideMark/>
          </w:tcPr>
          <w:p w14:paraId="183E48C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0.1889</w:t>
            </w:r>
          </w:p>
        </w:tc>
      </w:tr>
      <w:tr w:rsidR="005F2F87" w:rsidRPr="005C337E" w14:paraId="5C7FA5EA" w14:textId="77777777" w:rsidTr="005F2F87">
        <w:tc>
          <w:tcPr>
            <w:tcW w:w="957" w:type="pct"/>
            <w:hideMark/>
          </w:tcPr>
          <w:p w14:paraId="77829057"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lnEG</w:t>
            </w:r>
            <w:proofErr w:type="spellEnd"/>
          </w:p>
        </w:tc>
        <w:tc>
          <w:tcPr>
            <w:tcW w:w="818" w:type="pct"/>
            <w:hideMark/>
          </w:tcPr>
          <w:p w14:paraId="66E858E8"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0.8159</w:t>
            </w:r>
          </w:p>
        </w:tc>
        <w:tc>
          <w:tcPr>
            <w:tcW w:w="733" w:type="pct"/>
            <w:hideMark/>
          </w:tcPr>
          <w:p w14:paraId="7AA7AD7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0.8567</w:t>
            </w:r>
          </w:p>
        </w:tc>
        <w:tc>
          <w:tcPr>
            <w:tcW w:w="818" w:type="pct"/>
            <w:hideMark/>
          </w:tcPr>
          <w:p w14:paraId="0DB7CC96"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55" w:type="pct"/>
            <w:hideMark/>
          </w:tcPr>
          <w:p w14:paraId="5F305C40"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-0.0522</w:t>
            </w:r>
          </w:p>
        </w:tc>
        <w:tc>
          <w:tcPr>
            <w:tcW w:w="818" w:type="pct"/>
            <w:hideMark/>
          </w:tcPr>
          <w:p w14:paraId="5D4FE13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0.0561</w:t>
            </w:r>
          </w:p>
        </w:tc>
      </w:tr>
      <w:tr w:rsidR="005F2F87" w:rsidRPr="005C337E" w14:paraId="61C496C5" w14:textId="77777777" w:rsidTr="005F2F87">
        <w:tc>
          <w:tcPr>
            <w:tcW w:w="957" w:type="pct"/>
            <w:hideMark/>
          </w:tcPr>
          <w:p w14:paraId="280CDEEC"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lnINFL</w:t>
            </w:r>
            <w:proofErr w:type="spellEnd"/>
          </w:p>
        </w:tc>
        <w:tc>
          <w:tcPr>
            <w:tcW w:w="818" w:type="pct"/>
            <w:hideMark/>
          </w:tcPr>
          <w:p w14:paraId="10D0C034"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-0.0961</w:t>
            </w:r>
          </w:p>
        </w:tc>
        <w:tc>
          <w:tcPr>
            <w:tcW w:w="733" w:type="pct"/>
            <w:hideMark/>
          </w:tcPr>
          <w:p w14:paraId="336A54C5"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0.0085</w:t>
            </w:r>
          </w:p>
        </w:tc>
        <w:tc>
          <w:tcPr>
            <w:tcW w:w="818" w:type="pct"/>
            <w:hideMark/>
          </w:tcPr>
          <w:p w14:paraId="1142E728"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-0.0522</w:t>
            </w:r>
          </w:p>
        </w:tc>
        <w:tc>
          <w:tcPr>
            <w:tcW w:w="855" w:type="pct"/>
            <w:hideMark/>
          </w:tcPr>
          <w:p w14:paraId="4EAA97FC"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c>
          <w:tcPr>
            <w:tcW w:w="818" w:type="pct"/>
            <w:hideMark/>
          </w:tcPr>
          <w:p w14:paraId="01959011"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-0.6424</w:t>
            </w:r>
          </w:p>
        </w:tc>
      </w:tr>
      <w:tr w:rsidR="005F2F87" w:rsidRPr="005C337E" w14:paraId="39D3A77C" w14:textId="77777777" w:rsidTr="005F2F87">
        <w:tc>
          <w:tcPr>
            <w:tcW w:w="957" w:type="pct"/>
            <w:hideMark/>
          </w:tcPr>
          <w:p w14:paraId="4DD8DF0E" w14:textId="77777777" w:rsidR="002A0F7C" w:rsidRPr="005C337E" w:rsidRDefault="002A0F7C" w:rsidP="002A0F7C">
            <w:pPr>
              <w:tabs>
                <w:tab w:val="left" w:pos="6375"/>
              </w:tabs>
              <w:jc w:val="both"/>
              <w:rPr>
                <w:rFonts w:ascii="Times New Roman" w:hAnsi="Times New Roman" w:cs="Times New Roman"/>
                <w:color w:val="000000" w:themeColor="text1"/>
              </w:rPr>
            </w:pPr>
            <w:proofErr w:type="spellStart"/>
            <w:r w:rsidRPr="005C337E">
              <w:rPr>
                <w:rFonts w:ascii="Times New Roman" w:hAnsi="Times New Roman" w:cs="Times New Roman"/>
                <w:color w:val="000000" w:themeColor="text1"/>
              </w:rPr>
              <w:t>lnIR</w:t>
            </w:r>
            <w:proofErr w:type="spellEnd"/>
          </w:p>
        </w:tc>
        <w:tc>
          <w:tcPr>
            <w:tcW w:w="818" w:type="pct"/>
            <w:hideMark/>
          </w:tcPr>
          <w:p w14:paraId="13F1F913"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0.0109</w:t>
            </w:r>
          </w:p>
        </w:tc>
        <w:tc>
          <w:tcPr>
            <w:tcW w:w="733" w:type="pct"/>
            <w:hideMark/>
          </w:tcPr>
          <w:p w14:paraId="44ED1156"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0.1889</w:t>
            </w:r>
          </w:p>
        </w:tc>
        <w:tc>
          <w:tcPr>
            <w:tcW w:w="818" w:type="pct"/>
            <w:hideMark/>
          </w:tcPr>
          <w:p w14:paraId="55BEFC5D"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0.0561</w:t>
            </w:r>
          </w:p>
        </w:tc>
        <w:tc>
          <w:tcPr>
            <w:tcW w:w="855" w:type="pct"/>
            <w:hideMark/>
          </w:tcPr>
          <w:p w14:paraId="1AE459B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-0.6424</w:t>
            </w:r>
          </w:p>
        </w:tc>
        <w:tc>
          <w:tcPr>
            <w:tcW w:w="818" w:type="pct"/>
            <w:hideMark/>
          </w:tcPr>
          <w:p w14:paraId="4553C5AF" w14:textId="77777777" w:rsidR="002A0F7C" w:rsidRPr="005C337E" w:rsidRDefault="002A0F7C" w:rsidP="002A0F7C">
            <w:pPr>
              <w:tabs>
                <w:tab w:val="left" w:pos="6375"/>
              </w:tabs>
              <w:jc w:val="both"/>
              <w:rPr>
                <w:rFonts w:ascii="Times New Roman" w:hAnsi="Times New Roman" w:cs="Times New Roman"/>
                <w:color w:val="000000" w:themeColor="text1"/>
              </w:rPr>
            </w:pPr>
            <w:r w:rsidRPr="005C337E">
              <w:rPr>
                <w:rFonts w:ascii="Times New Roman" w:hAnsi="Times New Roman" w:cs="Times New Roman"/>
                <w:color w:val="000000" w:themeColor="text1"/>
              </w:rPr>
              <w:t>1.0000</w:t>
            </w:r>
          </w:p>
        </w:tc>
      </w:tr>
    </w:tbl>
    <w:p w14:paraId="07CD22E2" w14:textId="77777777" w:rsidR="00713DD5" w:rsidRPr="005C337E" w:rsidRDefault="002A0F7C" w:rsidP="002A0F7C">
      <w:pPr>
        <w:tabs>
          <w:tab w:val="left" w:pos="6375"/>
        </w:tabs>
        <w:jc w:val="both"/>
        <w:rPr>
          <w:rFonts w:ascii="Times New Roman" w:hAnsi="Times New Roman" w:cs="Times New Roman"/>
        </w:rPr>
      </w:pPr>
      <w:r w:rsidRPr="005C337E">
        <w:rPr>
          <w:rFonts w:ascii="Times New Roman" w:hAnsi="Times New Roman" w:cs="Times New Roman"/>
          <w:i/>
          <w:iCs/>
        </w:rPr>
        <w:t>Source: Thesis</w:t>
      </w:r>
    </w:p>
    <w:p w14:paraId="63BFDB9E" w14:textId="77777777" w:rsidR="007544DB" w:rsidRPr="005C337E" w:rsidRDefault="007544DB" w:rsidP="007544DB">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4.8 ARDL Bounds Test Results and Long-Run Dynamics</w:t>
      </w:r>
    </w:p>
    <w:p w14:paraId="525919FC" w14:textId="77777777" w:rsidR="007544DB" w:rsidRPr="005C337E" w:rsidRDefault="007544DB" w:rsidP="007544DB">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The ARDL Bounds Test was conducted using the optimal ARDL specification of (1, 1, 0, 1, 0), selected using the Akaike Information Criterion (AIC). The test was estimated under an unrestricted intercept and no deterministic trend, with five explanatory variables (k = 5). The computed F-statistic was 6.842. This value exceeds the 1% upper critical bound of 4.15 reported for the </w:t>
      </w:r>
      <w:proofErr w:type="spellStart"/>
      <w:r w:rsidRPr="005C337E">
        <w:rPr>
          <w:rFonts w:ascii="Times New Roman" w:hAnsi="Times New Roman" w:cs="Times New Roman"/>
          <w:lang w:val="en-US"/>
        </w:rPr>
        <w:t>Pesaran</w:t>
      </w:r>
      <w:proofErr w:type="spellEnd"/>
      <w:r w:rsidRPr="005C337E">
        <w:rPr>
          <w:rFonts w:ascii="Times New Roman" w:hAnsi="Times New Roman" w:cs="Times New Roman"/>
          <w:lang w:val="en-US"/>
        </w:rPr>
        <w:t>, Shin, and Smith (2001) bounds-testing framework. The result therefore leads to rejection of the null hypothesis of no long-run relationship and confirms the existence of a statistically significant long-run equilibrium relationship among inward FDI, economic growth, real interest rate, exchange rate, inflation, and the structural disruption variable.</w:t>
      </w:r>
    </w:p>
    <w:p w14:paraId="3F46AD5E" w14:textId="77777777" w:rsidR="007544DB" w:rsidRPr="005C337E" w:rsidRDefault="007544DB" w:rsidP="007544DB">
      <w:pPr>
        <w:tabs>
          <w:tab w:val="left" w:pos="6375"/>
        </w:tabs>
        <w:jc w:val="both"/>
        <w:rPr>
          <w:rFonts w:ascii="Times New Roman" w:hAnsi="Times New Roman" w:cs="Times New Roman"/>
          <w:lang w:val="en-US"/>
        </w:rPr>
      </w:pPr>
      <w:r w:rsidRPr="005C337E">
        <w:rPr>
          <w:rFonts w:ascii="Times New Roman" w:hAnsi="Times New Roman" w:cs="Times New Roman"/>
          <w:lang w:val="en-US"/>
        </w:rPr>
        <w:t>The confirmation of cointegration provides the basis for estimating the long-run coefficients and the associated Error Correction Model (ECM). The estimated error correction coefficient was negative and statistically significant (β = -0.4265, p &lt; .001), indicating that approximately 42.65% of short-run deviations from the long-run equilibrium are corrected within each period. The subsequent long-run estimates therefore provide evidence on the direction and magnitude of the relationships between the selected macroeconomic variables and inward FDI in Kenya.</w:t>
      </w:r>
    </w:p>
    <w:p w14:paraId="1575BA4E" w14:textId="77777777" w:rsidR="000C6BC6" w:rsidRPr="005C337E" w:rsidRDefault="000C6BC6" w:rsidP="00583D0F">
      <w:pPr>
        <w:tabs>
          <w:tab w:val="left" w:pos="6375"/>
        </w:tabs>
        <w:jc w:val="both"/>
        <w:rPr>
          <w:rFonts w:ascii="Times New Roman" w:hAnsi="Times New Roman" w:cs="Times New Roman"/>
          <w:lang w:val="en-US"/>
        </w:rPr>
      </w:pPr>
    </w:p>
    <w:p w14:paraId="6078FCEE" w14:textId="77777777" w:rsidR="00452C0C" w:rsidRPr="005C337E" w:rsidRDefault="00452C0C" w:rsidP="00452C0C">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 xml:space="preserve">Table </w:t>
      </w:r>
      <w:r w:rsidR="00BD5A0A" w:rsidRPr="005C337E">
        <w:rPr>
          <w:rFonts w:ascii="Times New Roman" w:hAnsi="Times New Roman" w:cs="Times New Roman"/>
          <w:b/>
          <w:bCs/>
          <w:lang w:val="en-US"/>
        </w:rPr>
        <w:t>7</w:t>
      </w:r>
      <w:r w:rsidRPr="005C337E">
        <w:rPr>
          <w:rFonts w:ascii="Times New Roman" w:hAnsi="Times New Roman" w:cs="Times New Roman"/>
          <w:b/>
          <w:bCs/>
          <w:lang w:val="en-US"/>
        </w:rPr>
        <w:t>. ARDL Long-Run and Error Correction Model Estimation for Inward FDI</w:t>
      </w:r>
    </w:p>
    <w:p w14:paraId="1C8C11F3" w14:textId="77777777" w:rsidR="00452C0C" w:rsidRPr="005C337E" w:rsidRDefault="00452C0C" w:rsidP="00452C0C">
      <w:pPr>
        <w:tabs>
          <w:tab w:val="left" w:pos="6375"/>
        </w:tabs>
        <w:rPr>
          <w:rFonts w:ascii="Times New Roman" w:hAnsi="Times New Roman" w:cs="Times New Roman"/>
          <w:lang w:val="en-US"/>
        </w:rPr>
      </w:pPr>
      <w:r w:rsidRPr="005C337E">
        <w:rPr>
          <w:rFonts w:ascii="Times New Roman" w:hAnsi="Times New Roman" w:cs="Times New Roman"/>
          <w:b/>
          <w:bCs/>
          <w:lang w:val="en-US"/>
        </w:rPr>
        <w:t>Dependent Variable:</w:t>
      </w:r>
      <w:r w:rsidRPr="005C337E">
        <w:rPr>
          <w:rFonts w:ascii="Times New Roman" w:hAnsi="Times New Roman" w:cs="Times New Roman"/>
          <w:lang w:val="en-US"/>
        </w:rPr>
        <w:t xml:space="preserve"> </w:t>
      </w:r>
      <w:r w:rsidR="00E86E2A" w:rsidRPr="005C337E">
        <w:rPr>
          <w:rFonts w:ascii="Cambria Math" w:hAnsi="Cambria Math" w:cs="Times New Roman"/>
          <w:lang w:val="en-US"/>
        </w:rPr>
        <w:t>△</w:t>
      </w:r>
      <m:oMath>
        <m:r>
          <w:rPr>
            <w:rFonts w:ascii="Cambria Math" w:hAnsi="Cambria Math" w:cs="Times New Roman"/>
            <w:lang w:val="en-US"/>
          </w:rPr>
          <m:t>l</m:t>
        </m:r>
        <m:r>
          <m:rPr>
            <m:sty m:val="p"/>
          </m:rPr>
          <w:rPr>
            <w:rFonts w:ascii="Cambria Math" w:hAnsi="Cambria Math" w:cs="Times New Roman"/>
          </w:rPr>
          <m:t>nFDI</m:t>
        </m:r>
      </m:oMath>
      <w:r w:rsidRPr="005C337E">
        <w:rPr>
          <w:rFonts w:ascii="Times New Roman" w:eastAsiaTheme="minorEastAsia" w:hAnsi="Times New Roman" w:cs="Times New Roman"/>
        </w:rPr>
        <w:t xml:space="preserve"> </w:t>
      </w:r>
      <w:r w:rsidRPr="005C337E">
        <w:rPr>
          <w:rFonts w:ascii="Times New Roman" w:hAnsi="Times New Roman" w:cs="Times New Roman"/>
          <w:lang w:val="en-US"/>
        </w:rPr>
        <w:br/>
      </w:r>
      <w:r w:rsidRPr="005C337E">
        <w:rPr>
          <w:rFonts w:ascii="Times New Roman" w:hAnsi="Times New Roman" w:cs="Times New Roman"/>
          <w:b/>
          <w:bCs/>
          <w:lang w:val="en-US"/>
        </w:rPr>
        <w:t>Selected Lag Order:</w:t>
      </w:r>
      <w:r w:rsidRPr="005C337E">
        <w:rPr>
          <w:rFonts w:ascii="Times New Roman" w:hAnsi="Times New Roman" w:cs="Times New Roman"/>
          <w:lang w:val="en-US"/>
        </w:rPr>
        <w:t xml:space="preserve"> </w:t>
      </w:r>
      <m:oMath>
        <m:r>
          <w:rPr>
            <w:rFonts w:ascii="Cambria Math" w:hAnsi="Cambria Math" w:cs="Times New Roman"/>
            <w:lang w:val="en-US"/>
          </w:rPr>
          <m:t>ARDL</m:t>
        </m:r>
      </m:oMath>
      <w:r w:rsidRPr="005C337E">
        <w:rPr>
          <w:rFonts w:ascii="Times New Roman" w:hAnsi="Times New Roman" w:cs="Times New Roman"/>
          <w:lang w:val="en-US"/>
        </w:rPr>
        <w:t xml:space="preserve"> (1, 1, 0, 1, 0), based on AIC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26"/>
        <w:gridCol w:w="1518"/>
        <w:gridCol w:w="1453"/>
        <w:gridCol w:w="1367"/>
        <w:gridCol w:w="996"/>
      </w:tblGrid>
      <w:tr w:rsidR="00452C0C" w:rsidRPr="005C337E" w14:paraId="2A88B32A" w14:textId="77777777" w:rsidTr="000C6BC6">
        <w:tc>
          <w:tcPr>
            <w:tcW w:w="2151" w:type="pct"/>
            <w:tcBorders>
              <w:top w:val="single" w:sz="4" w:space="0" w:color="auto"/>
              <w:bottom w:val="single" w:sz="4" w:space="0" w:color="auto"/>
            </w:tcBorders>
            <w:hideMark/>
          </w:tcPr>
          <w:p w14:paraId="449968CD"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Variable</w:t>
            </w:r>
          </w:p>
        </w:tc>
        <w:tc>
          <w:tcPr>
            <w:tcW w:w="811" w:type="pct"/>
            <w:tcBorders>
              <w:top w:val="single" w:sz="4" w:space="0" w:color="auto"/>
              <w:bottom w:val="single" w:sz="4" w:space="0" w:color="auto"/>
            </w:tcBorders>
            <w:hideMark/>
          </w:tcPr>
          <w:p w14:paraId="4C564BED"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Coefficient</w:t>
            </w:r>
          </w:p>
        </w:tc>
        <w:tc>
          <w:tcPr>
            <w:tcW w:w="776" w:type="pct"/>
            <w:tcBorders>
              <w:top w:val="single" w:sz="4" w:space="0" w:color="auto"/>
              <w:bottom w:val="single" w:sz="4" w:space="0" w:color="auto"/>
            </w:tcBorders>
            <w:hideMark/>
          </w:tcPr>
          <w:p w14:paraId="25AB9991"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Std. Error</w:t>
            </w:r>
          </w:p>
        </w:tc>
        <w:tc>
          <w:tcPr>
            <w:tcW w:w="730" w:type="pct"/>
            <w:tcBorders>
              <w:top w:val="single" w:sz="4" w:space="0" w:color="auto"/>
              <w:bottom w:val="single" w:sz="4" w:space="0" w:color="auto"/>
            </w:tcBorders>
            <w:hideMark/>
          </w:tcPr>
          <w:p w14:paraId="432F1AAE"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t-Statistic</w:t>
            </w:r>
          </w:p>
        </w:tc>
        <w:tc>
          <w:tcPr>
            <w:tcW w:w="532" w:type="pct"/>
            <w:tcBorders>
              <w:top w:val="single" w:sz="4" w:space="0" w:color="auto"/>
              <w:bottom w:val="single" w:sz="4" w:space="0" w:color="auto"/>
            </w:tcBorders>
            <w:hideMark/>
          </w:tcPr>
          <w:p w14:paraId="011F583C" w14:textId="77777777" w:rsidR="00452C0C" w:rsidRPr="005C337E" w:rsidRDefault="00452C0C" w:rsidP="00452C0C">
            <w:pPr>
              <w:tabs>
                <w:tab w:val="left" w:pos="6375"/>
              </w:tabs>
              <w:spacing w:line="278" w:lineRule="auto"/>
              <w:jc w:val="both"/>
              <w:rPr>
                <w:rFonts w:ascii="Times New Roman" w:hAnsi="Times New Roman" w:cs="Times New Roman"/>
                <w:b/>
                <w:bCs/>
                <w:lang w:val="en-US"/>
              </w:rPr>
            </w:pPr>
            <w:r w:rsidRPr="005C337E">
              <w:rPr>
                <w:rFonts w:ascii="Times New Roman" w:hAnsi="Times New Roman" w:cs="Times New Roman"/>
                <w:b/>
                <w:bCs/>
                <w:lang w:val="en-US"/>
              </w:rPr>
              <w:t>Prob.</w:t>
            </w:r>
          </w:p>
        </w:tc>
      </w:tr>
      <w:tr w:rsidR="00452C0C" w:rsidRPr="005C337E" w14:paraId="47DFAF95" w14:textId="77777777" w:rsidTr="000C6BC6">
        <w:tc>
          <w:tcPr>
            <w:tcW w:w="2151" w:type="pct"/>
            <w:tcBorders>
              <w:top w:val="single" w:sz="4" w:space="0" w:color="auto"/>
            </w:tcBorders>
            <w:hideMark/>
          </w:tcPr>
          <w:p w14:paraId="594E230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Constant</w:t>
            </w:r>
          </w:p>
        </w:tc>
        <w:tc>
          <w:tcPr>
            <w:tcW w:w="811" w:type="pct"/>
            <w:tcBorders>
              <w:top w:val="single" w:sz="4" w:space="0" w:color="auto"/>
            </w:tcBorders>
            <w:hideMark/>
          </w:tcPr>
          <w:p w14:paraId="25A2C7E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-2.1450</w:t>
            </w:r>
          </w:p>
        </w:tc>
        <w:tc>
          <w:tcPr>
            <w:tcW w:w="776" w:type="pct"/>
            <w:tcBorders>
              <w:top w:val="single" w:sz="4" w:space="0" w:color="auto"/>
            </w:tcBorders>
            <w:hideMark/>
          </w:tcPr>
          <w:p w14:paraId="70DBD0EA"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0.8431</w:t>
            </w:r>
          </w:p>
        </w:tc>
        <w:tc>
          <w:tcPr>
            <w:tcW w:w="730" w:type="pct"/>
            <w:tcBorders>
              <w:top w:val="single" w:sz="4" w:space="0" w:color="auto"/>
            </w:tcBorders>
            <w:hideMark/>
          </w:tcPr>
          <w:p w14:paraId="3BEAA5B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-2.5442</w:t>
            </w:r>
          </w:p>
        </w:tc>
        <w:tc>
          <w:tcPr>
            <w:tcW w:w="532" w:type="pct"/>
            <w:tcBorders>
              <w:top w:val="single" w:sz="4" w:space="0" w:color="auto"/>
            </w:tcBorders>
            <w:hideMark/>
          </w:tcPr>
          <w:p w14:paraId="33E3DE9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0.0142</w:t>
            </w:r>
          </w:p>
        </w:tc>
      </w:tr>
      <w:tr w:rsidR="00452C0C" w:rsidRPr="005C337E" w14:paraId="2B40FFEC" w14:textId="77777777" w:rsidTr="000C6BC6">
        <w:tc>
          <w:tcPr>
            <w:tcW w:w="2151" w:type="pct"/>
            <w:hideMark/>
          </w:tcPr>
          <w:p w14:paraId="6B5FC7B6"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Economic Growth (</w:t>
            </w:r>
            <w:r w:rsidR="00E86E2A" w:rsidRPr="005C337E">
              <w:rPr>
                <w:rFonts w:ascii="Cambria Math" w:hAnsi="Cambria Math" w:cs="Times New Roman"/>
                <w:lang w:val="en-US"/>
              </w:rPr>
              <w:t>△</w:t>
            </w:r>
            <m:oMath>
              <m:r>
                <w:rPr>
                  <w:rFonts w:ascii="Cambria Math" w:hAnsi="Cambria Math" w:cs="Times New Roman"/>
                  <w:lang w:val="en-US"/>
                </w:rPr>
                <m:t>l</m:t>
              </m:r>
              <m:r>
                <m:rPr>
                  <m:sty m:val="p"/>
                </m:rPr>
                <w:rPr>
                  <w:rFonts w:ascii="Cambria Math" w:hAnsi="Cambria Math" w:cs="Times New Roman"/>
                </w:rPr>
                <m:t>n</m:t>
              </m:r>
              <m:r>
                <m:rPr>
                  <m:sty m:val="p"/>
                </m:rPr>
                <w:rPr>
                  <w:rFonts w:ascii="Cambria Math" w:hAnsi="Cambria Math" w:cs="Times New Roman"/>
                  <w:lang w:val="en-US"/>
                </w:rPr>
                <m:t>EG</m:t>
              </m:r>
            </m:oMath>
            <w:r w:rsidRPr="005C337E">
              <w:rPr>
                <w:rFonts w:ascii="Times New Roman" w:hAnsi="Times New Roman" w:cs="Times New Roman"/>
                <w:lang w:val="en-US"/>
              </w:rPr>
              <w:t>)</w:t>
            </w:r>
          </w:p>
        </w:tc>
        <w:tc>
          <w:tcPr>
            <w:tcW w:w="811" w:type="pct"/>
            <w:hideMark/>
          </w:tcPr>
          <w:p w14:paraId="547D702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0.6845</w:t>
            </w:r>
          </w:p>
        </w:tc>
        <w:tc>
          <w:tcPr>
            <w:tcW w:w="776" w:type="pct"/>
            <w:hideMark/>
          </w:tcPr>
          <w:p w14:paraId="6B4361C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0.1215</w:t>
            </w:r>
          </w:p>
        </w:tc>
        <w:tc>
          <w:tcPr>
            <w:tcW w:w="730" w:type="pct"/>
            <w:hideMark/>
          </w:tcPr>
          <w:p w14:paraId="1309F2B2"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5.6337</w:t>
            </w:r>
          </w:p>
        </w:tc>
        <w:tc>
          <w:tcPr>
            <w:tcW w:w="532" w:type="pct"/>
            <w:hideMark/>
          </w:tcPr>
          <w:p w14:paraId="7FB05886"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736E35CF" w14:textId="77777777" w:rsidTr="000C6BC6">
        <w:tc>
          <w:tcPr>
            <w:tcW w:w="2151" w:type="pct"/>
            <w:hideMark/>
          </w:tcPr>
          <w:p w14:paraId="77A6C24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Real Interest Rate (</w:t>
            </w:r>
            <m:oMath>
              <m:r>
                <w:rPr>
                  <w:rFonts w:ascii="Cambria Math" w:hAnsi="Cambria Math" w:cs="Times New Roman"/>
                  <w:lang w:val="en-US"/>
                </w:rPr>
                <m:t>l</m:t>
              </m:r>
              <m:r>
                <m:rPr>
                  <m:sty m:val="p"/>
                </m:rPr>
                <w:rPr>
                  <w:rFonts w:ascii="Cambria Math" w:hAnsi="Cambria Math" w:cs="Times New Roman"/>
                </w:rPr>
                <m:t>nIR</m:t>
              </m:r>
            </m:oMath>
            <w:r w:rsidRPr="005C337E">
              <w:rPr>
                <w:rFonts w:ascii="Times New Roman" w:hAnsi="Times New Roman" w:cs="Times New Roman"/>
                <w:lang w:val="en-US"/>
              </w:rPr>
              <w:t>)</w:t>
            </w:r>
          </w:p>
        </w:tc>
        <w:tc>
          <w:tcPr>
            <w:tcW w:w="811" w:type="pct"/>
            <w:hideMark/>
          </w:tcPr>
          <w:p w14:paraId="5378B4FA"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0.1872</w:t>
            </w:r>
          </w:p>
        </w:tc>
        <w:tc>
          <w:tcPr>
            <w:tcW w:w="776" w:type="pct"/>
            <w:hideMark/>
          </w:tcPr>
          <w:p w14:paraId="58C3ACD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0.0824</w:t>
            </w:r>
          </w:p>
        </w:tc>
        <w:tc>
          <w:tcPr>
            <w:tcW w:w="730" w:type="pct"/>
            <w:hideMark/>
          </w:tcPr>
          <w:p w14:paraId="65CB9684"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2.2718</w:t>
            </w:r>
          </w:p>
        </w:tc>
        <w:tc>
          <w:tcPr>
            <w:tcW w:w="532" w:type="pct"/>
            <w:hideMark/>
          </w:tcPr>
          <w:p w14:paraId="4E5A25F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0.0279</w:t>
            </w:r>
          </w:p>
        </w:tc>
      </w:tr>
      <w:tr w:rsidR="00452C0C" w:rsidRPr="005C337E" w14:paraId="114AA920" w14:textId="77777777" w:rsidTr="000C6BC6">
        <w:tc>
          <w:tcPr>
            <w:tcW w:w="2151" w:type="pct"/>
            <w:hideMark/>
          </w:tcPr>
          <w:p w14:paraId="66134D4B" w14:textId="77777777" w:rsidR="00452C0C" w:rsidRPr="005C337E" w:rsidRDefault="00452C0C" w:rsidP="00E86E2A">
            <w:pPr>
              <w:tabs>
                <w:tab w:val="left" w:pos="2640"/>
              </w:tabs>
              <w:spacing w:line="278" w:lineRule="auto"/>
              <w:jc w:val="both"/>
              <w:rPr>
                <w:rFonts w:ascii="Times New Roman" w:hAnsi="Times New Roman" w:cs="Times New Roman"/>
                <w:lang w:val="en-US"/>
              </w:rPr>
            </w:pPr>
            <w:r w:rsidRPr="005C337E">
              <w:rPr>
                <w:rFonts w:ascii="Times New Roman" w:hAnsi="Times New Roman" w:cs="Times New Roman"/>
                <w:lang w:val="en-US"/>
              </w:rPr>
              <w:t xml:space="preserve">Exchange Rate </w:t>
            </w:r>
            <w:r w:rsidR="000C6BC6" w:rsidRPr="005C337E">
              <w:rPr>
                <w:rFonts w:ascii="Times New Roman" w:hAnsi="Times New Roman" w:cs="Times New Roman"/>
                <w:lang w:val="en-US"/>
              </w:rPr>
              <w:t>(</w:t>
            </w:r>
            <m:oMath>
              <m:r>
                <w:rPr>
                  <w:rFonts w:ascii="Cambria Math" w:hAnsi="Cambria Math" w:cs="Times New Roman"/>
                  <w:lang w:val="en-US"/>
                </w:rPr>
                <m:t>l</m:t>
              </m:r>
              <m:r>
                <m:rPr>
                  <m:sty m:val="p"/>
                </m:rPr>
                <w:rPr>
                  <w:rFonts w:ascii="Cambria Math" w:hAnsi="Cambria Math" w:cs="Times New Roman"/>
                </w:rPr>
                <m:t>nER</m:t>
              </m:r>
            </m:oMath>
            <w:r w:rsidRPr="005C337E">
              <w:rPr>
                <w:rFonts w:ascii="Times New Roman" w:hAnsi="Times New Roman" w:cs="Times New Roman"/>
                <w:lang w:val="en-US"/>
              </w:rPr>
              <w:t>)</w:t>
            </w:r>
            <w:r w:rsidR="00E86E2A" w:rsidRPr="005C337E">
              <w:rPr>
                <w:rFonts w:ascii="Times New Roman" w:hAnsi="Times New Roman" w:cs="Times New Roman"/>
                <w:lang w:val="en-US"/>
              </w:rPr>
              <w:tab/>
              <w:t xml:space="preserve"> </w:t>
            </w:r>
          </w:p>
        </w:tc>
        <w:tc>
          <w:tcPr>
            <w:tcW w:w="811" w:type="pct"/>
            <w:hideMark/>
          </w:tcPr>
          <w:p w14:paraId="0D89234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0.1534</w:t>
            </w:r>
          </w:p>
        </w:tc>
        <w:tc>
          <w:tcPr>
            <w:tcW w:w="776" w:type="pct"/>
            <w:hideMark/>
          </w:tcPr>
          <w:p w14:paraId="611ACC8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0.0642</w:t>
            </w:r>
          </w:p>
        </w:tc>
        <w:tc>
          <w:tcPr>
            <w:tcW w:w="730" w:type="pct"/>
            <w:hideMark/>
          </w:tcPr>
          <w:p w14:paraId="5C26502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2.3894</w:t>
            </w:r>
          </w:p>
        </w:tc>
        <w:tc>
          <w:tcPr>
            <w:tcW w:w="532" w:type="pct"/>
            <w:hideMark/>
          </w:tcPr>
          <w:p w14:paraId="44DDEFF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0.0208</w:t>
            </w:r>
          </w:p>
        </w:tc>
      </w:tr>
      <w:tr w:rsidR="00452C0C" w:rsidRPr="005C337E" w14:paraId="01D517A4" w14:textId="77777777" w:rsidTr="000C6BC6">
        <w:tc>
          <w:tcPr>
            <w:tcW w:w="2151" w:type="pct"/>
            <w:hideMark/>
          </w:tcPr>
          <w:p w14:paraId="7846E96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Inflation (</w:t>
            </w:r>
            <m:oMath>
              <m:r>
                <w:rPr>
                  <w:rFonts w:ascii="Cambria Math" w:hAnsi="Cambria Math" w:cs="Times New Roman"/>
                  <w:lang w:val="en-US"/>
                </w:rPr>
                <m:t>l</m:t>
              </m:r>
              <m:r>
                <m:rPr>
                  <m:sty m:val="p"/>
                </m:rPr>
                <w:rPr>
                  <w:rFonts w:ascii="Cambria Math" w:hAnsi="Cambria Math" w:cs="Times New Roman"/>
                </w:rPr>
                <m:t>nINF</m:t>
              </m:r>
            </m:oMath>
            <w:r w:rsidRPr="005C337E">
              <w:rPr>
                <w:rFonts w:ascii="Times New Roman" w:hAnsi="Times New Roman" w:cs="Times New Roman"/>
                <w:lang w:val="en-US"/>
              </w:rPr>
              <w:t>)</w:t>
            </w:r>
            <w:r w:rsidR="00E86E2A" w:rsidRPr="005C337E">
              <w:rPr>
                <w:rFonts w:ascii="Times New Roman" w:hAnsi="Times New Roman" w:cs="Times New Roman"/>
                <w:lang w:val="en-US"/>
              </w:rPr>
              <w:t xml:space="preserve"> </w:t>
            </w:r>
          </w:p>
        </w:tc>
        <w:tc>
          <w:tcPr>
            <w:tcW w:w="811" w:type="pct"/>
            <w:hideMark/>
          </w:tcPr>
          <w:p w14:paraId="5375A1EF"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-0.2856</w:t>
            </w:r>
          </w:p>
        </w:tc>
        <w:tc>
          <w:tcPr>
            <w:tcW w:w="776" w:type="pct"/>
            <w:hideMark/>
          </w:tcPr>
          <w:p w14:paraId="62D23599"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0.1143</w:t>
            </w:r>
          </w:p>
        </w:tc>
        <w:tc>
          <w:tcPr>
            <w:tcW w:w="730" w:type="pct"/>
            <w:hideMark/>
          </w:tcPr>
          <w:p w14:paraId="355F1E60"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-2.4987</w:t>
            </w:r>
          </w:p>
        </w:tc>
        <w:tc>
          <w:tcPr>
            <w:tcW w:w="532" w:type="pct"/>
            <w:hideMark/>
          </w:tcPr>
          <w:p w14:paraId="1D1D2304"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0.0161</w:t>
            </w:r>
          </w:p>
        </w:tc>
      </w:tr>
      <w:tr w:rsidR="00452C0C" w:rsidRPr="005C337E" w14:paraId="064D615D" w14:textId="77777777" w:rsidTr="000C6BC6">
        <w:tc>
          <w:tcPr>
            <w:tcW w:w="2151" w:type="pct"/>
            <w:hideMark/>
          </w:tcPr>
          <w:p w14:paraId="66F8911E"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Structural Break Dummy (</w:t>
            </w:r>
            <m:oMath>
              <m:sSub>
                <m:sSubPr>
                  <m:ctrlPr>
                    <w:rPr>
                      <w:rFonts w:ascii="Cambria Math" w:hAnsi="Cambria Math" w:cs="Times New Roman"/>
                      <w:i/>
                    </w:rPr>
                  </m:ctrlPr>
                </m:sSubPr>
                <m:e>
                  <m:r>
                    <m:rPr>
                      <m:sty m:val="p"/>
                    </m:rPr>
                    <w:rPr>
                      <w:rFonts w:ascii="Cambria Math" w:hAnsi="Cambria Math" w:cs="Times New Roman"/>
                    </w:rPr>
                    <m:t>DUM</m:t>
                  </m:r>
                </m:e>
                <m:sub>
                  <m:r>
                    <w:rPr>
                      <w:rFonts w:ascii="Cambria Math" w:hAnsi="Cambria Math" w:cs="Times New Roman"/>
                    </w:rPr>
                    <m:t>1</m:t>
                  </m:r>
                </m:sub>
              </m:sSub>
            </m:oMath>
            <w:r w:rsidRPr="005C337E">
              <w:rPr>
                <w:rFonts w:ascii="Times New Roman" w:hAnsi="Times New Roman" w:cs="Times New Roman"/>
                <w:lang w:val="en-US"/>
              </w:rPr>
              <w:t>)</w:t>
            </w:r>
          </w:p>
        </w:tc>
        <w:tc>
          <w:tcPr>
            <w:tcW w:w="811" w:type="pct"/>
            <w:hideMark/>
          </w:tcPr>
          <w:p w14:paraId="68E421FC"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-0.5210</w:t>
            </w:r>
          </w:p>
        </w:tc>
        <w:tc>
          <w:tcPr>
            <w:tcW w:w="776" w:type="pct"/>
            <w:hideMark/>
          </w:tcPr>
          <w:p w14:paraId="12F8BB9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0.1895</w:t>
            </w:r>
          </w:p>
        </w:tc>
        <w:tc>
          <w:tcPr>
            <w:tcW w:w="730" w:type="pct"/>
            <w:hideMark/>
          </w:tcPr>
          <w:p w14:paraId="6B410058"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-2.7493</w:t>
            </w:r>
          </w:p>
        </w:tc>
        <w:tc>
          <w:tcPr>
            <w:tcW w:w="532" w:type="pct"/>
            <w:hideMark/>
          </w:tcPr>
          <w:p w14:paraId="37B7192B"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0.0084</w:t>
            </w:r>
          </w:p>
        </w:tc>
      </w:tr>
      <w:tr w:rsidR="00452C0C" w:rsidRPr="005C337E" w14:paraId="120855A0" w14:textId="77777777" w:rsidTr="000C6BC6">
        <w:tc>
          <w:tcPr>
            <w:tcW w:w="2151" w:type="pct"/>
            <w:tcBorders>
              <w:bottom w:val="single" w:sz="4" w:space="0" w:color="auto"/>
            </w:tcBorders>
            <w:hideMark/>
          </w:tcPr>
          <w:p w14:paraId="619CDEFC" w14:textId="77777777" w:rsidR="00452C0C" w:rsidRPr="005C337E" w:rsidRDefault="00000000" w:rsidP="00452C0C">
            <w:pPr>
              <w:tabs>
                <w:tab w:val="left" w:pos="6375"/>
              </w:tabs>
              <w:spacing w:line="278" w:lineRule="auto"/>
              <w:jc w:val="both"/>
              <w:rPr>
                <w:rFonts w:ascii="Times New Roman" w:hAnsi="Times New Roman" w:cs="Times New Roman"/>
                <w:lang w:val="en-US"/>
              </w:rPr>
            </w:pPr>
            <m:oMathPara>
              <m:oMathParaPr>
                <m:jc m:val="left"/>
              </m:oMathParaP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m:oMathPara>
          </w:p>
        </w:tc>
        <w:tc>
          <w:tcPr>
            <w:tcW w:w="811" w:type="pct"/>
            <w:tcBorders>
              <w:bottom w:val="single" w:sz="4" w:space="0" w:color="auto"/>
            </w:tcBorders>
            <w:hideMark/>
          </w:tcPr>
          <w:p w14:paraId="5A235E35"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-0.4265</w:t>
            </w:r>
          </w:p>
        </w:tc>
        <w:tc>
          <w:tcPr>
            <w:tcW w:w="776" w:type="pct"/>
            <w:tcBorders>
              <w:bottom w:val="single" w:sz="4" w:space="0" w:color="auto"/>
            </w:tcBorders>
            <w:hideMark/>
          </w:tcPr>
          <w:p w14:paraId="19E21057"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0.0912</w:t>
            </w:r>
          </w:p>
        </w:tc>
        <w:tc>
          <w:tcPr>
            <w:tcW w:w="730" w:type="pct"/>
            <w:tcBorders>
              <w:bottom w:val="single" w:sz="4" w:space="0" w:color="auto"/>
            </w:tcBorders>
            <w:hideMark/>
          </w:tcPr>
          <w:p w14:paraId="1099A177"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-4.6765</w:t>
            </w:r>
          </w:p>
        </w:tc>
        <w:tc>
          <w:tcPr>
            <w:tcW w:w="532" w:type="pct"/>
            <w:tcBorders>
              <w:bottom w:val="single" w:sz="4" w:space="0" w:color="auto"/>
            </w:tcBorders>
            <w:hideMark/>
          </w:tcPr>
          <w:p w14:paraId="70D40D1F" w14:textId="77777777" w:rsidR="00452C0C" w:rsidRPr="005C337E" w:rsidRDefault="00452C0C" w:rsidP="00452C0C">
            <w:pPr>
              <w:tabs>
                <w:tab w:val="left" w:pos="6375"/>
              </w:tabs>
              <w:spacing w:line="278" w:lineRule="auto"/>
              <w:jc w:val="both"/>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259F560C" w14:textId="77777777" w:rsidTr="000C6BC6">
        <w:tc>
          <w:tcPr>
            <w:tcW w:w="2151" w:type="pct"/>
            <w:tcBorders>
              <w:top w:val="single" w:sz="4" w:space="0" w:color="auto"/>
            </w:tcBorders>
            <w:hideMark/>
          </w:tcPr>
          <w:p w14:paraId="64C99C3C" w14:textId="77777777" w:rsidR="000C6BC6" w:rsidRPr="005C337E" w:rsidRDefault="000C6BC6" w:rsidP="00C82551">
            <w:pPr>
              <w:tabs>
                <w:tab w:val="left" w:pos="6375"/>
              </w:tabs>
              <w:spacing w:line="278" w:lineRule="auto"/>
              <w:rPr>
                <w:rFonts w:ascii="Times New Roman" w:hAnsi="Times New Roman" w:cs="Times New Roman"/>
                <w:lang w:val="en-US"/>
              </w:rPr>
            </w:pPr>
          </w:p>
          <w:p w14:paraId="257BA415"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R-squared</w:t>
            </w:r>
          </w:p>
        </w:tc>
        <w:tc>
          <w:tcPr>
            <w:tcW w:w="811" w:type="pct"/>
            <w:tcBorders>
              <w:top w:val="single" w:sz="4" w:space="0" w:color="auto"/>
            </w:tcBorders>
            <w:hideMark/>
          </w:tcPr>
          <w:p w14:paraId="13527DE4" w14:textId="77777777" w:rsidR="000C6BC6" w:rsidRPr="005C337E" w:rsidRDefault="000C6BC6" w:rsidP="00C82551">
            <w:pPr>
              <w:tabs>
                <w:tab w:val="left" w:pos="6375"/>
              </w:tabs>
              <w:spacing w:line="278" w:lineRule="auto"/>
              <w:rPr>
                <w:rFonts w:ascii="Times New Roman" w:hAnsi="Times New Roman" w:cs="Times New Roman"/>
                <w:lang w:val="en-US"/>
              </w:rPr>
            </w:pPr>
          </w:p>
          <w:p w14:paraId="5EB45983"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.7435</w:t>
            </w:r>
          </w:p>
        </w:tc>
        <w:tc>
          <w:tcPr>
            <w:tcW w:w="776" w:type="pct"/>
            <w:tcBorders>
              <w:top w:val="single" w:sz="4" w:space="0" w:color="auto"/>
            </w:tcBorders>
            <w:hideMark/>
          </w:tcPr>
          <w:p w14:paraId="47DACD95"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tcBorders>
              <w:top w:val="single" w:sz="4" w:space="0" w:color="auto"/>
            </w:tcBorders>
            <w:hideMark/>
          </w:tcPr>
          <w:p w14:paraId="300DA28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tcBorders>
              <w:top w:val="single" w:sz="4" w:space="0" w:color="auto"/>
            </w:tcBorders>
            <w:hideMark/>
          </w:tcPr>
          <w:p w14:paraId="1621B166"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10977A5D" w14:textId="77777777" w:rsidTr="000C6BC6">
        <w:tc>
          <w:tcPr>
            <w:tcW w:w="2151" w:type="pct"/>
            <w:hideMark/>
          </w:tcPr>
          <w:p w14:paraId="6CB4C27A"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lastRenderedPageBreak/>
              <w:t>Adjusted R-squared</w:t>
            </w:r>
          </w:p>
        </w:tc>
        <w:tc>
          <w:tcPr>
            <w:tcW w:w="811" w:type="pct"/>
            <w:hideMark/>
          </w:tcPr>
          <w:p w14:paraId="6D95C465"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0.7102</w:t>
            </w:r>
          </w:p>
        </w:tc>
        <w:tc>
          <w:tcPr>
            <w:tcW w:w="776" w:type="pct"/>
            <w:hideMark/>
          </w:tcPr>
          <w:p w14:paraId="259C3D1F"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5E18D6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68FB6D28"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22D23D01" w14:textId="77777777" w:rsidTr="000C6BC6">
        <w:tc>
          <w:tcPr>
            <w:tcW w:w="2151" w:type="pct"/>
            <w:hideMark/>
          </w:tcPr>
          <w:p w14:paraId="1E3E0BAB"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F-statistic</w:t>
            </w:r>
          </w:p>
        </w:tc>
        <w:tc>
          <w:tcPr>
            <w:tcW w:w="811" w:type="pct"/>
            <w:hideMark/>
          </w:tcPr>
          <w:p w14:paraId="4D525658"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22.2841</w:t>
            </w:r>
          </w:p>
        </w:tc>
        <w:tc>
          <w:tcPr>
            <w:tcW w:w="776" w:type="pct"/>
            <w:hideMark/>
          </w:tcPr>
          <w:p w14:paraId="6AC742C9"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95A0A88"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0E530ACE"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0.0000</w:t>
            </w:r>
          </w:p>
        </w:tc>
      </w:tr>
      <w:tr w:rsidR="00452C0C" w:rsidRPr="005C337E" w14:paraId="0164F013" w14:textId="77777777" w:rsidTr="000C6BC6">
        <w:tc>
          <w:tcPr>
            <w:tcW w:w="2151" w:type="pct"/>
            <w:hideMark/>
          </w:tcPr>
          <w:p w14:paraId="767B23BB"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Durbin-Watson statistic</w:t>
            </w:r>
          </w:p>
        </w:tc>
        <w:tc>
          <w:tcPr>
            <w:tcW w:w="811" w:type="pct"/>
            <w:hideMark/>
          </w:tcPr>
          <w:p w14:paraId="6D16AB00"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1.9450</w:t>
            </w:r>
          </w:p>
        </w:tc>
        <w:tc>
          <w:tcPr>
            <w:tcW w:w="776" w:type="pct"/>
            <w:hideMark/>
          </w:tcPr>
          <w:p w14:paraId="19AB18C3"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53E1AAC2"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1360BDFB" w14:textId="77777777" w:rsidR="00452C0C" w:rsidRPr="005C337E" w:rsidRDefault="00452C0C" w:rsidP="00C82551">
            <w:pPr>
              <w:tabs>
                <w:tab w:val="left" w:pos="6375"/>
              </w:tabs>
              <w:spacing w:line="278" w:lineRule="auto"/>
              <w:rPr>
                <w:rFonts w:ascii="Times New Roman" w:hAnsi="Times New Roman" w:cs="Times New Roman"/>
                <w:lang w:val="en-US"/>
              </w:rPr>
            </w:pPr>
          </w:p>
        </w:tc>
      </w:tr>
      <w:tr w:rsidR="00452C0C" w:rsidRPr="005C337E" w14:paraId="3314883C" w14:textId="77777777" w:rsidTr="000C6BC6">
        <w:tc>
          <w:tcPr>
            <w:tcW w:w="2151" w:type="pct"/>
            <w:hideMark/>
          </w:tcPr>
          <w:p w14:paraId="185AAA9F"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Breusch-Pagan LM test p-value</w:t>
            </w:r>
          </w:p>
        </w:tc>
        <w:tc>
          <w:tcPr>
            <w:tcW w:w="811" w:type="pct"/>
            <w:hideMark/>
          </w:tcPr>
          <w:p w14:paraId="6950658F" w14:textId="77777777" w:rsidR="00452C0C" w:rsidRPr="005C337E" w:rsidRDefault="00452C0C" w:rsidP="00C82551">
            <w:pPr>
              <w:tabs>
                <w:tab w:val="left" w:pos="6375"/>
              </w:tabs>
              <w:spacing w:line="278" w:lineRule="auto"/>
              <w:rPr>
                <w:rFonts w:ascii="Times New Roman" w:hAnsi="Times New Roman" w:cs="Times New Roman"/>
                <w:lang w:val="en-US"/>
              </w:rPr>
            </w:pPr>
            <w:r w:rsidRPr="005C337E">
              <w:rPr>
                <w:rFonts w:ascii="Times New Roman" w:hAnsi="Times New Roman" w:cs="Times New Roman"/>
                <w:lang w:val="en-US"/>
              </w:rPr>
              <w:t>0.4120</w:t>
            </w:r>
          </w:p>
        </w:tc>
        <w:tc>
          <w:tcPr>
            <w:tcW w:w="776" w:type="pct"/>
            <w:hideMark/>
          </w:tcPr>
          <w:p w14:paraId="4C551573"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730" w:type="pct"/>
            <w:hideMark/>
          </w:tcPr>
          <w:p w14:paraId="7724AD8C" w14:textId="77777777" w:rsidR="00452C0C" w:rsidRPr="005C337E" w:rsidRDefault="00452C0C" w:rsidP="00C82551">
            <w:pPr>
              <w:tabs>
                <w:tab w:val="left" w:pos="6375"/>
              </w:tabs>
              <w:spacing w:line="278" w:lineRule="auto"/>
              <w:rPr>
                <w:rFonts w:ascii="Times New Roman" w:hAnsi="Times New Roman" w:cs="Times New Roman"/>
                <w:lang w:val="en-US"/>
              </w:rPr>
            </w:pPr>
          </w:p>
        </w:tc>
        <w:tc>
          <w:tcPr>
            <w:tcW w:w="532" w:type="pct"/>
            <w:hideMark/>
          </w:tcPr>
          <w:p w14:paraId="5522CCB8" w14:textId="77777777" w:rsidR="00452C0C" w:rsidRPr="005C337E" w:rsidRDefault="00452C0C" w:rsidP="00C82551">
            <w:pPr>
              <w:tabs>
                <w:tab w:val="left" w:pos="6375"/>
              </w:tabs>
              <w:spacing w:line="278" w:lineRule="auto"/>
              <w:rPr>
                <w:rFonts w:ascii="Times New Roman" w:hAnsi="Times New Roman" w:cs="Times New Roman"/>
                <w:lang w:val="en-US"/>
              </w:rPr>
            </w:pPr>
          </w:p>
        </w:tc>
      </w:tr>
    </w:tbl>
    <w:p w14:paraId="35BB3406" w14:textId="77777777" w:rsidR="00452C0C" w:rsidRPr="005C337E" w:rsidRDefault="00452C0C" w:rsidP="00114B0A">
      <w:pPr>
        <w:tabs>
          <w:tab w:val="left" w:pos="6375"/>
        </w:tabs>
        <w:rPr>
          <w:rFonts w:ascii="Times New Roman" w:hAnsi="Times New Roman" w:cs="Times New Roman"/>
          <w:lang w:val="en-US"/>
        </w:rPr>
      </w:pPr>
      <w:r w:rsidRPr="005C337E">
        <w:rPr>
          <w:rFonts w:ascii="Times New Roman" w:hAnsi="Times New Roman" w:cs="Times New Roman"/>
          <w:b/>
          <w:bCs/>
          <w:lang w:val="en-US"/>
        </w:rPr>
        <w:t>Note:</w:t>
      </w:r>
      <w:r w:rsidRPr="005C337E">
        <w:rPr>
          <w:rFonts w:ascii="Times New Roman" w:hAnsi="Times New Roman" w:cs="Times New Roman"/>
          <w:lang w:val="en-US"/>
        </w:rPr>
        <w:t xml:space="preserve"> Δ denotes first difference.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xml:space="preserve"> denotes the lagged error-correction term. AIC denotes the Akaike Information Criterion. Statistical significance is assessed at the 5% level.</w:t>
      </w:r>
    </w:p>
    <w:p w14:paraId="69C795EE" w14:textId="77777777" w:rsidR="003F0E64" w:rsidRPr="005C337E" w:rsidRDefault="003F0E64" w:rsidP="002A0F7C">
      <w:pPr>
        <w:tabs>
          <w:tab w:val="left" w:pos="6375"/>
        </w:tabs>
        <w:spacing w:after="0"/>
        <w:jc w:val="both"/>
        <w:rPr>
          <w:rFonts w:ascii="Times New Roman" w:hAnsi="Times New Roman" w:cs="Times New Roman"/>
          <w:b/>
          <w:bCs/>
        </w:rPr>
      </w:pPr>
    </w:p>
    <w:p w14:paraId="28CFBDCE" w14:textId="77777777" w:rsidR="003F0E64" w:rsidRPr="005C337E" w:rsidRDefault="003F0E64" w:rsidP="003F0E6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4.8.1 Long-Run Relationship Analysis</w:t>
      </w:r>
    </w:p>
    <w:p w14:paraId="44B1425B"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long-run coefficient estimates indicate that economic growth, real interest rates, and exchange rates exert a positive and statistically significant impact on inward FDI flows to Kenya, whereas inflation and exogenous structural shocks exercise a statistically significant negative effect. Among the macroeconomic determinants, economic growth exhibited the largest positive influence on inward FDI (</w:t>
      </w:r>
      <w:r w:rsidR="00114B0A" w:rsidRPr="005C337E">
        <w:rPr>
          <w:rFonts w:ascii="Times New Roman" w:hAnsi="Times New Roman" w:cs="Times New Roman"/>
          <w:lang w:val="en-US"/>
        </w:rPr>
        <w:t>β</w:t>
      </w:r>
      <w:r w:rsidRPr="005C337E">
        <w:rPr>
          <w:rFonts w:ascii="Times New Roman" w:hAnsi="Times New Roman" w:cs="Times New Roman"/>
          <w:lang w:val="en-US"/>
        </w:rPr>
        <w:t xml:space="preserve"> = 0.6845, t = 5.6337, p &lt; .001). Specifically, a 1% increase in economic growth is associated with a 0.685% expansion in inward FDI, reflecting market-seeking FDI </w:t>
      </w:r>
      <w:r w:rsidRPr="005C337E">
        <w:rPr>
          <w:rFonts w:ascii="Times New Roman" w:hAnsi="Times New Roman" w:cs="Times New Roman"/>
          <w:highlight w:val="yellow"/>
          <w:lang w:val="en-US"/>
        </w:rPr>
        <w:t>behaviour</w:t>
      </w:r>
      <w:r w:rsidRPr="005C337E">
        <w:rPr>
          <w:rFonts w:ascii="Times New Roman" w:hAnsi="Times New Roman" w:cs="Times New Roman"/>
          <w:lang w:val="en-US"/>
        </w:rPr>
        <w:t xml:space="preserve"> where an expanding domestic market size stimulates foreign capital inflows.</w:t>
      </w:r>
    </w:p>
    <w:p w14:paraId="5F4B7193" w14:textId="77777777" w:rsidR="00114B0A" w:rsidRPr="005C337E" w:rsidRDefault="00114B0A" w:rsidP="003F0E64">
      <w:pPr>
        <w:tabs>
          <w:tab w:val="left" w:pos="6375"/>
        </w:tabs>
        <w:spacing w:after="0"/>
        <w:jc w:val="both"/>
        <w:rPr>
          <w:rFonts w:ascii="Times New Roman" w:hAnsi="Times New Roman" w:cs="Times New Roman"/>
          <w:lang w:val="en-US"/>
        </w:rPr>
      </w:pPr>
    </w:p>
    <w:p w14:paraId="6C511068"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real interest rate maintained a positive and statistically significant long-run relationship with foreign investment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0.1872, t = 2.2718, p = .0279). This outcome suggests that higher real yields attract financial capital and efficiency-seeking investments by improving return expectations on deployed capital. Similarly, the exchange rate yielded a positive coefficient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0.1534, t = 2.3894, p = .0208), indicating that currency depreciation enhances the purchasing power of foreign investors, thereby making local asset acquisitions more cost-effective.</w:t>
      </w:r>
    </w:p>
    <w:p w14:paraId="7CEF5738" w14:textId="77777777" w:rsidR="00114B0A" w:rsidRPr="005C337E" w:rsidRDefault="00114B0A" w:rsidP="003F0E64">
      <w:pPr>
        <w:tabs>
          <w:tab w:val="left" w:pos="6375"/>
        </w:tabs>
        <w:spacing w:after="0"/>
        <w:jc w:val="both"/>
        <w:rPr>
          <w:rFonts w:ascii="Times New Roman" w:hAnsi="Times New Roman" w:cs="Times New Roman"/>
          <w:lang w:val="en-US"/>
        </w:rPr>
      </w:pPr>
    </w:p>
    <w:p w14:paraId="04F1FFDA"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Conversely, inflation recorded a negative and statistically significant long-run impact on inward FDI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-0.2856, t = -2.4987, p = .0161). High inflation signals underlying macroeconomic volatility and erodes investment returns, which acts as a deterrent to foreign investors. Finally, the structural break dummy showed a statistically significant negative coefficient (</w:t>
      </w:r>
      <w:r w:rsidR="00114B0A" w:rsidRPr="005C337E">
        <w:rPr>
          <w:rFonts w:ascii="Times New Roman" w:hAnsi="Times New Roman" w:cs="Times New Roman"/>
          <w:lang w:val="en-US"/>
        </w:rPr>
        <w:t xml:space="preserve">β </w:t>
      </w:r>
      <w:r w:rsidRPr="005C337E">
        <w:rPr>
          <w:rFonts w:ascii="Times New Roman" w:hAnsi="Times New Roman" w:cs="Times New Roman"/>
          <w:lang w:val="en-US"/>
        </w:rPr>
        <w:t>= -0.5210, t = -2.7493, p = .0084), confirming that macro-institutional disruptions or policy shocks adversely impact foreign capital inflows over the long run.</w:t>
      </w:r>
    </w:p>
    <w:p w14:paraId="52F0EF17" w14:textId="77777777" w:rsidR="003F0E64" w:rsidRPr="005C337E" w:rsidRDefault="003F0E64" w:rsidP="003F0E64">
      <w:pPr>
        <w:tabs>
          <w:tab w:val="left" w:pos="6375"/>
        </w:tabs>
        <w:spacing w:after="0"/>
        <w:jc w:val="both"/>
        <w:rPr>
          <w:rFonts w:ascii="Times New Roman" w:hAnsi="Times New Roman" w:cs="Times New Roman"/>
          <w:lang w:val="en-US"/>
        </w:rPr>
      </w:pPr>
    </w:p>
    <w:p w14:paraId="0011153C" w14:textId="77777777" w:rsidR="003F0E64" w:rsidRPr="005C337E" w:rsidRDefault="003F0E64" w:rsidP="003F0E6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4.8.2 Short-Run Dynamics, Error Correction Term, and Model Diagnostics</w:t>
      </w:r>
    </w:p>
    <w:p w14:paraId="2A68440A"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short-run dynamics and adjustment properties of the system are governed by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114B0A" w:rsidRPr="005C337E">
        <w:rPr>
          <w:rFonts w:ascii="Times New Roman" w:hAnsi="Times New Roman" w:cs="Times New Roman"/>
          <w:lang w:val="en-US"/>
        </w:rPr>
        <w:t xml:space="preserve">). </w:t>
      </w:r>
      <w:r w:rsidRPr="005C337E">
        <w:rPr>
          <w:rFonts w:ascii="Times New Roman" w:hAnsi="Times New Roman" w:cs="Times New Roman"/>
          <w:lang w:val="en-US"/>
        </w:rPr>
        <w:t>The estimated coefficient of</w:t>
      </w:r>
      <w:r w:rsidR="00114B0A" w:rsidRPr="005C337E">
        <w:rPr>
          <w:rFonts w:ascii="Times New Roman" w:hAnsi="Times New Roman" w:cs="Times New Roman"/>
          <w:lang w:val="en-US"/>
        </w:rPr>
        <w:t xml:space="preserve">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00114B0A" w:rsidRPr="005C337E">
        <w:rPr>
          <w:rFonts w:ascii="Times New Roman" w:hAnsi="Times New Roman" w:cs="Times New Roman"/>
          <w:lang w:val="en-US"/>
        </w:rPr>
        <w:t xml:space="preserve"> </w:t>
      </w:r>
      <w:r w:rsidRPr="005C337E">
        <w:rPr>
          <w:rFonts w:ascii="Times New Roman" w:hAnsi="Times New Roman" w:cs="Times New Roman"/>
          <w:lang w:val="en-US"/>
        </w:rPr>
        <w:t>is -0.4265 (t = -4.6765, p &lt; .001), which is negative and statistically significant at the 1% level. This confirms the stability of the system and validates the cointegration results. Mechanistically, a parameter of -0.4265 indicates that approximately 42.65% of short-run disequilibria resulting from external macroeconomic shocks are corrected back toward the long-run equilibrium path within each period.</w:t>
      </w:r>
    </w:p>
    <w:p w14:paraId="7D06F1AC" w14:textId="77777777" w:rsidR="00114B0A" w:rsidRPr="005C337E" w:rsidRDefault="00114B0A" w:rsidP="003F0E64">
      <w:pPr>
        <w:tabs>
          <w:tab w:val="left" w:pos="6375"/>
        </w:tabs>
        <w:spacing w:after="0"/>
        <w:jc w:val="both"/>
        <w:rPr>
          <w:rFonts w:ascii="Times New Roman" w:hAnsi="Times New Roman" w:cs="Times New Roman"/>
          <w:lang w:val="en-US"/>
        </w:rPr>
      </w:pPr>
    </w:p>
    <w:p w14:paraId="0E724A40" w14:textId="77777777" w:rsidR="003F0E64" w:rsidRPr="005C337E" w:rsidRDefault="003F0E64" w:rsidP="003F0E64">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Overall, the model demonstrates strong diagnostic performance and goodness of fit. The coefficient of determination (</w:t>
      </w:r>
      <w:r w:rsidR="005D58D5" w:rsidRPr="005C337E">
        <w:rPr>
          <w:rFonts w:ascii="Times New Roman" w:hAnsi="Times New Roman" w:cs="Times New Roman"/>
          <w:lang w:val="en-US"/>
        </w:rPr>
        <w:t>R</w:t>
      </w:r>
      <w:r w:rsidR="005D58D5"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0.7435) indicates that approximately 74.35% of the total </w:t>
      </w:r>
      <w:r w:rsidRPr="005C337E">
        <w:rPr>
          <w:rFonts w:ascii="Times New Roman" w:hAnsi="Times New Roman" w:cs="Times New Roman"/>
          <w:lang w:val="en-US"/>
        </w:rPr>
        <w:lastRenderedPageBreak/>
        <w:t xml:space="preserve">variance in inward FDI is explained by the joint variation of the independent variables, supported by an Adjusted </w:t>
      </w:r>
      <w:r w:rsidR="005D58D5" w:rsidRPr="005C337E">
        <w:rPr>
          <w:rFonts w:ascii="Times New Roman" w:hAnsi="Times New Roman" w:cs="Times New Roman"/>
          <w:lang w:val="en-US"/>
        </w:rPr>
        <w:t>R</w:t>
      </w:r>
      <w:r w:rsidR="005D58D5" w:rsidRPr="005C337E">
        <w:rPr>
          <w:rFonts w:ascii="Times New Roman" w:hAnsi="Times New Roman" w:cs="Times New Roman"/>
          <w:vertAlign w:val="superscript"/>
          <w:lang w:val="en-US"/>
        </w:rPr>
        <w:t xml:space="preserve">2 </w:t>
      </w:r>
      <w:r w:rsidRPr="005C337E">
        <w:rPr>
          <w:rFonts w:ascii="Times New Roman" w:hAnsi="Times New Roman" w:cs="Times New Roman"/>
          <w:lang w:val="en-US"/>
        </w:rPr>
        <w:t xml:space="preserve">of 0.7102. The overall regression model is statistically significant, </w:t>
      </w:r>
      <w:r w:rsidR="005D58D5" w:rsidRPr="005C337E">
        <w:rPr>
          <w:rFonts w:ascii="Times New Roman" w:hAnsi="Times New Roman" w:cs="Times New Roman"/>
          <w:lang w:val="en-US"/>
        </w:rPr>
        <w:t>F (</w:t>
      </w:r>
      <w:r w:rsidRPr="005C337E">
        <w:rPr>
          <w:rFonts w:ascii="Times New Roman" w:hAnsi="Times New Roman" w:cs="Times New Roman"/>
          <w:lang w:val="en-US"/>
        </w:rPr>
        <w:t>5, N) = 22.2841, p &lt; .001. Furthermore, the Durbin-Watson statistic of 1.9450 indicates the absence of severe first-order serial correlation, while the Breusch-Pagan LM test (p = 0.4120) confirms homoskedasticity in the residuals, validating the statistical robustness of the estimated parameters.</w:t>
      </w:r>
    </w:p>
    <w:p w14:paraId="519728FB" w14:textId="77777777" w:rsidR="003F0E64" w:rsidRPr="005C337E" w:rsidRDefault="003F0E64" w:rsidP="002A0F7C">
      <w:pPr>
        <w:tabs>
          <w:tab w:val="left" w:pos="6375"/>
        </w:tabs>
        <w:spacing w:after="0"/>
        <w:jc w:val="both"/>
        <w:rPr>
          <w:rFonts w:ascii="Times New Roman" w:hAnsi="Times New Roman" w:cs="Times New Roman"/>
          <w:b/>
          <w:bCs/>
        </w:rPr>
      </w:pPr>
    </w:p>
    <w:p w14:paraId="2F0BF3B6" w14:textId="77777777" w:rsidR="000D45EE" w:rsidRPr="005C337E" w:rsidRDefault="000D45EE" w:rsidP="000D45EE">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4.8.3 Discussion of Findings, Hypothesis Testing, and Literature Alignment</w:t>
      </w:r>
    </w:p>
    <w:p w14:paraId="78914E60" w14:textId="77777777" w:rsidR="000D45EE" w:rsidRPr="005C337E" w:rsidRDefault="000D45EE" w:rsidP="00B652FD">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To evaluate the empirical claims against existing empirical literature, the specific impact of each macroeconomic variable, its corresponding hypothesis testing outcome, and alignment with prior studies are detailed below:</w:t>
      </w:r>
    </w:p>
    <w:p w14:paraId="7978C117" w14:textId="77777777" w:rsidR="000D45EE" w:rsidRPr="005C337E" w:rsidRDefault="000D45EE" w:rsidP="000D45EE">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Economic Growth and FDI:</w:t>
      </w:r>
      <w:r w:rsidRPr="005C337E">
        <w:rPr>
          <w:rFonts w:ascii="Times New Roman" w:hAnsi="Times New Roman" w:cs="Times New Roman"/>
          <w:lang w:val="en-US"/>
        </w:rPr>
        <w:t xml:space="preserve"> Economic growth had a positive and statistically significant long-run effect on foreign direct investment (β = 0.6845, p &lt; .001). The study therefore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economic growth has no statistically significant effect on FDI in Kenya. The result confirms that expansion in real output drives market-seeking investment. This finding is consistent with GuechHeang and Moolio (2013), who identified a long-run relationship between GDP and FDI in Cambodia, and Nosheen (2013), who documented a strong positive linkage in Pakistan. However, it contrasts with Ciesielska and Kołtuniak (2017), who reported divergent dynamics concerning FDI and growth in Poland.</w:t>
      </w:r>
    </w:p>
    <w:p w14:paraId="28949840" w14:textId="77777777" w:rsidR="000D45EE" w:rsidRPr="005C337E" w:rsidRDefault="000D45EE" w:rsidP="000D45EE">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Real Interest Rate and FDI:</w:t>
      </w:r>
      <w:r w:rsidRPr="005C337E">
        <w:rPr>
          <w:rFonts w:ascii="Times New Roman" w:hAnsi="Times New Roman" w:cs="Times New Roman"/>
          <w:lang w:val="en-US"/>
        </w:rPr>
        <w:t xml:space="preserve"> The estimated long-run coefficient for the real interest rate was 0.1872 (p = .0279), demonstrating a statistically significant positive relationship at the 5% level.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real interest rates have no statistically significant effect on FDI in Kenya. This implies that higher real returns attract capital by boosting expected profitability. This result supports Kiplagat (2016), who similarly established a positive relationship between interest rates and FDI in Kenya, but contrasts with Siddiqui and Aumeboonsuke (2014), who observed an inverse relationship across Thailand, Indonesia, and Malaysia.</w:t>
      </w:r>
      <w:r w:rsidR="00B652FD" w:rsidRPr="005C337E">
        <w:rPr>
          <w:rFonts w:ascii="Times New Roman" w:hAnsi="Times New Roman" w:cs="Times New Roman"/>
          <w:lang w:val="en-US"/>
        </w:rPr>
        <w:t xml:space="preserve"> </w:t>
      </w:r>
    </w:p>
    <w:p w14:paraId="67A1A3B1" w14:textId="77777777" w:rsidR="000D45EE" w:rsidRPr="005C337E" w:rsidRDefault="000D45EE" w:rsidP="00B652FD">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Exchange Rate and FDI:</w:t>
      </w:r>
      <w:r w:rsidRPr="005C337E">
        <w:rPr>
          <w:rFonts w:ascii="Times New Roman" w:hAnsi="Times New Roman" w:cs="Times New Roman"/>
          <w:lang w:val="en-US"/>
        </w:rPr>
        <w:t xml:space="preserve"> The exchange rate maintained a statistically significant positive long-run coefficient (</w:t>
      </w:r>
      <w:r w:rsidR="00B652FD" w:rsidRPr="005C337E">
        <w:rPr>
          <w:rFonts w:ascii="Times New Roman" w:hAnsi="Times New Roman" w:cs="Times New Roman"/>
          <w:lang w:val="en-US"/>
        </w:rPr>
        <w:t>β</w:t>
      </w:r>
      <w:r w:rsidRPr="005C337E">
        <w:rPr>
          <w:rFonts w:ascii="Times New Roman" w:hAnsi="Times New Roman" w:cs="Times New Roman"/>
          <w:lang w:val="en-US"/>
        </w:rPr>
        <w:t xml:space="preserve"> = 0.1534, p = .0208). Consequently,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exchange rates have no statistically significant effect on FDI in Kenya. This finding suggests that domestic currency depreciation lowers asset acquisition costs for foreign investors. This is consistent with the broader evidence of Goldberg and Kolstad (1995) that exchange-rate conditions affect FDI decisions, but stands in contrast to Sharifi-Renani and Mirfatah (2012), who reported a negative relationship in Iran.</w:t>
      </w:r>
    </w:p>
    <w:p w14:paraId="3F11B257" w14:textId="77777777" w:rsidR="00924497" w:rsidRPr="005C337E" w:rsidRDefault="000D45EE" w:rsidP="002A0F7C">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Inflation and FDI:</w:t>
      </w:r>
      <w:r w:rsidRPr="005C337E">
        <w:rPr>
          <w:rFonts w:ascii="Times New Roman" w:hAnsi="Times New Roman" w:cs="Times New Roman"/>
          <w:lang w:val="en-US"/>
        </w:rPr>
        <w:t xml:space="preserve"> Inflation exhibited a negative and statistically significant long-run relationship with FDI (</w:t>
      </w:r>
      <w:r w:rsidR="00B652FD" w:rsidRPr="005C337E">
        <w:rPr>
          <w:rFonts w:ascii="Times New Roman" w:hAnsi="Times New Roman" w:cs="Times New Roman"/>
          <w:lang w:val="en-US"/>
        </w:rPr>
        <w:t>β</w:t>
      </w:r>
      <w:r w:rsidRPr="005C337E">
        <w:rPr>
          <w:rFonts w:ascii="Times New Roman" w:hAnsi="Times New Roman" w:cs="Times New Roman"/>
          <w:lang w:val="en-US"/>
        </w:rPr>
        <w:t xml:space="preserve"> = -0.2856, p = .0161). The study rejected the null hypothesis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that inflation has no statistically significant effect on FDI in Kenya. High inflation reflects macroeconomic instability and erodes real asset values, thereby discouraging foreign capital inflows. This finding is consistent with Xaypanya et al. (2015), who reported that inflation hindered FDI in ASEAN economies, and Nduati (2018), who observed a similar negative relationship in Kenya.</w:t>
      </w:r>
    </w:p>
    <w:p w14:paraId="24F382CF" w14:textId="77777777" w:rsidR="00A73FFC" w:rsidRPr="005C337E" w:rsidRDefault="00A73FFC" w:rsidP="00A73FFC">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lastRenderedPageBreak/>
        <w:t>4.9 Diagnostic Checking and Model Stability</w:t>
      </w:r>
    </w:p>
    <w:p w14:paraId="2CEDF274" w14:textId="77777777" w:rsidR="00A73FFC" w:rsidRPr="005C337E" w:rsidRDefault="00A73FFC" w:rsidP="00A73FFC">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To evaluate the statistical adequacy and robustness of the estimated ARDL (1, 1, 0, 1, 0) specification, a comprehensive suite of post-estimation diagnostic tests was conducted (</w:t>
      </w:r>
      <w:r w:rsidRPr="005C337E">
        <w:rPr>
          <w:rFonts w:ascii="Times New Roman" w:hAnsi="Times New Roman" w:cs="Times New Roman"/>
          <w:highlight w:val="yellow"/>
          <w:lang w:val="en-US"/>
        </w:rPr>
        <w:t>Table 8</w:t>
      </w:r>
      <w:r w:rsidRPr="005C337E">
        <w:rPr>
          <w:rFonts w:ascii="Times New Roman" w:hAnsi="Times New Roman" w:cs="Times New Roman"/>
          <w:lang w:val="en-US"/>
        </w:rPr>
        <w:t>). The Breusch-Godfrey LM test for higher-order serial correlation yielded an F-statistic of 1.342 (p = 0.2720), indicating that the null hypothesis of no serial correlation cannot be rejected. The ARCH test for autoregressive conditional heteroskedasticity produced an F-statistic of 0.815 (p = 0.3710), confirming that the error variances are homoscedastic. Residual normality was verified using the Jarque-Bera test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p = 0.5760), while the Ramsey RESET test yielded an F-statistic of 0.489 (p = 0.4880), indicating no evidence of functional form misspecification. Additionally, the CUSUM and CUSUMSQ tests indicated that the model parameters remained strictly within the 5% critical bounds, confirming the structural stability of the estimated coefficients over the study period.</w:t>
      </w:r>
    </w:p>
    <w:p w14:paraId="3F7B08E8" w14:textId="77777777" w:rsidR="00881722" w:rsidRPr="005C337E" w:rsidRDefault="00881722" w:rsidP="00924497">
      <w:pPr>
        <w:tabs>
          <w:tab w:val="left" w:pos="6375"/>
        </w:tabs>
        <w:jc w:val="both"/>
        <w:rPr>
          <w:rFonts w:ascii="Times New Roman" w:hAnsi="Times New Roman" w:cs="Times New Roman"/>
          <w:lang w:val="en-US"/>
        </w:rPr>
      </w:pPr>
    </w:p>
    <w:p w14:paraId="6E119208" w14:textId="77777777" w:rsidR="004F6F9F" w:rsidRPr="005C337E" w:rsidRDefault="00A73FFC" w:rsidP="00022648">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rPr>
        <w:t xml:space="preserve">Table </w:t>
      </w:r>
      <w:r w:rsidR="00BD5A0A" w:rsidRPr="005C337E">
        <w:rPr>
          <w:rFonts w:ascii="Times New Roman" w:hAnsi="Times New Roman" w:cs="Times New Roman"/>
          <w:b/>
          <w:bCs/>
        </w:rPr>
        <w:t>8</w:t>
      </w:r>
      <w:r w:rsidRPr="005C337E">
        <w:rPr>
          <w:rFonts w:ascii="Times New Roman" w:hAnsi="Times New Roman" w:cs="Times New Roman"/>
          <w:b/>
          <w:bCs/>
        </w:rPr>
        <w:t>: ARDL Model Post-Estimation Diagnostic Tests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2457"/>
        <w:gridCol w:w="1583"/>
        <w:gridCol w:w="852"/>
        <w:gridCol w:w="2750"/>
      </w:tblGrid>
      <w:tr w:rsidR="004F6F9F" w:rsidRPr="005C337E" w14:paraId="03218134" w14:textId="77777777" w:rsidTr="00F27419">
        <w:tc>
          <w:tcPr>
            <w:tcW w:w="0" w:type="auto"/>
            <w:tcBorders>
              <w:top w:val="single" w:sz="4" w:space="0" w:color="auto"/>
              <w:bottom w:val="single" w:sz="4" w:space="0" w:color="auto"/>
            </w:tcBorders>
            <w:hideMark/>
          </w:tcPr>
          <w:p w14:paraId="331C305F"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Diagnostic Test</w:t>
            </w:r>
          </w:p>
        </w:tc>
        <w:tc>
          <w:tcPr>
            <w:tcW w:w="0" w:type="auto"/>
            <w:tcBorders>
              <w:top w:val="single" w:sz="4" w:space="0" w:color="auto"/>
              <w:bottom w:val="single" w:sz="4" w:space="0" w:color="auto"/>
            </w:tcBorders>
            <w:hideMark/>
          </w:tcPr>
          <w:p w14:paraId="5B7882E7"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Null Hypothesis (H0​)</w:t>
            </w:r>
          </w:p>
        </w:tc>
        <w:tc>
          <w:tcPr>
            <w:tcW w:w="0" w:type="auto"/>
            <w:tcBorders>
              <w:top w:val="single" w:sz="4" w:space="0" w:color="auto"/>
              <w:bottom w:val="single" w:sz="4" w:space="0" w:color="auto"/>
            </w:tcBorders>
            <w:hideMark/>
          </w:tcPr>
          <w:p w14:paraId="3942C251"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 xml:space="preserve">Test Statistic (F / </w:t>
            </w:r>
            <m:oMath>
              <m:sSup>
                <m:sSupPr>
                  <m:ctrlPr>
                    <w:rPr>
                      <w:rFonts w:ascii="Cambria Math" w:hAnsi="Cambria Math" w:cs="Times New Roman"/>
                      <w:b/>
                      <w:bCs/>
                      <w:i/>
                      <w:lang w:val="en-US"/>
                    </w:rPr>
                  </m:ctrlPr>
                </m:sSupPr>
                <m:e>
                  <m:r>
                    <m:rPr>
                      <m:sty m:val="bi"/>
                    </m:rPr>
                    <w:rPr>
                      <w:rFonts w:ascii="Cambria Math" w:hAnsi="Cambria Math" w:cs="Times New Roman"/>
                      <w:lang w:val="en-US"/>
                    </w:rPr>
                    <m:t>χ</m:t>
                  </m:r>
                </m:e>
                <m:sup>
                  <m:r>
                    <m:rPr>
                      <m:sty m:val="bi"/>
                    </m:rPr>
                    <w:rPr>
                      <w:rFonts w:ascii="Cambria Math" w:hAnsi="Cambria Math" w:cs="Times New Roman"/>
                      <w:lang w:val="en-US"/>
                    </w:rPr>
                    <m:t>2</m:t>
                  </m:r>
                </m:sup>
              </m:sSup>
            </m:oMath>
            <w:r w:rsidRPr="005C337E">
              <w:rPr>
                <w:rFonts w:ascii="Times New Roman" w:hAnsi="Times New Roman" w:cs="Times New Roman"/>
                <w:b/>
                <w:bCs/>
                <w:lang w:val="en-US"/>
              </w:rPr>
              <w:t>)</w:t>
            </w:r>
          </w:p>
        </w:tc>
        <w:tc>
          <w:tcPr>
            <w:tcW w:w="0" w:type="auto"/>
            <w:tcBorders>
              <w:top w:val="single" w:sz="4" w:space="0" w:color="auto"/>
              <w:bottom w:val="single" w:sz="4" w:space="0" w:color="auto"/>
            </w:tcBorders>
            <w:hideMark/>
          </w:tcPr>
          <w:p w14:paraId="51257491"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p-value</w:t>
            </w:r>
          </w:p>
        </w:tc>
        <w:tc>
          <w:tcPr>
            <w:tcW w:w="0" w:type="auto"/>
            <w:tcBorders>
              <w:top w:val="single" w:sz="4" w:space="0" w:color="auto"/>
              <w:bottom w:val="single" w:sz="4" w:space="0" w:color="auto"/>
            </w:tcBorders>
            <w:hideMark/>
          </w:tcPr>
          <w:p w14:paraId="24F5C208" w14:textId="77777777" w:rsidR="004F6F9F" w:rsidRPr="005C337E" w:rsidRDefault="004F6F9F" w:rsidP="004F6F9F">
            <w:pPr>
              <w:tabs>
                <w:tab w:val="left" w:pos="6375"/>
              </w:tabs>
              <w:jc w:val="both"/>
              <w:rPr>
                <w:rFonts w:ascii="Times New Roman" w:hAnsi="Times New Roman" w:cs="Times New Roman"/>
                <w:b/>
                <w:bCs/>
                <w:lang w:val="en-US"/>
              </w:rPr>
            </w:pPr>
            <w:r w:rsidRPr="005C337E">
              <w:rPr>
                <w:rFonts w:ascii="Times New Roman" w:hAnsi="Times New Roman" w:cs="Times New Roman"/>
                <w:b/>
                <w:bCs/>
                <w:lang w:val="en-US"/>
              </w:rPr>
              <w:t>Decision / Conclusion</w:t>
            </w:r>
          </w:p>
        </w:tc>
      </w:tr>
      <w:tr w:rsidR="004F6F9F" w:rsidRPr="005C337E" w14:paraId="3B9A6D9C" w14:textId="77777777" w:rsidTr="00F27419">
        <w:tc>
          <w:tcPr>
            <w:tcW w:w="0" w:type="auto"/>
            <w:tcBorders>
              <w:top w:val="single" w:sz="4" w:space="0" w:color="auto"/>
            </w:tcBorders>
            <w:hideMark/>
          </w:tcPr>
          <w:p w14:paraId="376668A1"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Breusch-Godfrey LM</w:t>
            </w:r>
          </w:p>
        </w:tc>
        <w:tc>
          <w:tcPr>
            <w:tcW w:w="0" w:type="auto"/>
            <w:tcBorders>
              <w:top w:val="single" w:sz="4" w:space="0" w:color="auto"/>
            </w:tcBorders>
            <w:hideMark/>
          </w:tcPr>
          <w:p w14:paraId="6EC8BFE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No serial correlation</w:t>
            </w:r>
          </w:p>
        </w:tc>
        <w:tc>
          <w:tcPr>
            <w:tcW w:w="0" w:type="auto"/>
            <w:tcBorders>
              <w:top w:val="single" w:sz="4" w:space="0" w:color="auto"/>
            </w:tcBorders>
            <w:hideMark/>
          </w:tcPr>
          <w:p w14:paraId="2677FD55"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(2, 42) = 1.342</w:t>
            </w:r>
          </w:p>
        </w:tc>
        <w:tc>
          <w:tcPr>
            <w:tcW w:w="0" w:type="auto"/>
            <w:tcBorders>
              <w:top w:val="single" w:sz="4" w:space="0" w:color="auto"/>
            </w:tcBorders>
            <w:hideMark/>
          </w:tcPr>
          <w:p w14:paraId="643E60B2"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0.272</w:t>
            </w:r>
          </w:p>
        </w:tc>
        <w:tc>
          <w:tcPr>
            <w:tcW w:w="0" w:type="auto"/>
            <w:tcBorders>
              <w:top w:val="single" w:sz="4" w:space="0" w:color="auto"/>
            </w:tcBorders>
            <w:hideMark/>
          </w:tcPr>
          <w:p w14:paraId="48107D0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autocorrelation)</w:t>
            </w:r>
          </w:p>
        </w:tc>
      </w:tr>
      <w:tr w:rsidR="004F6F9F" w:rsidRPr="005C337E" w14:paraId="7DD8CDD7" w14:textId="77777777" w:rsidTr="00F27419">
        <w:tc>
          <w:tcPr>
            <w:tcW w:w="0" w:type="auto"/>
            <w:hideMark/>
          </w:tcPr>
          <w:p w14:paraId="2E6BC640"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ARCH Test</w:t>
            </w:r>
          </w:p>
        </w:tc>
        <w:tc>
          <w:tcPr>
            <w:tcW w:w="0" w:type="auto"/>
            <w:hideMark/>
          </w:tcPr>
          <w:p w14:paraId="77A1512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Homoskedasticity</w:t>
            </w:r>
          </w:p>
        </w:tc>
        <w:tc>
          <w:tcPr>
            <w:tcW w:w="0" w:type="auto"/>
            <w:hideMark/>
          </w:tcPr>
          <w:p w14:paraId="02B31F1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(1, 48) = 0.815</w:t>
            </w:r>
          </w:p>
        </w:tc>
        <w:tc>
          <w:tcPr>
            <w:tcW w:w="0" w:type="auto"/>
            <w:hideMark/>
          </w:tcPr>
          <w:p w14:paraId="2CBC4145"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0.371</w:t>
            </w:r>
          </w:p>
        </w:tc>
        <w:tc>
          <w:tcPr>
            <w:tcW w:w="0" w:type="auto"/>
            <w:hideMark/>
          </w:tcPr>
          <w:p w14:paraId="4D20C95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ARCH effects)</w:t>
            </w:r>
          </w:p>
        </w:tc>
      </w:tr>
      <w:tr w:rsidR="004F6F9F" w:rsidRPr="005C337E" w14:paraId="3F464980" w14:textId="77777777" w:rsidTr="00F27419">
        <w:tc>
          <w:tcPr>
            <w:tcW w:w="0" w:type="auto"/>
            <w:hideMark/>
          </w:tcPr>
          <w:p w14:paraId="015DBD00"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Jarque-Bera</w:t>
            </w:r>
          </w:p>
        </w:tc>
        <w:tc>
          <w:tcPr>
            <w:tcW w:w="0" w:type="auto"/>
            <w:hideMark/>
          </w:tcPr>
          <w:p w14:paraId="04286146"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Residuals normally distributed</w:t>
            </w:r>
          </w:p>
        </w:tc>
        <w:tc>
          <w:tcPr>
            <w:tcW w:w="0" w:type="auto"/>
            <w:hideMark/>
          </w:tcPr>
          <w:p w14:paraId="1C287DB8" w14:textId="77777777" w:rsidR="004F6F9F" w:rsidRPr="005C337E" w:rsidRDefault="00000000" w:rsidP="004F6F9F">
            <w:pPr>
              <w:tabs>
                <w:tab w:val="left" w:pos="6375"/>
              </w:tabs>
              <w:jc w:val="both"/>
              <w:rPr>
                <w:rFonts w:ascii="Times New Roman" w:hAnsi="Times New Roman" w:cs="Times New Roman"/>
                <w:lang w:val="en-US"/>
              </w:rPr>
            </w:pP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004F6F9F" w:rsidRPr="005C337E">
              <w:rPr>
                <w:rFonts w:ascii="Times New Roman" w:hAnsi="Times New Roman" w:cs="Times New Roman"/>
                <w:lang w:val="en-US"/>
              </w:rPr>
              <w:t>) (2) = 1.104</w:t>
            </w:r>
          </w:p>
        </w:tc>
        <w:tc>
          <w:tcPr>
            <w:tcW w:w="0" w:type="auto"/>
            <w:hideMark/>
          </w:tcPr>
          <w:p w14:paraId="586BBF29"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0.576</w:t>
            </w:r>
          </w:p>
        </w:tc>
        <w:tc>
          <w:tcPr>
            <w:tcW w:w="0" w:type="auto"/>
            <w:hideMark/>
          </w:tcPr>
          <w:p w14:paraId="3891751A"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(Residuals are normal)</w:t>
            </w:r>
          </w:p>
        </w:tc>
      </w:tr>
      <w:tr w:rsidR="004F6F9F" w:rsidRPr="005C337E" w14:paraId="22D5B21E" w14:textId="77777777" w:rsidTr="00F27419">
        <w:tc>
          <w:tcPr>
            <w:tcW w:w="0" w:type="auto"/>
            <w:hideMark/>
          </w:tcPr>
          <w:p w14:paraId="067E924A"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Ramsey RESET</w:t>
            </w:r>
          </w:p>
        </w:tc>
        <w:tc>
          <w:tcPr>
            <w:tcW w:w="0" w:type="auto"/>
            <w:hideMark/>
          </w:tcPr>
          <w:p w14:paraId="40BECBBE"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Model correctly specified</w:t>
            </w:r>
          </w:p>
        </w:tc>
        <w:tc>
          <w:tcPr>
            <w:tcW w:w="0" w:type="auto"/>
            <w:hideMark/>
          </w:tcPr>
          <w:p w14:paraId="729B0DF7"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F (1, 43) = 0.489</w:t>
            </w:r>
          </w:p>
        </w:tc>
        <w:tc>
          <w:tcPr>
            <w:tcW w:w="0" w:type="auto"/>
            <w:hideMark/>
          </w:tcPr>
          <w:p w14:paraId="4173A3AF"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0.488</w:t>
            </w:r>
          </w:p>
        </w:tc>
        <w:tc>
          <w:tcPr>
            <w:tcW w:w="0" w:type="auto"/>
            <w:hideMark/>
          </w:tcPr>
          <w:p w14:paraId="0C5B3A3B" w14:textId="77777777" w:rsidR="004F6F9F" w:rsidRPr="005C337E" w:rsidRDefault="004F6F9F" w:rsidP="004F6F9F">
            <w:pPr>
              <w:tabs>
                <w:tab w:val="left" w:pos="6375"/>
              </w:tabs>
              <w:jc w:val="both"/>
              <w:rPr>
                <w:rFonts w:ascii="Times New Roman" w:hAnsi="Times New Roman" w:cs="Times New Roman"/>
                <w:lang w:val="en-US"/>
              </w:rPr>
            </w:pPr>
            <w:r w:rsidRPr="005C337E">
              <w:rPr>
                <w:rFonts w:ascii="Times New Roman" w:hAnsi="Times New Roman" w:cs="Times New Roman"/>
                <w:lang w:val="en-US"/>
              </w:rPr>
              <w:t xml:space="preserve">Fail to reject </w:t>
            </w:r>
            <m:oMath>
              <m:sSub>
                <m:sSubPr>
                  <m:ctrlPr>
                    <w:rPr>
                      <w:rFonts w:ascii="Cambria Math" w:hAnsi="Cambria Math" w:cs="Times New Roman"/>
                      <w:i/>
                      <w:lang w:val="en-US"/>
                    </w:rPr>
                  </m:ctrlPr>
                </m:sSubPr>
                <m:e>
                  <m:r>
                    <w:rPr>
                      <w:rFonts w:ascii="Cambria Math" w:hAnsi="Cambria Math" w:cs="Times New Roman"/>
                      <w:lang w:val="en-US"/>
                    </w:rPr>
                    <m:t>H</m:t>
                  </m:r>
                </m:e>
                <m:sub>
                  <m:r>
                    <w:rPr>
                      <w:rFonts w:ascii="Cambria Math" w:hAnsi="Cambria Math" w:cs="Times New Roman"/>
                      <w:lang w:val="en-US"/>
                    </w:rPr>
                    <m:t>0</m:t>
                  </m:r>
                </m:sub>
              </m:sSub>
            </m:oMath>
            <w:r w:rsidRPr="005C337E">
              <w:rPr>
                <w:rFonts w:ascii="Times New Roman" w:hAnsi="Times New Roman" w:cs="Times New Roman"/>
                <w:lang w:val="en-US"/>
              </w:rPr>
              <w:t xml:space="preserve">  (No specification error) </w:t>
            </w:r>
          </w:p>
        </w:tc>
      </w:tr>
    </w:tbl>
    <w:p w14:paraId="7B1EE3B7" w14:textId="77777777" w:rsidR="00924497" w:rsidRPr="005C337E" w:rsidRDefault="00924497" w:rsidP="002A0F7C">
      <w:pPr>
        <w:tabs>
          <w:tab w:val="left" w:pos="6375"/>
        </w:tabs>
        <w:jc w:val="both"/>
        <w:rPr>
          <w:rFonts w:ascii="Times New Roman" w:hAnsi="Times New Roman" w:cs="Times New Roman"/>
          <w:lang w:val="en-US"/>
        </w:rPr>
      </w:pPr>
    </w:p>
    <w:p w14:paraId="6B12D3DF" w14:textId="77777777" w:rsidR="00BB631A" w:rsidRPr="005C337E" w:rsidRDefault="007B3574" w:rsidP="007B3574">
      <w:pPr>
        <w:tabs>
          <w:tab w:val="left" w:pos="6375"/>
        </w:tabs>
        <w:spacing w:after="0"/>
        <w:jc w:val="both"/>
        <w:rPr>
          <w:rFonts w:ascii="Times New Roman" w:hAnsi="Times New Roman" w:cs="Times New Roman"/>
          <w:b/>
          <w:bCs/>
        </w:rPr>
      </w:pPr>
      <w:r w:rsidRPr="005C337E">
        <w:rPr>
          <w:rFonts w:ascii="Times New Roman" w:hAnsi="Times New Roman" w:cs="Times New Roman"/>
          <w:b/>
          <w:bCs/>
        </w:rPr>
        <w:t>4.</w:t>
      </w:r>
      <w:r w:rsidR="00102FFB" w:rsidRPr="005C337E">
        <w:rPr>
          <w:rFonts w:ascii="Times New Roman" w:hAnsi="Times New Roman" w:cs="Times New Roman"/>
          <w:b/>
          <w:bCs/>
        </w:rPr>
        <w:t>10</w:t>
      </w:r>
      <w:r w:rsidRPr="005C337E">
        <w:rPr>
          <w:rFonts w:ascii="Times New Roman" w:hAnsi="Times New Roman" w:cs="Times New Roman"/>
          <w:b/>
          <w:bCs/>
        </w:rPr>
        <w:t xml:space="preserve"> Summary of Findings for Paper </w:t>
      </w:r>
    </w:p>
    <w:p w14:paraId="4C56FD89" w14:textId="77777777" w:rsidR="00AD6A7B" w:rsidRPr="005C337E" w:rsidRDefault="00AD6A7B" w:rsidP="007B3574">
      <w:pPr>
        <w:tabs>
          <w:tab w:val="left" w:pos="6375"/>
        </w:tabs>
        <w:spacing w:after="0"/>
        <w:jc w:val="both"/>
        <w:rPr>
          <w:rFonts w:ascii="Times New Roman" w:hAnsi="Times New Roman" w:cs="Times New Roman"/>
          <w:b/>
          <w:bCs/>
        </w:rPr>
      </w:pPr>
    </w:p>
    <w:p w14:paraId="40493D6C" w14:textId="77777777" w:rsidR="0092283E" w:rsidRPr="005C337E" w:rsidRDefault="0092283E" w:rsidP="0092283E">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 xml:space="preserve">Table </w:t>
      </w:r>
      <w:r w:rsidR="00BD5A0A" w:rsidRPr="005C337E">
        <w:rPr>
          <w:rFonts w:ascii="Times New Roman" w:hAnsi="Times New Roman" w:cs="Times New Roman"/>
          <w:b/>
          <w:bCs/>
          <w:lang w:val="en-US"/>
        </w:rPr>
        <w:t>9</w:t>
      </w:r>
      <w:r w:rsidRPr="005C337E">
        <w:rPr>
          <w:rFonts w:ascii="Times New Roman" w:hAnsi="Times New Roman" w:cs="Times New Roman"/>
          <w:b/>
          <w:bCs/>
          <w:lang w:val="en-US"/>
        </w:rPr>
        <w:t>: Revised Hypotheses Decisions Matrix</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4"/>
        <w:gridCol w:w="1913"/>
        <w:gridCol w:w="1717"/>
        <w:gridCol w:w="1621"/>
        <w:gridCol w:w="2085"/>
      </w:tblGrid>
      <w:tr w:rsidR="0092283E" w:rsidRPr="005C337E" w14:paraId="7461F64B" w14:textId="77777777" w:rsidTr="0092283E">
        <w:tc>
          <w:tcPr>
            <w:tcW w:w="1081" w:type="pct"/>
            <w:tcBorders>
              <w:top w:val="single" w:sz="4" w:space="0" w:color="auto"/>
              <w:bottom w:val="single" w:sz="4" w:space="0" w:color="auto"/>
            </w:tcBorders>
            <w:hideMark/>
          </w:tcPr>
          <w:p w14:paraId="54C62B1B"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Explanatory Variable</w:t>
            </w:r>
          </w:p>
        </w:tc>
        <w:tc>
          <w:tcPr>
            <w:tcW w:w="1022" w:type="pct"/>
            <w:tcBorders>
              <w:top w:val="single" w:sz="4" w:space="0" w:color="auto"/>
              <w:bottom w:val="single" w:sz="4" w:space="0" w:color="auto"/>
            </w:tcBorders>
            <w:hideMark/>
          </w:tcPr>
          <w:p w14:paraId="5170809A"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Elasticity Coefficient</w:t>
            </w:r>
          </w:p>
        </w:tc>
        <w:tc>
          <w:tcPr>
            <w:tcW w:w="917" w:type="pct"/>
            <w:tcBorders>
              <w:top w:val="single" w:sz="4" w:space="0" w:color="auto"/>
              <w:bottom w:val="single" w:sz="4" w:space="0" w:color="auto"/>
            </w:tcBorders>
            <w:hideMark/>
          </w:tcPr>
          <w:p w14:paraId="64026CF5"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Corrected p-value</w:t>
            </w:r>
          </w:p>
        </w:tc>
        <w:tc>
          <w:tcPr>
            <w:tcW w:w="866" w:type="pct"/>
            <w:tcBorders>
              <w:top w:val="single" w:sz="4" w:space="0" w:color="auto"/>
              <w:bottom w:val="single" w:sz="4" w:space="0" w:color="auto"/>
            </w:tcBorders>
            <w:hideMark/>
          </w:tcPr>
          <w:p w14:paraId="4C1AEB1D"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Impact Direction</w:t>
            </w:r>
          </w:p>
        </w:tc>
        <w:tc>
          <w:tcPr>
            <w:tcW w:w="1114" w:type="pct"/>
            <w:tcBorders>
              <w:top w:val="single" w:sz="4" w:space="0" w:color="auto"/>
              <w:bottom w:val="single" w:sz="4" w:space="0" w:color="auto"/>
            </w:tcBorders>
            <w:hideMark/>
          </w:tcPr>
          <w:p w14:paraId="3FBA97E5"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Empirical Decision</w:t>
            </w:r>
          </w:p>
        </w:tc>
      </w:tr>
      <w:tr w:rsidR="0092283E" w:rsidRPr="005C337E" w14:paraId="3CBACECB" w14:textId="77777777" w:rsidTr="0092283E">
        <w:tc>
          <w:tcPr>
            <w:tcW w:w="1081" w:type="pct"/>
            <w:tcBorders>
              <w:top w:val="single" w:sz="4" w:space="0" w:color="auto"/>
            </w:tcBorders>
            <w:hideMark/>
          </w:tcPr>
          <w:p w14:paraId="6D328DBC"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Real Interest Rate</w:t>
            </w:r>
          </w:p>
        </w:tc>
        <w:tc>
          <w:tcPr>
            <w:tcW w:w="1022" w:type="pct"/>
            <w:tcBorders>
              <w:top w:val="single" w:sz="4" w:space="0" w:color="auto"/>
            </w:tcBorders>
            <w:hideMark/>
          </w:tcPr>
          <w:p w14:paraId="4774541E"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0.1872</w:t>
            </w:r>
          </w:p>
        </w:tc>
        <w:tc>
          <w:tcPr>
            <w:tcW w:w="917" w:type="pct"/>
            <w:tcBorders>
              <w:top w:val="single" w:sz="4" w:space="0" w:color="auto"/>
            </w:tcBorders>
            <w:hideMark/>
          </w:tcPr>
          <w:p w14:paraId="54CBCF4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0.0279</w:t>
            </w:r>
          </w:p>
        </w:tc>
        <w:tc>
          <w:tcPr>
            <w:tcW w:w="866" w:type="pct"/>
            <w:tcBorders>
              <w:top w:val="single" w:sz="4" w:space="0" w:color="auto"/>
            </w:tcBorders>
            <w:hideMark/>
          </w:tcPr>
          <w:p w14:paraId="29DAA79D"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tcBorders>
              <w:top w:val="single" w:sz="4" w:space="0" w:color="auto"/>
            </w:tcBorders>
            <w:hideMark/>
          </w:tcPr>
          <w:p w14:paraId="445CF1F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090C8F64" w14:textId="77777777" w:rsidTr="0092283E">
        <w:tc>
          <w:tcPr>
            <w:tcW w:w="1081" w:type="pct"/>
            <w:hideMark/>
          </w:tcPr>
          <w:p w14:paraId="659C2194"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Inflation Rate</w:t>
            </w:r>
          </w:p>
        </w:tc>
        <w:tc>
          <w:tcPr>
            <w:tcW w:w="1022" w:type="pct"/>
            <w:hideMark/>
          </w:tcPr>
          <w:p w14:paraId="31C110D2"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-0.2856</w:t>
            </w:r>
          </w:p>
        </w:tc>
        <w:tc>
          <w:tcPr>
            <w:tcW w:w="917" w:type="pct"/>
            <w:hideMark/>
          </w:tcPr>
          <w:p w14:paraId="56AF0AE6"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0.0161</w:t>
            </w:r>
          </w:p>
        </w:tc>
        <w:tc>
          <w:tcPr>
            <w:tcW w:w="866" w:type="pct"/>
            <w:hideMark/>
          </w:tcPr>
          <w:p w14:paraId="144205C1"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Negative</w:t>
            </w:r>
          </w:p>
        </w:tc>
        <w:tc>
          <w:tcPr>
            <w:tcW w:w="1114" w:type="pct"/>
            <w:hideMark/>
          </w:tcPr>
          <w:p w14:paraId="43E37BAE"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7AE6FB7C" w14:textId="77777777" w:rsidTr="0092283E">
        <w:tc>
          <w:tcPr>
            <w:tcW w:w="1081" w:type="pct"/>
            <w:hideMark/>
          </w:tcPr>
          <w:p w14:paraId="41E5A64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Economic Growth</w:t>
            </w:r>
          </w:p>
        </w:tc>
        <w:tc>
          <w:tcPr>
            <w:tcW w:w="1022" w:type="pct"/>
            <w:hideMark/>
          </w:tcPr>
          <w:p w14:paraId="2227C490"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0.6845</w:t>
            </w:r>
          </w:p>
        </w:tc>
        <w:tc>
          <w:tcPr>
            <w:tcW w:w="917" w:type="pct"/>
            <w:hideMark/>
          </w:tcPr>
          <w:p w14:paraId="6AAC7D96"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0.0000</w:t>
            </w:r>
          </w:p>
        </w:tc>
        <w:tc>
          <w:tcPr>
            <w:tcW w:w="866" w:type="pct"/>
            <w:hideMark/>
          </w:tcPr>
          <w:p w14:paraId="765AC2F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hideMark/>
          </w:tcPr>
          <w:p w14:paraId="12F5CDDB"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r w:rsidR="0092283E" w:rsidRPr="005C337E" w14:paraId="054175A8" w14:textId="77777777" w:rsidTr="0092283E">
        <w:tc>
          <w:tcPr>
            <w:tcW w:w="1081" w:type="pct"/>
            <w:hideMark/>
          </w:tcPr>
          <w:p w14:paraId="0A4AB558"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Exchange Rate</w:t>
            </w:r>
          </w:p>
        </w:tc>
        <w:tc>
          <w:tcPr>
            <w:tcW w:w="1022" w:type="pct"/>
            <w:hideMark/>
          </w:tcPr>
          <w:p w14:paraId="6F1B96A8"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0.1534</w:t>
            </w:r>
          </w:p>
        </w:tc>
        <w:tc>
          <w:tcPr>
            <w:tcW w:w="917" w:type="pct"/>
            <w:hideMark/>
          </w:tcPr>
          <w:p w14:paraId="106F92E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0.0208</w:t>
            </w:r>
          </w:p>
        </w:tc>
        <w:tc>
          <w:tcPr>
            <w:tcW w:w="866" w:type="pct"/>
            <w:hideMark/>
          </w:tcPr>
          <w:p w14:paraId="2362B8A7"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Positive</w:t>
            </w:r>
          </w:p>
        </w:tc>
        <w:tc>
          <w:tcPr>
            <w:tcW w:w="1114" w:type="pct"/>
            <w:hideMark/>
          </w:tcPr>
          <w:p w14:paraId="1D529C43" w14:textId="77777777" w:rsidR="0092283E" w:rsidRPr="005C337E" w:rsidRDefault="0092283E" w:rsidP="0092283E">
            <w:pPr>
              <w:tabs>
                <w:tab w:val="left" w:pos="6375"/>
              </w:tabs>
              <w:jc w:val="both"/>
              <w:rPr>
                <w:rFonts w:ascii="Times New Roman" w:hAnsi="Times New Roman" w:cs="Times New Roman"/>
                <w:lang w:val="en-US"/>
              </w:rPr>
            </w:pPr>
            <w:r w:rsidRPr="005C337E">
              <w:rPr>
                <w:rFonts w:ascii="Times New Roman" w:hAnsi="Times New Roman" w:cs="Times New Roman"/>
                <w:lang w:val="en-US"/>
              </w:rPr>
              <w:t>Reject Null (Significant)</w:t>
            </w:r>
          </w:p>
        </w:tc>
      </w:tr>
    </w:tbl>
    <w:p w14:paraId="3B4B742A" w14:textId="77777777" w:rsidR="0092283E" w:rsidRPr="005C337E" w:rsidRDefault="0092283E" w:rsidP="007B3574">
      <w:pPr>
        <w:tabs>
          <w:tab w:val="left" w:pos="6375"/>
        </w:tabs>
        <w:jc w:val="both"/>
        <w:rPr>
          <w:rFonts w:ascii="Times New Roman" w:hAnsi="Times New Roman" w:cs="Times New Roman"/>
        </w:rPr>
      </w:pPr>
      <w:r w:rsidRPr="005C337E">
        <w:rPr>
          <w:rFonts w:ascii="Times New Roman" w:hAnsi="Times New Roman" w:cs="Times New Roman"/>
        </w:rPr>
        <w:t>Note. Source: Study Data (2026).</w:t>
      </w:r>
    </w:p>
    <w:p w14:paraId="58B449B2" w14:textId="77777777" w:rsidR="00EF04A1" w:rsidRPr="005C337E" w:rsidRDefault="00EF04A1" w:rsidP="007B3574">
      <w:pPr>
        <w:tabs>
          <w:tab w:val="left" w:pos="6375"/>
        </w:tabs>
        <w:jc w:val="both"/>
        <w:rPr>
          <w:rFonts w:ascii="Times New Roman" w:hAnsi="Times New Roman" w:cs="Times New Roman"/>
        </w:rPr>
      </w:pPr>
    </w:p>
    <w:p w14:paraId="177C14B9" w14:textId="77777777" w:rsidR="00B416D2" w:rsidRPr="005C337E" w:rsidRDefault="00B416D2" w:rsidP="007B3574">
      <w:pPr>
        <w:tabs>
          <w:tab w:val="left" w:pos="6375"/>
        </w:tabs>
        <w:jc w:val="both"/>
        <w:rPr>
          <w:rFonts w:ascii="Times New Roman" w:hAnsi="Times New Roman" w:cs="Times New Roman"/>
        </w:rPr>
      </w:pPr>
    </w:p>
    <w:p w14:paraId="0E33B5A2" w14:textId="77777777" w:rsidR="00760B94" w:rsidRPr="005C337E" w:rsidRDefault="00760B94" w:rsidP="00760B94">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lastRenderedPageBreak/>
        <w:t>Summary Narrative</w:t>
      </w:r>
    </w:p>
    <w:p w14:paraId="70CBB2B5" w14:textId="77777777" w:rsidR="00760B94" w:rsidRPr="005C337E" w:rsidRDefault="00760B94" w:rsidP="00206D3F">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empirical findings confirm that all four selected macroeconomic variables, along with the structural break control, exert statistically significant long-run effects on inward Foreign Direct Investment (FDI) in Kenya. Specifically:</w:t>
      </w:r>
    </w:p>
    <w:p w14:paraId="5193C60F"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Positive Drivers:</w:t>
      </w:r>
      <w:r w:rsidRPr="005C337E">
        <w:rPr>
          <w:rFonts w:ascii="Times New Roman" w:hAnsi="Times New Roman" w:cs="Times New Roman"/>
          <w:lang w:val="en-US"/>
        </w:rPr>
        <w:t xml:space="preserve"> Economic growth (β = 0.6845, p = 0.0000), real interest rates (β = 0.1872, p = 0.0279), and exchange rates (β = 0.1534, p = 0.0208) exert statistically significant positive effects on FDI inflows. Economic growth represents the primary driver, confirming the predominance of market-seeking FDI </w:t>
      </w:r>
      <w:r w:rsidRPr="005C337E">
        <w:rPr>
          <w:rFonts w:ascii="Times New Roman" w:hAnsi="Times New Roman" w:cs="Times New Roman"/>
          <w:highlight w:val="yellow"/>
          <w:lang w:val="en-US"/>
        </w:rPr>
        <w:t>behaviour</w:t>
      </w:r>
      <w:r w:rsidRPr="005C337E">
        <w:rPr>
          <w:rFonts w:ascii="Times New Roman" w:hAnsi="Times New Roman" w:cs="Times New Roman"/>
          <w:lang w:val="en-US"/>
        </w:rPr>
        <w:t xml:space="preserve"> in Kenya.</w:t>
      </w:r>
    </w:p>
    <w:p w14:paraId="2D22147A"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Negative Deterrents:</w:t>
      </w:r>
      <w:r w:rsidRPr="005C337E">
        <w:rPr>
          <w:rFonts w:ascii="Times New Roman" w:hAnsi="Times New Roman" w:cs="Times New Roman"/>
          <w:lang w:val="en-US"/>
        </w:rPr>
        <w:t xml:space="preserve"> Inflation (β = -0.2856, p = 0.0161) and exogenous structural disruptions (β = -0.5210, p = 0.0084) exercise statistically significant negative impacts on inward FDI, highlighting macroeconomic and institutional volatility as major disincentives for foreign capital.</w:t>
      </w:r>
    </w:p>
    <w:p w14:paraId="0F785CCC" w14:textId="77777777" w:rsidR="00760B94" w:rsidRPr="005C337E" w:rsidRDefault="00760B94" w:rsidP="00760B94">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System Stability &amp; Convergence:</w:t>
      </w:r>
      <w:r w:rsidRPr="005C337E">
        <w:rPr>
          <w:rFonts w:ascii="Times New Roman" w:hAnsi="Times New Roman" w:cs="Times New Roman"/>
          <w:lang w:val="en-US"/>
        </w:rPr>
        <w:t xml:space="preserve"> The lagged error correction term (</w:t>
      </w:r>
      <m:oMath>
        <m:sSub>
          <m:sSubPr>
            <m:ctrlPr>
              <w:rPr>
                <w:rFonts w:ascii="Cambria Math" w:hAnsi="Cambria Math" w:cs="Times New Roman"/>
                <w:i/>
              </w:rPr>
            </m:ctrlPr>
          </m:sSubPr>
          <m:e>
            <m:r>
              <m:rPr>
                <m:sty m:val="p"/>
              </m:rPr>
              <w:rPr>
                <w:rFonts w:ascii="Cambria Math" w:hAnsi="Cambria Math" w:cs="Times New Roman"/>
              </w:rPr>
              <m:t>ECT</m:t>
            </m:r>
          </m:e>
          <m:sub>
            <m:r>
              <w:rPr>
                <w:rFonts w:ascii="Cambria Math" w:hAnsi="Cambria Math" w:cs="Times New Roman"/>
              </w:rPr>
              <m:t>t-1</m:t>
            </m:r>
          </m:sub>
        </m:sSub>
      </m:oMath>
      <w:r w:rsidRPr="005C337E">
        <w:rPr>
          <w:rFonts w:ascii="Times New Roman" w:hAnsi="Times New Roman" w:cs="Times New Roman"/>
          <w:lang w:val="en-US"/>
        </w:rPr>
        <w:t>= -0.4265, p = 0.0000) is negative and highly significant, proving that 42.65% of short-run disequilibria resulting from external macroeconomic shocks are adjusted back to the long-run equilibrium path within each period.</w:t>
      </w:r>
      <w:r w:rsidR="00206D3F" w:rsidRPr="005C337E">
        <w:rPr>
          <w:rFonts w:ascii="Times New Roman" w:hAnsi="Times New Roman" w:cs="Times New Roman"/>
          <w:lang w:val="en-US"/>
        </w:rPr>
        <w:t xml:space="preserve"> </w:t>
      </w:r>
    </w:p>
    <w:p w14:paraId="178CB4BC" w14:textId="77777777" w:rsidR="00760B94" w:rsidRPr="005C337E" w:rsidRDefault="00760B94" w:rsidP="00206D3F">
      <w:pPr>
        <w:tabs>
          <w:tab w:val="left" w:pos="6375"/>
        </w:tabs>
        <w:jc w:val="both"/>
        <w:rPr>
          <w:rFonts w:ascii="Times New Roman" w:hAnsi="Times New Roman" w:cs="Times New Roman"/>
          <w:lang w:val="en-US"/>
        </w:rPr>
      </w:pPr>
      <w:r w:rsidRPr="005C337E">
        <w:rPr>
          <w:rFonts w:ascii="Times New Roman" w:hAnsi="Times New Roman" w:cs="Times New Roman"/>
          <w:b/>
          <w:bCs/>
          <w:lang w:val="en-US"/>
        </w:rPr>
        <w:t>Overall Model Fit:</w:t>
      </w:r>
      <w:r w:rsidRPr="005C337E">
        <w:rPr>
          <w:rFonts w:ascii="Times New Roman" w:hAnsi="Times New Roman" w:cs="Times New Roman"/>
          <w:lang w:val="en-US"/>
        </w:rPr>
        <w:t xml:space="preserve"> The estimated ARDL model is statistically significant as a whole, </w:t>
      </w:r>
      <w:r w:rsidR="00206D3F" w:rsidRPr="005C337E">
        <w:rPr>
          <w:rFonts w:ascii="Times New Roman" w:hAnsi="Times New Roman" w:cs="Times New Roman"/>
          <w:lang w:val="en-US"/>
        </w:rPr>
        <w:t>F (</w:t>
      </w:r>
      <w:r w:rsidRPr="005C337E">
        <w:rPr>
          <w:rFonts w:ascii="Times New Roman" w:hAnsi="Times New Roman" w:cs="Times New Roman"/>
          <w:lang w:val="en-US"/>
        </w:rPr>
        <w:t>5, N) = 22.2841, p &lt; .001. The coefficient of determination (</w:t>
      </w:r>
      <w:r w:rsidR="00206D3F" w:rsidRPr="005C337E">
        <w:rPr>
          <w:rFonts w:ascii="Times New Roman" w:hAnsi="Times New Roman" w:cs="Times New Roman"/>
          <w:lang w:val="en-US"/>
        </w:rPr>
        <w:t>R</w:t>
      </w:r>
      <w:r w:rsidR="00206D3F"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0.7435, Adjusted </w:t>
      </w:r>
      <w:r w:rsidR="00206D3F" w:rsidRPr="005C337E">
        <w:rPr>
          <w:rFonts w:ascii="Times New Roman" w:hAnsi="Times New Roman" w:cs="Times New Roman"/>
          <w:lang w:val="en-US"/>
        </w:rPr>
        <w:t>R</w:t>
      </w:r>
      <w:r w:rsidR="00206D3F" w:rsidRPr="005C337E">
        <w:rPr>
          <w:rFonts w:ascii="Times New Roman" w:hAnsi="Times New Roman" w:cs="Times New Roman"/>
          <w:vertAlign w:val="superscript"/>
          <w:lang w:val="en-US"/>
        </w:rPr>
        <w:t>2</w:t>
      </w:r>
      <w:r w:rsidRPr="005C337E">
        <w:rPr>
          <w:rFonts w:ascii="Times New Roman" w:hAnsi="Times New Roman" w:cs="Times New Roman"/>
          <w:lang w:val="en-US"/>
        </w:rPr>
        <w:t xml:space="preserve"> = 0.7102) indicates substantial explanatory power, with approximately 74.35% of the variance in inward FDI explained by the joint movement of the independent variables. Diagnostic testing confirms the absence of severe serial correlation (Durbin-Watson</w:t>
      </w:r>
      <w:r w:rsidR="00206D3F" w:rsidRPr="005C337E">
        <w:rPr>
          <w:rFonts w:ascii="Times New Roman" w:hAnsi="Times New Roman" w:cs="Times New Roman"/>
          <w:lang w:val="en-US"/>
        </w:rPr>
        <w:t xml:space="preserve"> </w:t>
      </w:r>
      <w:r w:rsidRPr="005C337E">
        <w:rPr>
          <w:rFonts w:ascii="Times New Roman" w:hAnsi="Times New Roman" w:cs="Times New Roman"/>
          <w:lang w:val="en-US"/>
        </w:rPr>
        <w:t>= 1.9450) and verifies residual homoskedasticity (Breusch-</w:t>
      </w:r>
      <w:r w:rsidR="00206D3F" w:rsidRPr="005C337E">
        <w:rPr>
          <w:rFonts w:ascii="Times New Roman" w:hAnsi="Times New Roman" w:cs="Times New Roman"/>
          <w:lang w:val="en-US"/>
        </w:rPr>
        <w:t>Pagan p</w:t>
      </w:r>
      <w:r w:rsidRPr="005C337E">
        <w:rPr>
          <w:rFonts w:ascii="Times New Roman" w:hAnsi="Times New Roman" w:cs="Times New Roman"/>
          <w:lang w:val="en-US"/>
        </w:rPr>
        <w:t xml:space="preserve"> = 0.4120).</w:t>
      </w:r>
    </w:p>
    <w:p w14:paraId="0BFE53BC" w14:textId="77777777" w:rsidR="009A7968" w:rsidRPr="005C337E" w:rsidRDefault="009A7968" w:rsidP="00EB72D7">
      <w:pPr>
        <w:tabs>
          <w:tab w:val="left" w:pos="6375"/>
        </w:tabs>
        <w:jc w:val="both"/>
        <w:rPr>
          <w:rFonts w:ascii="Times New Roman" w:hAnsi="Times New Roman" w:cs="Times New Roman"/>
        </w:rPr>
      </w:pPr>
    </w:p>
    <w:p w14:paraId="36DF190E" w14:textId="77777777" w:rsidR="0071316B" w:rsidRPr="005C337E" w:rsidRDefault="0071316B" w:rsidP="0071316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 CONCLUSION AND POLICY RECOMMENDATIONS</w:t>
      </w:r>
    </w:p>
    <w:p w14:paraId="27D10C0C" w14:textId="77777777" w:rsidR="0071316B" w:rsidRPr="005C337E" w:rsidRDefault="0071316B" w:rsidP="0071316B">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5.1 Conclusion</w:t>
      </w:r>
    </w:p>
    <w:p w14:paraId="19C7F9A9"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This study evaluated the macroeconomic drivers of inward Foreign Direct Investment (FDI) in Kenya over the 1966–2019 period using an Autoregressive Distributed Lag (ARDL) Bounds Testing and Error Correction </w:t>
      </w:r>
      <w:r w:rsidRPr="005C337E">
        <w:rPr>
          <w:rFonts w:ascii="Times New Roman" w:hAnsi="Times New Roman" w:cs="Times New Roman"/>
          <w:highlight w:val="yellow"/>
          <w:lang w:val="en-US"/>
        </w:rPr>
        <w:t>Modelling</w:t>
      </w:r>
      <w:r w:rsidRPr="005C337E">
        <w:rPr>
          <w:rFonts w:ascii="Times New Roman" w:hAnsi="Times New Roman" w:cs="Times New Roman"/>
          <w:lang w:val="en-US"/>
        </w:rPr>
        <w:t xml:space="preserve"> framework. The empirical results confirm a statistically significant long-run cointegrating relationship (F = 6.842) among real interest rates, inflation, economic growth, foreign exchange rates, exogenous structural shocks, and inward FDI flows.</w:t>
      </w:r>
    </w:p>
    <w:p w14:paraId="27C17EF2" w14:textId="77777777" w:rsidR="00F8090F" w:rsidRPr="005C337E" w:rsidRDefault="00F8090F" w:rsidP="0071316B">
      <w:pPr>
        <w:tabs>
          <w:tab w:val="left" w:pos="6375"/>
        </w:tabs>
        <w:spacing w:after="0"/>
        <w:jc w:val="both"/>
        <w:rPr>
          <w:rFonts w:ascii="Times New Roman" w:hAnsi="Times New Roman" w:cs="Times New Roman"/>
          <w:lang w:val="en-US"/>
        </w:rPr>
      </w:pPr>
    </w:p>
    <w:p w14:paraId="452FC662"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The long-run elasticity estimates demonstrate that economic growth serves as the primary positive catalyst for inward FDI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0.6845, p = 0.0000), affirming the market-seeking orientation of foreign investors in Kenya. Real interest rates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0.1872, p = 0.0279) and exchange rate movements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0.1534, p = 0.0208) also exhibit positive long-run relationships with capital inflows. Conversely, consumer price inflation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-0.2856, p = 0.0161) and exogenous structural disruptions (</w:t>
      </w:r>
      <w:r w:rsidR="00F8090F" w:rsidRPr="005C337E">
        <w:rPr>
          <w:rFonts w:ascii="Times New Roman" w:hAnsi="Times New Roman" w:cs="Times New Roman"/>
          <w:lang w:val="en-US"/>
        </w:rPr>
        <w:t>β</w:t>
      </w:r>
      <w:r w:rsidRPr="005C337E">
        <w:rPr>
          <w:rFonts w:ascii="Times New Roman" w:hAnsi="Times New Roman" w:cs="Times New Roman"/>
          <w:lang w:val="en-US"/>
        </w:rPr>
        <w:t xml:space="preserve"> = -0.5210, p = 0.0084) exercise significant negative impacts, underscoring that price instability and institutional or systemic shocks present severe deterrents to sustained foreign investment.</w:t>
      </w:r>
    </w:p>
    <w:p w14:paraId="54DA677B" w14:textId="77777777" w:rsidR="00F8090F" w:rsidRPr="005C337E" w:rsidRDefault="00F8090F" w:rsidP="0071316B">
      <w:pPr>
        <w:tabs>
          <w:tab w:val="left" w:pos="6375"/>
        </w:tabs>
        <w:spacing w:after="0"/>
        <w:jc w:val="both"/>
        <w:rPr>
          <w:rFonts w:ascii="Times New Roman" w:hAnsi="Times New Roman" w:cs="Times New Roman"/>
          <w:lang w:val="en-US"/>
        </w:rPr>
      </w:pPr>
    </w:p>
    <w:p w14:paraId="59C0B745" w14:textId="77777777" w:rsidR="0071316B" w:rsidRPr="005C337E" w:rsidRDefault="0071316B" w:rsidP="0071316B">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The short-run Error Correction Model confirms a </w:t>
      </w:r>
      <w:r w:rsidR="00F8090F" w:rsidRPr="005C337E">
        <w:rPr>
          <w:rFonts w:ascii="Times New Roman" w:hAnsi="Times New Roman" w:cs="Times New Roman"/>
          <w:lang w:val="en-US"/>
        </w:rPr>
        <w:t xml:space="preserve">robust mechanism of systemic </w:t>
      </w:r>
      <w:r w:rsidR="00F8090F" w:rsidRPr="005C337E">
        <w:rPr>
          <w:rFonts w:ascii="Times New Roman" w:hAnsi="Times New Roman" w:cs="Times New Roman"/>
          <w:highlight w:val="yellow"/>
          <w:lang w:val="en-US"/>
        </w:rPr>
        <w:t>stabilisation</w:t>
      </w:r>
      <w:r w:rsidRPr="005C337E">
        <w:rPr>
          <w:rFonts w:ascii="Times New Roman" w:hAnsi="Times New Roman" w:cs="Times New Roman"/>
          <w:lang w:val="en-US"/>
        </w:rPr>
        <w:t>, with the error correction coefficient (</w:t>
      </w:r>
      <m:oMath>
        <m:sSub>
          <m:sSubPr>
            <m:ctrlPr>
              <w:rPr>
                <w:rFonts w:ascii="Cambria Math" w:hAnsi="Cambria Math" w:cs="Times New Roman"/>
                <w:i/>
                <w:lang w:val="en-US"/>
              </w:rPr>
            </m:ctrlPr>
          </m:sSubPr>
          <m:e>
            <m:r>
              <w:rPr>
                <w:rFonts w:ascii="Cambria Math" w:hAnsi="Cambria Math" w:cs="Times New Roman"/>
                <w:lang w:val="en-US"/>
              </w:rPr>
              <m:t>ECT</m:t>
            </m:r>
          </m:e>
          <m:sub>
            <m:r>
              <w:rPr>
                <w:rFonts w:ascii="Cambria Math" w:hAnsi="Cambria Math" w:cs="Times New Roman"/>
                <w:lang w:val="en-US"/>
              </w:rPr>
              <m:t>t-1</m:t>
            </m:r>
          </m:sub>
        </m:sSub>
      </m:oMath>
      <w:r w:rsidRPr="005C337E">
        <w:rPr>
          <w:rFonts w:ascii="Times New Roman" w:hAnsi="Times New Roman" w:cs="Times New Roman"/>
          <w:lang w:val="en-US"/>
        </w:rPr>
        <w:t xml:space="preserve"> = -0.4265, p = 0.0000) indicating that approximately 42.65% of short-run disequilibria resulting from external economic shocks are adjusted back </w:t>
      </w:r>
      <w:r w:rsidRPr="005C337E">
        <w:rPr>
          <w:rFonts w:ascii="Times New Roman" w:hAnsi="Times New Roman" w:cs="Times New Roman"/>
          <w:highlight w:val="yellow"/>
          <w:lang w:val="en-US"/>
        </w:rPr>
        <w:t xml:space="preserve">towards </w:t>
      </w:r>
      <w:r w:rsidRPr="005C337E">
        <w:rPr>
          <w:rFonts w:ascii="Times New Roman" w:hAnsi="Times New Roman" w:cs="Times New Roman"/>
          <w:lang w:val="en-US"/>
        </w:rPr>
        <w:t>long-run equilibrium within a year. Post-estimation diagnostic checks</w:t>
      </w:r>
      <w:r w:rsidR="00F8090F" w:rsidRPr="005C337E">
        <w:rPr>
          <w:rFonts w:ascii="Times New Roman" w:hAnsi="Times New Roman" w:cs="Times New Roman"/>
          <w:lang w:val="en-US"/>
        </w:rPr>
        <w:t xml:space="preserve">, </w:t>
      </w:r>
      <w:r w:rsidRPr="005C337E">
        <w:rPr>
          <w:rFonts w:ascii="Times New Roman" w:hAnsi="Times New Roman" w:cs="Times New Roman"/>
          <w:lang w:val="en-US"/>
        </w:rPr>
        <w:t>including Breusch-Godfrey LM (F = 1.342), ARCH (F = 0.815), Jarque-Bera (</w:t>
      </w:r>
      <m:oMath>
        <m:sSup>
          <m:sSupPr>
            <m:ctrlPr>
              <w:rPr>
                <w:rFonts w:ascii="Cambria Math" w:hAnsi="Cambria Math" w:cs="Times New Roman"/>
                <w:i/>
                <w:lang w:val="en-US"/>
              </w:rPr>
            </m:ctrlPr>
          </m:sSupPr>
          <m:e>
            <m:r>
              <w:rPr>
                <w:rFonts w:ascii="Cambria Math" w:hAnsi="Cambria Math" w:cs="Times New Roman"/>
                <w:lang w:val="en-US"/>
              </w:rPr>
              <m:t>χ</m:t>
            </m:r>
          </m:e>
          <m:sup>
            <m:r>
              <w:rPr>
                <w:rFonts w:ascii="Cambria Math" w:hAnsi="Cambria Math" w:cs="Times New Roman"/>
                <w:lang w:val="en-US"/>
              </w:rPr>
              <m:t>2</m:t>
            </m:r>
          </m:sup>
        </m:sSup>
      </m:oMath>
      <w:r w:rsidRPr="005C337E">
        <w:rPr>
          <w:rFonts w:ascii="Times New Roman" w:hAnsi="Times New Roman" w:cs="Times New Roman"/>
          <w:lang w:val="en-US"/>
        </w:rPr>
        <w:t xml:space="preserve"> = 1.104), Ramsey RESET (F = 0.489), and CUSUM/CUSUMSQ tests</w:t>
      </w:r>
      <w:r w:rsidR="00F8090F" w:rsidRPr="005C337E">
        <w:rPr>
          <w:rFonts w:ascii="Times New Roman" w:hAnsi="Times New Roman" w:cs="Times New Roman"/>
          <w:lang w:val="en-US"/>
        </w:rPr>
        <w:t xml:space="preserve"> </w:t>
      </w:r>
      <w:r w:rsidRPr="005C337E">
        <w:rPr>
          <w:rFonts w:ascii="Times New Roman" w:hAnsi="Times New Roman" w:cs="Times New Roman"/>
          <w:lang w:val="en-US"/>
        </w:rPr>
        <w:t>confirm that the estimated model is statistically robust, correctly specified, and structurally stable.</w:t>
      </w:r>
    </w:p>
    <w:p w14:paraId="5143A6E2" w14:textId="77777777" w:rsidR="00F8090F" w:rsidRPr="005C337E" w:rsidRDefault="00F8090F" w:rsidP="0071316B">
      <w:pPr>
        <w:tabs>
          <w:tab w:val="left" w:pos="6375"/>
        </w:tabs>
        <w:spacing w:after="0"/>
        <w:jc w:val="both"/>
        <w:rPr>
          <w:rFonts w:ascii="Times New Roman" w:hAnsi="Times New Roman" w:cs="Times New Roman"/>
          <w:lang w:val="en-US"/>
        </w:rPr>
      </w:pPr>
    </w:p>
    <w:p w14:paraId="2B661D9F" w14:textId="77777777" w:rsidR="0071316B" w:rsidRPr="007249A7" w:rsidRDefault="0071316B" w:rsidP="0071316B">
      <w:pPr>
        <w:tabs>
          <w:tab w:val="left" w:pos="6375"/>
        </w:tabs>
        <w:spacing w:after="0"/>
        <w:jc w:val="both"/>
        <w:rPr>
          <w:rFonts w:ascii="Times New Roman" w:hAnsi="Times New Roman" w:cs="Times New Roman"/>
          <w:b/>
          <w:bCs/>
          <w:highlight w:val="yellow"/>
          <w:lang w:val="en-US"/>
        </w:rPr>
      </w:pPr>
      <w:r w:rsidRPr="007249A7">
        <w:rPr>
          <w:rFonts w:ascii="Times New Roman" w:hAnsi="Times New Roman" w:cs="Times New Roman"/>
          <w:b/>
          <w:bCs/>
          <w:highlight w:val="yellow"/>
          <w:lang w:val="en-US"/>
        </w:rPr>
        <w:t>5.2 Policy Recommendations</w:t>
      </w:r>
    </w:p>
    <w:p w14:paraId="078B175C" w14:textId="77777777" w:rsidR="005C337E" w:rsidRPr="007249A7" w:rsidRDefault="005C337E" w:rsidP="005C337E">
      <w:pPr>
        <w:pStyle w:val="NormalWeb"/>
        <w:jc w:val="both"/>
        <w:rPr>
          <w:highlight w:val="yellow"/>
        </w:rPr>
      </w:pPr>
      <w:r w:rsidRPr="007249A7">
        <w:rPr>
          <w:highlight w:val="yellow"/>
        </w:rPr>
        <w:t xml:space="preserve">Based on these empirical findings, several targeted policy actions are recommended. First, the strong positive effect of real GDP growth on foreign direct investment (FDI) underscores the importance of pursuing expansionary and productivity-enhancing policies. The national government should therefore </w:t>
      </w:r>
      <w:proofErr w:type="spellStart"/>
      <w:r w:rsidRPr="007249A7">
        <w:rPr>
          <w:highlight w:val="yellow"/>
        </w:rPr>
        <w:t>prioritise</w:t>
      </w:r>
      <w:proofErr w:type="spellEnd"/>
      <w:r w:rsidRPr="007249A7">
        <w:rPr>
          <w:highlight w:val="yellow"/>
        </w:rPr>
        <w:t xml:space="preserve"> strategic investments in infrastructure, improve energy-sector efficiency, and strengthen regional market integration. These measures can expand market capacity, improve the overall business environment, and enhance Kenya’s attractiveness to long-term, market-seeking foreign investors. Maintaining price and inflation stability is also essential, particularly given the significant adverse effect of inflation on FDI (β = −0.2856). The Central Bank of Kenya (CBK) should continue to pursue a prudent monetary policy stance aimed at maintaining consumer price inflation within the prescribed target range. Greater price stability would help preserve purchasing power, reduce uncertainty in investment planning, and support the expected profitability of foreign investments. In addition, effective management of exchange rate volatility is important because changes in foreign currency valuation influence investors’ expected returns, as reflected by the estimated coefficient (β = 0.1534). Monetary authorities should therefore manage foreign exchange reserves strategically to </w:t>
      </w:r>
      <w:proofErr w:type="spellStart"/>
      <w:r w:rsidRPr="007249A7">
        <w:rPr>
          <w:highlight w:val="yellow"/>
        </w:rPr>
        <w:t>minimise</w:t>
      </w:r>
      <w:proofErr w:type="spellEnd"/>
      <w:r w:rsidRPr="007249A7">
        <w:rPr>
          <w:highlight w:val="yellow"/>
        </w:rPr>
        <w:t xml:space="preserve"> sharp and erratic currency depreciation while retaining a flexible and market-determined exchange rate framework. Such an approach can reduce excessive exchange rate uncertainty without creating distortions associated with rigid currency controls. Finally, the substantial negative coefficient associated with structural disruptions (β = −0.5210) highlights the importance of mitigating exogenous shocks and strengthening institutional resilience. Policymakers should enhance risk-mitigation mechanisms, promote regulatory transparency, strengthen institutional effectiveness, and maintain safeguards that support political and economic stability. These measures can reduce investors’ exposure to systemic uncertainty and contribute to a more predictable and resilient environment for sustained foreign direct investment.</w:t>
      </w:r>
    </w:p>
    <w:p w14:paraId="7E0BD98B" w14:textId="77777777" w:rsidR="00EF04A1" w:rsidRPr="007249A7" w:rsidRDefault="00EF04A1" w:rsidP="00EF04A1">
      <w:pPr>
        <w:tabs>
          <w:tab w:val="left" w:pos="6375"/>
        </w:tabs>
        <w:spacing w:after="0"/>
        <w:jc w:val="both"/>
        <w:rPr>
          <w:rFonts w:ascii="Times New Roman" w:hAnsi="Times New Roman" w:cs="Times New Roman"/>
          <w:highlight w:val="yellow"/>
        </w:rPr>
      </w:pPr>
    </w:p>
    <w:p w14:paraId="27A5A162" w14:textId="77777777" w:rsidR="00A46DDB" w:rsidRPr="007249A7" w:rsidRDefault="00A46DDB" w:rsidP="005372DE">
      <w:pPr>
        <w:tabs>
          <w:tab w:val="left" w:pos="6375"/>
        </w:tabs>
        <w:spacing w:after="0"/>
        <w:jc w:val="both"/>
        <w:rPr>
          <w:rFonts w:ascii="Times New Roman" w:hAnsi="Times New Roman" w:cs="Times New Roman"/>
          <w:b/>
          <w:bCs/>
          <w:highlight w:val="yellow"/>
        </w:rPr>
      </w:pPr>
      <w:r w:rsidRPr="007249A7">
        <w:rPr>
          <w:rFonts w:ascii="Times New Roman" w:hAnsi="Times New Roman" w:cs="Times New Roman"/>
          <w:b/>
          <w:bCs/>
          <w:highlight w:val="yellow"/>
        </w:rPr>
        <w:t>5.3 Overall Policy Message</w:t>
      </w:r>
    </w:p>
    <w:p w14:paraId="182CF80F" w14:textId="77777777" w:rsidR="00A46DDB" w:rsidRPr="007249A7" w:rsidRDefault="00A46DDB" w:rsidP="005372DE">
      <w:pPr>
        <w:tabs>
          <w:tab w:val="left" w:pos="6375"/>
        </w:tabs>
        <w:spacing w:after="0"/>
        <w:jc w:val="both"/>
        <w:rPr>
          <w:rFonts w:ascii="Times New Roman" w:hAnsi="Times New Roman" w:cs="Times New Roman"/>
          <w:highlight w:val="yellow"/>
        </w:rPr>
      </w:pPr>
      <w:r w:rsidRPr="007249A7">
        <w:rPr>
          <w:rFonts w:ascii="Times New Roman" w:hAnsi="Times New Roman" w:cs="Times New Roman"/>
          <w:highlight w:val="yellow"/>
        </w:rPr>
        <w:t>The central policy implication emerging from Paper 1 is that Kenya's ability to attract FDI depends substantially on the quality and stability of its macroeconomic environment.</w:t>
      </w:r>
    </w:p>
    <w:p w14:paraId="1035078E" w14:textId="77777777" w:rsidR="00A46DDB" w:rsidRPr="007249A7" w:rsidRDefault="006D63CE" w:rsidP="00A46DDB">
      <w:pPr>
        <w:tabs>
          <w:tab w:val="left" w:pos="6375"/>
        </w:tabs>
        <w:jc w:val="both"/>
        <w:rPr>
          <w:rFonts w:ascii="Times New Roman" w:hAnsi="Times New Roman" w:cs="Times New Roman"/>
          <w:highlight w:val="yellow"/>
        </w:rPr>
      </w:pPr>
      <w:r w:rsidRPr="007249A7">
        <w:rPr>
          <w:rFonts w:ascii="Times New Roman" w:hAnsi="Times New Roman" w:cs="Times New Roman"/>
          <w:noProof/>
          <w:highlight w:val="yellow"/>
        </w:rPr>
        <mc:AlternateContent>
          <mc:Choice Requires="wps">
            <w:drawing>
              <wp:anchor distT="0" distB="0" distL="114300" distR="114300" simplePos="0" relativeHeight="251664384" behindDoc="0" locked="0" layoutInCell="1" allowOverlap="1" wp14:anchorId="3178EF40" wp14:editId="410F31A7">
                <wp:simplePos x="0" y="0"/>
                <wp:positionH relativeFrom="column">
                  <wp:posOffset>3305175</wp:posOffset>
                </wp:positionH>
                <wp:positionV relativeFrom="paragraph">
                  <wp:posOffset>276860</wp:posOffset>
                </wp:positionV>
                <wp:extent cx="0" cy="190500"/>
                <wp:effectExtent l="76200" t="38100" r="57150" b="19050"/>
                <wp:wrapNone/>
                <wp:docPr id="97104823" name="Straight Arrow Connector 17"/>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70B212F" id="Straight Arrow Connector 17" o:spid="_x0000_s1026" type="#_x0000_t32" style="position:absolute;margin-left:260.25pt;margin-top:21.8pt;width:0;height:1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" strokecolor="black [3213]" strokeweight=".5pt">
                <v:stroke endarrow="block" joinstyle="miter"/>
              </v:shape>
            </w:pict>
          </mc:Fallback>
        </mc:AlternateContent>
      </w:r>
      <w:r w:rsidRPr="007249A7">
        <w:rPr>
          <w:rFonts w:ascii="Times New Roman" w:hAnsi="Times New Roman" w:cs="Times New Roman"/>
          <w:noProof/>
          <w:highlight w:val="yellow"/>
        </w:rPr>
        <mc:AlternateContent>
          <mc:Choice Requires="wps">
            <w:drawing>
              <wp:anchor distT="0" distB="0" distL="114300" distR="114300" simplePos="0" relativeHeight="251662336" behindDoc="0" locked="0" layoutInCell="1" allowOverlap="1" wp14:anchorId="4CD19B69" wp14:editId="70A0FF47">
                <wp:simplePos x="0" y="0"/>
                <wp:positionH relativeFrom="column">
                  <wp:posOffset>1181100</wp:posOffset>
                </wp:positionH>
                <wp:positionV relativeFrom="paragraph">
                  <wp:posOffset>269875</wp:posOffset>
                </wp:positionV>
                <wp:extent cx="9525" cy="171450"/>
                <wp:effectExtent l="76200" t="38100" r="66675" b="19050"/>
                <wp:wrapNone/>
                <wp:docPr id="26084465" name="Straight Arrow Connector 15"/>
                <wp:cNvGraphicFramePr/>
                <a:graphic xmlns:a="http://schemas.openxmlformats.org/drawingml/2006/main">
                  <a:graphicData uri="http://schemas.microsoft.com/office/word/2010/wordprocessingShape">
                    <wps:wsp>
                      <wps:cNvCnPr/>
                      <wps:spPr>
                        <a:xfrm flipH="1" flipV="1">
                          <a:off x="0" y="0"/>
                          <a:ext cx="9525"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57F6309" id="Straight Arrow Connector 15" o:spid="_x0000_s1026" type="#_x0000_t32" style="position:absolute;margin-left:93pt;margin-top:21.25pt;width:.75pt;height:13.5pt;flip:x 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" strokecolor="black [3213]" strokeweight=".5pt">
                <v:stroke endarrow="block" joinstyle="miter"/>
              </v:shape>
            </w:pict>
          </mc:Fallback>
        </mc:AlternateContent>
      </w:r>
      <w:r w:rsidR="00A46DDB" w:rsidRPr="007249A7">
        <w:rPr>
          <w:rFonts w:ascii="Times New Roman" w:hAnsi="Times New Roman" w:cs="Times New Roman"/>
          <w:highlight w:val="yellow"/>
        </w:rPr>
        <w:t>The evidence points in three broad directions:</w:t>
      </w:r>
    </w:p>
    <w:p w14:paraId="5D6F9D96" w14:textId="28859C9D" w:rsidR="007C12F8" w:rsidRPr="007249A7" w:rsidRDefault="006D63CE"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67456" behindDoc="0" locked="0" layoutInCell="1" allowOverlap="1" wp14:anchorId="2063D200" wp14:editId="13592AC8">
                <wp:simplePos x="0" y="0"/>
                <wp:positionH relativeFrom="column">
                  <wp:posOffset>3343275</wp:posOffset>
                </wp:positionH>
                <wp:positionV relativeFrom="paragraph">
                  <wp:posOffset>257810</wp:posOffset>
                </wp:positionV>
                <wp:extent cx="9525" cy="152400"/>
                <wp:effectExtent l="38100" t="38100" r="66675" b="19050"/>
                <wp:wrapNone/>
                <wp:docPr id="2045247175"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7518DF" id="Straight Arrow Connector 20" o:spid="_x0000_s1026" type="#_x0000_t32" style="position:absolute;margin-left:263.25pt;margin-top:20.3pt;width:.75pt;height:12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" strokecolor="black [3213]" strokeweight=".5pt">
                <v:stroke endarrow="block" joinstyle="miter"/>
              </v:shape>
            </w:pict>
          </mc:Fallback>
        </mc:AlternateContent>
      </w:r>
      <w:r w:rsidRPr="007249A7">
        <w:rPr>
          <w:rFonts w:ascii="Times New Roman" w:hAnsi="Times New Roman" w:cs="Times New Roman"/>
          <w:noProof/>
          <w:highlight w:val="yellow"/>
          <w:lang w:val="en-US"/>
        </w:rPr>
        <mc:AlternateContent>
          <mc:Choice Requires="wps">
            <w:drawing>
              <wp:anchor distT="0" distB="0" distL="114300" distR="114300" simplePos="0" relativeHeight="251665408" behindDoc="0" locked="0" layoutInCell="1" allowOverlap="1" wp14:anchorId="5F5427B5" wp14:editId="54ABCA5E">
                <wp:simplePos x="0" y="0"/>
                <wp:positionH relativeFrom="column">
                  <wp:posOffset>1095375</wp:posOffset>
                </wp:positionH>
                <wp:positionV relativeFrom="paragraph">
                  <wp:posOffset>286385</wp:posOffset>
                </wp:positionV>
                <wp:extent cx="0" cy="190500"/>
                <wp:effectExtent l="76200" t="38100" r="57150" b="19050"/>
                <wp:wrapNone/>
                <wp:docPr id="1215175204" name="Straight Arrow Connector 18"/>
                <wp:cNvGraphicFramePr/>
                <a:graphic xmlns:a="http://schemas.openxmlformats.org/drawingml/2006/main">
                  <a:graphicData uri="http://schemas.microsoft.com/office/word/2010/wordprocessingShape">
                    <wps:wsp>
                      <wps:cNvCnPr/>
                      <wps:spPr>
                        <a:xfrm flipV="1">
                          <a:off x="0" y="0"/>
                          <a:ext cx="0" cy="1905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603F53" id="Straight Arrow Connector 18" o:spid="_x0000_s1026" type="#_x0000_t32" style="position:absolute;margin-left:86.25pt;margin-top:22.55pt;width:0;height:15pt;flip:y;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" strokecolor="black [3213]" strokeweight=".5pt">
                <v:stroke endarrow="block" joinstyle="miter"/>
              </v:shape>
            </w:pict>
          </mc:Fallback>
        </mc:AlternateContent>
      </w:r>
      <w:r w:rsidRPr="007249A7">
        <w:rPr>
          <w:rFonts w:ascii="Times New Roman" w:hAnsi="Times New Roman" w:cs="Times New Roman"/>
          <w:noProof/>
          <w:highlight w:val="yellow"/>
          <w:lang w:val="en-US"/>
        </w:rPr>
        <mc:AlternateContent>
          <mc:Choice Requires="wps">
            <w:drawing>
              <wp:anchor distT="0" distB="0" distL="114300" distR="114300" simplePos="0" relativeHeight="251663360" behindDoc="0" locked="0" layoutInCell="1" allowOverlap="1" wp14:anchorId="6C932823" wp14:editId="30CF8B93">
                <wp:simplePos x="0" y="0"/>
                <wp:positionH relativeFrom="column">
                  <wp:posOffset>2809875</wp:posOffset>
                </wp:positionH>
                <wp:positionV relativeFrom="paragraph">
                  <wp:posOffset>114935</wp:posOffset>
                </wp:positionV>
                <wp:extent cx="161925" cy="0"/>
                <wp:effectExtent l="0" t="76200" r="9525" b="95250"/>
                <wp:wrapNone/>
                <wp:docPr id="129379821" name="Straight Arrow Connector 16"/>
                <wp:cNvGraphicFramePr/>
                <a:graphic xmlns:a="http://schemas.openxmlformats.org/drawingml/2006/main">
                  <a:graphicData uri="http://schemas.microsoft.com/office/word/2010/wordprocessingShape">
                    <wps:wsp>
                      <wps:cNvCnPr/>
                      <wps:spPr>
                        <a:xfrm>
                          <a:off x="0" y="0"/>
                          <a:ext cx="16192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ADAD8BC" id="Straight Arrow Connector 16" o:spid="_x0000_s1026" type="#_x0000_t32" style="position:absolute;margin-left:221.25pt;margin-top:9.05pt;width:12.75pt;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 Economic growth </w:t>
      </w:r>
      <w:proofErr w:type="gramStart"/>
      <w:r w:rsidR="007C12F8" w:rsidRPr="007249A7">
        <w:rPr>
          <w:rFonts w:ascii="Times New Roman" w:hAnsi="Times New Roman" w:cs="Times New Roman"/>
          <w:highlight w:val="yellow"/>
          <w:lang w:val="en-US"/>
        </w:rPr>
        <w:t xml:space="preserve"> </w:t>
      </w:r>
      <w:r w:rsidRPr="007249A7">
        <w:rPr>
          <w:rFonts w:ascii="Times New Roman" w:hAnsi="Times New Roman" w:cs="Times New Roman"/>
          <w:highlight w:val="yellow"/>
          <w:lang w:val="en-US"/>
        </w:rPr>
        <w:t xml:space="preserve"> </w:t>
      </w:r>
      <w:r w:rsidR="003A526B" w:rsidRPr="007249A7">
        <w:rPr>
          <w:rFonts w:ascii="Times New Roman" w:hAnsi="Times New Roman" w:cs="Times New Roman"/>
          <w:highlight w:val="yellow"/>
          <w:lang w:val="en-US"/>
        </w:rPr>
        <w:t xml:space="preserve"> </w:t>
      </w:r>
      <w:r w:rsidRPr="007249A7">
        <w:rPr>
          <w:rFonts w:ascii="Times New Roman" w:hAnsi="Times New Roman" w:cs="Times New Roman"/>
          <w:highlight w:val="yellow"/>
          <w:lang w:val="en-US"/>
        </w:rPr>
        <w:t>(</w:t>
      </w:r>
      <w:proofErr w:type="gramEnd"/>
      <w:r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0.6845, p = 0.0000) </w:t>
      </w:r>
      <w:r w:rsidRPr="007249A7">
        <w:rPr>
          <w:rFonts w:ascii="Times New Roman" w:hAnsi="Times New Roman" w:cs="Times New Roman"/>
          <w:highlight w:val="yellow"/>
          <w:lang w:val="en-US"/>
        </w:rPr>
        <w:t xml:space="preserve">     FDI</w:t>
      </w:r>
      <w:r w:rsidR="007C12F8" w:rsidRPr="007249A7">
        <w:rPr>
          <w:rFonts w:ascii="Times New Roman" w:hAnsi="Times New Roman" w:cs="Times New Roman"/>
          <w:highlight w:val="yellow"/>
          <w:lang w:val="en-US"/>
        </w:rPr>
        <w:t xml:space="preserve"> </w:t>
      </w:r>
    </w:p>
    <w:p w14:paraId="1DFD7CE1" w14:textId="28D60888" w:rsidR="007C12F8" w:rsidRPr="007249A7" w:rsidRDefault="006D63CE"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66432" behindDoc="0" locked="0" layoutInCell="1" allowOverlap="1" wp14:anchorId="45F93B9B" wp14:editId="5D160D1D">
                <wp:simplePos x="0" y="0"/>
                <wp:positionH relativeFrom="column">
                  <wp:posOffset>2714625</wp:posOffset>
                </wp:positionH>
                <wp:positionV relativeFrom="paragraph">
                  <wp:posOffset>114935</wp:posOffset>
                </wp:positionV>
                <wp:extent cx="257175" cy="9525"/>
                <wp:effectExtent l="0" t="57150" r="28575" b="85725"/>
                <wp:wrapNone/>
                <wp:docPr id="1263547543" name="Straight Arrow Connector 19"/>
                <wp:cNvGraphicFramePr/>
                <a:graphic xmlns:a="http://schemas.openxmlformats.org/drawingml/2006/main">
                  <a:graphicData uri="http://schemas.microsoft.com/office/word/2010/wordprocessingShape">
                    <wps:wsp>
                      <wps:cNvCnPr/>
                      <wps:spPr>
                        <a:xfrm>
                          <a:off x="0" y="0"/>
                          <a:ext cx="257175"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40BD76" id="Straight Arrow Connector 19" o:spid="_x0000_s1026" type="#_x0000_t32" style="position:absolute;margin-left:213.75pt;margin-top:9.05pt;width:20.25pt;height:.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Real interest rate </w:t>
      </w:r>
      <w:proofErr w:type="gramStart"/>
      <w:r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w:t>
      </w:r>
      <w:proofErr w:type="gramEnd"/>
      <w:r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0.1872, p = 0.0279) </w:t>
      </w:r>
      <w:r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FDI</w:t>
      </w:r>
      <w:r w:rsidRPr="007249A7">
        <w:rPr>
          <w:rFonts w:ascii="Times New Roman" w:hAnsi="Times New Roman" w:cs="Times New Roman"/>
          <w:highlight w:val="yellow"/>
          <w:lang w:val="en-US"/>
        </w:rPr>
        <w:t xml:space="preserve"> </w:t>
      </w:r>
    </w:p>
    <w:p w14:paraId="20AC811B" w14:textId="7D0F5C11" w:rsidR="006D63CE" w:rsidRPr="007249A7" w:rsidRDefault="003A526B" w:rsidP="007C12F8">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w:lastRenderedPageBreak/>
        <mc:AlternateContent>
          <mc:Choice Requires="wps">
            <w:drawing>
              <wp:anchor distT="0" distB="0" distL="114300" distR="114300" simplePos="0" relativeHeight="251668480" behindDoc="0" locked="0" layoutInCell="1" allowOverlap="1" wp14:anchorId="77ED12F7" wp14:editId="790B2835">
                <wp:simplePos x="0" y="0"/>
                <wp:positionH relativeFrom="column">
                  <wp:posOffset>914400</wp:posOffset>
                </wp:positionH>
                <wp:positionV relativeFrom="paragraph">
                  <wp:posOffset>-16953</wp:posOffset>
                </wp:positionV>
                <wp:extent cx="9525" cy="200025"/>
                <wp:effectExtent l="38100" t="38100" r="66675" b="28575"/>
                <wp:wrapNone/>
                <wp:docPr id="613817801" name="Straight Arrow Connector 21"/>
                <wp:cNvGraphicFramePr/>
                <a:graphic xmlns:a="http://schemas.openxmlformats.org/drawingml/2006/main">
                  <a:graphicData uri="http://schemas.microsoft.com/office/word/2010/wordprocessingShape">
                    <wps:wsp>
                      <wps:cNvCnPr/>
                      <wps:spPr>
                        <a:xfrm flipV="1">
                          <a:off x="0" y="0"/>
                          <a:ext cx="9525" cy="2000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62A0D5" id="Straight Arrow Connector 21" o:spid="_x0000_s1026" type="#_x0000_t32" style="position:absolute;margin-left:1in;margin-top:-1.35pt;width:.75pt;height:15.75pt;flip:y;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5648" behindDoc="0" locked="0" layoutInCell="1" allowOverlap="1" wp14:anchorId="351B482A" wp14:editId="1DDAC6BF">
                <wp:simplePos x="0" y="0"/>
                <wp:positionH relativeFrom="column">
                  <wp:posOffset>3000375</wp:posOffset>
                </wp:positionH>
                <wp:positionV relativeFrom="paragraph">
                  <wp:posOffset>296545</wp:posOffset>
                </wp:positionV>
                <wp:extent cx="0" cy="171450"/>
                <wp:effectExtent l="76200" t="38100" r="57150" b="19050"/>
                <wp:wrapNone/>
                <wp:docPr id="342309210" name="Straight Arrow Connector 27"/>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0DE328" id="Straight Arrow Connector 27" o:spid="_x0000_s1026" type="#_x0000_t32" style="position:absolute;margin-left:236.25pt;margin-top:23.35pt;width:0;height:13.5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4624" behindDoc="0" locked="0" layoutInCell="1" allowOverlap="1" wp14:anchorId="57C33094" wp14:editId="7C5AD540">
                <wp:simplePos x="0" y="0"/>
                <wp:positionH relativeFrom="column">
                  <wp:posOffset>2581275</wp:posOffset>
                </wp:positionH>
                <wp:positionV relativeFrom="paragraph">
                  <wp:posOffset>134620</wp:posOffset>
                </wp:positionV>
                <wp:extent cx="247650" cy="0"/>
                <wp:effectExtent l="0" t="76200" r="19050" b="95250"/>
                <wp:wrapNone/>
                <wp:docPr id="1546257684" name="Straight Arrow Connector 23"/>
                <wp:cNvGraphicFramePr/>
                <a:graphic xmlns:a="http://schemas.openxmlformats.org/drawingml/2006/main">
                  <a:graphicData uri="http://schemas.microsoft.com/office/word/2010/wordprocessingShape">
                    <wps:wsp>
                      <wps:cNvCnPr/>
                      <wps:spPr>
                        <a:xfrm>
                          <a:off x="0" y="0"/>
                          <a:ext cx="24765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F551126" id="Straight Arrow Connector 23" o:spid="_x0000_s1026" type="#_x0000_t32" style="position:absolute;margin-left:203.25pt;margin-top:10.6pt;width:19.5pt;height:0;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" strokecolor="black [3213]" strokeweight=".5pt">
                <v:stroke endarrow="block" joinstyle="miter"/>
              </v:shape>
            </w:pict>
          </mc:Fallback>
        </mc:AlternateContent>
      </w:r>
      <w:r w:rsidR="009074E3" w:rsidRPr="007249A7">
        <w:rPr>
          <w:rFonts w:ascii="Times New Roman" w:hAnsi="Times New Roman" w:cs="Times New Roman"/>
          <w:noProof/>
          <w:highlight w:val="yellow"/>
          <w:lang w:val="en-US"/>
        </w:rPr>
        <mc:AlternateContent>
          <mc:Choice Requires="wps">
            <w:drawing>
              <wp:anchor distT="0" distB="0" distL="114300" distR="114300" simplePos="0" relativeHeight="251673600" behindDoc="0" locked="0" layoutInCell="1" allowOverlap="1" wp14:anchorId="290E7C0C" wp14:editId="468DFB5D">
                <wp:simplePos x="0" y="0"/>
                <wp:positionH relativeFrom="column">
                  <wp:posOffset>628650</wp:posOffset>
                </wp:positionH>
                <wp:positionV relativeFrom="paragraph">
                  <wp:posOffset>277495</wp:posOffset>
                </wp:positionV>
                <wp:extent cx="0" cy="171450"/>
                <wp:effectExtent l="76200" t="38100" r="57150" b="19050"/>
                <wp:wrapNone/>
                <wp:docPr id="1103275923" name="Straight Arrow Connector 22"/>
                <wp:cNvGraphicFramePr/>
                <a:graphic xmlns:a="http://schemas.openxmlformats.org/drawingml/2006/main">
                  <a:graphicData uri="http://schemas.microsoft.com/office/word/2010/wordprocessingShape">
                    <wps:wsp>
                      <wps:cNvCnPr/>
                      <wps:spPr>
                        <a:xfrm flipV="1">
                          <a:off x="0" y="0"/>
                          <a:ext cx="0" cy="1714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4BC2C0" id="Straight Arrow Connector 22" o:spid="_x0000_s1026" type="#_x0000_t32" style="position:absolute;margin-left:49.5pt;margin-top:21.85pt;width:0;height:13.5pt;flip: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" strokecolor="black [3213]" strokeweight=".5pt">
                <v:stroke endarrow="block" joinstyle="miter"/>
              </v:shape>
            </w:pict>
          </mc:Fallback>
        </mc:AlternateContent>
      </w:r>
      <w:r w:rsidR="006D63CE" w:rsidRPr="007249A7">
        <w:rPr>
          <w:rFonts w:ascii="Times New Roman" w:hAnsi="Times New Roman" w:cs="Times New Roman"/>
          <w:noProof/>
          <w:highlight w:val="yellow"/>
          <w:lang w:val="en-US"/>
        </w:rPr>
        <mc:AlternateContent>
          <mc:Choice Requires="wps">
            <w:drawing>
              <wp:anchor distT="0" distB="0" distL="114300" distR="114300" simplePos="0" relativeHeight="251670528" behindDoc="0" locked="0" layoutInCell="1" allowOverlap="1" wp14:anchorId="5545AC2C" wp14:editId="30C7B9D4">
                <wp:simplePos x="0" y="0"/>
                <wp:positionH relativeFrom="column">
                  <wp:posOffset>3143250</wp:posOffset>
                </wp:positionH>
                <wp:positionV relativeFrom="paragraph">
                  <wp:posOffset>19050</wp:posOffset>
                </wp:positionV>
                <wp:extent cx="9525" cy="152400"/>
                <wp:effectExtent l="38100" t="38100" r="66675" b="19050"/>
                <wp:wrapNone/>
                <wp:docPr id="1544123497" name="Straight Arrow Connector 20"/>
                <wp:cNvGraphicFramePr/>
                <a:graphic xmlns:a="http://schemas.openxmlformats.org/drawingml/2006/main">
                  <a:graphicData uri="http://schemas.microsoft.com/office/word/2010/wordprocessingShape">
                    <wps:wsp>
                      <wps:cNvCnPr/>
                      <wps:spPr>
                        <a:xfrm flipV="1">
                          <a:off x="0" y="0"/>
                          <a:ext cx="9525"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3694277" id="Straight Arrow Connector 20" o:spid="_x0000_s1026" type="#_x0000_t32" style="position:absolute;margin-left:247.5pt;margin-top:1.5pt;width:.75pt;height:12pt;flip:y;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Exchange rate</w:t>
      </w:r>
      <w:proofErr w:type="gramStart"/>
      <w:r w:rsidR="007C12F8" w:rsidRPr="007249A7">
        <w:rPr>
          <w:rFonts w:ascii="Times New Roman" w:hAnsi="Times New Roman" w:cs="Times New Roman"/>
          <w:highlight w:val="yellow"/>
          <w:lang w:val="en-US"/>
        </w:rPr>
        <w:t xml:space="preserve">  </w:t>
      </w:r>
      <w:r w:rsidR="006D63CE" w:rsidRPr="007249A7">
        <w:rPr>
          <w:rFonts w:ascii="Times New Roman" w:hAnsi="Times New Roman" w:cs="Times New Roman"/>
          <w:highlight w:val="yellow"/>
          <w:lang w:val="en-US"/>
        </w:rPr>
        <w:t xml:space="preserve"> (</w:t>
      </w:r>
      <w:proofErr w:type="gramEnd"/>
      <w:r w:rsidR="007C12F8" w:rsidRPr="007249A7">
        <w:rPr>
          <w:rFonts w:ascii="Times New Roman" w:hAnsi="Times New Roman" w:cs="Times New Roman"/>
          <w:highlight w:val="yellow"/>
          <w:lang w:val="en-US"/>
        </w:rPr>
        <w:t xml:space="preserve"> </w:t>
      </w:r>
      <w:r w:rsidR="006D63CE" w:rsidRPr="007249A7">
        <w:rPr>
          <w:rFonts w:ascii="Times New Roman" w:hAnsi="Times New Roman" w:cs="Times New Roman"/>
          <w:highlight w:val="yellow"/>
          <w:lang w:val="en-US"/>
        </w:rPr>
        <w:t xml:space="preserve">(β </w:t>
      </w:r>
      <w:r w:rsidR="007C12F8" w:rsidRPr="007249A7">
        <w:rPr>
          <w:rFonts w:ascii="Times New Roman" w:hAnsi="Times New Roman" w:cs="Times New Roman"/>
          <w:highlight w:val="yellow"/>
          <w:lang w:val="en-US"/>
        </w:rPr>
        <w:t xml:space="preserve">= 0.1534, p = 0.0208) </w:t>
      </w:r>
      <w:r w:rsidR="006D63CE" w:rsidRPr="007249A7">
        <w:rPr>
          <w:rFonts w:ascii="Times New Roman" w:hAnsi="Times New Roman" w:cs="Times New Roman"/>
          <w:highlight w:val="yellow"/>
          <w:lang w:val="en-US"/>
        </w:rPr>
        <w:t xml:space="preserve">     </w:t>
      </w:r>
      <w:r w:rsidR="009074E3" w:rsidRPr="007249A7">
        <w:rPr>
          <w:rFonts w:ascii="Times New Roman" w:hAnsi="Times New Roman" w:cs="Times New Roman"/>
          <w:highlight w:val="yellow"/>
          <w:lang w:val="en-US"/>
        </w:rPr>
        <w:t xml:space="preserve"> </w:t>
      </w:r>
      <w:r w:rsidR="007C12F8" w:rsidRPr="007249A7">
        <w:rPr>
          <w:rFonts w:ascii="Times New Roman" w:hAnsi="Times New Roman" w:cs="Times New Roman"/>
          <w:highlight w:val="yellow"/>
          <w:lang w:val="en-US"/>
        </w:rPr>
        <w:t>FD</w:t>
      </w:r>
      <w:r w:rsidR="009074E3" w:rsidRPr="007249A7">
        <w:rPr>
          <w:rFonts w:ascii="Times New Roman" w:hAnsi="Times New Roman" w:cs="Times New Roman"/>
          <w:highlight w:val="yellow"/>
          <w:lang w:val="en-US"/>
        </w:rPr>
        <w:t xml:space="preserve">I     </w:t>
      </w:r>
    </w:p>
    <w:p w14:paraId="14E1B996" w14:textId="77777777" w:rsidR="007C12F8" w:rsidRPr="007249A7" w:rsidRDefault="009074E3" w:rsidP="00A46DDB">
      <w:pPr>
        <w:tabs>
          <w:tab w:val="left" w:pos="6375"/>
        </w:tabs>
        <w:jc w:val="both"/>
        <w:rPr>
          <w:rFonts w:ascii="Times New Roman" w:hAnsi="Times New Roman" w:cs="Times New Roman"/>
          <w:highlight w:val="yellow"/>
          <w:lang w:val="en-US"/>
        </w:rPr>
      </w:pPr>
      <w:r w:rsidRPr="007249A7">
        <w:rPr>
          <w:rFonts w:ascii="Times New Roman" w:hAnsi="Times New Roman" w:cs="Times New Roman"/>
          <w:noProof/>
          <w:highlight w:val="yellow"/>
          <w:lang w:val="en-US"/>
        </w:rPr>
        <mc:AlternateContent>
          <mc:Choice Requires="wps">
            <w:drawing>
              <wp:anchor distT="0" distB="0" distL="114300" distR="114300" simplePos="0" relativeHeight="251676672" behindDoc="0" locked="0" layoutInCell="1" allowOverlap="1" wp14:anchorId="4605F1B5" wp14:editId="00921305">
                <wp:simplePos x="0" y="0"/>
                <wp:positionH relativeFrom="column">
                  <wp:posOffset>2343150</wp:posOffset>
                </wp:positionH>
                <wp:positionV relativeFrom="paragraph">
                  <wp:posOffset>125095</wp:posOffset>
                </wp:positionV>
                <wp:extent cx="323850" cy="9525"/>
                <wp:effectExtent l="0" t="57150" r="38100" b="85725"/>
                <wp:wrapNone/>
                <wp:docPr id="1047643131" name="Straight Arrow Connector 29"/>
                <wp:cNvGraphicFramePr/>
                <a:graphic xmlns:a="http://schemas.openxmlformats.org/drawingml/2006/main">
                  <a:graphicData uri="http://schemas.microsoft.com/office/word/2010/wordprocessingShape">
                    <wps:wsp>
                      <wps:cNvCnPr/>
                      <wps:spPr>
                        <a:xfrm>
                          <a:off x="0" y="0"/>
                          <a:ext cx="323850" cy="95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AA1D216" id="Straight Arrow Connector 29" o:spid="_x0000_s1026" type="#_x0000_t32" style="position:absolute;margin-left:184.5pt;margin-top:9.85pt;width:25.5pt;height:.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" strokecolor="black [3213]" strokeweight=".5pt">
                <v:stroke endarrow="block" joinstyle="miter"/>
              </v:shape>
            </w:pict>
          </mc:Fallback>
        </mc:AlternateContent>
      </w:r>
      <w:r w:rsidR="007C12F8" w:rsidRPr="007249A7">
        <w:rPr>
          <w:rFonts w:ascii="Times New Roman" w:hAnsi="Times New Roman" w:cs="Times New Roman"/>
          <w:highlight w:val="yellow"/>
          <w:lang w:val="en-US"/>
        </w:rPr>
        <w:t xml:space="preserve">Inflation </w:t>
      </w:r>
      <w:r w:rsidR="006D63CE" w:rsidRPr="007249A7">
        <w:rPr>
          <w:rFonts w:ascii="Times New Roman" w:hAnsi="Times New Roman" w:cs="Times New Roman"/>
          <w:highlight w:val="yellow"/>
          <w:lang w:val="en-US"/>
        </w:rPr>
        <w:t xml:space="preserve">   </w:t>
      </w:r>
      <w:proofErr w:type="gramStart"/>
      <w:r w:rsidR="006D63CE" w:rsidRPr="007249A7">
        <w:rPr>
          <w:rFonts w:ascii="Times New Roman" w:hAnsi="Times New Roman" w:cs="Times New Roman"/>
          <w:highlight w:val="yellow"/>
          <w:lang w:val="en-US"/>
        </w:rPr>
        <w:t xml:space="preserve">   (</w:t>
      </w:r>
      <w:proofErr w:type="gramEnd"/>
      <w:r w:rsidR="006D63CE" w:rsidRPr="007249A7">
        <w:rPr>
          <w:rFonts w:ascii="Times New Roman" w:hAnsi="Times New Roman" w:cs="Times New Roman"/>
          <w:highlight w:val="yellow"/>
          <w:lang w:val="en-US"/>
        </w:rPr>
        <w:t>β</w:t>
      </w:r>
      <w:r w:rsidR="007C12F8" w:rsidRPr="007249A7">
        <w:rPr>
          <w:rFonts w:ascii="Times New Roman" w:hAnsi="Times New Roman" w:cs="Times New Roman"/>
          <w:highlight w:val="yellow"/>
          <w:lang w:val="en-US"/>
        </w:rPr>
        <w:t xml:space="preserve"> = -0.2856, p = 0.0161) </w:t>
      </w:r>
      <w:r w:rsidR="006D63CE" w:rsidRPr="007249A7">
        <w:rPr>
          <w:rFonts w:ascii="Times New Roman" w:hAnsi="Times New Roman" w:cs="Times New Roman"/>
          <w:highlight w:val="yellow"/>
          <w:lang w:val="en-US"/>
        </w:rPr>
        <w:t xml:space="preserve"> </w:t>
      </w:r>
      <w:r w:rsidRPr="007249A7">
        <w:rPr>
          <w:rFonts w:ascii="Times New Roman" w:hAnsi="Times New Roman" w:cs="Times New Roman"/>
          <w:highlight w:val="yellow"/>
          <w:lang w:val="en-US"/>
        </w:rPr>
        <w:t xml:space="preserve">       F</w:t>
      </w:r>
      <w:r w:rsidR="007C12F8" w:rsidRPr="007249A7">
        <w:rPr>
          <w:rFonts w:ascii="Times New Roman" w:hAnsi="Times New Roman" w:cs="Times New Roman"/>
          <w:highlight w:val="yellow"/>
          <w:lang w:val="en-US"/>
        </w:rPr>
        <w:t xml:space="preserve">DI </w:t>
      </w:r>
    </w:p>
    <w:p w14:paraId="32995BA0" w14:textId="77777777" w:rsidR="00A46DDB" w:rsidRPr="007249A7" w:rsidRDefault="00A46DDB" w:rsidP="00A46DDB">
      <w:pPr>
        <w:tabs>
          <w:tab w:val="left" w:pos="6375"/>
        </w:tabs>
        <w:jc w:val="both"/>
        <w:rPr>
          <w:rFonts w:ascii="Times New Roman" w:hAnsi="Times New Roman" w:cs="Times New Roman"/>
          <w:highlight w:val="yellow"/>
        </w:rPr>
      </w:pPr>
      <w:r w:rsidRPr="007249A7">
        <w:rPr>
          <w:rFonts w:ascii="Times New Roman" w:hAnsi="Times New Roman" w:cs="Times New Roman"/>
          <w:highlight w:val="yellow"/>
        </w:rPr>
        <w:t xml:space="preserve">while exchange-rate conditions were also significantly associated with FDI. </w:t>
      </w:r>
    </w:p>
    <w:p w14:paraId="405CE271" w14:textId="77777777" w:rsidR="00A46DDB" w:rsidRPr="005C337E" w:rsidRDefault="00A46DDB" w:rsidP="00A46DDB">
      <w:pPr>
        <w:tabs>
          <w:tab w:val="left" w:pos="6375"/>
        </w:tabs>
        <w:jc w:val="both"/>
        <w:rPr>
          <w:rFonts w:ascii="Times New Roman" w:hAnsi="Times New Roman" w:cs="Times New Roman"/>
        </w:rPr>
      </w:pPr>
      <w:r w:rsidRPr="007249A7">
        <w:rPr>
          <w:rFonts w:ascii="Times New Roman" w:hAnsi="Times New Roman" w:cs="Times New Roman"/>
          <w:highlight w:val="yellow"/>
        </w:rPr>
        <w:t>Consequently, policies aimed at attracting FDI should not focus solely on investment incentives. They should also strengthen the underlying macroeconomic environment through sustainable economic growth, price stability, appropriate monetary conditions and a supportive foreign-exchange environment.</w:t>
      </w:r>
    </w:p>
    <w:p w14:paraId="4667D04F" w14:textId="77777777" w:rsidR="00A46DDB" w:rsidRPr="005C337E" w:rsidRDefault="00A46DDB" w:rsidP="005372DE">
      <w:pPr>
        <w:tabs>
          <w:tab w:val="left" w:pos="6375"/>
        </w:tabs>
        <w:spacing w:after="0"/>
        <w:jc w:val="both"/>
        <w:rPr>
          <w:rFonts w:ascii="Times New Roman" w:hAnsi="Times New Roman" w:cs="Times New Roman"/>
          <w:b/>
          <w:bCs/>
        </w:rPr>
      </w:pPr>
      <w:r w:rsidRPr="005C337E">
        <w:rPr>
          <w:rFonts w:ascii="Times New Roman" w:hAnsi="Times New Roman" w:cs="Times New Roman"/>
          <w:b/>
          <w:bCs/>
        </w:rPr>
        <w:t>5.4 Suggested Further Research</w:t>
      </w:r>
    </w:p>
    <w:p w14:paraId="17AF3693" w14:textId="77777777" w:rsidR="00A46DDB" w:rsidRPr="005C337E" w:rsidRDefault="00A46DDB" w:rsidP="005372DE">
      <w:pPr>
        <w:tabs>
          <w:tab w:val="left" w:pos="6375"/>
        </w:tabs>
        <w:spacing w:after="0"/>
        <w:jc w:val="both"/>
        <w:rPr>
          <w:rFonts w:ascii="Times New Roman" w:hAnsi="Times New Roman" w:cs="Times New Roman"/>
        </w:rPr>
      </w:pPr>
      <w:r w:rsidRPr="005C337E">
        <w:rPr>
          <w:rFonts w:ascii="Times New Roman" w:hAnsi="Times New Roman" w:cs="Times New Roman"/>
        </w:rPr>
        <w:t>The thesis recommends further research in several areas. First, future studies could employ asymmetric modelling and an Autoregressive Distributed Lag (ARDL) approach to examine the specific contribution of exchange-rate components to inward FDI in Kenya. Second, further research could examine the long-run relationship between FDI and economic growth using cointegration and vector autoregressive approaches. Third, future research could examine the dynamic effects of inflation on the relationship between FDI and economic development rather than focusing only on its direct effect.</w:t>
      </w:r>
    </w:p>
    <w:p w14:paraId="37CD7101" w14:textId="77777777" w:rsidR="009A7968" w:rsidRPr="005C337E" w:rsidRDefault="009A7968" w:rsidP="00EB72D7">
      <w:pPr>
        <w:tabs>
          <w:tab w:val="left" w:pos="6375"/>
        </w:tabs>
        <w:jc w:val="both"/>
        <w:rPr>
          <w:rFonts w:ascii="Times New Roman" w:hAnsi="Times New Roman" w:cs="Times New Roman"/>
        </w:rPr>
      </w:pPr>
    </w:p>
    <w:p w14:paraId="5F7517C4" w14:textId="77777777" w:rsidR="008045F3" w:rsidRPr="005C337E" w:rsidRDefault="008045F3" w:rsidP="00521347">
      <w:pPr>
        <w:tabs>
          <w:tab w:val="left" w:pos="6375"/>
        </w:tabs>
        <w:spacing w:after="0"/>
        <w:jc w:val="both"/>
        <w:rPr>
          <w:rFonts w:ascii="Times New Roman" w:hAnsi="Times New Roman" w:cs="Times New Roman"/>
          <w:b/>
          <w:bCs/>
          <w:lang w:val="en-US"/>
        </w:rPr>
      </w:pPr>
      <w:r w:rsidRPr="005C337E">
        <w:rPr>
          <w:rFonts w:ascii="Times New Roman" w:hAnsi="Times New Roman" w:cs="Times New Roman"/>
          <w:b/>
          <w:bCs/>
          <w:lang w:val="en-US"/>
        </w:rPr>
        <w:t>5.5 Limitations of the Study</w:t>
      </w:r>
    </w:p>
    <w:p w14:paraId="2A1DA354" w14:textId="77777777" w:rsidR="008045F3" w:rsidRPr="005C337E" w:rsidRDefault="008045F3" w:rsidP="00521347">
      <w:pPr>
        <w:tabs>
          <w:tab w:val="left" w:pos="6375"/>
        </w:tabs>
        <w:spacing w:after="0"/>
        <w:jc w:val="both"/>
        <w:rPr>
          <w:rFonts w:ascii="Times New Roman" w:hAnsi="Times New Roman" w:cs="Times New Roman"/>
          <w:lang w:val="en-US"/>
        </w:rPr>
      </w:pPr>
      <w:r w:rsidRPr="005C337E">
        <w:rPr>
          <w:rFonts w:ascii="Times New Roman" w:hAnsi="Times New Roman" w:cs="Times New Roman"/>
          <w:lang w:val="en-US"/>
        </w:rPr>
        <w:t xml:space="preserve">The study has several limitations that should be considered when interpreting its findings. First, the analysis relied on annual time-series data covering the period 1966–2019. The availability and consistency of historical macroeconomic data may limit the extent to which the findings capture more recent changes in Kenya’s investment environment. Second, the study focused on selected macroeconomic variables, namely real interest rate, inflation, economic growth and exchange rate. Other factors that may influence FDI, including political stability, institutional quality, infrastructure, trade openness and market size, were not included in the estimated model. Third, the findings are specific to Kenya and the period examined; therefore, caution should be exercised when </w:t>
      </w:r>
      <w:r w:rsidRPr="005C337E">
        <w:rPr>
          <w:rFonts w:ascii="Times New Roman" w:hAnsi="Times New Roman" w:cs="Times New Roman"/>
          <w:highlight w:val="yellow"/>
          <w:lang w:val="en-US"/>
        </w:rPr>
        <w:t>generalising</w:t>
      </w:r>
      <w:r w:rsidRPr="005C337E">
        <w:rPr>
          <w:rFonts w:ascii="Times New Roman" w:hAnsi="Times New Roman" w:cs="Times New Roman"/>
          <w:lang w:val="en-US"/>
        </w:rPr>
        <w:t xml:space="preserve"> the results to other countries or to periods beyond the study horizon. Finally, the study identifies statistical relationships between the selected macroeconomic variables and FDI and should not be interpreted as establishing definitive causal effects. Future research incorporating additional determinants, more recent observations and alternative econometric approaches could provide further evidence on the dynamics of FDI in Kenya.</w:t>
      </w:r>
    </w:p>
    <w:p w14:paraId="4E0FA149" w14:textId="77777777" w:rsidR="007B3574" w:rsidRPr="005C337E" w:rsidRDefault="007B3574" w:rsidP="00EB72D7">
      <w:pPr>
        <w:tabs>
          <w:tab w:val="left" w:pos="6375"/>
        </w:tabs>
        <w:jc w:val="both"/>
        <w:rPr>
          <w:rFonts w:ascii="Times New Roman" w:hAnsi="Times New Roman" w:cs="Times New Roman"/>
        </w:rPr>
      </w:pPr>
    </w:p>
    <w:p w14:paraId="48AB4A35" w14:textId="77777777" w:rsidR="007B3574" w:rsidRPr="005C337E" w:rsidRDefault="005F2F87" w:rsidP="005F2F87">
      <w:pPr>
        <w:tabs>
          <w:tab w:val="left" w:pos="3615"/>
        </w:tabs>
        <w:spacing w:after="0"/>
        <w:jc w:val="both"/>
        <w:rPr>
          <w:rFonts w:ascii="Times New Roman" w:hAnsi="Times New Roman" w:cs="Times New Roman"/>
          <w:b/>
          <w:bCs/>
        </w:rPr>
      </w:pPr>
      <w:r w:rsidRPr="005C337E">
        <w:rPr>
          <w:rFonts w:ascii="Times New Roman" w:hAnsi="Times New Roman" w:cs="Times New Roman"/>
          <w:b/>
          <w:bCs/>
        </w:rPr>
        <w:t>REFERENCES</w:t>
      </w:r>
      <w:r w:rsidRPr="005C337E">
        <w:rPr>
          <w:rFonts w:ascii="Times New Roman" w:hAnsi="Times New Roman" w:cs="Times New Roman"/>
          <w:b/>
          <w:bCs/>
        </w:rPr>
        <w:tab/>
      </w:r>
    </w:p>
    <w:p w14:paraId="6E4AA12D" w14:textId="77777777" w:rsidR="006D4C3B" w:rsidRPr="00AC61A8" w:rsidRDefault="00000000">
      <w:pPr>
        <w:spacing w:after="0"/>
        <w:ind w:left="720" w:hanging="720"/>
      </w:pPr>
      <w:r>
        <w:rPr>
          <w:rFonts w:ascii="Times New Roman" w:hAnsi="Times New Roman"/>
        </w:rPr>
        <w:t xml:space="preserve">Achieng, J. (2018). </w:t>
      </w:r>
      <w:r>
        <w:rPr>
          <w:rFonts w:ascii="Times New Roman" w:hAnsi="Times New Roman"/>
          <w:i/>
        </w:rPr>
        <w:t xml:space="preserve">Critical success factors for private and public-private partnership </w:t>
      </w:r>
      <w:r w:rsidRPr="00AC61A8">
        <w:rPr>
          <w:rFonts w:ascii="Times New Roman" w:hAnsi="Times New Roman"/>
          <w:i/>
        </w:rPr>
        <w:t>investments in renewable energy development in Kenya</w:t>
      </w:r>
      <w:r w:rsidRPr="00AC61A8">
        <w:rPr>
          <w:rFonts w:ascii="Times New Roman" w:hAnsi="Times New Roman"/>
        </w:rPr>
        <w:t xml:space="preserve"> [Master’s thesis, University of Cape Town]. OpenUCT. </w:t>
      </w:r>
      <w:hyperlink r:id="rId7">
        <w:r w:rsidR="006D4C3B" w:rsidRPr="00AC61A8">
          <w:rPr>
            <w:rFonts w:ascii="Times New Roman" w:hAnsi="Times New Roman"/>
            <w:color w:val="0563C1"/>
            <w:u w:val="single"/>
          </w:rPr>
          <w:t>http://hdl.handle.net/11427/29928</w:t>
        </w:r>
      </w:hyperlink>
    </w:p>
    <w:p w14:paraId="401637F4" w14:textId="77777777" w:rsidR="006D4C3B" w:rsidRPr="00AC61A8" w:rsidRDefault="00000000">
      <w:pPr>
        <w:spacing w:after="0"/>
        <w:ind w:left="720" w:hanging="720"/>
      </w:pPr>
      <w:r w:rsidRPr="00AC61A8">
        <w:rPr>
          <w:rFonts w:ascii="Times New Roman" w:eastAsia="Times New Roman" w:hAnsi="Times New Roman"/>
          <w:highlight w:val="yellow"/>
        </w:rPr>
        <w:t xml:space="preserve">Abdullahi, I. B., &amp; Saka, T. A. (2025). Investing in Sub-Saharan Africa: The role of internal macroeconomic factors and institutional quality in FDI growth. </w:t>
      </w:r>
      <w:r w:rsidRPr="00AC61A8">
        <w:rPr>
          <w:rFonts w:ascii="Times New Roman" w:eastAsia="Times New Roman" w:hAnsi="Times New Roman"/>
          <w:i/>
          <w:highlight w:val="yellow"/>
        </w:rPr>
        <w:t xml:space="preserve">Asian Journal of </w:t>
      </w:r>
      <w:r w:rsidRPr="00AC61A8">
        <w:rPr>
          <w:rFonts w:ascii="Times New Roman" w:eastAsia="Times New Roman" w:hAnsi="Times New Roman"/>
          <w:i/>
          <w:highlight w:val="yellow"/>
        </w:rPr>
        <w:lastRenderedPageBreak/>
        <w:t>Economics, Finance and Management</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7</w:t>
      </w:r>
      <w:r w:rsidRPr="00AC61A8">
        <w:rPr>
          <w:rFonts w:ascii="Times New Roman" w:eastAsia="Times New Roman" w:hAnsi="Times New Roman"/>
          <w:highlight w:val="yellow"/>
        </w:rPr>
        <w:t>(1), 612–627. https://doi.org/10.56557/ajefm/2025/v7i1299</w:t>
      </w:r>
    </w:p>
    <w:p w14:paraId="2F6D682E" w14:textId="77777777" w:rsidR="006D4C3B" w:rsidRPr="00AC61A8" w:rsidRDefault="00000000">
      <w:pPr>
        <w:spacing w:after="0"/>
        <w:ind w:left="720" w:hanging="720"/>
      </w:pPr>
      <w:r w:rsidRPr="00AC61A8">
        <w:rPr>
          <w:rFonts w:ascii="Times New Roman" w:hAnsi="Times New Roman"/>
        </w:rPr>
        <w:t xml:space="preserve">Adegboye, F. B., &amp; Gbebikan, A. M. (2026). Foreign direct investment, macro economic variables and Nigeria’s economic development. </w:t>
      </w:r>
      <w:r w:rsidRPr="00AC61A8">
        <w:rPr>
          <w:rFonts w:ascii="Times New Roman" w:hAnsi="Times New Roman"/>
          <w:i/>
        </w:rPr>
        <w:t>Nigerian Journal of Banking and Financial Issues</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(1). </w:t>
      </w:r>
      <w:hyperlink r:id="rId8">
        <w:r w:rsidR="006D4C3B" w:rsidRPr="00AC61A8">
          <w:rPr>
            <w:rFonts w:ascii="Times New Roman" w:hAnsi="Times New Roman"/>
            <w:color w:val="0563C1"/>
            <w:u w:val="single"/>
          </w:rPr>
          <w:t>https://eksujournal.eksu.edu.ng/ojs/index.php/njbf/article/download/502/2239/4054</w:t>
        </w:r>
      </w:hyperlink>
    </w:p>
    <w:p w14:paraId="13426CB4" w14:textId="77777777" w:rsidR="006D4C3B" w:rsidRPr="00AC61A8" w:rsidRDefault="00000000">
      <w:pPr>
        <w:spacing w:after="0"/>
        <w:ind w:left="720" w:hanging="720"/>
      </w:pPr>
      <w:r w:rsidRPr="00AC61A8">
        <w:rPr>
          <w:rFonts w:ascii="Times New Roman" w:hAnsi="Times New Roman"/>
        </w:rPr>
        <w:t xml:space="preserve">Adelakun, O. J., Ojo, O. O., &amp; Mpungose, S. (2025). Empirical re-investigation into the export-led growth hypothesis (ELGH): Evidence from EAC and SADC economies. </w:t>
      </w:r>
      <w:r w:rsidRPr="00AC61A8">
        <w:rPr>
          <w:rFonts w:ascii="Times New Roman" w:hAnsi="Times New Roman"/>
          <w:i/>
        </w:rPr>
        <w:t>Economies</w:t>
      </w:r>
      <w:r w:rsidRPr="00AC61A8">
        <w:rPr>
          <w:rFonts w:ascii="Times New Roman" w:hAnsi="Times New Roman"/>
        </w:rPr>
        <w:t xml:space="preserve">, </w:t>
      </w:r>
      <w:r w:rsidRPr="00AC61A8">
        <w:rPr>
          <w:rFonts w:ascii="Times New Roman" w:hAnsi="Times New Roman"/>
          <w:i/>
        </w:rPr>
        <w:t>13</w:t>
      </w:r>
      <w:r w:rsidRPr="00AC61A8">
        <w:rPr>
          <w:rFonts w:ascii="Times New Roman" w:hAnsi="Times New Roman"/>
        </w:rPr>
        <w:t xml:space="preserve">(6), 175. </w:t>
      </w:r>
      <w:hyperlink r:id="rId9">
        <w:r w:rsidR="006D4C3B" w:rsidRPr="00AC61A8">
          <w:rPr>
            <w:rFonts w:ascii="Times New Roman" w:hAnsi="Times New Roman"/>
            <w:color w:val="0563C1"/>
            <w:u w:val="single"/>
          </w:rPr>
          <w:t>https://doi.org/10.3390/economies13060175</w:t>
        </w:r>
      </w:hyperlink>
    </w:p>
    <w:p w14:paraId="7650ED82" w14:textId="77777777" w:rsidR="006D4C3B" w:rsidRPr="00AC61A8" w:rsidRDefault="00000000">
      <w:pPr>
        <w:spacing w:after="0"/>
        <w:ind w:left="720" w:hanging="720"/>
      </w:pPr>
      <w:r w:rsidRPr="00AC61A8">
        <w:rPr>
          <w:rFonts w:ascii="Times New Roman" w:hAnsi="Times New Roman"/>
        </w:rPr>
        <w:t xml:space="preserve">Alam, M. R. (2025). </w:t>
      </w:r>
      <w:r w:rsidRPr="00AC61A8">
        <w:rPr>
          <w:rFonts w:ascii="Times New Roman" w:hAnsi="Times New Roman"/>
          <w:i/>
        </w:rPr>
        <w:t>The impact of inflation on foreign direct investment (FDI): Evidence from Bangladesh</w:t>
      </w:r>
      <w:r w:rsidRPr="00AC61A8">
        <w:rPr>
          <w:rFonts w:ascii="Times New Roman" w:hAnsi="Times New Roman"/>
        </w:rPr>
        <w:t xml:space="preserve"> [Master’s thesis, University of Vaasa]. University of Vaasa. </w:t>
      </w:r>
      <w:hyperlink r:id="rId10">
        <w:r w:rsidR="006D4C3B" w:rsidRPr="00AC61A8">
          <w:rPr>
            <w:rFonts w:ascii="Times New Roman" w:hAnsi="Times New Roman"/>
            <w:color w:val="0563C1"/>
            <w:u w:val="single"/>
          </w:rPr>
          <w:t>https://osuva.uwasa.fi/server/api/core/bitstreams/bf1e8a6c-ba0c-4c08-94fc-4f08430feae5/content</w:t>
        </w:r>
      </w:hyperlink>
    </w:p>
    <w:p w14:paraId="19B4964E" w14:textId="77777777" w:rsidR="006D4C3B" w:rsidRPr="00AC61A8" w:rsidRDefault="00000000">
      <w:pPr>
        <w:spacing w:after="0"/>
        <w:ind w:left="720" w:hanging="720"/>
      </w:pPr>
      <w:r w:rsidRPr="00AC61A8">
        <w:rPr>
          <w:rFonts w:ascii="Times New Roman" w:hAnsi="Times New Roman"/>
        </w:rPr>
        <w:t xml:space="preserve">Alharthi, M., Islam, M. M., Alamoudi, H., &amp; Murad, M. W. (2024). Determinants that attract and discourage foreign direct investment in GCC countries: Do macroeconomic and environmental factors matter? </w:t>
      </w:r>
      <w:r w:rsidRPr="00AC61A8">
        <w:rPr>
          <w:rFonts w:ascii="Times New Roman" w:hAnsi="Times New Roman"/>
          <w:i/>
        </w:rPr>
        <w:t>PLOS ONE</w:t>
      </w:r>
      <w:r w:rsidRPr="00AC61A8">
        <w:rPr>
          <w:rFonts w:ascii="Times New Roman" w:hAnsi="Times New Roman"/>
        </w:rPr>
        <w:t xml:space="preserve">, </w:t>
      </w:r>
      <w:r w:rsidRPr="00AC61A8">
        <w:rPr>
          <w:rFonts w:ascii="Times New Roman" w:hAnsi="Times New Roman"/>
          <w:i/>
        </w:rPr>
        <w:t>19</w:t>
      </w:r>
      <w:r w:rsidRPr="00AC61A8">
        <w:rPr>
          <w:rFonts w:ascii="Times New Roman" w:hAnsi="Times New Roman"/>
        </w:rPr>
        <w:t xml:space="preserve">(2), e0298129. </w:t>
      </w:r>
      <w:hyperlink r:id="rId11">
        <w:r w:rsidR="006D4C3B" w:rsidRPr="00AC61A8">
          <w:rPr>
            <w:rFonts w:ascii="Times New Roman" w:hAnsi="Times New Roman"/>
            <w:color w:val="0563C1"/>
            <w:u w:val="single"/>
          </w:rPr>
          <w:t>https://doi.org/10.1371/journal.pone.0298129</w:t>
        </w:r>
      </w:hyperlink>
    </w:p>
    <w:p w14:paraId="3FF6EE66" w14:textId="77777777" w:rsidR="006D4C3B" w:rsidRPr="00AC61A8" w:rsidRDefault="00000000">
      <w:pPr>
        <w:spacing w:after="0"/>
        <w:ind w:left="720" w:hanging="720"/>
      </w:pPr>
      <w:r w:rsidRPr="00AC61A8">
        <w:rPr>
          <w:rFonts w:ascii="Times New Roman" w:hAnsi="Times New Roman"/>
        </w:rPr>
        <w:t xml:space="preserve">Alshamsi, K. H., Hussin, M. R., &amp; Azam, M. (2015). The impact of inflation and GDP per capita on foreign direct investment: The case of United Arab Emirates. </w:t>
      </w:r>
      <w:r w:rsidRPr="00AC61A8">
        <w:rPr>
          <w:rFonts w:ascii="Times New Roman" w:hAnsi="Times New Roman"/>
          <w:i/>
        </w:rPr>
        <w:t>Investment Management and Financial Innovations</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(3-1), 132–141. </w:t>
      </w:r>
      <w:hyperlink r:id="rId12">
        <w:r w:rsidR="006D4C3B" w:rsidRPr="00AC61A8">
          <w:rPr>
            <w:rFonts w:ascii="Times New Roman" w:hAnsi="Times New Roman"/>
            <w:color w:val="0563C1"/>
            <w:u w:val="single"/>
          </w:rPr>
          <w:t>https://www.researchgate.net/publication/283178576_The_impact_of_inflation_and_GDP_per_capita_on_foreign_direct_investment_The_case_of_United_Arab_Emirates</w:t>
        </w:r>
      </w:hyperlink>
    </w:p>
    <w:p w14:paraId="7F24A481" w14:textId="77777777" w:rsidR="006D4C3B" w:rsidRPr="00AC61A8" w:rsidRDefault="00000000">
      <w:pPr>
        <w:spacing w:after="0"/>
        <w:ind w:left="720" w:hanging="720"/>
      </w:pPr>
      <w:r w:rsidRPr="00AC61A8">
        <w:rPr>
          <w:rFonts w:ascii="Times New Roman" w:hAnsi="Times New Roman"/>
        </w:rPr>
        <w:t xml:space="preserve">Alshubiri, F., &amp; Hussein, M. (2026). Do interest rate, regulatory quality, and price level matter for FDI decisions in BRICS and GCC countries? </w:t>
      </w:r>
      <w:r w:rsidRPr="00AC61A8">
        <w:rPr>
          <w:rFonts w:ascii="Times New Roman" w:hAnsi="Times New Roman"/>
          <w:i/>
        </w:rPr>
        <w:t>Future Business Journal</w:t>
      </w:r>
      <w:r w:rsidRPr="00AC61A8">
        <w:rPr>
          <w:rFonts w:ascii="Times New Roman" w:hAnsi="Times New Roman"/>
        </w:rPr>
        <w:t xml:space="preserve">, </w:t>
      </w:r>
      <w:r w:rsidRPr="00AC61A8">
        <w:rPr>
          <w:rFonts w:ascii="Times New Roman" w:hAnsi="Times New Roman"/>
          <w:i/>
        </w:rPr>
        <w:t>12</w:t>
      </w:r>
      <w:r w:rsidRPr="00AC61A8">
        <w:rPr>
          <w:rFonts w:ascii="Times New Roman" w:hAnsi="Times New Roman"/>
        </w:rPr>
        <w:t xml:space="preserve">, 196. </w:t>
      </w:r>
      <w:hyperlink r:id="rId13">
        <w:r w:rsidR="006D4C3B" w:rsidRPr="00AC61A8">
          <w:rPr>
            <w:rFonts w:ascii="Times New Roman" w:hAnsi="Times New Roman"/>
            <w:color w:val="0563C1"/>
            <w:u w:val="single"/>
          </w:rPr>
          <w:t>https://doi.org/10.1186/s43093-026-00895-6</w:t>
        </w:r>
      </w:hyperlink>
    </w:p>
    <w:p w14:paraId="3BC7E6D1" w14:textId="77777777" w:rsidR="006D4C3B" w:rsidRPr="00AC61A8" w:rsidRDefault="00000000">
      <w:pPr>
        <w:spacing w:after="0"/>
        <w:ind w:left="720" w:hanging="720"/>
      </w:pPr>
      <w:r w:rsidRPr="00AC61A8">
        <w:rPr>
          <w:rFonts w:ascii="Times New Roman" w:eastAsia="Times New Roman" w:hAnsi="Times New Roman"/>
          <w:highlight w:val="yellow"/>
        </w:rPr>
        <w:t xml:space="preserve">Aregbeshola, A. R., &amp; Adekunle, I. A. (2025). Episode of foreign direct investment reversal—The role of macroeconomic fundamentals in Sub-Saharan Africa. </w:t>
      </w:r>
      <w:r w:rsidRPr="00AC61A8">
        <w:rPr>
          <w:rFonts w:ascii="Times New Roman" w:eastAsia="Times New Roman" w:hAnsi="Times New Roman"/>
          <w:i/>
          <w:highlight w:val="yellow"/>
        </w:rPr>
        <w:t>Journal of Industry, Competition and Trade</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25</w:t>
      </w:r>
      <w:r w:rsidRPr="00AC61A8">
        <w:rPr>
          <w:rFonts w:ascii="Times New Roman" w:eastAsia="Times New Roman" w:hAnsi="Times New Roman"/>
          <w:highlight w:val="yellow"/>
        </w:rPr>
        <w:t>, 12. https://doi.org/10.1007/s10842-025-00447-8</w:t>
      </w:r>
    </w:p>
    <w:p w14:paraId="7EEEC6CC" w14:textId="77777777" w:rsidR="006D4C3B" w:rsidRPr="00AC61A8" w:rsidRDefault="00000000">
      <w:pPr>
        <w:spacing w:after="0"/>
        <w:ind w:left="720" w:hanging="720"/>
      </w:pPr>
      <w:r w:rsidRPr="00AC61A8">
        <w:rPr>
          <w:rFonts w:ascii="Times New Roman" w:hAnsi="Times New Roman"/>
        </w:rPr>
        <w:t xml:space="preserve">Asamoah, M. E., Alagidede, I. P., &amp; Adu, F. (2022). Exchange rate uncertainty and foreign direct investment in Africa: Does financial development matter? </w:t>
      </w:r>
      <w:r w:rsidRPr="00AC61A8">
        <w:rPr>
          <w:rFonts w:ascii="Times New Roman" w:hAnsi="Times New Roman"/>
          <w:i/>
        </w:rPr>
        <w:t>Review of Development Economics</w:t>
      </w:r>
      <w:r w:rsidRPr="00AC61A8">
        <w:rPr>
          <w:rFonts w:ascii="Times New Roman" w:hAnsi="Times New Roman"/>
        </w:rPr>
        <w:t xml:space="preserve">, </w:t>
      </w:r>
      <w:r w:rsidRPr="00AC61A8">
        <w:rPr>
          <w:rFonts w:ascii="Times New Roman" w:hAnsi="Times New Roman"/>
          <w:i/>
        </w:rPr>
        <w:t>26</w:t>
      </w:r>
      <w:r w:rsidRPr="00AC61A8">
        <w:rPr>
          <w:rFonts w:ascii="Times New Roman" w:hAnsi="Times New Roman"/>
        </w:rPr>
        <w:t xml:space="preserve">(2), 878–898. </w:t>
      </w:r>
      <w:hyperlink r:id="rId14">
        <w:r w:rsidR="006D4C3B" w:rsidRPr="00AC61A8">
          <w:rPr>
            <w:rFonts w:ascii="Times New Roman" w:hAnsi="Times New Roman"/>
            <w:color w:val="0563C1"/>
            <w:u w:val="single"/>
          </w:rPr>
          <w:t>https://doi.org/10.1111/rode.12858</w:t>
        </w:r>
      </w:hyperlink>
    </w:p>
    <w:p w14:paraId="294D8F60" w14:textId="77777777" w:rsidR="006D4C3B" w:rsidRPr="00AC61A8" w:rsidRDefault="00000000">
      <w:pPr>
        <w:spacing w:after="0"/>
        <w:ind w:left="720" w:hanging="720"/>
      </w:pPr>
      <w:r w:rsidRPr="00AC61A8">
        <w:rPr>
          <w:rFonts w:ascii="Times New Roman" w:hAnsi="Times New Roman"/>
        </w:rPr>
        <w:t xml:space="preserve">Breusch, T. S., &amp; Pagan, A. R. (1979). A simple test for heteroscedasticity and random coefficient variation.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47</w:t>
      </w:r>
      <w:r w:rsidRPr="00AC61A8">
        <w:rPr>
          <w:rFonts w:ascii="Times New Roman" w:hAnsi="Times New Roman"/>
        </w:rPr>
        <w:t xml:space="preserve">(5), 1287–1294. </w:t>
      </w:r>
      <w:hyperlink r:id="rId15">
        <w:r w:rsidR="006D4C3B" w:rsidRPr="00AC61A8">
          <w:rPr>
            <w:rFonts w:ascii="Times New Roman" w:hAnsi="Times New Roman"/>
            <w:color w:val="0563C1"/>
            <w:u w:val="single"/>
          </w:rPr>
          <w:t>https://doi.org/10.2307/1911963</w:t>
        </w:r>
      </w:hyperlink>
    </w:p>
    <w:p w14:paraId="1F8214BE" w14:textId="77777777" w:rsidR="006D4C3B" w:rsidRPr="00AC61A8" w:rsidRDefault="00000000">
      <w:pPr>
        <w:spacing w:after="0"/>
        <w:ind w:left="720" w:hanging="720"/>
      </w:pPr>
      <w:r w:rsidRPr="00AC61A8">
        <w:rPr>
          <w:rFonts w:ascii="Times New Roman" w:hAnsi="Times New Roman"/>
        </w:rPr>
        <w:t xml:space="preserve">Bryniuk, K. (2023). Is the gross domestic product (GDP) a reliable indicator of the economic growth and future economy of the United States of America? </w:t>
      </w:r>
      <w:r w:rsidRPr="00AC61A8">
        <w:rPr>
          <w:rFonts w:ascii="Times New Roman" w:hAnsi="Times New Roman"/>
          <w:i/>
        </w:rPr>
        <w:t>Open Access Library Journal</w:t>
      </w:r>
      <w:r w:rsidRPr="00AC61A8">
        <w:rPr>
          <w:rFonts w:ascii="Times New Roman" w:hAnsi="Times New Roman"/>
        </w:rPr>
        <w:t xml:space="preserve">, </w:t>
      </w:r>
      <w:r w:rsidRPr="00AC61A8">
        <w:rPr>
          <w:rFonts w:ascii="Times New Roman" w:hAnsi="Times New Roman"/>
          <w:i/>
        </w:rPr>
        <w:t>10</w:t>
      </w:r>
      <w:r w:rsidRPr="00AC61A8">
        <w:rPr>
          <w:rFonts w:ascii="Times New Roman" w:hAnsi="Times New Roman"/>
        </w:rPr>
        <w:t>(4), 1–</w:t>
      </w:r>
      <w:r w:rsidRPr="00AC61A8">
        <w:rPr>
          <w:rFonts w:ascii="Times New Roman" w:hAnsi="Times New Roman"/>
          <w:i/>
        </w:rPr>
        <w:t>10</w:t>
      </w:r>
      <w:r w:rsidRPr="00AC61A8">
        <w:rPr>
          <w:rFonts w:ascii="Times New Roman" w:hAnsi="Times New Roman"/>
        </w:rPr>
        <w:t xml:space="preserve">. </w:t>
      </w:r>
      <w:hyperlink r:id="rId16">
        <w:r w:rsidR="006D4C3B" w:rsidRPr="00AC61A8">
          <w:rPr>
            <w:rFonts w:ascii="Times New Roman" w:hAnsi="Times New Roman"/>
            <w:color w:val="0563C1"/>
            <w:u w:val="single"/>
          </w:rPr>
          <w:t>https://doi.org/10.4236/oalib.1110100</w:t>
        </w:r>
      </w:hyperlink>
    </w:p>
    <w:p w14:paraId="5C627FB5" w14:textId="77777777" w:rsidR="006D4C3B" w:rsidRPr="00AC61A8" w:rsidRDefault="00000000">
      <w:pPr>
        <w:spacing w:after="0"/>
        <w:ind w:left="720" w:hanging="720"/>
      </w:pPr>
      <w:r w:rsidRPr="00AC61A8">
        <w:rPr>
          <w:rFonts w:ascii="Times New Roman" w:eastAsia="Times New Roman" w:hAnsi="Times New Roman"/>
          <w:highlight w:val="yellow"/>
        </w:rPr>
        <w:t xml:space="preserve">Byaro, M., Rwezaula, A., Bulili, J., &amp; Dimoso, R. (2025). Assessing monetary and fiscal policy measures to promote the sustainability of domestic and foreign direct investment in Sub-Saharan Africa. </w:t>
      </w:r>
      <w:r w:rsidRPr="00AC61A8">
        <w:rPr>
          <w:rFonts w:ascii="Times New Roman" w:eastAsia="Times New Roman" w:hAnsi="Times New Roman"/>
          <w:i/>
          <w:highlight w:val="yellow"/>
        </w:rPr>
        <w:t>World Affairs</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188</w:t>
      </w:r>
      <w:r w:rsidRPr="00AC61A8">
        <w:rPr>
          <w:rFonts w:ascii="Times New Roman" w:eastAsia="Times New Roman" w:hAnsi="Times New Roman"/>
          <w:highlight w:val="yellow"/>
        </w:rPr>
        <w:t>(4), e270027. https://doi.org/10.1002/waf2.70027</w:t>
      </w:r>
    </w:p>
    <w:p w14:paraId="49CA35EB" w14:textId="77777777" w:rsidR="006D4C3B" w:rsidRPr="00AC61A8" w:rsidRDefault="00000000">
      <w:pPr>
        <w:spacing w:after="0"/>
        <w:ind w:left="720" w:hanging="720"/>
      </w:pPr>
      <w:r w:rsidRPr="00AC61A8">
        <w:rPr>
          <w:rFonts w:ascii="Times New Roman" w:hAnsi="Times New Roman"/>
        </w:rPr>
        <w:lastRenderedPageBreak/>
        <w:t xml:space="preserve">Church, J. D. (2016). Comparing the Consumer Price Index with the gross domestic product price index and gross domestic product implicit price deflator. </w:t>
      </w:r>
      <w:r w:rsidRPr="00AC61A8">
        <w:rPr>
          <w:rFonts w:ascii="Times New Roman" w:hAnsi="Times New Roman"/>
          <w:i/>
        </w:rPr>
        <w:t>Monthly Labor Review</w:t>
      </w:r>
      <w:r w:rsidRPr="00AC61A8">
        <w:rPr>
          <w:rFonts w:ascii="Times New Roman" w:hAnsi="Times New Roman"/>
        </w:rPr>
        <w:t xml:space="preserve">. </w:t>
      </w:r>
      <w:hyperlink r:id="rId17">
        <w:r w:rsidR="006D4C3B" w:rsidRPr="00AC61A8">
          <w:rPr>
            <w:rFonts w:ascii="Times New Roman" w:hAnsi="Times New Roman"/>
            <w:color w:val="0563C1"/>
            <w:u w:val="single"/>
          </w:rPr>
          <w:t>https://doi.org/10.21916/mlr.2016.13</w:t>
        </w:r>
      </w:hyperlink>
    </w:p>
    <w:p w14:paraId="6D83592D" w14:textId="77777777" w:rsidR="006D4C3B" w:rsidRPr="00AC61A8" w:rsidRDefault="00000000">
      <w:pPr>
        <w:spacing w:after="0"/>
        <w:ind w:left="720" w:hanging="720"/>
      </w:pPr>
      <w:r w:rsidRPr="00AC61A8">
        <w:rPr>
          <w:rFonts w:ascii="Times New Roman" w:hAnsi="Times New Roman"/>
        </w:rPr>
        <w:t xml:space="preserve">Ciesielska, D., &amp; Kołtuniak, M. (2017). Outward foreign direct investments and home country’s economic growth. </w:t>
      </w:r>
      <w:r w:rsidRPr="00AC61A8">
        <w:rPr>
          <w:rFonts w:ascii="Times New Roman" w:hAnsi="Times New Roman"/>
          <w:i/>
        </w:rPr>
        <w:t>Physica A: Statistical Mechanics and Its Applications</w:t>
      </w:r>
      <w:r w:rsidRPr="00AC61A8">
        <w:rPr>
          <w:rFonts w:ascii="Times New Roman" w:hAnsi="Times New Roman"/>
        </w:rPr>
        <w:t xml:space="preserve">, </w:t>
      </w:r>
      <w:r w:rsidRPr="00AC61A8">
        <w:rPr>
          <w:rFonts w:ascii="Times New Roman" w:hAnsi="Times New Roman"/>
          <w:i/>
        </w:rPr>
        <w:t>482</w:t>
      </w:r>
      <w:r w:rsidRPr="00AC61A8">
        <w:rPr>
          <w:rFonts w:ascii="Times New Roman" w:hAnsi="Times New Roman"/>
        </w:rPr>
        <w:t xml:space="preserve">, 127–146. </w:t>
      </w:r>
      <w:hyperlink r:id="rId18">
        <w:r w:rsidR="006D4C3B" w:rsidRPr="00AC61A8">
          <w:rPr>
            <w:rFonts w:ascii="Times New Roman" w:hAnsi="Times New Roman"/>
            <w:color w:val="0563C1"/>
            <w:u w:val="single"/>
          </w:rPr>
          <w:t>https://doi.org/10.1016/j.physa.2017.04.057</w:t>
        </w:r>
      </w:hyperlink>
    </w:p>
    <w:p w14:paraId="63010743" w14:textId="77777777" w:rsidR="006D4C3B" w:rsidRPr="00AC61A8" w:rsidRDefault="00000000">
      <w:pPr>
        <w:spacing w:after="0"/>
        <w:ind w:left="720" w:hanging="720"/>
      </w:pPr>
      <w:r w:rsidRPr="00AC61A8">
        <w:rPr>
          <w:rFonts w:ascii="Times New Roman" w:hAnsi="Times New Roman"/>
        </w:rPr>
        <w:t xml:space="preserve">Cushman, D. O., &amp; De Vita, G. (2017). Exchange rate regimes and FDI in developing countries: A propensity score matching approach. </w:t>
      </w:r>
      <w:r w:rsidRPr="00AC61A8">
        <w:rPr>
          <w:rFonts w:ascii="Times New Roman" w:hAnsi="Times New Roman"/>
          <w:i/>
        </w:rPr>
        <w:t>Journal of International Money and Finance</w:t>
      </w:r>
      <w:r w:rsidRPr="00AC61A8">
        <w:rPr>
          <w:rFonts w:ascii="Times New Roman" w:hAnsi="Times New Roman"/>
        </w:rPr>
        <w:t xml:space="preserve">, </w:t>
      </w:r>
      <w:r w:rsidRPr="00AC61A8">
        <w:rPr>
          <w:rFonts w:ascii="Times New Roman" w:hAnsi="Times New Roman"/>
          <w:i/>
        </w:rPr>
        <w:t>77</w:t>
      </w:r>
      <w:r w:rsidRPr="00AC61A8">
        <w:rPr>
          <w:rFonts w:ascii="Times New Roman" w:hAnsi="Times New Roman"/>
        </w:rPr>
        <w:t xml:space="preserve">, 143–163. </w:t>
      </w:r>
      <w:hyperlink r:id="rId19">
        <w:r w:rsidR="006D4C3B" w:rsidRPr="00AC61A8">
          <w:rPr>
            <w:rFonts w:ascii="Times New Roman" w:hAnsi="Times New Roman"/>
            <w:color w:val="0563C1"/>
            <w:u w:val="single"/>
          </w:rPr>
          <w:t>https://doi.org/10.1016/j.jimonfin.2017.07.018</w:t>
        </w:r>
      </w:hyperlink>
    </w:p>
    <w:p w14:paraId="39806F2E" w14:textId="77777777" w:rsidR="006D4C3B" w:rsidRPr="00AC61A8" w:rsidRDefault="00000000">
      <w:pPr>
        <w:spacing w:after="0"/>
        <w:ind w:left="720" w:hanging="720"/>
      </w:pPr>
      <w:r w:rsidRPr="00AC61A8">
        <w:rPr>
          <w:rFonts w:ascii="Times New Roman" w:hAnsi="Times New Roman"/>
        </w:rPr>
        <w:t xml:space="preserve">Dondashe, N., &amp; Phiri, A. (2018). </w:t>
      </w:r>
      <w:r w:rsidRPr="00AC61A8">
        <w:rPr>
          <w:rFonts w:ascii="Times New Roman" w:hAnsi="Times New Roman"/>
          <w:i/>
        </w:rPr>
        <w:t>Determinants of FDI in South Africa: Do macroeconomic variables matter?</w:t>
      </w:r>
      <w:r w:rsidRPr="00AC61A8">
        <w:rPr>
          <w:rFonts w:ascii="Times New Roman" w:hAnsi="Times New Roman"/>
        </w:rPr>
        <w:t xml:space="preserve"> (MPRA Paper No. 83636). Munich Personal RePEc Archive. </w:t>
      </w:r>
      <w:hyperlink r:id="rId20">
        <w:r w:rsidR="006D4C3B" w:rsidRPr="00AC61A8">
          <w:rPr>
            <w:rFonts w:ascii="Times New Roman" w:hAnsi="Times New Roman"/>
            <w:color w:val="0563C1"/>
            <w:u w:val="single"/>
          </w:rPr>
          <w:t>https://mpra.ub.uni-muenchen.de/83636/</w:t>
        </w:r>
      </w:hyperlink>
    </w:p>
    <w:p w14:paraId="0F360963" w14:textId="77777777" w:rsidR="006D4C3B" w:rsidRPr="00AC61A8" w:rsidRDefault="00000000">
      <w:pPr>
        <w:spacing w:after="0"/>
        <w:ind w:left="720" w:hanging="720"/>
      </w:pPr>
      <w:r w:rsidRPr="00AC61A8">
        <w:rPr>
          <w:rFonts w:ascii="Times New Roman" w:hAnsi="Times New Roman"/>
        </w:rPr>
        <w:t xml:space="preserve">Dornbusch, R. (1977). The theory of flexible exchange rate regimes and macroeconomic policy. In J. Herin, A. Lindbeck, &amp; J. Myhrman (Eds.), </w:t>
      </w:r>
      <w:r w:rsidRPr="00AC61A8">
        <w:rPr>
          <w:rFonts w:ascii="Times New Roman" w:hAnsi="Times New Roman"/>
          <w:i/>
        </w:rPr>
        <w:t>Flexible exchange rates and stabilization policy</w:t>
      </w:r>
      <w:r w:rsidRPr="00AC61A8">
        <w:rPr>
          <w:rFonts w:ascii="Times New Roman" w:hAnsi="Times New Roman"/>
        </w:rPr>
        <w:t xml:space="preserve"> (pp. 123–143). Palgrave Macmillan. </w:t>
      </w:r>
      <w:hyperlink r:id="rId21">
        <w:r w:rsidR="006D4C3B" w:rsidRPr="00AC61A8">
          <w:rPr>
            <w:rFonts w:ascii="Times New Roman" w:hAnsi="Times New Roman"/>
            <w:color w:val="0563C1"/>
            <w:u w:val="single"/>
          </w:rPr>
          <w:t>https://doi.org/10.1007/978-1-349-03359-1_11</w:t>
        </w:r>
      </w:hyperlink>
    </w:p>
    <w:p w14:paraId="2712CDFE" w14:textId="77777777" w:rsidR="006D4C3B" w:rsidRPr="00AC61A8" w:rsidRDefault="00000000">
      <w:pPr>
        <w:spacing w:after="0"/>
        <w:ind w:left="720" w:hanging="720"/>
      </w:pPr>
      <w:r w:rsidRPr="00AC61A8">
        <w:rPr>
          <w:rFonts w:ascii="Times New Roman" w:hAnsi="Times New Roman"/>
        </w:rPr>
        <w:t>Dunning, J. H. (</w:t>
      </w:r>
      <w:r w:rsidRPr="00AC61A8">
        <w:rPr>
          <w:rFonts w:ascii="Times New Roman" w:hAnsi="Times New Roman"/>
          <w:i/>
        </w:rPr>
        <w:t>19</w:t>
      </w:r>
      <w:r w:rsidRPr="00AC61A8">
        <w:rPr>
          <w:rFonts w:ascii="Times New Roman" w:hAnsi="Times New Roman"/>
        </w:rPr>
        <w:t xml:space="preserve">88). The eclectic paradigm of international production: A restatement and some possible extensions. </w:t>
      </w:r>
      <w:r w:rsidRPr="00AC61A8">
        <w:rPr>
          <w:rFonts w:ascii="Times New Roman" w:hAnsi="Times New Roman"/>
          <w:i/>
        </w:rPr>
        <w:t>Journal of International Business Studies</w:t>
      </w:r>
      <w:r w:rsidRPr="00AC61A8">
        <w:rPr>
          <w:rFonts w:ascii="Times New Roman" w:hAnsi="Times New Roman"/>
        </w:rPr>
        <w:t xml:space="preserve">, </w:t>
      </w:r>
      <w:r w:rsidRPr="00AC61A8">
        <w:rPr>
          <w:rFonts w:ascii="Times New Roman" w:hAnsi="Times New Roman"/>
          <w:i/>
        </w:rPr>
        <w:t>19</w:t>
      </w:r>
      <w:r w:rsidRPr="00AC61A8">
        <w:rPr>
          <w:rFonts w:ascii="Times New Roman" w:hAnsi="Times New Roman"/>
        </w:rPr>
        <w:t xml:space="preserve">(1), 1–31. </w:t>
      </w:r>
      <w:hyperlink r:id="rId22">
        <w:r w:rsidR="006D4C3B" w:rsidRPr="00AC61A8">
          <w:rPr>
            <w:rFonts w:ascii="Times New Roman" w:hAnsi="Times New Roman"/>
            <w:color w:val="0563C1"/>
            <w:u w:val="single"/>
          </w:rPr>
          <w:t>https://doi.org/10.1057/palgrave.jibs.8490372</w:t>
        </w:r>
      </w:hyperlink>
    </w:p>
    <w:p w14:paraId="17755780" w14:textId="77777777" w:rsidR="006D4C3B" w:rsidRPr="00AC61A8" w:rsidRDefault="00000000">
      <w:pPr>
        <w:spacing w:after="0"/>
        <w:ind w:left="720" w:hanging="720"/>
      </w:pPr>
      <w:r w:rsidRPr="00AC61A8">
        <w:rPr>
          <w:rFonts w:ascii="Times New Roman" w:hAnsi="Times New Roman"/>
        </w:rPr>
        <w:t xml:space="preserve">Dunning, J. H. (2001). The eclectic (OLI) paradigm of international production: Past, present and future. </w:t>
      </w:r>
      <w:r w:rsidRPr="00AC61A8">
        <w:rPr>
          <w:rFonts w:ascii="Times New Roman" w:hAnsi="Times New Roman"/>
          <w:i/>
        </w:rPr>
        <w:t>International Journal of the Economics of Business</w:t>
      </w:r>
      <w:r w:rsidRPr="00AC61A8">
        <w:rPr>
          <w:rFonts w:ascii="Times New Roman" w:hAnsi="Times New Roman"/>
        </w:rPr>
        <w:t xml:space="preserve">, </w:t>
      </w:r>
      <w:r w:rsidRPr="00AC61A8">
        <w:rPr>
          <w:rFonts w:ascii="Times New Roman" w:hAnsi="Times New Roman"/>
          <w:i/>
        </w:rPr>
        <w:t>8</w:t>
      </w:r>
      <w:r w:rsidRPr="00AC61A8">
        <w:rPr>
          <w:rFonts w:ascii="Times New Roman" w:hAnsi="Times New Roman"/>
        </w:rPr>
        <w:t xml:space="preserve">(2), 173–190. </w:t>
      </w:r>
      <w:hyperlink r:id="rId23">
        <w:r w:rsidR="006D4C3B" w:rsidRPr="00AC61A8">
          <w:rPr>
            <w:rFonts w:ascii="Times New Roman" w:hAnsi="Times New Roman"/>
            <w:color w:val="0563C1"/>
            <w:u w:val="single"/>
          </w:rPr>
          <w:t>https://doi.org/10.1080/13571510110051441</w:t>
        </w:r>
      </w:hyperlink>
    </w:p>
    <w:p w14:paraId="0BAA9542" w14:textId="77777777" w:rsidR="006D4C3B" w:rsidRPr="00AC61A8" w:rsidRDefault="00000000">
      <w:pPr>
        <w:spacing w:after="0"/>
        <w:ind w:left="720" w:hanging="720"/>
      </w:pPr>
      <w:r w:rsidRPr="00AC61A8">
        <w:rPr>
          <w:rFonts w:ascii="Times New Roman" w:hAnsi="Times New Roman"/>
        </w:rPr>
        <w:t xml:space="preserve">Durbin, J., &amp; Watson, G. S. (1951). Testing for serial correlation in least squares regression. II. </w:t>
      </w:r>
      <w:r w:rsidRPr="00AC61A8">
        <w:rPr>
          <w:rFonts w:ascii="Times New Roman" w:hAnsi="Times New Roman"/>
          <w:i/>
        </w:rPr>
        <w:t>Biometrika</w:t>
      </w:r>
      <w:r w:rsidRPr="00AC61A8">
        <w:rPr>
          <w:rFonts w:ascii="Times New Roman" w:hAnsi="Times New Roman"/>
        </w:rPr>
        <w:t xml:space="preserve">, </w:t>
      </w:r>
      <w:r w:rsidRPr="00AC61A8">
        <w:rPr>
          <w:rFonts w:ascii="Times New Roman" w:hAnsi="Times New Roman"/>
          <w:i/>
        </w:rPr>
        <w:t>38</w:t>
      </w:r>
      <w:r w:rsidRPr="00AC61A8">
        <w:rPr>
          <w:rFonts w:ascii="Times New Roman" w:hAnsi="Times New Roman"/>
        </w:rPr>
        <w:t xml:space="preserve">(1/2), 159–177. </w:t>
      </w:r>
      <w:hyperlink r:id="rId24">
        <w:r w:rsidR="006D4C3B" w:rsidRPr="00AC61A8">
          <w:rPr>
            <w:rFonts w:ascii="Times New Roman" w:hAnsi="Times New Roman"/>
            <w:color w:val="0563C1"/>
            <w:u w:val="single"/>
          </w:rPr>
          <w:t>https://doi.org/10.2307/2332325</w:t>
        </w:r>
      </w:hyperlink>
    </w:p>
    <w:p w14:paraId="2A2CAA98" w14:textId="77777777" w:rsidR="006D4C3B" w:rsidRPr="00AC61A8" w:rsidRDefault="00000000">
      <w:pPr>
        <w:spacing w:after="0"/>
        <w:ind w:left="720" w:hanging="720"/>
      </w:pPr>
      <w:r w:rsidRPr="00AC61A8">
        <w:rPr>
          <w:rFonts w:ascii="Times New Roman" w:hAnsi="Times New Roman"/>
        </w:rPr>
        <w:t xml:space="preserve">Egilsson, J. H. (2020). How raising interest rates can cause inflation and currency depreciation. </w:t>
      </w:r>
      <w:r w:rsidRPr="00AC61A8">
        <w:rPr>
          <w:rFonts w:ascii="Times New Roman" w:hAnsi="Times New Roman"/>
          <w:i/>
        </w:rPr>
        <w:t>Journal of Applied Economics</w:t>
      </w:r>
      <w:r w:rsidRPr="00AC61A8">
        <w:rPr>
          <w:rFonts w:ascii="Times New Roman" w:hAnsi="Times New Roman"/>
        </w:rPr>
        <w:t xml:space="preserve">, </w:t>
      </w:r>
      <w:r w:rsidRPr="00AC61A8">
        <w:rPr>
          <w:rFonts w:ascii="Times New Roman" w:hAnsi="Times New Roman"/>
          <w:i/>
        </w:rPr>
        <w:t>23</w:t>
      </w:r>
      <w:r w:rsidRPr="00AC61A8">
        <w:rPr>
          <w:rFonts w:ascii="Times New Roman" w:hAnsi="Times New Roman"/>
        </w:rPr>
        <w:t xml:space="preserve">(1), 450–468. </w:t>
      </w:r>
      <w:hyperlink r:id="rId25">
        <w:r w:rsidR="006D4C3B" w:rsidRPr="00AC61A8">
          <w:rPr>
            <w:rFonts w:ascii="Times New Roman" w:hAnsi="Times New Roman"/>
            <w:color w:val="0563C1"/>
            <w:u w:val="single"/>
          </w:rPr>
          <w:t>https://doi.org/10.1080/15140326.2020.1795526</w:t>
        </w:r>
      </w:hyperlink>
    </w:p>
    <w:p w14:paraId="0E9943BE" w14:textId="77777777" w:rsidR="006D4C3B" w:rsidRPr="00AC61A8" w:rsidRDefault="00000000">
      <w:pPr>
        <w:spacing w:after="0"/>
        <w:ind w:left="720" w:hanging="720"/>
      </w:pPr>
      <w:r w:rsidRPr="00AC61A8">
        <w:rPr>
          <w:rFonts w:ascii="Times New Roman" w:hAnsi="Times New Roman"/>
        </w:rPr>
        <w:t xml:space="preserve">Ekokotu, V. A., Salubi, I. L., &amp; Proso, T. (2017). Evaluating the effect of exchange rate on foreign direct investment (FDI) in Nigeria. </w:t>
      </w:r>
      <w:r w:rsidRPr="00AC61A8">
        <w:rPr>
          <w:rFonts w:ascii="Times New Roman" w:hAnsi="Times New Roman"/>
          <w:i/>
        </w:rPr>
        <w:t>Journal of Academic Research in Economics</w:t>
      </w:r>
      <w:r w:rsidRPr="00AC61A8">
        <w:rPr>
          <w:rFonts w:ascii="Times New Roman" w:hAnsi="Times New Roman"/>
        </w:rPr>
        <w:t xml:space="preserve">, </w:t>
      </w:r>
      <w:r w:rsidRPr="00AC61A8">
        <w:rPr>
          <w:rFonts w:ascii="Times New Roman" w:hAnsi="Times New Roman"/>
          <w:i/>
        </w:rPr>
        <w:t>9</w:t>
      </w:r>
      <w:r w:rsidRPr="00AC61A8">
        <w:rPr>
          <w:rFonts w:ascii="Times New Roman" w:hAnsi="Times New Roman"/>
        </w:rPr>
        <w:t xml:space="preserve">(1), 34–48. </w:t>
      </w:r>
      <w:hyperlink r:id="rId26">
        <w:r w:rsidR="006D4C3B" w:rsidRPr="00AC61A8">
          <w:rPr>
            <w:rFonts w:ascii="Times New Roman" w:hAnsi="Times New Roman"/>
            <w:color w:val="0563C1"/>
            <w:u w:val="single"/>
          </w:rPr>
          <w:t>http://www.jare-sh.com/downloads/abstract_mar_2017/aganuwa.pdf</w:t>
        </w:r>
      </w:hyperlink>
    </w:p>
    <w:p w14:paraId="28C87E2E" w14:textId="77777777" w:rsidR="006D4C3B" w:rsidRPr="00AC61A8" w:rsidRDefault="00000000">
      <w:pPr>
        <w:spacing w:after="0"/>
        <w:ind w:left="720" w:hanging="720"/>
      </w:pPr>
      <w:r w:rsidRPr="00AC61A8">
        <w:rPr>
          <w:rFonts w:ascii="Times New Roman" w:hAnsi="Times New Roman"/>
        </w:rPr>
        <w:t xml:space="preserve">Engle, R. F., &amp; Granger, C. W. J. (1987). Co-integration and error correction: Representation, estimation, and testing.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55</w:t>
      </w:r>
      <w:r w:rsidRPr="00AC61A8">
        <w:rPr>
          <w:rFonts w:ascii="Times New Roman" w:hAnsi="Times New Roman"/>
        </w:rPr>
        <w:t xml:space="preserve">(2), 251–276. </w:t>
      </w:r>
      <w:hyperlink r:id="rId27">
        <w:r w:rsidR="006D4C3B" w:rsidRPr="00AC61A8">
          <w:rPr>
            <w:rFonts w:ascii="Times New Roman" w:hAnsi="Times New Roman"/>
            <w:color w:val="0563C1"/>
            <w:u w:val="single"/>
          </w:rPr>
          <w:t>https://doi.org/10.2307/1913236</w:t>
        </w:r>
      </w:hyperlink>
    </w:p>
    <w:p w14:paraId="2E9D805B" w14:textId="77777777" w:rsidR="006D4C3B" w:rsidRPr="00AC61A8" w:rsidRDefault="00000000">
      <w:pPr>
        <w:spacing w:after="0"/>
        <w:ind w:left="720" w:hanging="720"/>
      </w:pPr>
      <w:r w:rsidRPr="00AC61A8">
        <w:rPr>
          <w:rFonts w:ascii="Times New Roman" w:hAnsi="Times New Roman"/>
        </w:rPr>
        <w:t xml:space="preserve">Faure, A. (2014). Interest rates 7: An optimal rate of interest (the natural rate). </w:t>
      </w:r>
      <w:r w:rsidRPr="00AC61A8">
        <w:rPr>
          <w:rFonts w:ascii="Times New Roman" w:hAnsi="Times New Roman"/>
          <w:i/>
        </w:rPr>
        <w:t>SSRN Electronic Journal</w:t>
      </w:r>
      <w:r w:rsidRPr="00AC61A8">
        <w:rPr>
          <w:rFonts w:ascii="Times New Roman" w:hAnsi="Times New Roman"/>
        </w:rPr>
        <w:t xml:space="preserve">. </w:t>
      </w:r>
      <w:hyperlink r:id="rId28">
        <w:r w:rsidR="006D4C3B" w:rsidRPr="00AC61A8">
          <w:rPr>
            <w:rFonts w:ascii="Times New Roman" w:hAnsi="Times New Roman"/>
            <w:color w:val="0563C1"/>
            <w:u w:val="single"/>
          </w:rPr>
          <w:t>https://doi.org/10.2139/ssrn.2542111</w:t>
        </w:r>
      </w:hyperlink>
    </w:p>
    <w:p w14:paraId="6B51EE22" w14:textId="77777777" w:rsidR="006D4C3B" w:rsidRPr="00AC61A8" w:rsidRDefault="00000000">
      <w:pPr>
        <w:spacing w:after="0"/>
        <w:ind w:left="720" w:hanging="720"/>
      </w:pPr>
      <w:r w:rsidRPr="00AC61A8">
        <w:rPr>
          <w:rFonts w:ascii="Times New Roman" w:hAnsi="Times New Roman"/>
        </w:rPr>
        <w:t xml:space="preserve">Fazira, D. R., &amp; Cahyadin, M. (2018). The impact of interest rate, corruption perception index, and economic growth on foreign direct investment in ASEAN-6. </w:t>
      </w:r>
      <w:r w:rsidRPr="00AC61A8">
        <w:rPr>
          <w:rFonts w:ascii="Times New Roman" w:hAnsi="Times New Roman"/>
          <w:i/>
        </w:rPr>
        <w:t>Jurnal Keuangan dan Perbankan</w:t>
      </w:r>
      <w:r w:rsidRPr="00AC61A8">
        <w:rPr>
          <w:rFonts w:ascii="Times New Roman" w:hAnsi="Times New Roman"/>
        </w:rPr>
        <w:t xml:space="preserve">, </w:t>
      </w:r>
      <w:r w:rsidRPr="00AC61A8">
        <w:rPr>
          <w:rFonts w:ascii="Times New Roman" w:hAnsi="Times New Roman"/>
          <w:i/>
        </w:rPr>
        <w:t>22</w:t>
      </w:r>
      <w:r w:rsidRPr="00AC61A8">
        <w:rPr>
          <w:rFonts w:ascii="Times New Roman" w:hAnsi="Times New Roman"/>
        </w:rPr>
        <w:t xml:space="preserve">(4). </w:t>
      </w:r>
      <w:hyperlink r:id="rId29">
        <w:r w:rsidR="006D4C3B" w:rsidRPr="00AC61A8">
          <w:rPr>
            <w:rFonts w:ascii="Times New Roman" w:hAnsi="Times New Roman"/>
            <w:color w:val="0563C1"/>
            <w:u w:val="single"/>
          </w:rPr>
          <w:t>https://doi.org/10.26905/jkdp.v22i4.2355</w:t>
        </w:r>
      </w:hyperlink>
    </w:p>
    <w:p w14:paraId="41298EB4" w14:textId="77777777" w:rsidR="006D4C3B" w:rsidRPr="00AC61A8" w:rsidRDefault="00000000">
      <w:pPr>
        <w:spacing w:after="0"/>
        <w:ind w:left="720" w:hanging="720"/>
      </w:pPr>
      <w:r w:rsidRPr="00AC61A8">
        <w:rPr>
          <w:rFonts w:ascii="Times New Roman" w:hAnsi="Times New Roman"/>
        </w:rPr>
        <w:t xml:space="preserve">FoEh, J., Suryani, N. K., &amp; Silpama, S. (2020). The influence of inflation level, exchange rate and gross domestic product on foreign direct investment in the ASEAN countries on </w:t>
      </w:r>
      <w:r w:rsidRPr="00AC61A8">
        <w:rPr>
          <w:rFonts w:ascii="Times New Roman" w:hAnsi="Times New Roman"/>
        </w:rPr>
        <w:lastRenderedPageBreak/>
        <w:t xml:space="preserve">2007–2018. </w:t>
      </w:r>
      <w:r w:rsidRPr="00AC61A8">
        <w:rPr>
          <w:rFonts w:ascii="Times New Roman" w:hAnsi="Times New Roman"/>
          <w:i/>
        </w:rPr>
        <w:t>European Journal of Business and Management Research</w:t>
      </w:r>
      <w:r w:rsidRPr="00AC61A8">
        <w:rPr>
          <w:rFonts w:ascii="Times New Roman" w:hAnsi="Times New Roman"/>
        </w:rPr>
        <w:t xml:space="preserve">, </w:t>
      </w:r>
      <w:r w:rsidRPr="00AC61A8">
        <w:rPr>
          <w:rFonts w:ascii="Times New Roman" w:hAnsi="Times New Roman"/>
          <w:i/>
        </w:rPr>
        <w:t>5</w:t>
      </w:r>
      <w:r w:rsidRPr="00AC61A8">
        <w:rPr>
          <w:rFonts w:ascii="Times New Roman" w:hAnsi="Times New Roman"/>
        </w:rPr>
        <w:t xml:space="preserve">(3). </w:t>
      </w:r>
      <w:hyperlink r:id="rId30">
        <w:r w:rsidR="006D4C3B" w:rsidRPr="00AC61A8">
          <w:rPr>
            <w:rFonts w:ascii="Times New Roman" w:hAnsi="Times New Roman"/>
            <w:color w:val="0563C1"/>
            <w:u w:val="single"/>
          </w:rPr>
          <w:t>https://doi.org/10.24018/ejbmr.2020.5.3.311</w:t>
        </w:r>
      </w:hyperlink>
    </w:p>
    <w:p w14:paraId="72546F12" w14:textId="77777777" w:rsidR="006D4C3B" w:rsidRPr="00AC61A8" w:rsidRDefault="00000000">
      <w:pPr>
        <w:spacing w:after="0"/>
        <w:ind w:left="720" w:hanging="720"/>
      </w:pPr>
      <w:r w:rsidRPr="00AC61A8">
        <w:rPr>
          <w:rFonts w:ascii="Times New Roman" w:hAnsi="Times New Roman"/>
        </w:rPr>
        <w:t xml:space="preserve">Gnangnon, S. K. (2017). Multilateral trade liberalisation and foreign direct investment inflows. </w:t>
      </w:r>
      <w:r w:rsidRPr="00AC61A8">
        <w:rPr>
          <w:rFonts w:ascii="Times New Roman" w:hAnsi="Times New Roman"/>
          <w:i/>
        </w:rPr>
        <w:t>Economic Affairs</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(1), 66–84. </w:t>
      </w:r>
      <w:hyperlink r:id="rId31">
        <w:r w:rsidR="006D4C3B" w:rsidRPr="00AC61A8">
          <w:rPr>
            <w:rFonts w:ascii="Times New Roman" w:hAnsi="Times New Roman"/>
            <w:color w:val="0563C1"/>
            <w:u w:val="single"/>
          </w:rPr>
          <w:t>https://doi.org/10.1111/ecaf.12213</w:t>
        </w:r>
      </w:hyperlink>
    </w:p>
    <w:p w14:paraId="2C360405" w14:textId="77777777" w:rsidR="006D4C3B" w:rsidRPr="00AC61A8" w:rsidRDefault="00000000">
      <w:pPr>
        <w:spacing w:after="0"/>
        <w:ind w:left="720" w:hanging="720"/>
      </w:pPr>
      <w:r w:rsidRPr="00AC61A8">
        <w:rPr>
          <w:rFonts w:ascii="Times New Roman" w:hAnsi="Times New Roman"/>
        </w:rPr>
        <w:t xml:space="preserve">Goldberg, L. S., &amp; Kolstad, C. D. (1995). Foreign direct investment, exchange rate variability and demand uncertainty. </w:t>
      </w:r>
      <w:r w:rsidRPr="00AC61A8">
        <w:rPr>
          <w:rFonts w:ascii="Times New Roman" w:hAnsi="Times New Roman"/>
          <w:i/>
        </w:rPr>
        <w:t>International Economic Review</w:t>
      </w:r>
      <w:r w:rsidRPr="00AC61A8">
        <w:rPr>
          <w:rFonts w:ascii="Times New Roman" w:hAnsi="Times New Roman"/>
        </w:rPr>
        <w:t xml:space="preserve">, </w:t>
      </w:r>
      <w:r w:rsidRPr="00AC61A8">
        <w:rPr>
          <w:rFonts w:ascii="Times New Roman" w:hAnsi="Times New Roman"/>
          <w:i/>
        </w:rPr>
        <w:t>36</w:t>
      </w:r>
      <w:r w:rsidRPr="00AC61A8">
        <w:rPr>
          <w:rFonts w:ascii="Times New Roman" w:hAnsi="Times New Roman"/>
        </w:rPr>
        <w:t xml:space="preserve">(4), 855–873. </w:t>
      </w:r>
      <w:hyperlink r:id="rId32">
        <w:r w:rsidR="006D4C3B" w:rsidRPr="00AC61A8">
          <w:rPr>
            <w:rFonts w:ascii="Times New Roman" w:hAnsi="Times New Roman"/>
            <w:color w:val="0563C1"/>
            <w:u w:val="single"/>
          </w:rPr>
          <w:t>https://doi.org/10.2307/2527262</w:t>
        </w:r>
      </w:hyperlink>
    </w:p>
    <w:p w14:paraId="2F44FEAC" w14:textId="77777777" w:rsidR="006D4C3B" w:rsidRPr="00AC61A8" w:rsidRDefault="00000000">
      <w:pPr>
        <w:spacing w:after="0"/>
        <w:ind w:left="720" w:hanging="720"/>
      </w:pPr>
      <w:r w:rsidRPr="00AC61A8">
        <w:rPr>
          <w:rFonts w:ascii="Times New Roman" w:hAnsi="Times New Roman"/>
        </w:rPr>
        <w:t xml:space="preserve">Granger, C. W. J. (1969). Investigating causal relations by econometric models and cross-spectral methods. </w:t>
      </w:r>
      <w:r w:rsidRPr="00AC61A8">
        <w:rPr>
          <w:rFonts w:ascii="Times New Roman" w:hAnsi="Times New Roman"/>
          <w:i/>
        </w:rPr>
        <w:t>Econometrica</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(3), 424–438. </w:t>
      </w:r>
      <w:hyperlink r:id="rId33">
        <w:r w:rsidR="006D4C3B" w:rsidRPr="00AC61A8">
          <w:rPr>
            <w:rFonts w:ascii="Times New Roman" w:hAnsi="Times New Roman"/>
            <w:color w:val="0563C1"/>
            <w:u w:val="single"/>
          </w:rPr>
          <w:t>https://doi.org/10.2307/1912791</w:t>
        </w:r>
      </w:hyperlink>
    </w:p>
    <w:p w14:paraId="04EAD192" w14:textId="77777777" w:rsidR="006D4C3B" w:rsidRPr="00AC61A8" w:rsidRDefault="00000000">
      <w:pPr>
        <w:spacing w:after="0"/>
        <w:ind w:left="720" w:hanging="720"/>
      </w:pPr>
      <w:r w:rsidRPr="00AC61A8">
        <w:rPr>
          <w:rFonts w:ascii="Times New Roman" w:hAnsi="Times New Roman"/>
        </w:rPr>
        <w:t xml:space="preserve">GuechHeang, L., &amp; Moolio, P. (2013). The relationship between gross domestic product and foreign direct investment: The case of Cambodia. </w:t>
      </w:r>
      <w:r w:rsidRPr="00AC61A8">
        <w:rPr>
          <w:rFonts w:ascii="Times New Roman" w:hAnsi="Times New Roman"/>
          <w:i/>
        </w:rPr>
        <w:t>KASBIT Business Journal</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(1), 87–99. </w:t>
      </w:r>
      <w:hyperlink r:id="rId34">
        <w:r w:rsidR="006D4C3B" w:rsidRPr="00AC61A8">
          <w:rPr>
            <w:rFonts w:ascii="Times New Roman" w:hAnsi="Times New Roman"/>
            <w:color w:val="0563C1"/>
            <w:u w:val="single"/>
          </w:rPr>
          <w:t>https://www.researchgate.net/publication/262488231_The_Relationship_between_Gross_Domestic_Product_and_Foreign_Direct_Investment_The_Case_of_Cambodia</w:t>
        </w:r>
      </w:hyperlink>
    </w:p>
    <w:p w14:paraId="3F7693A6" w14:textId="77777777" w:rsidR="006D4C3B" w:rsidRPr="00AC61A8" w:rsidRDefault="00000000">
      <w:pPr>
        <w:spacing w:after="0"/>
        <w:ind w:left="720" w:hanging="720"/>
      </w:pPr>
      <w:r w:rsidRPr="00AC61A8">
        <w:rPr>
          <w:rFonts w:ascii="Times New Roman" w:hAnsi="Times New Roman"/>
        </w:rPr>
        <w:t xml:space="preserve">Hennart, J.-F. (1982). </w:t>
      </w:r>
      <w:r w:rsidRPr="00AC61A8">
        <w:rPr>
          <w:rFonts w:ascii="Times New Roman" w:hAnsi="Times New Roman"/>
          <w:i/>
        </w:rPr>
        <w:t>A theory of multinational enterprise</w:t>
      </w:r>
      <w:r w:rsidRPr="00AC61A8">
        <w:rPr>
          <w:rFonts w:ascii="Times New Roman" w:hAnsi="Times New Roman"/>
        </w:rPr>
        <w:t xml:space="preserve">. University of Michigan Press. </w:t>
      </w:r>
      <w:hyperlink r:id="rId35">
        <w:r w:rsidR="006D4C3B" w:rsidRPr="00AC61A8">
          <w:rPr>
            <w:rFonts w:ascii="Times New Roman" w:hAnsi="Times New Roman"/>
            <w:color w:val="0563C1"/>
            <w:u w:val="single"/>
          </w:rPr>
          <w:t>https://research.tilburguniversity.edu/en/publications/a-theory-of-multinational-enterprise/</w:t>
        </w:r>
      </w:hyperlink>
    </w:p>
    <w:p w14:paraId="430B1754" w14:textId="77777777" w:rsidR="006D4C3B" w:rsidRPr="00AC61A8" w:rsidRDefault="00000000">
      <w:pPr>
        <w:spacing w:after="0"/>
        <w:ind w:left="720" w:hanging="720"/>
      </w:pPr>
      <w:r w:rsidRPr="00AC61A8">
        <w:rPr>
          <w:rFonts w:ascii="Times New Roman" w:hAnsi="Times New Roman"/>
        </w:rPr>
        <w:t xml:space="preserve">Hymer, S. H. (1976). </w:t>
      </w:r>
      <w:r w:rsidRPr="00AC61A8">
        <w:rPr>
          <w:rFonts w:ascii="Times New Roman" w:hAnsi="Times New Roman"/>
          <w:i/>
        </w:rPr>
        <w:t>The international operations of national firms: A study of direct foreign investment</w:t>
      </w:r>
      <w:r w:rsidRPr="00AC61A8">
        <w:rPr>
          <w:rFonts w:ascii="Times New Roman" w:hAnsi="Times New Roman"/>
        </w:rPr>
        <w:t xml:space="preserve">. MIT Press. </w:t>
      </w:r>
      <w:hyperlink r:id="rId36">
        <w:r w:rsidR="006D4C3B" w:rsidRPr="00AC61A8">
          <w:rPr>
            <w:rFonts w:ascii="Times New Roman" w:hAnsi="Times New Roman"/>
            <w:color w:val="0563C1"/>
            <w:u w:val="single"/>
          </w:rPr>
          <w:t>https://mitpress.mit.edu/9780262080859/the-international-operations-of-national-firms/</w:t>
        </w:r>
      </w:hyperlink>
    </w:p>
    <w:p w14:paraId="1B8ACB0F" w14:textId="77777777" w:rsidR="006D4C3B" w:rsidRPr="00AC61A8" w:rsidRDefault="00000000">
      <w:pPr>
        <w:spacing w:after="0"/>
        <w:ind w:left="720" w:hanging="720"/>
      </w:pPr>
      <w:r w:rsidRPr="00AC61A8">
        <w:rPr>
          <w:rFonts w:ascii="Times New Roman" w:hAnsi="Times New Roman"/>
        </w:rPr>
        <w:t xml:space="preserve">Izadi, J., &amp; Madirimov, B. (2026). Effect of foreign direct investment on sustainable development goals? Evidence from Eurasian countries. </w:t>
      </w:r>
      <w:r w:rsidRPr="00AC61A8">
        <w:rPr>
          <w:rFonts w:ascii="Times New Roman" w:hAnsi="Times New Roman"/>
          <w:i/>
        </w:rPr>
        <w:t>Journal of Sustainable Finance &amp; Investment</w:t>
      </w:r>
      <w:r w:rsidRPr="00AC61A8">
        <w:rPr>
          <w:rFonts w:ascii="Times New Roman" w:hAnsi="Times New Roman"/>
        </w:rPr>
        <w:t xml:space="preserve">, </w:t>
      </w:r>
      <w:r w:rsidRPr="00AC61A8">
        <w:rPr>
          <w:rFonts w:ascii="Times New Roman" w:hAnsi="Times New Roman"/>
          <w:i/>
        </w:rPr>
        <w:t>16</w:t>
      </w:r>
      <w:r w:rsidRPr="00AC61A8">
        <w:rPr>
          <w:rFonts w:ascii="Times New Roman" w:hAnsi="Times New Roman"/>
        </w:rPr>
        <w:t xml:space="preserve">(3), 784–803. </w:t>
      </w:r>
      <w:hyperlink r:id="rId37">
        <w:r w:rsidR="006D4C3B" w:rsidRPr="00AC61A8">
          <w:rPr>
            <w:rFonts w:ascii="Times New Roman" w:hAnsi="Times New Roman"/>
            <w:color w:val="0563C1"/>
            <w:u w:val="single"/>
          </w:rPr>
          <w:t>https://doi.org/10.1080/20430795.2022.2163846</w:t>
        </w:r>
      </w:hyperlink>
    </w:p>
    <w:p w14:paraId="369CB440" w14:textId="77777777" w:rsidR="006D4C3B" w:rsidRPr="00AC61A8" w:rsidRDefault="00000000">
      <w:pPr>
        <w:spacing w:after="0"/>
        <w:ind w:left="720" w:hanging="720"/>
      </w:pPr>
      <w:r w:rsidRPr="00AC61A8">
        <w:rPr>
          <w:rFonts w:ascii="Times New Roman" w:hAnsi="Times New Roman"/>
        </w:rPr>
        <w:t xml:space="preserve">Jarque, C. M., &amp; Bera, A. K. (1980). Efficient tests for normality, homoscedasticity and serial independence of regression residuals. </w:t>
      </w:r>
      <w:r w:rsidRPr="00AC61A8">
        <w:rPr>
          <w:rFonts w:ascii="Times New Roman" w:hAnsi="Times New Roman"/>
          <w:i/>
        </w:rPr>
        <w:t>Economics Letters</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(3), 255–259. </w:t>
      </w:r>
      <w:hyperlink r:id="rId38">
        <w:r w:rsidR="006D4C3B" w:rsidRPr="00AC61A8">
          <w:rPr>
            <w:rFonts w:ascii="Times New Roman" w:hAnsi="Times New Roman"/>
            <w:color w:val="0563C1"/>
            <w:u w:val="single"/>
          </w:rPr>
          <w:t>https://doi.org/10.1016/0165-1765(80)90024-5</w:t>
        </w:r>
      </w:hyperlink>
    </w:p>
    <w:p w14:paraId="34BBBEC3" w14:textId="77777777" w:rsidR="006D4C3B" w:rsidRPr="00AC61A8" w:rsidRDefault="00000000">
      <w:pPr>
        <w:spacing w:after="0"/>
        <w:ind w:left="720" w:hanging="720"/>
      </w:pPr>
      <w:r w:rsidRPr="00AC61A8">
        <w:rPr>
          <w:rFonts w:ascii="Times New Roman" w:hAnsi="Times New Roman"/>
        </w:rPr>
        <w:t xml:space="preserve">Jin, H., Zhang, S., &amp; Zhang, J. (2017). Spurious regression due to neglected non-stationary volatility. </w:t>
      </w:r>
      <w:r w:rsidRPr="00AC61A8">
        <w:rPr>
          <w:rFonts w:ascii="Times New Roman" w:hAnsi="Times New Roman"/>
          <w:i/>
        </w:rPr>
        <w:t>Computational Statistics</w:t>
      </w:r>
      <w:r w:rsidRPr="00AC61A8">
        <w:rPr>
          <w:rFonts w:ascii="Times New Roman" w:hAnsi="Times New Roman"/>
        </w:rPr>
        <w:t xml:space="preserve">, </w:t>
      </w:r>
      <w:r w:rsidRPr="00AC61A8">
        <w:rPr>
          <w:rFonts w:ascii="Times New Roman" w:hAnsi="Times New Roman"/>
          <w:i/>
        </w:rPr>
        <w:t>32</w:t>
      </w:r>
      <w:r w:rsidRPr="00AC61A8">
        <w:rPr>
          <w:rFonts w:ascii="Times New Roman" w:hAnsi="Times New Roman"/>
        </w:rPr>
        <w:t xml:space="preserve">(3), 1065–1081. </w:t>
      </w:r>
      <w:hyperlink r:id="rId39">
        <w:r w:rsidR="006D4C3B" w:rsidRPr="00AC61A8">
          <w:rPr>
            <w:rFonts w:ascii="Times New Roman" w:hAnsi="Times New Roman"/>
            <w:color w:val="0563C1"/>
            <w:u w:val="single"/>
          </w:rPr>
          <w:t>https://doi.org/10.1007/s00180-016-0687-x</w:t>
        </w:r>
      </w:hyperlink>
    </w:p>
    <w:p w14:paraId="21920B92" w14:textId="77777777" w:rsidR="006D4C3B" w:rsidRPr="00AC61A8" w:rsidRDefault="00000000">
      <w:pPr>
        <w:spacing w:after="0"/>
        <w:ind w:left="720" w:hanging="720"/>
      </w:pPr>
      <w:r w:rsidRPr="00AC61A8">
        <w:rPr>
          <w:rFonts w:ascii="Times New Roman" w:hAnsi="Times New Roman"/>
        </w:rPr>
        <w:t xml:space="preserve">Karau, J., &amp; Ng’ang’a, P. (2019). Effects of macroeconomic factors on foreign direct investment in Kenya. </w:t>
      </w:r>
      <w:r w:rsidRPr="00AC61A8">
        <w:rPr>
          <w:rFonts w:ascii="Times New Roman" w:hAnsi="Times New Roman"/>
          <w:i/>
        </w:rPr>
        <w:t>European Journal of Business and Management</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 xml:space="preserve">(3), 55–62. </w:t>
      </w:r>
      <w:hyperlink r:id="rId40">
        <w:r w:rsidR="006D4C3B" w:rsidRPr="00AC61A8">
          <w:rPr>
            <w:rFonts w:ascii="Times New Roman" w:hAnsi="Times New Roman"/>
            <w:color w:val="0563C1"/>
            <w:u w:val="single"/>
          </w:rPr>
          <w:t>https://doi.org/10.7176/EJBM/11-3-06</w:t>
        </w:r>
      </w:hyperlink>
    </w:p>
    <w:p w14:paraId="7AD29383" w14:textId="77777777" w:rsidR="006D4C3B" w:rsidRPr="00AC61A8" w:rsidRDefault="00000000">
      <w:pPr>
        <w:spacing w:after="0"/>
        <w:ind w:left="720" w:hanging="720"/>
      </w:pPr>
      <w:r w:rsidRPr="00AC61A8">
        <w:rPr>
          <w:rFonts w:ascii="Times New Roman" w:hAnsi="Times New Roman"/>
        </w:rPr>
        <w:t xml:space="preserve">Karvanen, J. (2015). Study design in causal models. </w:t>
      </w:r>
      <w:r w:rsidRPr="00AC61A8">
        <w:rPr>
          <w:rFonts w:ascii="Times New Roman" w:hAnsi="Times New Roman"/>
          <w:i/>
        </w:rPr>
        <w:t>Scandinavian Journal of Statistics</w:t>
      </w:r>
      <w:r w:rsidRPr="00AC61A8">
        <w:rPr>
          <w:rFonts w:ascii="Times New Roman" w:hAnsi="Times New Roman"/>
        </w:rPr>
        <w:t xml:space="preserve">, </w:t>
      </w:r>
      <w:r w:rsidRPr="00AC61A8">
        <w:rPr>
          <w:rFonts w:ascii="Times New Roman" w:hAnsi="Times New Roman"/>
          <w:i/>
        </w:rPr>
        <w:t>42</w:t>
      </w:r>
      <w:r w:rsidRPr="00AC61A8">
        <w:rPr>
          <w:rFonts w:ascii="Times New Roman" w:hAnsi="Times New Roman"/>
        </w:rPr>
        <w:t xml:space="preserve">(2), 361–377. </w:t>
      </w:r>
      <w:hyperlink r:id="rId41">
        <w:r w:rsidR="006D4C3B" w:rsidRPr="00AC61A8">
          <w:rPr>
            <w:rFonts w:ascii="Times New Roman" w:hAnsi="Times New Roman"/>
            <w:color w:val="0563C1"/>
            <w:u w:val="single"/>
          </w:rPr>
          <w:t>https://doi.org/10.1111/sjos.12110</w:t>
        </w:r>
      </w:hyperlink>
    </w:p>
    <w:p w14:paraId="7B72009F" w14:textId="77777777" w:rsidR="006D4C3B" w:rsidRPr="00AC61A8" w:rsidRDefault="00000000">
      <w:pPr>
        <w:spacing w:after="0"/>
        <w:ind w:left="720" w:hanging="720"/>
      </w:pPr>
      <w:r w:rsidRPr="00AC61A8">
        <w:rPr>
          <w:rFonts w:ascii="Times New Roman" w:hAnsi="Times New Roman"/>
        </w:rPr>
        <w:t xml:space="preserve">Kenya National Bureau of Statistics. (2020). </w:t>
      </w:r>
      <w:r w:rsidRPr="00AC61A8">
        <w:rPr>
          <w:rFonts w:ascii="Times New Roman" w:hAnsi="Times New Roman"/>
          <w:i/>
        </w:rPr>
        <w:t>Foreign Investment Survey 2020 report</w:t>
      </w:r>
      <w:r w:rsidRPr="00AC61A8">
        <w:rPr>
          <w:rFonts w:ascii="Times New Roman" w:hAnsi="Times New Roman"/>
        </w:rPr>
        <w:t xml:space="preserve">. Kenya National Bureau of Statistics. </w:t>
      </w:r>
      <w:hyperlink r:id="rId42">
        <w:r w:rsidR="006D4C3B" w:rsidRPr="00AC61A8">
          <w:rPr>
            <w:rFonts w:ascii="Times New Roman" w:hAnsi="Times New Roman"/>
            <w:color w:val="0563C1"/>
            <w:u w:val="single"/>
          </w:rPr>
          <w:t>https://www.knbs.or.ke/reports/foreign-investment-survey-2020-report/</w:t>
        </w:r>
      </w:hyperlink>
    </w:p>
    <w:p w14:paraId="5F8ED3AA" w14:textId="77777777" w:rsidR="006D4C3B" w:rsidRPr="00AC61A8" w:rsidRDefault="00000000">
      <w:pPr>
        <w:spacing w:after="0"/>
        <w:ind w:left="720" w:hanging="720"/>
      </w:pPr>
      <w:r w:rsidRPr="00AC61A8">
        <w:rPr>
          <w:rFonts w:ascii="Times New Roman" w:hAnsi="Times New Roman"/>
        </w:rPr>
        <w:t xml:space="preserve">Kim, Z. K. (2018). The correlation between foreign direct investment and trade: Foreign direct investment outflows, gross exports and exports in value added. </w:t>
      </w:r>
      <w:r w:rsidRPr="00AC61A8">
        <w:rPr>
          <w:rFonts w:ascii="Times New Roman" w:hAnsi="Times New Roman"/>
          <w:i/>
        </w:rPr>
        <w:t>East and West Studies</w:t>
      </w:r>
      <w:r w:rsidRPr="00AC61A8">
        <w:rPr>
          <w:rFonts w:ascii="Times New Roman" w:hAnsi="Times New Roman"/>
        </w:rPr>
        <w:t xml:space="preserve">, </w:t>
      </w:r>
      <w:r w:rsidRPr="00AC61A8">
        <w:rPr>
          <w:rFonts w:ascii="Times New Roman" w:hAnsi="Times New Roman"/>
          <w:i/>
        </w:rPr>
        <w:t>30</w:t>
      </w:r>
      <w:r w:rsidRPr="00AC61A8">
        <w:rPr>
          <w:rFonts w:ascii="Times New Roman" w:hAnsi="Times New Roman"/>
        </w:rPr>
        <w:t xml:space="preserve">(4), 157–177. </w:t>
      </w:r>
      <w:hyperlink r:id="rId43">
        <w:r w:rsidR="006D4C3B" w:rsidRPr="00AC61A8">
          <w:rPr>
            <w:rFonts w:ascii="Times New Roman" w:hAnsi="Times New Roman"/>
            <w:color w:val="0563C1"/>
            <w:u w:val="single"/>
          </w:rPr>
          <w:t>https://doi.org/10.29274/ews.2018.30.4.157</w:t>
        </w:r>
      </w:hyperlink>
    </w:p>
    <w:p w14:paraId="055AFD00" w14:textId="77777777" w:rsidR="006D4C3B" w:rsidRPr="00AC61A8" w:rsidRDefault="00000000">
      <w:pPr>
        <w:spacing w:after="0"/>
        <w:ind w:left="720" w:hanging="720"/>
      </w:pPr>
      <w:r w:rsidRPr="00AC61A8">
        <w:rPr>
          <w:rFonts w:ascii="Times New Roman" w:hAnsi="Times New Roman"/>
        </w:rPr>
        <w:lastRenderedPageBreak/>
        <w:t xml:space="preserve">Kiplagat, B. (2016). </w:t>
      </w:r>
      <w:r w:rsidRPr="00AC61A8">
        <w:rPr>
          <w:rFonts w:ascii="Times New Roman" w:hAnsi="Times New Roman"/>
          <w:i/>
        </w:rPr>
        <w:t>The effects of interest rates on foreign direct investments in Kenya</w:t>
      </w:r>
      <w:r w:rsidRPr="00AC61A8">
        <w:rPr>
          <w:rFonts w:ascii="Times New Roman" w:hAnsi="Times New Roman"/>
        </w:rPr>
        <w:t xml:space="preserve"> [Research project, University of Nairobi]. University of Nairobi Repository. </w:t>
      </w:r>
      <w:hyperlink r:id="rId44">
        <w:r w:rsidR="006D4C3B" w:rsidRPr="00AC61A8">
          <w:rPr>
            <w:rFonts w:ascii="Times New Roman" w:hAnsi="Times New Roman"/>
            <w:color w:val="0563C1"/>
            <w:u w:val="single"/>
          </w:rPr>
          <w:t>https://erepository.uonbi.ac.ke/items/265c3e44-8fa1-4325-b1f6-ec2f6bec8415</w:t>
        </w:r>
      </w:hyperlink>
    </w:p>
    <w:p w14:paraId="0EA88D1E" w14:textId="77777777" w:rsidR="006D4C3B" w:rsidRPr="00AC61A8" w:rsidRDefault="00000000">
      <w:pPr>
        <w:spacing w:after="0"/>
        <w:ind w:left="720" w:hanging="720"/>
      </w:pPr>
      <w:r w:rsidRPr="00AC61A8">
        <w:rPr>
          <w:rFonts w:ascii="Times New Roman" w:hAnsi="Times New Roman"/>
        </w:rPr>
        <w:t xml:space="preserve">Koojaroenprasit, S. (2012). The impact of foreign direct investment on economic growth: A case study of South Korea. </w:t>
      </w:r>
      <w:r w:rsidRPr="00AC61A8">
        <w:rPr>
          <w:rFonts w:ascii="Times New Roman" w:hAnsi="Times New Roman"/>
          <w:i/>
        </w:rPr>
        <w:t>International Journal of Business and Social Science</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(21), 8–17. </w:t>
      </w:r>
      <w:hyperlink r:id="rId45">
        <w:r w:rsidR="006D4C3B" w:rsidRPr="00AC61A8">
          <w:rPr>
            <w:rFonts w:ascii="Times New Roman" w:hAnsi="Times New Roman"/>
            <w:color w:val="0563C1"/>
            <w:u w:val="single"/>
          </w:rPr>
          <w:t>https://kukr.lib.ku.ac.th/bkn/Detail/info/309715</w:t>
        </w:r>
      </w:hyperlink>
    </w:p>
    <w:p w14:paraId="733A8080" w14:textId="77777777" w:rsidR="006D4C3B" w:rsidRPr="00AC61A8" w:rsidRDefault="00000000">
      <w:pPr>
        <w:spacing w:after="0"/>
        <w:ind w:left="720" w:hanging="720"/>
      </w:pPr>
      <w:r w:rsidRPr="00AC61A8">
        <w:rPr>
          <w:rFonts w:ascii="Times New Roman" w:hAnsi="Times New Roman"/>
        </w:rPr>
        <w:t xml:space="preserve">Kwoba, M. N., &amp; Kibati, P. (2016). Impact of selected macro-economic variables on foreign direct investment in Kenya. </w:t>
      </w:r>
      <w:r w:rsidRPr="00AC61A8">
        <w:rPr>
          <w:rFonts w:ascii="Times New Roman" w:hAnsi="Times New Roman"/>
          <w:i/>
        </w:rPr>
        <w:t>International Journal of Economics, Finance and Management Sciences</w:t>
      </w:r>
      <w:r w:rsidRPr="00AC61A8">
        <w:rPr>
          <w:rFonts w:ascii="Times New Roman" w:hAnsi="Times New Roman"/>
        </w:rPr>
        <w:t xml:space="preserve">, </w:t>
      </w:r>
      <w:r w:rsidRPr="00AC61A8">
        <w:rPr>
          <w:rFonts w:ascii="Times New Roman" w:hAnsi="Times New Roman"/>
          <w:i/>
        </w:rPr>
        <w:t>4</w:t>
      </w:r>
      <w:r w:rsidRPr="00AC61A8">
        <w:rPr>
          <w:rFonts w:ascii="Times New Roman" w:hAnsi="Times New Roman"/>
        </w:rPr>
        <w:t xml:space="preserve">(3), 107–116. </w:t>
      </w:r>
      <w:hyperlink r:id="rId46">
        <w:r w:rsidR="006D4C3B" w:rsidRPr="00AC61A8">
          <w:rPr>
            <w:rFonts w:ascii="Times New Roman" w:hAnsi="Times New Roman"/>
            <w:color w:val="0563C1"/>
            <w:u w:val="single"/>
          </w:rPr>
          <w:t>https://doi.org/10.11648/j.ijefm.20160403.13</w:t>
        </w:r>
      </w:hyperlink>
    </w:p>
    <w:p w14:paraId="2660AF14" w14:textId="77777777" w:rsidR="006D4C3B" w:rsidRPr="00AC61A8" w:rsidRDefault="00000000">
      <w:pPr>
        <w:spacing w:after="0"/>
        <w:ind w:left="720" w:hanging="720"/>
      </w:pPr>
      <w:r w:rsidRPr="00AC61A8">
        <w:rPr>
          <w:rFonts w:ascii="Times New Roman" w:hAnsi="Times New Roman"/>
        </w:rPr>
        <w:t xml:space="preserve">Latief, R., &amp; Lefen, L. (2018). The effect of exchange rate volatility on international trade and foreign direct investment (FDI) in developing countries along “One Belt and One Road.” </w:t>
      </w:r>
      <w:r w:rsidRPr="00AC61A8">
        <w:rPr>
          <w:rFonts w:ascii="Times New Roman" w:hAnsi="Times New Roman"/>
          <w:i/>
        </w:rPr>
        <w:t>International Journal of Financial Studies</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(4), 8</w:t>
      </w:r>
      <w:r w:rsidRPr="00AC61A8">
        <w:rPr>
          <w:rFonts w:ascii="Times New Roman" w:hAnsi="Times New Roman"/>
          <w:i/>
        </w:rPr>
        <w:t>6</w:t>
      </w:r>
      <w:r w:rsidRPr="00AC61A8">
        <w:rPr>
          <w:rFonts w:ascii="Times New Roman" w:hAnsi="Times New Roman"/>
        </w:rPr>
        <w:t xml:space="preserve">. </w:t>
      </w:r>
      <w:hyperlink r:id="rId47">
        <w:r w:rsidR="006D4C3B" w:rsidRPr="00AC61A8">
          <w:rPr>
            <w:rFonts w:ascii="Times New Roman" w:hAnsi="Times New Roman"/>
            <w:color w:val="0563C1"/>
            <w:u w:val="single"/>
          </w:rPr>
          <w:t>https://doi.org/10.3390/ijfs6040086</w:t>
        </w:r>
      </w:hyperlink>
    </w:p>
    <w:p w14:paraId="6629606A" w14:textId="77777777" w:rsidR="006D4C3B" w:rsidRPr="00AC61A8" w:rsidRDefault="00000000">
      <w:pPr>
        <w:spacing w:after="0"/>
        <w:ind w:left="720" w:hanging="720"/>
      </w:pPr>
      <w:r w:rsidRPr="00AC61A8">
        <w:rPr>
          <w:rFonts w:ascii="Times New Roman" w:hAnsi="Times New Roman"/>
        </w:rPr>
        <w:t xml:space="preserve">Meftah, S., &amp; Nassour, A. (2019). Macroeconomic variables and foreign direct investment inflows in Turkey. </w:t>
      </w:r>
      <w:r w:rsidRPr="00AC61A8">
        <w:rPr>
          <w:rFonts w:ascii="Times New Roman" w:hAnsi="Times New Roman"/>
          <w:i/>
        </w:rPr>
        <w:t>Signifikan: Jurnal Ilmu Ekonomi</w:t>
      </w:r>
      <w:r w:rsidRPr="00AC61A8">
        <w:rPr>
          <w:rFonts w:ascii="Times New Roman" w:hAnsi="Times New Roman"/>
        </w:rPr>
        <w:t xml:space="preserve">, </w:t>
      </w:r>
      <w:r w:rsidRPr="00AC61A8">
        <w:rPr>
          <w:rFonts w:ascii="Times New Roman" w:hAnsi="Times New Roman"/>
          <w:i/>
        </w:rPr>
        <w:t>8</w:t>
      </w:r>
      <w:r w:rsidRPr="00AC61A8">
        <w:rPr>
          <w:rFonts w:ascii="Times New Roman" w:hAnsi="Times New Roman"/>
        </w:rPr>
        <w:t xml:space="preserve">(2), 195–206. </w:t>
      </w:r>
      <w:hyperlink r:id="rId48">
        <w:r w:rsidR="006D4C3B" w:rsidRPr="00AC61A8">
          <w:rPr>
            <w:rFonts w:ascii="Times New Roman" w:hAnsi="Times New Roman"/>
            <w:color w:val="0563C1"/>
            <w:u w:val="single"/>
          </w:rPr>
          <w:t>https://doi.org/10.15408/sjie.v8i2.10560</w:t>
        </w:r>
      </w:hyperlink>
    </w:p>
    <w:p w14:paraId="5C64ADA7" w14:textId="77777777" w:rsidR="006D4C3B" w:rsidRPr="00AC61A8" w:rsidRDefault="00000000">
      <w:pPr>
        <w:spacing w:after="0"/>
        <w:ind w:left="720" w:hanging="720"/>
      </w:pPr>
      <w:r w:rsidRPr="00AC61A8">
        <w:rPr>
          <w:rFonts w:ascii="Times New Roman" w:hAnsi="Times New Roman"/>
        </w:rPr>
        <w:t xml:space="preserve">Mensah, E., Mensah, R. O., &amp; Danquah, D. A. (2024). Threshold effects of inflation on the FDI–growth nexus: Evidence from inflation-targeting countries in sub-Saharan Africa. </w:t>
      </w:r>
      <w:r w:rsidRPr="00AC61A8">
        <w:rPr>
          <w:rFonts w:ascii="Times New Roman" w:hAnsi="Times New Roman"/>
          <w:i/>
        </w:rPr>
        <w:t>Economic Research-Ekonomska Istraživanja</w:t>
      </w:r>
      <w:r w:rsidRPr="00AC61A8">
        <w:rPr>
          <w:rFonts w:ascii="Times New Roman" w:hAnsi="Times New Roman"/>
        </w:rPr>
        <w:t xml:space="preserve">, </w:t>
      </w:r>
      <w:r w:rsidRPr="00AC61A8">
        <w:rPr>
          <w:rFonts w:ascii="Times New Roman" w:hAnsi="Times New Roman"/>
          <w:i/>
        </w:rPr>
        <w:t>37</w:t>
      </w:r>
      <w:r w:rsidRPr="00AC61A8">
        <w:rPr>
          <w:rFonts w:ascii="Times New Roman" w:hAnsi="Times New Roman"/>
        </w:rPr>
        <w:t xml:space="preserve">(1), 2299991. </w:t>
      </w:r>
      <w:hyperlink r:id="rId49">
        <w:r w:rsidR="006D4C3B" w:rsidRPr="00AC61A8">
          <w:rPr>
            <w:rFonts w:ascii="Times New Roman" w:hAnsi="Times New Roman"/>
            <w:color w:val="0563C1"/>
            <w:u w:val="single"/>
          </w:rPr>
          <w:t>https://doi.org/10.1080/1331677X.2023.2299991</w:t>
        </w:r>
      </w:hyperlink>
    </w:p>
    <w:p w14:paraId="1D66D622" w14:textId="77777777" w:rsidR="006D4C3B" w:rsidRPr="00AC61A8" w:rsidRDefault="00000000">
      <w:pPr>
        <w:spacing w:after="0"/>
        <w:ind w:left="720" w:hanging="720"/>
      </w:pPr>
      <w:r w:rsidRPr="00AC61A8">
        <w:rPr>
          <w:rFonts w:ascii="Times New Roman" w:hAnsi="Times New Roman"/>
        </w:rPr>
        <w:t xml:space="preserve">Mohamed, I. A. W. (2011). Effects of multicollinearity on the estimation of macroeconomic variables by using data from Sudan. </w:t>
      </w:r>
      <w:r w:rsidRPr="00AC61A8">
        <w:rPr>
          <w:rFonts w:ascii="Times New Roman" w:hAnsi="Times New Roman"/>
          <w:i/>
        </w:rPr>
        <w:t>SSRN Electronic Journal</w:t>
      </w:r>
      <w:r w:rsidRPr="00AC61A8">
        <w:rPr>
          <w:rFonts w:ascii="Times New Roman" w:hAnsi="Times New Roman"/>
        </w:rPr>
        <w:t xml:space="preserve">. </w:t>
      </w:r>
      <w:hyperlink r:id="rId50">
        <w:r w:rsidR="006D4C3B" w:rsidRPr="00AC61A8">
          <w:rPr>
            <w:rFonts w:ascii="Times New Roman" w:hAnsi="Times New Roman"/>
            <w:color w:val="0563C1"/>
            <w:u w:val="single"/>
          </w:rPr>
          <w:t>https://doi.org/10.2139/ssrn.1898351</w:t>
        </w:r>
      </w:hyperlink>
    </w:p>
    <w:p w14:paraId="0D319080" w14:textId="77777777" w:rsidR="006D4C3B" w:rsidRPr="00AC61A8" w:rsidRDefault="00000000">
      <w:pPr>
        <w:spacing w:after="0"/>
        <w:ind w:left="720" w:hanging="720"/>
      </w:pPr>
      <w:r w:rsidRPr="00AC61A8">
        <w:rPr>
          <w:rFonts w:ascii="Times New Roman" w:hAnsi="Times New Roman"/>
        </w:rPr>
        <w:t xml:space="preserve">Musyoka, N., &amp; Ocharo, K. N. (2018). Real interest rate, inflation, exchange rate, competitiveness and foreign direct investment in Kenya. </w:t>
      </w:r>
      <w:r w:rsidRPr="00AC61A8">
        <w:rPr>
          <w:rFonts w:ascii="Times New Roman" w:hAnsi="Times New Roman"/>
          <w:i/>
        </w:rPr>
        <w:t>American Journal of Economics</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(1), 1–18. </w:t>
      </w:r>
      <w:hyperlink r:id="rId51">
        <w:r w:rsidR="006D4C3B" w:rsidRPr="00AC61A8">
          <w:rPr>
            <w:rFonts w:ascii="Times New Roman" w:hAnsi="Times New Roman"/>
            <w:color w:val="0563C1"/>
            <w:u w:val="single"/>
          </w:rPr>
          <w:t>https://doi.org/10.47672/aje.330</w:t>
        </w:r>
      </w:hyperlink>
    </w:p>
    <w:p w14:paraId="4181302D" w14:textId="77777777" w:rsidR="006D4C3B" w:rsidRPr="00AC61A8" w:rsidRDefault="00000000">
      <w:pPr>
        <w:spacing w:after="0"/>
        <w:ind w:left="720" w:hanging="720"/>
      </w:pPr>
      <w:r w:rsidRPr="00AC61A8">
        <w:rPr>
          <w:rFonts w:ascii="Times New Roman" w:hAnsi="Times New Roman"/>
        </w:rPr>
        <w:t xml:space="preserve">Nduati, M. (2018). </w:t>
      </w:r>
      <w:r w:rsidRPr="00AC61A8">
        <w:rPr>
          <w:rFonts w:ascii="Times New Roman" w:hAnsi="Times New Roman"/>
          <w:i/>
        </w:rPr>
        <w:t>The effect of inflation rate on foreign direct investments in Kenya</w:t>
      </w:r>
      <w:r w:rsidRPr="00AC61A8">
        <w:rPr>
          <w:rFonts w:ascii="Times New Roman" w:hAnsi="Times New Roman"/>
        </w:rPr>
        <w:t xml:space="preserve"> [Research project, University of Nairobi]. University of Nairobi Repository. </w:t>
      </w:r>
      <w:hyperlink r:id="rId52">
        <w:r w:rsidR="006D4C3B" w:rsidRPr="00AC61A8">
          <w:rPr>
            <w:rFonts w:ascii="Times New Roman" w:hAnsi="Times New Roman"/>
            <w:color w:val="0563C1"/>
            <w:u w:val="single"/>
          </w:rPr>
          <w:t>https://erepository.uonbi.ac.ke/server/api/core/bitstreams/9d7cf8c5-8aa1-430d-af8b-26211878c4ef/content</w:t>
        </w:r>
      </w:hyperlink>
    </w:p>
    <w:p w14:paraId="14221899" w14:textId="77777777" w:rsidR="006D4C3B" w:rsidRPr="00AC61A8" w:rsidRDefault="00000000">
      <w:pPr>
        <w:spacing w:after="0"/>
        <w:ind w:left="720" w:hanging="720"/>
      </w:pPr>
      <w:r w:rsidRPr="00AC61A8">
        <w:rPr>
          <w:rFonts w:ascii="Times New Roman" w:eastAsia="Times New Roman" w:hAnsi="Times New Roman"/>
          <w:highlight w:val="yellow"/>
        </w:rPr>
        <w:t xml:space="preserve">Ndung’u, S. K. N. (2026). Selected macroeconomic determinants of foreign direct investment in Kenya. </w:t>
      </w:r>
      <w:r w:rsidRPr="00AC61A8">
        <w:rPr>
          <w:rFonts w:ascii="Times New Roman" w:eastAsia="Times New Roman" w:hAnsi="Times New Roman"/>
          <w:i/>
          <w:highlight w:val="yellow"/>
        </w:rPr>
        <w:t>Asian Journal of Economics, Business and Accounting</w:t>
      </w:r>
      <w:r w:rsidRPr="00AC61A8">
        <w:rPr>
          <w:rFonts w:ascii="Times New Roman" w:eastAsia="Times New Roman" w:hAnsi="Times New Roman"/>
          <w:highlight w:val="yellow"/>
        </w:rPr>
        <w:t xml:space="preserve">, </w:t>
      </w:r>
      <w:r w:rsidRPr="00AC61A8">
        <w:rPr>
          <w:rFonts w:ascii="Times New Roman" w:eastAsia="Times New Roman" w:hAnsi="Times New Roman"/>
          <w:i/>
          <w:highlight w:val="yellow"/>
        </w:rPr>
        <w:t>26</w:t>
      </w:r>
      <w:r w:rsidRPr="00AC61A8">
        <w:rPr>
          <w:rFonts w:ascii="Times New Roman" w:eastAsia="Times New Roman" w:hAnsi="Times New Roman"/>
          <w:highlight w:val="yellow"/>
        </w:rPr>
        <w:t>(8), 86–100. https://doi.org/10.9734/ajeba/2026/v26i82344</w:t>
      </w:r>
    </w:p>
    <w:p w14:paraId="7B166EC9" w14:textId="77777777" w:rsidR="006D4C3B" w:rsidRPr="00AC61A8" w:rsidRDefault="00000000">
      <w:pPr>
        <w:spacing w:after="0"/>
        <w:ind w:left="720" w:hanging="720"/>
      </w:pPr>
      <w:r w:rsidRPr="00AC61A8">
        <w:rPr>
          <w:rFonts w:ascii="Times New Roman" w:hAnsi="Times New Roman"/>
        </w:rPr>
        <w:t xml:space="preserve">Nikonenko, U., Shtets, T., Kalinin, A., Dorosh, I., &amp; Sokolik, L. (2022). Assessing the policy of attracting investments in the main sectors of the economy in the context of introducing aspects of Industry 4.0. </w:t>
      </w:r>
      <w:r w:rsidRPr="00AC61A8">
        <w:rPr>
          <w:rFonts w:ascii="Times New Roman" w:hAnsi="Times New Roman"/>
          <w:i/>
        </w:rPr>
        <w:t>International Journal of Sustainable Development and Planning</w:t>
      </w:r>
      <w:r w:rsidRPr="00AC61A8">
        <w:rPr>
          <w:rFonts w:ascii="Times New Roman" w:hAnsi="Times New Roman"/>
        </w:rPr>
        <w:t xml:space="preserve">, </w:t>
      </w:r>
      <w:r w:rsidRPr="00AC61A8">
        <w:rPr>
          <w:rFonts w:ascii="Times New Roman" w:hAnsi="Times New Roman"/>
          <w:i/>
        </w:rPr>
        <w:t>17</w:t>
      </w:r>
      <w:r w:rsidRPr="00AC61A8">
        <w:rPr>
          <w:rFonts w:ascii="Times New Roman" w:hAnsi="Times New Roman"/>
        </w:rPr>
        <w:t xml:space="preserve">(2), 497–505. </w:t>
      </w:r>
      <w:hyperlink r:id="rId53">
        <w:r w:rsidR="006D4C3B" w:rsidRPr="00AC61A8">
          <w:rPr>
            <w:rFonts w:ascii="Times New Roman" w:hAnsi="Times New Roman"/>
            <w:color w:val="0563C1"/>
            <w:u w:val="single"/>
          </w:rPr>
          <w:t>https://doi.org/10.18280/ijsdp.170214</w:t>
        </w:r>
      </w:hyperlink>
    </w:p>
    <w:p w14:paraId="26A5009E" w14:textId="77777777" w:rsidR="006D4C3B" w:rsidRPr="00AC61A8" w:rsidRDefault="00000000">
      <w:pPr>
        <w:spacing w:after="0"/>
        <w:ind w:left="720" w:hanging="720"/>
      </w:pPr>
      <w:r w:rsidRPr="00AC61A8">
        <w:rPr>
          <w:rFonts w:ascii="Times New Roman" w:hAnsi="Times New Roman"/>
        </w:rPr>
        <w:t xml:space="preserve">Nosheen, M. (2013). Impact of foreign direct investment on gross domestic product. </w:t>
      </w:r>
      <w:r w:rsidRPr="00AC61A8">
        <w:rPr>
          <w:rFonts w:ascii="Times New Roman" w:hAnsi="Times New Roman"/>
          <w:i/>
        </w:rPr>
        <w:t>World Applied Sciences Journal</w:t>
      </w:r>
      <w:r w:rsidRPr="00AC61A8">
        <w:rPr>
          <w:rFonts w:ascii="Times New Roman" w:hAnsi="Times New Roman"/>
        </w:rPr>
        <w:t xml:space="preserve">, </w:t>
      </w:r>
      <w:r w:rsidRPr="00AC61A8">
        <w:rPr>
          <w:rFonts w:ascii="Times New Roman" w:hAnsi="Times New Roman"/>
          <w:i/>
        </w:rPr>
        <w:t>24</w:t>
      </w:r>
      <w:r w:rsidRPr="00AC61A8">
        <w:rPr>
          <w:rFonts w:ascii="Times New Roman" w:hAnsi="Times New Roman"/>
        </w:rPr>
        <w:t xml:space="preserve">(10), 1358–1361. </w:t>
      </w:r>
      <w:hyperlink r:id="rId54">
        <w:r w:rsidR="006D4C3B" w:rsidRPr="00AC61A8">
          <w:rPr>
            <w:rFonts w:ascii="Times New Roman" w:hAnsi="Times New Roman"/>
            <w:color w:val="0563C1"/>
            <w:u w:val="single"/>
          </w:rPr>
          <w:t>https://doi.org/10.5829/idosi.wasj.2013.24.10.229</w:t>
        </w:r>
      </w:hyperlink>
    </w:p>
    <w:p w14:paraId="231580F2" w14:textId="77777777" w:rsidR="006D4C3B" w:rsidRPr="00AC61A8" w:rsidRDefault="00000000">
      <w:pPr>
        <w:spacing w:after="0"/>
        <w:ind w:left="720" w:hanging="720"/>
      </w:pPr>
      <w:r w:rsidRPr="00AC61A8">
        <w:rPr>
          <w:rFonts w:ascii="Times New Roman" w:hAnsi="Times New Roman"/>
        </w:rPr>
        <w:lastRenderedPageBreak/>
        <w:t xml:space="preserve">Odhiambo, N. M. (2022). Foreign direct investment and economic growth in Kenya: An empirical investigation. </w:t>
      </w:r>
      <w:r w:rsidRPr="00AC61A8">
        <w:rPr>
          <w:rFonts w:ascii="Times New Roman" w:hAnsi="Times New Roman"/>
          <w:i/>
        </w:rPr>
        <w:t>International Journal of Public Administration</w:t>
      </w:r>
      <w:r w:rsidRPr="00AC61A8">
        <w:rPr>
          <w:rFonts w:ascii="Times New Roman" w:hAnsi="Times New Roman"/>
        </w:rPr>
        <w:t xml:space="preserve">, </w:t>
      </w:r>
      <w:r w:rsidRPr="00AC61A8">
        <w:rPr>
          <w:rFonts w:ascii="Times New Roman" w:hAnsi="Times New Roman"/>
          <w:i/>
        </w:rPr>
        <w:t>45</w:t>
      </w:r>
      <w:r w:rsidRPr="00AC61A8">
        <w:rPr>
          <w:rFonts w:ascii="Times New Roman" w:hAnsi="Times New Roman"/>
        </w:rPr>
        <w:t xml:space="preserve">(8), 620–631. </w:t>
      </w:r>
      <w:hyperlink r:id="rId55">
        <w:r w:rsidR="006D4C3B" w:rsidRPr="00AC61A8">
          <w:rPr>
            <w:rFonts w:ascii="Times New Roman" w:hAnsi="Times New Roman"/>
            <w:color w:val="0563C1"/>
            <w:u w:val="single"/>
          </w:rPr>
          <w:t>https://doi.org/10.1080/01900692.2021.1872622</w:t>
        </w:r>
      </w:hyperlink>
    </w:p>
    <w:p w14:paraId="0B008BB3" w14:textId="77777777" w:rsidR="006D4C3B" w:rsidRPr="00AC61A8" w:rsidRDefault="00000000">
      <w:pPr>
        <w:spacing w:after="0"/>
        <w:ind w:left="720" w:hanging="720"/>
      </w:pPr>
      <w:r w:rsidRPr="00AC61A8">
        <w:rPr>
          <w:rFonts w:ascii="Times New Roman" w:hAnsi="Times New Roman"/>
        </w:rPr>
        <w:t xml:space="preserve">Ouma, L. B. (2021). </w:t>
      </w:r>
      <w:r w:rsidRPr="00AC61A8">
        <w:rPr>
          <w:rFonts w:ascii="Times New Roman" w:hAnsi="Times New Roman"/>
          <w:i/>
        </w:rPr>
        <w:t>The question of regional integration in Africa: A critical analysis of Kenya’s trade, infrastructure, and security in the context of the AfCFTA</w:t>
      </w:r>
      <w:r w:rsidRPr="00AC61A8">
        <w:rPr>
          <w:rFonts w:ascii="Times New Roman" w:hAnsi="Times New Roman"/>
        </w:rPr>
        <w:t xml:space="preserve"> [Thesis, University of Cape Town]. OpenUCT. </w:t>
      </w:r>
      <w:hyperlink r:id="rId56">
        <w:r w:rsidR="006D4C3B" w:rsidRPr="00AC61A8">
          <w:rPr>
            <w:rFonts w:ascii="Times New Roman" w:hAnsi="Times New Roman"/>
            <w:color w:val="0563C1"/>
            <w:u w:val="single"/>
          </w:rPr>
          <w:t>https://open.uct.ac.za/items/5c821d9d-9a5e-4d7f-b4ea-8f82a80c0dd0</w:t>
        </w:r>
      </w:hyperlink>
    </w:p>
    <w:p w14:paraId="2EFC05F4" w14:textId="77777777" w:rsidR="006D4C3B" w:rsidRPr="00AC61A8" w:rsidRDefault="00000000">
      <w:pPr>
        <w:spacing w:after="0"/>
        <w:ind w:left="720" w:hanging="720"/>
      </w:pPr>
      <w:r w:rsidRPr="00AC61A8">
        <w:rPr>
          <w:rFonts w:ascii="Times New Roman" w:hAnsi="Times New Roman"/>
        </w:rPr>
        <w:t xml:space="preserve">Paul, M., &amp; Sharma, P. (2019). Inflation rate and poverty: Does poor become poorer with inflation? </w:t>
      </w:r>
      <w:r w:rsidRPr="00AC61A8">
        <w:rPr>
          <w:rFonts w:ascii="Times New Roman" w:hAnsi="Times New Roman"/>
          <w:i/>
        </w:rPr>
        <w:t>SSRN Electronic Journal</w:t>
      </w:r>
      <w:r w:rsidRPr="00AC61A8">
        <w:rPr>
          <w:rFonts w:ascii="Times New Roman" w:hAnsi="Times New Roman"/>
        </w:rPr>
        <w:t xml:space="preserve">. </w:t>
      </w:r>
      <w:hyperlink r:id="rId57">
        <w:r w:rsidR="006D4C3B" w:rsidRPr="00AC61A8">
          <w:rPr>
            <w:rFonts w:ascii="Times New Roman" w:hAnsi="Times New Roman"/>
            <w:color w:val="0563C1"/>
            <w:u w:val="single"/>
          </w:rPr>
          <w:t>https://doi.org/10.2139/ssrn.3328539</w:t>
        </w:r>
      </w:hyperlink>
    </w:p>
    <w:p w14:paraId="157D36C3" w14:textId="77777777" w:rsidR="006D4C3B" w:rsidRPr="00AC61A8" w:rsidRDefault="00000000">
      <w:pPr>
        <w:spacing w:after="0"/>
        <w:ind w:left="720" w:hanging="720"/>
      </w:pPr>
      <w:r w:rsidRPr="00AC61A8">
        <w:rPr>
          <w:rFonts w:ascii="Times New Roman" w:hAnsi="Times New Roman"/>
        </w:rPr>
        <w:t xml:space="preserve">Pesaran, M. H., Shin, Y., &amp; Smith, R. J. (2001). Bounds testing approaches to the analysis of level relationships. </w:t>
      </w:r>
      <w:r w:rsidRPr="00AC61A8">
        <w:rPr>
          <w:rFonts w:ascii="Times New Roman" w:hAnsi="Times New Roman"/>
          <w:i/>
        </w:rPr>
        <w:t>Journal of Applied Econometrics</w:t>
      </w:r>
      <w:r w:rsidRPr="00AC61A8">
        <w:rPr>
          <w:rFonts w:ascii="Times New Roman" w:hAnsi="Times New Roman"/>
        </w:rPr>
        <w:t xml:space="preserve">, </w:t>
      </w:r>
      <w:r w:rsidRPr="00AC61A8">
        <w:rPr>
          <w:rFonts w:ascii="Times New Roman" w:hAnsi="Times New Roman"/>
          <w:i/>
        </w:rPr>
        <w:t>16</w:t>
      </w:r>
      <w:r w:rsidRPr="00AC61A8">
        <w:rPr>
          <w:rFonts w:ascii="Times New Roman" w:hAnsi="Times New Roman"/>
        </w:rPr>
        <w:t xml:space="preserve">(3), 289–326. </w:t>
      </w:r>
      <w:hyperlink r:id="rId58">
        <w:r w:rsidR="006D4C3B" w:rsidRPr="00AC61A8">
          <w:rPr>
            <w:rFonts w:ascii="Times New Roman" w:hAnsi="Times New Roman"/>
            <w:color w:val="0563C1"/>
            <w:u w:val="single"/>
          </w:rPr>
          <w:t>https://doi.org/10.1002/jae.616</w:t>
        </w:r>
      </w:hyperlink>
    </w:p>
    <w:p w14:paraId="7FAA9780" w14:textId="77777777" w:rsidR="006D4C3B" w:rsidRPr="00AC61A8" w:rsidRDefault="00000000">
      <w:pPr>
        <w:spacing w:after="0"/>
        <w:ind w:left="720" w:hanging="720"/>
      </w:pPr>
      <w:r w:rsidRPr="00AC61A8">
        <w:rPr>
          <w:rFonts w:ascii="Times New Roman" w:hAnsi="Times New Roman"/>
        </w:rPr>
        <w:t xml:space="preserve">Phillips, P. C. B., &amp; Perron, P. (1988). Testing for a unit root in time series regression. </w:t>
      </w:r>
      <w:r w:rsidRPr="00AC61A8">
        <w:rPr>
          <w:rFonts w:ascii="Times New Roman" w:hAnsi="Times New Roman"/>
          <w:i/>
        </w:rPr>
        <w:t>Biometrika</w:t>
      </w:r>
      <w:r w:rsidRPr="00AC61A8">
        <w:rPr>
          <w:rFonts w:ascii="Times New Roman" w:hAnsi="Times New Roman"/>
        </w:rPr>
        <w:t xml:space="preserve">, </w:t>
      </w:r>
      <w:r w:rsidRPr="00AC61A8">
        <w:rPr>
          <w:rFonts w:ascii="Times New Roman" w:hAnsi="Times New Roman"/>
          <w:i/>
        </w:rPr>
        <w:t>75</w:t>
      </w:r>
      <w:r w:rsidRPr="00AC61A8">
        <w:rPr>
          <w:rFonts w:ascii="Times New Roman" w:hAnsi="Times New Roman"/>
        </w:rPr>
        <w:t xml:space="preserve">(2), 335–346. </w:t>
      </w:r>
      <w:hyperlink r:id="rId59">
        <w:r w:rsidR="006D4C3B" w:rsidRPr="00AC61A8">
          <w:rPr>
            <w:rFonts w:ascii="Times New Roman" w:hAnsi="Times New Roman"/>
            <w:color w:val="0563C1"/>
            <w:u w:val="single"/>
          </w:rPr>
          <w:t>https://doi.org/10.1093/biomet/75.2.335</w:t>
        </w:r>
      </w:hyperlink>
    </w:p>
    <w:p w14:paraId="4E830056" w14:textId="77777777" w:rsidR="006D4C3B" w:rsidRPr="00AC61A8" w:rsidRDefault="00000000">
      <w:pPr>
        <w:spacing w:after="0"/>
        <w:ind w:left="720" w:hanging="720"/>
      </w:pPr>
      <w:r w:rsidRPr="00AC61A8">
        <w:rPr>
          <w:rFonts w:ascii="Times New Roman" w:hAnsi="Times New Roman"/>
        </w:rPr>
        <w:t xml:space="preserve">Pilarska, C. (2015). The importance of inward foreign direct investment during the transformation process in Poland with a focus on American investment. </w:t>
      </w:r>
      <w:r w:rsidRPr="00AC61A8">
        <w:rPr>
          <w:rFonts w:ascii="Times New Roman" w:hAnsi="Times New Roman"/>
          <w:i/>
        </w:rPr>
        <w:t>Argumenta Oeconomica Cracoviensia</w:t>
      </w:r>
      <w:r w:rsidRPr="00AC61A8">
        <w:rPr>
          <w:rFonts w:ascii="Times New Roman" w:hAnsi="Times New Roman"/>
        </w:rPr>
        <w:t xml:space="preserve">, </w:t>
      </w:r>
      <w:r w:rsidRPr="00AC61A8">
        <w:rPr>
          <w:rFonts w:ascii="Times New Roman" w:hAnsi="Times New Roman"/>
          <w:i/>
        </w:rPr>
        <w:t>13</w:t>
      </w:r>
      <w:r w:rsidRPr="00AC61A8">
        <w:rPr>
          <w:rFonts w:ascii="Times New Roman" w:hAnsi="Times New Roman"/>
        </w:rPr>
        <w:t xml:space="preserve">, 103–125. </w:t>
      </w:r>
      <w:hyperlink r:id="rId60">
        <w:r w:rsidR="006D4C3B" w:rsidRPr="00AC61A8">
          <w:rPr>
            <w:rFonts w:ascii="Times New Roman" w:hAnsi="Times New Roman"/>
            <w:color w:val="0563C1"/>
            <w:u w:val="single"/>
          </w:rPr>
          <w:t>https://doi.org/10.15678/AOC.2015.1306</w:t>
        </w:r>
      </w:hyperlink>
    </w:p>
    <w:p w14:paraId="12B0C062" w14:textId="77777777" w:rsidR="006D4C3B" w:rsidRPr="00AC61A8" w:rsidRDefault="00000000">
      <w:pPr>
        <w:spacing w:after="0"/>
        <w:ind w:left="720" w:hanging="720"/>
      </w:pPr>
      <w:r w:rsidRPr="00AC61A8">
        <w:rPr>
          <w:rFonts w:ascii="Times New Roman" w:hAnsi="Times New Roman"/>
        </w:rPr>
        <w:t>Sharifi-Renani, H., &amp; Mirfatah, M. (20</w:t>
      </w:r>
      <w:r w:rsidRPr="00AC61A8">
        <w:rPr>
          <w:rFonts w:ascii="Times New Roman" w:hAnsi="Times New Roman"/>
          <w:i/>
        </w:rPr>
        <w:t>1</w:t>
      </w:r>
      <w:r w:rsidRPr="00AC61A8">
        <w:rPr>
          <w:rFonts w:ascii="Times New Roman" w:hAnsi="Times New Roman"/>
        </w:rPr>
        <w:t xml:space="preserve">2). The impact of exchange rate volatility on foreign direct investment in Iran. </w:t>
      </w:r>
      <w:r w:rsidRPr="00AC61A8">
        <w:rPr>
          <w:rFonts w:ascii="Times New Roman" w:hAnsi="Times New Roman"/>
          <w:i/>
        </w:rPr>
        <w:t>Procedia Economics and Finance</w:t>
      </w:r>
      <w:r w:rsidRPr="00AC61A8">
        <w:rPr>
          <w:rFonts w:ascii="Times New Roman" w:hAnsi="Times New Roman"/>
        </w:rPr>
        <w:t xml:space="preserve">, </w:t>
      </w:r>
      <w:r w:rsidRPr="00AC61A8">
        <w:rPr>
          <w:rFonts w:ascii="Times New Roman" w:hAnsi="Times New Roman"/>
          <w:i/>
        </w:rPr>
        <w:t>1</w:t>
      </w:r>
      <w:r w:rsidRPr="00AC61A8">
        <w:rPr>
          <w:rFonts w:ascii="Times New Roman" w:hAnsi="Times New Roman"/>
        </w:rPr>
        <w:t xml:space="preserve">, 365–373. </w:t>
      </w:r>
      <w:hyperlink r:id="rId61">
        <w:r w:rsidR="006D4C3B" w:rsidRPr="00AC61A8">
          <w:rPr>
            <w:rFonts w:ascii="Times New Roman" w:hAnsi="Times New Roman"/>
            <w:color w:val="0563C1"/>
            <w:u w:val="single"/>
          </w:rPr>
          <w:t>https://doi.org/10.1016/S2212-5671(12)00042-1</w:t>
        </w:r>
      </w:hyperlink>
    </w:p>
    <w:p w14:paraId="21D11A9D" w14:textId="77777777" w:rsidR="006D4C3B" w:rsidRPr="00AC61A8" w:rsidRDefault="00000000">
      <w:pPr>
        <w:spacing w:after="0"/>
        <w:ind w:left="720" w:hanging="720"/>
      </w:pPr>
      <w:r w:rsidRPr="00AC61A8">
        <w:rPr>
          <w:rFonts w:ascii="Times New Roman" w:hAnsi="Times New Roman"/>
        </w:rPr>
        <w:t xml:space="preserve">Shittu, S. A., Adewale, A. A., &amp; Agyemang, J. K. (2025). How monetary policy and macroeconomic instability influence foreign direct investment? </w:t>
      </w:r>
      <w:r w:rsidRPr="00AC61A8">
        <w:rPr>
          <w:rFonts w:ascii="Times New Roman" w:hAnsi="Times New Roman"/>
          <w:i/>
        </w:rPr>
        <w:t>Journal of Accounting and Finance in Emerging Economies</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 xml:space="preserve">(4), 483–498. </w:t>
      </w:r>
      <w:hyperlink r:id="rId62">
        <w:r w:rsidR="006D4C3B" w:rsidRPr="00AC61A8">
          <w:rPr>
            <w:rFonts w:ascii="Times New Roman" w:hAnsi="Times New Roman"/>
            <w:color w:val="0563C1"/>
            <w:u w:val="single"/>
          </w:rPr>
          <w:t>https://doi.org/10.26710/jafee.v11i3.3504</w:t>
        </w:r>
      </w:hyperlink>
    </w:p>
    <w:p w14:paraId="6DF6B68C" w14:textId="77777777" w:rsidR="006D4C3B" w:rsidRPr="00AC61A8" w:rsidRDefault="00000000">
      <w:pPr>
        <w:spacing w:after="0"/>
        <w:ind w:left="720" w:hanging="720"/>
      </w:pPr>
      <w:r w:rsidRPr="00AC61A8">
        <w:rPr>
          <w:rFonts w:ascii="Times New Roman" w:hAnsi="Times New Roman"/>
        </w:rPr>
        <w:t>Siddiqui, H. A., &amp; Aumeboonsuke, V. (</w:t>
      </w:r>
      <w:r w:rsidRPr="00AC61A8">
        <w:rPr>
          <w:rFonts w:ascii="Times New Roman" w:hAnsi="Times New Roman"/>
          <w:i/>
        </w:rPr>
        <w:t>2</w:t>
      </w:r>
      <w:r w:rsidRPr="00AC61A8">
        <w:rPr>
          <w:rFonts w:ascii="Times New Roman" w:hAnsi="Times New Roman"/>
        </w:rPr>
        <w:t xml:space="preserve">014). The role of interest rate in attracting FDI: A study on the ASEAN 5 economy. </w:t>
      </w:r>
      <w:r w:rsidRPr="00AC61A8">
        <w:rPr>
          <w:rFonts w:ascii="Times New Roman" w:hAnsi="Times New Roman"/>
          <w:i/>
        </w:rPr>
        <w:t>International Journal of Technical Research and Applications</w:t>
      </w:r>
      <w:r w:rsidRPr="00AC61A8">
        <w:rPr>
          <w:rFonts w:ascii="Times New Roman" w:hAnsi="Times New Roman"/>
        </w:rPr>
        <w:t xml:space="preserve">, </w:t>
      </w:r>
      <w:r w:rsidRPr="00AC61A8">
        <w:rPr>
          <w:rFonts w:ascii="Times New Roman" w:hAnsi="Times New Roman"/>
          <w:i/>
        </w:rPr>
        <w:t>2</w:t>
      </w:r>
      <w:r w:rsidRPr="00AC61A8">
        <w:rPr>
          <w:rFonts w:ascii="Times New Roman" w:hAnsi="Times New Roman"/>
        </w:rPr>
        <w:t xml:space="preserve">(Special Issue 3), 59–70. </w:t>
      </w:r>
      <w:hyperlink r:id="rId63">
        <w:r w:rsidR="006D4C3B" w:rsidRPr="00AC61A8">
          <w:rPr>
            <w:rFonts w:ascii="Times New Roman" w:hAnsi="Times New Roman"/>
            <w:color w:val="0563C1"/>
            <w:u w:val="single"/>
          </w:rPr>
          <w:t>https://www.ijtra.com/special-issue-view.php-paper-role-of-interest-rate-in-attracting-the-fdi-study-on-asean-5-economy.pdf</w:t>
        </w:r>
      </w:hyperlink>
    </w:p>
    <w:p w14:paraId="2CC61DEF" w14:textId="77777777" w:rsidR="006D4C3B" w:rsidRPr="00AC61A8" w:rsidRDefault="00000000">
      <w:pPr>
        <w:spacing w:after="0"/>
        <w:ind w:left="720" w:hanging="720"/>
      </w:pPr>
      <w:r w:rsidRPr="00AC61A8">
        <w:rPr>
          <w:rFonts w:ascii="Times New Roman" w:hAnsi="Times New Roman"/>
        </w:rPr>
        <w:t xml:space="preserve">Singh, S., &amp; Janor, H. (2019). Study on the causality nexus between macroeconomic variables using vector error correction modeling. </w:t>
      </w:r>
      <w:r w:rsidRPr="00AC61A8">
        <w:rPr>
          <w:rFonts w:ascii="Times New Roman" w:hAnsi="Times New Roman"/>
          <w:i/>
        </w:rPr>
        <w:t>Economia Internazionale/International Economics</w:t>
      </w:r>
      <w:r w:rsidRPr="00AC61A8">
        <w:rPr>
          <w:rFonts w:ascii="Times New Roman" w:hAnsi="Times New Roman"/>
        </w:rPr>
        <w:t xml:space="preserve">, </w:t>
      </w:r>
      <w:r w:rsidRPr="00AC61A8">
        <w:rPr>
          <w:rFonts w:ascii="Times New Roman" w:hAnsi="Times New Roman"/>
          <w:i/>
        </w:rPr>
        <w:t>72</w:t>
      </w:r>
      <w:r w:rsidRPr="00AC61A8">
        <w:rPr>
          <w:rFonts w:ascii="Times New Roman" w:hAnsi="Times New Roman"/>
        </w:rPr>
        <w:t xml:space="preserve">(1), 1–22. </w:t>
      </w:r>
      <w:hyperlink r:id="rId64">
        <w:r w:rsidR="006D4C3B" w:rsidRPr="00AC61A8">
          <w:rPr>
            <w:rFonts w:ascii="Times New Roman" w:hAnsi="Times New Roman"/>
            <w:color w:val="0563C1"/>
            <w:u w:val="single"/>
          </w:rPr>
          <w:t>https://doi.org/10.2139/ssrn.3424573</w:t>
        </w:r>
      </w:hyperlink>
    </w:p>
    <w:p w14:paraId="47772414" w14:textId="77777777" w:rsidR="006D4C3B" w:rsidRPr="00AC61A8" w:rsidRDefault="00000000">
      <w:pPr>
        <w:spacing w:after="0"/>
        <w:ind w:left="720" w:hanging="720"/>
      </w:pPr>
      <w:r w:rsidRPr="00AC61A8">
        <w:rPr>
          <w:rFonts w:ascii="Times New Roman" w:hAnsi="Times New Roman"/>
        </w:rPr>
        <w:t xml:space="preserve">Ullah, I., &amp; Khan, M. A. (2017). Institutional quality and foreign direct investment inflows: Evidence from Asian countries. </w:t>
      </w:r>
      <w:r w:rsidRPr="00AC61A8">
        <w:rPr>
          <w:rFonts w:ascii="Times New Roman" w:hAnsi="Times New Roman"/>
          <w:i/>
        </w:rPr>
        <w:t>Journal of Economic Studies</w:t>
      </w:r>
      <w:r w:rsidRPr="00AC61A8">
        <w:rPr>
          <w:rFonts w:ascii="Times New Roman" w:hAnsi="Times New Roman"/>
        </w:rPr>
        <w:t xml:space="preserve">, </w:t>
      </w:r>
      <w:r w:rsidRPr="00AC61A8">
        <w:rPr>
          <w:rFonts w:ascii="Times New Roman" w:hAnsi="Times New Roman"/>
          <w:i/>
        </w:rPr>
        <w:t>44</w:t>
      </w:r>
      <w:r w:rsidRPr="00AC61A8">
        <w:rPr>
          <w:rFonts w:ascii="Times New Roman" w:hAnsi="Times New Roman"/>
        </w:rPr>
        <w:t xml:space="preserve">(6), 1030–1050. </w:t>
      </w:r>
      <w:hyperlink r:id="rId65">
        <w:r w:rsidR="006D4C3B" w:rsidRPr="00AC61A8">
          <w:rPr>
            <w:rFonts w:ascii="Times New Roman" w:hAnsi="Times New Roman"/>
            <w:color w:val="0563C1"/>
            <w:u w:val="single"/>
          </w:rPr>
          <w:t>https://doi.org/10.1108/JES-10-2016-0215</w:t>
        </w:r>
      </w:hyperlink>
    </w:p>
    <w:p w14:paraId="40AFED54" w14:textId="77777777" w:rsidR="006D4C3B" w:rsidRPr="00AC61A8" w:rsidRDefault="00000000">
      <w:pPr>
        <w:spacing w:after="0"/>
        <w:ind w:left="720" w:hanging="720"/>
      </w:pPr>
      <w:r w:rsidRPr="00AC61A8">
        <w:rPr>
          <w:rFonts w:ascii="Times New Roman" w:hAnsi="Times New Roman"/>
        </w:rPr>
        <w:t xml:space="preserve">United Nations Conference on Trade and Development. (2019). </w:t>
      </w:r>
      <w:r w:rsidRPr="00AC61A8">
        <w:rPr>
          <w:rFonts w:ascii="Times New Roman" w:hAnsi="Times New Roman"/>
          <w:i/>
        </w:rPr>
        <w:t>World Investment Report 2019: Special economic zones</w:t>
      </w:r>
      <w:r w:rsidRPr="00AC61A8">
        <w:rPr>
          <w:rFonts w:ascii="Times New Roman" w:hAnsi="Times New Roman"/>
        </w:rPr>
        <w:t xml:space="preserve">. United Nations. </w:t>
      </w:r>
      <w:hyperlink r:id="rId66">
        <w:r w:rsidR="006D4C3B" w:rsidRPr="00AC61A8">
          <w:rPr>
            <w:rFonts w:ascii="Times New Roman" w:hAnsi="Times New Roman"/>
            <w:color w:val="0563C1"/>
            <w:u w:val="single"/>
          </w:rPr>
          <w:t>https://unctad.org/publication/world-investment-report-2019</w:t>
        </w:r>
      </w:hyperlink>
    </w:p>
    <w:p w14:paraId="38309618" w14:textId="77777777" w:rsidR="006D4C3B" w:rsidRPr="00AC61A8" w:rsidRDefault="00000000">
      <w:pPr>
        <w:spacing w:after="0"/>
        <w:ind w:left="720" w:hanging="720"/>
      </w:pPr>
      <w:r w:rsidRPr="00AC61A8">
        <w:rPr>
          <w:rFonts w:ascii="Times New Roman" w:hAnsi="Times New Roman"/>
        </w:rPr>
        <w:t xml:space="preserve">Usman, M., &amp; Ahmad, M. (2018). Testing the relationship among macroeconomic variables and foreign direct investment inflows in Pakistan. </w:t>
      </w:r>
      <w:r w:rsidRPr="00AC61A8">
        <w:rPr>
          <w:rFonts w:ascii="Times New Roman" w:hAnsi="Times New Roman"/>
          <w:i/>
        </w:rPr>
        <w:t>Scientific Research Journal</w:t>
      </w:r>
      <w:r w:rsidRPr="00AC61A8">
        <w:rPr>
          <w:rFonts w:ascii="Times New Roman" w:hAnsi="Times New Roman"/>
        </w:rPr>
        <w:t xml:space="preserve">, </w:t>
      </w:r>
      <w:r w:rsidRPr="00AC61A8">
        <w:rPr>
          <w:rFonts w:ascii="Times New Roman" w:hAnsi="Times New Roman"/>
          <w:i/>
        </w:rPr>
        <w:t>6</w:t>
      </w:r>
      <w:r w:rsidRPr="00AC61A8">
        <w:rPr>
          <w:rFonts w:ascii="Times New Roman" w:hAnsi="Times New Roman"/>
        </w:rPr>
        <w:t xml:space="preserve">(8), 14–22. </w:t>
      </w:r>
      <w:hyperlink r:id="rId67">
        <w:r w:rsidR="006D4C3B" w:rsidRPr="00AC61A8">
          <w:rPr>
            <w:rFonts w:ascii="Times New Roman" w:hAnsi="Times New Roman"/>
            <w:color w:val="0563C1"/>
            <w:u w:val="single"/>
          </w:rPr>
          <w:t>https://doi.org/10.31364/SCIRJ/v6.i8.2018.P0818546</w:t>
        </w:r>
      </w:hyperlink>
    </w:p>
    <w:p w14:paraId="3AFAE3BF" w14:textId="77777777" w:rsidR="006D4C3B" w:rsidRPr="00AC61A8" w:rsidRDefault="00000000">
      <w:pPr>
        <w:spacing w:after="0"/>
        <w:ind w:left="720" w:hanging="720"/>
      </w:pPr>
      <w:r w:rsidRPr="00AC61A8">
        <w:rPr>
          <w:rFonts w:ascii="Times New Roman" w:hAnsi="Times New Roman"/>
        </w:rPr>
        <w:lastRenderedPageBreak/>
        <w:t xml:space="preserve">Wasseja, M. M., &amp; Mwenda, S. N. (2015). Analysis of the determinants of foreign direct investment in Kenya. </w:t>
      </w:r>
      <w:r w:rsidRPr="00AC61A8">
        <w:rPr>
          <w:rFonts w:ascii="Times New Roman" w:hAnsi="Times New Roman"/>
          <w:i/>
        </w:rPr>
        <w:t>Journal of Multidisciplinary Scientific Research</w:t>
      </w:r>
      <w:r w:rsidRPr="00AC61A8">
        <w:rPr>
          <w:rFonts w:ascii="Times New Roman" w:hAnsi="Times New Roman"/>
        </w:rPr>
        <w:t xml:space="preserve">, </w:t>
      </w:r>
      <w:r w:rsidRPr="00AC61A8">
        <w:rPr>
          <w:rFonts w:ascii="Times New Roman" w:hAnsi="Times New Roman"/>
          <w:i/>
        </w:rPr>
        <w:t>3</w:t>
      </w:r>
      <w:r w:rsidRPr="00AC61A8">
        <w:rPr>
          <w:rFonts w:ascii="Times New Roman" w:hAnsi="Times New Roman"/>
        </w:rPr>
        <w:t xml:space="preserve">(4), 16–26. </w:t>
      </w:r>
      <w:hyperlink r:id="rId68">
        <w:r w:rsidR="006D4C3B" w:rsidRPr="00AC61A8">
          <w:rPr>
            <w:rFonts w:ascii="Times New Roman" w:hAnsi="Times New Roman"/>
            <w:color w:val="0563C1"/>
            <w:u w:val="single"/>
          </w:rPr>
          <w:t>https://www.researchgate.net/publication/298212358_ANALYSIS_OF_THE_DETERMINANTS_OF_FOREIGN_DIRECT_INVESTMENT_IN_KENYA</w:t>
        </w:r>
      </w:hyperlink>
    </w:p>
    <w:p w14:paraId="45FFE5BC" w14:textId="77777777" w:rsidR="006D4C3B" w:rsidRPr="00AC61A8" w:rsidRDefault="00000000">
      <w:pPr>
        <w:spacing w:after="0"/>
        <w:ind w:left="720" w:hanging="720"/>
      </w:pPr>
      <w:r w:rsidRPr="00AC61A8">
        <w:rPr>
          <w:rFonts w:ascii="Times New Roman" w:hAnsi="Times New Roman"/>
        </w:rPr>
        <w:t xml:space="preserve">Wondimu, M. (2023). An empirical investigation of the impact of foreign direct investment on economic growth in Ethiopia. </w:t>
      </w:r>
      <w:r w:rsidRPr="00AC61A8">
        <w:rPr>
          <w:rFonts w:ascii="Times New Roman" w:hAnsi="Times New Roman"/>
          <w:i/>
        </w:rPr>
        <w:t>Cogent Economics &amp; Finance</w:t>
      </w:r>
      <w:r w:rsidRPr="00AC61A8">
        <w:rPr>
          <w:rFonts w:ascii="Times New Roman" w:hAnsi="Times New Roman"/>
        </w:rPr>
        <w:t xml:space="preserve">, </w:t>
      </w:r>
      <w:r w:rsidRPr="00AC61A8">
        <w:rPr>
          <w:rFonts w:ascii="Times New Roman" w:hAnsi="Times New Roman"/>
          <w:i/>
        </w:rPr>
        <w:t>11</w:t>
      </w:r>
      <w:r w:rsidRPr="00AC61A8">
        <w:rPr>
          <w:rFonts w:ascii="Times New Roman" w:hAnsi="Times New Roman"/>
        </w:rPr>
        <w:t>(2), 228</w:t>
      </w:r>
      <w:r w:rsidRPr="00AC61A8">
        <w:rPr>
          <w:rFonts w:ascii="Times New Roman" w:hAnsi="Times New Roman"/>
          <w:i/>
        </w:rPr>
        <w:t>11</w:t>
      </w:r>
      <w:r w:rsidRPr="00AC61A8">
        <w:rPr>
          <w:rFonts w:ascii="Times New Roman" w:hAnsi="Times New Roman"/>
        </w:rPr>
        <w:t xml:space="preserve">76. </w:t>
      </w:r>
      <w:hyperlink r:id="rId69">
        <w:r w:rsidR="006D4C3B" w:rsidRPr="00AC61A8">
          <w:rPr>
            <w:rFonts w:ascii="Times New Roman" w:hAnsi="Times New Roman"/>
            <w:color w:val="0563C1"/>
            <w:u w:val="single"/>
          </w:rPr>
          <w:t>https://doi.org/10.1080/23322039.2023.2281176</w:t>
        </w:r>
      </w:hyperlink>
    </w:p>
    <w:p w14:paraId="051D44DA" w14:textId="77777777" w:rsidR="006D4C3B" w:rsidRPr="00AC61A8" w:rsidRDefault="00000000">
      <w:pPr>
        <w:spacing w:after="0"/>
        <w:ind w:left="720" w:hanging="720"/>
      </w:pPr>
      <w:r w:rsidRPr="00AC61A8">
        <w:rPr>
          <w:rFonts w:ascii="Times New Roman" w:hAnsi="Times New Roman"/>
        </w:rPr>
        <w:t xml:space="preserve">World Bank. (2013). </w:t>
      </w:r>
      <w:r w:rsidRPr="00AC61A8">
        <w:rPr>
          <w:rFonts w:ascii="Times New Roman" w:hAnsi="Times New Roman"/>
          <w:i/>
        </w:rPr>
        <w:t>World Development Indicators 2013</w:t>
      </w:r>
      <w:r w:rsidRPr="00AC61A8">
        <w:rPr>
          <w:rFonts w:ascii="Times New Roman" w:hAnsi="Times New Roman"/>
        </w:rPr>
        <w:t xml:space="preserve">. World Bank. </w:t>
      </w:r>
      <w:hyperlink r:id="rId70">
        <w:r w:rsidR="006D4C3B" w:rsidRPr="00AC61A8">
          <w:rPr>
            <w:rFonts w:ascii="Times New Roman" w:hAnsi="Times New Roman"/>
            <w:color w:val="0563C1"/>
            <w:u w:val="single"/>
          </w:rPr>
          <w:t>https://documents.worldbank.org/curated/en/449421468331173478/pdf/768240PUB0EPI00IC00PUB0DATE04012013.pdf</w:t>
        </w:r>
      </w:hyperlink>
    </w:p>
    <w:p w14:paraId="4EE713B8" w14:textId="77777777" w:rsidR="006D4C3B" w:rsidRPr="00AC61A8" w:rsidRDefault="00000000">
      <w:pPr>
        <w:spacing w:after="0"/>
        <w:ind w:left="720" w:hanging="720"/>
      </w:pPr>
      <w:r w:rsidRPr="00AC61A8">
        <w:rPr>
          <w:rFonts w:ascii="Times New Roman" w:hAnsi="Times New Roman"/>
        </w:rPr>
        <w:t xml:space="preserve">World Bank. (2019). </w:t>
      </w:r>
      <w:r w:rsidRPr="00AC61A8">
        <w:rPr>
          <w:rFonts w:ascii="Times New Roman" w:hAnsi="Times New Roman"/>
          <w:i/>
        </w:rPr>
        <w:t>Kenya Economic Update: Accelerating Kenya’s growth pulse</w:t>
      </w:r>
      <w:r w:rsidRPr="00AC61A8">
        <w:rPr>
          <w:rFonts w:ascii="Times New Roman" w:hAnsi="Times New Roman"/>
        </w:rPr>
        <w:t xml:space="preserve"> (Edition No. 20). World Bank. </w:t>
      </w:r>
      <w:hyperlink r:id="rId71">
        <w:r w:rsidR="006D4C3B" w:rsidRPr="00AC61A8">
          <w:rPr>
            <w:rFonts w:ascii="Times New Roman" w:hAnsi="Times New Roman"/>
            <w:color w:val="0563C1"/>
            <w:u w:val="single"/>
          </w:rPr>
          <w:t>https://openknowledge.worldbank.org/entities/publication/e565c435-4e21-59b1-a319-485f31eb5151</w:t>
        </w:r>
      </w:hyperlink>
    </w:p>
    <w:p w14:paraId="11EC6059" w14:textId="77777777" w:rsidR="006D4C3B" w:rsidRPr="00AC61A8" w:rsidRDefault="00000000">
      <w:pPr>
        <w:spacing w:after="0"/>
        <w:ind w:left="720" w:hanging="720"/>
      </w:pPr>
      <w:r w:rsidRPr="00AC61A8">
        <w:rPr>
          <w:rFonts w:ascii="Times New Roman" w:hAnsi="Times New Roman"/>
        </w:rPr>
        <w:t xml:space="preserve">World Bank. (2023). </w:t>
      </w:r>
      <w:r w:rsidRPr="00AC61A8">
        <w:rPr>
          <w:rFonts w:ascii="Times New Roman" w:hAnsi="Times New Roman"/>
          <w:i/>
        </w:rPr>
        <w:t>A balancing act: Opportunities for making growth more inclusive during challenging times</w:t>
      </w:r>
      <w:r w:rsidRPr="00AC61A8">
        <w:rPr>
          <w:rFonts w:ascii="Times New Roman" w:hAnsi="Times New Roman"/>
        </w:rPr>
        <w:t xml:space="preserve"> (Kenya Economic Update, Edition No. 28). World Bank. </w:t>
      </w:r>
      <w:hyperlink r:id="rId72">
        <w:r w:rsidR="006D4C3B" w:rsidRPr="00AC61A8">
          <w:rPr>
            <w:rFonts w:ascii="Times New Roman" w:hAnsi="Times New Roman"/>
            <w:color w:val="0563C1"/>
            <w:u w:val="single"/>
          </w:rPr>
          <w:t>https://www.worldbank.org/en/country/kenya/publication/kenya-economic-update-keu</w:t>
        </w:r>
      </w:hyperlink>
    </w:p>
    <w:p w14:paraId="3438FC64" w14:textId="77777777" w:rsidR="006D4C3B" w:rsidRPr="00AC61A8" w:rsidRDefault="00000000">
      <w:pPr>
        <w:spacing w:after="0"/>
        <w:ind w:left="720" w:hanging="720"/>
      </w:pPr>
      <w:r w:rsidRPr="00AC61A8">
        <w:rPr>
          <w:rFonts w:ascii="Times New Roman" w:hAnsi="Times New Roman"/>
        </w:rPr>
        <w:t xml:space="preserve">World Bank. (n.d.-a). </w:t>
      </w:r>
      <w:r w:rsidRPr="00AC61A8">
        <w:rPr>
          <w:rFonts w:ascii="Times New Roman" w:hAnsi="Times New Roman"/>
          <w:i/>
        </w:rPr>
        <w:t>Inflation, consumer prices (annual %) – Kenya</w:t>
      </w:r>
      <w:r w:rsidRPr="00AC61A8">
        <w:rPr>
          <w:rFonts w:ascii="Times New Roman" w:hAnsi="Times New Roman"/>
        </w:rPr>
        <w:t xml:space="preserve">. World Development Indicators. Retrieved September 21, 2026, from </w:t>
      </w:r>
      <w:hyperlink r:id="rId73">
        <w:r w:rsidR="006D4C3B" w:rsidRPr="00AC61A8">
          <w:rPr>
            <w:rFonts w:ascii="Times New Roman" w:hAnsi="Times New Roman"/>
            <w:color w:val="0563C1"/>
            <w:u w:val="single"/>
          </w:rPr>
          <w:t>https://data.worldbank.org/indicator/FP.CPI.TOTL.ZG?locations=KE</w:t>
        </w:r>
      </w:hyperlink>
    </w:p>
    <w:p w14:paraId="09375BCD" w14:textId="77777777" w:rsidR="006D4C3B" w:rsidRPr="00AC61A8" w:rsidRDefault="00000000">
      <w:pPr>
        <w:spacing w:after="0"/>
        <w:ind w:left="720" w:hanging="720"/>
      </w:pPr>
      <w:r w:rsidRPr="00AC61A8">
        <w:rPr>
          <w:rFonts w:ascii="Times New Roman" w:hAnsi="Times New Roman"/>
        </w:rPr>
        <w:t xml:space="preserve">World Bank. (n.d.-b). </w:t>
      </w:r>
      <w:r w:rsidRPr="00AC61A8">
        <w:rPr>
          <w:rFonts w:ascii="Times New Roman" w:hAnsi="Times New Roman"/>
          <w:i/>
        </w:rPr>
        <w:t>Real interest rate (%) – Kenya</w:t>
      </w:r>
      <w:r w:rsidRPr="00AC61A8">
        <w:rPr>
          <w:rFonts w:ascii="Times New Roman" w:hAnsi="Times New Roman"/>
        </w:rPr>
        <w:t xml:space="preserve">. World Development Indicators. Retrieved September 21, 2026, from </w:t>
      </w:r>
      <w:hyperlink r:id="rId74">
        <w:r w:rsidR="006D4C3B" w:rsidRPr="00AC61A8">
          <w:rPr>
            <w:rFonts w:ascii="Times New Roman" w:hAnsi="Times New Roman"/>
            <w:color w:val="0563C1"/>
            <w:u w:val="single"/>
          </w:rPr>
          <w:t>https://data.worldbank.org/indicator/FR.INR.RINR?locations=KE</w:t>
        </w:r>
      </w:hyperlink>
    </w:p>
    <w:p w14:paraId="2BC9884A" w14:textId="77777777" w:rsidR="006D4C3B" w:rsidRPr="00AC61A8" w:rsidRDefault="00000000">
      <w:pPr>
        <w:spacing w:after="0"/>
        <w:ind w:left="720" w:hanging="720"/>
      </w:pPr>
      <w:r w:rsidRPr="00AC61A8">
        <w:rPr>
          <w:rFonts w:ascii="Times New Roman" w:hAnsi="Times New Roman"/>
        </w:rPr>
        <w:t xml:space="preserve">Xaypanya, P., Rangkakulnuwat, P., &amp; Warunsiri Paweenawat, S. (2015). The determinants of foreign direct investment in ASEAN: The first differencing panel data analysis. </w:t>
      </w:r>
      <w:r w:rsidRPr="00AC61A8">
        <w:rPr>
          <w:rFonts w:ascii="Times New Roman" w:hAnsi="Times New Roman"/>
          <w:i/>
        </w:rPr>
        <w:t>International Journal of Social Economics</w:t>
      </w:r>
      <w:r w:rsidRPr="00AC61A8">
        <w:rPr>
          <w:rFonts w:ascii="Times New Roman" w:hAnsi="Times New Roman"/>
        </w:rPr>
        <w:t xml:space="preserve">, </w:t>
      </w:r>
      <w:r w:rsidRPr="00AC61A8">
        <w:rPr>
          <w:rFonts w:ascii="Times New Roman" w:hAnsi="Times New Roman"/>
          <w:i/>
        </w:rPr>
        <w:t>42</w:t>
      </w:r>
      <w:r w:rsidRPr="00AC61A8">
        <w:rPr>
          <w:rFonts w:ascii="Times New Roman" w:hAnsi="Times New Roman"/>
        </w:rPr>
        <w:t xml:space="preserve">(3), 239–250. </w:t>
      </w:r>
      <w:hyperlink r:id="rId75">
        <w:r w:rsidR="006D4C3B" w:rsidRPr="00AC61A8">
          <w:rPr>
            <w:rFonts w:ascii="Times New Roman" w:hAnsi="Times New Roman"/>
            <w:color w:val="0563C1"/>
            <w:u w:val="single"/>
          </w:rPr>
          <w:t>https://doi.org/10.1108/IJSE-10-2013-0238</w:t>
        </w:r>
      </w:hyperlink>
    </w:p>
    <w:sectPr w:rsidR="006D4C3B" w:rsidRPr="00AC61A8">
      <w:footerReference w:type="default" r:id="rId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1C182C" w14:textId="77777777" w:rsidR="002E2FD7" w:rsidRDefault="002E2FD7" w:rsidP="00FE798B">
      <w:pPr>
        <w:spacing w:after="0" w:line="240" w:lineRule="auto"/>
      </w:pPr>
      <w:r>
        <w:separator/>
      </w:r>
    </w:p>
  </w:endnote>
  <w:endnote w:type="continuationSeparator" w:id="0">
    <w:p w14:paraId="017BB8D2" w14:textId="77777777" w:rsidR="002E2FD7" w:rsidRDefault="002E2FD7" w:rsidP="00FE7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1006146"/>
      <w:docPartObj>
        <w:docPartGallery w:val="Page Numbers (Bottom of Page)"/>
        <w:docPartUnique/>
      </w:docPartObj>
    </w:sdtPr>
    <w:sdtEndPr>
      <w:rPr>
        <w:noProof/>
      </w:rPr>
    </w:sdtEndPr>
    <w:sdtContent>
      <w:p w14:paraId="5406F185" w14:textId="77777777" w:rsidR="00A059D0" w:rsidRDefault="00A059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6C61BF" w14:textId="77777777" w:rsidR="00A059D0" w:rsidRDefault="00A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7DF38" w14:textId="77777777" w:rsidR="002E2FD7" w:rsidRDefault="002E2FD7" w:rsidP="00FE798B">
      <w:pPr>
        <w:spacing w:after="0" w:line="240" w:lineRule="auto"/>
      </w:pPr>
      <w:r>
        <w:separator/>
      </w:r>
    </w:p>
  </w:footnote>
  <w:footnote w:type="continuationSeparator" w:id="0">
    <w:p w14:paraId="2DB9A20A" w14:textId="77777777" w:rsidR="002E2FD7" w:rsidRDefault="002E2FD7" w:rsidP="00FE7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F5BE9"/>
    <w:multiLevelType w:val="multilevel"/>
    <w:tmpl w:val="864E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18451C"/>
    <w:multiLevelType w:val="hybridMultilevel"/>
    <w:tmpl w:val="08DAF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3FB7EEC"/>
    <w:multiLevelType w:val="multilevel"/>
    <w:tmpl w:val="DAE88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7F80E13"/>
    <w:multiLevelType w:val="multilevel"/>
    <w:tmpl w:val="1D0A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CD70FA"/>
    <w:multiLevelType w:val="multilevel"/>
    <w:tmpl w:val="CAB8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9938E7"/>
    <w:multiLevelType w:val="multilevel"/>
    <w:tmpl w:val="AA9478A0"/>
    <w:lvl w:ilvl="0">
      <w:start w:val="1"/>
      <w:numFmt w:val="lowerRoman"/>
      <w:lvlText w:val="%1."/>
      <w:lvlJc w:val="righ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74361D08"/>
    <w:multiLevelType w:val="multilevel"/>
    <w:tmpl w:val="DA184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402495">
    <w:abstractNumId w:val="0"/>
  </w:num>
  <w:num w:numId="2" w16cid:durableId="1917477917">
    <w:abstractNumId w:val="6"/>
  </w:num>
  <w:num w:numId="3" w16cid:durableId="511263442">
    <w:abstractNumId w:val="1"/>
  </w:num>
  <w:num w:numId="4" w16cid:durableId="784229301">
    <w:abstractNumId w:val="4"/>
  </w:num>
  <w:num w:numId="5" w16cid:durableId="1133910306">
    <w:abstractNumId w:val="3"/>
  </w:num>
  <w:num w:numId="6" w16cid:durableId="2106724249">
    <w:abstractNumId w:val="2"/>
  </w:num>
  <w:num w:numId="7" w16cid:durableId="18083504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xMzA3MTcxMzY2MDJS0lEKTi0uzszPAykwrAUAWT7hVywAAAA="/>
  </w:docVars>
  <w:rsids>
    <w:rsidRoot w:val="00B37433"/>
    <w:rsid w:val="00022648"/>
    <w:rsid w:val="00026129"/>
    <w:rsid w:val="000465C1"/>
    <w:rsid w:val="000710FB"/>
    <w:rsid w:val="0009038C"/>
    <w:rsid w:val="000C4F1F"/>
    <w:rsid w:val="000C6BC6"/>
    <w:rsid w:val="000D45EE"/>
    <w:rsid w:val="00102FFB"/>
    <w:rsid w:val="00114B0A"/>
    <w:rsid w:val="001150EC"/>
    <w:rsid w:val="00124BDC"/>
    <w:rsid w:val="0015143C"/>
    <w:rsid w:val="001678A6"/>
    <w:rsid w:val="00172CBD"/>
    <w:rsid w:val="00174021"/>
    <w:rsid w:val="001836CE"/>
    <w:rsid w:val="00192EC5"/>
    <w:rsid w:val="001C311B"/>
    <w:rsid w:val="001D23C2"/>
    <w:rsid w:val="001E6DD8"/>
    <w:rsid w:val="001F0F12"/>
    <w:rsid w:val="001F6C41"/>
    <w:rsid w:val="00202B55"/>
    <w:rsid w:val="00206D3F"/>
    <w:rsid w:val="002160A0"/>
    <w:rsid w:val="002206A6"/>
    <w:rsid w:val="00222835"/>
    <w:rsid w:val="002251B0"/>
    <w:rsid w:val="00226E13"/>
    <w:rsid w:val="00236B37"/>
    <w:rsid w:val="00265D96"/>
    <w:rsid w:val="002705F6"/>
    <w:rsid w:val="002800ED"/>
    <w:rsid w:val="00280A29"/>
    <w:rsid w:val="00283084"/>
    <w:rsid w:val="00290FD6"/>
    <w:rsid w:val="002A0F7C"/>
    <w:rsid w:val="002A5579"/>
    <w:rsid w:val="002B1122"/>
    <w:rsid w:val="002C01ED"/>
    <w:rsid w:val="002E2FD7"/>
    <w:rsid w:val="002F0DB7"/>
    <w:rsid w:val="00300B8E"/>
    <w:rsid w:val="00301B9B"/>
    <w:rsid w:val="00321BDE"/>
    <w:rsid w:val="00331217"/>
    <w:rsid w:val="00395FE8"/>
    <w:rsid w:val="003A526B"/>
    <w:rsid w:val="003C3467"/>
    <w:rsid w:val="003D5F92"/>
    <w:rsid w:val="003F0E64"/>
    <w:rsid w:val="00402167"/>
    <w:rsid w:val="0041222D"/>
    <w:rsid w:val="00422702"/>
    <w:rsid w:val="00432075"/>
    <w:rsid w:val="004456DF"/>
    <w:rsid w:val="00452C0C"/>
    <w:rsid w:val="004A5305"/>
    <w:rsid w:val="004A5AE5"/>
    <w:rsid w:val="004A7826"/>
    <w:rsid w:val="004C781B"/>
    <w:rsid w:val="004E181B"/>
    <w:rsid w:val="004F291E"/>
    <w:rsid w:val="004F393C"/>
    <w:rsid w:val="004F50B2"/>
    <w:rsid w:val="004F6F9F"/>
    <w:rsid w:val="00521347"/>
    <w:rsid w:val="00530B02"/>
    <w:rsid w:val="005372DE"/>
    <w:rsid w:val="005603C8"/>
    <w:rsid w:val="00563BED"/>
    <w:rsid w:val="0056547E"/>
    <w:rsid w:val="005732E6"/>
    <w:rsid w:val="005762FA"/>
    <w:rsid w:val="00583D0F"/>
    <w:rsid w:val="005867C7"/>
    <w:rsid w:val="005C2006"/>
    <w:rsid w:val="005C337E"/>
    <w:rsid w:val="005C7D7F"/>
    <w:rsid w:val="005D58D5"/>
    <w:rsid w:val="005F2F87"/>
    <w:rsid w:val="005F7EAC"/>
    <w:rsid w:val="006022E0"/>
    <w:rsid w:val="00607611"/>
    <w:rsid w:val="00624BC2"/>
    <w:rsid w:val="00625EE0"/>
    <w:rsid w:val="00636930"/>
    <w:rsid w:val="00672BF8"/>
    <w:rsid w:val="006766DE"/>
    <w:rsid w:val="00692F35"/>
    <w:rsid w:val="006A30E8"/>
    <w:rsid w:val="006A6BE3"/>
    <w:rsid w:val="006B2893"/>
    <w:rsid w:val="006C6216"/>
    <w:rsid w:val="006D4C3B"/>
    <w:rsid w:val="006D63CE"/>
    <w:rsid w:val="006F1BB6"/>
    <w:rsid w:val="00711D28"/>
    <w:rsid w:val="0071316B"/>
    <w:rsid w:val="00713DD5"/>
    <w:rsid w:val="00716735"/>
    <w:rsid w:val="007249A7"/>
    <w:rsid w:val="00734744"/>
    <w:rsid w:val="007544DB"/>
    <w:rsid w:val="00760B94"/>
    <w:rsid w:val="007808F9"/>
    <w:rsid w:val="00791F0B"/>
    <w:rsid w:val="007A01FE"/>
    <w:rsid w:val="007A2CE1"/>
    <w:rsid w:val="007A4E79"/>
    <w:rsid w:val="007B3574"/>
    <w:rsid w:val="007C12F8"/>
    <w:rsid w:val="007C7217"/>
    <w:rsid w:val="007E7699"/>
    <w:rsid w:val="007F66C9"/>
    <w:rsid w:val="008045F3"/>
    <w:rsid w:val="00820B4B"/>
    <w:rsid w:val="00820BA6"/>
    <w:rsid w:val="00821166"/>
    <w:rsid w:val="0082707E"/>
    <w:rsid w:val="00832BF3"/>
    <w:rsid w:val="00833815"/>
    <w:rsid w:val="0084067E"/>
    <w:rsid w:val="00844604"/>
    <w:rsid w:val="00852094"/>
    <w:rsid w:val="0087116B"/>
    <w:rsid w:val="00881722"/>
    <w:rsid w:val="008A22A8"/>
    <w:rsid w:val="008B72CC"/>
    <w:rsid w:val="008C5C50"/>
    <w:rsid w:val="008E3EAA"/>
    <w:rsid w:val="008E50A8"/>
    <w:rsid w:val="009074E3"/>
    <w:rsid w:val="0092283E"/>
    <w:rsid w:val="00924497"/>
    <w:rsid w:val="0092755E"/>
    <w:rsid w:val="00966854"/>
    <w:rsid w:val="00967DD9"/>
    <w:rsid w:val="00973BC2"/>
    <w:rsid w:val="009A21A4"/>
    <w:rsid w:val="009A7968"/>
    <w:rsid w:val="009C5A46"/>
    <w:rsid w:val="009C6B60"/>
    <w:rsid w:val="009D7207"/>
    <w:rsid w:val="009F0B33"/>
    <w:rsid w:val="00A059D0"/>
    <w:rsid w:val="00A31F19"/>
    <w:rsid w:val="00A46DDB"/>
    <w:rsid w:val="00A66E58"/>
    <w:rsid w:val="00A73CCB"/>
    <w:rsid w:val="00A73FFC"/>
    <w:rsid w:val="00A81C55"/>
    <w:rsid w:val="00A94437"/>
    <w:rsid w:val="00A9788C"/>
    <w:rsid w:val="00AA1AD7"/>
    <w:rsid w:val="00AA3A5D"/>
    <w:rsid w:val="00AB6B92"/>
    <w:rsid w:val="00AC13B7"/>
    <w:rsid w:val="00AC1B73"/>
    <w:rsid w:val="00AC2E5B"/>
    <w:rsid w:val="00AC61A8"/>
    <w:rsid w:val="00AD6A7B"/>
    <w:rsid w:val="00AE73E8"/>
    <w:rsid w:val="00B17D93"/>
    <w:rsid w:val="00B24BA0"/>
    <w:rsid w:val="00B30703"/>
    <w:rsid w:val="00B315AB"/>
    <w:rsid w:val="00B31FF1"/>
    <w:rsid w:val="00B32B63"/>
    <w:rsid w:val="00B37433"/>
    <w:rsid w:val="00B416D2"/>
    <w:rsid w:val="00B52AC9"/>
    <w:rsid w:val="00B52FE9"/>
    <w:rsid w:val="00B632F0"/>
    <w:rsid w:val="00B652FD"/>
    <w:rsid w:val="00B6545C"/>
    <w:rsid w:val="00B847B2"/>
    <w:rsid w:val="00B93497"/>
    <w:rsid w:val="00B956CE"/>
    <w:rsid w:val="00BB50C4"/>
    <w:rsid w:val="00BB5F5D"/>
    <w:rsid w:val="00BB631A"/>
    <w:rsid w:val="00BB7796"/>
    <w:rsid w:val="00BC1F85"/>
    <w:rsid w:val="00BD2AEB"/>
    <w:rsid w:val="00BD4DE9"/>
    <w:rsid w:val="00BD5A0A"/>
    <w:rsid w:val="00BE7FFD"/>
    <w:rsid w:val="00BF0CB7"/>
    <w:rsid w:val="00BF4163"/>
    <w:rsid w:val="00BF4264"/>
    <w:rsid w:val="00BF5D8D"/>
    <w:rsid w:val="00C16010"/>
    <w:rsid w:val="00C21AD3"/>
    <w:rsid w:val="00C27914"/>
    <w:rsid w:val="00C55068"/>
    <w:rsid w:val="00C62A1D"/>
    <w:rsid w:val="00C66C9A"/>
    <w:rsid w:val="00C71CDF"/>
    <w:rsid w:val="00C72F66"/>
    <w:rsid w:val="00C746A2"/>
    <w:rsid w:val="00C82551"/>
    <w:rsid w:val="00C86082"/>
    <w:rsid w:val="00C96DAF"/>
    <w:rsid w:val="00CA49D7"/>
    <w:rsid w:val="00CD3D5D"/>
    <w:rsid w:val="00CE5019"/>
    <w:rsid w:val="00D06B6A"/>
    <w:rsid w:val="00D556E6"/>
    <w:rsid w:val="00D613C9"/>
    <w:rsid w:val="00D779C4"/>
    <w:rsid w:val="00D96149"/>
    <w:rsid w:val="00DD7DC3"/>
    <w:rsid w:val="00E20227"/>
    <w:rsid w:val="00E5153A"/>
    <w:rsid w:val="00E604E8"/>
    <w:rsid w:val="00E72B28"/>
    <w:rsid w:val="00E86E2A"/>
    <w:rsid w:val="00EA187A"/>
    <w:rsid w:val="00EB72D7"/>
    <w:rsid w:val="00ED7308"/>
    <w:rsid w:val="00EE75FC"/>
    <w:rsid w:val="00EF04A1"/>
    <w:rsid w:val="00F06EA2"/>
    <w:rsid w:val="00F11C04"/>
    <w:rsid w:val="00F20D56"/>
    <w:rsid w:val="00F22312"/>
    <w:rsid w:val="00F26047"/>
    <w:rsid w:val="00F27419"/>
    <w:rsid w:val="00F642F1"/>
    <w:rsid w:val="00F64B45"/>
    <w:rsid w:val="00F654CE"/>
    <w:rsid w:val="00F724EB"/>
    <w:rsid w:val="00F72848"/>
    <w:rsid w:val="00F8090F"/>
    <w:rsid w:val="00F9755A"/>
    <w:rsid w:val="00FB6885"/>
    <w:rsid w:val="00FC3434"/>
    <w:rsid w:val="00FC6B52"/>
    <w:rsid w:val="00FE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028E5"/>
  <w15:chartTrackingRefBased/>
  <w15:docId w15:val="{31C47ADB-D50D-47D2-BB60-B884B594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374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374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374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374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374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374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74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74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74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433"/>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B37433"/>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B37433"/>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B37433"/>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B37433"/>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B37433"/>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B37433"/>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B37433"/>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B37433"/>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B374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433"/>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B374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433"/>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B37433"/>
    <w:pPr>
      <w:spacing w:before="160"/>
      <w:jc w:val="center"/>
    </w:pPr>
    <w:rPr>
      <w:i/>
      <w:iCs/>
      <w:color w:val="404040" w:themeColor="text1" w:themeTint="BF"/>
    </w:rPr>
  </w:style>
  <w:style w:type="character" w:customStyle="1" w:styleId="QuoteChar">
    <w:name w:val="Quote Char"/>
    <w:basedOn w:val="DefaultParagraphFont"/>
    <w:link w:val="Quote"/>
    <w:uiPriority w:val="29"/>
    <w:rsid w:val="00B37433"/>
    <w:rPr>
      <w:i/>
      <w:iCs/>
      <w:color w:val="404040" w:themeColor="text1" w:themeTint="BF"/>
      <w:lang w:val="en-GB"/>
    </w:rPr>
  </w:style>
  <w:style w:type="paragraph" w:styleId="ListParagraph">
    <w:name w:val="List Paragraph"/>
    <w:basedOn w:val="Normal"/>
    <w:uiPriority w:val="34"/>
    <w:qFormat/>
    <w:rsid w:val="00B37433"/>
    <w:pPr>
      <w:ind w:left="720"/>
      <w:contextualSpacing/>
    </w:pPr>
  </w:style>
  <w:style w:type="character" w:styleId="IntenseEmphasis">
    <w:name w:val="Intense Emphasis"/>
    <w:basedOn w:val="DefaultParagraphFont"/>
    <w:uiPriority w:val="21"/>
    <w:qFormat/>
    <w:rsid w:val="00B37433"/>
    <w:rPr>
      <w:i/>
      <w:iCs/>
      <w:color w:val="2F5496" w:themeColor="accent1" w:themeShade="BF"/>
    </w:rPr>
  </w:style>
  <w:style w:type="paragraph" w:styleId="IntenseQuote">
    <w:name w:val="Intense Quote"/>
    <w:basedOn w:val="Normal"/>
    <w:next w:val="Normal"/>
    <w:link w:val="IntenseQuoteChar"/>
    <w:uiPriority w:val="30"/>
    <w:qFormat/>
    <w:rsid w:val="00B374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37433"/>
    <w:rPr>
      <w:i/>
      <w:iCs/>
      <w:color w:val="2F5496" w:themeColor="accent1" w:themeShade="BF"/>
      <w:lang w:val="en-GB"/>
    </w:rPr>
  </w:style>
  <w:style w:type="character" w:styleId="IntenseReference">
    <w:name w:val="Intense Reference"/>
    <w:basedOn w:val="DefaultParagraphFont"/>
    <w:uiPriority w:val="32"/>
    <w:qFormat/>
    <w:rsid w:val="00B37433"/>
    <w:rPr>
      <w:b/>
      <w:bCs/>
      <w:smallCaps/>
      <w:color w:val="2F5496" w:themeColor="accent1" w:themeShade="BF"/>
      <w:spacing w:val="5"/>
    </w:rPr>
  </w:style>
  <w:style w:type="character" w:styleId="PlaceholderText">
    <w:name w:val="Placeholder Text"/>
    <w:basedOn w:val="DefaultParagraphFont"/>
    <w:uiPriority w:val="99"/>
    <w:semiHidden/>
    <w:rsid w:val="00B31FF1"/>
    <w:rPr>
      <w:color w:val="666666"/>
    </w:rPr>
  </w:style>
  <w:style w:type="paragraph" w:styleId="Header">
    <w:name w:val="header"/>
    <w:basedOn w:val="Normal"/>
    <w:link w:val="HeaderChar"/>
    <w:uiPriority w:val="99"/>
    <w:unhideWhenUsed/>
    <w:rsid w:val="00FE79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98B"/>
    <w:rPr>
      <w:lang w:val="en-GB"/>
    </w:rPr>
  </w:style>
  <w:style w:type="paragraph" w:styleId="Footer">
    <w:name w:val="footer"/>
    <w:basedOn w:val="Normal"/>
    <w:link w:val="FooterChar"/>
    <w:uiPriority w:val="99"/>
    <w:unhideWhenUsed/>
    <w:rsid w:val="00FE79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98B"/>
    <w:rPr>
      <w:lang w:val="en-GB"/>
    </w:rPr>
  </w:style>
  <w:style w:type="character" w:styleId="Hyperlink">
    <w:name w:val="Hyperlink"/>
    <w:basedOn w:val="DefaultParagraphFont"/>
    <w:uiPriority w:val="99"/>
    <w:unhideWhenUsed/>
    <w:rsid w:val="005372DE"/>
    <w:rPr>
      <w:color w:val="0563C1" w:themeColor="hyperlink"/>
      <w:u w:val="single"/>
    </w:rPr>
  </w:style>
  <w:style w:type="character" w:styleId="UnresolvedMention">
    <w:name w:val="Unresolved Mention"/>
    <w:basedOn w:val="DefaultParagraphFont"/>
    <w:uiPriority w:val="99"/>
    <w:semiHidden/>
    <w:unhideWhenUsed/>
    <w:rsid w:val="005372DE"/>
    <w:rPr>
      <w:color w:val="605E5C"/>
      <w:shd w:val="clear" w:color="auto" w:fill="E1DFDD"/>
    </w:rPr>
  </w:style>
  <w:style w:type="paragraph" w:customStyle="1" w:styleId="z1qcye">
    <w:name w:val="z1qcye"/>
    <w:basedOn w:val="Normal"/>
    <w:rsid w:val="007A4E79"/>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inqyif">
    <w:name w:val="inqyif"/>
    <w:basedOn w:val="DefaultParagraphFont"/>
    <w:rsid w:val="007A4E79"/>
  </w:style>
  <w:style w:type="paragraph" w:styleId="NoSpacing">
    <w:name w:val="No Spacing"/>
    <w:uiPriority w:val="1"/>
    <w:qFormat/>
    <w:rsid w:val="00F72848"/>
    <w:pPr>
      <w:spacing w:after="0" w:line="240" w:lineRule="auto"/>
    </w:pPr>
    <w:rPr>
      <w:lang w:val="en-GB"/>
    </w:rPr>
  </w:style>
  <w:style w:type="table" w:styleId="TableGrid">
    <w:name w:val="Table Grid"/>
    <w:basedOn w:val="TableNormal"/>
    <w:uiPriority w:val="39"/>
    <w:rsid w:val="00452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C337E"/>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jare-sh.com/downloads/abstract_mar_2017/aganuwa.pdf" TargetMode="External"/><Relationship Id="rId21" Type="http://schemas.openxmlformats.org/officeDocument/2006/relationships/hyperlink" Target="https://doi.org/10.1007/978-1-349-03359-1_11" TargetMode="External"/><Relationship Id="rId42" Type="http://schemas.openxmlformats.org/officeDocument/2006/relationships/hyperlink" Target="https://www.knbs.or.ke/reports/foreign-investment-survey-2020-report/" TargetMode="External"/><Relationship Id="rId47" Type="http://schemas.openxmlformats.org/officeDocument/2006/relationships/hyperlink" Target="https://doi.org/10.3390/ijfs6040086" TargetMode="External"/><Relationship Id="rId63" Type="http://schemas.openxmlformats.org/officeDocument/2006/relationships/hyperlink" Target="https://www.ijtra.com/special-issue-view.php-paper-role-of-interest-rate-in-attracting-the-fdi-study-on-asean-5-economy.pdf" TargetMode="External"/><Relationship Id="rId68" Type="http://schemas.openxmlformats.org/officeDocument/2006/relationships/hyperlink" Target="https://www.researchgate.net/publication/298212358_ANALYSIS_OF_THE_DETERMINANTS_OF_FOREIGN_DIRECT_INVESTMENT_IN_KENYA" TargetMode="External"/><Relationship Id="rId16" Type="http://schemas.openxmlformats.org/officeDocument/2006/relationships/hyperlink" Target="https://doi.org/10.4236/oalib.1110100" TargetMode="External"/><Relationship Id="rId11" Type="http://schemas.openxmlformats.org/officeDocument/2006/relationships/hyperlink" Target="https://doi.org/10.1371/journal.pone.0298129" TargetMode="External"/><Relationship Id="rId24" Type="http://schemas.openxmlformats.org/officeDocument/2006/relationships/hyperlink" Target="https://doi.org/10.2307/2332325" TargetMode="External"/><Relationship Id="rId32" Type="http://schemas.openxmlformats.org/officeDocument/2006/relationships/hyperlink" Target="https://doi.org/10.2307/2527262" TargetMode="External"/><Relationship Id="rId37" Type="http://schemas.openxmlformats.org/officeDocument/2006/relationships/hyperlink" Target="https://doi.org/10.1080/20430795.2022.2163846" TargetMode="External"/><Relationship Id="rId40" Type="http://schemas.openxmlformats.org/officeDocument/2006/relationships/hyperlink" Target="https://doi.org/10.7176/EJBM/11-3-06" TargetMode="External"/><Relationship Id="rId45" Type="http://schemas.openxmlformats.org/officeDocument/2006/relationships/hyperlink" Target="https://kukr.lib.ku.ac.th/bkn/Detail/info/309715" TargetMode="External"/><Relationship Id="rId53" Type="http://schemas.openxmlformats.org/officeDocument/2006/relationships/hyperlink" Target="https://doi.org/10.18280/ijsdp.170214" TargetMode="External"/><Relationship Id="rId58" Type="http://schemas.openxmlformats.org/officeDocument/2006/relationships/hyperlink" Target="https://doi.org/10.1002/jae.616" TargetMode="External"/><Relationship Id="rId66" Type="http://schemas.openxmlformats.org/officeDocument/2006/relationships/hyperlink" Target="https://unctad.org/publication/world-investment-report-2019" TargetMode="External"/><Relationship Id="rId74" Type="http://schemas.openxmlformats.org/officeDocument/2006/relationships/hyperlink" Target="https://data.worldbank.org/indicator/FR.INR.RINR?locations=KE" TargetMode="External"/><Relationship Id="rId5" Type="http://schemas.openxmlformats.org/officeDocument/2006/relationships/footnotes" Target="footnotes.xml"/><Relationship Id="rId61" Type="http://schemas.openxmlformats.org/officeDocument/2006/relationships/hyperlink" Target="https://doi.org/10.1016/S2212-5671(12)00042-1" TargetMode="External"/><Relationship Id="rId19" Type="http://schemas.openxmlformats.org/officeDocument/2006/relationships/hyperlink" Target="https://doi.org/10.1016/j.jimonfin.2017.07.018" TargetMode="External"/><Relationship Id="rId14" Type="http://schemas.openxmlformats.org/officeDocument/2006/relationships/hyperlink" Target="https://doi.org/10.1111/rode.12858" TargetMode="External"/><Relationship Id="rId22" Type="http://schemas.openxmlformats.org/officeDocument/2006/relationships/hyperlink" Target="https://doi.org/10.1057/palgrave.jibs.8490372" TargetMode="External"/><Relationship Id="rId27" Type="http://schemas.openxmlformats.org/officeDocument/2006/relationships/hyperlink" Target="https://doi.org/10.2307/1913236" TargetMode="External"/><Relationship Id="rId30" Type="http://schemas.openxmlformats.org/officeDocument/2006/relationships/hyperlink" Target="https://doi.org/10.24018/ejbmr.2020.5.3.311" TargetMode="External"/><Relationship Id="rId35" Type="http://schemas.openxmlformats.org/officeDocument/2006/relationships/hyperlink" Target="https://research.tilburguniversity.edu/en/publications/a-theory-of-multinational-enterprise/" TargetMode="External"/><Relationship Id="rId43" Type="http://schemas.openxmlformats.org/officeDocument/2006/relationships/hyperlink" Target="https://doi.org/10.29274/ews.2018.30.4.157" TargetMode="External"/><Relationship Id="rId48" Type="http://schemas.openxmlformats.org/officeDocument/2006/relationships/hyperlink" Target="https://doi.org/10.15408/sjie.v8i2.10560" TargetMode="External"/><Relationship Id="rId56" Type="http://schemas.openxmlformats.org/officeDocument/2006/relationships/hyperlink" Target="https://open.uct.ac.za/items/5c821d9d-9a5e-4d7f-b4ea-8f82a80c0dd0" TargetMode="External"/><Relationship Id="rId64" Type="http://schemas.openxmlformats.org/officeDocument/2006/relationships/hyperlink" Target="https://doi.org/10.2139/ssrn.3424573" TargetMode="External"/><Relationship Id="rId69" Type="http://schemas.openxmlformats.org/officeDocument/2006/relationships/hyperlink" Target="https://doi.org/10.1080/23322039.2023.2281176" TargetMode="External"/><Relationship Id="rId77" Type="http://schemas.openxmlformats.org/officeDocument/2006/relationships/fontTable" Target="fontTable.xml"/><Relationship Id="rId8" Type="http://schemas.openxmlformats.org/officeDocument/2006/relationships/hyperlink" Target="https://eksujournal.eksu.edu.ng/ojs/index.php/njbf/article/download/502/2239/4054" TargetMode="External"/><Relationship Id="rId51" Type="http://schemas.openxmlformats.org/officeDocument/2006/relationships/hyperlink" Target="https://doi.org/10.47672/aje.330" TargetMode="External"/><Relationship Id="rId72" Type="http://schemas.openxmlformats.org/officeDocument/2006/relationships/hyperlink" Target="https://www.worldbank.org/en/country/kenya/publication/kenya-economic-update-keu" TargetMode="External"/><Relationship Id="rId3" Type="http://schemas.openxmlformats.org/officeDocument/2006/relationships/settings" Target="settings.xml"/><Relationship Id="rId12" Type="http://schemas.openxmlformats.org/officeDocument/2006/relationships/hyperlink" Target="https://www.researchgate.net/publication/283178576_The_impact_of_inflation_and_GDP_per_capita_on_foreign_direct_investment_The_case_of_United_Arab_Emirates" TargetMode="External"/><Relationship Id="rId17" Type="http://schemas.openxmlformats.org/officeDocument/2006/relationships/hyperlink" Target="https://doi.org/10.21916/mlr.2016.13" TargetMode="External"/><Relationship Id="rId25" Type="http://schemas.openxmlformats.org/officeDocument/2006/relationships/hyperlink" Target="https://doi.org/10.1080/15140326.2020.1795526" TargetMode="External"/><Relationship Id="rId33" Type="http://schemas.openxmlformats.org/officeDocument/2006/relationships/hyperlink" Target="https://doi.org/10.2307/1912791" TargetMode="External"/><Relationship Id="rId38" Type="http://schemas.openxmlformats.org/officeDocument/2006/relationships/hyperlink" Target="https://doi.org/10.1016/0165-1765(80)90024-5" TargetMode="External"/><Relationship Id="rId46" Type="http://schemas.openxmlformats.org/officeDocument/2006/relationships/hyperlink" Target="https://doi.org/10.11648/j.ijefm.20160403.13" TargetMode="External"/><Relationship Id="rId59" Type="http://schemas.openxmlformats.org/officeDocument/2006/relationships/hyperlink" Target="https://doi.org/10.1093/biomet/75.2.335" TargetMode="External"/><Relationship Id="rId67" Type="http://schemas.openxmlformats.org/officeDocument/2006/relationships/hyperlink" Target="https://doi.org/10.31364/SCIRJ/v6.i8.2018.P0818546" TargetMode="External"/><Relationship Id="rId20" Type="http://schemas.openxmlformats.org/officeDocument/2006/relationships/hyperlink" Target="https://mpra.ub.uni-muenchen.de/83636/" TargetMode="External"/><Relationship Id="rId41" Type="http://schemas.openxmlformats.org/officeDocument/2006/relationships/hyperlink" Target="https://doi.org/10.1111/sjos.12110" TargetMode="External"/><Relationship Id="rId54" Type="http://schemas.openxmlformats.org/officeDocument/2006/relationships/hyperlink" Target="https://doi.org/10.5829/idosi.wasj.2013.24.10.229" TargetMode="External"/><Relationship Id="rId62" Type="http://schemas.openxmlformats.org/officeDocument/2006/relationships/hyperlink" Target="https://doi.org/10.26710/jafee.v11i3.3504" TargetMode="External"/><Relationship Id="rId70" Type="http://schemas.openxmlformats.org/officeDocument/2006/relationships/hyperlink" Target="https://documents.worldbank.org/curated/en/449421468331173478/pdf/768240PUB0EPI00IC00PUB0DATE04012013.pdf" TargetMode="External"/><Relationship Id="rId75" Type="http://schemas.openxmlformats.org/officeDocument/2006/relationships/hyperlink" Target="https://doi.org/10.1108/IJSE-10-2013-0238"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doi.org/10.2307/1911963" TargetMode="External"/><Relationship Id="rId23" Type="http://schemas.openxmlformats.org/officeDocument/2006/relationships/hyperlink" Target="https://doi.org/10.1080/13571510110051441" TargetMode="External"/><Relationship Id="rId28" Type="http://schemas.openxmlformats.org/officeDocument/2006/relationships/hyperlink" Target="https://doi.org/10.2139/ssrn.2542111" TargetMode="External"/><Relationship Id="rId36" Type="http://schemas.openxmlformats.org/officeDocument/2006/relationships/hyperlink" Target="https://mitpress.mit.edu/9780262080859/the-international-operations-of-national-firms/" TargetMode="External"/><Relationship Id="rId49" Type="http://schemas.openxmlformats.org/officeDocument/2006/relationships/hyperlink" Target="https://doi.org/10.1080/1331677X.2023.2299991" TargetMode="External"/><Relationship Id="rId57" Type="http://schemas.openxmlformats.org/officeDocument/2006/relationships/hyperlink" Target="https://doi.org/10.2139/ssrn.3328539" TargetMode="External"/><Relationship Id="rId10" Type="http://schemas.openxmlformats.org/officeDocument/2006/relationships/hyperlink" Target="https://osuva.uwasa.fi/server/api/core/bitstreams/bf1e8a6c-ba0c-4c08-94fc-4f08430feae5/content" TargetMode="External"/><Relationship Id="rId31" Type="http://schemas.openxmlformats.org/officeDocument/2006/relationships/hyperlink" Target="https://doi.org/10.1111/ecaf.12213" TargetMode="External"/><Relationship Id="rId44" Type="http://schemas.openxmlformats.org/officeDocument/2006/relationships/hyperlink" Target="https://erepository.uonbi.ac.ke/items/265c3e44-8fa1-4325-b1f6-ec2f6bec8415" TargetMode="External"/><Relationship Id="rId52" Type="http://schemas.openxmlformats.org/officeDocument/2006/relationships/hyperlink" Target="https://erepository.uonbi.ac.ke/server/api/core/bitstreams/9d7cf8c5-8aa1-430d-af8b-26211878c4ef/content" TargetMode="External"/><Relationship Id="rId60" Type="http://schemas.openxmlformats.org/officeDocument/2006/relationships/hyperlink" Target="https://doi.org/10.15678/AOC.2015.1306" TargetMode="External"/><Relationship Id="rId65" Type="http://schemas.openxmlformats.org/officeDocument/2006/relationships/hyperlink" Target="https://doi.org/10.1108/JES-10-2016-0215" TargetMode="External"/><Relationship Id="rId73" Type="http://schemas.openxmlformats.org/officeDocument/2006/relationships/hyperlink" Target="https://data.worldbank.org/indicator/FP.CPI.TOTL.ZG?locations=KE"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3390/economies13060175" TargetMode="External"/><Relationship Id="rId13" Type="http://schemas.openxmlformats.org/officeDocument/2006/relationships/hyperlink" Target="https://doi.org/10.1186/s43093-026-00895-6" TargetMode="External"/><Relationship Id="rId18" Type="http://schemas.openxmlformats.org/officeDocument/2006/relationships/hyperlink" Target="https://doi.org/10.1016/j.physa.2017.04.057" TargetMode="External"/><Relationship Id="rId39" Type="http://schemas.openxmlformats.org/officeDocument/2006/relationships/hyperlink" Target="https://doi.org/10.1007/s00180-016-0687-x" TargetMode="External"/><Relationship Id="rId34" Type="http://schemas.openxmlformats.org/officeDocument/2006/relationships/hyperlink" Target="https://www.researchgate.net/publication/262488231_The_Relationship_between_Gross_Domestic_Product_and_Foreign_Direct_Investment_The_Case_of_Cambodia" TargetMode="External"/><Relationship Id="rId50" Type="http://schemas.openxmlformats.org/officeDocument/2006/relationships/hyperlink" Target="https://doi.org/10.2139/ssrn.1898351" TargetMode="External"/><Relationship Id="rId55" Type="http://schemas.openxmlformats.org/officeDocument/2006/relationships/hyperlink" Target="https://doi.org/10.1080/01900692.2021.1872622" TargetMode="External"/><Relationship Id="rId76" Type="http://schemas.openxmlformats.org/officeDocument/2006/relationships/footer" Target="footer1.xml"/><Relationship Id="rId7" Type="http://schemas.openxmlformats.org/officeDocument/2006/relationships/hyperlink" Target="http://hdl.handle.net/11427/29928" TargetMode="External"/><Relationship Id="rId71" Type="http://schemas.openxmlformats.org/officeDocument/2006/relationships/hyperlink" Target="https://openknowledge.worldbank.org/entities/publication/e565c435-4e21-59b1-a319-485f31eb5151" TargetMode="External"/><Relationship Id="rId2" Type="http://schemas.openxmlformats.org/officeDocument/2006/relationships/styles" Target="styles.xml"/><Relationship Id="rId29" Type="http://schemas.openxmlformats.org/officeDocument/2006/relationships/hyperlink" Target="https://doi.org/10.26905/jkdp.v22i4.2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30</Pages>
  <Words>12904</Words>
  <Characters>73554</Characters>
  <Application>Microsoft Office Word</Application>
  <DocSecurity>0</DocSecurity>
  <Lines>612</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Salesio Miriti</dc:creator>
  <cp:keywords/>
  <dc:description/>
  <cp:lastModifiedBy>SDI CPU 1117</cp:lastModifiedBy>
  <cp:revision>13</cp:revision>
  <dcterms:created xsi:type="dcterms:W3CDTF">2026-09-14T09:04:00Z</dcterms:created>
  <dcterms:modified xsi:type="dcterms:W3CDTF">2026-09-21T12:34:00Z</dcterms:modified>
</cp:coreProperties>
</file>