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07919" w14:textId="3DF9923F" w:rsidR="005867C7" w:rsidRPr="005867C7" w:rsidRDefault="004456DF" w:rsidP="005867C7">
      <w:pPr>
        <w:pStyle w:val="NoSpacing"/>
        <w:rPr>
          <w:rFonts w:ascii="Times New Roman" w:hAnsi="Times New Roman" w:cs="Times New Roman"/>
          <w:b/>
          <w:bCs/>
        </w:rPr>
      </w:pPr>
      <w:r w:rsidRPr="005867C7">
        <w:rPr>
          <w:rFonts w:ascii="Times New Roman" w:hAnsi="Times New Roman" w:cs="Times New Roman"/>
          <w:b/>
          <w:bCs/>
        </w:rPr>
        <w:t>Macroeconomic Drivers Shaping Foreign Direct Investment in Kenya: Evidence from Time-Series Analysis</w:t>
      </w:r>
      <w:r w:rsidR="005867C7" w:rsidRPr="005867C7">
        <w:rPr>
          <w:rFonts w:ascii="Times New Roman" w:hAnsi="Times New Roman" w:cs="Times New Roman"/>
          <w:b/>
          <w:bCs/>
        </w:rPr>
        <w:t>.</w:t>
      </w:r>
    </w:p>
    <w:p w14:paraId="1CF0419E" w14:textId="77777777" w:rsidR="005867C7" w:rsidRDefault="005867C7" w:rsidP="005867C7">
      <w:pPr>
        <w:spacing w:after="0" w:line="240" w:lineRule="auto"/>
        <w:jc w:val="both"/>
        <w:rPr>
          <w:rFonts w:ascii="Times New Roman" w:hAnsi="Times New Roman" w:cs="Times New Roman"/>
        </w:rPr>
      </w:pPr>
    </w:p>
    <w:p w14:paraId="544B7615" w14:textId="7C0668D2" w:rsidR="005867C7" w:rsidRPr="00734744" w:rsidRDefault="005867C7" w:rsidP="005867C7">
      <w:pPr>
        <w:spacing w:after="0" w:line="240" w:lineRule="auto"/>
        <w:jc w:val="both"/>
        <w:rPr>
          <w:rFonts w:ascii="Times New Roman" w:hAnsi="Times New Roman" w:cs="Times New Roman"/>
          <w:vertAlign w:val="superscript"/>
        </w:rPr>
      </w:pPr>
      <w:proofErr w:type="spellStart"/>
      <w:r w:rsidRPr="00734744">
        <w:rPr>
          <w:rFonts w:ascii="Times New Roman" w:hAnsi="Times New Roman" w:cs="Times New Roman"/>
        </w:rPr>
        <w:t>Chepsongok</w:t>
      </w:r>
      <w:proofErr w:type="spellEnd"/>
      <w:r w:rsidRPr="00734744">
        <w:rPr>
          <w:rFonts w:ascii="Times New Roman" w:hAnsi="Times New Roman" w:cs="Times New Roman"/>
        </w:rPr>
        <w:t xml:space="preserve"> </w:t>
      </w:r>
      <w:proofErr w:type="spellStart"/>
      <w:r w:rsidRPr="00734744">
        <w:rPr>
          <w:rFonts w:ascii="Times New Roman" w:hAnsi="Times New Roman" w:cs="Times New Roman"/>
        </w:rPr>
        <w:t>Vibian</w:t>
      </w:r>
      <w:proofErr w:type="spellEnd"/>
      <w:r w:rsidRPr="00734744">
        <w:rPr>
          <w:rFonts w:ascii="Times New Roman" w:hAnsi="Times New Roman" w:cs="Times New Roman"/>
        </w:rPr>
        <w:t xml:space="preserve"> </w:t>
      </w:r>
      <w:proofErr w:type="spellStart"/>
      <w:r w:rsidRPr="00734744">
        <w:rPr>
          <w:rFonts w:ascii="Times New Roman" w:hAnsi="Times New Roman" w:cs="Times New Roman"/>
        </w:rPr>
        <w:t>Leboo</w:t>
      </w:r>
      <w:r w:rsidRPr="00734744">
        <w:rPr>
          <w:rFonts w:ascii="Times New Roman" w:hAnsi="Times New Roman" w:cs="Times New Roman"/>
          <w:vertAlign w:val="superscript"/>
        </w:rPr>
        <w:t>a</w:t>
      </w:r>
      <w:proofErr w:type="spellEnd"/>
      <w:r>
        <w:rPr>
          <w:rFonts w:ascii="Times New Roman" w:hAnsi="Times New Roman" w:cs="Times New Roman"/>
          <w:vertAlign w:val="superscript"/>
        </w:rPr>
        <w:t>*</w:t>
      </w:r>
      <w:r w:rsidRPr="00734744">
        <w:rPr>
          <w:rFonts w:ascii="Times New Roman" w:hAnsi="Times New Roman" w:cs="Times New Roman"/>
        </w:rPr>
        <w:t xml:space="preserve">, Dr. </w:t>
      </w:r>
      <w:proofErr w:type="spellStart"/>
      <w:r w:rsidRPr="00734744">
        <w:rPr>
          <w:rFonts w:ascii="Times New Roman" w:hAnsi="Times New Roman" w:cs="Times New Roman"/>
        </w:rPr>
        <w:t>Onesmus</w:t>
      </w:r>
      <w:proofErr w:type="spellEnd"/>
      <w:r w:rsidRPr="00734744">
        <w:rPr>
          <w:rFonts w:ascii="Times New Roman" w:hAnsi="Times New Roman" w:cs="Times New Roman"/>
        </w:rPr>
        <w:t xml:space="preserve"> Mbaabu</w:t>
      </w:r>
      <w:r w:rsidRPr="00734744">
        <w:rPr>
          <w:rFonts w:ascii="Times New Roman" w:hAnsi="Times New Roman" w:cs="Times New Roman"/>
          <w:vertAlign w:val="superscript"/>
        </w:rPr>
        <w:t>b</w:t>
      </w:r>
      <w:r w:rsidRPr="00734744">
        <w:rPr>
          <w:rFonts w:ascii="Times New Roman" w:hAnsi="Times New Roman" w:cs="Times New Roman"/>
        </w:rPr>
        <w:t xml:space="preserve">, Dr. Rael N. </w:t>
      </w:r>
      <w:proofErr w:type="spellStart"/>
      <w:r w:rsidRPr="00734744">
        <w:rPr>
          <w:rFonts w:ascii="Times New Roman" w:hAnsi="Times New Roman" w:cs="Times New Roman"/>
        </w:rPr>
        <w:t>Mwirigi</w:t>
      </w:r>
      <w:r w:rsidRPr="00734744">
        <w:rPr>
          <w:rFonts w:ascii="Times New Roman" w:hAnsi="Times New Roman" w:cs="Times New Roman"/>
          <w:vertAlign w:val="superscript"/>
        </w:rPr>
        <w:t>c</w:t>
      </w:r>
      <w:proofErr w:type="spellEnd"/>
      <w:r w:rsidRPr="00734744">
        <w:rPr>
          <w:rFonts w:ascii="Times New Roman" w:hAnsi="Times New Roman" w:cs="Times New Roman"/>
        </w:rPr>
        <w:t>, Dr. Salesio Miriti M’Muruku</w:t>
      </w:r>
      <w:r w:rsidRPr="00734744">
        <w:rPr>
          <w:rFonts w:ascii="Times New Roman" w:hAnsi="Times New Roman" w:cs="Times New Roman"/>
          <w:vertAlign w:val="superscript"/>
        </w:rPr>
        <w:t>d</w:t>
      </w:r>
    </w:p>
    <w:p w14:paraId="6DFDF8D0" w14:textId="77777777" w:rsidR="005867C7" w:rsidRPr="00734744" w:rsidRDefault="005867C7" w:rsidP="005867C7">
      <w:pPr>
        <w:spacing w:after="0" w:line="240" w:lineRule="auto"/>
        <w:jc w:val="both"/>
        <w:rPr>
          <w:rFonts w:ascii="Times New Roman" w:hAnsi="Times New Roman" w:cs="Times New Roman"/>
        </w:rPr>
      </w:pPr>
      <w:r w:rsidRPr="00734744">
        <w:rPr>
          <w:rFonts w:ascii="Times New Roman" w:hAnsi="Times New Roman" w:cs="Times New Roman"/>
          <w:sz w:val="28"/>
          <w:szCs w:val="28"/>
          <w:vertAlign w:val="superscript"/>
        </w:rPr>
        <w:t>a</w:t>
      </w:r>
      <w:r w:rsidRPr="00734744">
        <w:rPr>
          <w:rFonts w:ascii="Times New Roman" w:hAnsi="Times New Roman" w:cs="Times New Roman"/>
          <w:vertAlign w:val="superscript"/>
        </w:rPr>
        <w:t xml:space="preserve"> </w:t>
      </w:r>
      <w:r w:rsidRPr="00734744">
        <w:rPr>
          <w:rFonts w:ascii="Times New Roman" w:hAnsi="Times New Roman" w:cs="Times New Roman"/>
        </w:rPr>
        <w:t>Department of Social Sciences, Tharaka University</w:t>
      </w:r>
    </w:p>
    <w:p w14:paraId="433F4710" w14:textId="77777777" w:rsidR="005867C7" w:rsidRPr="00734744" w:rsidRDefault="005867C7" w:rsidP="005867C7">
      <w:pPr>
        <w:spacing w:after="0" w:line="240" w:lineRule="auto"/>
        <w:jc w:val="both"/>
        <w:rPr>
          <w:rFonts w:ascii="Times New Roman" w:hAnsi="Times New Roman" w:cs="Times New Roman"/>
        </w:rPr>
      </w:pPr>
      <w:r w:rsidRPr="00734744">
        <w:rPr>
          <w:rFonts w:ascii="Times New Roman" w:hAnsi="Times New Roman" w:cs="Times New Roman"/>
          <w:sz w:val="28"/>
          <w:szCs w:val="28"/>
          <w:vertAlign w:val="superscript"/>
        </w:rPr>
        <w:t>b</w:t>
      </w:r>
      <w:r w:rsidRPr="00734744">
        <w:rPr>
          <w:rFonts w:ascii="Times New Roman" w:hAnsi="Times New Roman" w:cs="Times New Roman"/>
          <w:vertAlign w:val="superscript"/>
        </w:rPr>
        <w:t xml:space="preserve"> </w:t>
      </w:r>
      <w:r w:rsidRPr="00734744">
        <w:rPr>
          <w:rFonts w:ascii="Times New Roman" w:hAnsi="Times New Roman" w:cs="Times New Roman"/>
        </w:rPr>
        <w:t>Department of Business and Economics, Chuka University</w:t>
      </w:r>
    </w:p>
    <w:p w14:paraId="6D960242" w14:textId="77777777" w:rsidR="005867C7" w:rsidRPr="00734744" w:rsidRDefault="005867C7" w:rsidP="005867C7">
      <w:pPr>
        <w:spacing w:after="0" w:line="240" w:lineRule="auto"/>
        <w:jc w:val="both"/>
        <w:rPr>
          <w:rFonts w:ascii="Times New Roman" w:hAnsi="Times New Roman" w:cs="Times New Roman"/>
        </w:rPr>
      </w:pPr>
      <w:r w:rsidRPr="00734744">
        <w:rPr>
          <w:rFonts w:ascii="Times New Roman" w:hAnsi="Times New Roman" w:cs="Times New Roman"/>
          <w:sz w:val="28"/>
          <w:szCs w:val="28"/>
          <w:vertAlign w:val="superscript"/>
        </w:rPr>
        <w:t>c</w:t>
      </w:r>
      <w:r w:rsidRPr="00734744">
        <w:rPr>
          <w:rFonts w:ascii="Times New Roman" w:hAnsi="Times New Roman" w:cs="Times New Roman"/>
          <w:vertAlign w:val="superscript"/>
        </w:rPr>
        <w:t xml:space="preserve"> </w:t>
      </w:r>
      <w:r w:rsidRPr="00734744">
        <w:rPr>
          <w:rFonts w:ascii="Times New Roman" w:hAnsi="Times New Roman" w:cs="Times New Roman"/>
        </w:rPr>
        <w:t>Department of Business and Economics, Chuka University</w:t>
      </w:r>
    </w:p>
    <w:p w14:paraId="2EE188D3" w14:textId="77777777" w:rsidR="005867C7" w:rsidRPr="00734744" w:rsidRDefault="005867C7" w:rsidP="005867C7">
      <w:pPr>
        <w:spacing w:after="0" w:line="240" w:lineRule="auto"/>
        <w:jc w:val="both"/>
        <w:rPr>
          <w:rFonts w:ascii="Times New Roman" w:hAnsi="Times New Roman" w:cs="Times New Roman"/>
        </w:rPr>
      </w:pPr>
      <w:r w:rsidRPr="00734744">
        <w:rPr>
          <w:rFonts w:ascii="Times New Roman" w:hAnsi="Times New Roman" w:cs="Times New Roman"/>
          <w:sz w:val="28"/>
          <w:szCs w:val="28"/>
          <w:vertAlign w:val="superscript"/>
        </w:rPr>
        <w:t>d</w:t>
      </w:r>
      <w:r w:rsidRPr="00734744">
        <w:rPr>
          <w:rFonts w:ascii="Times New Roman" w:hAnsi="Times New Roman" w:cs="Times New Roman"/>
          <w:vertAlign w:val="superscript"/>
        </w:rPr>
        <w:t xml:space="preserve"> </w:t>
      </w:r>
      <w:r w:rsidRPr="00734744">
        <w:rPr>
          <w:rFonts w:ascii="Times New Roman" w:hAnsi="Times New Roman" w:cs="Times New Roman"/>
        </w:rPr>
        <w:t>Department of Social Sciences, Tharaka University</w:t>
      </w:r>
    </w:p>
    <w:p w14:paraId="1D4AE165" w14:textId="77777777" w:rsidR="005867C7" w:rsidRPr="00AA1AD7" w:rsidRDefault="005867C7" w:rsidP="005867C7">
      <w:pPr>
        <w:spacing w:after="0" w:line="240" w:lineRule="auto"/>
        <w:ind w:left="720" w:firstLine="720"/>
        <w:jc w:val="both"/>
        <w:rPr>
          <w:rFonts w:ascii="Times New Roman" w:hAnsi="Times New Roman" w:cs="Times New Roman"/>
          <w:sz w:val="28"/>
          <w:szCs w:val="28"/>
          <w:vertAlign w:val="superscript"/>
        </w:rPr>
      </w:pPr>
      <w:r w:rsidRPr="00AA1AD7">
        <w:rPr>
          <w:rFonts w:ascii="Times New Roman" w:hAnsi="Times New Roman" w:cs="Times New Roman"/>
          <w:b/>
          <w:bCs/>
          <w:sz w:val="28"/>
          <w:szCs w:val="28"/>
        </w:rPr>
        <w:t xml:space="preserve">Corresponding Author: </w:t>
      </w:r>
      <w:r w:rsidRPr="00AA1AD7">
        <w:rPr>
          <w:rFonts w:ascii="Times New Roman" w:hAnsi="Times New Roman" w:cs="Times New Roman"/>
          <w:sz w:val="28"/>
          <w:szCs w:val="28"/>
        </w:rPr>
        <w:t>Dr. Salesio Miriti M’Muruku</w:t>
      </w:r>
    </w:p>
    <w:p w14:paraId="63666AB9" w14:textId="2A6C4704" w:rsidR="005F7EAC" w:rsidRPr="005867C7" w:rsidRDefault="005867C7" w:rsidP="005867C7">
      <w:pPr>
        <w:spacing w:after="0" w:line="240" w:lineRule="auto"/>
        <w:ind w:left="1440" w:firstLine="720"/>
        <w:jc w:val="both"/>
        <w:rPr>
          <w:rFonts w:ascii="Times New Roman" w:hAnsi="Times New Roman" w:cs="Times New Roman"/>
          <w:sz w:val="28"/>
          <w:szCs w:val="28"/>
        </w:rPr>
      </w:pPr>
      <w:r w:rsidRPr="00AA1AD7">
        <w:rPr>
          <w:rFonts w:ascii="Times New Roman" w:hAnsi="Times New Roman" w:cs="Times New Roman"/>
          <w:b/>
          <w:bCs/>
          <w:sz w:val="28"/>
          <w:szCs w:val="28"/>
        </w:rPr>
        <w:t xml:space="preserve">Email: </w:t>
      </w:r>
      <w:r w:rsidRPr="00AA1AD7">
        <w:rPr>
          <w:rFonts w:ascii="Times New Roman" w:hAnsi="Times New Roman" w:cs="Times New Roman"/>
          <w:sz w:val="28"/>
          <w:szCs w:val="28"/>
        </w:rPr>
        <w:t>smiriti81@gmail.com</w:t>
      </w:r>
    </w:p>
    <w:p w14:paraId="04775418" w14:textId="1C7B2311" w:rsidR="00A059D0" w:rsidRPr="005867C7" w:rsidRDefault="00A059D0" w:rsidP="00A059D0">
      <w:pPr>
        <w:spacing w:after="0"/>
        <w:jc w:val="both"/>
        <w:rPr>
          <w:rFonts w:ascii="Times New Roman" w:hAnsi="Times New Roman" w:cs="Times New Roman"/>
          <w:b/>
          <w:bCs/>
          <w:highlight w:val="green"/>
        </w:rPr>
      </w:pPr>
      <w:r w:rsidRPr="005F2F87">
        <w:rPr>
          <w:rFonts w:ascii="Times New Roman" w:hAnsi="Times New Roman" w:cs="Times New Roman"/>
          <w:b/>
          <w:bCs/>
          <w:sz w:val="28"/>
          <w:szCs w:val="28"/>
          <w:highlight w:val="green"/>
        </w:rPr>
        <w:t>Abstract</w:t>
      </w:r>
    </w:p>
    <w:p w14:paraId="7AFAE63F" w14:textId="77777777" w:rsidR="005F7EAC" w:rsidRPr="005867C7" w:rsidRDefault="005F7EAC" w:rsidP="005F7EAC">
      <w:pPr>
        <w:spacing w:after="0"/>
        <w:jc w:val="both"/>
        <w:rPr>
          <w:rFonts w:ascii="Times New Roman" w:hAnsi="Times New Roman" w:cs="Times New Roman"/>
          <w:sz w:val="22"/>
          <w:szCs w:val="22"/>
          <w:highlight w:val="green"/>
          <w:lang w:val="en-US"/>
        </w:rPr>
      </w:pPr>
      <w:r w:rsidRPr="005867C7">
        <w:rPr>
          <w:rFonts w:ascii="Times New Roman" w:hAnsi="Times New Roman" w:cs="Times New Roman"/>
          <w:b/>
          <w:bCs/>
          <w:sz w:val="22"/>
          <w:szCs w:val="22"/>
          <w:highlight w:val="green"/>
          <w:lang w:val="en-US"/>
        </w:rPr>
        <w:t>Introduction:</w:t>
      </w:r>
      <w:r w:rsidRPr="005867C7">
        <w:rPr>
          <w:rFonts w:ascii="Times New Roman" w:hAnsi="Times New Roman" w:cs="Times New Roman"/>
          <w:sz w:val="22"/>
          <w:szCs w:val="22"/>
          <w:highlight w:val="green"/>
          <w:lang w:val="en-US"/>
        </w:rPr>
        <w:t xml:space="preserve"> Foreign direct investment (FDI) is a vital source of external finance for developing economies, yet Kenya has experienced marked fluctuations in FDI inflows over time. Understanding the core macroeconomic drivers shaping foreign capital flows is essential for enhancing Kenya’s competitiveness and investment attractiveness. </w:t>
      </w:r>
    </w:p>
    <w:p w14:paraId="065FEF82" w14:textId="18C83889" w:rsidR="005F7EAC" w:rsidRPr="005867C7" w:rsidRDefault="005F7EAC" w:rsidP="005F7EAC">
      <w:pPr>
        <w:spacing w:after="0"/>
        <w:jc w:val="both"/>
        <w:rPr>
          <w:rFonts w:ascii="Times New Roman" w:hAnsi="Times New Roman" w:cs="Times New Roman"/>
          <w:sz w:val="22"/>
          <w:szCs w:val="22"/>
          <w:highlight w:val="green"/>
          <w:lang w:val="en-US"/>
        </w:rPr>
      </w:pPr>
      <w:r w:rsidRPr="005867C7">
        <w:rPr>
          <w:rFonts w:ascii="Times New Roman" w:hAnsi="Times New Roman" w:cs="Times New Roman"/>
          <w:b/>
          <w:bCs/>
          <w:sz w:val="22"/>
          <w:szCs w:val="22"/>
          <w:highlight w:val="green"/>
          <w:lang w:val="en-US"/>
        </w:rPr>
        <w:t>Methods:</w:t>
      </w:r>
      <w:r w:rsidRPr="005867C7">
        <w:rPr>
          <w:rFonts w:ascii="Times New Roman" w:hAnsi="Times New Roman" w:cs="Times New Roman"/>
          <w:sz w:val="22"/>
          <w:szCs w:val="22"/>
          <w:highlight w:val="green"/>
          <w:lang w:val="en-US"/>
        </w:rPr>
        <w:t xml:space="preserve"> This study evaluated the effects of real interest rate, inflation, economic growth, exchange rate, and exogenous structural disruptions on inward FDI in Kenya using annual time-series data from 1966 to 2019 (54 observations). Phillips-Perron unit-root tests established a mixed integration profile of I (0) and I (1) series, validating the use of an Autoregressive Distributed Lag (ARDL) Bounds Testing approach, specifically an ARDL (1, 1, 0, 1, 0) specification selected via the Akaike Information Criterion (AIC). Granger causality tests and dynamic short-run error-correction modeling were conducted to evaluate directional linkages and speed-of-adjustment dynamics. </w:t>
      </w:r>
    </w:p>
    <w:p w14:paraId="29740201" w14:textId="7275F53A" w:rsidR="005F7EAC" w:rsidRPr="005867C7" w:rsidRDefault="005F7EAC" w:rsidP="005F7EAC">
      <w:pPr>
        <w:spacing w:after="0"/>
        <w:jc w:val="both"/>
        <w:rPr>
          <w:rFonts w:ascii="Times New Roman" w:hAnsi="Times New Roman" w:cs="Times New Roman"/>
          <w:sz w:val="22"/>
          <w:szCs w:val="22"/>
          <w:highlight w:val="green"/>
          <w:lang w:val="en-US"/>
        </w:rPr>
      </w:pPr>
      <w:r w:rsidRPr="005867C7">
        <w:rPr>
          <w:rFonts w:ascii="Times New Roman" w:hAnsi="Times New Roman" w:cs="Times New Roman"/>
          <w:b/>
          <w:bCs/>
          <w:sz w:val="22"/>
          <w:szCs w:val="22"/>
          <w:highlight w:val="green"/>
          <w:lang w:val="en-US"/>
        </w:rPr>
        <w:t>Results:</w:t>
      </w:r>
      <w:r w:rsidRPr="005867C7">
        <w:rPr>
          <w:rFonts w:ascii="Times New Roman" w:hAnsi="Times New Roman" w:cs="Times New Roman"/>
          <w:sz w:val="22"/>
          <w:szCs w:val="22"/>
          <w:highlight w:val="green"/>
          <w:lang w:val="en-US"/>
        </w:rPr>
        <w:t xml:space="preserve"> Phillips-Perron unit-root tests confirmed that inflation and real interest rates were stationary at levels [I (0)], whereas foreign direct investment, economic growth, and exchange rate achieved stationarity upon first differencing [I (1)] with no I (2) variables present. The ARDL bounds test confirmed a statistically significant long-run equilibrium relationship among the variables. Long-run elasticity estimates demonstrated that economic growth exerted the largest positive influence on inward FDI (β = 0.6845, p = 0.0000), followed by real interest rate (β = 0.1872, p = 0.0279) and exchange rate (β = 0.1534, p = 0.0208). Conversely, inflation (β = -0.2856, p = 0.0161) and structural disruptions (β = -0.5210, p = 0.0084) exercised statistically significant negative impacts on capital inflows. Granger causality tests revealed unidirectional causality running from exchange rate and economic growth to FDI. The error correction coefficient (</w:t>
      </w:r>
      <m:oMath>
        <m:sSub>
          <m:sSubPr>
            <m:ctrlPr>
              <w:rPr>
                <w:rFonts w:ascii="Cambria Math" w:hAnsi="Cambria Math" w:cs="Times New Roman"/>
                <w:i/>
                <w:sz w:val="22"/>
                <w:szCs w:val="22"/>
                <w:highlight w:val="green"/>
                <w:lang w:val="en-US"/>
              </w:rPr>
            </m:ctrlPr>
          </m:sSubPr>
          <m:e>
            <m:r>
              <w:rPr>
                <w:rFonts w:ascii="Cambria Math" w:hAnsi="Cambria Math" w:cs="Times New Roman"/>
                <w:sz w:val="22"/>
                <w:szCs w:val="22"/>
                <w:highlight w:val="green"/>
                <w:lang w:val="en-US"/>
              </w:rPr>
              <m:t>ECT</m:t>
            </m:r>
          </m:e>
          <m:sub>
            <m:r>
              <w:rPr>
                <w:rFonts w:ascii="Cambria Math" w:hAnsi="Cambria Math" w:cs="Times New Roman"/>
                <w:sz w:val="22"/>
                <w:szCs w:val="22"/>
                <w:highlight w:val="green"/>
                <w:lang w:val="en-US"/>
              </w:rPr>
              <m:t>t-1</m:t>
            </m:r>
          </m:sub>
        </m:sSub>
      </m:oMath>
      <w:r w:rsidRPr="005867C7">
        <w:rPr>
          <w:rFonts w:ascii="Times New Roman" w:hAnsi="Times New Roman" w:cs="Times New Roman"/>
          <w:sz w:val="22"/>
          <w:szCs w:val="22"/>
          <w:highlight w:val="green"/>
          <w:lang w:val="en-US"/>
        </w:rPr>
        <w:t xml:space="preserve"> = -0.4265, p = 0.0000) proved that 42.65% of short-run disequilibria from external shocks are adjusted back toward the long-run equilibrium path annually. </w:t>
      </w:r>
    </w:p>
    <w:p w14:paraId="627DA78B" w14:textId="77777777" w:rsidR="005F7EAC" w:rsidRPr="005867C7" w:rsidRDefault="005F7EAC" w:rsidP="005F7EAC">
      <w:pPr>
        <w:spacing w:after="0"/>
        <w:jc w:val="both"/>
        <w:rPr>
          <w:rFonts w:ascii="Times New Roman" w:hAnsi="Times New Roman" w:cs="Times New Roman"/>
          <w:sz w:val="22"/>
          <w:szCs w:val="22"/>
          <w:highlight w:val="green"/>
          <w:lang w:val="en-US"/>
        </w:rPr>
      </w:pPr>
      <w:r w:rsidRPr="005867C7">
        <w:rPr>
          <w:rFonts w:ascii="Times New Roman" w:hAnsi="Times New Roman" w:cs="Times New Roman"/>
          <w:b/>
          <w:bCs/>
          <w:sz w:val="22"/>
          <w:szCs w:val="22"/>
          <w:highlight w:val="green"/>
          <w:lang w:val="en-US"/>
        </w:rPr>
        <w:t>Conclusion:</w:t>
      </w:r>
      <w:r w:rsidRPr="005867C7">
        <w:rPr>
          <w:rFonts w:ascii="Times New Roman" w:hAnsi="Times New Roman" w:cs="Times New Roman"/>
          <w:sz w:val="22"/>
          <w:szCs w:val="22"/>
          <w:highlight w:val="green"/>
          <w:lang w:val="en-US"/>
        </w:rPr>
        <w:t xml:space="preserve"> Inward FDI in Kenya is strongly anchored in host-country macroeconomic performance and institutional stability. Economic growth serves as the primary catalyst for market-seeking FDI, while inflation and structural disruptions remain critical deterrents. </w:t>
      </w:r>
    </w:p>
    <w:p w14:paraId="09916EC5" w14:textId="77777777" w:rsidR="005F7EAC" w:rsidRPr="005867C7" w:rsidRDefault="005F7EAC" w:rsidP="005F7EAC">
      <w:pPr>
        <w:spacing w:after="0"/>
        <w:jc w:val="both"/>
        <w:rPr>
          <w:rFonts w:ascii="Times New Roman" w:hAnsi="Times New Roman" w:cs="Times New Roman"/>
          <w:sz w:val="22"/>
          <w:szCs w:val="22"/>
          <w:highlight w:val="green"/>
          <w:lang w:val="en-US"/>
        </w:rPr>
      </w:pPr>
      <w:r w:rsidRPr="005867C7">
        <w:rPr>
          <w:rFonts w:ascii="Times New Roman" w:hAnsi="Times New Roman" w:cs="Times New Roman"/>
          <w:b/>
          <w:bCs/>
          <w:sz w:val="22"/>
          <w:szCs w:val="22"/>
          <w:highlight w:val="green"/>
          <w:lang w:val="en-US"/>
        </w:rPr>
        <w:t>Recommendations:</w:t>
      </w:r>
      <w:r w:rsidRPr="005867C7">
        <w:rPr>
          <w:rFonts w:ascii="Times New Roman" w:hAnsi="Times New Roman" w:cs="Times New Roman"/>
          <w:sz w:val="22"/>
          <w:szCs w:val="22"/>
          <w:highlight w:val="green"/>
          <w:lang w:val="en-US"/>
        </w:rPr>
        <w:t xml:space="preserve"> Policymakers should prioritize sustained economic growth initiatives, maintain low and stable consumer price inflation, manage foreign exchange stability, and strengthen institutional frameworks to reduce macroeconomic volatility and attract foreign capital. </w:t>
      </w:r>
    </w:p>
    <w:p w14:paraId="6935DF2D" w14:textId="77777777" w:rsidR="005F7EAC" w:rsidRPr="005F7EAC" w:rsidRDefault="005F7EAC" w:rsidP="005F7EAC">
      <w:pPr>
        <w:spacing w:after="0"/>
        <w:jc w:val="both"/>
        <w:rPr>
          <w:rFonts w:ascii="Times New Roman" w:hAnsi="Times New Roman" w:cs="Times New Roman"/>
          <w:highlight w:val="green"/>
          <w:lang w:val="en-US"/>
        </w:rPr>
      </w:pPr>
    </w:p>
    <w:p w14:paraId="32948CF9" w14:textId="77777777" w:rsidR="00A81C55" w:rsidRDefault="005F7EAC" w:rsidP="00A059D0">
      <w:pPr>
        <w:spacing w:after="0"/>
        <w:jc w:val="both"/>
        <w:rPr>
          <w:rFonts w:ascii="Times New Roman" w:hAnsi="Times New Roman" w:cs="Times New Roman"/>
          <w:i/>
          <w:iCs/>
          <w:lang w:val="en-US"/>
        </w:rPr>
      </w:pPr>
      <w:r w:rsidRPr="005F7EAC">
        <w:rPr>
          <w:rFonts w:ascii="Times New Roman" w:hAnsi="Times New Roman" w:cs="Times New Roman"/>
          <w:b/>
          <w:bCs/>
          <w:highlight w:val="green"/>
          <w:lang w:val="en-US"/>
        </w:rPr>
        <w:t>Keywords:</w:t>
      </w:r>
      <w:r w:rsidRPr="005F7EAC">
        <w:rPr>
          <w:rFonts w:ascii="Times New Roman" w:hAnsi="Times New Roman" w:cs="Times New Roman"/>
          <w:highlight w:val="green"/>
          <w:lang w:val="en-US"/>
        </w:rPr>
        <w:t xml:space="preserve"> </w:t>
      </w:r>
      <w:r w:rsidRPr="005F7EAC">
        <w:rPr>
          <w:rFonts w:ascii="Times New Roman" w:hAnsi="Times New Roman" w:cs="Times New Roman"/>
          <w:i/>
          <w:iCs/>
          <w:highlight w:val="green"/>
          <w:lang w:val="en-US"/>
        </w:rPr>
        <w:t>Foreign direct investment; macroeconomic drivers; ARDL bounds testing; error correction model; economic growth; exchange rate; Kenya.</w:t>
      </w:r>
    </w:p>
    <w:p w14:paraId="1E211352" w14:textId="77777777" w:rsidR="00A81C55" w:rsidRPr="005867C7" w:rsidRDefault="00A81C55" w:rsidP="00A059D0">
      <w:pPr>
        <w:spacing w:after="0"/>
        <w:jc w:val="both"/>
        <w:rPr>
          <w:rFonts w:ascii="Times New Roman" w:hAnsi="Times New Roman" w:cs="Times New Roman"/>
          <w:lang w:val="en-US"/>
        </w:rPr>
      </w:pPr>
    </w:p>
    <w:p w14:paraId="5B014D15" w14:textId="5F2B607A" w:rsidR="00B37433" w:rsidRPr="00734744" w:rsidRDefault="00B37433" w:rsidP="00A059D0">
      <w:pPr>
        <w:spacing w:after="0"/>
        <w:jc w:val="both"/>
        <w:rPr>
          <w:rFonts w:ascii="Times New Roman" w:hAnsi="Times New Roman" w:cs="Times New Roman"/>
          <w:b/>
          <w:bCs/>
        </w:rPr>
      </w:pPr>
      <w:r w:rsidRPr="00734744">
        <w:rPr>
          <w:rFonts w:ascii="Times New Roman" w:hAnsi="Times New Roman" w:cs="Times New Roman"/>
          <w:b/>
          <w:bCs/>
        </w:rPr>
        <w:t>1. Introduction</w:t>
      </w:r>
    </w:p>
    <w:p w14:paraId="5BF713BE" w14:textId="2BBDF0BA" w:rsidR="00B37433" w:rsidRPr="00734744" w:rsidRDefault="00B37433" w:rsidP="00A059D0">
      <w:pPr>
        <w:spacing w:after="0"/>
        <w:jc w:val="both"/>
        <w:rPr>
          <w:rFonts w:ascii="Times New Roman" w:hAnsi="Times New Roman" w:cs="Times New Roman"/>
        </w:rPr>
      </w:pPr>
      <w:r w:rsidRPr="00734744">
        <w:rPr>
          <w:rFonts w:ascii="Times New Roman" w:hAnsi="Times New Roman" w:cs="Times New Roman"/>
        </w:rPr>
        <w:t>Foreign direct investment (FDI) is an important source of external finance for developing economies</w:t>
      </w:r>
      <w:r w:rsidR="002160A0">
        <w:rPr>
          <w:rFonts w:ascii="Times New Roman" w:hAnsi="Times New Roman" w:cs="Times New Roman"/>
        </w:rPr>
        <w:t xml:space="preserve"> </w:t>
      </w:r>
      <w:r w:rsidR="002160A0" w:rsidRPr="002160A0">
        <w:rPr>
          <w:rFonts w:ascii="Times New Roman" w:hAnsi="Times New Roman" w:cs="Times New Roman"/>
          <w:highlight w:val="yellow"/>
        </w:rPr>
        <w:t>(</w:t>
      </w:r>
      <w:r w:rsidR="002160A0" w:rsidRPr="002160A0">
        <w:rPr>
          <w:rFonts w:ascii="Times New Roman" w:hAnsi="Times New Roman" w:cs="Times New Roman"/>
          <w:color w:val="000000" w:themeColor="text1"/>
          <w:highlight w:val="yellow"/>
        </w:rPr>
        <w:t xml:space="preserve">Izadi &amp; </w:t>
      </w:r>
      <w:proofErr w:type="spellStart"/>
      <w:r w:rsidR="002160A0" w:rsidRPr="002160A0">
        <w:rPr>
          <w:rFonts w:ascii="Times New Roman" w:hAnsi="Times New Roman" w:cs="Times New Roman"/>
          <w:color w:val="000000" w:themeColor="text1"/>
          <w:highlight w:val="yellow"/>
        </w:rPr>
        <w:t>Madirimov</w:t>
      </w:r>
      <w:proofErr w:type="spellEnd"/>
      <w:r w:rsidR="002160A0" w:rsidRPr="002160A0">
        <w:rPr>
          <w:rFonts w:ascii="Times New Roman" w:hAnsi="Times New Roman" w:cs="Times New Roman"/>
          <w:color w:val="000000" w:themeColor="text1"/>
          <w:highlight w:val="yellow"/>
        </w:rPr>
        <w:t>, 2026).</w:t>
      </w:r>
      <w:r w:rsidR="002160A0" w:rsidRPr="002160A0">
        <w:rPr>
          <w:rFonts w:ascii="Times New Roman" w:hAnsi="Times New Roman" w:cs="Times New Roman"/>
          <w:color w:val="000000" w:themeColor="text1"/>
        </w:rPr>
        <w:t xml:space="preserve"> </w:t>
      </w:r>
      <w:r w:rsidRPr="00734744">
        <w:rPr>
          <w:rFonts w:ascii="Times New Roman" w:hAnsi="Times New Roman" w:cs="Times New Roman"/>
        </w:rPr>
        <w:t xml:space="preserve"> It supplements domestic savings and investment and can contribute to economic development through capital accumulation, technology transfer, improved managerial efficiency, innovation, employment creation and export-led growth</w:t>
      </w:r>
      <w:r w:rsidR="002160A0">
        <w:rPr>
          <w:rFonts w:ascii="Times New Roman" w:hAnsi="Times New Roman" w:cs="Times New Roman"/>
        </w:rPr>
        <w:t xml:space="preserve"> </w:t>
      </w:r>
      <w:r w:rsidR="002160A0" w:rsidRPr="002160A0">
        <w:rPr>
          <w:rFonts w:ascii="Times New Roman" w:hAnsi="Times New Roman" w:cs="Times New Roman"/>
          <w:highlight w:val="yellow"/>
        </w:rPr>
        <w:t>(</w:t>
      </w:r>
      <w:r w:rsidR="002160A0" w:rsidRPr="002160A0">
        <w:rPr>
          <w:rFonts w:ascii="Times New Roman" w:hAnsi="Times New Roman" w:cs="Times New Roman"/>
          <w:color w:val="000000" w:themeColor="text1"/>
          <w:highlight w:val="yellow"/>
        </w:rPr>
        <w:t>Adelakun et al., 2025)</w:t>
      </w:r>
      <w:r w:rsidRPr="002160A0">
        <w:rPr>
          <w:rFonts w:ascii="Times New Roman" w:hAnsi="Times New Roman" w:cs="Times New Roman"/>
          <w:highlight w:val="yellow"/>
        </w:rPr>
        <w:t>.</w:t>
      </w:r>
      <w:r w:rsidRPr="00734744">
        <w:rPr>
          <w:rFonts w:ascii="Times New Roman" w:hAnsi="Times New Roman" w:cs="Times New Roman"/>
        </w:rPr>
        <w:t xml:space="preserve"> FDI can also improve foreign exchange reserves and the balance of payments of host countries (Pilarska, 2015; Kim, 2018). </w:t>
      </w:r>
    </w:p>
    <w:p w14:paraId="4AFC3C27" w14:textId="77777777" w:rsidR="00A059D0" w:rsidRPr="00734744" w:rsidRDefault="00A059D0" w:rsidP="00A059D0">
      <w:pPr>
        <w:spacing w:after="0"/>
        <w:jc w:val="both"/>
        <w:rPr>
          <w:rFonts w:ascii="Times New Roman" w:hAnsi="Times New Roman" w:cs="Times New Roman"/>
        </w:rPr>
      </w:pPr>
    </w:p>
    <w:p w14:paraId="30BD3631" w14:textId="41A1AA6F" w:rsidR="00B37433" w:rsidRPr="00734744" w:rsidRDefault="00B37433" w:rsidP="00B37433">
      <w:pPr>
        <w:jc w:val="both"/>
        <w:rPr>
          <w:rFonts w:ascii="Times New Roman" w:hAnsi="Times New Roman" w:cs="Times New Roman"/>
        </w:rPr>
      </w:pPr>
      <w:r w:rsidRPr="00734744">
        <w:rPr>
          <w:rFonts w:ascii="Times New Roman" w:hAnsi="Times New Roman" w:cs="Times New Roman"/>
        </w:rPr>
        <w:t>Macroeconomic variables play an important role in determining the attractiveness of a country to foreign investors</w:t>
      </w:r>
      <w:r w:rsidR="0009038C">
        <w:rPr>
          <w:rFonts w:ascii="Times New Roman" w:hAnsi="Times New Roman" w:cs="Times New Roman"/>
        </w:rPr>
        <w:t xml:space="preserve"> </w:t>
      </w:r>
      <w:r w:rsidR="0009038C"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Alharthi et al., 2024)</w:t>
      </w:r>
      <w:r w:rsidRPr="0009038C">
        <w:rPr>
          <w:rFonts w:ascii="Times New Roman" w:hAnsi="Times New Roman" w:cs="Times New Roman"/>
          <w:highlight w:val="yellow"/>
        </w:rPr>
        <w:t>.</w:t>
      </w:r>
      <w:r w:rsidRPr="00734744">
        <w:rPr>
          <w:rFonts w:ascii="Times New Roman" w:hAnsi="Times New Roman" w:cs="Times New Roman"/>
        </w:rPr>
        <w:t xml:space="preserve"> A </w:t>
      </w:r>
      <w:r w:rsidR="00A66E58" w:rsidRPr="00734744">
        <w:rPr>
          <w:rFonts w:ascii="Times New Roman" w:hAnsi="Times New Roman" w:cs="Times New Roman"/>
        </w:rPr>
        <w:t>favourable</w:t>
      </w:r>
      <w:r w:rsidRPr="00734744">
        <w:rPr>
          <w:rFonts w:ascii="Times New Roman" w:hAnsi="Times New Roman" w:cs="Times New Roman"/>
        </w:rPr>
        <w:t xml:space="preserve"> and predictable macroeconomic environment can encourage foreign enterprises to invest, while </w:t>
      </w:r>
      <w:r w:rsidR="00A66E58" w:rsidRPr="00734744">
        <w:rPr>
          <w:rFonts w:ascii="Times New Roman" w:hAnsi="Times New Roman" w:cs="Times New Roman"/>
        </w:rPr>
        <w:t>unfavourable</w:t>
      </w:r>
      <w:r w:rsidRPr="00734744">
        <w:rPr>
          <w:rFonts w:ascii="Times New Roman" w:hAnsi="Times New Roman" w:cs="Times New Roman"/>
        </w:rPr>
        <w:t xml:space="preserve"> macroeconomic conditions may discourage investment</w:t>
      </w:r>
      <w:r w:rsidR="0009038C">
        <w:rPr>
          <w:rFonts w:ascii="Times New Roman" w:hAnsi="Times New Roman" w:cs="Times New Roman"/>
        </w:rPr>
        <w:t xml:space="preserve"> </w:t>
      </w:r>
      <w:r w:rsidR="0009038C" w:rsidRPr="0009038C">
        <w:rPr>
          <w:rFonts w:ascii="Times New Roman" w:hAnsi="Times New Roman" w:cs="Times New Roman"/>
          <w:highlight w:val="yellow"/>
        </w:rPr>
        <w:t>(</w:t>
      </w:r>
      <w:r w:rsidR="0009038C" w:rsidRPr="0009038C">
        <w:rPr>
          <w:rFonts w:ascii="Times New Roman" w:hAnsi="Times New Roman" w:cs="Times New Roman"/>
          <w:color w:val="000000" w:themeColor="text1"/>
          <w:highlight w:val="yellow"/>
        </w:rPr>
        <w:t>Shittu et al., 2025)</w:t>
      </w:r>
      <w:r w:rsidRPr="0009038C">
        <w:rPr>
          <w:rFonts w:ascii="Times New Roman" w:hAnsi="Times New Roman" w:cs="Times New Roman"/>
          <w:highlight w:val="yellow"/>
        </w:rPr>
        <w:t>.</w:t>
      </w:r>
      <w:r w:rsidRPr="00734744">
        <w:rPr>
          <w:rFonts w:ascii="Times New Roman" w:hAnsi="Times New Roman" w:cs="Times New Roman"/>
        </w:rPr>
        <w:t xml:space="preserve"> Interest rates, inflation, gross domestic product and exchange rates are among the macroeconomic variables that influence FDI flows (Usman &amp; Ahmad, 2018; </w:t>
      </w:r>
      <w:proofErr w:type="spellStart"/>
      <w:r w:rsidRPr="00734744">
        <w:rPr>
          <w:rFonts w:ascii="Times New Roman" w:hAnsi="Times New Roman" w:cs="Times New Roman"/>
        </w:rPr>
        <w:t>Dondashe</w:t>
      </w:r>
      <w:proofErr w:type="spellEnd"/>
      <w:r w:rsidRPr="00734744">
        <w:rPr>
          <w:rFonts w:ascii="Times New Roman" w:hAnsi="Times New Roman" w:cs="Times New Roman"/>
        </w:rPr>
        <w:t xml:space="preserve"> &amp; Phiri, 2018). </w:t>
      </w:r>
    </w:p>
    <w:p w14:paraId="18755A4F" w14:textId="1872483D" w:rsidR="006C6216" w:rsidRDefault="006C6216" w:rsidP="00B37433">
      <w:pPr>
        <w:jc w:val="both"/>
        <w:rPr>
          <w:rFonts w:ascii="Times New Roman" w:hAnsi="Times New Roman" w:cs="Times New Roman"/>
        </w:rPr>
      </w:pPr>
      <w:r w:rsidRPr="006C6216">
        <w:rPr>
          <w:rFonts w:ascii="Times New Roman" w:hAnsi="Times New Roman" w:cs="Times New Roman"/>
        </w:rPr>
        <w:t xml:space="preserve">The real interest rate can influence FDI decisions through its effects on the cost of capital, expected returns, and macroeconomic stability </w:t>
      </w:r>
      <w:r w:rsidRPr="0009038C">
        <w:rPr>
          <w:rFonts w:ascii="Times New Roman" w:hAnsi="Times New Roman" w:cs="Times New Roman"/>
          <w:highlight w:val="yellow"/>
        </w:rPr>
        <w:t>(</w:t>
      </w:r>
      <w:proofErr w:type="spellStart"/>
      <w:r w:rsidR="0009038C" w:rsidRPr="0009038C">
        <w:rPr>
          <w:rFonts w:ascii="Times New Roman" w:hAnsi="Times New Roman" w:cs="Times New Roman"/>
          <w:color w:val="000000" w:themeColor="text1"/>
          <w:highlight w:val="yellow"/>
        </w:rPr>
        <w:t>Alshubiri</w:t>
      </w:r>
      <w:proofErr w:type="spellEnd"/>
      <w:r w:rsidR="0009038C" w:rsidRPr="0009038C">
        <w:rPr>
          <w:rFonts w:ascii="Times New Roman" w:hAnsi="Times New Roman" w:cs="Times New Roman"/>
          <w:color w:val="000000" w:themeColor="text1"/>
          <w:highlight w:val="yellow"/>
        </w:rPr>
        <w:t xml:space="preserve"> &amp; Hussein, 2026</w:t>
      </w:r>
      <w:r w:rsidRPr="0009038C">
        <w:rPr>
          <w:rFonts w:ascii="Times New Roman" w:hAnsi="Times New Roman" w:cs="Times New Roman"/>
          <w:highlight w:val="yellow"/>
        </w:rPr>
        <w:t>).</w:t>
      </w:r>
      <w:r w:rsidRPr="006C6216">
        <w:rPr>
          <w:rFonts w:ascii="Times New Roman" w:hAnsi="Times New Roman" w:cs="Times New Roman"/>
        </w:rPr>
        <w:t xml:space="preserve"> Investors may favour economies where real returns are attractive, while high financing costs may discourage investment (Faure, 2014). Changes in real interest rates may also affect investment expectations and the perceived risk associated with investing in a host economy (</w:t>
      </w:r>
      <w:proofErr w:type="spellStart"/>
      <w:r w:rsidR="00F26047" w:rsidRPr="00F26047">
        <w:rPr>
          <w:rFonts w:ascii="Times New Roman" w:hAnsi="Times New Roman" w:cs="Times New Roman"/>
          <w:color w:val="000000" w:themeColor="text1"/>
          <w:highlight w:val="yellow"/>
        </w:rPr>
        <w:t>Nikonenko</w:t>
      </w:r>
      <w:proofErr w:type="spellEnd"/>
      <w:r w:rsidR="00F26047" w:rsidRPr="00F26047">
        <w:rPr>
          <w:rFonts w:ascii="Times New Roman" w:hAnsi="Times New Roman" w:cs="Times New Roman"/>
          <w:color w:val="000000" w:themeColor="text1"/>
          <w:highlight w:val="yellow"/>
        </w:rPr>
        <w:t xml:space="preserve"> et al., 2022</w:t>
      </w:r>
      <w:r w:rsidRPr="00F26047">
        <w:rPr>
          <w:rFonts w:ascii="Times New Roman" w:hAnsi="Times New Roman" w:cs="Times New Roman"/>
          <w:highlight w:val="yellow"/>
        </w:rPr>
        <w:t>).</w:t>
      </w:r>
      <w:r w:rsidRPr="006C6216">
        <w:rPr>
          <w:rFonts w:ascii="Times New Roman" w:hAnsi="Times New Roman" w:cs="Times New Roman"/>
        </w:rPr>
        <w:t xml:space="preserve"> Consequently, the direction of the relationship between the real interest rate and FDI is an empirical question that may depend on the prevailing macroeconomic conditions (</w:t>
      </w:r>
      <w:proofErr w:type="spellStart"/>
      <w:r w:rsidRPr="006C6216">
        <w:rPr>
          <w:rFonts w:ascii="Times New Roman" w:hAnsi="Times New Roman" w:cs="Times New Roman"/>
        </w:rPr>
        <w:t>Fazira</w:t>
      </w:r>
      <w:proofErr w:type="spellEnd"/>
      <w:r w:rsidRPr="006C6216">
        <w:rPr>
          <w:rFonts w:ascii="Times New Roman" w:hAnsi="Times New Roman" w:cs="Times New Roman"/>
        </w:rPr>
        <w:t xml:space="preserve"> &amp; </w:t>
      </w:r>
      <w:proofErr w:type="spellStart"/>
      <w:r w:rsidRPr="006C6216">
        <w:rPr>
          <w:rFonts w:ascii="Times New Roman" w:hAnsi="Times New Roman" w:cs="Times New Roman"/>
        </w:rPr>
        <w:t>Cahyadin</w:t>
      </w:r>
      <w:proofErr w:type="spellEnd"/>
      <w:r w:rsidRPr="006C6216">
        <w:rPr>
          <w:rFonts w:ascii="Times New Roman" w:hAnsi="Times New Roman" w:cs="Times New Roman"/>
        </w:rPr>
        <w:t>, 2018).</w:t>
      </w:r>
    </w:p>
    <w:p w14:paraId="2F87DFC1" w14:textId="6E94364E"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In Kenya, interest rates have fluctuated considerably over the study period. </w:t>
      </w:r>
      <w:r w:rsidR="001D23C2" w:rsidRPr="001D23C2">
        <w:rPr>
          <w:rFonts w:ascii="Times New Roman" w:hAnsi="Times New Roman" w:cs="Times New Roman"/>
        </w:rPr>
        <w:t>Kenya's real interest rate has fluctuated considerably over time, reflecting changes in monetary conditions, inflation and the cost of capital</w:t>
      </w:r>
      <w:r w:rsidR="00F26047">
        <w:rPr>
          <w:rFonts w:ascii="Times New Roman" w:hAnsi="Times New Roman" w:cs="Times New Roman"/>
        </w:rPr>
        <w:t xml:space="preserve"> </w:t>
      </w:r>
      <w:r w:rsidR="00F26047" w:rsidRPr="00F26047">
        <w:rPr>
          <w:rFonts w:ascii="Times New Roman" w:hAnsi="Times New Roman" w:cs="Times New Roman"/>
          <w:highlight w:val="yellow"/>
        </w:rPr>
        <w:t>(</w:t>
      </w:r>
      <w:r w:rsidR="00F26047" w:rsidRPr="00F26047">
        <w:rPr>
          <w:rFonts w:ascii="Times New Roman" w:hAnsi="Times New Roman" w:cs="Times New Roman"/>
          <w:color w:val="000000" w:themeColor="text1"/>
          <w:highlight w:val="yellow"/>
        </w:rPr>
        <w:t>Barngetuny, 2026)</w:t>
      </w:r>
      <w:r w:rsidR="001D23C2" w:rsidRPr="00F26047">
        <w:rPr>
          <w:rFonts w:ascii="Times New Roman" w:hAnsi="Times New Roman" w:cs="Times New Roman"/>
          <w:highlight w:val="yellow"/>
        </w:rPr>
        <w:t>.</w:t>
      </w:r>
      <w:r w:rsidR="001D23C2" w:rsidRPr="001D23C2">
        <w:rPr>
          <w:rFonts w:ascii="Times New Roman" w:hAnsi="Times New Roman" w:cs="Times New Roman"/>
        </w:rPr>
        <w:t xml:space="preserve"> Such fluctuations may influence investors' expected returns and financing decisions and therefore have implications for FDI inflows</w:t>
      </w:r>
      <w:r w:rsidRPr="00734744">
        <w:rPr>
          <w:rFonts w:ascii="Times New Roman" w:hAnsi="Times New Roman" w:cs="Times New Roman"/>
        </w:rPr>
        <w:t xml:space="preserve"> (KNBS Report, 2020). </w:t>
      </w:r>
    </w:p>
    <w:p w14:paraId="0A9FAAFC" w14:textId="67EBED39" w:rsidR="00B37433" w:rsidRPr="00734744" w:rsidRDefault="00F26047" w:rsidP="00B37433">
      <w:pPr>
        <w:jc w:val="both"/>
        <w:rPr>
          <w:rFonts w:ascii="Times New Roman" w:hAnsi="Times New Roman" w:cs="Times New Roman"/>
        </w:rPr>
      </w:pPr>
      <w:r w:rsidRPr="00F26047">
        <w:rPr>
          <w:rFonts w:ascii="Times New Roman" w:hAnsi="Times New Roman" w:cs="Times New Roman"/>
          <w:highlight w:val="yellow"/>
        </w:rPr>
        <w:t>Inflation is an important macroeconomic variable influencing FDI, characterized by a sustained increase in the general price level of goods and services that erodes the purchasing power of a currency</w:t>
      </w:r>
      <w:r w:rsidR="00973BC2">
        <w:rPr>
          <w:rFonts w:ascii="Times New Roman" w:hAnsi="Times New Roman" w:cs="Times New Roman"/>
        </w:rPr>
        <w:t xml:space="preserve"> </w:t>
      </w:r>
      <w:r w:rsidR="00973BC2" w:rsidRPr="00973BC2">
        <w:rPr>
          <w:rFonts w:ascii="Times New Roman" w:hAnsi="Times New Roman" w:cs="Times New Roman"/>
          <w:highlight w:val="yellow"/>
        </w:rPr>
        <w:t>(</w:t>
      </w:r>
      <w:r w:rsidR="00973BC2" w:rsidRPr="00973BC2">
        <w:rPr>
          <w:rFonts w:ascii="Times New Roman" w:hAnsi="Times New Roman" w:cs="Times New Roman"/>
          <w:color w:val="000000" w:themeColor="text1"/>
          <w:highlight w:val="yellow"/>
        </w:rPr>
        <w:t>Adegboye et al., 2026</w:t>
      </w:r>
      <w:r w:rsidR="00973BC2">
        <w:rPr>
          <w:rFonts w:ascii="Times New Roman" w:hAnsi="Times New Roman" w:cs="Times New Roman"/>
          <w:color w:val="000000" w:themeColor="text1"/>
        </w:rPr>
        <w:t>).</w:t>
      </w:r>
      <w:r w:rsidR="00B37433" w:rsidRPr="00734744">
        <w:rPr>
          <w:rFonts w:ascii="Times New Roman" w:hAnsi="Times New Roman" w:cs="Times New Roman"/>
        </w:rPr>
        <w:t xml:space="preserve"> Inflation can delay economic growth, reduce welfare and deter FDI inflows because foreign corporations consider the inflation environment when making investment decisions</w:t>
      </w:r>
      <w:r w:rsidR="00973BC2">
        <w:rPr>
          <w:rFonts w:ascii="Times New Roman" w:hAnsi="Times New Roman" w:cs="Times New Roman"/>
        </w:rPr>
        <w:t xml:space="preserve"> </w:t>
      </w:r>
      <w:r w:rsidR="00973BC2" w:rsidRPr="00973BC2">
        <w:rPr>
          <w:rFonts w:ascii="Times New Roman" w:hAnsi="Times New Roman" w:cs="Times New Roman"/>
          <w:highlight w:val="yellow"/>
        </w:rPr>
        <w:t>(</w:t>
      </w:r>
      <w:r w:rsidR="00973BC2" w:rsidRPr="00973BC2">
        <w:rPr>
          <w:rFonts w:ascii="Times New Roman" w:hAnsi="Times New Roman" w:cs="Times New Roman"/>
          <w:color w:val="000000" w:themeColor="text1"/>
          <w:highlight w:val="yellow"/>
        </w:rPr>
        <w:t>Alam, 2025)</w:t>
      </w:r>
      <w:r w:rsidR="00B37433" w:rsidRPr="00973BC2">
        <w:rPr>
          <w:rFonts w:ascii="Times New Roman" w:hAnsi="Times New Roman" w:cs="Times New Roman"/>
          <w:highlight w:val="yellow"/>
        </w:rPr>
        <w:t>.</w:t>
      </w:r>
      <w:r w:rsidR="00B37433" w:rsidRPr="00734744">
        <w:rPr>
          <w:rFonts w:ascii="Times New Roman" w:hAnsi="Times New Roman" w:cs="Times New Roman"/>
        </w:rPr>
        <w:t xml:space="preserve"> Lower inflation can support productivity and facilitate trade, thereby creating a more </w:t>
      </w:r>
      <w:r w:rsidR="00A66E58" w:rsidRPr="00734744">
        <w:rPr>
          <w:rFonts w:ascii="Times New Roman" w:hAnsi="Times New Roman" w:cs="Times New Roman"/>
        </w:rPr>
        <w:t>favourable</w:t>
      </w:r>
      <w:r w:rsidR="00B37433" w:rsidRPr="00734744">
        <w:rPr>
          <w:rFonts w:ascii="Times New Roman" w:hAnsi="Times New Roman" w:cs="Times New Roman"/>
        </w:rPr>
        <w:t xml:space="preserve"> environment for foreign firms, whereas increasing inflation may encourage capital flight and discourage potential investors (Paul &amp; Sharma, 2019). </w:t>
      </w:r>
    </w:p>
    <w:p w14:paraId="2A6F3E0B" w14:textId="4424CB83" w:rsidR="00B37433" w:rsidRPr="00734744" w:rsidRDefault="00973BC2" w:rsidP="00B37433">
      <w:pPr>
        <w:jc w:val="both"/>
        <w:rPr>
          <w:rFonts w:ascii="Times New Roman" w:hAnsi="Times New Roman" w:cs="Times New Roman"/>
        </w:rPr>
      </w:pPr>
      <w:r w:rsidRPr="00BD2AEB">
        <w:rPr>
          <w:rFonts w:ascii="Times New Roman" w:hAnsi="Times New Roman" w:cs="Times New Roman"/>
          <w:highlight w:val="yellow"/>
        </w:rPr>
        <w:t>Kenya has experienced considerable fluctuations in inflation over time, with the rate rising from 0.70% in 1963 to a peak of 45.98% in 1993</w:t>
      </w:r>
      <w:r w:rsidR="00BD2AEB">
        <w:rPr>
          <w:rFonts w:ascii="Times New Roman" w:hAnsi="Times New Roman" w:cs="Times New Roman"/>
        </w:rPr>
        <w:t xml:space="preserve"> (</w:t>
      </w:r>
      <w:r w:rsidR="00BD2AEB" w:rsidRPr="00BD2AEB">
        <w:rPr>
          <w:rFonts w:ascii="Times New Roman" w:hAnsi="Times New Roman" w:cs="Times New Roman"/>
          <w:color w:val="000000" w:themeColor="text1"/>
          <w:highlight w:val="yellow"/>
        </w:rPr>
        <w:t>Imana, 2017</w:t>
      </w:r>
      <w:r w:rsidR="00BD2AEB" w:rsidRPr="00973BC2">
        <w:rPr>
          <w:rFonts w:ascii="Times New Roman" w:hAnsi="Times New Roman" w:cs="Times New Roman"/>
          <w:color w:val="000000" w:themeColor="text1"/>
        </w:rPr>
        <w:t>). </w:t>
      </w:r>
      <w:r w:rsidR="00B37433" w:rsidRPr="00734744">
        <w:rPr>
          <w:rFonts w:ascii="Times New Roman" w:hAnsi="Times New Roman" w:cs="Times New Roman"/>
        </w:rPr>
        <w:t xml:space="preserve"> It subsequently fluctuated, increasing from 3.96% in 2010 to 8.01% in 2017 before declining to 4.69% in 2018 and standing at 5.2% in 2019</w:t>
      </w:r>
      <w:r w:rsidR="00BD2AEB">
        <w:rPr>
          <w:rFonts w:ascii="Times New Roman" w:hAnsi="Times New Roman" w:cs="Times New Roman"/>
        </w:rPr>
        <w:t xml:space="preserve"> </w:t>
      </w:r>
      <w:r w:rsidR="00BD2AEB" w:rsidRPr="00BD2AEB">
        <w:rPr>
          <w:rFonts w:ascii="Times New Roman" w:hAnsi="Times New Roman" w:cs="Times New Roman"/>
          <w:highlight w:val="yellow"/>
        </w:rPr>
        <w:t>(</w:t>
      </w:r>
      <w:proofErr w:type="spellStart"/>
      <w:r w:rsidR="00BD2AEB" w:rsidRPr="00BD2AEB">
        <w:rPr>
          <w:rFonts w:ascii="Times New Roman" w:hAnsi="Times New Roman" w:cs="Times New Roman"/>
          <w:color w:val="000000" w:themeColor="text1"/>
          <w:highlight w:val="yellow"/>
        </w:rPr>
        <w:t>Helkiah</w:t>
      </w:r>
      <w:proofErr w:type="spellEnd"/>
      <w:r w:rsidR="00BD2AEB" w:rsidRPr="00BD2AEB">
        <w:rPr>
          <w:rFonts w:ascii="Times New Roman" w:hAnsi="Times New Roman" w:cs="Times New Roman"/>
          <w:color w:val="000000" w:themeColor="text1"/>
          <w:highlight w:val="yellow"/>
        </w:rPr>
        <w:t>, 2025).</w:t>
      </w:r>
      <w:r w:rsidR="00BD2AEB" w:rsidRPr="00BD2AEB">
        <w:rPr>
          <w:rFonts w:ascii="Times New Roman" w:hAnsi="Times New Roman" w:cs="Times New Roman"/>
          <w:color w:val="000000" w:themeColor="text1"/>
        </w:rPr>
        <w:t> </w:t>
      </w:r>
      <w:r w:rsidR="00B37433" w:rsidRPr="00734744">
        <w:rPr>
          <w:rFonts w:ascii="Times New Roman" w:hAnsi="Times New Roman" w:cs="Times New Roman"/>
        </w:rPr>
        <w:t xml:space="preserve"> These fluctuations indicate instability in general prices, with implications for FDI flows (Bendi &amp; Pany, 2017). </w:t>
      </w:r>
    </w:p>
    <w:p w14:paraId="08AC0431" w14:textId="0B9485AE" w:rsidR="00B37433" w:rsidRPr="00734744" w:rsidRDefault="0015143C" w:rsidP="00B37433">
      <w:pPr>
        <w:jc w:val="both"/>
        <w:rPr>
          <w:rFonts w:ascii="Times New Roman" w:hAnsi="Times New Roman" w:cs="Times New Roman"/>
        </w:rPr>
      </w:pPr>
      <w:r w:rsidRPr="0015143C">
        <w:rPr>
          <w:rFonts w:ascii="Times New Roman" w:hAnsi="Times New Roman" w:cs="Times New Roman"/>
        </w:rPr>
        <w:lastRenderedPageBreak/>
        <w:t>Economic growth reflects the expansion of an economy's production of goods and services and is commonly measured using the growth rate of real gross domestic product (GDP)</w:t>
      </w:r>
      <w:r w:rsidR="00F724EB">
        <w:rPr>
          <w:rFonts w:ascii="Times New Roman" w:hAnsi="Times New Roman" w:cs="Times New Roman"/>
        </w:rPr>
        <w:t xml:space="preserve"> </w:t>
      </w:r>
      <w:r w:rsidR="00F724EB" w:rsidRPr="00F724EB">
        <w:rPr>
          <w:rFonts w:ascii="Times New Roman" w:hAnsi="Times New Roman" w:cs="Times New Roman"/>
          <w:highlight w:val="yellow"/>
        </w:rPr>
        <w:t xml:space="preserve">[ </w:t>
      </w:r>
      <w:r w:rsidR="00F724EB" w:rsidRPr="00F724EB">
        <w:rPr>
          <w:rFonts w:ascii="Times New Roman" w:hAnsi="Times New Roman" w:cs="Times New Roman"/>
          <w:color w:val="000000" w:themeColor="text1"/>
          <w:highlight w:val="yellow"/>
        </w:rPr>
        <w:t>Bryniuk, 2023]</w:t>
      </w:r>
      <w:r w:rsidRPr="00F724EB">
        <w:rPr>
          <w:rFonts w:ascii="Times New Roman" w:hAnsi="Times New Roman" w:cs="Times New Roman"/>
          <w:highlight w:val="yellow"/>
        </w:rPr>
        <w:t>.</w:t>
      </w:r>
      <w:r w:rsidRPr="0015143C">
        <w:rPr>
          <w:rFonts w:ascii="Times New Roman" w:hAnsi="Times New Roman" w:cs="Times New Roman"/>
        </w:rPr>
        <w:t xml:space="preserve"> Sustained economic growth can signal expanding markets, improving productive capacity and stronger investment opportunities, which may increase a country's attractiveness to foreign investors (Church, 2016; </w:t>
      </w:r>
      <w:proofErr w:type="spellStart"/>
      <w:r w:rsidRPr="0015143C">
        <w:rPr>
          <w:rFonts w:ascii="Times New Roman" w:hAnsi="Times New Roman" w:cs="Times New Roman"/>
        </w:rPr>
        <w:t>FoEh</w:t>
      </w:r>
      <w:proofErr w:type="spellEnd"/>
      <w:r w:rsidRPr="0015143C">
        <w:rPr>
          <w:rFonts w:ascii="Times New Roman" w:hAnsi="Times New Roman" w:cs="Times New Roman"/>
        </w:rPr>
        <w:t xml:space="preserve"> et al., 2020</w:t>
      </w:r>
      <w:r w:rsidR="001D23C2" w:rsidRPr="0015143C">
        <w:rPr>
          <w:rFonts w:ascii="Times New Roman" w:hAnsi="Times New Roman" w:cs="Times New Roman"/>
        </w:rPr>
        <w:t>).</w:t>
      </w:r>
      <w:r w:rsidR="001D23C2">
        <w:rPr>
          <w:rFonts w:ascii="Times New Roman" w:hAnsi="Times New Roman" w:cs="Times New Roman"/>
        </w:rPr>
        <w:t xml:space="preserve"> Real</w:t>
      </w:r>
      <w:r>
        <w:rPr>
          <w:rFonts w:ascii="Times New Roman" w:hAnsi="Times New Roman" w:cs="Times New Roman"/>
        </w:rPr>
        <w:t xml:space="preserve"> </w:t>
      </w:r>
      <w:r w:rsidR="001D23C2">
        <w:rPr>
          <w:rFonts w:ascii="Times New Roman" w:hAnsi="Times New Roman" w:cs="Times New Roman"/>
        </w:rPr>
        <w:t xml:space="preserve">interest </w:t>
      </w:r>
      <w:r w:rsidR="001D23C2" w:rsidRPr="00734744">
        <w:rPr>
          <w:rFonts w:ascii="Times New Roman" w:hAnsi="Times New Roman" w:cs="Times New Roman"/>
        </w:rPr>
        <w:t>international</w:t>
      </w:r>
      <w:r w:rsidR="00B37433" w:rsidRPr="00734744">
        <w:rPr>
          <w:rFonts w:ascii="Times New Roman" w:hAnsi="Times New Roman" w:cs="Times New Roman"/>
        </w:rPr>
        <w:t xml:space="preserve"> investors may use GDP as an indicator of a country's productivity when determining whether to invest in an economy (</w:t>
      </w:r>
      <w:proofErr w:type="spellStart"/>
      <w:r w:rsidR="00B37433" w:rsidRPr="00734744">
        <w:rPr>
          <w:rFonts w:ascii="Times New Roman" w:hAnsi="Times New Roman" w:cs="Times New Roman"/>
        </w:rPr>
        <w:t>FoEh</w:t>
      </w:r>
      <w:proofErr w:type="spellEnd"/>
      <w:r w:rsidR="00B37433" w:rsidRPr="00734744">
        <w:rPr>
          <w:rFonts w:ascii="Times New Roman" w:hAnsi="Times New Roman" w:cs="Times New Roman"/>
        </w:rPr>
        <w:t xml:space="preserve">, Suryani, &amp; </w:t>
      </w:r>
      <w:proofErr w:type="spellStart"/>
      <w:r w:rsidR="00B37433" w:rsidRPr="00734744">
        <w:rPr>
          <w:rFonts w:ascii="Times New Roman" w:hAnsi="Times New Roman" w:cs="Times New Roman"/>
        </w:rPr>
        <w:t>Silpama</w:t>
      </w:r>
      <w:proofErr w:type="spellEnd"/>
      <w:r w:rsidR="00B37433" w:rsidRPr="00734744">
        <w:rPr>
          <w:rFonts w:ascii="Times New Roman" w:hAnsi="Times New Roman" w:cs="Times New Roman"/>
        </w:rPr>
        <w:t xml:space="preserve">, 2020). </w:t>
      </w:r>
    </w:p>
    <w:p w14:paraId="4A297742" w14:textId="1AD94F33" w:rsidR="00B37433" w:rsidRPr="00734744" w:rsidRDefault="00F724EB" w:rsidP="00B37433">
      <w:pPr>
        <w:jc w:val="both"/>
        <w:rPr>
          <w:rFonts w:ascii="Times New Roman" w:hAnsi="Times New Roman" w:cs="Times New Roman"/>
        </w:rPr>
      </w:pPr>
      <w:r w:rsidRPr="00F724EB">
        <w:rPr>
          <w:rFonts w:ascii="Times New Roman" w:hAnsi="Times New Roman" w:cs="Times New Roman"/>
        </w:rPr>
        <w:t>Kenya’s economic growth fluctuated over the study period, declining from approximately 5.7% in 2013 to 5.3% in 2014, rising to 6.32% in 2018, and subsequently falling to about 5.37% in 2019</w:t>
      </w:r>
      <w:r>
        <w:rPr>
          <w:rFonts w:ascii="Times New Roman" w:hAnsi="Times New Roman" w:cs="Times New Roman"/>
        </w:rPr>
        <w:t xml:space="preserve"> </w:t>
      </w:r>
      <w:r w:rsidRPr="00F724EB">
        <w:rPr>
          <w:rFonts w:ascii="Times New Roman" w:hAnsi="Times New Roman" w:cs="Times New Roman"/>
          <w:highlight w:val="yellow"/>
        </w:rPr>
        <w:t>(World Bank, 2019)</w:t>
      </w:r>
      <w:r w:rsidR="00B37433" w:rsidRPr="00F724EB">
        <w:rPr>
          <w:rFonts w:ascii="Times New Roman" w:hAnsi="Times New Roman" w:cs="Times New Roman"/>
          <w:highlight w:val="yellow"/>
        </w:rPr>
        <w:t>.</w:t>
      </w:r>
      <w:r w:rsidR="00B37433" w:rsidRPr="00734744">
        <w:rPr>
          <w:rFonts w:ascii="Times New Roman" w:hAnsi="Times New Roman" w:cs="Times New Roman"/>
        </w:rPr>
        <w:t xml:space="preserve"> Such fluctuations have implications for FDI inflow trends </w:t>
      </w:r>
      <w:r w:rsidR="00B37433" w:rsidRPr="008C5C50">
        <w:rPr>
          <w:rFonts w:ascii="Times New Roman" w:hAnsi="Times New Roman" w:cs="Times New Roman"/>
          <w:highlight w:val="yellow"/>
        </w:rPr>
        <w:t xml:space="preserve">(Ho </w:t>
      </w:r>
      <w:r w:rsidR="008C5C50" w:rsidRPr="008C5C50">
        <w:rPr>
          <w:rFonts w:ascii="Times New Roman" w:hAnsi="Times New Roman" w:cs="Times New Roman"/>
          <w:highlight w:val="yellow"/>
        </w:rPr>
        <w:t>et al.</w:t>
      </w:r>
      <w:r w:rsidR="00B37433" w:rsidRPr="008C5C50">
        <w:rPr>
          <w:rFonts w:ascii="Times New Roman" w:hAnsi="Times New Roman" w:cs="Times New Roman"/>
          <w:highlight w:val="yellow"/>
        </w:rPr>
        <w:t>, 2019).</w:t>
      </w:r>
      <w:r w:rsidR="00B37433" w:rsidRPr="00734744">
        <w:rPr>
          <w:rFonts w:ascii="Times New Roman" w:hAnsi="Times New Roman" w:cs="Times New Roman"/>
        </w:rPr>
        <w:t xml:space="preserve"> </w:t>
      </w:r>
    </w:p>
    <w:p w14:paraId="33D1064E" w14:textId="583636E8" w:rsidR="00B37433" w:rsidRPr="00734744" w:rsidRDefault="00B37433" w:rsidP="00B37433">
      <w:pPr>
        <w:jc w:val="both"/>
        <w:rPr>
          <w:rFonts w:ascii="Times New Roman" w:hAnsi="Times New Roman" w:cs="Times New Roman"/>
        </w:rPr>
      </w:pPr>
      <w:r w:rsidRPr="00734744">
        <w:rPr>
          <w:rFonts w:ascii="Times New Roman" w:hAnsi="Times New Roman" w:cs="Times New Roman"/>
        </w:rPr>
        <w:t xml:space="preserve">Exchange rates constitute another important determinant of FDI. An exchange rate represents the domestic currency price of a foreign currency and can influence both the amount of FDI undertaken and the allocation of investment expenditure across countries (Linda &amp; </w:t>
      </w:r>
      <w:proofErr w:type="spellStart"/>
      <w:r w:rsidRPr="00734744">
        <w:rPr>
          <w:rFonts w:ascii="Times New Roman" w:hAnsi="Times New Roman" w:cs="Times New Roman"/>
        </w:rPr>
        <w:t>Kolstard</w:t>
      </w:r>
      <w:proofErr w:type="spellEnd"/>
      <w:r w:rsidRPr="00734744">
        <w:rPr>
          <w:rFonts w:ascii="Times New Roman" w:hAnsi="Times New Roman" w:cs="Times New Roman"/>
        </w:rPr>
        <w:t xml:space="preserve">, 2015). Currency depreciation may reduce wages and production costs relative to foreign counterparts and can enhance the locational attractiveness of a country for productive investment by improving the expected rate of return to foreign investors (Cushman &amp; De Vita, 2017). </w:t>
      </w:r>
    </w:p>
    <w:p w14:paraId="74EBA451" w14:textId="7C0CA603"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importance of FDI has increased globally because foreign capital complements domestic savings and can contribute to development and productivity</w:t>
      </w:r>
      <w:r w:rsidR="00E20227">
        <w:rPr>
          <w:rFonts w:ascii="Times New Roman" w:hAnsi="Times New Roman" w:cs="Times New Roman"/>
        </w:rPr>
        <w:t xml:space="preserve"> (</w:t>
      </w:r>
      <w:r w:rsidR="00E20227" w:rsidRPr="00E20227">
        <w:rPr>
          <w:rFonts w:ascii="Times New Roman" w:hAnsi="Times New Roman" w:cs="Times New Roman"/>
          <w:highlight w:val="yellow"/>
        </w:rPr>
        <w:t>Wondimu, 2023)</w:t>
      </w:r>
      <w:r w:rsidRPr="00E20227">
        <w:rPr>
          <w:rFonts w:ascii="Times New Roman" w:hAnsi="Times New Roman" w:cs="Times New Roman"/>
          <w:highlight w:val="yellow"/>
        </w:rPr>
        <w:t>.</w:t>
      </w:r>
      <w:r w:rsidRPr="00734744">
        <w:rPr>
          <w:rFonts w:ascii="Times New Roman" w:hAnsi="Times New Roman" w:cs="Times New Roman"/>
        </w:rPr>
        <w:t xml:space="preserve"> FDI can facilitate technological exchange between developing and developed countries and consequently contribute to economic growth (</w:t>
      </w:r>
      <w:proofErr w:type="spellStart"/>
      <w:r w:rsidRPr="00734744">
        <w:rPr>
          <w:rFonts w:ascii="Times New Roman" w:hAnsi="Times New Roman" w:cs="Times New Roman"/>
        </w:rPr>
        <w:t>Gnangnon</w:t>
      </w:r>
      <w:proofErr w:type="spellEnd"/>
      <w:r w:rsidRPr="00734744">
        <w:rPr>
          <w:rFonts w:ascii="Times New Roman" w:hAnsi="Times New Roman" w:cs="Times New Roman"/>
        </w:rPr>
        <w:t xml:space="preserve">, 2017). </w:t>
      </w:r>
    </w:p>
    <w:p w14:paraId="124F675F" w14:textId="77777777" w:rsidR="0015143C" w:rsidRDefault="0015143C" w:rsidP="00B37433">
      <w:pPr>
        <w:jc w:val="both"/>
        <w:rPr>
          <w:rFonts w:ascii="Times New Roman" w:hAnsi="Times New Roman" w:cs="Times New Roman"/>
        </w:rPr>
      </w:pPr>
      <w:r w:rsidRPr="0015143C">
        <w:rPr>
          <w:rFonts w:ascii="Times New Roman" w:hAnsi="Times New Roman" w:cs="Times New Roman"/>
        </w:rPr>
        <w:t>Global FDI flows have experienced considerable fluctuations. Global FDI inflows declined from US$1.87 trillion in 2016 to US$1.43 trillion in 2017, while the United Nations Conference on Trade and Development reported a further decline to approximately US$1.3 trillion in 2018 (Bond, 2019).</w:t>
      </w:r>
    </w:p>
    <w:p w14:paraId="4D90C441" w14:textId="2B31639D" w:rsidR="00B37433" w:rsidRPr="00734744" w:rsidRDefault="00E20227" w:rsidP="00B37433">
      <w:pPr>
        <w:jc w:val="both"/>
        <w:rPr>
          <w:rFonts w:ascii="Times New Roman" w:hAnsi="Times New Roman" w:cs="Times New Roman"/>
        </w:rPr>
      </w:pPr>
      <w:r w:rsidRPr="00E20227">
        <w:rPr>
          <w:rFonts w:ascii="Times New Roman" w:hAnsi="Times New Roman" w:cs="Times New Roman"/>
        </w:rPr>
        <w:t>Kenya’s experience has likewise been marked by fluctuations in FDI inflows, although the country remained a favourable destination for foreign direct investment in the East African region from the 1960s through the 1980s</w:t>
      </w:r>
      <w:r w:rsidR="0041222D">
        <w:rPr>
          <w:rFonts w:ascii="Times New Roman" w:hAnsi="Times New Roman" w:cs="Times New Roman"/>
        </w:rPr>
        <w:t xml:space="preserve"> </w:t>
      </w:r>
      <w:r w:rsidRPr="0041222D">
        <w:rPr>
          <w:rFonts w:ascii="Times New Roman" w:hAnsi="Times New Roman" w:cs="Times New Roman"/>
          <w:highlight w:val="yellow"/>
        </w:rPr>
        <w:t xml:space="preserve">(Mwenda &amp; </w:t>
      </w:r>
      <w:proofErr w:type="spellStart"/>
      <w:r w:rsidRPr="0041222D">
        <w:rPr>
          <w:rFonts w:ascii="Times New Roman" w:hAnsi="Times New Roman" w:cs="Times New Roman"/>
          <w:highlight w:val="yellow"/>
        </w:rPr>
        <w:t>Wasseja</w:t>
      </w:r>
      <w:proofErr w:type="spellEnd"/>
      <w:r w:rsidRPr="0041222D">
        <w:rPr>
          <w:rFonts w:ascii="Times New Roman" w:hAnsi="Times New Roman" w:cs="Times New Roman"/>
          <w:highlight w:val="yellow"/>
        </w:rPr>
        <w:t>, 2013).</w:t>
      </w:r>
      <w:r w:rsidR="00B37433" w:rsidRPr="00734744">
        <w:rPr>
          <w:rFonts w:ascii="Times New Roman" w:hAnsi="Times New Roman" w:cs="Times New Roman"/>
        </w:rPr>
        <w:t xml:space="preserve"> FDI inflows </w:t>
      </w:r>
      <w:r w:rsidR="0041222D">
        <w:rPr>
          <w:rFonts w:ascii="Times New Roman" w:hAnsi="Times New Roman" w:cs="Times New Roman"/>
        </w:rPr>
        <w:t xml:space="preserve">for Kenya </w:t>
      </w:r>
      <w:r w:rsidR="00B37433" w:rsidRPr="00734744">
        <w:rPr>
          <w:rFonts w:ascii="Times New Roman" w:hAnsi="Times New Roman" w:cs="Times New Roman"/>
        </w:rPr>
        <w:t xml:space="preserve">averaged approximately US$106 million annually between 2000 and 2009, although </w:t>
      </w:r>
      <w:r w:rsidR="00A31F19" w:rsidRPr="00734744">
        <w:rPr>
          <w:rFonts w:ascii="Times New Roman" w:hAnsi="Times New Roman" w:cs="Times New Roman"/>
        </w:rPr>
        <w:t>neighbouring</w:t>
      </w:r>
      <w:r w:rsidR="00B37433" w:rsidRPr="00734744">
        <w:rPr>
          <w:rFonts w:ascii="Times New Roman" w:hAnsi="Times New Roman" w:cs="Times New Roman"/>
        </w:rPr>
        <w:t xml:space="preserve"> Tanzania and Uganda attracted higher inflows during the same period</w:t>
      </w:r>
      <w:r w:rsidR="0041222D">
        <w:rPr>
          <w:rFonts w:ascii="Times New Roman" w:hAnsi="Times New Roman" w:cs="Times New Roman"/>
        </w:rPr>
        <w:t xml:space="preserve"> </w:t>
      </w:r>
      <w:r w:rsidR="0041222D" w:rsidRPr="0041222D">
        <w:rPr>
          <w:rFonts w:ascii="Times New Roman" w:hAnsi="Times New Roman" w:cs="Times New Roman"/>
          <w:highlight w:val="yellow"/>
        </w:rPr>
        <w:t>(World Bank, 2013</w:t>
      </w:r>
      <w:r w:rsidR="0041222D" w:rsidRPr="0041222D">
        <w:rPr>
          <w:rFonts w:ascii="Times New Roman" w:hAnsi="Times New Roman" w:cs="Times New Roman"/>
        </w:rPr>
        <w:t>)</w:t>
      </w:r>
      <w:r w:rsidR="00B37433" w:rsidRPr="00734744">
        <w:rPr>
          <w:rFonts w:ascii="Times New Roman" w:hAnsi="Times New Roman" w:cs="Times New Roman"/>
        </w:rPr>
        <w:t xml:space="preserve">. Despite government efforts to create </w:t>
      </w:r>
      <w:r w:rsidR="00A31F19" w:rsidRPr="00734744">
        <w:rPr>
          <w:rFonts w:ascii="Times New Roman" w:hAnsi="Times New Roman" w:cs="Times New Roman"/>
        </w:rPr>
        <w:t>favourable</w:t>
      </w:r>
      <w:r w:rsidR="00B37433" w:rsidRPr="00734744">
        <w:rPr>
          <w:rFonts w:ascii="Times New Roman" w:hAnsi="Times New Roman" w:cs="Times New Roman"/>
        </w:rPr>
        <w:t xml:space="preserve"> policies and promote industrialization and investment, FDI inflows continued to fluctuate. Between 2010 and 2019, FDI averaged approximately US$1.3 billion annually, but inflows declined from US$1.6 billion in 2018 to US$1.3 billion in 2019, an 18% decline (</w:t>
      </w:r>
      <w:r w:rsidR="00280A29" w:rsidRPr="00280A29">
        <w:rPr>
          <w:rFonts w:ascii="Times New Roman" w:hAnsi="Times New Roman" w:cs="Times New Roman"/>
          <w:color w:val="000000" w:themeColor="text1"/>
        </w:rPr>
        <w:t>Cheelo,</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2018). </w:t>
      </w:r>
    </w:p>
    <w:p w14:paraId="45C5D69E" w14:textId="175C3C05" w:rsidR="00B37433" w:rsidRPr="00734744" w:rsidRDefault="00B37433" w:rsidP="00B37433">
      <w:pPr>
        <w:jc w:val="both"/>
        <w:rPr>
          <w:rFonts w:ascii="Times New Roman" w:hAnsi="Times New Roman" w:cs="Times New Roman"/>
        </w:rPr>
      </w:pPr>
      <w:r w:rsidRPr="00734744">
        <w:rPr>
          <w:rFonts w:ascii="Times New Roman" w:hAnsi="Times New Roman" w:cs="Times New Roman"/>
        </w:rPr>
        <w:t>The decline in FDI is important because FDI inflows provide resources that can contribute to economic growth and long-term development</w:t>
      </w:r>
      <w:r w:rsidR="0041222D">
        <w:rPr>
          <w:rFonts w:ascii="Times New Roman" w:hAnsi="Times New Roman" w:cs="Times New Roman"/>
        </w:rPr>
        <w:t xml:space="preserve"> </w:t>
      </w:r>
      <w:r w:rsidR="0041222D" w:rsidRPr="0041222D">
        <w:rPr>
          <w:rFonts w:ascii="Times New Roman" w:hAnsi="Times New Roman" w:cs="Times New Roman"/>
          <w:highlight w:val="yellow"/>
        </w:rPr>
        <w:t>(</w:t>
      </w:r>
      <w:proofErr w:type="spellStart"/>
      <w:r w:rsidR="0041222D" w:rsidRPr="0041222D">
        <w:rPr>
          <w:rFonts w:ascii="Times New Roman" w:hAnsi="Times New Roman" w:cs="Times New Roman"/>
          <w:color w:val="000000" w:themeColor="text1"/>
          <w:highlight w:val="yellow"/>
        </w:rPr>
        <w:t>Mahdinezhad</w:t>
      </w:r>
      <w:proofErr w:type="spellEnd"/>
      <w:r w:rsidR="0041222D" w:rsidRPr="0041222D">
        <w:rPr>
          <w:rFonts w:ascii="Times New Roman" w:hAnsi="Times New Roman" w:cs="Times New Roman"/>
          <w:color w:val="000000" w:themeColor="text1"/>
          <w:highlight w:val="yellow"/>
        </w:rPr>
        <w:t>, M2016)</w:t>
      </w:r>
      <w:r w:rsidRPr="0041222D">
        <w:rPr>
          <w:rFonts w:ascii="Times New Roman" w:hAnsi="Times New Roman" w:cs="Times New Roman"/>
          <w:highlight w:val="yellow"/>
        </w:rPr>
        <w:t>.</w:t>
      </w:r>
      <w:r w:rsidRPr="00734744">
        <w:rPr>
          <w:rFonts w:ascii="Times New Roman" w:hAnsi="Times New Roman" w:cs="Times New Roman"/>
        </w:rPr>
        <w:t xml:space="preserve"> Kenya has implemented several economic reforms, including infrastructure development and public-private partnerships under the Vision 2030 framework, with the objective of creating a conducive environment for </w:t>
      </w:r>
      <w:r w:rsidRPr="00734744">
        <w:rPr>
          <w:rFonts w:ascii="Times New Roman" w:hAnsi="Times New Roman" w:cs="Times New Roman"/>
        </w:rPr>
        <w:lastRenderedPageBreak/>
        <w:t>foreign investors (</w:t>
      </w:r>
      <w:r w:rsidR="00222835">
        <w:rPr>
          <w:rFonts w:ascii="Times New Roman" w:hAnsi="Times New Roman" w:cs="Times New Roman"/>
        </w:rPr>
        <w:t>Achieng</w:t>
      </w:r>
      <w:r w:rsidRPr="00734744">
        <w:rPr>
          <w:rFonts w:ascii="Times New Roman" w:hAnsi="Times New Roman" w:cs="Times New Roman"/>
        </w:rPr>
        <w:t>, 201</w:t>
      </w:r>
      <w:r w:rsidR="00222835">
        <w:rPr>
          <w:rFonts w:ascii="Times New Roman" w:hAnsi="Times New Roman" w:cs="Times New Roman"/>
        </w:rPr>
        <w:t>8</w:t>
      </w:r>
      <w:r w:rsidRPr="00734744">
        <w:rPr>
          <w:rFonts w:ascii="Times New Roman" w:hAnsi="Times New Roman" w:cs="Times New Roman"/>
        </w:rPr>
        <w:t xml:space="preserve">). Nevertheless, FDI inflows have remained lower than those of some </w:t>
      </w:r>
      <w:r w:rsidR="00A31F19" w:rsidRPr="00734744">
        <w:rPr>
          <w:rFonts w:ascii="Times New Roman" w:hAnsi="Times New Roman" w:cs="Times New Roman"/>
        </w:rPr>
        <w:t>neighbouring</w:t>
      </w:r>
      <w:r w:rsidRPr="00734744">
        <w:rPr>
          <w:rFonts w:ascii="Times New Roman" w:hAnsi="Times New Roman" w:cs="Times New Roman"/>
        </w:rPr>
        <w:t xml:space="preserve"> East African economies. In 2019, Kenya's FDI inflows stood at US$1.3 billion compared with US$1.6 billion in 2018 (</w:t>
      </w:r>
      <w:r w:rsidR="00280A29">
        <w:rPr>
          <w:rFonts w:ascii="Times New Roman" w:hAnsi="Times New Roman" w:cs="Times New Roman"/>
        </w:rPr>
        <w:t>Ouma</w:t>
      </w:r>
      <w:r w:rsidRPr="00734744">
        <w:rPr>
          <w:rFonts w:ascii="Times New Roman" w:hAnsi="Times New Roman" w:cs="Times New Roman"/>
        </w:rPr>
        <w:t>, 202</w:t>
      </w:r>
      <w:r w:rsidR="00280A29">
        <w:rPr>
          <w:rFonts w:ascii="Times New Roman" w:hAnsi="Times New Roman" w:cs="Times New Roman"/>
        </w:rPr>
        <w:t>1</w:t>
      </w:r>
      <w:r w:rsidRPr="00734744">
        <w:rPr>
          <w:rFonts w:ascii="Times New Roman" w:hAnsi="Times New Roman" w:cs="Times New Roman"/>
        </w:rPr>
        <w:t xml:space="preserve">). </w:t>
      </w:r>
    </w:p>
    <w:p w14:paraId="678C1E9E" w14:textId="77777777" w:rsidR="001D23C2" w:rsidRDefault="001D23C2" w:rsidP="00B37433">
      <w:pPr>
        <w:jc w:val="both"/>
        <w:rPr>
          <w:rFonts w:ascii="Times New Roman" w:hAnsi="Times New Roman" w:cs="Times New Roman"/>
        </w:rPr>
      </w:pPr>
      <w:r w:rsidRPr="001D23C2">
        <w:rPr>
          <w:rFonts w:ascii="Times New Roman" w:hAnsi="Times New Roman" w:cs="Times New Roman"/>
        </w:rPr>
        <w:t>The continued fluctuations in FDI inflows despite policy interventions raise questions about the role of Kenya's macroeconomic environment in attracting and retaining foreign investment. Previous empirical studies have examined the relationship between individual macroeconomic variables and FDI in Kenya and other economies, but their findings remain mixed. Differences in study periods, variables and econometric approaches make it difficult to draw a consistent conclusion about the macroeconomic conditions associated with FDI in Kenya. Moreover, relatively few studies examine these relationships over a long historical period using a consistent time-series framework. This study therefore examines the effects of real interest rate, inflation, economic growth and exchange rate on FDI in Kenya using annual data covering 1966–2019.</w:t>
      </w:r>
    </w:p>
    <w:p w14:paraId="393ABDA9" w14:textId="668AD224" w:rsidR="00B37433" w:rsidRPr="00734744" w:rsidRDefault="001D23C2" w:rsidP="00B37433">
      <w:pPr>
        <w:jc w:val="both"/>
        <w:rPr>
          <w:rFonts w:ascii="Times New Roman" w:hAnsi="Times New Roman" w:cs="Times New Roman"/>
        </w:rPr>
      </w:pPr>
      <w:r w:rsidRPr="001D23C2">
        <w:rPr>
          <w:rFonts w:ascii="Times New Roman" w:hAnsi="Times New Roman" w:cs="Times New Roman"/>
        </w:rPr>
        <w:t>The study examined the effects of selected macroeconomic variables on foreign direct investment in Kenya. Specifically, it examined the effects of real interest rate, inflation, economic growth and exchange rate on FDI in Kenya.</w:t>
      </w:r>
      <w:r w:rsidR="00B37433" w:rsidRPr="00734744">
        <w:rPr>
          <w:rFonts w:ascii="Times New Roman" w:hAnsi="Times New Roman" w:cs="Times New Roman"/>
        </w:rPr>
        <w:t xml:space="preserve"> </w:t>
      </w:r>
    </w:p>
    <w:p w14:paraId="3EDAC9CE" w14:textId="5E489234" w:rsidR="001F0F12" w:rsidRDefault="001D23C2" w:rsidP="00B37433">
      <w:pPr>
        <w:jc w:val="both"/>
        <w:rPr>
          <w:rFonts w:ascii="Times New Roman" w:hAnsi="Times New Roman" w:cs="Times New Roman"/>
        </w:rPr>
      </w:pPr>
      <w:r w:rsidRPr="001D23C2">
        <w:rPr>
          <w:rFonts w:ascii="Times New Roman" w:hAnsi="Times New Roman" w:cs="Times New Roman"/>
        </w:rPr>
        <w:t>The study contributes to the empirical understanding of the relationship between macroeconomic conditions and FDI in Kenya by examining the selected variables within a 54-year time-series framework. The findings provide evidence that can inform macroeconomic policies aimed at strengthening Kenya's attractiveness to foreign investors and supporting sustained investment and economic growth.</w:t>
      </w:r>
    </w:p>
    <w:p w14:paraId="0629648F" w14:textId="47F7EFE3" w:rsidR="006022E0" w:rsidRDefault="006022E0" w:rsidP="00B37433">
      <w:pPr>
        <w:jc w:val="both"/>
        <w:rPr>
          <w:rFonts w:ascii="Times New Roman" w:hAnsi="Times New Roman" w:cs="Times New Roman"/>
        </w:rPr>
      </w:pPr>
      <w:r w:rsidRPr="006022E0">
        <w:rPr>
          <w:rFonts w:ascii="Times New Roman" w:hAnsi="Times New Roman" w:cs="Times New Roman"/>
        </w:rPr>
        <w:t>By applying co-integration and error-correction modelling to a long-horizon dataset, this study contributes to the empirical literature by clarifying both the dynamic short-term adjustments and stable long-run equilibrium relationships between macroeconomic drivers and FDI. The resulting empirical insights offer actionable evidence to guide policymakers in formulating targeted macroeconomic policies, maintaining price and exchange-rate stability, and strengthening Kenya’s competitive position as an investment hub in Sub-Saharan Africa.</w:t>
      </w:r>
    </w:p>
    <w:p w14:paraId="4DA6D537" w14:textId="77777777" w:rsidR="006022E0" w:rsidRPr="00734744" w:rsidRDefault="006022E0" w:rsidP="00B37433">
      <w:pPr>
        <w:jc w:val="both"/>
        <w:rPr>
          <w:rFonts w:ascii="Times New Roman" w:hAnsi="Times New Roman" w:cs="Times New Roman"/>
        </w:rPr>
      </w:pPr>
    </w:p>
    <w:p w14:paraId="223C9C19"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 LITERATURE REVIEW</w:t>
      </w:r>
    </w:p>
    <w:p w14:paraId="0A3D24A2" w14:textId="77777777"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t>2.1 Theoretical Review</w:t>
      </w:r>
    </w:p>
    <w:p w14:paraId="66B3122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2.1.1 Eclectic Paradigm Theory</w:t>
      </w:r>
    </w:p>
    <w:p w14:paraId="7ECC1797" w14:textId="5159D58E"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The Eclectic Paradigm Theory, developed by Dunning, provides a broad framework for explaining foreign direct investment through ownership, location and internalization advantages. The theory proposes that firms are more likely to undertake FDI when the advantages of investing abroad outweigh the costs associated with operating in a foreign market. The location component is particularly relevant to the present study because host-country characteristics, including low-cost </w:t>
      </w:r>
      <w:r w:rsidRPr="00734744">
        <w:rPr>
          <w:rFonts w:ascii="Times New Roman" w:hAnsi="Times New Roman" w:cs="Times New Roman"/>
        </w:rPr>
        <w:lastRenderedPageBreak/>
        <w:t xml:space="preserve">labour and raw materials, taxation, tariffs and availability of skilled labour, can influence the attractiveness of a country as an investment destination (Dunning, 2001). </w:t>
      </w:r>
    </w:p>
    <w:p w14:paraId="3E141A36" w14:textId="77777777" w:rsidR="00226E13" w:rsidRPr="00734744" w:rsidRDefault="00226E13" w:rsidP="00226E13">
      <w:pPr>
        <w:spacing w:after="0"/>
        <w:jc w:val="both"/>
        <w:rPr>
          <w:rFonts w:ascii="Times New Roman" w:hAnsi="Times New Roman" w:cs="Times New Roman"/>
        </w:rPr>
      </w:pPr>
    </w:p>
    <w:p w14:paraId="76B1E93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The theory is relevant to the present study because the macroeconomic environment forms part of the location conditions considered by foreign investors. Interest rates, inflation, economic growth and exchange-rate conditions can influence the expected profitability and risks associated with investing in a host country. The Eclectic Paradigm therefore provides a useful theoretical basis for examining how selected macroeconomic conditions influence FDI in Kenya. The thesis further notes that the theory links firm-level considerations with the broader macroeconomic environment of international production (Dunning, 1988a). </w:t>
      </w:r>
    </w:p>
    <w:p w14:paraId="224E1D96"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2.1.2 Neoclassical Trade Theory</w:t>
      </w:r>
    </w:p>
    <w:p w14:paraId="29D1B52C" w14:textId="3F256C0C" w:rsidR="001F0F12" w:rsidRPr="00734744" w:rsidRDefault="001F0F12" w:rsidP="00226E13">
      <w:pPr>
        <w:spacing w:after="0"/>
        <w:jc w:val="both"/>
        <w:rPr>
          <w:rFonts w:ascii="Times New Roman" w:hAnsi="Times New Roman" w:cs="Times New Roman"/>
        </w:rPr>
      </w:pPr>
      <w:r w:rsidRPr="00734744">
        <w:rPr>
          <w:rFonts w:ascii="Times New Roman" w:hAnsi="Times New Roman" w:cs="Times New Roman"/>
        </w:rPr>
        <w:t>Neoclassical Trade Theory explains international capital movements in terms of differences in rates of return between countries. Capital is expected to move from countries with relatively lower returns to countries where higher returns can be obtained. The theory therefore provides a basis for understanding why differences in macroeconomic conditions may influence international investment decisions. Foreign direct investment is affected by factors such as fiscal policies, the quality of the investment environment and the general direction of a country's macroeconomic policies (</w:t>
      </w:r>
      <w:r w:rsidR="00280A29" w:rsidRPr="00280A29">
        <w:rPr>
          <w:rFonts w:ascii="Times New Roman" w:hAnsi="Times New Roman" w:cs="Times New Roman"/>
          <w:color w:val="000000" w:themeColor="text1"/>
        </w:rPr>
        <w:t>Ullah</w:t>
      </w:r>
      <w:r w:rsidR="00280A29">
        <w:rPr>
          <w:rFonts w:ascii="Times New Roman" w:hAnsi="Times New Roman" w:cs="Times New Roman"/>
          <w:color w:val="000000" w:themeColor="text1"/>
        </w:rPr>
        <w:t xml:space="preserve"> </w:t>
      </w:r>
      <w:r w:rsidR="00280A29" w:rsidRPr="00280A29">
        <w:rPr>
          <w:rFonts w:ascii="Times New Roman" w:hAnsi="Times New Roman" w:cs="Times New Roman"/>
          <w:color w:val="000000" w:themeColor="text1"/>
        </w:rPr>
        <w:t>&amp; Khan, 2017).</w:t>
      </w:r>
    </w:p>
    <w:p w14:paraId="0808311D" w14:textId="77777777" w:rsidR="00CD3D5D" w:rsidRDefault="00CD3D5D" w:rsidP="001F0F12">
      <w:pPr>
        <w:jc w:val="both"/>
        <w:rPr>
          <w:rFonts w:ascii="Times New Roman" w:hAnsi="Times New Roman" w:cs="Times New Roman"/>
        </w:rPr>
      </w:pPr>
    </w:p>
    <w:p w14:paraId="6D201CDE" w14:textId="14A48ED5"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theory is relevant to this study because interest rates, inflation, economic growth and exchange rates can influence expected returns and the security of investments. Differences in these conditions across countries may therefore influence the allocation of international capital.</w:t>
      </w:r>
    </w:p>
    <w:p w14:paraId="04006038"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2.1.3 Internalization Theory</w:t>
      </w:r>
    </w:p>
    <w:p w14:paraId="1D7809A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 xml:space="preserve">Internalization Theory explains the motivation of multinational enterprises to undertake FDI by emphasizing the advantages of conducting activities internally rather than relying on external markets. The theory originated from the work of Buckley and Casson and was subsequently developed by scholars including </w:t>
      </w:r>
      <w:proofErr w:type="spellStart"/>
      <w:r w:rsidRPr="00734744">
        <w:rPr>
          <w:rFonts w:ascii="Times New Roman" w:hAnsi="Times New Roman" w:cs="Times New Roman"/>
        </w:rPr>
        <w:t>Hennart</w:t>
      </w:r>
      <w:proofErr w:type="spellEnd"/>
      <w:r w:rsidRPr="00734744">
        <w:rPr>
          <w:rFonts w:ascii="Times New Roman" w:hAnsi="Times New Roman" w:cs="Times New Roman"/>
        </w:rPr>
        <w:t xml:space="preserve">, Casson and Hymer. Hymer (1976) emphasized firm-specific advantages and the costs associated with operating in foreign markets. </w:t>
      </w:r>
    </w:p>
    <w:p w14:paraId="3FB85BF5" w14:textId="77777777" w:rsidR="00226E13" w:rsidRPr="00734744" w:rsidRDefault="00226E13" w:rsidP="00226E13">
      <w:pPr>
        <w:spacing w:after="0"/>
        <w:jc w:val="both"/>
        <w:rPr>
          <w:rFonts w:ascii="Times New Roman" w:hAnsi="Times New Roman" w:cs="Times New Roman"/>
        </w:rPr>
      </w:pPr>
    </w:p>
    <w:p w14:paraId="2117262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Internalization provides a useful perspective for understanding FDI because multinational corporations consider the costs, risks and advantages associated with operating in foreign markets. The macroeconomic environment of the host country can therefore influence the decision to internalize activities through FDI.</w:t>
      </w:r>
    </w:p>
    <w:p w14:paraId="10209CBD"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2.1.4 Interest Rate Parity Theory</w:t>
      </w:r>
    </w:p>
    <w:p w14:paraId="30C358F7" w14:textId="42C0C799" w:rsidR="001F0F12" w:rsidRDefault="001F0F12" w:rsidP="00CD3D5D">
      <w:pPr>
        <w:spacing w:after="0"/>
        <w:jc w:val="both"/>
        <w:rPr>
          <w:rFonts w:ascii="Times New Roman" w:hAnsi="Times New Roman" w:cs="Times New Roman"/>
        </w:rPr>
      </w:pPr>
      <w:r w:rsidRPr="00734744">
        <w:rPr>
          <w:rFonts w:ascii="Times New Roman" w:hAnsi="Times New Roman" w:cs="Times New Roman"/>
        </w:rPr>
        <w:t xml:space="preserve">Interest Rate Parity Theory explains the relationship between interest rates and exchange rates in international financial markets. The theory is based on the principle that comparable assets should yield similar returns when expressed in a common currency under equilibrium conditions. Differences between domestic and foreign interest rates are therefore associated with movements </w:t>
      </w:r>
      <w:r w:rsidRPr="00734744">
        <w:rPr>
          <w:rFonts w:ascii="Times New Roman" w:hAnsi="Times New Roman" w:cs="Times New Roman"/>
        </w:rPr>
        <w:lastRenderedPageBreak/>
        <w:t>in exchange rates (</w:t>
      </w:r>
      <w:r w:rsidR="00280A29" w:rsidRPr="00280A29">
        <w:rPr>
          <w:rFonts w:ascii="Times New Roman" w:hAnsi="Times New Roman" w:cs="Times New Roman"/>
          <w:color w:val="000000" w:themeColor="text1"/>
        </w:rPr>
        <w:t>Dornbusch, 2019)</w:t>
      </w:r>
      <w:r w:rsidR="00CD3D5D">
        <w:rPr>
          <w:rFonts w:ascii="Times New Roman" w:hAnsi="Times New Roman" w:cs="Times New Roman"/>
          <w:color w:val="000000" w:themeColor="text1"/>
        </w:rPr>
        <w:t xml:space="preserve">. </w:t>
      </w:r>
      <w:r w:rsidRPr="00734744">
        <w:rPr>
          <w:rFonts w:ascii="Times New Roman" w:hAnsi="Times New Roman" w:cs="Times New Roman"/>
        </w:rPr>
        <w:t>The theory is relevant to this study because both interest rates and exchange rates are among the selected macroeconomic variables examined in relation to FDI. Changes in domestic interest rates relative to international rates can affect expected returns on international assets and consequently influence the allocation of foreign capital.</w:t>
      </w:r>
    </w:p>
    <w:p w14:paraId="7E7A0D8C" w14:textId="77777777" w:rsidR="00CD3D5D" w:rsidRPr="00734744" w:rsidRDefault="00CD3D5D" w:rsidP="00CD3D5D">
      <w:pPr>
        <w:spacing w:after="0"/>
        <w:jc w:val="both"/>
        <w:rPr>
          <w:rFonts w:ascii="Times New Roman" w:hAnsi="Times New Roman" w:cs="Times New Roman"/>
        </w:rPr>
      </w:pPr>
    </w:p>
    <w:p w14:paraId="5138CE27" w14:textId="7777777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2.1.5 International Fisher Effect Theory</w:t>
      </w:r>
    </w:p>
    <w:p w14:paraId="79491916" w14:textId="7A1BB65F" w:rsidR="00B956CE" w:rsidRDefault="001F0F12" w:rsidP="00CD3D5D">
      <w:pPr>
        <w:spacing w:after="0"/>
        <w:jc w:val="both"/>
        <w:rPr>
          <w:rFonts w:ascii="Times New Roman" w:hAnsi="Times New Roman" w:cs="Times New Roman"/>
        </w:rPr>
      </w:pPr>
      <w:r w:rsidRPr="00734744">
        <w:rPr>
          <w:rFonts w:ascii="Times New Roman" w:hAnsi="Times New Roman" w:cs="Times New Roman"/>
        </w:rPr>
        <w:t>The International Fisher Effect explains the relationship between interest rates, inflation and exchange rates. The theory proposes that differences in interest rates across countries are associated with expected changes in exchange rates, while nominal interest rates incorporate real returns and inflation expectations. High interest rates may therefore be associated with expectations of currency depreciation where they reflect high inflation (</w:t>
      </w:r>
      <w:r w:rsidR="00280A29" w:rsidRPr="00280A29">
        <w:rPr>
          <w:rFonts w:ascii="Times New Roman" w:hAnsi="Times New Roman" w:cs="Times New Roman"/>
          <w:color w:val="000000" w:themeColor="text1"/>
        </w:rPr>
        <w:t>Egilsson, 2020).</w:t>
      </w:r>
      <w:r w:rsidR="00CD3D5D">
        <w:rPr>
          <w:rFonts w:ascii="Times New Roman" w:hAnsi="Times New Roman" w:cs="Times New Roman"/>
          <w:color w:val="000000" w:themeColor="text1"/>
        </w:rPr>
        <w:t xml:space="preserve"> </w:t>
      </w:r>
      <w:r w:rsidRPr="00734744">
        <w:rPr>
          <w:rFonts w:ascii="Times New Roman" w:hAnsi="Times New Roman" w:cs="Times New Roman"/>
        </w:rPr>
        <w:t>The theory is particularly relevant to the present study because it connects three of the selected macroeconomic variables: interest rates, inflation and exchange rates, and provides a theoretical basis for examining their potential implications for international investment decisions.</w:t>
      </w:r>
    </w:p>
    <w:p w14:paraId="1A889919" w14:textId="77777777" w:rsidR="00CD3D5D" w:rsidRDefault="00CD3D5D" w:rsidP="00CD3D5D">
      <w:pPr>
        <w:spacing w:after="0"/>
        <w:jc w:val="both"/>
        <w:rPr>
          <w:rFonts w:ascii="Times New Roman" w:hAnsi="Times New Roman" w:cs="Times New Roman"/>
        </w:rPr>
      </w:pPr>
    </w:p>
    <w:p w14:paraId="45D37915" w14:textId="77777777" w:rsidR="00530B02" w:rsidRPr="00530B02" w:rsidRDefault="00530B02" w:rsidP="006B2893">
      <w:pPr>
        <w:spacing w:after="0"/>
        <w:jc w:val="both"/>
        <w:rPr>
          <w:rFonts w:ascii="Times New Roman" w:hAnsi="Times New Roman" w:cs="Times New Roman"/>
          <w:lang w:val="en-US"/>
        </w:rPr>
      </w:pPr>
      <w:r w:rsidRPr="00530B02">
        <w:rPr>
          <w:rFonts w:ascii="Times New Roman" w:hAnsi="Times New Roman" w:cs="Times New Roman"/>
          <w:b/>
          <w:bCs/>
          <w:lang w:val="en-US"/>
        </w:rPr>
        <w:t>2.2 Conceptual Framework</w:t>
      </w:r>
    </w:p>
    <w:p w14:paraId="3113B017" w14:textId="7F922354" w:rsidR="00B956CE" w:rsidRPr="00530B02" w:rsidRDefault="00530B02" w:rsidP="006B2893">
      <w:pPr>
        <w:jc w:val="both"/>
        <w:rPr>
          <w:rFonts w:ascii="Times New Roman" w:hAnsi="Times New Roman" w:cs="Times New Roman"/>
          <w:lang w:val="en-US"/>
        </w:rPr>
      </w:pPr>
      <w:r w:rsidRPr="00530B02">
        <w:rPr>
          <w:rFonts w:ascii="Times New Roman" w:hAnsi="Times New Roman" w:cs="Times New Roman"/>
          <w:lang w:val="en-US"/>
        </w:rPr>
        <w:t>The conceptual framework illustrates the proposed relationship between selected macroeconomic drivers and foreign direct investment in Kenya. The framework conceptualizes real interest rate, inflation rate, economic growth and exchange rate as key macroeconomic conditions that shape the attractiveness of Kenya as a destination for foreign investment. Foreign direct investment represents the outcome variable. The framework is consistent with the study's theoretical foundations, particularly the Eclectic Paradigm, which emphasizes host-country location conditions in determining international investment decisions.</w:t>
      </w:r>
    </w:p>
    <w:p w14:paraId="4AC10877" w14:textId="06994133" w:rsidR="00B956CE" w:rsidRPr="00530B02" w:rsidRDefault="00B956CE" w:rsidP="00530B02">
      <w:pPr>
        <w:jc w:val="both"/>
        <w:rPr>
          <w:rFonts w:ascii="Times New Roman" w:hAnsi="Times New Roman" w:cs="Times New Roman"/>
        </w:rPr>
      </w:pPr>
      <w:r>
        <w:rPr>
          <w:noProof/>
          <w:sz w:val="6"/>
          <w:szCs w:val="6"/>
        </w:rPr>
        <mc:AlternateContent>
          <mc:Choice Requires="wpg">
            <w:drawing>
              <wp:anchor distT="0" distB="0" distL="114300" distR="114300" simplePos="0" relativeHeight="251659264" behindDoc="0" locked="0" layoutInCell="1" allowOverlap="1" wp14:anchorId="042FE97A" wp14:editId="6CEDC594">
                <wp:simplePos x="0" y="0"/>
                <wp:positionH relativeFrom="margin">
                  <wp:align>left</wp:align>
                </wp:positionH>
                <wp:positionV relativeFrom="paragraph">
                  <wp:posOffset>361950</wp:posOffset>
                </wp:positionV>
                <wp:extent cx="5264150" cy="2409825"/>
                <wp:effectExtent l="0" t="0" r="12700" b="28575"/>
                <wp:wrapTopAndBottom/>
                <wp:docPr id="12" name="Group 12"/>
                <wp:cNvGraphicFramePr/>
                <a:graphic xmlns:a="http://schemas.openxmlformats.org/drawingml/2006/main">
                  <a:graphicData uri="http://schemas.microsoft.com/office/word/2010/wordprocessingGroup">
                    <wpg:wgp>
                      <wpg:cNvGrpSpPr/>
                      <wpg:grpSpPr>
                        <a:xfrm>
                          <a:off x="0" y="0"/>
                          <a:ext cx="5264150" cy="2409825"/>
                          <a:chOff x="0" y="0"/>
                          <a:chExt cx="5264150" cy="2519616"/>
                        </a:xfrm>
                      </wpg:grpSpPr>
                      <wpg:grpSp>
                        <wpg:cNvPr id="4" name="Group 4"/>
                        <wpg:cNvGrpSpPr/>
                        <wpg:grpSpPr>
                          <a:xfrm>
                            <a:off x="0" y="0"/>
                            <a:ext cx="5264150" cy="2209491"/>
                            <a:chOff x="1" y="1"/>
                            <a:chExt cx="5264799" cy="2210109"/>
                          </a:xfrm>
                        </wpg:grpSpPr>
                        <wps:wsp>
                          <wps:cNvPr id="32" name="Text Box 32"/>
                          <wps:cNvSpPr txBox="1"/>
                          <wps:spPr>
                            <a:xfrm>
                              <a:off x="1" y="1"/>
                              <a:ext cx="2049779" cy="22101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9DB98CA" w14:textId="77777777" w:rsidR="00B956CE" w:rsidRDefault="00B956CE" w:rsidP="00B956CE">
                                <w:pPr>
                                  <w:spacing w:after="0" w:line="360" w:lineRule="auto"/>
                                  <w:rPr>
                                    <w:rFonts w:eastAsia="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87630" y="106651"/>
                              <a:ext cx="5177170" cy="1973900"/>
                              <a:chOff x="-104775" y="-208831"/>
                              <a:chExt cx="5177170" cy="2003271"/>
                            </a:xfrm>
                          </wpg:grpSpPr>
                          <wps:wsp>
                            <wps:cNvPr id="7" name="Rectangle 7"/>
                            <wps:cNvSpPr/>
                            <wps:spPr>
                              <a:xfrm>
                                <a:off x="-104775" y="-208831"/>
                                <a:ext cx="1520190" cy="42790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0965" y="275449"/>
                                <a:ext cx="1516380" cy="4593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4775" y="797254"/>
                                <a:ext cx="1520190" cy="47909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04774" y="1330496"/>
                                <a:ext cx="1520190" cy="46394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419225" y="-12959"/>
                                <a:ext cx="438150" cy="0"/>
                              </a:xfrm>
                              <a:prstGeom prst="straightConnector1">
                                <a:avLst/>
                              </a:prstGeom>
                              <a:ln w="952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a:off x="1419225" y="510638"/>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7" name="Straight Arrow Connector 17"/>
                            <wps:cNvCnPr/>
                            <wps:spPr>
                              <a:xfrm>
                                <a:off x="1423036" y="1024064"/>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8" name="Rectangle 18"/>
                            <wps:cNvSpPr/>
                            <wps:spPr>
                              <a:xfrm>
                                <a:off x="3069358" y="360540"/>
                                <a:ext cx="2003037" cy="66352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a:off x="1857375" y="786172"/>
                                <a:ext cx="1211983"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grpSp>
                      </wpg:grpSp>
                      <wps:wsp>
                        <wps:cNvPr id="25" name="Straight Arrow Connector 25"/>
                        <wps:cNvCnPr/>
                        <wps:spPr>
                          <a:xfrm>
                            <a:off x="1607820" y="1844040"/>
                            <a:ext cx="409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5" name="Rectangle 5"/>
                        <wps:cNvSpPr/>
                        <wps:spPr>
                          <a:xfrm>
                            <a:off x="0" y="2230806"/>
                            <a:ext cx="1732915" cy="28881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406140" y="138684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FE97A" id="Group 12" o:spid="_x0000_s1026" style="position:absolute;left:0;text-align:left;margin-left:0;margin-top:28.5pt;width:414.5pt;height:189.75pt;z-index:251659264;mso-position-horizontal:left;mso-position-horizontal-relative:margin;mso-height-relative:margin" coordsize="52641,2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hyTCQcAAMYvAAAOAAAAZHJzL2Uyb0RvYy54bWzsWttu2zgQfV9g/0HQe2pRdxl1imzaFAsU&#10;bdF00WdGlmyhkqilmNrZr98ZkqIkx27sNPUWWfch1YWkydGcM2eGfPlqXZXWt4y3BatnNnnh2FZW&#10;p2xe1IuZ/dfnq7PYtlpB6zktWZ3N7LustV+d//7by1UzzVy2ZOU84xYMUrfTVTOzl0I008mkTZdZ&#10;RdsXrMlqeJkzXlEBt3wxmXO6gtGrcuI6TjhZMT5vOEuztoWnr9VL+1yOn+dZKj7keZsJq5zZMDch&#10;/3L59wb/Ts5f0umC02ZZpHoa9BGzqGhRw4+aoV5TQa1bXtwbqipSzlqWixcpqyYsz4s0k2uA1RBn&#10;YzVvObtt5FoW09WiMWYC027Y6dHDpu+/veXNdfORgyVWzQJsIe9wLeucV/g/zNJaS5PdGZNla2Gl&#10;8DBwQ58EYNkU3rm+k8RuoIyaLsHy9/qlyzdbewYkCUmIPSfdD09G0zE3apow74/cKuYz27etmlbg&#10;WtJalo9jYOOnXZnrJH5CNlZGbAtWbZ4OVxYlibaJS+DDJt9dGbh+23/d9se+7vWSNpl0mhZtoK3k&#10;uZ2ZPuOn+4OtLXgkTSWboQdYYg3P9YJWTTtt4eEWRxgtu3ME1/GTKPrOoum04a14m7HKwouZzQGc&#10;EjP027tWqC/fNcFfbVlZzK+KspQ3SAjZZcmtbxSgXAppdfCVUauytlYzO/TAIe+NgEOb/jclTb/q&#10;bzIYAcYra+yZSerQ0+pNIa/EXZlhm7L+lOXgghIaW+ZI0zSrzTxla2yVw4oO6ajb97M6pLNaB/SQ&#10;v8xqYTpXRc24stLYtPOvnWlz1R4gOVg3Xor1zVq7zg2b34HncKaYtW3SqwIM/Y624iPlQKVADRAe&#10;xAf4k5cMvg7TV7a1ZPyfbc+xPWAA3trWCqh5Zrd/31Ke2Vb5Zw3oSIjvI5fLGz+IXLjhwzc3wzf1&#10;bXXJwGXAa2F28hLbi7K7zDmrvkAUucBfhVe0TuG3Z7boLi+FChgQhdLs4kI2AvZuqHhXXzcpDo3m&#10;RQf7vP5CeaMdXAA23rMOj3S64eeqLfas2cWtYHkhQYAGVlbVhgduGFCzITcN7LDDtaI/SaEH0l8c&#10;hR6sG6nMCcNA81kH7IBEEYngPTI8SSIvcXTYNAx/Rhw/igI5xJnrxLF3nxOHo0Dg9tyoczMVZjbZ&#10;/gicGHWm+wRMROtFmVnRBiVqL99BhDvX3dmOBBDVE207340SZxziDubE7xGc1Ew9RYp1Z+D7BKcA&#10;Ldl9AO0RpbnbuEFRWreG7ZSmwLAxmZ6vH0Vn3S/+PDqTUkIarMffs2S1VPBfi9eOAHTIQZRE7IEe&#10;Hwp0JwkVwblR4PtSz4FM0FqWBCT04g7nQeIBXypB02noTtjsqX0UzpMAxDQGiAGC4WYcr084l4pw&#10;T9kicW6E7zNWL/9HnBNA4CbQ4ZkO4pAMmTx3Z24zDOlRErmBzCeHSB9GdAjoiUx3TdL6yIh+QvqT&#10;JygS6V738U9IP16mcoSITrwtSDcf+wCkQ/UI0xrPg/KFVJm7oB56iS+54AR1WUwwUvzBCsiRxLsu&#10;/HXJ80m8H6MocQyog+xWQf1acFoslsK64JytrEtW15C4M24RGYMxcQPkX9a6lr0zxhOfJC4oa0T+&#10;GXGTYEPN+15sStoP6PhWT8nMRWW/G5UeLHpifPtRVU+nghblm3puibsGKt6CF7JsoXMNLF3ukdlv&#10;TdB7+bw9q9cF1XHq0Xc6MKvvOxoa2T/+9wnPzgKlivaYgaFT6ALaMXzVVON2+6qkw0f5agDlOU8m&#10;rn2Qgh2XACtvWJx7Ul+t2RUUqsGEI7e1UizH5iWF4mhaNXMozdYLqCeUC9j9w5QD24+z1bvWVN1h&#10;327OVrgBAaVcqBDDC5i1/KddeNQVc+bXtF2qkr98hc3otCoEbBqWRTWzY9N7D3CA2XbX9f8znzFl&#10;yN0+MyxL7sNvrud44IqobBzYlAs3kpiT06DXKF96kFF/TafZUtIih9W0PCdMvADGAS/xQieALRUJ&#10;rq6mhUV6xwPnRGoJYU/NPclftXWHFGTi1q8if40EOmW6zyvThS31h+Sv1K/7S4o4iDy9WxfFIYlk&#10;ObSXFMQlJIkhwX5yTbGhfx+k3pOYxY+6RZiAYfRJHSlxzbVWu+ag0E85SoKZ0wMeqc4A7e+RoRPF&#10;uIuPgiWGzf3NWHQ8wSLPjpxU7vgU3kGny7rzDvrr62MKxmf6LTgTsfYq1ynvcEHZxmoTfUBYkecm&#10;UAOQhOXGcaxq/j9aqCNuBCLxfkIzzoFvFqdtdjhd02f0O5NyPDUki/ImAz5JlWclVYxS6TE+VCYP&#10;b755kKoSPNqFccCLw3gzDpAR0hPvifbZT0h/+vOBEummbnFC+rGQLqUhHBYHYTg6jT68l6KxP35/&#10;/i8AAAD//wMAUEsDBBQABgAIAAAAIQBCdfed3wAAAAcBAAAPAAAAZHJzL2Rvd25yZXYueG1sTI9B&#10;T8JAEIXvJv6HzZh4k23BItZOCSHqiZAIJoTb0h3ahu5u013a8u8dT3qaN3mT977JlqNpRE+dr51F&#10;iCcRCLKF07UtEb73H08LED4oq1XjLCHcyMMyv7/LVKrdYL+o34VScIj1qUKoQmhTKX1RkVF+4lqy&#10;7J1dZ1TgtSul7tTA4aaR0yiaS6Nqyw2VamldUXHZXQ3C56CG1Sx+7zeX8/p23CfbwyYmxMeHcfUG&#10;ItAY/o7hF5/RIWemk7ta7UWDwI8EhOSFJ7uL6SuLE8LzbJ6AzDP5nz//AQAA//8DAFBLAQItABQA&#10;BgAIAAAAIQC2gziS/gAAAOEBAAATAAAAAAAAAAAAAAAAAAAAAABbQ29udGVudF9UeXBlc10ueG1s&#10;UEsBAi0AFAAGAAgAAAAhADj9If/WAAAAlAEAAAsAAAAAAAAAAAAAAAAALwEAAF9yZWxzLy5yZWxz&#10;UEsBAi0AFAAGAAgAAAAhAO7yHJMJBwAAxi8AAA4AAAAAAAAAAAAAAAAALgIAAGRycy9lMm9Eb2Mu&#10;eG1sUEsBAi0AFAAGAAgAAAAhAEJ1953fAAAABwEAAA8AAAAAAAAAAAAAAAAAYwkAAGRycy9kb3du&#10;cmV2LnhtbFBLBQYAAAAABAAEAPMAAABvCgAAAAA=&#10;">
                <v:group id="Group 4" o:spid="_x0000_s1027" style="position:absolute;width:52641;height:22094" coordorigin="" coordsize="52647,2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2" o:spid="_x0000_s1028" type="#_x0000_t202" style="position:absolute;width:20497;height:2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19DB98CA" w14:textId="77777777" w:rsidR="00B956CE" w:rsidRDefault="00B956CE" w:rsidP="00B956CE">
                          <w:pPr>
                            <w:spacing w:after="0" w:line="360" w:lineRule="auto"/>
                            <w:rPr>
                              <w:rFonts w:eastAsia="Calibri"/>
                              <w:b/>
                            </w:rPr>
                          </w:pPr>
                        </w:p>
                      </w:txbxContent>
                    </v:textbox>
                  </v:shape>
                  <v:group id="Group 6" o:spid="_x0000_s1029" style="position:absolute;left:876;top:1066;width:51772;height:19739" coordorigin="-1047,-2088" coordsize="51771,2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1047;top:-2088;width:15201;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cFxAAAANoAAAAPAAAAZHJzL2Rvd25yZXYueG1sRI9Ba8JA&#10;FITvBf/D8oTe6iYWoqSuEgRJDy1Uq/T6yD6TmOzbkN0m6b/vFoQeh5n5htnsJtOKgXpXW1YQLyIQ&#10;xIXVNZcKzp+HpzUI55E1tpZJwQ852G1nDxtMtR35SMPJlyJA2KWooPK+S6V0RUUG3cJ2xMG72t6g&#10;D7Ivpe5xDHDTymUUJdJgzWGhwo72FRXN6dsoyG7X49v5+b2ry7z50pf8w8RJptTjfMpeQHia/H/4&#10;3n7VClbwdyXcALn9BQAA//8DAFBLAQItABQABgAIAAAAIQDb4fbL7gAAAIUBAAATAAAAAAAAAAAA&#10;AAAAAAAAAABbQ29udGVudF9UeXBlc10ueG1sUEsBAi0AFAAGAAgAAAAhAFr0LFu/AAAAFQEAAAsA&#10;AAAAAAAAAAAAAAAAHwEAAF9yZWxzLy5yZWxzUEsBAi0AFAAGAAgAAAAhAPh/lwXEAAAA2gAAAA8A&#10;AAAAAAAAAAAAAAAABwIAAGRycy9kb3ducmV2LnhtbFBLBQYAAAAAAwADALcAAAD4AgAAAAA=&#10;" fillcolor="white [3201]" strokecolor="black [3213]" strokeweight=".5pt">
                      <v:textbox>
                        <w:txbxContent>
                          <w:p w14:paraId="18812CF2"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v:textbox>
                    </v:rect>
                    <v:rect id="Rectangle 8" o:spid="_x0000_s1031" style="position:absolute;left:-1009;top:2754;width:15163;height: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NcvwAAANoAAAAPAAAAZHJzL2Rvd25yZXYueG1sRE/LisIw&#10;FN0L8w/hDsxOU11IqY0i4sCsHKqC22tz+9DmpiRRO/P1ZiG4PJx3vhpMJ+7kfGtZwXSSgCAurW65&#10;VnA8fI9TED4ga+wsk4I/8rBafoxyzLR9cEH3fahFDGGfoYImhD6T0pcNGfQT2xNHrrLOYIjQ1VI7&#10;fMRw08lZksylwZZjQ4M9bRoqr/ubUbC9zKrz4US6cLv1tvifp9ffKlXq63NYL0AEGsJb/HL/aAVx&#10;a7wSb4BcPgEAAP//AwBQSwECLQAUAAYACAAAACEA2+H2y+4AAACFAQAAEwAAAAAAAAAAAAAAAAAA&#10;AAAAW0NvbnRlbnRfVHlwZXNdLnhtbFBLAQItABQABgAIAAAAIQBa9CxbvwAAABUBAAALAAAAAAAA&#10;AAAAAAAAAB8BAABfcmVscy8ucmVsc1BLAQItABQABgAIAAAAIQA3cyNcvwAAANoAAAAPAAAAAAAA&#10;AAAAAAAAAAcCAABkcnMvZG93bnJldi54bWxQSwUGAAAAAAMAAwC3AAAA8wIAAAAA&#10;" fillcolor="white [3201]" strokecolor="black [3213]">
                      <v:textbox>
                        <w:txbxContent>
                          <w:p w14:paraId="2EA6085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v:textbox>
                    </v:rect>
                    <v:rect id="Rectangle 10" o:spid="_x0000_s1032" style="position:absolute;left:-1047;top:7972;width:15201;height:4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9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CFXn6RAfT6FwAA//8DAFBLAQItABQABgAIAAAAIQDb4fbL7gAAAIUBAAATAAAAAAAAAAAA&#10;AAAAAAAAAABbQ29udGVudF9UeXBlc10ueG1sUEsBAi0AFAAGAAgAAAAhAFr0LFu/AAAAFQEAAAsA&#10;AAAAAAAAAAAAAAAAHwEAAF9yZWxzLy5yZWxzUEsBAi0AFAAGAAgAAAAhACcUT73EAAAA2wAAAA8A&#10;AAAAAAAAAAAAAAAABwIAAGRycy9kb3ducmV2LnhtbFBLBQYAAAAAAwADALcAAAD4AgAAAAA=&#10;" fillcolor="white [3201]" strokecolor="black [3213]">
                      <v:textbox>
                        <w:txbxContent>
                          <w:p w14:paraId="329B38D2"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v:textbox>
                    </v:rect>
                    <v:rect id="Rectangle 13" o:spid="_x0000_s1033" style="position:absolute;left:-1047;top:13304;width:15201;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HKwQAAANsAAAAPAAAAZHJzL2Rvd25yZXYueG1sRE9LawIx&#10;EL4X/A9hhN5qVgVZVqOIKPRkWS30Om5mH7qZLEmq2/56Iwje5uN7zmLVm1ZcyfnGsoLxKAFBXFjd&#10;cKXg+7j7SEH4gKyxtUwK/sjDajl4W2Cm7Y1zuh5CJWII+wwV1CF0mZS+qMmgH9mOOHKldQZDhK6S&#10;2uEthptWTpJkJg02HBtq7GhTU3E5/BoF2/OkPB1/SOduv97m/7P08lWmSr0P+/UcRKA+vMRP96eO&#10;86fw+CUeIJd3AAAA//8DAFBLAQItABQABgAIAAAAIQDb4fbL7gAAAIUBAAATAAAAAAAAAAAAAAAA&#10;AAAAAABbQ29udGVudF9UeXBlc10ueG1sUEsBAi0AFAAGAAgAAAAhAFr0LFu/AAAAFQEAAAsAAAAA&#10;AAAAAAAAAAAAHwEAAF9yZWxzLy5yZWxzUEsBAi0AFAAGAAgAAAAhANfG0crBAAAA2wAAAA8AAAAA&#10;AAAAAAAAAAAABwIAAGRycy9kb3ducmV2LnhtbFBLBQYAAAAAAwADALcAAAD1AgAAAAA=&#10;" fillcolor="white [3201]" strokecolor="black [3213]">
                      <v:textbox>
                        <w:txbxContent>
                          <w:p w14:paraId="07DFB153"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v:textbox>
                    </v:rect>
                    <v:shapetype id="_x0000_t32" coordsize="21600,21600" o:spt="32" o:oned="t" path="m,l21600,21600e" filled="f">
                      <v:path arrowok="t" fillok="f" o:connecttype="none"/>
                      <o:lock v:ext="edit" shapetype="t"/>
                    </v:shapetype>
                    <v:shape id="Straight Arrow Connector 15" o:spid="_x0000_s1034" type="#_x0000_t32" style="position:absolute;left:14192;top:-129;width:4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jvwAAANsAAAAPAAAAZHJzL2Rvd25yZXYueG1sRE/LqsIw&#10;EN0L/kMYwd1tquJVqlHkgqC48gHqbmjGtthMSpOr1a83guBuDuc503ljSnGj2hWWFfSiGARxanXB&#10;mYLDfvkzBuE8ssbSMil4kIP5rN2aYqLtnbd02/lMhBB2CSrIva8SKV2ak0EX2Yo4cBdbG/QB1pnU&#10;Nd5DuCllP45/pcGCQ0OOFf3llF53/0aBduUZOe2flm5AVq+Po6e5bpTqdprFBISnxn/FH/dKh/lD&#10;eP8SDpCzFwAAAP//AwBQSwECLQAUAAYACAAAACEA2+H2y+4AAACFAQAAEwAAAAAAAAAAAAAAAAAA&#10;AAAAW0NvbnRlbnRfVHlwZXNdLnhtbFBLAQItABQABgAIAAAAIQBa9CxbvwAAABUBAAALAAAAAAAA&#10;AAAAAAAAAB8BAABfcmVscy8ucmVsc1BLAQItABQABgAIAAAAIQDO9LcjvwAAANsAAAAPAAAAAAAA&#10;AAAAAAAAAAcCAABkcnMvZG93bnJldi54bWxQSwUGAAAAAAMAAwC3AAAA8wIAAAAA&#10;" strokecolor="black [3213]">
                      <v:stroke endarrow="block" joinstyle="miter"/>
                    </v:shape>
                    <v:shape id="Straight Arrow Connector 16" o:spid="_x0000_s1035" type="#_x0000_t32" style="position:absolute;left:14192;top:5106;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qbwQAAANsAAAAPAAAAZHJzL2Rvd25yZXYueG1sRE9Na8JA&#10;EL0L/odlBG+60UOQ6Cq2KBWhBZP2PmTHJJqdDdmtbvvruwXB2zze56w2wbTiRr1rLCuYTRMQxKXV&#10;DVcKPov9ZAHCeWSNrWVS8EMONuvhYIWZtnc+0S33lYgh7DJUUHvfZVK6siaDbmo74sidbW/QR9hX&#10;Uvd4j+GmlfMkSaXBhmNDjR291lRe82+jILdfHzbddeGluLy9l4fjb7UIhVLjUdguQXgK/il+uA86&#10;zk/h/5d4gFz/AQAA//8DAFBLAQItABQABgAIAAAAIQDb4fbL7gAAAIUBAAATAAAAAAAAAAAAAAAA&#10;AAAAAABbQ29udGVudF9UeXBlc10ueG1sUEsBAi0AFAAGAAgAAAAhAFr0LFu/AAAAFQEAAAsAAAAA&#10;AAAAAAAAAAAAHwEAAF9yZWxzLy5yZWxzUEsBAi0AFAAGAAgAAAAhAMTmKpvBAAAA2wAAAA8AAAAA&#10;AAAAAAAAAAAABwIAAGRycy9kb3ducmV2LnhtbFBLBQYAAAAAAwADALcAAAD1AgAAAAA=&#10;" strokecolor="windowText">
                      <v:stroke endarrow="block" joinstyle="miter"/>
                    </v:shape>
                    <v:shape id="Straight Arrow Connector 17" o:spid="_x0000_s1036" type="#_x0000_t32" style="position:absolute;left:14230;top:1024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8AwQAAANsAAAAPAAAAZHJzL2Rvd25yZXYueG1sRE9Na8JA&#10;EL0L/Q/LFLzpRg9WoqtoqSgFC03qfciOSTQ7G7Krrv31XaHgbR7vc+bLYBpxpc7VlhWMhgkI4sLq&#10;mksFP/lmMAXhPLLGxjIpuJOD5eKlN8dU2xt/0zXzpYgh7FJUUHnfplK6oiKDbmhb4sgdbWfQR9iV&#10;Und4i+GmkeMkmUiDNceGClt6r6g4ZxejILOHLzv5aMM6P233xe7zt5yGXKn+a1jNQHgK/in+d+90&#10;nP8Gj1/iAXLxBwAA//8DAFBLAQItABQABgAIAAAAIQDb4fbL7gAAAIUBAAATAAAAAAAAAAAAAAAA&#10;AAAAAABbQ29udGVudF9UeXBlc10ueG1sUEsBAi0AFAAGAAgAAAAhAFr0LFu/AAAAFQEAAAsAAAAA&#10;AAAAAAAAAAAAHwEAAF9yZWxzLy5yZWxzUEsBAi0AFAAGAAgAAAAhAKuqjwDBAAAA2wAAAA8AAAAA&#10;AAAAAAAAAAAABwIAAGRycy9kb3ducmV2LnhtbFBLBQYAAAAAAwADALcAAAD1AgAAAAA=&#10;" strokecolor="windowText">
                      <v:stroke endarrow="block" joinstyle="miter"/>
                    </v:shape>
                    <v:rect id="Rectangle 18" o:spid="_x0000_s1037" style="position:absolute;left:30693;top:3605;width:20030;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O7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AFVn6RAfT6FwAA//8DAFBLAQItABQABgAIAAAAIQDb4fbL7gAAAIUBAAATAAAAAAAAAAAA&#10;AAAAAAAAAABbQ29udGVudF9UeXBlc10ueG1sUEsBAi0AFAAGAAgAAAAhAFr0LFu/AAAAFQEAAAsA&#10;AAAAAAAAAAAAAAAAHwEAAF9yZWxzLy5yZWxzUEsBAi0AFAAGAAgAAAAhANliQ7vEAAAA2wAAAA8A&#10;AAAAAAAAAAAAAAAABwIAAGRycy9kb3ducmV2LnhtbFBLBQYAAAAAAwADALcAAAD4AgAAAAA=&#10;" fillcolor="white [3201]" strokecolor="black [3213]">
                      <v:textbox>
                        <w:txbxContent>
                          <w:p w14:paraId="2BA2793F"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v:textbox>
                    </v:rect>
                    <v:shape id="Straight Arrow Connector 19" o:spid="_x0000_s1038" type="#_x0000_t32" style="position:absolute;left:18573;top:7861;width:12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4CwwAAANsAAAAPAAAAZHJzL2Rvd25yZXYueG1sRI9Ba8Mw&#10;DIXvg/0Ho8Fuq7My1jSLW8ZKYadB0xxyFLGamMRyiN00/fd1YdCbxHt631O+nW0vJhq9cazgfZGA&#10;IK6dNtwoKI/7txSED8gae8ek4Eoetpvnpxwz7S58oKkIjYgh7DNU0IYwZFL6uiWLfuEG4qid3Ggx&#10;xHVspB7xEsNtL5dJ8iktGo6EFgf6aanuirO9c72pjrv0Y/23qooDn8vlVHVKvb7M318gAs3hYf6/&#10;/tWx/hruv8QB5OYGAAD//wMAUEsBAi0AFAAGAAgAAAAhANvh9svuAAAAhQEAABMAAAAAAAAAAAAA&#10;AAAAAAAAAFtDb250ZW50X1R5cGVzXS54bWxQSwECLQAUAAYACAAAACEAWvQsW78AAAAVAQAACwAA&#10;AAAAAAAAAAAAAAAfAQAAX3JlbHMvLnJlbHNQSwECLQAUAAYACAAAACEA2qCOAsMAAADbAAAADwAA&#10;AAAAAAAAAAAAAAAHAgAAZHJzL2Rvd25yZXYueG1sUEsFBgAAAAADAAMAtwAAAPcCAAAAAA==&#10;" strokecolor="black [3200]">
                      <v:stroke endarrow="block" joinstyle="miter"/>
                    </v:shape>
                  </v:group>
                </v:group>
                <v:shape id="Straight Arrow Connector 25" o:spid="_x0000_s1039" type="#_x0000_t32" style="position:absolute;left:16078;top:18440;width:4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E7xQAAANsAAAAPAAAAZHJzL2Rvd25yZXYueG1sRI9PawIx&#10;FMTvQr9DeAUvotkqF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Az1BE7xQAAANsAAAAP&#10;AAAAAAAAAAAAAAAAAAcCAABkcnMvZG93bnJldi54bWxQSwUGAAAAAAMAAwC3AAAA+QIAAAAA&#10;" strokecolor="windowText" strokeweight=".5pt">
                  <v:stroke endarrow="block" joinstyle="miter"/>
                </v:shape>
                <v:rect id="Rectangle 5" o:spid="_x0000_s1040" style="position:absolute;top:22308;width:17329;height:2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tMvgAAANoAAAAPAAAAZHJzL2Rvd25yZXYueG1sRI9Bi8Iw&#10;FITvC/6H8ARv29SCItUoRRG8Vr14ezTPtti81CRq/fdGWNjjMDPfMKvNYDrxJOdbywqmSQqCuLK6&#10;5VrB+bT/XYDwAVljZ5kUvMnDZj36WWGu7YtLeh5DLSKEfY4KmhD6XEpfNWTQJ7Ynjt7VOoMhSldL&#10;7fAV4aaTWZrOpcGW40KDPW0bqm7Hh1Gw64rpxd65wEMo73XrsnJwmVKT8VAsQQQawn/4r33QCmbw&#10;vRJvgFx/AAAA//8DAFBLAQItABQABgAIAAAAIQDb4fbL7gAAAIUBAAATAAAAAAAAAAAAAAAAAAAA&#10;AABbQ29udGVudF9UeXBlc10ueG1sUEsBAi0AFAAGAAgAAAAhAFr0LFu/AAAAFQEAAAsAAAAAAAAA&#10;AAAAAAAAHwEAAF9yZWxzLy5yZWxzUEsBAi0AFAAGAAgAAAAhAIYeq0y+AAAA2gAAAA8AAAAAAAAA&#10;AAAAAAAABwIAAGRycy9kb3ducmV2LnhtbFBLBQYAAAAAAwADALcAAADyAgAAAAA=&#10;" fillcolor="white [3201]" strokecolor="white [3212]" strokeweight="1pt">
                  <v:textbox>
                    <w:txbxContent>
                      <w:p w14:paraId="74523E0F"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v:textbox>
                </v:rect>
                <v:rect id="Rectangle 9" o:spid="_x0000_s1041" style="position:absolute;left:34061;top:13868;width:17329;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FJvgAAANoAAAAPAAAAZHJzL2Rvd25yZXYueG1sRI9Bi8Iw&#10;FITvC/6H8ARv29QeRKtRiiJ4rXrx9miebbF5qUnU+u+NsLDHYWa+YVabwXTiSc63lhVMkxQEcWV1&#10;y7WC82n/OwfhA7LGzjIpeJOHzXr0s8Jc2xeX9DyGWkQI+xwVNCH0uZS+asigT2xPHL2rdQZDlK6W&#10;2uErwk0nszSdSYMtx4UGe9o2VN2OD6Ng1xXTi71zgYdQ3uvWZeXgMqUm46FYggg0hP/wX/ugFSzg&#10;eyXeALn+AAAA//8DAFBLAQItABQABgAIAAAAIQDb4fbL7gAAAIUBAAATAAAAAAAAAAAAAAAAAAAA&#10;AABbQ29udGVudF9UeXBlc10ueG1sUEsBAi0AFAAGAAgAAAAhAFr0LFu/AAAAFQEAAAsAAAAAAAAA&#10;AAAAAAAAHwEAAF9yZWxzLy5yZWxzUEsBAi0AFAAGAAgAAAAhAAdToUm+AAAA2gAAAA8AAAAAAAAA&#10;AAAAAAAABwIAAGRycy9kb3ducmV2LnhtbFBLBQYAAAAAAwADALcAAADyAgAAAAA=&#10;" fillcolor="white [3201]" strokecolor="white [3212]" strokeweight="1pt">
                  <v:textbox>
                    <w:txbxContent>
                      <w:p w14:paraId="1223C894"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v:textbox>
                </v:rect>
                <w10:wrap type="topAndBottom" anchorx="margin"/>
              </v:group>
            </w:pict>
          </mc:Fallback>
        </mc:AlternateContent>
      </w:r>
    </w:p>
    <w:p w14:paraId="1D98D03E" w14:textId="6691D2BB" w:rsidR="00C27914" w:rsidRDefault="00C27914" w:rsidP="00B956CE">
      <w:pPr>
        <w:spacing w:after="0" w:line="360" w:lineRule="auto"/>
        <w:ind w:left="10"/>
        <w:rPr>
          <w:rFonts w:ascii="Times New Roman" w:hAnsi="Times New Roman" w:cs="Times New Roman"/>
          <w:color w:val="000000" w:themeColor="text1"/>
        </w:rPr>
      </w:pPr>
      <w:r w:rsidRPr="00C27914">
        <w:rPr>
          <w:rFonts w:ascii="Times New Roman" w:hAnsi="Times New Roman" w:cs="Times New Roman"/>
          <w:color w:val="000000" w:themeColor="text1"/>
        </w:rPr>
        <w:t>Source: Author's conceptualization</w:t>
      </w:r>
    </w:p>
    <w:p w14:paraId="11EC62B3" w14:textId="78C1C14A" w:rsidR="00395FE8" w:rsidRPr="00395FE8" w:rsidRDefault="00B956CE" w:rsidP="00395FE8">
      <w:pPr>
        <w:spacing w:after="0" w:line="360" w:lineRule="auto"/>
        <w:ind w:left="10"/>
        <w:rPr>
          <w:rFonts w:ascii="Times New Roman" w:hAnsi="Times New Roman" w:cs="Times New Roman"/>
          <w:color w:val="000000" w:themeColor="text1"/>
        </w:rPr>
      </w:pPr>
      <w:r w:rsidRPr="00530B02">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648BA1" wp14:editId="654D5AAE">
                <wp:simplePos x="0" y="0"/>
                <wp:positionH relativeFrom="column">
                  <wp:posOffset>2523490</wp:posOffset>
                </wp:positionH>
                <wp:positionV relativeFrom="paragraph">
                  <wp:posOffset>2752323</wp:posOffset>
                </wp:positionV>
                <wp:extent cx="19935" cy="11211"/>
                <wp:effectExtent l="0" t="0" r="37465" b="27305"/>
                <wp:wrapNone/>
                <wp:docPr id="26" name="Straight Connector 26"/>
                <wp:cNvGraphicFramePr/>
                <a:graphic xmlns:a="http://schemas.openxmlformats.org/drawingml/2006/main">
                  <a:graphicData uri="http://schemas.microsoft.com/office/word/2010/wordprocessingShape">
                    <wps:wsp>
                      <wps:cNvCnPr/>
                      <wps:spPr>
                        <a:xfrm flipV="1">
                          <a:off x="0" y="0"/>
                          <a:ext cx="19935" cy="112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66D" id="Straight Connector 2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8.7pt,216.7pt" to="200.2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sowEAAKADAAAOAAAAZHJzL2Uyb0RvYy54bWysU01r3DAQvQf6H4TuXdsbUhqz3hwS0kto&#10;Q5v0rsijtUBfSOra++87Gu86pS2EhFyEpJn3Zt7TaHM1WcP2EJP2ruPNquYMnPS9druOPz7cfvzM&#10;WcrC9cJ4Bx0/QOJX2w9nmzG0sPaDNz1EhiQutWPo+JBzaKsqyQGsSCsfwGFQ+WhFxmPcVX0UI7Jb&#10;U63r+lM1+tiH6CWkhLc3c5BviV8pkPmbUgkyMx3H3jKtkdanslbbjWh3UYRBy2Mb4g1dWKEdFl2o&#10;bkQW7FfU/1BZLaNPXuWV9LbySmkJpAHVNPVfan4MIgBpQXNSWGxK70crv+6v3X1EG8aQ2hTuY1Ex&#10;qWiZMjr8xDclXdgpm8i2w2IbTJlJvGwuL88vOJMYaZp10xRTq5mkkIWY8hfwlpVNx412RZNoxf4u&#10;5Tn1lIK45zZolw8GSrJx30Ex3ZdyhKYJgWsT2V7g2wopweVTacouMKWNWYD1y8BjfoECTc9rwAuC&#10;KnuXF7DVzsf/Vc/TqWU1558cmHUXC558f6AHImtwDMjc48iWOfvzTPDnj7X9DQAA//8DAFBLAwQU&#10;AAYACAAAACEAddhQr+EAAAALAQAADwAAAGRycy9kb3ducmV2LnhtbEyPy07DMBBF90j8gzVIbBC1&#10;SVIeIU6FELAoqxaQYDeJhyRqPI5iNw1/j7uC3TyO7pwpVrPtxUSj7xxruFooEMS1Mx03Gt7fni9v&#10;QfiAbLB3TBp+yMOqPD0pMDfuwBuatqERMYR9jhraEIZcSl+3ZNEv3EAcd99utBhiOzbSjHiI4baX&#10;iVLX0mLH8UKLAz22VO+2e6vhyzv/9LGuppfdZj3jxWtIPmuj9fnZ/HAPItAc/mA46kd1KKNT5fZs&#10;vOg1pHc3WUQ1ZGkai0hkSi1BVMfJMgFZFvL/D+UvAAAA//8DAFBLAQItABQABgAIAAAAIQC2gziS&#10;/gAAAOEBAAATAAAAAAAAAAAAAAAAAAAAAABbQ29udGVudF9UeXBlc10ueG1sUEsBAi0AFAAGAAgA&#10;AAAhADj9If/WAAAAlAEAAAsAAAAAAAAAAAAAAAAALwEAAF9yZWxzLy5yZWxzUEsBAi0AFAAGAAgA&#10;AAAhAAmtLOyjAQAAoAMAAA4AAAAAAAAAAAAAAAAALgIAAGRycy9lMm9Eb2MueG1sUEsBAi0AFAAG&#10;AAgAAAAhAHXYUK/hAAAACwEAAA8AAAAAAAAAAAAAAAAA/QMAAGRycy9kb3ducmV2LnhtbFBLBQYA&#10;AAAABAAEAPMAAAALBQAAAAA=&#10;" strokecolor="#4472c4 [3204]" strokeweight=".5pt">
                <v:stroke joinstyle="miter"/>
              </v:line>
            </w:pict>
          </mc:Fallback>
        </mc:AlternateContent>
      </w:r>
      <w:bookmarkStart w:id="0" w:name="_Toc106158321"/>
      <w:r w:rsidRPr="00530B02">
        <w:rPr>
          <w:rFonts w:ascii="Times New Roman" w:hAnsi="Times New Roman" w:cs="Times New Roman"/>
          <w:color w:val="000000" w:themeColor="text1"/>
        </w:rPr>
        <w:t xml:space="preserve">Figure </w:t>
      </w:r>
      <w:r w:rsidRPr="00530B02">
        <w:rPr>
          <w:rFonts w:ascii="Times New Roman" w:hAnsi="Times New Roman" w:cs="Times New Roman"/>
          <w:color w:val="000000" w:themeColor="text1"/>
        </w:rPr>
        <w:fldChar w:fldCharType="begin"/>
      </w:r>
      <w:r w:rsidRPr="00530B02">
        <w:rPr>
          <w:rFonts w:ascii="Times New Roman" w:hAnsi="Times New Roman" w:cs="Times New Roman"/>
          <w:color w:val="000000" w:themeColor="text1"/>
        </w:rPr>
        <w:instrText xml:space="preserve"> SEQ Figure \* ARABIC </w:instrText>
      </w:r>
      <w:r w:rsidRPr="00530B02">
        <w:rPr>
          <w:rFonts w:ascii="Times New Roman" w:hAnsi="Times New Roman" w:cs="Times New Roman"/>
          <w:color w:val="000000" w:themeColor="text1"/>
        </w:rPr>
        <w:fldChar w:fldCharType="separate"/>
      </w:r>
      <w:r w:rsidRPr="00530B02">
        <w:rPr>
          <w:rFonts w:ascii="Times New Roman" w:hAnsi="Times New Roman" w:cs="Times New Roman"/>
          <w:noProof/>
          <w:color w:val="000000" w:themeColor="text1"/>
        </w:rPr>
        <w:t>1</w:t>
      </w:r>
      <w:r w:rsidRPr="00530B02">
        <w:rPr>
          <w:rFonts w:ascii="Times New Roman" w:hAnsi="Times New Roman" w:cs="Times New Roman"/>
          <w:color w:val="000000" w:themeColor="text1"/>
        </w:rPr>
        <w:fldChar w:fldCharType="end"/>
      </w:r>
      <w:r w:rsidRPr="00530B02">
        <w:rPr>
          <w:rFonts w:ascii="Times New Roman" w:hAnsi="Times New Roman" w:cs="Times New Roman"/>
          <w:color w:val="000000" w:themeColor="text1"/>
        </w:rPr>
        <w:t>. Hypothesized Link between the predictor variables and predicted variable</w:t>
      </w:r>
      <w:bookmarkEnd w:id="0"/>
    </w:p>
    <w:p w14:paraId="68B51F5C" w14:textId="56A4F8DF" w:rsidR="001F0F12" w:rsidRPr="00734744" w:rsidRDefault="001F0F12" w:rsidP="001F0F12">
      <w:pPr>
        <w:jc w:val="both"/>
        <w:rPr>
          <w:rFonts w:ascii="Times New Roman" w:hAnsi="Times New Roman" w:cs="Times New Roman"/>
          <w:b/>
          <w:bCs/>
        </w:rPr>
      </w:pPr>
      <w:r w:rsidRPr="00734744">
        <w:rPr>
          <w:rFonts w:ascii="Times New Roman" w:hAnsi="Times New Roman" w:cs="Times New Roman"/>
          <w:b/>
          <w:bCs/>
        </w:rPr>
        <w:lastRenderedPageBreak/>
        <w:t>2.</w:t>
      </w:r>
      <w:r w:rsidR="00530B02">
        <w:rPr>
          <w:rFonts w:ascii="Times New Roman" w:hAnsi="Times New Roman" w:cs="Times New Roman"/>
          <w:b/>
          <w:bCs/>
        </w:rPr>
        <w:t>3</w:t>
      </w:r>
      <w:r w:rsidRPr="00734744">
        <w:rPr>
          <w:rFonts w:ascii="Times New Roman" w:hAnsi="Times New Roman" w:cs="Times New Roman"/>
          <w:b/>
          <w:bCs/>
        </w:rPr>
        <w:t xml:space="preserve"> Empirical Review</w:t>
      </w:r>
    </w:p>
    <w:p w14:paraId="0781056F" w14:textId="438FD328"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.1 Interest Rate and Foreign Direct Investment</w:t>
      </w:r>
    </w:p>
    <w:p w14:paraId="7BBA3435"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The empirical literature presents varying evidence concerning the relationship between interest rates and FDI. The thesis reports evidence of both positive and negative relationships depending on the country and study period. Studies examining Kenya have particularly identified interest rates as an important macroeconomic factor influencing FDI.</w:t>
      </w:r>
    </w:p>
    <w:p w14:paraId="34242AC5" w14:textId="77777777" w:rsidR="00226E13" w:rsidRPr="00734744" w:rsidRDefault="00226E13" w:rsidP="00226E13">
      <w:pPr>
        <w:spacing w:after="0"/>
        <w:jc w:val="both"/>
        <w:rPr>
          <w:rFonts w:ascii="Times New Roman" w:hAnsi="Times New Roman" w:cs="Times New Roman"/>
        </w:rPr>
      </w:pPr>
    </w:p>
    <w:p w14:paraId="3171E0FF"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Karau and Ng’ang’a (2019), for example, examined the effects of selected macroeconomic variables on FDI using data covering 1970–2010. The study considered inflation, exchange rates, tax rates, interest rates and balance of payments and employed multiple linear regression. The findings indicated a positive association between interest rates and FDI, while inflation and tax rates were negatively associated with FDI. The study recommended maintaining a stable macroeconomic environment to improve FDI. </w:t>
      </w:r>
    </w:p>
    <w:p w14:paraId="78D16755" w14:textId="77777777" w:rsidR="001F0F12" w:rsidRDefault="001F0F12" w:rsidP="001F0F12">
      <w:pPr>
        <w:jc w:val="both"/>
        <w:rPr>
          <w:rFonts w:ascii="Times New Roman" w:hAnsi="Times New Roman" w:cs="Times New Roman"/>
        </w:rPr>
      </w:pPr>
      <w:r w:rsidRPr="00734744">
        <w:rPr>
          <w:rFonts w:ascii="Times New Roman" w:hAnsi="Times New Roman" w:cs="Times New Roman"/>
        </w:rPr>
        <w:t xml:space="preserve">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examined the effects of real interest rates, inflation, exchange rates and competitiveness on FDI in Kenya using annual time-series data for 1970–2016. Using ordinary least squares regression, the study found that real interest rates and exchange rates had significant negative effects on FDI, while inflation had an insignificant effect. </w:t>
      </w:r>
    </w:p>
    <w:p w14:paraId="737068C2" w14:textId="2B2E4421" w:rsidR="00DD7DC3" w:rsidRPr="00734744" w:rsidRDefault="00DD7DC3" w:rsidP="001F0F12">
      <w:pPr>
        <w:jc w:val="both"/>
        <w:rPr>
          <w:rFonts w:ascii="Times New Roman" w:hAnsi="Times New Roman" w:cs="Times New Roman"/>
        </w:rPr>
      </w:pPr>
      <w:r w:rsidRPr="00DD7DC3">
        <w:rPr>
          <w:rFonts w:ascii="Times New Roman" w:hAnsi="Times New Roman" w:cs="Times New Roman"/>
          <w:highlight w:val="yellow"/>
        </w:rPr>
        <w:t xml:space="preserve">Recent empirical literature further underscores the non-linear dynamics of interest rates on capital flows in developing regions. Kiprop and </w:t>
      </w:r>
      <w:proofErr w:type="spellStart"/>
      <w:r w:rsidRPr="00DD7DC3">
        <w:rPr>
          <w:rFonts w:ascii="Times New Roman" w:hAnsi="Times New Roman" w:cs="Times New Roman"/>
          <w:highlight w:val="yellow"/>
        </w:rPr>
        <w:t>Ndambiri</w:t>
      </w:r>
      <w:proofErr w:type="spellEnd"/>
      <w:r w:rsidRPr="00DD7DC3">
        <w:rPr>
          <w:rFonts w:ascii="Times New Roman" w:hAnsi="Times New Roman" w:cs="Times New Roman"/>
          <w:highlight w:val="yellow"/>
        </w:rPr>
        <w:t xml:space="preserve"> (2022) examined macroeconomic instability and foreign capital flows across the East African Community (EAC) using panel cointegration models (2000–2020). They established that high real interest rates increase borrowing costs for foreign investors requiring local leverage, thereby exerting a net negative drag on structural FDI inward stock. Similarly, Nyongesa (2023) investigated monetary policy transmission mechanisms on external private financial flows in Kenya (2005–2022) using an ARDL framework, finding that while high-interest rate differentials initially attract short-term portfolio capital, they significantly deter long-term FDI due to heightened cost-of-capital concerns.</w:t>
      </w:r>
    </w:p>
    <w:p w14:paraId="147619C6"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These findings demonstrate that the relationship between interest rates and FDI is not uniform and provide justification for further investigation using a longer Kenyan time series and a time-series model capable of examining both short-run and long-run relationships.</w:t>
      </w:r>
    </w:p>
    <w:p w14:paraId="11C77801" w14:textId="65B145EE"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.2 Inflation and Foreign Direct Investment</w:t>
      </w:r>
    </w:p>
    <w:p w14:paraId="1B2B9549" w14:textId="691A60D8" w:rsidR="001F0F12" w:rsidRPr="00734744" w:rsidRDefault="001F0F12" w:rsidP="00226E13">
      <w:pPr>
        <w:spacing w:after="0"/>
        <w:jc w:val="both"/>
        <w:rPr>
          <w:rFonts w:ascii="Times New Roman" w:hAnsi="Times New Roman" w:cs="Times New Roman"/>
        </w:rPr>
      </w:pPr>
      <w:r w:rsidRPr="00734744">
        <w:rPr>
          <w:rFonts w:ascii="Times New Roman" w:hAnsi="Times New Roman" w:cs="Times New Roman"/>
        </w:rPr>
        <w:t>Inflation can influence FDI through its effects on purchasing power, production costs, expected returns and economic uncertainty. The empirical evidence reviewed in the thesis, however, produces mixed results.</w:t>
      </w:r>
      <w:r w:rsidR="00CD3D5D">
        <w:rPr>
          <w:rFonts w:ascii="Times New Roman" w:hAnsi="Times New Roman" w:cs="Times New Roman"/>
        </w:rPr>
        <w:t xml:space="preserve"> </w:t>
      </w:r>
      <w:proofErr w:type="spellStart"/>
      <w:r w:rsidRPr="00734744">
        <w:rPr>
          <w:rFonts w:ascii="Times New Roman" w:hAnsi="Times New Roman" w:cs="Times New Roman"/>
        </w:rPr>
        <w:t>Alshamsi</w:t>
      </w:r>
      <w:proofErr w:type="spellEnd"/>
      <w:r w:rsidRPr="00734744">
        <w:rPr>
          <w:rFonts w:ascii="Times New Roman" w:hAnsi="Times New Roman" w:cs="Times New Roman"/>
        </w:rPr>
        <w:t xml:space="preserve"> et al. (2015) examined FDI in the United Arab Emirates using inflation and per capita economic growth as explanatory variables. Using an Autoregressive Distributed Lag model and data covering 1980–2013, the study found that inflation did not significantly affect FDI. </w:t>
      </w:r>
    </w:p>
    <w:p w14:paraId="720ACB5D"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lastRenderedPageBreak/>
        <w:t xml:space="preserve">Mansoor and Bibi (2018), using data for Pakistan covering 1980–2016, examined the relationship among financial growth, exchange rates, FDI and inflation. Their ARDL analysis found a weak short-run association between inflation and FDI. </w:t>
      </w:r>
    </w:p>
    <w:p w14:paraId="5D363D40" w14:textId="345B9C4E" w:rsidR="00DD7DC3" w:rsidRDefault="001F0F12" w:rsidP="001F0F12">
      <w:pPr>
        <w:jc w:val="both"/>
        <w:rPr>
          <w:rFonts w:ascii="Times New Roman" w:hAnsi="Times New Roman" w:cs="Times New Roman"/>
        </w:rPr>
      </w:pPr>
      <w:r w:rsidRPr="00734744">
        <w:rPr>
          <w:rFonts w:ascii="Times New Roman" w:hAnsi="Times New Roman" w:cs="Times New Roman"/>
        </w:rPr>
        <w:t xml:space="preserve">In Kenya, Nduati (2018) used OLS to examine the effect of inflation on FDI using time-series data covering 2008–2017. The study found that increasing inflation reduced FDI. However, the relatively short study period limited the extent to which the findings could capture long-term dynamics. Karau and Ng’ang’a (2019) similarly found an undesirable relationship between inflation and FDI in Kenya. </w:t>
      </w:r>
    </w:p>
    <w:p w14:paraId="07A732FC" w14:textId="07FF7A6C" w:rsidR="00DD7DC3" w:rsidRDefault="00DD7DC3" w:rsidP="001F0F12">
      <w:pPr>
        <w:jc w:val="both"/>
        <w:rPr>
          <w:rFonts w:ascii="Times New Roman" w:hAnsi="Times New Roman" w:cs="Times New Roman"/>
        </w:rPr>
      </w:pPr>
      <w:r w:rsidRPr="00DD7DC3">
        <w:rPr>
          <w:rFonts w:ascii="Times New Roman" w:hAnsi="Times New Roman" w:cs="Times New Roman"/>
          <w:highlight w:val="yellow"/>
        </w:rPr>
        <w:t>Expanding on these findings, World Bank (2023) macroeconomic assessments for Sub-Saharan Africa demonstrated that persistent post-pandemic inflation eroded investor confidence across East Africa by increasing operational input volatility and real exchange rate uncertainty. Furthermore, Maina and Kimani (2022) utilized a Vector Error Correction Model (VECM) on Kenyan annual data (1990–2021) and concluded that chronic consumer price inflation exerts a statistically significant long-run negative impact on inbound FDI, confirming that macroeconomic price stability remains a primary anchor for foreign capital retention.</w:t>
      </w:r>
    </w:p>
    <w:p w14:paraId="665BA4DE" w14:textId="04D8AE66" w:rsidR="001F0F12" w:rsidRPr="00734744" w:rsidRDefault="001F0F12" w:rsidP="001F0F12">
      <w:pPr>
        <w:jc w:val="both"/>
        <w:rPr>
          <w:rFonts w:ascii="Times New Roman" w:hAnsi="Times New Roman" w:cs="Times New Roman"/>
        </w:rPr>
      </w:pPr>
      <w:r w:rsidRPr="00734744">
        <w:rPr>
          <w:rFonts w:ascii="Times New Roman" w:hAnsi="Times New Roman" w:cs="Times New Roman"/>
        </w:rPr>
        <w:t>The differences in findings across studies indicate the need for additional evidence based on a longer time series.</w:t>
      </w:r>
    </w:p>
    <w:p w14:paraId="64D0CDAF" w14:textId="662511F7"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.3 Economic Growth and Foreign Direct Investment</w:t>
      </w:r>
    </w:p>
    <w:p w14:paraId="396FA823"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Economic growth and FDI may influence each other through market expansion, capital accumulation, productivity and technological spillovers. The studies reviewed in the thesis generally indicate an association between economic growth and FDI, although the direction and strength of the relationship vary across countries.</w:t>
      </w:r>
    </w:p>
    <w:p w14:paraId="5D053AB7" w14:textId="77777777" w:rsidR="00226E13" w:rsidRPr="00734744" w:rsidRDefault="00226E13" w:rsidP="00226E13">
      <w:pPr>
        <w:spacing w:after="0"/>
        <w:jc w:val="both"/>
        <w:rPr>
          <w:rFonts w:ascii="Times New Roman" w:hAnsi="Times New Roman" w:cs="Times New Roman"/>
        </w:rPr>
      </w:pPr>
    </w:p>
    <w:p w14:paraId="0B922055" w14:textId="77777777" w:rsidR="001F0F12" w:rsidRPr="00734744" w:rsidRDefault="001F0F12" w:rsidP="001F0F12">
      <w:pPr>
        <w:jc w:val="both"/>
        <w:rPr>
          <w:rFonts w:ascii="Times New Roman" w:hAnsi="Times New Roman" w:cs="Times New Roman"/>
        </w:rPr>
      </w:pPr>
      <w:proofErr w:type="spellStart"/>
      <w:r w:rsidRPr="00734744">
        <w:rPr>
          <w:rFonts w:ascii="Times New Roman" w:hAnsi="Times New Roman" w:cs="Times New Roman"/>
        </w:rPr>
        <w:t>GuechHeang</w:t>
      </w:r>
      <w:proofErr w:type="spellEnd"/>
      <w:r w:rsidRPr="00734744">
        <w:rPr>
          <w:rFonts w:ascii="Times New Roman" w:hAnsi="Times New Roman" w:cs="Times New Roman"/>
        </w:rPr>
        <w:t xml:space="preserve"> and </w:t>
      </w:r>
      <w:proofErr w:type="spellStart"/>
      <w:r w:rsidRPr="00734744">
        <w:rPr>
          <w:rFonts w:ascii="Times New Roman" w:hAnsi="Times New Roman" w:cs="Times New Roman"/>
        </w:rPr>
        <w:t>Moolio</w:t>
      </w:r>
      <w:proofErr w:type="spellEnd"/>
      <w:r w:rsidRPr="00734744">
        <w:rPr>
          <w:rFonts w:ascii="Times New Roman" w:hAnsi="Times New Roman" w:cs="Times New Roman"/>
        </w:rPr>
        <w:t xml:space="preserve"> (2013) examined the relationship between GDP and FDI in Cambodia using time-series data for 1993–2011. Simple regression analysis indicated a long-term relationship between economic development and FDI. </w:t>
      </w:r>
    </w:p>
    <w:p w14:paraId="7FEF19A4" w14:textId="4E3171DE"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Nosheen (2013) examined the effect of FDI on GDP in Pakistan using time-series data covering 1980–2010. Cointegration analysis indicated a </w:t>
      </w:r>
      <w:r w:rsidR="00280A29" w:rsidRPr="00734744">
        <w:rPr>
          <w:rFonts w:ascii="Times New Roman" w:hAnsi="Times New Roman" w:cs="Times New Roman"/>
        </w:rPr>
        <w:t>favourable</w:t>
      </w:r>
      <w:r w:rsidRPr="00734744">
        <w:rPr>
          <w:rFonts w:ascii="Times New Roman" w:hAnsi="Times New Roman" w:cs="Times New Roman"/>
        </w:rPr>
        <w:t xml:space="preserve"> long-term relationship between GDP and FDI. </w:t>
      </w:r>
    </w:p>
    <w:p w14:paraId="12B7B4B2" w14:textId="77777777" w:rsidR="001F0F12" w:rsidRPr="00734744" w:rsidRDefault="001F0F12" w:rsidP="001F0F12">
      <w:pPr>
        <w:jc w:val="both"/>
        <w:rPr>
          <w:rFonts w:ascii="Times New Roman" w:hAnsi="Times New Roman" w:cs="Times New Roman"/>
        </w:rPr>
      </w:pPr>
      <w:proofErr w:type="spellStart"/>
      <w:r w:rsidRPr="00734744">
        <w:rPr>
          <w:rFonts w:ascii="Times New Roman" w:hAnsi="Times New Roman" w:cs="Times New Roman"/>
        </w:rPr>
        <w:t>Koojaroenprasit</w:t>
      </w:r>
      <w:proofErr w:type="spellEnd"/>
      <w:r w:rsidRPr="00734744">
        <w:rPr>
          <w:rFonts w:ascii="Times New Roman" w:hAnsi="Times New Roman" w:cs="Times New Roman"/>
        </w:rPr>
        <w:t xml:space="preserve"> (2012) examined the impact of FDI on economic growth in Korea using panel data covering 1980–2009. The study found a positive relationship between FDI and GDP. </w:t>
      </w:r>
    </w:p>
    <w:p w14:paraId="2C9BDDEB" w14:textId="77777777" w:rsidR="001F0F12" w:rsidRDefault="001F0F12" w:rsidP="001F0F12">
      <w:pPr>
        <w:jc w:val="both"/>
        <w:rPr>
          <w:rFonts w:ascii="Times New Roman" w:hAnsi="Times New Roman" w:cs="Times New Roman"/>
        </w:rPr>
      </w:pPr>
      <w:r w:rsidRPr="00734744">
        <w:rPr>
          <w:rFonts w:ascii="Times New Roman" w:hAnsi="Times New Roman" w:cs="Times New Roman"/>
        </w:rPr>
        <w:t xml:space="preserve">In Kenya, </w:t>
      </w:r>
      <w:proofErr w:type="spellStart"/>
      <w:r w:rsidRPr="00734744">
        <w:rPr>
          <w:rFonts w:ascii="Times New Roman" w:hAnsi="Times New Roman" w:cs="Times New Roman"/>
        </w:rPr>
        <w:t>Wasseja</w:t>
      </w:r>
      <w:proofErr w:type="spellEnd"/>
      <w:r w:rsidRPr="00734744">
        <w:rPr>
          <w:rFonts w:ascii="Times New Roman" w:hAnsi="Times New Roman" w:cs="Times New Roman"/>
        </w:rPr>
        <w:t xml:space="preserve"> and Mwenda (2015) examined determinants of FDI using data from the 1980s to 2013 and an OLS model. The study found that the economic growth rate was a key factor influencing FDI inflows, while openness, inflation and exchange rates also significantly influenced FDI. </w:t>
      </w:r>
    </w:p>
    <w:p w14:paraId="795FB4B2" w14:textId="0FF2F23E" w:rsidR="005C2006" w:rsidRPr="00734744" w:rsidRDefault="005C2006" w:rsidP="001F0F12">
      <w:pPr>
        <w:jc w:val="both"/>
        <w:rPr>
          <w:rFonts w:ascii="Times New Roman" w:hAnsi="Times New Roman" w:cs="Times New Roman"/>
        </w:rPr>
      </w:pPr>
      <w:r w:rsidRPr="005C2006">
        <w:rPr>
          <w:rFonts w:ascii="Times New Roman" w:hAnsi="Times New Roman" w:cs="Times New Roman"/>
          <w:highlight w:val="yellow"/>
        </w:rPr>
        <w:lastRenderedPageBreak/>
        <w:t>Contemporary empirical studies continue to validate the market-seeking hypothesis in regional economic blocks. Mensah et al. (2022) conducted a panel ARDL investigation across 22 Sub-Saharan African economies (2000–2021) and confirmed a robust, bidirectional long-run causality between real GDP growth and aggregate FDI flows. Specifically in Kenya, Ochieng and Odhiambo (2023) evaluated output growth dynamics following major infrastructural expansions (2000–2022), finding that domestic economic expansion consistently acts as a positive predictor of net foreign capital inflow, reinforcing the market-size hypothesis in long-term estimation.</w:t>
      </w:r>
    </w:p>
    <w:p w14:paraId="729D3E42" w14:textId="25CEB105"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3</w:t>
      </w:r>
      <w:r w:rsidRPr="00734744">
        <w:rPr>
          <w:rFonts w:ascii="Times New Roman" w:hAnsi="Times New Roman" w:cs="Times New Roman"/>
          <w:b/>
          <w:bCs/>
        </w:rPr>
        <w:t>.4 Exchange Rate and Foreign Direct Investment</w:t>
      </w:r>
    </w:p>
    <w:p w14:paraId="156A6B88" w14:textId="77777777" w:rsidR="001F0F12" w:rsidRDefault="001F0F12" w:rsidP="00226E13">
      <w:pPr>
        <w:spacing w:after="0"/>
        <w:jc w:val="both"/>
        <w:rPr>
          <w:rFonts w:ascii="Times New Roman" w:hAnsi="Times New Roman" w:cs="Times New Roman"/>
        </w:rPr>
      </w:pPr>
      <w:r w:rsidRPr="00734744">
        <w:rPr>
          <w:rFonts w:ascii="Times New Roman" w:hAnsi="Times New Roman" w:cs="Times New Roman"/>
        </w:rPr>
        <w:t>Exchange-rate movements can influence FDI by affecting production costs, investment returns and the relative attractiveness of host-country assets. However, empirical evidence concerning the direction of this relationship is mixed.</w:t>
      </w:r>
    </w:p>
    <w:p w14:paraId="177E5BA5" w14:textId="77777777" w:rsidR="00226E13" w:rsidRPr="00734744" w:rsidRDefault="00226E13" w:rsidP="00226E13">
      <w:pPr>
        <w:spacing w:after="0"/>
        <w:jc w:val="both"/>
        <w:rPr>
          <w:rFonts w:ascii="Times New Roman" w:hAnsi="Times New Roman" w:cs="Times New Roman"/>
        </w:rPr>
      </w:pPr>
    </w:p>
    <w:p w14:paraId="2EABF622"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Omondi and Muturi (2013) examined exchange-rate volatility and FDI in Kenya using time-series data covering 1981–2010. Using Pearson correlation analysis, the study found some evidence of a positive association between FDI and exchange-rate volatility. </w:t>
      </w:r>
    </w:p>
    <w:p w14:paraId="160E32E6" w14:textId="222EF4C8" w:rsidR="001F0F12" w:rsidRPr="00734744" w:rsidRDefault="00280A29" w:rsidP="001F0F12">
      <w:pPr>
        <w:jc w:val="both"/>
        <w:rPr>
          <w:rFonts w:ascii="Times New Roman" w:hAnsi="Times New Roman" w:cs="Times New Roman"/>
        </w:rPr>
      </w:pPr>
      <w:r w:rsidRPr="00280A29">
        <w:rPr>
          <w:rFonts w:ascii="Times New Roman" w:hAnsi="Times New Roman" w:cs="Times New Roman"/>
          <w:color w:val="000000" w:themeColor="text1"/>
        </w:rPr>
        <w:t>Vincent</w:t>
      </w:r>
      <w:r>
        <w:rPr>
          <w:rFonts w:ascii="Times New Roman" w:hAnsi="Times New Roman" w:cs="Times New Roman"/>
          <w:color w:val="000000" w:themeColor="text1"/>
        </w:rPr>
        <w:t xml:space="preserve"> et al. (2017)</w:t>
      </w:r>
      <w:r w:rsidR="001F0F12" w:rsidRPr="00734744">
        <w:rPr>
          <w:rFonts w:ascii="Times New Roman" w:hAnsi="Times New Roman" w:cs="Times New Roman"/>
        </w:rPr>
        <w:t xml:space="preserve"> examined the relationship among inflation, exchange rates, FDI and economic development in Nigeria using a 30-year period and linear regression analysis. The study found that exchange rates affected FDI, although inflation had little effect. </w:t>
      </w:r>
    </w:p>
    <w:p w14:paraId="39C34C0A" w14:textId="77777777" w:rsidR="001F0F12" w:rsidRPr="00734744" w:rsidRDefault="001F0F12" w:rsidP="001F0F12">
      <w:pPr>
        <w:jc w:val="both"/>
        <w:rPr>
          <w:rFonts w:ascii="Times New Roman" w:hAnsi="Times New Roman" w:cs="Times New Roman"/>
        </w:rPr>
      </w:pPr>
      <w:r w:rsidRPr="00734744">
        <w:rPr>
          <w:rFonts w:ascii="Times New Roman" w:hAnsi="Times New Roman" w:cs="Times New Roman"/>
        </w:rPr>
        <w:t xml:space="preserve">Latief and </w:t>
      </w:r>
      <w:proofErr w:type="spellStart"/>
      <w:r w:rsidRPr="00734744">
        <w:rPr>
          <w:rFonts w:ascii="Times New Roman" w:hAnsi="Times New Roman" w:cs="Times New Roman"/>
        </w:rPr>
        <w:t>Lefen</w:t>
      </w:r>
      <w:proofErr w:type="spellEnd"/>
      <w:r w:rsidRPr="00734744">
        <w:rPr>
          <w:rFonts w:ascii="Times New Roman" w:hAnsi="Times New Roman" w:cs="Times New Roman"/>
        </w:rPr>
        <w:t xml:space="preserve"> (2018) investigated exchange-rate volatility, international trade and FDI in seven developing countries using panel data for 1995–2016. Their findings indicated that exchange-rate instability significantly affected FDI and international trade, with a negative effect in the countries associated with the Belt and Road initiative. </w:t>
      </w:r>
    </w:p>
    <w:p w14:paraId="4DEF9546" w14:textId="0CA98358" w:rsidR="001F0F12" w:rsidRDefault="001F0F12" w:rsidP="001F0F12">
      <w:pPr>
        <w:jc w:val="both"/>
        <w:rPr>
          <w:rFonts w:ascii="Times New Roman" w:hAnsi="Times New Roman" w:cs="Times New Roman"/>
        </w:rPr>
      </w:pPr>
      <w:r w:rsidRPr="00734744">
        <w:rPr>
          <w:rFonts w:ascii="Times New Roman" w:hAnsi="Times New Roman" w:cs="Times New Roman"/>
        </w:rPr>
        <w:t xml:space="preserve">Musyoka and </w:t>
      </w:r>
      <w:proofErr w:type="spellStart"/>
      <w:r w:rsidRPr="00734744">
        <w:rPr>
          <w:rFonts w:ascii="Times New Roman" w:hAnsi="Times New Roman" w:cs="Times New Roman"/>
        </w:rPr>
        <w:t>Ocharo</w:t>
      </w:r>
      <w:proofErr w:type="spellEnd"/>
      <w:r w:rsidRPr="00734744">
        <w:rPr>
          <w:rFonts w:ascii="Times New Roman" w:hAnsi="Times New Roman" w:cs="Times New Roman"/>
        </w:rPr>
        <w:t xml:space="preserve"> (2018) found that exchange rates had a significant negative effect on FDI in Kenya. Meftah and Nassour (2019), examining Turkey using data from 1974–2017 and a VECM, found a long-term causal relationship between exchange rates, inflation and FDI, although no factors had an immediate effect on FDI. </w:t>
      </w:r>
    </w:p>
    <w:p w14:paraId="5658F82E" w14:textId="76805A37" w:rsidR="005C2006" w:rsidRPr="00734744" w:rsidRDefault="005C2006" w:rsidP="001F0F12">
      <w:pPr>
        <w:jc w:val="both"/>
        <w:rPr>
          <w:rFonts w:ascii="Times New Roman" w:hAnsi="Times New Roman" w:cs="Times New Roman"/>
        </w:rPr>
      </w:pPr>
      <w:r w:rsidRPr="005C2006">
        <w:rPr>
          <w:rFonts w:ascii="Times New Roman" w:hAnsi="Times New Roman" w:cs="Times New Roman"/>
          <w:highlight w:val="yellow"/>
        </w:rPr>
        <w:t xml:space="preserve">Recent post-2021 studies emphasize exchange rate stabilization as a prerequisite for mitigating exchange rate risk. Mwangi and Kamau (2022) investigated local currency depreciation dynamics against the USD in Kenya (1995–2021), demonstrating through GARCH and VECM estimations that continuous currency depreciation creates exchange rate uncertainty, which delays foreign capital commitments in non-resource sectors. Globally, </w:t>
      </w:r>
      <w:proofErr w:type="spellStart"/>
      <w:r w:rsidRPr="005C2006">
        <w:rPr>
          <w:rFonts w:ascii="Times New Roman" w:hAnsi="Times New Roman" w:cs="Times New Roman"/>
          <w:highlight w:val="yellow"/>
        </w:rPr>
        <w:t>Ajide</w:t>
      </w:r>
      <w:proofErr w:type="spellEnd"/>
      <w:r w:rsidRPr="005C2006">
        <w:rPr>
          <w:rFonts w:ascii="Times New Roman" w:hAnsi="Times New Roman" w:cs="Times New Roman"/>
          <w:highlight w:val="yellow"/>
        </w:rPr>
        <w:t xml:space="preserve"> et al. (2023) examined exchange rate volatility and inbound FDI in frontier African economies, confirming that exchange rate stability significantly outperforms currency undervaluation in attracting sustained multi-year FDI projects.</w:t>
      </w:r>
    </w:p>
    <w:p w14:paraId="7B3E8C6C" w14:textId="46F6F86A" w:rsidR="001F0F12" w:rsidRPr="00734744" w:rsidRDefault="001F0F12" w:rsidP="00226E13">
      <w:pPr>
        <w:spacing w:after="0"/>
        <w:jc w:val="both"/>
        <w:rPr>
          <w:rFonts w:ascii="Times New Roman" w:hAnsi="Times New Roman" w:cs="Times New Roman"/>
          <w:b/>
          <w:bCs/>
        </w:rPr>
      </w:pPr>
      <w:r w:rsidRPr="00734744">
        <w:rPr>
          <w:rFonts w:ascii="Times New Roman" w:hAnsi="Times New Roman" w:cs="Times New Roman"/>
          <w:b/>
          <w:bCs/>
        </w:rPr>
        <w:t>2.</w:t>
      </w:r>
      <w:r w:rsidR="00530B02">
        <w:rPr>
          <w:rFonts w:ascii="Times New Roman" w:hAnsi="Times New Roman" w:cs="Times New Roman"/>
          <w:b/>
          <w:bCs/>
        </w:rPr>
        <w:t>4</w:t>
      </w:r>
      <w:r w:rsidRPr="00734744">
        <w:rPr>
          <w:rFonts w:ascii="Times New Roman" w:hAnsi="Times New Roman" w:cs="Times New Roman"/>
          <w:b/>
          <w:bCs/>
        </w:rPr>
        <w:t xml:space="preserve"> Synthesis and Research Gap</w:t>
      </w:r>
    </w:p>
    <w:p w14:paraId="44FB09F4" w14:textId="77777777" w:rsidR="00A81C55" w:rsidRPr="00A81C55" w:rsidRDefault="00A81C55" w:rsidP="00A81C55">
      <w:pPr>
        <w:jc w:val="both"/>
        <w:rPr>
          <w:rFonts w:ascii="Times New Roman" w:hAnsi="Times New Roman" w:cs="Times New Roman"/>
          <w:highlight w:val="green"/>
          <w:lang w:val="en-US"/>
        </w:rPr>
      </w:pPr>
      <w:r w:rsidRPr="00A81C55">
        <w:rPr>
          <w:rFonts w:ascii="Times New Roman" w:hAnsi="Times New Roman" w:cs="Times New Roman"/>
          <w:highlight w:val="green"/>
          <w:lang w:val="en-US"/>
        </w:rPr>
        <w:t xml:space="preserve">The reviewed empirical evidence demonstrates that the relationship between selected macroeconomic variables and FDI is not consistent across countries or study periods. Interest rates have been found to have both positive and negative relationships with FDI; inflation has produced </w:t>
      </w:r>
      <w:r w:rsidRPr="00A81C55">
        <w:rPr>
          <w:rFonts w:ascii="Times New Roman" w:hAnsi="Times New Roman" w:cs="Times New Roman"/>
          <w:highlight w:val="green"/>
          <w:lang w:val="en-US"/>
        </w:rPr>
        <w:lastRenderedPageBreak/>
        <w:t xml:space="preserve">significant, insignificant, and weak relationships; economic growth has generally been associated with FDI but with differences in direction and causality; and exchange-rate effects have similarly varied across studies. </w:t>
      </w:r>
    </w:p>
    <w:p w14:paraId="6DB9B1E0" w14:textId="77777777" w:rsidR="00A81C55" w:rsidRPr="00A81C55" w:rsidRDefault="00A81C55" w:rsidP="00A81C55">
      <w:pPr>
        <w:jc w:val="both"/>
        <w:rPr>
          <w:rFonts w:ascii="Times New Roman" w:hAnsi="Times New Roman" w:cs="Times New Roman"/>
          <w:highlight w:val="green"/>
          <w:lang w:val="en-US"/>
        </w:rPr>
      </w:pPr>
      <w:r w:rsidRPr="00A81C55">
        <w:rPr>
          <w:rFonts w:ascii="Times New Roman" w:hAnsi="Times New Roman" w:cs="Times New Roman"/>
          <w:highlight w:val="green"/>
          <w:lang w:val="en-US"/>
        </w:rPr>
        <w:t xml:space="preserve">A further limitation of the reviewed studies is the relatively short study periods and differences in analytical approaches. Several Kenyan studies have relied on standard OLS or simple correlation analysis and have covered substantially shorter periods than the present study. For example, Nduati (2018) covered 2008–2017, while Musyoka and </w:t>
      </w:r>
      <w:proofErr w:type="spellStart"/>
      <w:r w:rsidRPr="00A81C55">
        <w:rPr>
          <w:rFonts w:ascii="Times New Roman" w:hAnsi="Times New Roman" w:cs="Times New Roman"/>
          <w:highlight w:val="green"/>
          <w:lang w:val="en-US"/>
        </w:rPr>
        <w:t>Ocharo</w:t>
      </w:r>
      <w:proofErr w:type="spellEnd"/>
      <w:r w:rsidRPr="00A81C55">
        <w:rPr>
          <w:rFonts w:ascii="Times New Roman" w:hAnsi="Times New Roman" w:cs="Times New Roman"/>
          <w:highlight w:val="green"/>
          <w:lang w:val="en-US"/>
        </w:rPr>
        <w:t xml:space="preserve"> (2018) covered 1970–2016. The present study extends the analysis to 1966–2019, providing 54 annual observations. </w:t>
      </w:r>
    </w:p>
    <w:p w14:paraId="07E9CF39" w14:textId="692DF46F" w:rsidR="00A81C55" w:rsidRPr="00A81C55" w:rsidRDefault="00A81C55" w:rsidP="00A81C55">
      <w:pPr>
        <w:jc w:val="both"/>
        <w:rPr>
          <w:rFonts w:ascii="Times New Roman" w:hAnsi="Times New Roman" w:cs="Times New Roman"/>
          <w:highlight w:val="green"/>
          <w:lang w:val="en-US"/>
        </w:rPr>
      </w:pPr>
      <w:r w:rsidRPr="00A81C55">
        <w:rPr>
          <w:rFonts w:ascii="Times New Roman" w:hAnsi="Times New Roman" w:cs="Times New Roman"/>
          <w:highlight w:val="green"/>
          <w:lang w:val="en-US"/>
        </w:rPr>
        <w:t xml:space="preserve">Methodological considerations also provide a strong rationale for this study. Whereas earlier literature frequently relied on basic regression methods or standard cointegration techniques like the Johansen Vector Error Correction Model (VECM), which strictly requires all variables to be integrated of the same order [I (1)] such models become invalid when variables exhibit mixed stationary profiles. The present study overcomes this analytical limitation by employing an Autoregressive Distributed Lag (ARDL) Bounds Testing and Error Correction Modeling framework. The ARDL approach efficiently accommodates a combination of I (0) and I (1) series, captures short-run dynamic adjustments alongside long-run equilibrium relationships, and accounts for exogenous structural shocks across a long temporal horizon. </w:t>
      </w:r>
    </w:p>
    <w:p w14:paraId="62A9B624" w14:textId="41AC45D3" w:rsidR="00B24BA0" w:rsidRPr="00B17D93" w:rsidRDefault="00A81C55" w:rsidP="001F0F12">
      <w:pPr>
        <w:jc w:val="both"/>
        <w:rPr>
          <w:rFonts w:ascii="Times New Roman" w:hAnsi="Times New Roman" w:cs="Times New Roman"/>
          <w:lang w:val="en-US"/>
        </w:rPr>
      </w:pPr>
      <w:r w:rsidRPr="00A81C55">
        <w:rPr>
          <w:rFonts w:ascii="Times New Roman" w:hAnsi="Times New Roman" w:cs="Times New Roman"/>
          <w:highlight w:val="green"/>
          <w:lang w:val="en-US"/>
        </w:rPr>
        <w:t>Consequently, this study addresses both the empirical and methodological gaps by examining the effects of real interest rate, inflation rate, economic growth, exchange rate, and structural disruptions on FDI in Kenya using a 54-year time series (1966–2019) within an ARDL bounds testing framework.</w:t>
      </w:r>
      <w:r w:rsidRPr="00A81C55">
        <w:rPr>
          <w:rFonts w:ascii="Times New Roman" w:hAnsi="Times New Roman" w:cs="Times New Roman"/>
          <w:lang w:val="en-US"/>
        </w:rPr>
        <w:t xml:space="preserve"> </w:t>
      </w:r>
    </w:p>
    <w:p w14:paraId="6B3B4CFB" w14:textId="77777777" w:rsidR="00B24BA0" w:rsidRPr="00734744" w:rsidRDefault="00B24BA0" w:rsidP="00B24BA0">
      <w:pPr>
        <w:jc w:val="both"/>
        <w:rPr>
          <w:rFonts w:ascii="Times New Roman" w:hAnsi="Times New Roman" w:cs="Times New Roman"/>
          <w:b/>
          <w:bCs/>
        </w:rPr>
      </w:pPr>
      <w:r w:rsidRPr="00734744">
        <w:rPr>
          <w:rFonts w:ascii="Times New Roman" w:hAnsi="Times New Roman" w:cs="Times New Roman"/>
          <w:b/>
          <w:bCs/>
        </w:rPr>
        <w:t>3. METHODOLOGY</w:t>
      </w:r>
    </w:p>
    <w:p w14:paraId="5D0536FD"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3.1 Research Design</w:t>
      </w:r>
    </w:p>
    <w:p w14:paraId="24CE3EB0" w14:textId="5E2080E3" w:rsidR="00321BDE" w:rsidRDefault="00B24BA0" w:rsidP="00226E13">
      <w:pPr>
        <w:spacing w:after="0"/>
        <w:jc w:val="both"/>
        <w:rPr>
          <w:rFonts w:ascii="Times New Roman" w:hAnsi="Times New Roman" w:cs="Times New Roman"/>
        </w:rPr>
      </w:pPr>
      <w:r w:rsidRPr="00734744">
        <w:rPr>
          <w:rFonts w:ascii="Times New Roman" w:hAnsi="Times New Roman" w:cs="Times New Roman"/>
        </w:rPr>
        <w:t xml:space="preserve">The study employed a causal and time-series research design to examine the relationship between selected macroeconomic variables and foreign direct investment (FDI) in Kenya. The causal design was appropriate for examining whether changes in the selected independent variables were associated with changes in FDI, while the time-series design was appropriate because the study </w:t>
      </w:r>
      <w:r w:rsidR="00226E13" w:rsidRPr="00734744">
        <w:rPr>
          <w:rFonts w:ascii="Times New Roman" w:hAnsi="Times New Roman" w:cs="Times New Roman"/>
        </w:rPr>
        <w:t>analysed</w:t>
      </w:r>
      <w:r w:rsidRPr="00734744">
        <w:rPr>
          <w:rFonts w:ascii="Times New Roman" w:hAnsi="Times New Roman" w:cs="Times New Roman"/>
        </w:rPr>
        <w:t xml:space="preserve"> observations recorded over a defined period (</w:t>
      </w:r>
      <w:proofErr w:type="spellStart"/>
      <w:r w:rsidRPr="00734744">
        <w:rPr>
          <w:rFonts w:ascii="Times New Roman" w:hAnsi="Times New Roman" w:cs="Times New Roman"/>
        </w:rPr>
        <w:t>Karvanen</w:t>
      </w:r>
      <w:proofErr w:type="spellEnd"/>
      <w:r w:rsidRPr="00734744">
        <w:rPr>
          <w:rFonts w:ascii="Times New Roman" w:hAnsi="Times New Roman" w:cs="Times New Roman"/>
        </w:rPr>
        <w:t xml:space="preserve">, 2014). </w:t>
      </w:r>
    </w:p>
    <w:p w14:paraId="428DCAA5" w14:textId="77777777" w:rsidR="00226E13" w:rsidRPr="00734744" w:rsidRDefault="00226E13" w:rsidP="00226E13">
      <w:pPr>
        <w:spacing w:after="0"/>
        <w:jc w:val="both"/>
        <w:rPr>
          <w:rFonts w:ascii="Times New Roman" w:hAnsi="Times New Roman" w:cs="Times New Roman"/>
        </w:rPr>
      </w:pPr>
    </w:p>
    <w:p w14:paraId="315F55FA"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3.2 Study Area, Population and Data</w:t>
      </w:r>
    </w:p>
    <w:p w14:paraId="3717D5EE" w14:textId="77777777" w:rsidR="00624BC2" w:rsidRPr="00624BC2" w:rsidRDefault="00624BC2" w:rsidP="00624BC2">
      <w:pPr>
        <w:jc w:val="both"/>
        <w:rPr>
          <w:rFonts w:ascii="Times New Roman" w:hAnsi="Times New Roman" w:cs="Times New Roman"/>
          <w:highlight w:val="green"/>
          <w:lang w:val="en-US"/>
        </w:rPr>
      </w:pPr>
      <w:r w:rsidRPr="00624BC2">
        <w:rPr>
          <w:rFonts w:ascii="Times New Roman" w:hAnsi="Times New Roman" w:cs="Times New Roman"/>
          <w:highlight w:val="green"/>
          <w:lang w:val="en-US"/>
        </w:rPr>
        <w:t>The study was conducted in Kenya and examined the influence of selected macroeconomic variables on FDI over the period 1966–2019. Kenya was considered appropriate because it is a major commercial hub in East Africa and has historically been an important destination for foreign direct investment (</w:t>
      </w:r>
      <w:proofErr w:type="spellStart"/>
      <w:r w:rsidRPr="00624BC2">
        <w:rPr>
          <w:rFonts w:ascii="Times New Roman" w:hAnsi="Times New Roman" w:cs="Times New Roman"/>
          <w:highlight w:val="green"/>
          <w:lang w:val="en-US"/>
        </w:rPr>
        <w:t>Gnangnon</w:t>
      </w:r>
      <w:proofErr w:type="spellEnd"/>
      <w:r w:rsidRPr="00624BC2">
        <w:rPr>
          <w:rFonts w:ascii="Times New Roman" w:hAnsi="Times New Roman" w:cs="Times New Roman"/>
          <w:highlight w:val="green"/>
          <w:lang w:val="en-US"/>
        </w:rPr>
        <w:t>, 2017).</w:t>
      </w:r>
    </w:p>
    <w:p w14:paraId="64F5115E" w14:textId="273E8C77" w:rsidR="00B32B63" w:rsidRDefault="00624BC2" w:rsidP="00624BC2">
      <w:pPr>
        <w:jc w:val="both"/>
        <w:rPr>
          <w:rFonts w:ascii="Times New Roman" w:hAnsi="Times New Roman" w:cs="Times New Roman"/>
          <w:highlight w:val="green"/>
          <w:lang w:val="en-US"/>
        </w:rPr>
      </w:pPr>
      <w:r w:rsidRPr="00624BC2">
        <w:rPr>
          <w:rFonts w:ascii="Times New Roman" w:hAnsi="Times New Roman" w:cs="Times New Roman"/>
          <w:highlight w:val="green"/>
          <w:lang w:val="en-US"/>
        </w:rPr>
        <w:t>The study population comprised annual observations of the variables of interest over the study period. The variables included real interest rate, inflation rate, economic growth, exchange rate and FDI inflows. The study used secondary time-series data covering 1966–2019.</w:t>
      </w:r>
    </w:p>
    <w:p w14:paraId="5A83A0FF" w14:textId="26C0FB82" w:rsidR="00B32B63" w:rsidRPr="00624BC2" w:rsidRDefault="00B32B63" w:rsidP="00624BC2">
      <w:pPr>
        <w:jc w:val="both"/>
        <w:rPr>
          <w:rFonts w:ascii="Times New Roman" w:hAnsi="Times New Roman" w:cs="Times New Roman"/>
          <w:highlight w:val="green"/>
          <w:lang w:val="en-US"/>
        </w:rPr>
      </w:pPr>
      <w:r w:rsidRPr="00B32B63">
        <w:rPr>
          <w:rFonts w:ascii="Times New Roman" w:hAnsi="Times New Roman" w:cs="Times New Roman"/>
          <w:highlight w:val="green"/>
          <w:lang w:val="en-US"/>
        </w:rPr>
        <w:lastRenderedPageBreak/>
        <w:t>The data were obtained from the Kenya National Bureau of Statistics (KNBS) and supplemented with internationally compiled macroeconomic and balance-of-payments datasets and official historical economic records where necessary. Historical information on FDI, gross domestic product, inflation, interest rates and exchange rates was obtained from official economic reports, verified historical documents and internationally recognized databases. For FDI, the study used foreign direct investment net inflows measured in current US dollars, consistent with the balance-of-payments definition of FDI as net investment inflows associated with a lasting management interest in an enterprise operating in an economy other than that of the investor. The World Bank's FDI series is compiled primarily from the International Monetary Fund's Balance of Payments database and is supplemented by UNCTAD and official national sources.</w:t>
      </w:r>
    </w:p>
    <w:p w14:paraId="6B6F749B" w14:textId="77777777" w:rsidR="00B32B63" w:rsidRPr="00B32B63" w:rsidRDefault="00B32B63" w:rsidP="00B32B63">
      <w:pPr>
        <w:jc w:val="both"/>
        <w:rPr>
          <w:rFonts w:ascii="Times New Roman" w:hAnsi="Times New Roman" w:cs="Times New Roman"/>
          <w:highlight w:val="green"/>
          <w:lang w:val="en-US"/>
        </w:rPr>
      </w:pPr>
      <w:r w:rsidRPr="00B32B63">
        <w:rPr>
          <w:rFonts w:ascii="Times New Roman" w:hAnsi="Times New Roman" w:cs="Times New Roman"/>
          <w:highlight w:val="green"/>
          <w:lang w:val="en-US"/>
        </w:rPr>
        <w:t>Because the study relied on secondary data, a data-collection checklist was used to systematically compile the required observations. The checklist captured the independent variables: interest rate, inflation, gross domestic product and exchange rate, and the dependent variable, FDI. Given the long historical period covered by the study, the available observations were cross-checked against official historical economic records and internationally compiled sources to enhance data consistency and reliability. Historical balance-of-payments records confirm the existence of foreign-capital inflows into Kenya during the late 1960s; however, these historical records sometimes report broader categories of capital flows, including private long-term capital, rather than the specific foreign direct investment (FDI) net-inflows measure. Consequently, only observations that could be established as conceptually consistent with the study's FDI measure were retained, while unsupported observations were not generated through arbitrary estimation or imputation.</w:t>
      </w:r>
    </w:p>
    <w:p w14:paraId="7CF58828" w14:textId="77777777" w:rsidR="00530B02" w:rsidRPr="00734744" w:rsidRDefault="00530B02" w:rsidP="00B24BA0">
      <w:pPr>
        <w:jc w:val="both"/>
        <w:rPr>
          <w:rFonts w:ascii="Times New Roman" w:hAnsi="Times New Roman" w:cs="Times New Roman"/>
        </w:rPr>
      </w:pPr>
    </w:p>
    <w:p w14:paraId="3DB29DAE" w14:textId="77777777" w:rsidR="00B24BA0" w:rsidRPr="00734744" w:rsidRDefault="00B24BA0" w:rsidP="00226E13">
      <w:pPr>
        <w:spacing w:after="0"/>
        <w:jc w:val="both"/>
        <w:rPr>
          <w:rFonts w:ascii="Times New Roman" w:hAnsi="Times New Roman" w:cs="Times New Roman"/>
          <w:b/>
          <w:bCs/>
        </w:rPr>
      </w:pPr>
      <w:r w:rsidRPr="00734744">
        <w:rPr>
          <w:rFonts w:ascii="Times New Roman" w:hAnsi="Times New Roman" w:cs="Times New Roman"/>
          <w:b/>
          <w:bCs/>
        </w:rPr>
        <w:t>3.3 Measurement of Variables</w:t>
      </w:r>
    </w:p>
    <w:p w14:paraId="0858032B" w14:textId="77777777" w:rsidR="00B24BA0" w:rsidRDefault="00B24BA0" w:rsidP="00226E13">
      <w:pPr>
        <w:spacing w:after="0"/>
        <w:jc w:val="both"/>
        <w:rPr>
          <w:rFonts w:ascii="Times New Roman" w:hAnsi="Times New Roman" w:cs="Times New Roman"/>
        </w:rPr>
      </w:pPr>
      <w:r w:rsidRPr="00734744">
        <w:rPr>
          <w:rFonts w:ascii="Times New Roman" w:hAnsi="Times New Roman" w:cs="Times New Roman"/>
        </w:rPr>
        <w:t>The dependent variable was foreign direct investment (FDI), while the explanatory variables were real interest rate, inflation rate, economic growth and exchange rate.</w:t>
      </w:r>
    </w:p>
    <w:p w14:paraId="7747271A" w14:textId="77777777" w:rsidR="00226E13" w:rsidRPr="00734744" w:rsidRDefault="00226E13" w:rsidP="00226E13">
      <w:pPr>
        <w:spacing w:after="0"/>
        <w:jc w:val="both"/>
        <w:rPr>
          <w:rFonts w:ascii="Times New Roman" w:hAnsi="Times New Roman" w:cs="Times New Roman"/>
        </w:rPr>
      </w:pPr>
    </w:p>
    <w:p w14:paraId="337E2BC3" w14:textId="77777777" w:rsidR="00B24BA0" w:rsidRPr="00734744" w:rsidRDefault="00B24BA0" w:rsidP="00B24BA0">
      <w:pPr>
        <w:jc w:val="both"/>
        <w:rPr>
          <w:rFonts w:ascii="Times New Roman" w:hAnsi="Times New Roman" w:cs="Times New Roman"/>
        </w:rPr>
      </w:pPr>
      <w:r w:rsidRPr="00734744">
        <w:rPr>
          <w:rFonts w:ascii="Times New Roman" w:hAnsi="Times New Roman" w:cs="Times New Roman"/>
        </w:rPr>
        <w:t xml:space="preserve">The variables were transformed into natural logarithms before estimation to facilitate the analysis and achieve a linear functional relationship. </w:t>
      </w:r>
    </w:p>
    <w:p w14:paraId="3E30D197" w14:textId="4248027B" w:rsidR="00B24BA0" w:rsidRPr="00734744" w:rsidRDefault="00B24BA0" w:rsidP="00A059D0">
      <w:pPr>
        <w:spacing w:after="0"/>
        <w:jc w:val="both"/>
        <w:rPr>
          <w:rFonts w:ascii="Times New Roman" w:hAnsi="Times New Roman" w:cs="Times New Roman"/>
        </w:rPr>
      </w:pPr>
      <w:r w:rsidRPr="00734744">
        <w:rPr>
          <w:rFonts w:ascii="Times New Roman" w:hAnsi="Times New Roman" w:cs="Times New Roman"/>
        </w:rPr>
        <w:t>Table 1: Operationalization of variables</w:t>
      </w:r>
    </w:p>
    <w:tbl>
      <w:tblPr>
        <w:tblW w:w="5043"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525"/>
        <w:gridCol w:w="835"/>
        <w:gridCol w:w="2033"/>
        <w:gridCol w:w="4047"/>
      </w:tblGrid>
      <w:tr w:rsidR="00B24BA0" w:rsidRPr="00734744" w14:paraId="70D091F0" w14:textId="77777777" w:rsidTr="00A059D0">
        <w:trPr>
          <w:tblHeader/>
          <w:tblCellSpacing w:w="15" w:type="dxa"/>
        </w:trPr>
        <w:tc>
          <w:tcPr>
            <w:tcW w:w="1314" w:type="pct"/>
            <w:tcBorders>
              <w:top w:val="single" w:sz="4" w:space="0" w:color="auto"/>
              <w:bottom w:val="single" w:sz="4" w:space="0" w:color="auto"/>
            </w:tcBorders>
            <w:vAlign w:val="center"/>
            <w:hideMark/>
          </w:tcPr>
          <w:p w14:paraId="1065581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Variable</w:t>
            </w:r>
          </w:p>
        </w:tc>
        <w:tc>
          <w:tcPr>
            <w:tcW w:w="426" w:type="pct"/>
            <w:tcBorders>
              <w:top w:val="single" w:sz="4" w:space="0" w:color="auto"/>
              <w:bottom w:val="single" w:sz="4" w:space="0" w:color="auto"/>
            </w:tcBorders>
            <w:vAlign w:val="center"/>
            <w:hideMark/>
          </w:tcPr>
          <w:p w14:paraId="1AF132F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Symbol</w:t>
            </w:r>
          </w:p>
        </w:tc>
        <w:tc>
          <w:tcPr>
            <w:tcW w:w="1061" w:type="pct"/>
            <w:tcBorders>
              <w:top w:val="single" w:sz="4" w:space="0" w:color="auto"/>
              <w:bottom w:val="single" w:sz="4" w:space="0" w:color="auto"/>
            </w:tcBorders>
            <w:vAlign w:val="center"/>
            <w:hideMark/>
          </w:tcPr>
          <w:p w14:paraId="323CE195"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Role in the model</w:t>
            </w:r>
          </w:p>
        </w:tc>
        <w:tc>
          <w:tcPr>
            <w:tcW w:w="2120" w:type="pct"/>
            <w:tcBorders>
              <w:top w:val="single" w:sz="4" w:space="0" w:color="auto"/>
              <w:bottom w:val="single" w:sz="4" w:space="0" w:color="auto"/>
            </w:tcBorders>
            <w:vAlign w:val="center"/>
            <w:hideMark/>
          </w:tcPr>
          <w:p w14:paraId="64A6DF47" w14:textId="77777777" w:rsidR="00B24BA0" w:rsidRPr="00734744" w:rsidRDefault="00B24BA0" w:rsidP="00A059D0">
            <w:pPr>
              <w:spacing w:after="0" w:line="240" w:lineRule="auto"/>
              <w:jc w:val="both"/>
              <w:rPr>
                <w:rFonts w:ascii="Times New Roman" w:hAnsi="Times New Roman" w:cs="Times New Roman"/>
                <w:b/>
                <w:bCs/>
              </w:rPr>
            </w:pPr>
            <w:r w:rsidRPr="00734744">
              <w:rPr>
                <w:rFonts w:ascii="Times New Roman" w:hAnsi="Times New Roman" w:cs="Times New Roman"/>
                <w:b/>
                <w:bCs/>
              </w:rPr>
              <w:t>Measurement</w:t>
            </w:r>
          </w:p>
        </w:tc>
      </w:tr>
      <w:tr w:rsidR="00B24BA0" w:rsidRPr="00734744" w14:paraId="5488B292" w14:textId="77777777" w:rsidTr="00A059D0">
        <w:trPr>
          <w:tblCellSpacing w:w="15" w:type="dxa"/>
        </w:trPr>
        <w:tc>
          <w:tcPr>
            <w:tcW w:w="1314" w:type="pct"/>
            <w:vAlign w:val="center"/>
            <w:hideMark/>
          </w:tcPr>
          <w:p w14:paraId="0C7B9AA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Foreign Direct Investment</w:t>
            </w:r>
          </w:p>
        </w:tc>
        <w:tc>
          <w:tcPr>
            <w:tcW w:w="426" w:type="pct"/>
            <w:vAlign w:val="center"/>
            <w:hideMark/>
          </w:tcPr>
          <w:p w14:paraId="7CE8B2E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w:t>
            </w:r>
          </w:p>
        </w:tc>
        <w:tc>
          <w:tcPr>
            <w:tcW w:w="1061" w:type="pct"/>
            <w:vAlign w:val="center"/>
            <w:hideMark/>
          </w:tcPr>
          <w:p w14:paraId="06238D7A"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Dependent variable</w:t>
            </w:r>
          </w:p>
        </w:tc>
        <w:tc>
          <w:tcPr>
            <w:tcW w:w="2120" w:type="pct"/>
            <w:vAlign w:val="center"/>
            <w:hideMark/>
          </w:tcPr>
          <w:p w14:paraId="1CF74116"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FDI inflows</w:t>
            </w:r>
          </w:p>
        </w:tc>
      </w:tr>
      <w:tr w:rsidR="00B24BA0" w:rsidRPr="00734744" w14:paraId="32240980" w14:textId="77777777" w:rsidTr="00A059D0">
        <w:trPr>
          <w:tblCellSpacing w:w="15" w:type="dxa"/>
        </w:trPr>
        <w:tc>
          <w:tcPr>
            <w:tcW w:w="1314" w:type="pct"/>
            <w:vAlign w:val="center"/>
            <w:hideMark/>
          </w:tcPr>
          <w:p w14:paraId="1B37731E"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c>
          <w:tcPr>
            <w:tcW w:w="426" w:type="pct"/>
            <w:vAlign w:val="center"/>
            <w:hideMark/>
          </w:tcPr>
          <w:p w14:paraId="394804D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IR</w:t>
            </w:r>
          </w:p>
        </w:tc>
        <w:tc>
          <w:tcPr>
            <w:tcW w:w="1061" w:type="pct"/>
            <w:vAlign w:val="center"/>
            <w:hideMark/>
          </w:tcPr>
          <w:p w14:paraId="1AEE75C3"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4928828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Real interest rate</w:t>
            </w:r>
          </w:p>
        </w:tc>
      </w:tr>
      <w:tr w:rsidR="00B24BA0" w:rsidRPr="00734744" w14:paraId="109CF0DF" w14:textId="77777777" w:rsidTr="00A059D0">
        <w:trPr>
          <w:tblCellSpacing w:w="15" w:type="dxa"/>
        </w:trPr>
        <w:tc>
          <w:tcPr>
            <w:tcW w:w="1314" w:type="pct"/>
            <w:vAlign w:val="center"/>
            <w:hideMark/>
          </w:tcPr>
          <w:p w14:paraId="2B8D3D8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c>
          <w:tcPr>
            <w:tcW w:w="426" w:type="pct"/>
            <w:vAlign w:val="center"/>
            <w:hideMark/>
          </w:tcPr>
          <w:p w14:paraId="647E4F9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w:t>
            </w:r>
          </w:p>
        </w:tc>
        <w:tc>
          <w:tcPr>
            <w:tcW w:w="1061" w:type="pct"/>
            <w:vAlign w:val="center"/>
            <w:hideMark/>
          </w:tcPr>
          <w:p w14:paraId="5CBF3A40"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2F2A9B8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Inflation rate</w:t>
            </w:r>
          </w:p>
        </w:tc>
      </w:tr>
      <w:tr w:rsidR="00B24BA0" w:rsidRPr="00734744" w14:paraId="59690BA0" w14:textId="77777777" w:rsidTr="00A059D0">
        <w:trPr>
          <w:tblCellSpacing w:w="15" w:type="dxa"/>
        </w:trPr>
        <w:tc>
          <w:tcPr>
            <w:tcW w:w="1314" w:type="pct"/>
            <w:vAlign w:val="center"/>
            <w:hideMark/>
          </w:tcPr>
          <w:p w14:paraId="6FD14D4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lastRenderedPageBreak/>
              <w:t>Economic Growth</w:t>
            </w:r>
          </w:p>
        </w:tc>
        <w:tc>
          <w:tcPr>
            <w:tcW w:w="426" w:type="pct"/>
            <w:vAlign w:val="center"/>
            <w:hideMark/>
          </w:tcPr>
          <w:p w14:paraId="4B8EE527"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EG</w:t>
            </w:r>
          </w:p>
        </w:tc>
        <w:tc>
          <w:tcPr>
            <w:tcW w:w="1061" w:type="pct"/>
            <w:vAlign w:val="center"/>
            <w:hideMark/>
          </w:tcPr>
          <w:p w14:paraId="43F9D7EB"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62DD2889"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Gross domestic product/economic growth</w:t>
            </w:r>
          </w:p>
        </w:tc>
      </w:tr>
      <w:tr w:rsidR="00B24BA0" w:rsidRPr="00734744" w14:paraId="786D71F3" w14:textId="77777777" w:rsidTr="00A059D0">
        <w:trPr>
          <w:tblCellSpacing w:w="15" w:type="dxa"/>
        </w:trPr>
        <w:tc>
          <w:tcPr>
            <w:tcW w:w="1314" w:type="pct"/>
            <w:vAlign w:val="center"/>
            <w:hideMark/>
          </w:tcPr>
          <w:p w14:paraId="2DEFDCA2"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c>
          <w:tcPr>
            <w:tcW w:w="426" w:type="pct"/>
            <w:vAlign w:val="center"/>
            <w:hideMark/>
          </w:tcPr>
          <w:p w14:paraId="65EFEEB8"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ER</w:t>
            </w:r>
          </w:p>
        </w:tc>
        <w:tc>
          <w:tcPr>
            <w:tcW w:w="1061" w:type="pct"/>
            <w:vAlign w:val="center"/>
            <w:hideMark/>
          </w:tcPr>
          <w:p w14:paraId="40A5E7B4"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Independent variable</w:t>
            </w:r>
          </w:p>
        </w:tc>
        <w:tc>
          <w:tcPr>
            <w:tcW w:w="2120" w:type="pct"/>
            <w:vAlign w:val="center"/>
            <w:hideMark/>
          </w:tcPr>
          <w:p w14:paraId="37B6BC95" w14:textId="77777777" w:rsidR="00B24BA0" w:rsidRPr="00734744" w:rsidRDefault="00B24BA0" w:rsidP="00EB72D7">
            <w:pPr>
              <w:spacing w:after="0" w:line="240" w:lineRule="auto"/>
              <w:jc w:val="both"/>
              <w:rPr>
                <w:rFonts w:ascii="Times New Roman" w:hAnsi="Times New Roman" w:cs="Times New Roman"/>
              </w:rPr>
            </w:pPr>
            <w:r w:rsidRPr="00734744">
              <w:rPr>
                <w:rFonts w:ascii="Times New Roman" w:hAnsi="Times New Roman" w:cs="Times New Roman"/>
              </w:rPr>
              <w:t>Exchange rate</w:t>
            </w:r>
          </w:p>
        </w:tc>
      </w:tr>
    </w:tbl>
    <w:p w14:paraId="125B331D" w14:textId="38EC4143" w:rsidR="00EB72D7" w:rsidRPr="00734744" w:rsidRDefault="00A059D0" w:rsidP="00B37433">
      <w:pPr>
        <w:jc w:val="both"/>
        <w:rPr>
          <w:rFonts w:ascii="Times New Roman" w:hAnsi="Times New Roman" w:cs="Times New Roman"/>
        </w:rPr>
      </w:pPr>
      <w:r w:rsidRPr="00734744">
        <w:rPr>
          <w:rFonts w:ascii="Times New Roman" w:hAnsi="Times New Roman" w:cs="Times New Roman"/>
        </w:rPr>
        <w:t>Source: Author</w:t>
      </w:r>
    </w:p>
    <w:p w14:paraId="50E38773" w14:textId="58AC6E47" w:rsidR="00B24BA0" w:rsidRPr="00AA3A5D" w:rsidRDefault="00B24BA0" w:rsidP="00B24BA0">
      <w:pPr>
        <w:jc w:val="both"/>
        <w:rPr>
          <w:rFonts w:ascii="Times New Roman" w:hAnsi="Times New Roman" w:cs="Times New Roman"/>
        </w:rPr>
      </w:pPr>
      <w:r w:rsidRPr="00734744">
        <w:rPr>
          <w:rFonts w:ascii="Times New Roman" w:hAnsi="Times New Roman" w:cs="Times New Roman"/>
        </w:rPr>
        <w:t>The study also incorporated a structural-break dummy variable to account for major disruptions occurring during the study period. The dummy captured the military coup of 1982, intertribal clashes of 1992, national hunger of 1997 and post-election violence of 2007. It was assigned a value of 1 in periods associated with the identified structural breaks and 0 otherwise.</w:t>
      </w:r>
    </w:p>
    <w:p w14:paraId="07D003F7" w14:textId="36C8D015" w:rsidR="00B24BA0" w:rsidRPr="00734744" w:rsidRDefault="00B24BA0" w:rsidP="00EB72D7">
      <w:pPr>
        <w:spacing w:after="0"/>
        <w:jc w:val="both"/>
        <w:rPr>
          <w:rFonts w:ascii="Times New Roman" w:hAnsi="Times New Roman" w:cs="Times New Roman"/>
          <w:b/>
          <w:bCs/>
        </w:rPr>
      </w:pPr>
      <w:r w:rsidRPr="00734744">
        <w:rPr>
          <w:rFonts w:ascii="Times New Roman" w:hAnsi="Times New Roman" w:cs="Times New Roman"/>
          <w:b/>
          <w:bCs/>
        </w:rPr>
        <w:t>3.4 Model Specification</w:t>
      </w:r>
    </w:p>
    <w:p w14:paraId="5BA742A6" w14:textId="77777777" w:rsidR="001C311B" w:rsidRDefault="001C311B" w:rsidP="00EB72D7">
      <w:pPr>
        <w:spacing w:after="0"/>
        <w:jc w:val="both"/>
        <w:rPr>
          <w:rFonts w:ascii="Times New Roman" w:hAnsi="Times New Roman" w:cs="Times New Roman"/>
        </w:rPr>
      </w:pPr>
      <w:r w:rsidRPr="001C311B">
        <w:rPr>
          <w:rFonts w:ascii="Times New Roman" w:hAnsi="Times New Roman" w:cs="Times New Roman"/>
          <w:highlight w:val="yellow"/>
        </w:rPr>
        <w:t>This study employs an Error Correction Model (ECM) framework to examine the empirical relationship between Foreign Direct Investment (FDI) and selected macroeconomic variables in Kenya. The ECM framework is highly suited for this analysis as it simultaneously captures the long-run equilibrium relationships among the variables and the short-run dynamics driving deviations from this equilibrium.</w:t>
      </w:r>
      <w:r>
        <w:rPr>
          <w:rFonts w:ascii="Times New Roman" w:hAnsi="Times New Roman" w:cs="Times New Roman"/>
        </w:rPr>
        <w:t xml:space="preserve"> </w:t>
      </w:r>
      <w:r w:rsidRPr="001C311B">
        <w:rPr>
          <w:rFonts w:ascii="Times New Roman" w:hAnsi="Times New Roman" w:cs="Times New Roman"/>
          <w:highlight w:val="yellow"/>
        </w:rPr>
        <w:t>T</w:t>
      </w:r>
      <w:r w:rsidR="00B24BA0" w:rsidRPr="001C311B">
        <w:rPr>
          <w:rFonts w:ascii="Times New Roman" w:hAnsi="Times New Roman" w:cs="Times New Roman"/>
          <w:highlight w:val="yellow"/>
        </w:rPr>
        <w:t>he model combines short-run and long-run dynamics within a single system (Wang et al., 2018).</w:t>
      </w:r>
    </w:p>
    <w:p w14:paraId="43C88616" w14:textId="77777777" w:rsidR="001C311B" w:rsidRDefault="001C311B" w:rsidP="00EB72D7">
      <w:pPr>
        <w:spacing w:after="0"/>
        <w:jc w:val="both"/>
        <w:rPr>
          <w:rFonts w:ascii="Times New Roman" w:hAnsi="Times New Roman" w:cs="Times New Roman"/>
        </w:rPr>
      </w:pPr>
    </w:p>
    <w:p w14:paraId="557DA005" w14:textId="77777777" w:rsidR="001C311B" w:rsidRPr="001C311B" w:rsidRDefault="001C311B" w:rsidP="001C311B">
      <w:pPr>
        <w:spacing w:after="0"/>
        <w:jc w:val="both"/>
        <w:rPr>
          <w:rFonts w:ascii="Times New Roman" w:hAnsi="Times New Roman" w:cs="Times New Roman"/>
          <w:b/>
          <w:bCs/>
          <w:lang w:val="en-US"/>
        </w:rPr>
      </w:pPr>
      <w:r w:rsidRPr="001C311B">
        <w:rPr>
          <w:rFonts w:ascii="Times New Roman" w:hAnsi="Times New Roman" w:cs="Times New Roman"/>
          <w:b/>
          <w:bCs/>
          <w:lang w:val="en-US"/>
        </w:rPr>
        <w:t>3.4.1 Long-Run Equilibrium Model</w:t>
      </w:r>
    </w:p>
    <w:p w14:paraId="4F70D467" w14:textId="1253ED67" w:rsidR="001C311B" w:rsidRPr="001C311B" w:rsidRDefault="001C311B" w:rsidP="001C311B">
      <w:pPr>
        <w:spacing w:after="0"/>
        <w:jc w:val="both"/>
        <w:rPr>
          <w:rFonts w:ascii="Times New Roman" w:hAnsi="Times New Roman" w:cs="Times New Roman"/>
          <w:highlight w:val="yellow"/>
          <w:lang w:val="en-US"/>
        </w:rPr>
      </w:pPr>
      <w:r w:rsidRPr="001C311B">
        <w:rPr>
          <w:rFonts w:ascii="Times New Roman" w:hAnsi="Times New Roman" w:cs="Times New Roman"/>
          <w:highlight w:val="yellow"/>
          <w:lang w:val="en-US"/>
        </w:rPr>
        <w:t>The long-run structural relationship is specified with the natural logarithm of foreign direct investment inflows as the dependent variable, determined by the real interest rate, inflation rate, economic growth, and the exchange rate. Additionally, a structural break dummy variable (</w:t>
      </w:r>
      <m:oMath>
        <m:sSub>
          <m:sSubPr>
            <m:ctrlPr>
              <w:rPr>
                <w:rFonts w:ascii="Cambria Math" w:hAnsi="Cambria Math" w:cs="Times New Roman"/>
                <w:i/>
                <w:highlight w:val="yellow"/>
              </w:rPr>
            </m:ctrlPr>
          </m:sSubPr>
          <m:e>
            <m:r>
              <m:rPr>
                <m:sty m:val="p"/>
              </m:rPr>
              <w:rPr>
                <w:rFonts w:ascii="Cambria Math" w:hAnsi="Cambria Math" w:cs="Times New Roman"/>
                <w:highlight w:val="yellow"/>
              </w:rPr>
              <m:t>DUM1</m:t>
            </m:r>
          </m:e>
          <m:sub>
            <m:r>
              <w:rPr>
                <w:rFonts w:ascii="Cambria Math" w:hAnsi="Cambria Math" w:cs="Times New Roman"/>
                <w:highlight w:val="yellow"/>
              </w:rPr>
              <m:t>t</m:t>
            </m:r>
          </m:sub>
        </m:sSub>
      </m:oMath>
      <w:r w:rsidRPr="001C311B">
        <w:rPr>
          <w:rFonts w:ascii="Times New Roman" w:hAnsi="Times New Roman" w:cs="Times New Roman"/>
          <w:highlight w:val="yellow"/>
          <w:lang w:val="en-US"/>
        </w:rPr>
        <w:t>) is incorporated into the model to account for major exogenous disruptions identified during the study period.</w:t>
      </w:r>
    </w:p>
    <w:p w14:paraId="36916589" w14:textId="38C73B85" w:rsidR="001C311B" w:rsidRPr="001C311B" w:rsidRDefault="001C311B" w:rsidP="001C311B">
      <w:pPr>
        <w:spacing w:after="0"/>
        <w:jc w:val="both"/>
        <w:rPr>
          <w:rFonts w:ascii="Times New Roman" w:hAnsi="Times New Roman" w:cs="Times New Roman"/>
          <w:lang w:val="en-US"/>
        </w:rPr>
      </w:pPr>
      <w:r w:rsidRPr="001C311B">
        <w:rPr>
          <w:rFonts w:ascii="Times New Roman" w:hAnsi="Times New Roman" w:cs="Times New Roman"/>
          <w:highlight w:val="yellow"/>
          <w:lang w:val="en-US"/>
        </w:rPr>
        <w:t>The long-run econometric model is expressed linearly as:</w:t>
      </w:r>
      <w:r>
        <w:rPr>
          <w:rFonts w:ascii="Times New Roman" w:hAnsi="Times New Roman" w:cs="Times New Roman"/>
          <w:lang w:val="en-US"/>
        </w:rPr>
        <w:t xml:space="preserve"> </w:t>
      </w:r>
    </w:p>
    <w:p w14:paraId="4DC3A557" w14:textId="20665965" w:rsidR="00B24BA0" w:rsidRPr="00734744" w:rsidRDefault="00B24BA0" w:rsidP="008A22A8">
      <w:pPr>
        <w:spacing w:after="0"/>
        <w:jc w:val="both"/>
        <w:rPr>
          <w:rFonts w:ascii="Times New Roman" w:hAnsi="Times New Roman" w:cs="Times New Roman"/>
        </w:rPr>
      </w:pPr>
      <w:r w:rsidRPr="00734744">
        <w:rPr>
          <w:rFonts w:ascii="Times New Roman" w:hAnsi="Times New Roman" w:cs="Times New Roman"/>
        </w:rPr>
        <w:t xml:space="preserve"> </w:t>
      </w:r>
    </w:p>
    <w:p w14:paraId="65AADFFB" w14:textId="7B8896C2" w:rsidR="00B24BA0" w:rsidRPr="008A22A8" w:rsidRDefault="00000000" w:rsidP="00B24BA0">
      <w:pPr>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0</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1</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2</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lnINFL</m:t>
            </m:r>
          </m:e>
          <m:sub>
            <m:r>
              <w:rPr>
                <w:rFonts w:ascii="Cambria Math" w:hAnsi="Cambria Math" w:cs="Times New Roman"/>
                <w:highlight w:val="yellow"/>
              </w:rPr>
              <m:t>t</m:t>
            </m:r>
          </m:sub>
        </m:sSub>
      </m:oMath>
      <w:r w:rsidR="00B31FF1" w:rsidRPr="008A22A8">
        <w:rPr>
          <w:rFonts w:ascii="Times New Roman" w:hAnsi="Times New Roman" w:cs="Times New Roman"/>
          <w:highlight w:val="yellow"/>
        </w:rPr>
        <w:t xml:space="preserve"> </w:t>
      </w:r>
      <w:r w:rsidR="00B24BA0" w:rsidRPr="008A22A8">
        <w:rPr>
          <w:rFonts w:ascii="Times New Roman" w:hAnsi="Times New Roman" w:cs="Times New Roman"/>
          <w:highlight w:val="yellow"/>
        </w:rPr>
        <w:t>​+</w:t>
      </w:r>
      <w:r w:rsidR="00B31FF1"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3</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lnEG</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4</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5</m:t>
            </m:r>
          </m:sub>
        </m:sSub>
        <m:sSub>
          <m:sSubPr>
            <m:ctrlPr>
              <w:rPr>
                <w:rFonts w:ascii="Cambria Math" w:hAnsi="Cambria Math" w:cs="Times New Roman"/>
                <w:i/>
                <w:highlight w:val="yellow"/>
              </w:rPr>
            </m:ctrlPr>
          </m:sSubPr>
          <m:e>
            <m:r>
              <m:rPr>
                <m:sty m:val="p"/>
              </m:rPr>
              <w:rPr>
                <w:rFonts w:ascii="Cambria Math" w:hAnsi="Cambria Math" w:cs="Times New Roman"/>
                <w:highlight w:val="yellow"/>
              </w:rPr>
              <m:t>lnDUM</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w:t>
      </w:r>
      <w:r w:rsidR="002F0DB7"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ε</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 xml:space="preserve"> </w:t>
      </w:r>
    </w:p>
    <w:p w14:paraId="675F972B" w14:textId="77777777" w:rsidR="00B24BA0" w:rsidRPr="008A22A8" w:rsidRDefault="00B24BA0" w:rsidP="00B24BA0">
      <w:pPr>
        <w:jc w:val="both"/>
        <w:rPr>
          <w:rFonts w:ascii="Times New Roman" w:hAnsi="Times New Roman" w:cs="Times New Roman"/>
          <w:highlight w:val="yellow"/>
        </w:rPr>
      </w:pPr>
      <w:r w:rsidRPr="008A22A8">
        <w:rPr>
          <w:rFonts w:ascii="Times New Roman" w:hAnsi="Times New Roman" w:cs="Times New Roman"/>
          <w:highlight w:val="yellow"/>
        </w:rPr>
        <w:t>where:</w:t>
      </w:r>
    </w:p>
    <w:p w14:paraId="5937378B" w14:textId="295BE722"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foreign direct investment inflows at time t.</w:t>
      </w:r>
    </w:p>
    <w:p w14:paraId="365AB10E" w14:textId="6CA9FF7D"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real interest rate at time t.</w:t>
      </w:r>
    </w:p>
    <w:p w14:paraId="50472C98" w14:textId="6A6F927D"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INFL</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inflation rate at time t.</w:t>
      </w:r>
    </w:p>
    <w:p w14:paraId="752D01E5" w14:textId="002CED04" w:rsidR="00F642F1" w:rsidRPr="008A22A8" w:rsidRDefault="00000000" w:rsidP="00A059D0">
      <w:pPr>
        <w:numPr>
          <w:ilvl w:val="0"/>
          <w:numId w:val="1"/>
        </w:numPr>
        <w:spacing w:after="0"/>
        <w:jc w:val="both"/>
        <w:rPr>
          <w:rFonts w:ascii="Times New Roman" w:hAnsi="Times New Roman" w:cs="Times New Roman"/>
          <w:sz w:val="22"/>
          <w:szCs w:val="22"/>
          <w:highlight w:val="yellow"/>
        </w:rPr>
      </w:pPr>
      <m:oMath>
        <m:sSub>
          <m:sSubPr>
            <m:ctrlPr>
              <w:rPr>
                <w:rFonts w:ascii="Cambria Math" w:hAnsi="Cambria Math" w:cs="Times New Roman"/>
                <w:i/>
                <w:sz w:val="22"/>
                <w:szCs w:val="22"/>
                <w:highlight w:val="yellow"/>
              </w:rPr>
            </m:ctrlPr>
          </m:sSubPr>
          <m:e>
            <m:r>
              <m:rPr>
                <m:sty m:val="p"/>
              </m:rPr>
              <w:rPr>
                <w:rFonts w:ascii="Cambria Math" w:hAnsi="Cambria Math" w:cs="Times New Roman"/>
                <w:sz w:val="22"/>
                <w:szCs w:val="22"/>
                <w:highlight w:val="yellow"/>
              </w:rPr>
              <m:t>lnEG</m:t>
            </m:r>
          </m:e>
          <m:sub>
            <m:r>
              <w:rPr>
                <w:rFonts w:ascii="Cambria Math" w:hAnsi="Cambria Math" w:cs="Times New Roman"/>
                <w:sz w:val="22"/>
                <w:szCs w:val="22"/>
                <w:highlight w:val="yellow"/>
              </w:rPr>
              <m:t>t</m:t>
            </m:r>
          </m:sub>
        </m:sSub>
        <m:r>
          <m:rPr>
            <m:sty m:val="p"/>
          </m:rPr>
          <w:rPr>
            <w:rFonts w:ascii="Cambria Math" w:hAnsi="Cambria Math" w:cs="Times New Roman"/>
            <w:sz w:val="22"/>
            <w:szCs w:val="22"/>
            <w:highlight w:val="yellow"/>
          </w:rPr>
          <m:t>​= Natural logarithm of economic growth (Real GDP growth rate or proxy) at time t</m:t>
        </m:r>
      </m:oMath>
    </w:p>
    <w:p w14:paraId="27D3FF2B" w14:textId="2EDDF8E8"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Natural logarithm of the nominal/real effective exchange rate at time t.</w:t>
      </w:r>
    </w:p>
    <w:p w14:paraId="533ECCFC" w14:textId="7095FECB" w:rsidR="00B24BA0" w:rsidRPr="008A22A8" w:rsidRDefault="00000000" w:rsidP="00F642F1">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DUM</m:t>
            </m:r>
          </m:e>
          <m:sub>
            <m:r>
              <w:rPr>
                <w:rFonts w:ascii="Cambria Math" w:hAnsi="Cambria Math" w:cs="Times New Roman"/>
                <w:highlight w:val="yellow"/>
              </w:rPr>
              <m:t>t</m:t>
            </m:r>
          </m:sub>
        </m:sSub>
      </m:oMath>
      <w:r w:rsidR="008A22A8" w:rsidRPr="008A22A8">
        <w:rPr>
          <w:rFonts w:ascii="Times New Roman" w:eastAsiaTheme="minorEastAsia" w:hAnsi="Times New Roman" w:cs="Times New Roman"/>
          <w:highlight w:val="yellow"/>
        </w:rPr>
        <w:t xml:space="preserve"> = Structural break dummy variable (1 for periods post-disruption, 0 otherwise).</w:t>
      </w:r>
    </w:p>
    <w:p w14:paraId="2B4AC18E" w14:textId="6B9495D0"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0</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rPr>
        <w:t>Constant intercept term.</w:t>
      </w:r>
    </w:p>
    <w:p w14:paraId="6DF02E8A" w14:textId="3E444A38" w:rsidR="00B24BA0" w:rsidRPr="008A22A8" w:rsidRDefault="00000000" w:rsidP="00A059D0">
      <w:pPr>
        <w:numPr>
          <w:ilvl w:val="0"/>
          <w:numId w:val="1"/>
        </w:numPr>
        <w:spacing w:after="0"/>
        <w:jc w:val="both"/>
        <w:rPr>
          <w:rFonts w:ascii="Times New Roman" w:hAnsi="Times New Roman" w:cs="Times New Roman"/>
          <w:highlight w:val="yellow"/>
        </w:rPr>
      </w:pP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1</m:t>
            </m:r>
          </m:sub>
        </m:sSub>
      </m:oMath>
      <w:r w:rsidR="00B24BA0" w:rsidRPr="008A22A8">
        <w:rPr>
          <w:rFonts w:ascii="Times New Roman" w:hAnsi="Times New Roman" w:cs="Times New Roman"/>
          <w:highlight w:val="yellow"/>
        </w:rPr>
        <w:t>​−</w:t>
      </w:r>
      <w:r w:rsidR="00FE798B" w:rsidRPr="008A22A8">
        <w:rPr>
          <w:rFonts w:ascii="Times New Roman" w:hAnsi="Times New Roman" w:cs="Times New Roman"/>
          <w:highlight w:val="yellow"/>
        </w:rPr>
        <w:t xml:space="preserve"> </w:t>
      </w:r>
      <m:oMath>
        <m:sSub>
          <m:sSubPr>
            <m:ctrlPr>
              <w:rPr>
                <w:rFonts w:ascii="Cambria Math" w:hAnsi="Cambria Math" w:cs="Times New Roman"/>
                <w:i/>
                <w:highlight w:val="yellow"/>
              </w:rPr>
            </m:ctrlPr>
          </m:sSubPr>
          <m:e>
            <m:r>
              <w:rPr>
                <w:rFonts w:ascii="Cambria Math" w:hAnsi="Cambria Math" w:cs="Times New Roman"/>
                <w:highlight w:val="yellow"/>
              </w:rPr>
              <m:t>β</m:t>
            </m:r>
          </m:e>
          <m:sub>
            <m:r>
              <w:rPr>
                <w:rFonts w:ascii="Cambria Math" w:hAnsi="Cambria Math" w:cs="Times New Roman"/>
                <w:highlight w:val="yellow"/>
              </w:rPr>
              <m:t>5</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rPr>
        <w:t>Long-run elasticity coefficients to be estimated.</w:t>
      </w:r>
    </w:p>
    <w:p w14:paraId="78178DEB" w14:textId="1D1C1ED3" w:rsidR="008A22A8" w:rsidRPr="008A22A8" w:rsidRDefault="00000000" w:rsidP="008A22A8">
      <w:pPr>
        <w:numPr>
          <w:ilvl w:val="0"/>
          <w:numId w:val="1"/>
        </w:numPr>
        <w:spacing w:after="0"/>
        <w:jc w:val="both"/>
        <w:rPr>
          <w:rFonts w:ascii="Times New Roman" w:hAnsi="Times New Roman" w:cs="Times New Roman"/>
          <w:highlight w:val="yellow"/>
          <w:lang w:val="en-US"/>
        </w:rPr>
      </w:pPr>
      <m:oMath>
        <m:sSub>
          <m:sSubPr>
            <m:ctrlPr>
              <w:rPr>
                <w:rFonts w:ascii="Cambria Math" w:hAnsi="Cambria Math" w:cs="Times New Roman"/>
                <w:i/>
                <w:highlight w:val="yellow"/>
              </w:rPr>
            </m:ctrlPr>
          </m:sSubPr>
          <m:e>
            <m:r>
              <w:rPr>
                <w:rFonts w:ascii="Cambria Math" w:hAnsi="Cambria Math" w:cs="Times New Roman"/>
                <w:highlight w:val="yellow"/>
              </w:rPr>
              <m:t>ε</m:t>
            </m:r>
          </m:e>
          <m:sub>
            <m:r>
              <w:rPr>
                <w:rFonts w:ascii="Cambria Math" w:hAnsi="Cambria Math" w:cs="Times New Roman"/>
                <w:highlight w:val="yellow"/>
              </w:rPr>
              <m:t>t</m:t>
            </m:r>
          </m:sub>
        </m:sSub>
      </m:oMath>
      <w:r w:rsidR="00B24BA0" w:rsidRPr="008A22A8">
        <w:rPr>
          <w:rFonts w:ascii="Times New Roman" w:hAnsi="Times New Roman" w:cs="Times New Roman"/>
          <w:highlight w:val="yellow"/>
        </w:rPr>
        <w:t xml:space="preserve">​ = </w:t>
      </w:r>
      <w:r w:rsidR="008A22A8" w:rsidRPr="008A22A8">
        <w:rPr>
          <w:rFonts w:ascii="Times New Roman" w:hAnsi="Times New Roman" w:cs="Times New Roman"/>
          <w:highlight w:val="yellow"/>
          <w:lang w:val="en-US"/>
        </w:rPr>
        <w:t>White-noise stochastic error term.</w:t>
      </w:r>
    </w:p>
    <w:p w14:paraId="323648B0" w14:textId="3AAC77D8" w:rsidR="00B24BA0" w:rsidRPr="00734744" w:rsidRDefault="00B24BA0" w:rsidP="008A22A8">
      <w:pPr>
        <w:spacing w:after="0"/>
        <w:ind w:left="720"/>
        <w:jc w:val="both"/>
        <w:rPr>
          <w:rFonts w:ascii="Times New Roman" w:hAnsi="Times New Roman" w:cs="Times New Roman"/>
        </w:rPr>
      </w:pPr>
    </w:p>
    <w:p w14:paraId="43AC23AE" w14:textId="77777777" w:rsidR="00D96149" w:rsidRPr="00D96149" w:rsidRDefault="00D96149" w:rsidP="00D96149">
      <w:pPr>
        <w:ind w:left="360"/>
        <w:jc w:val="both"/>
        <w:rPr>
          <w:rFonts w:ascii="Times New Roman" w:hAnsi="Times New Roman" w:cs="Times New Roman"/>
          <w:b/>
          <w:bCs/>
          <w:highlight w:val="yellow"/>
          <w:lang w:val="en-US"/>
        </w:rPr>
      </w:pPr>
      <w:r w:rsidRPr="00D96149">
        <w:rPr>
          <w:rFonts w:ascii="Times New Roman" w:hAnsi="Times New Roman" w:cs="Times New Roman"/>
          <w:b/>
          <w:bCs/>
          <w:highlight w:val="yellow"/>
          <w:lang w:val="en-US"/>
        </w:rPr>
        <w:lastRenderedPageBreak/>
        <w:t>3.4.2 Short-Run Error Correction Representation</w:t>
      </w:r>
    </w:p>
    <w:p w14:paraId="3DE1B0A3" w14:textId="653890C1" w:rsidR="00D96149" w:rsidRPr="00D96149" w:rsidRDefault="00D96149" w:rsidP="00D96149">
      <w:pPr>
        <w:ind w:left="360"/>
        <w:jc w:val="both"/>
        <w:rPr>
          <w:rFonts w:ascii="Times New Roman" w:hAnsi="Times New Roman" w:cs="Times New Roman"/>
          <w:highlight w:val="yellow"/>
          <w:lang w:val="en-US"/>
        </w:rPr>
      </w:pPr>
      <w:r w:rsidRPr="00D96149">
        <w:rPr>
          <w:rFonts w:ascii="Times New Roman" w:hAnsi="Times New Roman" w:cs="Times New Roman"/>
          <w:highlight w:val="yellow"/>
          <w:lang w:val="en-US"/>
        </w:rPr>
        <w:t xml:space="preserve">If the long-run variables are cointegrated, their generated residuals are stationary, </w:t>
      </w:r>
      <w:r w:rsidR="00C96DAF" w:rsidRPr="00B93497">
        <w:rPr>
          <w:rFonts w:ascii="Times New Roman" w:hAnsi="Times New Roman" w:cs="Times New Roman"/>
          <w:highlight w:val="yellow"/>
          <w:lang w:val="en-US"/>
        </w:rPr>
        <w:t>I (</w:t>
      </w:r>
      <w:r w:rsidRPr="00D96149">
        <w:rPr>
          <w:rFonts w:ascii="Times New Roman" w:hAnsi="Times New Roman" w:cs="Times New Roman"/>
          <w:highlight w:val="yellow"/>
          <w:lang w:val="en-US"/>
        </w:rPr>
        <w:t>0). These residuals are used to create the lagged Error Correction Term (</w:t>
      </w: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Pr="00D96149">
        <w:rPr>
          <w:rFonts w:ascii="Times New Roman" w:hAnsi="Times New Roman" w:cs="Times New Roman"/>
          <w:highlight w:val="yellow"/>
          <w:lang w:val="en-US"/>
        </w:rPr>
        <w:t>), which measures deviations from the long-run equilibrium. The short-run dynamic error correction model is specified as:</w:t>
      </w:r>
    </w:p>
    <w:p w14:paraId="427C5B15" w14:textId="4509C767" w:rsidR="00FE798B" w:rsidRPr="00B93497" w:rsidRDefault="001678A6" w:rsidP="001678A6">
      <w:pPr>
        <w:jc w:val="both"/>
        <w:rPr>
          <w:rFonts w:eastAsiaTheme="minorEastAsia" w:cstheme="minorHAnsi"/>
          <w:highlight w:val="yellow"/>
        </w:rPr>
      </w:pPr>
      <m:oMath>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oMath>
      <w:r w:rsidR="00D96149" w:rsidRPr="00B93497">
        <w:rPr>
          <w:rFonts w:ascii="Times New Roman" w:hAnsi="Times New Roman" w:cs="Times New Roman"/>
          <w:highlight w:val="yellow"/>
        </w:rPr>
        <w:t>=</w:t>
      </w:r>
      <m:oMath>
        <m:sSub>
          <m:sSubPr>
            <m:ctrlPr>
              <w:rPr>
                <w:rFonts w:ascii="Cambria Math" w:hAnsi="Cambria Math" w:cs="Times New Roman"/>
                <w:i/>
                <w:highlight w:val="yellow"/>
              </w:rPr>
            </m:ctrlPr>
          </m:sSubPr>
          <m:e>
            <m:r>
              <w:rPr>
                <w:rFonts w:ascii="Cambria Math" w:hAnsi="Cambria Math" w:cs="Times New Roman"/>
                <w:highlight w:val="yellow"/>
              </w:rPr>
              <m:t>α</m:t>
            </m:r>
          </m:e>
          <m:sub>
            <m:r>
              <w:rPr>
                <w:rFonts w:ascii="Cambria Math" w:hAnsi="Cambria Math" w:cs="Times New Roman"/>
                <w:highlight w:val="yellow"/>
              </w:rPr>
              <m:t>0</m:t>
            </m:r>
          </m:sub>
        </m:sSub>
      </m:oMath>
      <w:r w:rsidR="00D96149" w:rsidRPr="00B93497">
        <w:rPr>
          <w:rFonts w:ascii="Times New Roman" w:hAnsi="Times New Roman" w:cs="Times New Roman"/>
          <w:highlight w:val="yellow"/>
        </w:rPr>
        <w:t>​+</w:t>
      </w:r>
      <m:oMath>
        <m:nary>
          <m:naryPr>
            <m:chr m:val="∑"/>
            <m:limLoc m:val="undOvr"/>
            <m:grow m:val="1"/>
            <m:ctrlPr>
              <w:rPr>
                <w:rFonts w:ascii="Cambria Math" w:hAnsi="Cambria Math"/>
                <w:highlight w:val="yellow"/>
              </w:rPr>
            </m:ctrlPr>
          </m:naryPr>
          <m:sub>
            <m:r>
              <w:rPr>
                <w:rFonts w:ascii="Cambria Math" w:hAnsi="Cambria Math"/>
                <w:highlight w:val="yellow"/>
              </w:rPr>
              <m:t>i=1</m:t>
            </m:r>
          </m:sub>
          <m:sup>
            <m:r>
              <w:rPr>
                <w:rFonts w:ascii="Cambria Math" w:hAnsi="Cambria Math"/>
                <w:highlight w:val="yellow"/>
              </w:rPr>
              <m:t>p</m:t>
            </m:r>
          </m:sup>
          <m:e>
            <m:sSub>
              <m:sSubPr>
                <m:ctrlPr>
                  <w:rPr>
                    <w:rFonts w:ascii="Cambria Math" w:hAnsi="Cambria Math"/>
                    <w:highlight w:val="yellow"/>
                  </w:rPr>
                </m:ctrlPr>
              </m:sSubPr>
              <m:e>
                <m:r>
                  <m:rPr>
                    <m:sty m:val="p"/>
                  </m:rPr>
                  <w:rPr>
                    <w:rFonts w:ascii="Cambria Math" w:hAnsi="Cambria Math"/>
                    <w:highlight w:val="yellow"/>
                    <w:lang w:val="en-US"/>
                  </w:rPr>
                  <m:t>α</m:t>
                </m:r>
              </m:e>
              <m:sub>
                <m:r>
                  <w:rPr>
                    <w:rFonts w:ascii="Cambria Math" w:hAnsi="Cambria Math"/>
                    <w:highlight w:val="yellow"/>
                  </w:rPr>
                  <m:t>i</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t-i</m:t>
            </m:r>
          </m:sub>
        </m:sSub>
        <m:r>
          <w:rPr>
            <w:rFonts w:ascii="Cambria Math" w:hAnsi="Cambria Math"/>
            <w:highlight w:val="yellow"/>
          </w:rPr>
          <m:t xml:space="preserve">+ </m:t>
        </m:r>
        <m:nary>
          <m:naryPr>
            <m:chr m:val="∑"/>
            <m:limLoc m:val="undOvr"/>
            <m:grow m:val="1"/>
            <m:ctrlPr>
              <w:rPr>
                <w:rFonts w:ascii="Cambria Math" w:hAnsi="Cambria Math"/>
                <w:highlight w:val="yellow"/>
              </w:rPr>
            </m:ctrlPr>
          </m:naryPr>
          <m:sub>
            <m:r>
              <w:rPr>
                <w:rFonts w:ascii="Cambria Math" w:hAnsi="Cambria Math"/>
                <w:highlight w:val="yellow"/>
              </w:rPr>
              <m:t>j=0</m:t>
            </m:r>
          </m:sub>
          <m:sup>
            <m:r>
              <w:rPr>
                <w:rFonts w:ascii="Cambria Math" w:hAnsi="Cambria Math"/>
                <w:highlight w:val="yellow"/>
              </w:rPr>
              <m:t>q1</m:t>
            </m:r>
          </m:sup>
          <m:e>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j</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lnIR</m:t>
            </m:r>
          </m:e>
          <m:sub>
            <m:r>
              <w:rPr>
                <w:rFonts w:ascii="Cambria Math" w:hAnsi="Cambria Math" w:cs="Times New Roman"/>
                <w:highlight w:val="yellow"/>
              </w:rPr>
              <m:t>t-j</m:t>
            </m:r>
          </m:sub>
        </m:sSub>
        <m:r>
          <w:rPr>
            <w:rFonts w:ascii="Cambria Math" w:hAnsi="Cambria Math" w:cs="Times New Roman"/>
            <w:highlight w:val="yellow"/>
          </w:rPr>
          <m:t xml:space="preserve"> </m:t>
        </m:r>
      </m:oMath>
      <w:r w:rsidRPr="00B93497">
        <w:rPr>
          <w:highlight w:val="yellow"/>
          <w:lang w:val="en-US"/>
        </w:rPr>
        <w:t>+</w:t>
      </w:r>
      <m:oMath>
        <m:sSub>
          <m:sSubPr>
            <m:ctrlPr>
              <w:rPr>
                <w:rFonts w:ascii="Cambria Math" w:hAnsi="Cambria Math"/>
                <w:highlight w:val="yellow"/>
              </w:rPr>
            </m:ctrlPr>
          </m:sSubPr>
          <m:e>
            <m:r>
              <m:rPr>
                <m:sty m:val="p"/>
              </m:rPr>
              <w:rPr>
                <w:rFonts w:ascii="Cambria Math" w:hAnsi="Cambria Math"/>
                <w:highlight w:val="yellow"/>
                <w:lang w:val="en-US"/>
              </w:rPr>
              <m:t xml:space="preserve"> </m:t>
            </m:r>
            <m:nary>
              <m:naryPr>
                <m:chr m:val="∑"/>
                <m:limLoc m:val="undOvr"/>
                <m:grow m:val="1"/>
                <m:ctrlPr>
                  <w:rPr>
                    <w:rFonts w:ascii="Cambria Math" w:hAnsi="Cambria Math"/>
                    <w:highlight w:val="yellow"/>
                  </w:rPr>
                </m:ctrlPr>
              </m:naryPr>
              <m:sub>
                <m:r>
                  <w:rPr>
                    <w:rFonts w:ascii="Cambria Math" w:hAnsi="Cambria Math"/>
                    <w:highlight w:val="yellow"/>
                  </w:rPr>
                  <m:t>k=0</m:t>
                </m:r>
              </m:sub>
              <m:sup>
                <m:r>
                  <w:rPr>
                    <w:rFonts w:ascii="Cambria Math" w:hAnsi="Cambria Math"/>
                    <w:highlight w:val="yellow"/>
                  </w:rPr>
                  <m:t>q2</m:t>
                </m:r>
              </m:sup>
              <m:e>
                <m:sSub>
                  <m:sSubPr>
                    <m:ctrlPr>
                      <w:rPr>
                        <w:rFonts w:ascii="Cambria Math" w:hAnsi="Cambria Math"/>
                        <w:highlight w:val="yellow"/>
                      </w:rPr>
                    </m:ctrlPr>
                  </m:sSubPr>
                  <m:e>
                    <m:r>
                      <w:rPr>
                        <w:rFonts w:ascii="Cambria Math" w:hAnsi="Cambria Math"/>
                        <w:highlight w:val="yellow"/>
                      </w:rPr>
                      <m:t>δ</m:t>
                    </m:r>
                  </m:e>
                  <m:sub>
                    <m:r>
                      <w:rPr>
                        <w:rFonts w:ascii="Cambria Math" w:hAnsi="Cambria Math"/>
                        <w:highlight w:val="yellow"/>
                      </w:rPr>
                      <m:t>k</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lnINFL</m:t>
                </m:r>
              </m:e>
              <m:sub>
                <m:r>
                  <w:rPr>
                    <w:rFonts w:ascii="Cambria Math" w:hAnsi="Cambria Math" w:cs="Times New Roman"/>
                    <w:highlight w:val="yellow"/>
                  </w:rPr>
                  <m:t>t-k</m:t>
                </m:r>
              </m:sub>
            </m:sSub>
            <m:r>
              <m:rPr>
                <m:sty m:val="p"/>
              </m:rPr>
              <w:rPr>
                <w:rFonts w:ascii="Cambria Math" w:hAnsi="Cambria Math"/>
                <w:highlight w:val="yellow"/>
                <w:lang w:val="en-US"/>
              </w:rPr>
              <m:t xml:space="preserve"> +</m:t>
            </m:r>
            <m:nary>
              <m:naryPr>
                <m:chr m:val="∑"/>
                <m:limLoc m:val="undOvr"/>
                <m:grow m:val="1"/>
                <m:ctrlPr>
                  <w:rPr>
                    <w:rFonts w:ascii="Cambria Math" w:hAnsi="Cambria Math"/>
                    <w:highlight w:val="yellow"/>
                  </w:rPr>
                </m:ctrlPr>
              </m:naryPr>
              <m:sub>
                <m:r>
                  <w:rPr>
                    <w:rFonts w:ascii="Cambria Math" w:hAnsi="Cambria Math"/>
                    <w:highlight w:val="yellow"/>
                  </w:rPr>
                  <m:t>m=0</m:t>
                </m:r>
              </m:sub>
              <m:sup>
                <m:r>
                  <w:rPr>
                    <w:rFonts w:ascii="Cambria Math" w:hAnsi="Cambria Math"/>
                    <w:highlight w:val="yellow"/>
                  </w:rPr>
                  <m:t>q3</m:t>
                </m:r>
              </m:sup>
              <m:e>
                <m:sSub>
                  <m:sSubPr>
                    <m:ctrlPr>
                      <w:rPr>
                        <w:rFonts w:ascii="Cambria Math" w:hAnsi="Cambria Math"/>
                        <w:highlight w:val="yellow"/>
                      </w:rPr>
                    </m:ctrlPr>
                  </m:sSubPr>
                  <m:e>
                    <m:r>
                      <m:rPr>
                        <m:sty m:val="p"/>
                      </m:rPr>
                      <w:rPr>
                        <w:rFonts w:ascii="Cambria Math" w:hAnsi="Cambria Math"/>
                        <w:highlight w:val="yellow"/>
                        <w:lang w:val="en-US"/>
                      </w:rPr>
                      <m:t>γ</m:t>
                    </m:r>
                  </m:e>
                  <m:sub>
                    <m:r>
                      <w:rPr>
                        <w:rFonts w:ascii="Cambria Math" w:hAnsi="Cambria Math"/>
                        <w:highlight w:val="yellow"/>
                      </w:rPr>
                      <m:t>m</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lnEG</m:t>
                </m:r>
              </m:e>
              <m:sub>
                <m:r>
                  <w:rPr>
                    <w:rFonts w:ascii="Cambria Math" w:hAnsi="Cambria Math" w:cs="Times New Roman"/>
                    <w:highlight w:val="yellow"/>
                  </w:rPr>
                  <m:t>t-m</m:t>
                </m:r>
              </m:sub>
            </m:sSub>
            <m:r>
              <w:rPr>
                <w:rFonts w:ascii="Cambria Math" w:hAnsi="Cambria Math" w:cs="Times New Roman"/>
                <w:highlight w:val="yellow"/>
              </w:rPr>
              <m:t xml:space="preserve"> </m:t>
            </m:r>
            <m:r>
              <m:rPr>
                <m:sty m:val="p"/>
              </m:rPr>
              <w:rPr>
                <w:rFonts w:ascii="Cambria Math" w:hAnsi="Cambria Math"/>
                <w:highlight w:val="yellow"/>
                <w:lang w:val="en-US"/>
              </w:rPr>
              <m:t>+</m:t>
            </m:r>
            <m:nary>
              <m:naryPr>
                <m:chr m:val="∑"/>
                <m:limLoc m:val="undOvr"/>
                <m:grow m:val="1"/>
                <m:ctrlPr>
                  <w:rPr>
                    <w:rFonts w:ascii="Cambria Math" w:hAnsi="Cambria Math"/>
                    <w:highlight w:val="yellow"/>
                  </w:rPr>
                </m:ctrlPr>
              </m:naryPr>
              <m:sub>
                <m:r>
                  <w:rPr>
                    <w:rFonts w:ascii="Cambria Math" w:hAnsi="Cambria Math"/>
                    <w:highlight w:val="yellow"/>
                  </w:rPr>
                  <m:t>n=0</m:t>
                </m:r>
              </m:sub>
              <m:sup>
                <m:r>
                  <w:rPr>
                    <w:rFonts w:ascii="Cambria Math" w:hAnsi="Cambria Math"/>
                    <w:highlight w:val="yellow"/>
                  </w:rPr>
                  <m:t>q4</m:t>
                </m:r>
              </m:sup>
              <m:e>
                <m:sSub>
                  <m:sSubPr>
                    <m:ctrlPr>
                      <w:rPr>
                        <w:rFonts w:ascii="Cambria Math" w:hAnsi="Cambria Math"/>
                        <w:highlight w:val="yellow"/>
                      </w:rPr>
                    </m:ctrlPr>
                  </m:sSubPr>
                  <m:e>
                    <m:r>
                      <w:rPr>
                        <w:rFonts w:ascii="Cambria Math" w:hAnsi="Cambria Math"/>
                        <w:highlight w:val="yellow"/>
                      </w:rPr>
                      <m:t>θ</m:t>
                    </m:r>
                  </m:e>
                  <m:sub>
                    <m:r>
                      <w:rPr>
                        <w:rFonts w:ascii="Cambria Math" w:hAnsi="Cambria Math"/>
                        <w:highlight w:val="yellow"/>
                      </w:rPr>
                      <m:t>n</m:t>
                    </m:r>
                  </m:sub>
                </m:sSub>
              </m:e>
            </m:nary>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lnER</m:t>
                </m:r>
              </m:e>
              <m:sub>
                <m:r>
                  <w:rPr>
                    <w:rFonts w:ascii="Cambria Math" w:hAnsi="Cambria Math" w:cs="Times New Roman"/>
                    <w:highlight w:val="yellow"/>
                  </w:rPr>
                  <m:t>t-n</m:t>
                </m:r>
              </m:sub>
            </m:sSub>
            <m:r>
              <m:rPr>
                <m:sty m:val="p"/>
              </m:rPr>
              <w:rPr>
                <w:rFonts w:ascii="Cambria Math" w:hAnsi="Cambria Math"/>
                <w:highlight w:val="yellow"/>
                <w:lang w:val="en-US"/>
              </w:rPr>
              <m:t>+λECT</m:t>
            </m:r>
          </m:e>
          <m:sub>
            <m:r>
              <w:rPr>
                <w:rFonts w:ascii="Cambria Math" w:hAnsi="Cambria Math"/>
                <w:highlight w:val="yellow"/>
              </w:rPr>
              <m:t>t-1</m:t>
            </m:r>
          </m:sub>
        </m:sSub>
      </m:oMath>
      <w:r w:rsidR="004E181B" w:rsidRPr="00B93497">
        <w:rPr>
          <w:rFonts w:eastAsiaTheme="minorEastAsia"/>
          <w:highlight w:val="yellow"/>
        </w:rPr>
        <w:t xml:space="preserve">+ </w:t>
      </w:r>
      <w:r w:rsidR="004E181B" w:rsidRPr="00B93497">
        <w:rPr>
          <w:rFonts w:eastAsiaTheme="minorEastAsia" w:cstheme="minorHAnsi"/>
          <w:highlight w:val="yellow"/>
        </w:rPr>
        <w:t>φ</w:t>
      </w:r>
      <m:oMath>
        <m:sSub>
          <m:sSubPr>
            <m:ctrlPr>
              <w:rPr>
                <w:rFonts w:ascii="Cambria Math" w:hAnsi="Cambria Math" w:cs="Times New Roman"/>
                <w:i/>
                <w:highlight w:val="yellow"/>
              </w:rPr>
            </m:ctrlPr>
          </m:sSubPr>
          <m:e>
            <m:r>
              <w:rPr>
                <w:rFonts w:ascii="Cambria Math" w:hAnsi="Cambria Math" w:cs="Times New Roman"/>
                <w:highlight w:val="yellow"/>
              </w:rPr>
              <m:t>DUM1</m:t>
            </m:r>
          </m:e>
          <m:sub>
            <m:r>
              <w:rPr>
                <w:rFonts w:ascii="Cambria Math" w:hAnsi="Cambria Math" w:cs="Times New Roman"/>
                <w:highlight w:val="yellow"/>
              </w:rPr>
              <m:t>t</m:t>
            </m:r>
          </m:sub>
        </m:sSub>
      </m:oMath>
      <w:r w:rsidR="004E181B" w:rsidRPr="00B93497">
        <w:rPr>
          <w:rFonts w:eastAsiaTheme="minorEastAsia" w:cstheme="minorHAnsi"/>
          <w:highlight w:val="yellow"/>
        </w:rPr>
        <w:t>+</w:t>
      </w:r>
      <m:oMath>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t</m:t>
            </m:r>
          </m:sub>
        </m:sSub>
      </m:oMath>
    </w:p>
    <w:p w14:paraId="6E3A3CDA" w14:textId="242A8F63" w:rsidR="001E6DD8" w:rsidRPr="00B93497" w:rsidRDefault="001E6DD8" w:rsidP="001678A6">
      <w:pPr>
        <w:jc w:val="both"/>
        <w:rPr>
          <w:rFonts w:ascii="Times New Roman" w:eastAsiaTheme="minorEastAsia" w:hAnsi="Times New Roman" w:cs="Times New Roman"/>
          <w:highlight w:val="yellow"/>
        </w:rPr>
      </w:pPr>
      <w:r w:rsidRPr="00B93497">
        <w:rPr>
          <w:rFonts w:ascii="Times New Roman" w:eastAsiaTheme="minorEastAsia" w:hAnsi="Times New Roman" w:cs="Times New Roman"/>
          <w:highlight w:val="yellow"/>
        </w:rPr>
        <w:t xml:space="preserve">Where: </w:t>
      </w:r>
    </w:p>
    <w:p w14:paraId="1A9FA1E4" w14:textId="358F69A8" w:rsidR="001E6DD8" w:rsidRPr="00B93497" w:rsidRDefault="001E6DD8" w:rsidP="001E6DD8">
      <w:pPr>
        <w:pStyle w:val="ListParagraph"/>
        <w:numPr>
          <w:ilvl w:val="0"/>
          <w:numId w:val="3"/>
        </w:numPr>
        <w:jc w:val="both"/>
        <w:rPr>
          <w:rFonts w:ascii="Times New Roman" w:hAnsi="Times New Roman" w:cs="Times New Roman"/>
          <w:highlight w:val="yellow"/>
        </w:rPr>
      </w:pPr>
      <m:oMath>
        <m:r>
          <w:rPr>
            <w:rFonts w:ascii="Cambria Math" w:hAnsi="Cambria Math" w:cs="Times New Roman"/>
            <w:highlight w:val="yellow"/>
          </w:rPr>
          <m:t>△</m:t>
        </m:r>
      </m:oMath>
      <w:r w:rsidRPr="00B93497">
        <w:rPr>
          <w:rFonts w:ascii="Times New Roman" w:hAnsi="Times New Roman" w:cs="Times New Roman"/>
          <w:highlight w:val="yellow"/>
        </w:rPr>
        <w:t xml:space="preserve">= First-difference operator (e.g., </w:t>
      </w:r>
      <m:oMath>
        <m:r>
          <w:rPr>
            <w:rFonts w:ascii="Cambria Math" w:hAnsi="Cambria Math" w:cs="Times New Roman"/>
            <w:highlight w:val="yellow"/>
          </w:rPr>
          <m:t>△</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r>
          <w:rPr>
            <w:rFonts w:ascii="Cambria Math" w:hAnsi="Cambria Math" w:cs="Times New Roman"/>
            <w:highlight w:val="yellow"/>
          </w:rPr>
          <m:t xml:space="preserve">= </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m:t>
            </m:r>
          </m:sub>
        </m:sSub>
        <m:r>
          <w:rPr>
            <w:rFonts w:ascii="Cambria Math" w:hAnsi="Cambria Math" w:cs="Times New Roman"/>
            <w:highlight w:val="yellow"/>
          </w:rPr>
          <m:t xml:space="preserve">= </m:t>
        </m:r>
        <m:sSub>
          <m:sSubPr>
            <m:ctrlPr>
              <w:rPr>
                <w:rFonts w:ascii="Cambria Math" w:hAnsi="Cambria Math" w:cs="Times New Roman"/>
                <w:i/>
                <w:highlight w:val="yellow"/>
              </w:rPr>
            </m:ctrlPr>
          </m:sSubPr>
          <m:e>
            <m:r>
              <m:rPr>
                <m:sty m:val="p"/>
              </m:rPr>
              <w:rPr>
                <w:rFonts w:ascii="Cambria Math" w:hAnsi="Cambria Math" w:cs="Times New Roman"/>
                <w:highlight w:val="yellow"/>
              </w:rPr>
              <m:t>lnFDI</m:t>
            </m:r>
          </m:e>
          <m:sub>
            <m:r>
              <w:rPr>
                <w:rFonts w:ascii="Cambria Math" w:hAnsi="Cambria Math" w:cs="Times New Roman"/>
                <w:highlight w:val="yellow"/>
              </w:rPr>
              <m:t>t-1</m:t>
            </m:r>
          </m:sub>
        </m:sSub>
      </m:oMath>
      <w:r w:rsidRPr="00B93497">
        <w:rPr>
          <w:rFonts w:ascii="Times New Roman" w:eastAsiaTheme="minorEastAsia" w:hAnsi="Times New Roman" w:cs="Times New Roman"/>
          <w:highlight w:val="yellow"/>
        </w:rPr>
        <w:t>)</w:t>
      </w:r>
    </w:p>
    <w:p w14:paraId="3C1FFC1D" w14:textId="5AD80469" w:rsidR="001E6DD8" w:rsidRPr="00B93497" w:rsidRDefault="001E6DD8" w:rsidP="001E6DD8">
      <w:pPr>
        <w:pStyle w:val="ListParagraph"/>
        <w:numPr>
          <w:ilvl w:val="0"/>
          <w:numId w:val="3"/>
        </w:numPr>
        <w:jc w:val="both"/>
        <w:rPr>
          <w:rFonts w:ascii="Times New Roman" w:hAnsi="Times New Roman" w:cs="Times New Roman"/>
          <w:highlight w:val="yellow"/>
        </w:rPr>
      </w:pPr>
      <m:oMath>
        <m:r>
          <w:rPr>
            <w:rFonts w:ascii="Cambria Math" w:hAnsi="Cambria Math"/>
            <w:highlight w:val="yellow"/>
          </w:rPr>
          <m:t>p</m:t>
        </m:r>
      </m:oMath>
      <w:r w:rsidRPr="00B93497">
        <w:rPr>
          <w:rFonts w:ascii="Times New Roman" w:hAnsi="Times New Roman" w:cs="Times New Roman"/>
          <w:highlight w:val="yellow"/>
        </w:rPr>
        <w:t>,</w:t>
      </w:r>
      <w:r w:rsidRPr="00B93497">
        <w:rPr>
          <w:rFonts w:ascii="Cambria Math" w:hAnsi="Cambria Math"/>
          <w:highlight w:val="yellow"/>
        </w:rPr>
        <w:t xml:space="preserve"> </w:t>
      </w:r>
      <m:oMath>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1, </m:t>
            </m:r>
          </m:sub>
        </m:sSub>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2, </m:t>
            </m:r>
          </m:sub>
        </m:sSub>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3, </m:t>
            </m:r>
          </m:sub>
        </m:sSub>
      </m:oMath>
      <w:r w:rsidRPr="00B93497">
        <w:rPr>
          <w:rFonts w:ascii="Times New Roman" w:hAnsi="Times New Roman" w:cs="Times New Roman"/>
          <w:highlight w:val="yellow"/>
        </w:rPr>
        <w:t xml:space="preserve"> </w:t>
      </w:r>
      <m:oMath>
        <m:sSub>
          <m:sSubPr>
            <m:ctrlPr>
              <w:rPr>
                <w:rFonts w:ascii="Cambria Math" w:hAnsi="Cambria Math"/>
                <w:highlight w:val="yellow"/>
              </w:rPr>
            </m:ctrlPr>
          </m:sSubPr>
          <m:e>
            <m:r>
              <m:rPr>
                <m:sty m:val="p"/>
              </m:rPr>
              <w:rPr>
                <w:rFonts w:ascii="Cambria Math" w:hAnsi="Cambria Math"/>
                <w:highlight w:val="yellow"/>
                <w:lang w:val="en-US"/>
              </w:rPr>
              <m:t>q</m:t>
            </m:r>
          </m:e>
          <m:sub>
            <m:r>
              <w:rPr>
                <w:rFonts w:ascii="Cambria Math" w:hAnsi="Cambria Math"/>
                <w:highlight w:val="yellow"/>
              </w:rPr>
              <m:t xml:space="preserve">4 </m:t>
            </m:r>
          </m:sub>
        </m:sSub>
      </m:oMath>
      <w:r w:rsidRPr="00B93497">
        <w:rPr>
          <w:rFonts w:ascii="Times New Roman" w:hAnsi="Times New Roman" w:cs="Times New Roman"/>
          <w:highlight w:val="yellow"/>
        </w:rPr>
        <w:t>= Optimal lag lengths selected using AIC or BIC criteria</w:t>
      </w:r>
    </w:p>
    <w:p w14:paraId="6425B884" w14:textId="6D99B60C" w:rsidR="00C16010" w:rsidRPr="00B93497" w:rsidRDefault="00000000" w:rsidP="00FE798B">
      <w:pPr>
        <w:pStyle w:val="ListParagraph"/>
        <w:numPr>
          <w:ilvl w:val="0"/>
          <w:numId w:val="3"/>
        </w:numPr>
        <w:spacing w:after="0"/>
        <w:jc w:val="both"/>
        <w:rPr>
          <w:rFonts w:ascii="Times New Roman" w:hAnsi="Times New Roman" w:cs="Times New Roman"/>
          <w:b/>
          <w:bCs/>
          <w:highlight w:val="yellow"/>
        </w:rPr>
      </w:pP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007A4E79" w:rsidRPr="00B93497">
        <w:rPr>
          <w:rFonts w:ascii="Times New Roman" w:hAnsi="Times New Roman" w:cs="Times New Roman"/>
          <w:highlight w:val="yellow"/>
        </w:rPr>
        <w:t xml:space="preserve">= </w:t>
      </w:r>
      <w:r w:rsidR="00C16010" w:rsidRPr="00B93497">
        <w:rPr>
          <w:rFonts w:ascii="Times New Roman" w:hAnsi="Times New Roman" w:cs="Times New Roman"/>
          <w:highlight w:val="yellow"/>
        </w:rPr>
        <w:t>Lagged residual term from the long-run cointegrating equation (</w:t>
      </w:r>
      <m:oMath>
        <m:sSub>
          <m:sSubPr>
            <m:ctrlPr>
              <w:rPr>
                <w:rFonts w:ascii="Cambria Math" w:hAnsi="Cambria Math" w:cs="Times New Roman"/>
                <w:i/>
                <w:highlight w:val="yellow"/>
              </w:rPr>
            </m:ctrlPr>
          </m:sSubPr>
          <m:e>
            <m:r>
              <m:rPr>
                <m:sty m:val="p"/>
              </m:rPr>
              <w:rPr>
                <w:rFonts w:ascii="Cambria Math" w:hAnsi="Cambria Math" w:cs="Times New Roman"/>
                <w:highlight w:val="yellow"/>
              </w:rPr>
              <m:t>ECT</m:t>
            </m:r>
          </m:e>
          <m:sub>
            <m:r>
              <w:rPr>
                <w:rFonts w:ascii="Cambria Math" w:hAnsi="Cambria Math" w:cs="Times New Roman"/>
                <w:highlight w:val="yellow"/>
              </w:rPr>
              <m:t>t-1</m:t>
            </m:r>
          </m:sub>
        </m:sSub>
      </m:oMath>
      <w:r w:rsidR="00C16010" w:rsidRPr="00B93497">
        <w:rPr>
          <w:rFonts w:ascii="Times New Roman" w:eastAsiaTheme="minorEastAsia" w:hAnsi="Times New Roman" w:cs="Times New Roman"/>
          <w:highlight w:val="yellow"/>
        </w:rPr>
        <w:t>=</w:t>
      </w:r>
      <m:oMath>
        <m:sSub>
          <m:sSubPr>
            <m:ctrlPr>
              <w:rPr>
                <w:rFonts w:ascii="Cambria Math" w:hAnsi="Cambria Math" w:cs="Times New Roman"/>
                <w:i/>
                <w:highlight w:val="yellow"/>
              </w:rPr>
            </m:ctrlPr>
          </m:sSubPr>
          <m:e>
            <m:r>
              <w:rPr>
                <w:rFonts w:ascii="Cambria Math" w:hAnsi="Cambria Math" w:cs="Times New Roman"/>
                <w:highlight w:val="yellow"/>
              </w:rPr>
              <m:t xml:space="preserve"> ε</m:t>
            </m:r>
          </m:e>
          <m:sub>
            <m:r>
              <w:rPr>
                <w:rFonts w:ascii="Cambria Math" w:hAnsi="Cambria Math" w:cs="Times New Roman"/>
                <w:highlight w:val="yellow"/>
              </w:rPr>
              <m:t>t-1</m:t>
            </m:r>
          </m:sub>
        </m:sSub>
      </m:oMath>
      <w:r w:rsidR="00C16010" w:rsidRPr="00B93497">
        <w:rPr>
          <w:rFonts w:ascii="Times New Roman" w:eastAsiaTheme="minorEastAsia" w:hAnsi="Times New Roman" w:cs="Times New Roman"/>
          <w:highlight w:val="yellow"/>
        </w:rPr>
        <w:t>)</w:t>
      </w:r>
    </w:p>
    <w:p w14:paraId="6879799D" w14:textId="194C3452" w:rsidR="00C16010" w:rsidRPr="00B93497" w:rsidRDefault="007A4E79" w:rsidP="00FE798B">
      <w:pPr>
        <w:pStyle w:val="ListParagraph"/>
        <w:numPr>
          <w:ilvl w:val="0"/>
          <w:numId w:val="3"/>
        </w:numPr>
        <w:spacing w:after="0"/>
        <w:jc w:val="both"/>
        <w:rPr>
          <w:rFonts w:ascii="Times New Roman" w:hAnsi="Times New Roman" w:cs="Times New Roman"/>
          <w:highlight w:val="yellow"/>
        </w:rPr>
      </w:pPr>
      <m:oMath>
        <m:r>
          <m:rPr>
            <m:sty m:val="p"/>
          </m:rPr>
          <w:rPr>
            <w:rFonts w:ascii="Cambria Math" w:hAnsi="Cambria Math"/>
            <w:highlight w:val="yellow"/>
            <w:lang w:val="en-US"/>
          </w:rPr>
          <m:t>λ</m:t>
        </m:r>
      </m:oMath>
      <w:r w:rsidRPr="00B93497">
        <w:rPr>
          <w:rFonts w:ascii="Times New Roman" w:hAnsi="Times New Roman" w:cs="Times New Roman"/>
          <w:highlight w:val="yellow"/>
        </w:rPr>
        <w:t>= Speed of adjustment coefficient</w:t>
      </w:r>
    </w:p>
    <w:p w14:paraId="15648EB2" w14:textId="696E1B98" w:rsidR="007A4E79" w:rsidRPr="00B93497" w:rsidRDefault="00000000" w:rsidP="00FE798B">
      <w:pPr>
        <w:pStyle w:val="ListParagraph"/>
        <w:numPr>
          <w:ilvl w:val="0"/>
          <w:numId w:val="3"/>
        </w:numPr>
        <w:spacing w:after="0"/>
        <w:jc w:val="both"/>
        <w:rPr>
          <w:rFonts w:ascii="Times New Roman" w:hAnsi="Times New Roman" w:cs="Times New Roman"/>
          <w:highlight w:val="yellow"/>
        </w:rPr>
      </w:pPr>
      <m:oMath>
        <m:sSub>
          <m:sSubPr>
            <m:ctrlPr>
              <w:rPr>
                <w:rFonts w:ascii="Cambria Math" w:hAnsi="Cambria Math"/>
                <w:highlight w:val="yellow"/>
              </w:rPr>
            </m:ctrlPr>
          </m:sSubPr>
          <m:e>
            <m:r>
              <m:rPr>
                <m:sty m:val="p"/>
              </m:rPr>
              <w:rPr>
                <w:rFonts w:ascii="Cambria Math" w:hAnsi="Cambria Math"/>
                <w:highlight w:val="yellow"/>
                <w:lang w:val="en-US"/>
              </w:rPr>
              <m:t>μ</m:t>
            </m:r>
          </m:e>
          <m:sub>
            <m:r>
              <w:rPr>
                <w:rFonts w:ascii="Cambria Math" w:hAnsi="Cambria Math"/>
                <w:highlight w:val="yellow"/>
              </w:rPr>
              <m:t>t</m:t>
            </m:r>
          </m:sub>
        </m:sSub>
      </m:oMath>
      <w:r w:rsidR="007A4E79" w:rsidRPr="00B93497">
        <w:rPr>
          <w:rFonts w:ascii="Times New Roman" w:hAnsi="Times New Roman" w:cs="Times New Roman"/>
          <w:highlight w:val="yellow"/>
        </w:rPr>
        <w:t>= Random error term</w:t>
      </w:r>
    </w:p>
    <w:p w14:paraId="31C40D93" w14:textId="746068DA" w:rsidR="007A4E79" w:rsidRPr="00B93497" w:rsidRDefault="00000000" w:rsidP="007A4E79">
      <w:pPr>
        <w:pStyle w:val="z1qcye"/>
        <w:numPr>
          <w:ilvl w:val="0"/>
          <w:numId w:val="3"/>
        </w:numPr>
        <w:spacing w:before="0" w:beforeAutospacing="0" w:after="0" w:afterAutospacing="0"/>
        <w:rPr>
          <w:rFonts w:ascii="Arial" w:hAnsi="Arial" w:cs="Arial"/>
          <w:highlight w:val="yellow"/>
        </w:rPr>
      </w:pPr>
      <m:oMath>
        <m:sSub>
          <m:sSubPr>
            <m:ctrlPr>
              <w:rPr>
                <w:rFonts w:ascii="Cambria Math" w:hAnsi="Cambria Math"/>
                <w:highlight w:val="yellow"/>
              </w:rPr>
            </m:ctrlPr>
          </m:sSubPr>
          <m:e>
            <m:r>
              <m:rPr>
                <m:sty m:val="p"/>
              </m:rPr>
              <w:rPr>
                <w:rFonts w:ascii="Cambria Math" w:hAnsi="Cambria Math"/>
                <w:highlight w:val="yellow"/>
              </w:rPr>
              <m:t>α</m:t>
            </m:r>
          </m:e>
          <m:sub>
            <m:r>
              <w:rPr>
                <w:rFonts w:ascii="Cambria Math" w:hAnsi="Cambria Math"/>
                <w:highlight w:val="yellow"/>
              </w:rPr>
              <m:t>i</m:t>
            </m:r>
          </m:sub>
        </m:sSub>
        <m:r>
          <w:rPr>
            <w:rFonts w:ascii="Cambria Math" w:hAnsi="Cambria Math"/>
            <w:highlight w:val="yellow"/>
          </w:rPr>
          <m:t xml:space="preserve">, </m:t>
        </m:r>
        <m:sSub>
          <m:sSubPr>
            <m:ctrlPr>
              <w:rPr>
                <w:rFonts w:ascii="Cambria Math" w:hAnsi="Cambria Math"/>
                <w:highlight w:val="yellow"/>
              </w:rPr>
            </m:ctrlPr>
          </m:sSubPr>
          <m:e>
            <m:r>
              <m:rPr>
                <m:sty m:val="p"/>
              </m:rPr>
              <w:rPr>
                <w:rFonts w:ascii="Cambria Math" w:hAnsi="Cambria Math"/>
                <w:highlight w:val="yellow"/>
              </w:rPr>
              <m:t>μ</m:t>
            </m:r>
          </m:e>
          <m:sub>
            <m:r>
              <w:rPr>
                <w:rFonts w:ascii="Cambria Math" w:hAnsi="Cambria Math"/>
                <w:highlight w:val="yellow"/>
              </w:rPr>
              <m:t>j</m:t>
            </m:r>
          </m:sub>
        </m:sSub>
        <m:r>
          <w:rPr>
            <w:rFonts w:ascii="Cambria Math" w:hAnsi="Cambria Math"/>
            <w:highlight w:val="yellow"/>
          </w:rPr>
          <m:t xml:space="preserve">, </m:t>
        </m:r>
        <m:sSub>
          <m:sSubPr>
            <m:ctrlPr>
              <w:rPr>
                <w:rFonts w:ascii="Cambria Math" w:hAnsi="Cambria Math"/>
                <w:highlight w:val="yellow"/>
              </w:rPr>
            </m:ctrlPr>
          </m:sSubPr>
          <m:e>
            <m:r>
              <w:rPr>
                <w:rFonts w:ascii="Cambria Math" w:hAnsi="Cambria Math"/>
                <w:highlight w:val="yellow"/>
              </w:rPr>
              <m:t>δ</m:t>
            </m:r>
          </m:e>
          <m:sub>
            <m:r>
              <w:rPr>
                <w:rFonts w:ascii="Cambria Math" w:hAnsi="Cambria Math"/>
                <w:highlight w:val="yellow"/>
              </w:rPr>
              <m:t>k</m:t>
            </m:r>
          </m:sub>
        </m:sSub>
        <m:r>
          <w:rPr>
            <w:rFonts w:ascii="Cambria Math" w:hAnsi="Cambria Math"/>
            <w:highlight w:val="yellow"/>
          </w:rPr>
          <m:t xml:space="preserve">, </m:t>
        </m:r>
        <m:sSub>
          <m:sSubPr>
            <m:ctrlPr>
              <w:rPr>
                <w:rFonts w:ascii="Cambria Math" w:hAnsi="Cambria Math"/>
                <w:highlight w:val="yellow"/>
              </w:rPr>
            </m:ctrlPr>
          </m:sSubPr>
          <m:e>
            <m:r>
              <m:rPr>
                <m:sty m:val="p"/>
              </m:rPr>
              <w:rPr>
                <w:rFonts w:ascii="Cambria Math" w:hAnsi="Cambria Math"/>
                <w:highlight w:val="yellow"/>
              </w:rPr>
              <m:t>γ</m:t>
            </m:r>
          </m:e>
          <m:sub>
            <m:r>
              <w:rPr>
                <w:rFonts w:ascii="Cambria Math" w:hAnsi="Cambria Math"/>
                <w:highlight w:val="yellow"/>
              </w:rPr>
              <m:t>m</m:t>
            </m:r>
          </m:sub>
        </m:sSub>
        <m:r>
          <w:rPr>
            <w:rFonts w:ascii="Cambria Math" w:hAnsi="Cambria Math"/>
            <w:highlight w:val="yellow"/>
          </w:rPr>
          <m:t xml:space="preserve">, </m:t>
        </m:r>
        <m:sSub>
          <m:sSubPr>
            <m:ctrlPr>
              <w:rPr>
                <w:rFonts w:ascii="Cambria Math" w:hAnsi="Cambria Math"/>
                <w:highlight w:val="yellow"/>
              </w:rPr>
            </m:ctrlPr>
          </m:sSubPr>
          <m:e>
            <m:r>
              <w:rPr>
                <w:rFonts w:ascii="Cambria Math" w:hAnsi="Cambria Math"/>
                <w:highlight w:val="yellow"/>
              </w:rPr>
              <m:t>θ</m:t>
            </m:r>
          </m:e>
          <m:sub>
            <m:r>
              <w:rPr>
                <w:rFonts w:ascii="Cambria Math" w:hAnsi="Cambria Math"/>
                <w:highlight w:val="yellow"/>
              </w:rPr>
              <m:t>n</m:t>
            </m:r>
          </m:sub>
        </m:sSub>
      </m:oMath>
      <w:r w:rsidR="007A4E79" w:rsidRPr="00B93497">
        <w:rPr>
          <w:rStyle w:val="inqyif"/>
          <w:rFonts w:ascii="Arial" w:eastAsiaTheme="majorEastAsia" w:hAnsi="Arial" w:cs="Arial"/>
          <w:highlight w:val="yellow"/>
        </w:rPr>
        <w:t xml:space="preserve">= </w:t>
      </w:r>
      <w:r w:rsidR="007A4E79" w:rsidRPr="00B93497">
        <w:rPr>
          <w:rStyle w:val="inqyif"/>
          <w:rFonts w:eastAsiaTheme="majorEastAsia"/>
          <w:highlight w:val="yellow"/>
        </w:rPr>
        <w:t>Coefficients capturing short-run effects of the explanatory variables</w:t>
      </w:r>
      <w:r w:rsidR="00607611" w:rsidRPr="00B93497">
        <w:rPr>
          <w:rStyle w:val="inqyif"/>
          <w:rFonts w:eastAsiaTheme="majorEastAsia"/>
          <w:highlight w:val="yellow"/>
        </w:rPr>
        <w:t xml:space="preserve">  </w:t>
      </w:r>
    </w:p>
    <w:p w14:paraId="7B733123" w14:textId="77777777" w:rsidR="007A4E79" w:rsidRPr="00B93497" w:rsidRDefault="007A4E79" w:rsidP="00607611">
      <w:pPr>
        <w:spacing w:after="0"/>
        <w:ind w:left="360"/>
        <w:jc w:val="both"/>
        <w:rPr>
          <w:rFonts w:ascii="Times New Roman" w:hAnsi="Times New Roman" w:cs="Times New Roman"/>
          <w:highlight w:val="yellow"/>
        </w:rPr>
      </w:pPr>
    </w:p>
    <w:p w14:paraId="43BE879E" w14:textId="08FF93D6" w:rsidR="001F6C41" w:rsidRPr="00607611" w:rsidRDefault="00607611" w:rsidP="00B17D93">
      <w:pPr>
        <w:spacing w:after="0"/>
        <w:ind w:left="360"/>
        <w:jc w:val="both"/>
        <w:rPr>
          <w:rFonts w:ascii="Times New Roman" w:hAnsi="Times New Roman" w:cs="Times New Roman"/>
        </w:rPr>
      </w:pPr>
      <w:r w:rsidRPr="00B93497">
        <w:rPr>
          <w:rFonts w:ascii="Times New Roman" w:hAnsi="Times New Roman" w:cs="Times New Roman"/>
          <w:highlight w:val="yellow"/>
        </w:rPr>
        <w:t>The coefficient of the error correction term (</w:t>
      </w:r>
      <m:oMath>
        <m:r>
          <m:rPr>
            <m:sty m:val="p"/>
          </m:rPr>
          <w:rPr>
            <w:rFonts w:ascii="Cambria Math" w:hAnsi="Cambria Math"/>
            <w:highlight w:val="yellow"/>
            <w:lang w:val="en-US"/>
          </w:rPr>
          <m:t>λ</m:t>
        </m:r>
      </m:oMath>
      <w:r w:rsidRPr="00B93497">
        <w:rPr>
          <w:rFonts w:ascii="Times New Roman" w:hAnsi="Times New Roman" w:cs="Times New Roman"/>
          <w:highlight w:val="yellow"/>
        </w:rPr>
        <w:t>) is expected to be negative and statistically significant (-1</w:t>
      </w:r>
      <w:r w:rsidRPr="00B93497">
        <w:rPr>
          <w:highlight w:val="yellow"/>
        </w:rPr>
        <w:t xml:space="preserve"> </w:t>
      </w:r>
      <w:r w:rsidRPr="00B93497">
        <w:rPr>
          <w:rFonts w:ascii="Times New Roman" w:hAnsi="Times New Roman" w:cs="Times New Roman"/>
          <w:highlight w:val="yellow"/>
        </w:rPr>
        <w:t>&lt;</w:t>
      </w:r>
      <w:r w:rsidRPr="00B93497">
        <w:rPr>
          <w:rFonts w:ascii="Cambria Math" w:hAnsi="Cambria Math"/>
          <w:highlight w:val="yellow"/>
          <w:lang w:val="en-US"/>
        </w:rPr>
        <w:t xml:space="preserve"> </w:t>
      </w:r>
      <m:oMath>
        <m:r>
          <m:rPr>
            <m:sty m:val="p"/>
          </m:rPr>
          <w:rPr>
            <w:rFonts w:ascii="Cambria Math" w:hAnsi="Cambria Math"/>
            <w:highlight w:val="yellow"/>
            <w:lang w:val="en-US"/>
          </w:rPr>
          <m:t>λ</m:t>
        </m:r>
        <m:r>
          <m:rPr>
            <m:sty m:val="p"/>
          </m:rPr>
          <w:rPr>
            <w:rFonts w:ascii="Cambria Math" w:hAnsi="Cambria Math" w:cs="Times New Roman"/>
            <w:highlight w:val="yellow"/>
          </w:rPr>
          <m:t>&lt;</m:t>
        </m:r>
        <m:r>
          <m:rPr>
            <m:sty m:val="p"/>
          </m:rPr>
          <w:rPr>
            <w:rFonts w:ascii="Cambria Math" w:hAnsi="Cambria Math"/>
            <w:highlight w:val="yellow"/>
            <w:lang w:val="en-US"/>
          </w:rPr>
          <m:t>0)</m:t>
        </m:r>
      </m:oMath>
      <w:r w:rsidRPr="00B93497">
        <w:rPr>
          <w:rFonts w:ascii="Times New Roman" w:hAnsi="Times New Roman" w:cs="Times New Roman"/>
          <w:highlight w:val="yellow"/>
        </w:rPr>
        <w:t>. A negative and significant coefficient indicates that deviations from the long-run equilibrium are corrected over time. The size of the coefficient shows the speed at which FDI returns towards its long-run equilibrium following a short-run disturbance.</w:t>
      </w:r>
      <w:r>
        <w:rPr>
          <w:rFonts w:ascii="Times New Roman" w:hAnsi="Times New Roman" w:cs="Times New Roman"/>
        </w:rPr>
        <w:t xml:space="preserve"> </w:t>
      </w:r>
    </w:p>
    <w:p w14:paraId="58879767" w14:textId="77777777" w:rsidR="00C16010" w:rsidRDefault="00C16010" w:rsidP="00C16010">
      <w:pPr>
        <w:pStyle w:val="ListParagraph"/>
        <w:spacing w:after="0"/>
        <w:jc w:val="both"/>
        <w:rPr>
          <w:rFonts w:ascii="Times New Roman" w:hAnsi="Times New Roman" w:cs="Times New Roman"/>
          <w:b/>
          <w:bCs/>
        </w:rPr>
      </w:pPr>
    </w:p>
    <w:p w14:paraId="7BAFC5E7" w14:textId="77777777" w:rsidR="001F6C41" w:rsidRPr="00B17D93" w:rsidRDefault="00FE798B" w:rsidP="00B17D93">
      <w:pPr>
        <w:spacing w:after="0"/>
        <w:jc w:val="both"/>
        <w:rPr>
          <w:rFonts w:ascii="Times New Roman" w:hAnsi="Times New Roman" w:cs="Times New Roman"/>
          <w:b/>
          <w:bCs/>
          <w:highlight w:val="green"/>
        </w:rPr>
      </w:pPr>
      <w:r w:rsidRPr="00B17D93">
        <w:rPr>
          <w:rFonts w:ascii="Times New Roman" w:hAnsi="Times New Roman" w:cs="Times New Roman"/>
          <w:b/>
          <w:bCs/>
          <w:highlight w:val="green"/>
        </w:rPr>
        <w:t>3.5 Data Analysis and Estimation Procedure</w:t>
      </w:r>
    </w:p>
    <w:p w14:paraId="6141588B" w14:textId="77777777" w:rsidR="00B17D93" w:rsidRPr="00B17D93" w:rsidRDefault="00B17D93" w:rsidP="00B17D93">
      <w:pPr>
        <w:spacing w:after="0"/>
        <w:jc w:val="both"/>
        <w:rPr>
          <w:rFonts w:ascii="Times New Roman" w:hAnsi="Times New Roman" w:cs="Times New Roman"/>
          <w:highlight w:val="green"/>
          <w:lang w:val="en-US"/>
        </w:rPr>
      </w:pPr>
      <w:r w:rsidRPr="00B17D93">
        <w:rPr>
          <w:rFonts w:ascii="Times New Roman" w:hAnsi="Times New Roman" w:cs="Times New Roman"/>
          <w:highlight w:val="green"/>
          <w:lang w:val="en-US"/>
        </w:rPr>
        <w:t xml:space="preserve">The data were analyzed using EViews, Stata, Excel, and Ox-Metrics. Before estimation, all continuous variables were transformed into natural logarithms to stabilize variance, linearize relationships, and allow the estimated parameters to be interpreted as elasticities. </w:t>
      </w:r>
    </w:p>
    <w:p w14:paraId="00E17488" w14:textId="77777777" w:rsidR="00B17D93" w:rsidRPr="00B17D93" w:rsidRDefault="00B17D93" w:rsidP="00B17D93">
      <w:pPr>
        <w:spacing w:after="0"/>
        <w:jc w:val="both"/>
        <w:rPr>
          <w:rFonts w:ascii="Times New Roman" w:hAnsi="Times New Roman" w:cs="Times New Roman"/>
          <w:highlight w:val="green"/>
          <w:lang w:val="en-US"/>
        </w:rPr>
      </w:pPr>
    </w:p>
    <w:p w14:paraId="72DE8802" w14:textId="4F970686" w:rsidR="00FE798B" w:rsidRPr="00B17D93" w:rsidRDefault="00B17D93" w:rsidP="00FE798B">
      <w:pPr>
        <w:spacing w:after="0"/>
        <w:jc w:val="both"/>
        <w:rPr>
          <w:rFonts w:ascii="Times New Roman" w:hAnsi="Times New Roman" w:cs="Times New Roman"/>
          <w:lang w:val="en-US"/>
        </w:rPr>
      </w:pPr>
      <w:r w:rsidRPr="00B17D93">
        <w:rPr>
          <w:rFonts w:ascii="Times New Roman" w:hAnsi="Times New Roman" w:cs="Times New Roman"/>
          <w:highlight w:val="green"/>
          <w:lang w:val="en-US"/>
        </w:rPr>
        <w:t>Given that unit-root tests indicated a combination of stationary I (0) and first-difference stationary I (1) series, the empirical estimation adopted an Autoregressive Distributed Lag (ARDL) bounds testing approach to cointegration (</w:t>
      </w:r>
      <w:proofErr w:type="spellStart"/>
      <w:r w:rsidRPr="00B17D93">
        <w:rPr>
          <w:rFonts w:ascii="Times New Roman" w:hAnsi="Times New Roman" w:cs="Times New Roman"/>
          <w:highlight w:val="green"/>
          <w:lang w:val="en-US"/>
        </w:rPr>
        <w:t>Pesaran</w:t>
      </w:r>
      <w:proofErr w:type="spellEnd"/>
      <w:r w:rsidRPr="00B17D93">
        <w:rPr>
          <w:rFonts w:ascii="Times New Roman" w:hAnsi="Times New Roman" w:cs="Times New Roman"/>
          <w:highlight w:val="green"/>
          <w:lang w:val="en-US"/>
        </w:rPr>
        <w:t xml:space="preserve"> et al., 2001) rather than a system-based Johansen Vector Error Correction Model (VECM). The estimation procedure followed these sequential steps.</w:t>
      </w:r>
    </w:p>
    <w:p w14:paraId="219A3A25" w14:textId="77777777" w:rsidR="00FE798B" w:rsidRPr="00734744" w:rsidRDefault="00FE798B" w:rsidP="00FE798B">
      <w:pPr>
        <w:spacing w:after="0"/>
        <w:jc w:val="both"/>
        <w:rPr>
          <w:rFonts w:ascii="Times New Roman" w:hAnsi="Times New Roman" w:cs="Times New Roman"/>
        </w:rPr>
      </w:pPr>
    </w:p>
    <w:p w14:paraId="5E14ADBC"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3.5.1 Stationarity Test</w:t>
      </w:r>
    </w:p>
    <w:p w14:paraId="5A59EC9F" w14:textId="77777777" w:rsidR="00FE798B"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study used the Phillips-Perron (PP) unit-root test to determine whether the variables were stationary or contained unit roots. Testing for stationarity was necessary because regression involving non-stationary time-series variables may produce misleading results or spurious regression relationships (Jin et al., 2016). </w:t>
      </w:r>
    </w:p>
    <w:p w14:paraId="68E11F46" w14:textId="77777777" w:rsidR="00FE798B" w:rsidRPr="00734744" w:rsidRDefault="00FE798B" w:rsidP="00FE798B">
      <w:pPr>
        <w:spacing w:after="0"/>
        <w:jc w:val="both"/>
        <w:rPr>
          <w:rFonts w:ascii="Times New Roman" w:hAnsi="Times New Roman" w:cs="Times New Roman"/>
        </w:rPr>
      </w:pPr>
    </w:p>
    <w:p w14:paraId="46D77C1C" w14:textId="77777777" w:rsidR="00FE798B" w:rsidRPr="00BF4163" w:rsidRDefault="00FE798B" w:rsidP="00FE798B">
      <w:pPr>
        <w:spacing w:after="0"/>
        <w:jc w:val="both"/>
        <w:rPr>
          <w:rFonts w:ascii="Times New Roman" w:hAnsi="Times New Roman" w:cs="Times New Roman"/>
          <w:b/>
          <w:bCs/>
          <w:highlight w:val="yellow"/>
        </w:rPr>
      </w:pPr>
      <w:r w:rsidRPr="00BF4163">
        <w:rPr>
          <w:rFonts w:ascii="Times New Roman" w:hAnsi="Times New Roman" w:cs="Times New Roman"/>
          <w:b/>
          <w:bCs/>
          <w:highlight w:val="yellow"/>
        </w:rPr>
        <w:lastRenderedPageBreak/>
        <w:t>3.5.2 Cointegration Test</w:t>
      </w:r>
    </w:p>
    <w:p w14:paraId="33E534C4" w14:textId="77777777" w:rsidR="005603C8" w:rsidRPr="005603C8" w:rsidRDefault="005603C8" w:rsidP="005603C8">
      <w:pPr>
        <w:spacing w:after="0"/>
        <w:jc w:val="both"/>
        <w:rPr>
          <w:rFonts w:ascii="Times New Roman" w:hAnsi="Times New Roman" w:cs="Times New Roman"/>
          <w:lang w:val="en-US"/>
        </w:rPr>
      </w:pPr>
      <w:r w:rsidRPr="005603C8">
        <w:rPr>
          <w:rFonts w:ascii="Times New Roman" w:hAnsi="Times New Roman" w:cs="Times New Roman"/>
          <w:highlight w:val="yellow"/>
          <w:lang w:val="en-US"/>
        </w:rPr>
        <w:t>Cointegration analysis was undertaken to determine whether a stable long-run equilibrium relationship existed among foreign direct investment and the selected macroeconomic variables. The study employed the Engle-Granger two-step procedure. In the first step, a static long-run relationship was estimated among the variables. In the second step, the residuals from the estimated long-run relationship were subjected to an Augmented Dickey-Fuller test. If the residuals were stationary, this was interpreted as evidence of cointegration among the variables. The cointegration results were subsequently used to motivate an error-correction representation for examining the adjustment dynamics between FDI and the selected macroeconomic variables.</w:t>
      </w:r>
    </w:p>
    <w:p w14:paraId="1A39770C" w14:textId="77777777" w:rsidR="00FE798B" w:rsidRPr="00734744" w:rsidRDefault="00FE798B" w:rsidP="00FE798B">
      <w:pPr>
        <w:spacing w:after="0"/>
        <w:jc w:val="both"/>
        <w:rPr>
          <w:rFonts w:ascii="Times New Roman" w:hAnsi="Times New Roman" w:cs="Times New Roman"/>
        </w:rPr>
      </w:pPr>
    </w:p>
    <w:p w14:paraId="7371FDB0"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3.5.3 Granger Causality Test</w:t>
      </w:r>
    </w:p>
    <w:p w14:paraId="73A43067" w14:textId="691F4CCC" w:rsidR="00CD3D5D" w:rsidRPr="00734744" w:rsidRDefault="00FE798B" w:rsidP="00B17D93">
      <w:pPr>
        <w:spacing w:after="0"/>
        <w:jc w:val="both"/>
        <w:rPr>
          <w:rFonts w:ascii="Times New Roman" w:hAnsi="Times New Roman" w:cs="Times New Roman"/>
        </w:rPr>
      </w:pPr>
      <w:r w:rsidRPr="00734744">
        <w:rPr>
          <w:rFonts w:ascii="Times New Roman" w:hAnsi="Times New Roman" w:cs="Times New Roman"/>
        </w:rPr>
        <w:t xml:space="preserve">Following identification of long-run relationships, Granger causality tests were undertaken to determine the direction of causal relationships among the variables. The analysis distinguished between neutrality, unidirectional causality and bidirectional causality. Statistical significance was assessed at the 5% level (Singh &amp; Janor, 2019). </w:t>
      </w:r>
    </w:p>
    <w:p w14:paraId="52BA94F8" w14:textId="77777777" w:rsidR="00FE798B" w:rsidRPr="00734744" w:rsidRDefault="00FE798B" w:rsidP="00FE798B">
      <w:pPr>
        <w:spacing w:after="0"/>
        <w:jc w:val="both"/>
        <w:rPr>
          <w:rFonts w:ascii="Times New Roman" w:hAnsi="Times New Roman" w:cs="Times New Roman"/>
        </w:rPr>
      </w:pPr>
    </w:p>
    <w:p w14:paraId="5FAC5E9D"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3.5.4 Diagnostic Tests</w:t>
      </w:r>
    </w:p>
    <w:p w14:paraId="7992B46B" w14:textId="3B89BF41"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Diagnostic tests were undertaken to assess the adequacy of the estimated model. These included tests for multicollinearity, heteroscedasticity, autocorrelation and normality. Multicollinearity was assessed using the coefficient of determination and variance inflation factors (VIF). The thesis considered VIF values greater than 10 as indicative of potential multicollinearity (Mohamed, 2011). Heteroscedasticity was assessed using the Breusch-Pagan test, with a probability value below 0.05 indicating the presence of heteroscedasticity (Mueller &amp; Rigdon, 2015). Autocorrelation was assessed using the Durbin-Watson test. The thesis used the test to determine whether the residuals exhibited serial correlation (Medeiros et al., 2011). Normality was assessed using skewness, kurtosis and the Jarque-Bera test, following the criteria cited in the thesis (</w:t>
      </w:r>
      <w:r w:rsidR="00280A29">
        <w:rPr>
          <w:rFonts w:ascii="Times New Roman" w:hAnsi="Times New Roman" w:cs="Times New Roman"/>
        </w:rPr>
        <w:t>Beau</w:t>
      </w:r>
      <w:r w:rsidRPr="00734744">
        <w:rPr>
          <w:rFonts w:ascii="Times New Roman" w:hAnsi="Times New Roman" w:cs="Times New Roman"/>
        </w:rPr>
        <w:t>, 20</w:t>
      </w:r>
      <w:r w:rsidR="00280A29">
        <w:rPr>
          <w:rFonts w:ascii="Times New Roman" w:hAnsi="Times New Roman" w:cs="Times New Roman"/>
        </w:rPr>
        <w:t>19</w:t>
      </w:r>
      <w:r w:rsidRPr="00734744">
        <w:rPr>
          <w:rFonts w:ascii="Times New Roman" w:hAnsi="Times New Roman" w:cs="Times New Roman"/>
        </w:rPr>
        <w:t xml:space="preserve">). </w:t>
      </w:r>
      <w:r w:rsidR="00280A29">
        <w:rPr>
          <w:rFonts w:ascii="Times New Roman" w:hAnsi="Times New Roman" w:cs="Times New Roman"/>
        </w:rPr>
        <w:t xml:space="preserve">  </w:t>
      </w:r>
    </w:p>
    <w:p w14:paraId="4A66A439" w14:textId="77777777" w:rsidR="00FE798B" w:rsidRPr="00734744" w:rsidRDefault="00FE798B" w:rsidP="00FE798B">
      <w:pPr>
        <w:spacing w:after="0"/>
        <w:jc w:val="both"/>
        <w:rPr>
          <w:rFonts w:ascii="Times New Roman" w:hAnsi="Times New Roman" w:cs="Times New Roman"/>
        </w:rPr>
      </w:pPr>
    </w:p>
    <w:p w14:paraId="6ADD7D98" w14:textId="77777777" w:rsidR="00FE798B" w:rsidRPr="00734744" w:rsidRDefault="00FE798B" w:rsidP="00FE798B">
      <w:pPr>
        <w:spacing w:after="0"/>
        <w:jc w:val="both"/>
        <w:rPr>
          <w:rFonts w:ascii="Times New Roman" w:hAnsi="Times New Roman" w:cs="Times New Roman"/>
          <w:b/>
          <w:bCs/>
        </w:rPr>
      </w:pPr>
      <w:r w:rsidRPr="00734744">
        <w:rPr>
          <w:rFonts w:ascii="Times New Roman" w:hAnsi="Times New Roman" w:cs="Times New Roman"/>
          <w:b/>
          <w:bCs/>
        </w:rPr>
        <w:t>3.5.5 Lag-Order Selection</w:t>
      </w:r>
    </w:p>
    <w:p w14:paraId="4E28130C" w14:textId="77777777" w:rsidR="00FE798B" w:rsidRPr="00734744" w:rsidRDefault="00FE798B" w:rsidP="00FE798B">
      <w:pPr>
        <w:spacing w:after="0"/>
        <w:jc w:val="both"/>
        <w:rPr>
          <w:rFonts w:ascii="Times New Roman" w:hAnsi="Times New Roman" w:cs="Times New Roman"/>
        </w:rPr>
      </w:pPr>
      <w:r w:rsidRPr="00734744">
        <w:rPr>
          <w:rFonts w:ascii="Times New Roman" w:hAnsi="Times New Roman" w:cs="Times New Roman"/>
        </w:rPr>
        <w:t xml:space="preserve">The appropriate lag length was determined using the Akaike Information Criterion (AIC) and Schwarz Bayesian Information Criterion (SBIC). The thesis also employed the Lagrange Multiplier (LM) test to assess serial correlation in the residuals. </w:t>
      </w:r>
    </w:p>
    <w:p w14:paraId="22D92C38" w14:textId="5667507E" w:rsidR="001F0F12" w:rsidRPr="00734744" w:rsidRDefault="00EB72D7" w:rsidP="00EB72D7">
      <w:pPr>
        <w:tabs>
          <w:tab w:val="left" w:pos="6375"/>
        </w:tabs>
        <w:jc w:val="both"/>
        <w:rPr>
          <w:rFonts w:ascii="Times New Roman" w:hAnsi="Times New Roman" w:cs="Times New Roman"/>
        </w:rPr>
      </w:pPr>
      <w:r w:rsidRPr="00734744">
        <w:rPr>
          <w:rFonts w:ascii="Times New Roman" w:hAnsi="Times New Roman" w:cs="Times New Roman"/>
        </w:rPr>
        <w:tab/>
      </w:r>
    </w:p>
    <w:p w14:paraId="2F54E85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 RESULTS AND DISCUSSION</w:t>
      </w:r>
    </w:p>
    <w:p w14:paraId="6762F945"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4.1 Descriptive Statistics and Normality</w:t>
      </w:r>
    </w:p>
    <w:p w14:paraId="5B01C2D4" w14:textId="12B3F184"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 xml:space="preserve">The study used 54 annual observations covering the period 1966–2019. The variables </w:t>
      </w:r>
      <w:r w:rsidR="00226E13" w:rsidRPr="00734744">
        <w:rPr>
          <w:rFonts w:ascii="Times New Roman" w:hAnsi="Times New Roman" w:cs="Times New Roman"/>
        </w:rPr>
        <w:t>analysed</w:t>
      </w:r>
      <w:r w:rsidRPr="00734744">
        <w:rPr>
          <w:rFonts w:ascii="Times New Roman" w:hAnsi="Times New Roman" w:cs="Times New Roman"/>
        </w:rPr>
        <w:t xml:space="preserve"> in the first model were foreign direct investment (FDI), exchange rate, economic growth, inflation rate and real interest rate. The variables were transformed into natural logarithms before estimation.</w:t>
      </w:r>
    </w:p>
    <w:p w14:paraId="6D9C150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lastRenderedPageBreak/>
        <w:t>The mean values of the logged variables were 2.0301 for FDI, 4.8825 for exchange rate, 6.9110 for economic growth, 9.3039 for inflation and 7.1557 for real interest rate. The corresponding standard deviations were 3.8311, 5.0518, 4.8735, 7.6688 and 7.2509, respectively. The Jarque-Bera probabilities reported in the thesis were 0.0000 for FDI, 0.0498 for exchange rate, 0.0000 for economic growth, 0.0000 for inflation and 0.0041 for real interest rate.</w:t>
      </w:r>
    </w:p>
    <w:p w14:paraId="68A83337" w14:textId="49B03814" w:rsidR="009A7968" w:rsidRPr="00734744" w:rsidRDefault="009A7968" w:rsidP="009A7968">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w:t>
      </w:r>
      <w:r w:rsidR="002206A6" w:rsidRPr="00734744">
        <w:rPr>
          <w:rFonts w:ascii="Times New Roman" w:hAnsi="Times New Roman" w:cs="Times New Roman"/>
        </w:rPr>
        <w:t>2</w:t>
      </w:r>
      <w:r w:rsidRPr="00734744">
        <w:rPr>
          <w:rFonts w:ascii="Times New Roman" w:hAnsi="Times New Roman" w:cs="Times New Roman"/>
        </w:rPr>
        <w:t>. Descriptive Statistics and Normality Tests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7"/>
        <w:gridCol w:w="1277"/>
        <w:gridCol w:w="1498"/>
        <w:gridCol w:w="1277"/>
        <w:gridCol w:w="1488"/>
        <w:gridCol w:w="1423"/>
      </w:tblGrid>
      <w:tr w:rsidR="009A7968" w:rsidRPr="00734744" w14:paraId="60854D63" w14:textId="77777777" w:rsidTr="00A73CCB">
        <w:tc>
          <w:tcPr>
            <w:tcW w:w="1281" w:type="pct"/>
            <w:tcBorders>
              <w:top w:val="single" w:sz="4" w:space="0" w:color="auto"/>
              <w:bottom w:val="single" w:sz="4" w:space="0" w:color="auto"/>
            </w:tcBorders>
            <w:hideMark/>
          </w:tcPr>
          <w:p w14:paraId="1EC532DD" w14:textId="77777777" w:rsidR="009A7968" w:rsidRPr="00734744" w:rsidRDefault="009A7968" w:rsidP="009A7968">
            <w:pPr>
              <w:tabs>
                <w:tab w:val="left" w:pos="6375"/>
              </w:tabs>
              <w:jc w:val="both"/>
              <w:rPr>
                <w:rFonts w:ascii="Times New Roman" w:hAnsi="Times New Roman" w:cs="Times New Roman"/>
                <w:b/>
                <w:bCs/>
              </w:rPr>
            </w:pPr>
            <w:r w:rsidRPr="00734744">
              <w:rPr>
                <w:rFonts w:ascii="Times New Roman" w:hAnsi="Times New Roman" w:cs="Times New Roman"/>
                <w:b/>
                <w:bCs/>
              </w:rPr>
              <w:t>Statistic</w:t>
            </w:r>
          </w:p>
        </w:tc>
        <w:tc>
          <w:tcPr>
            <w:tcW w:w="682" w:type="pct"/>
            <w:tcBorders>
              <w:top w:val="single" w:sz="4" w:space="0" w:color="auto"/>
              <w:bottom w:val="single" w:sz="4" w:space="0" w:color="auto"/>
            </w:tcBorders>
            <w:hideMark/>
          </w:tcPr>
          <w:p w14:paraId="0E3D0CB3" w14:textId="77777777" w:rsidR="009A7968" w:rsidRPr="00734744" w:rsidRDefault="009A7968" w:rsidP="009A7968">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lnFDI</w:t>
            </w:r>
            <w:proofErr w:type="spellEnd"/>
          </w:p>
        </w:tc>
        <w:tc>
          <w:tcPr>
            <w:tcW w:w="800" w:type="pct"/>
            <w:tcBorders>
              <w:top w:val="single" w:sz="4" w:space="0" w:color="auto"/>
              <w:bottom w:val="single" w:sz="4" w:space="0" w:color="auto"/>
            </w:tcBorders>
            <w:hideMark/>
          </w:tcPr>
          <w:p w14:paraId="571CDC48" w14:textId="77777777" w:rsidR="009A7968" w:rsidRPr="00734744" w:rsidRDefault="009A7968" w:rsidP="009A7968">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lnER</w:t>
            </w:r>
            <w:proofErr w:type="spellEnd"/>
          </w:p>
        </w:tc>
        <w:tc>
          <w:tcPr>
            <w:tcW w:w="682" w:type="pct"/>
            <w:tcBorders>
              <w:top w:val="single" w:sz="4" w:space="0" w:color="auto"/>
              <w:bottom w:val="single" w:sz="4" w:space="0" w:color="auto"/>
            </w:tcBorders>
            <w:hideMark/>
          </w:tcPr>
          <w:p w14:paraId="093BAB46" w14:textId="77777777" w:rsidR="009A7968" w:rsidRPr="00734744" w:rsidRDefault="009A7968" w:rsidP="009A7968">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lnEG</w:t>
            </w:r>
            <w:proofErr w:type="spellEnd"/>
          </w:p>
        </w:tc>
        <w:tc>
          <w:tcPr>
            <w:tcW w:w="795" w:type="pct"/>
            <w:tcBorders>
              <w:top w:val="single" w:sz="4" w:space="0" w:color="auto"/>
              <w:bottom w:val="single" w:sz="4" w:space="0" w:color="auto"/>
            </w:tcBorders>
            <w:hideMark/>
          </w:tcPr>
          <w:p w14:paraId="51264C3C" w14:textId="77777777" w:rsidR="009A7968" w:rsidRPr="00734744" w:rsidRDefault="009A7968" w:rsidP="009A7968">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lnINFL</w:t>
            </w:r>
            <w:proofErr w:type="spellEnd"/>
          </w:p>
        </w:tc>
        <w:tc>
          <w:tcPr>
            <w:tcW w:w="760" w:type="pct"/>
            <w:tcBorders>
              <w:top w:val="single" w:sz="4" w:space="0" w:color="auto"/>
              <w:bottom w:val="single" w:sz="4" w:space="0" w:color="auto"/>
            </w:tcBorders>
            <w:hideMark/>
          </w:tcPr>
          <w:p w14:paraId="45476F4A" w14:textId="77777777" w:rsidR="009A7968" w:rsidRPr="00734744" w:rsidRDefault="009A7968" w:rsidP="009A7968">
            <w:pPr>
              <w:tabs>
                <w:tab w:val="left" w:pos="6375"/>
              </w:tabs>
              <w:jc w:val="both"/>
              <w:rPr>
                <w:rFonts w:ascii="Times New Roman" w:hAnsi="Times New Roman" w:cs="Times New Roman"/>
                <w:b/>
                <w:bCs/>
              </w:rPr>
            </w:pPr>
            <w:proofErr w:type="spellStart"/>
            <w:r w:rsidRPr="00734744">
              <w:rPr>
                <w:rFonts w:ascii="Times New Roman" w:hAnsi="Times New Roman" w:cs="Times New Roman"/>
                <w:b/>
                <w:bCs/>
              </w:rPr>
              <w:t>lnIR</w:t>
            </w:r>
            <w:proofErr w:type="spellEnd"/>
          </w:p>
        </w:tc>
      </w:tr>
      <w:tr w:rsidR="009A7968" w:rsidRPr="00734744" w14:paraId="1EF97855" w14:textId="77777777" w:rsidTr="00A73CCB">
        <w:tc>
          <w:tcPr>
            <w:tcW w:w="1281" w:type="pct"/>
            <w:tcBorders>
              <w:top w:val="single" w:sz="4" w:space="0" w:color="auto"/>
            </w:tcBorders>
            <w:hideMark/>
          </w:tcPr>
          <w:p w14:paraId="74F6B13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Mean</w:t>
            </w:r>
          </w:p>
        </w:tc>
        <w:tc>
          <w:tcPr>
            <w:tcW w:w="682" w:type="pct"/>
            <w:tcBorders>
              <w:top w:val="single" w:sz="4" w:space="0" w:color="auto"/>
            </w:tcBorders>
            <w:hideMark/>
          </w:tcPr>
          <w:p w14:paraId="36F8AA0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2.0301</w:t>
            </w:r>
          </w:p>
        </w:tc>
        <w:tc>
          <w:tcPr>
            <w:tcW w:w="800" w:type="pct"/>
            <w:tcBorders>
              <w:top w:val="single" w:sz="4" w:space="0" w:color="auto"/>
            </w:tcBorders>
            <w:hideMark/>
          </w:tcPr>
          <w:p w14:paraId="7C9F808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4.8825</w:t>
            </w:r>
          </w:p>
        </w:tc>
        <w:tc>
          <w:tcPr>
            <w:tcW w:w="682" w:type="pct"/>
            <w:tcBorders>
              <w:top w:val="single" w:sz="4" w:space="0" w:color="auto"/>
            </w:tcBorders>
            <w:hideMark/>
          </w:tcPr>
          <w:p w14:paraId="0E124E1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6.9110</w:t>
            </w:r>
          </w:p>
        </w:tc>
        <w:tc>
          <w:tcPr>
            <w:tcW w:w="795" w:type="pct"/>
            <w:tcBorders>
              <w:top w:val="single" w:sz="4" w:space="0" w:color="auto"/>
            </w:tcBorders>
            <w:hideMark/>
          </w:tcPr>
          <w:p w14:paraId="6F4A0E2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9.3039</w:t>
            </w:r>
          </w:p>
        </w:tc>
        <w:tc>
          <w:tcPr>
            <w:tcW w:w="760" w:type="pct"/>
            <w:tcBorders>
              <w:top w:val="single" w:sz="4" w:space="0" w:color="auto"/>
            </w:tcBorders>
            <w:hideMark/>
          </w:tcPr>
          <w:p w14:paraId="070D296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7.1557</w:t>
            </w:r>
          </w:p>
        </w:tc>
      </w:tr>
      <w:tr w:rsidR="009A7968" w:rsidRPr="00734744" w14:paraId="63104586" w14:textId="77777777" w:rsidTr="00A73CCB">
        <w:tc>
          <w:tcPr>
            <w:tcW w:w="1281" w:type="pct"/>
            <w:hideMark/>
          </w:tcPr>
          <w:p w14:paraId="638A25A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Median</w:t>
            </w:r>
          </w:p>
        </w:tc>
        <w:tc>
          <w:tcPr>
            <w:tcW w:w="682" w:type="pct"/>
            <w:hideMark/>
          </w:tcPr>
          <w:p w14:paraId="45D34A2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1.9365</w:t>
            </w:r>
          </w:p>
        </w:tc>
        <w:tc>
          <w:tcPr>
            <w:tcW w:w="800" w:type="pct"/>
            <w:hideMark/>
          </w:tcPr>
          <w:p w14:paraId="55D1069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3.8233</w:t>
            </w:r>
          </w:p>
        </w:tc>
        <w:tc>
          <w:tcPr>
            <w:tcW w:w="682" w:type="pct"/>
            <w:hideMark/>
          </w:tcPr>
          <w:p w14:paraId="4EF5FCA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5.5546</w:t>
            </w:r>
          </w:p>
        </w:tc>
        <w:tc>
          <w:tcPr>
            <w:tcW w:w="795" w:type="pct"/>
            <w:hideMark/>
          </w:tcPr>
          <w:p w14:paraId="4DEAAF4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9.0458</w:t>
            </w:r>
          </w:p>
        </w:tc>
        <w:tc>
          <w:tcPr>
            <w:tcW w:w="760" w:type="pct"/>
            <w:hideMark/>
          </w:tcPr>
          <w:p w14:paraId="3F52B5AB"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7.0740</w:t>
            </w:r>
          </w:p>
        </w:tc>
      </w:tr>
      <w:tr w:rsidR="009A7968" w:rsidRPr="00734744" w14:paraId="299D5A12" w14:textId="77777777" w:rsidTr="00A73CCB">
        <w:tc>
          <w:tcPr>
            <w:tcW w:w="1281" w:type="pct"/>
            <w:hideMark/>
          </w:tcPr>
          <w:p w14:paraId="02480EC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Maximum</w:t>
            </w:r>
          </w:p>
        </w:tc>
        <w:tc>
          <w:tcPr>
            <w:tcW w:w="682" w:type="pct"/>
            <w:hideMark/>
          </w:tcPr>
          <w:p w14:paraId="216CC89C"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3.6109</w:t>
            </w:r>
          </w:p>
        </w:tc>
        <w:tc>
          <w:tcPr>
            <w:tcW w:w="800" w:type="pct"/>
            <w:hideMark/>
          </w:tcPr>
          <w:p w14:paraId="6558BEF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10.4109</w:t>
            </w:r>
          </w:p>
        </w:tc>
        <w:tc>
          <w:tcPr>
            <w:tcW w:w="682" w:type="pct"/>
            <w:hideMark/>
          </w:tcPr>
          <w:p w14:paraId="18A42191"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7.1753</w:t>
            </w:r>
          </w:p>
        </w:tc>
        <w:tc>
          <w:tcPr>
            <w:tcW w:w="795" w:type="pct"/>
            <w:hideMark/>
          </w:tcPr>
          <w:p w14:paraId="6BA884D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11.9888</w:t>
            </w:r>
          </w:p>
        </w:tc>
        <w:tc>
          <w:tcPr>
            <w:tcW w:w="760" w:type="pct"/>
            <w:hideMark/>
          </w:tcPr>
          <w:p w14:paraId="3AFD7C7B"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8.0963</w:t>
            </w:r>
          </w:p>
        </w:tc>
      </w:tr>
      <w:tr w:rsidR="009A7968" w:rsidRPr="00734744" w14:paraId="2ABBDC9A" w14:textId="77777777" w:rsidTr="00A73CCB">
        <w:tc>
          <w:tcPr>
            <w:tcW w:w="1281" w:type="pct"/>
            <w:hideMark/>
          </w:tcPr>
          <w:p w14:paraId="149520C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Minimum</w:t>
            </w:r>
          </w:p>
        </w:tc>
        <w:tc>
          <w:tcPr>
            <w:tcW w:w="682" w:type="pct"/>
            <w:hideMark/>
          </w:tcPr>
          <w:p w14:paraId="381773F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1.8031</w:t>
            </w:r>
          </w:p>
        </w:tc>
        <w:tc>
          <w:tcPr>
            <w:tcW w:w="800" w:type="pct"/>
            <w:hideMark/>
          </w:tcPr>
          <w:p w14:paraId="76C9C13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7.0204</w:t>
            </w:r>
          </w:p>
        </w:tc>
        <w:tc>
          <w:tcPr>
            <w:tcW w:w="682" w:type="pct"/>
            <w:hideMark/>
          </w:tcPr>
          <w:p w14:paraId="35067B6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2.1081</w:t>
            </w:r>
          </w:p>
        </w:tc>
        <w:tc>
          <w:tcPr>
            <w:tcW w:w="795" w:type="pct"/>
            <w:hideMark/>
          </w:tcPr>
          <w:p w14:paraId="54B8F43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9.2192</w:t>
            </w:r>
          </w:p>
        </w:tc>
        <w:tc>
          <w:tcPr>
            <w:tcW w:w="760" w:type="pct"/>
            <w:hideMark/>
          </w:tcPr>
          <w:p w14:paraId="567D94A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6.0099</w:t>
            </w:r>
          </w:p>
        </w:tc>
      </w:tr>
      <w:tr w:rsidR="009A7968" w:rsidRPr="00734744" w14:paraId="5DCF9B3B" w14:textId="77777777" w:rsidTr="00A73CCB">
        <w:tc>
          <w:tcPr>
            <w:tcW w:w="1281" w:type="pct"/>
            <w:hideMark/>
          </w:tcPr>
          <w:p w14:paraId="040AB9F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Std. Dev.</w:t>
            </w:r>
          </w:p>
        </w:tc>
        <w:tc>
          <w:tcPr>
            <w:tcW w:w="682" w:type="pct"/>
            <w:hideMark/>
          </w:tcPr>
          <w:p w14:paraId="2A8C1CA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3.8311</w:t>
            </w:r>
          </w:p>
        </w:tc>
        <w:tc>
          <w:tcPr>
            <w:tcW w:w="800" w:type="pct"/>
            <w:hideMark/>
          </w:tcPr>
          <w:p w14:paraId="5C34252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5.0518</w:t>
            </w:r>
          </w:p>
        </w:tc>
        <w:tc>
          <w:tcPr>
            <w:tcW w:w="682" w:type="pct"/>
            <w:hideMark/>
          </w:tcPr>
          <w:p w14:paraId="57825E5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4.8735</w:t>
            </w:r>
          </w:p>
        </w:tc>
        <w:tc>
          <w:tcPr>
            <w:tcW w:w="795" w:type="pct"/>
            <w:hideMark/>
          </w:tcPr>
          <w:p w14:paraId="3F6A6EF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7.6688</w:t>
            </w:r>
          </w:p>
        </w:tc>
        <w:tc>
          <w:tcPr>
            <w:tcW w:w="760" w:type="pct"/>
            <w:hideMark/>
          </w:tcPr>
          <w:p w14:paraId="71301CD9"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7.2509</w:t>
            </w:r>
          </w:p>
        </w:tc>
      </w:tr>
      <w:tr w:rsidR="009A7968" w:rsidRPr="00734744" w14:paraId="3EE5D88B" w14:textId="77777777" w:rsidTr="00A73CCB">
        <w:tc>
          <w:tcPr>
            <w:tcW w:w="1281" w:type="pct"/>
            <w:hideMark/>
          </w:tcPr>
          <w:p w14:paraId="0082FD9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Skewness</w:t>
            </w:r>
          </w:p>
        </w:tc>
        <w:tc>
          <w:tcPr>
            <w:tcW w:w="682" w:type="pct"/>
            <w:hideMark/>
          </w:tcPr>
          <w:p w14:paraId="3C46D3C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2.0807</w:t>
            </w:r>
          </w:p>
        </w:tc>
        <w:tc>
          <w:tcPr>
            <w:tcW w:w="800" w:type="pct"/>
            <w:hideMark/>
          </w:tcPr>
          <w:p w14:paraId="04368DC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0.2186</w:t>
            </w:r>
          </w:p>
        </w:tc>
        <w:tc>
          <w:tcPr>
            <w:tcW w:w="682" w:type="pct"/>
            <w:hideMark/>
          </w:tcPr>
          <w:p w14:paraId="3BE9B12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1.5586</w:t>
            </w:r>
          </w:p>
        </w:tc>
        <w:tc>
          <w:tcPr>
            <w:tcW w:w="795" w:type="pct"/>
            <w:hideMark/>
          </w:tcPr>
          <w:p w14:paraId="0F3D34C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1.4381</w:t>
            </w:r>
          </w:p>
        </w:tc>
        <w:tc>
          <w:tcPr>
            <w:tcW w:w="760" w:type="pct"/>
            <w:hideMark/>
          </w:tcPr>
          <w:p w14:paraId="3A1E7E73"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-0.0761</w:t>
            </w:r>
          </w:p>
        </w:tc>
      </w:tr>
      <w:tr w:rsidR="009A7968" w:rsidRPr="00734744" w14:paraId="09112165" w14:textId="77777777" w:rsidTr="00A73CCB">
        <w:tc>
          <w:tcPr>
            <w:tcW w:w="1281" w:type="pct"/>
            <w:hideMark/>
          </w:tcPr>
          <w:p w14:paraId="12B1336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Kurtosis</w:t>
            </w:r>
          </w:p>
        </w:tc>
        <w:tc>
          <w:tcPr>
            <w:tcW w:w="682" w:type="pct"/>
            <w:hideMark/>
          </w:tcPr>
          <w:p w14:paraId="330CAC6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1.9843</w:t>
            </w:r>
          </w:p>
        </w:tc>
        <w:tc>
          <w:tcPr>
            <w:tcW w:w="800" w:type="pct"/>
            <w:hideMark/>
          </w:tcPr>
          <w:p w14:paraId="083F1D6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1.4276</w:t>
            </w:r>
          </w:p>
        </w:tc>
        <w:tc>
          <w:tcPr>
            <w:tcW w:w="682" w:type="pct"/>
            <w:hideMark/>
          </w:tcPr>
          <w:p w14:paraId="7856AE8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2.0805</w:t>
            </w:r>
          </w:p>
        </w:tc>
        <w:tc>
          <w:tcPr>
            <w:tcW w:w="795" w:type="pct"/>
            <w:hideMark/>
          </w:tcPr>
          <w:p w14:paraId="3073971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2.0051</w:t>
            </w:r>
          </w:p>
        </w:tc>
        <w:tc>
          <w:tcPr>
            <w:tcW w:w="760" w:type="pct"/>
            <w:hideMark/>
          </w:tcPr>
          <w:p w14:paraId="5D79146A"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2.5478</w:t>
            </w:r>
          </w:p>
        </w:tc>
      </w:tr>
      <w:tr w:rsidR="009A7968" w:rsidRPr="00734744" w14:paraId="11C5F7A1" w14:textId="77777777" w:rsidTr="00A73CCB">
        <w:tc>
          <w:tcPr>
            <w:tcW w:w="1281" w:type="pct"/>
            <w:hideMark/>
          </w:tcPr>
          <w:p w14:paraId="713ACEF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Jarque-Bera</w:t>
            </w:r>
          </w:p>
        </w:tc>
        <w:tc>
          <w:tcPr>
            <w:tcW w:w="682" w:type="pct"/>
            <w:hideMark/>
          </w:tcPr>
          <w:p w14:paraId="7822F18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5.0003</w:t>
            </w:r>
          </w:p>
        </w:tc>
        <w:tc>
          <w:tcPr>
            <w:tcW w:w="800" w:type="pct"/>
            <w:hideMark/>
          </w:tcPr>
          <w:p w14:paraId="6F98EEE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5.1930</w:t>
            </w:r>
          </w:p>
        </w:tc>
        <w:tc>
          <w:tcPr>
            <w:tcW w:w="682" w:type="pct"/>
            <w:hideMark/>
          </w:tcPr>
          <w:p w14:paraId="591227E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2.1964</w:t>
            </w:r>
          </w:p>
        </w:tc>
        <w:tc>
          <w:tcPr>
            <w:tcW w:w="795" w:type="pct"/>
            <w:hideMark/>
          </w:tcPr>
          <w:p w14:paraId="289198D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4.9790</w:t>
            </w:r>
          </w:p>
        </w:tc>
        <w:tc>
          <w:tcPr>
            <w:tcW w:w="760" w:type="pct"/>
            <w:hideMark/>
          </w:tcPr>
          <w:p w14:paraId="74A24F3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0.5121</w:t>
            </w:r>
          </w:p>
        </w:tc>
      </w:tr>
      <w:tr w:rsidR="009A7968" w:rsidRPr="00734744" w14:paraId="35734ECE" w14:textId="77777777" w:rsidTr="00A73CCB">
        <w:tc>
          <w:tcPr>
            <w:tcW w:w="1281" w:type="pct"/>
            <w:hideMark/>
          </w:tcPr>
          <w:p w14:paraId="72B99EB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Probability</w:t>
            </w:r>
          </w:p>
        </w:tc>
        <w:tc>
          <w:tcPr>
            <w:tcW w:w="682" w:type="pct"/>
            <w:hideMark/>
          </w:tcPr>
          <w:p w14:paraId="560A103E"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800" w:type="pct"/>
            <w:hideMark/>
          </w:tcPr>
          <w:p w14:paraId="5B1E04D8"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0.0498</w:t>
            </w:r>
          </w:p>
        </w:tc>
        <w:tc>
          <w:tcPr>
            <w:tcW w:w="682" w:type="pct"/>
            <w:hideMark/>
          </w:tcPr>
          <w:p w14:paraId="29ACC902"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95" w:type="pct"/>
            <w:hideMark/>
          </w:tcPr>
          <w:p w14:paraId="64A812D6"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0.0000</w:t>
            </w:r>
          </w:p>
        </w:tc>
        <w:tc>
          <w:tcPr>
            <w:tcW w:w="760" w:type="pct"/>
            <w:hideMark/>
          </w:tcPr>
          <w:p w14:paraId="1EE79607"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0.0041</w:t>
            </w:r>
          </w:p>
        </w:tc>
      </w:tr>
      <w:tr w:rsidR="009A7968" w:rsidRPr="00734744" w14:paraId="49BF1D97" w14:textId="77777777" w:rsidTr="00A73CCB">
        <w:tc>
          <w:tcPr>
            <w:tcW w:w="1281" w:type="pct"/>
            <w:hideMark/>
          </w:tcPr>
          <w:p w14:paraId="23A2FA85"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Observations</w:t>
            </w:r>
          </w:p>
        </w:tc>
        <w:tc>
          <w:tcPr>
            <w:tcW w:w="682" w:type="pct"/>
            <w:hideMark/>
          </w:tcPr>
          <w:p w14:paraId="3E71974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800" w:type="pct"/>
            <w:hideMark/>
          </w:tcPr>
          <w:p w14:paraId="26C6871F"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682" w:type="pct"/>
            <w:hideMark/>
          </w:tcPr>
          <w:p w14:paraId="293A6670"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95" w:type="pct"/>
            <w:hideMark/>
          </w:tcPr>
          <w:p w14:paraId="407896AD"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c>
          <w:tcPr>
            <w:tcW w:w="760" w:type="pct"/>
            <w:hideMark/>
          </w:tcPr>
          <w:p w14:paraId="6D394954" w14:textId="77777777" w:rsidR="009A7968" w:rsidRPr="00734744" w:rsidRDefault="009A7968" w:rsidP="009A7968">
            <w:pPr>
              <w:tabs>
                <w:tab w:val="left" w:pos="6375"/>
              </w:tabs>
              <w:jc w:val="both"/>
              <w:rPr>
                <w:rFonts w:ascii="Times New Roman" w:hAnsi="Times New Roman" w:cs="Times New Roman"/>
              </w:rPr>
            </w:pPr>
            <w:r w:rsidRPr="00734744">
              <w:rPr>
                <w:rFonts w:ascii="Times New Roman" w:hAnsi="Times New Roman" w:cs="Times New Roman"/>
              </w:rPr>
              <w:t>54</w:t>
            </w:r>
          </w:p>
        </w:tc>
      </w:tr>
    </w:tbl>
    <w:p w14:paraId="28DD7396" w14:textId="760C6970" w:rsidR="00EB72D7" w:rsidRPr="00734744" w:rsidRDefault="009A7968" w:rsidP="00EB72D7">
      <w:pPr>
        <w:tabs>
          <w:tab w:val="left" w:pos="6375"/>
        </w:tabs>
        <w:jc w:val="both"/>
        <w:rPr>
          <w:rFonts w:ascii="Times New Roman" w:hAnsi="Times New Roman" w:cs="Times New Roman"/>
        </w:rPr>
      </w:pPr>
      <w:r w:rsidRPr="00734744">
        <w:rPr>
          <w:rFonts w:ascii="Times New Roman" w:hAnsi="Times New Roman" w:cs="Times New Roman"/>
        </w:rPr>
        <w:t>Source: Thesis</w:t>
      </w:r>
    </w:p>
    <w:p w14:paraId="71730832" w14:textId="77777777" w:rsidR="009A7968" w:rsidRPr="007C12F8" w:rsidRDefault="009A7968" w:rsidP="009A7968">
      <w:pPr>
        <w:tabs>
          <w:tab w:val="left" w:pos="6375"/>
        </w:tabs>
        <w:spacing w:after="0"/>
        <w:jc w:val="both"/>
        <w:rPr>
          <w:rFonts w:ascii="Times New Roman" w:hAnsi="Times New Roman" w:cs="Times New Roman"/>
          <w:b/>
          <w:bCs/>
          <w:highlight w:val="green"/>
        </w:rPr>
      </w:pPr>
      <w:r w:rsidRPr="007C12F8">
        <w:rPr>
          <w:rFonts w:ascii="Times New Roman" w:hAnsi="Times New Roman" w:cs="Times New Roman"/>
          <w:b/>
          <w:bCs/>
          <w:highlight w:val="green"/>
        </w:rPr>
        <w:t>4.2 Stationarity Tests</w:t>
      </w:r>
    </w:p>
    <w:p w14:paraId="2CD4F34F" w14:textId="24933CD0" w:rsidR="00236B37" w:rsidRPr="007C12F8" w:rsidRDefault="00236B37" w:rsidP="00236B37">
      <w:pPr>
        <w:tabs>
          <w:tab w:val="left" w:pos="6375"/>
        </w:tabs>
        <w:spacing w:after="0"/>
        <w:jc w:val="both"/>
        <w:rPr>
          <w:rFonts w:ascii="Times New Roman" w:hAnsi="Times New Roman" w:cs="Times New Roman"/>
          <w:highlight w:val="green"/>
          <w:lang w:val="en-US"/>
        </w:rPr>
      </w:pPr>
      <w:r w:rsidRPr="00236B37">
        <w:rPr>
          <w:rFonts w:ascii="Times New Roman" w:hAnsi="Times New Roman" w:cs="Times New Roman"/>
          <w:highlight w:val="green"/>
          <w:lang w:val="en-US"/>
        </w:rPr>
        <w:t>Stationarity properties were evaluated using the Phillips-Perron (PP) test to establish the order of integration for all variables. At levels, foreign direct investment (PP = -0.3124), exchange rate (PP = 0.3032), and economic growth (PP = -1.2085) failed to reject the null hypothesis of non-stationarity when evaluated against the 5</w:t>
      </w:r>
      <w:r w:rsidRPr="007C12F8">
        <w:rPr>
          <w:rFonts w:ascii="Times New Roman" w:hAnsi="Times New Roman" w:cs="Times New Roman"/>
          <w:highlight w:val="green"/>
          <w:lang w:val="en-US"/>
        </w:rPr>
        <w:t>%</w:t>
      </w:r>
      <w:r w:rsidRPr="00236B37">
        <w:rPr>
          <w:rFonts w:ascii="Times New Roman" w:hAnsi="Times New Roman" w:cs="Times New Roman"/>
          <w:highlight w:val="green"/>
          <w:lang w:val="en-US"/>
        </w:rPr>
        <w:t xml:space="preserve"> MacKinnon critical value of -2.9266. Conversely, inflation (PP = -5.4829, p &lt; .05) and real interest rate (PP = -4.2070, p &lt; .05) exceeded the critical threshold in absolute terms and were confirmed stationary at levels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0)]. </w:t>
      </w:r>
    </w:p>
    <w:p w14:paraId="49507713" w14:textId="77777777" w:rsidR="00236B37" w:rsidRPr="00236B37" w:rsidRDefault="00236B37" w:rsidP="00236B37">
      <w:pPr>
        <w:tabs>
          <w:tab w:val="left" w:pos="6375"/>
        </w:tabs>
        <w:spacing w:after="0"/>
        <w:jc w:val="both"/>
        <w:rPr>
          <w:rFonts w:ascii="Times New Roman" w:hAnsi="Times New Roman" w:cs="Times New Roman"/>
          <w:highlight w:val="green"/>
          <w:lang w:val="en-US"/>
        </w:rPr>
      </w:pPr>
    </w:p>
    <w:p w14:paraId="0086E629" w14:textId="14E4F6B9" w:rsidR="00236B37" w:rsidRPr="007C12F8" w:rsidRDefault="00236B37" w:rsidP="00236B37">
      <w:pPr>
        <w:tabs>
          <w:tab w:val="left" w:pos="6375"/>
        </w:tabs>
        <w:spacing w:after="0"/>
        <w:jc w:val="both"/>
        <w:rPr>
          <w:rFonts w:ascii="Times New Roman" w:hAnsi="Times New Roman" w:cs="Times New Roman"/>
          <w:highlight w:val="green"/>
          <w:lang w:val="en-US"/>
        </w:rPr>
      </w:pPr>
      <w:r w:rsidRPr="00236B37">
        <w:rPr>
          <w:rFonts w:ascii="Times New Roman" w:hAnsi="Times New Roman" w:cs="Times New Roman"/>
          <w:highlight w:val="green"/>
          <w:lang w:val="en-US"/>
        </w:rPr>
        <w:t>Upon taking first differences, foreign direct investment (PP = -6.8421, p &lt; .05), exchange rate (PP = -6.5232, p &lt; .05), and economic growth (PP = -7.1205, p &lt; .05) successfully achieved stationarity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1)]. First-difference testing was not required for inflation and real interest rates as they were already integrated of order zero. Because the system exhibits a mixture of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0) and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1) series with no </w:t>
      </w:r>
      <w:r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 xml:space="preserve">2) variables present, the conditions for the Autoregressive Distributed Lag (ARDL) bounds testing framework were strictly satisfied. </w:t>
      </w:r>
    </w:p>
    <w:p w14:paraId="66A23099" w14:textId="77777777" w:rsidR="00236B37" w:rsidRPr="00236B37" w:rsidRDefault="00236B37" w:rsidP="00236B37">
      <w:pPr>
        <w:tabs>
          <w:tab w:val="left" w:pos="6375"/>
        </w:tabs>
        <w:spacing w:after="0"/>
        <w:jc w:val="both"/>
        <w:rPr>
          <w:rFonts w:ascii="Times New Roman" w:hAnsi="Times New Roman" w:cs="Times New Roman"/>
          <w:highlight w:val="green"/>
          <w:lang w:val="en-US"/>
        </w:rPr>
      </w:pPr>
    </w:p>
    <w:p w14:paraId="7027B38E" w14:textId="58B8B635" w:rsidR="009A7968" w:rsidRPr="007C12F8" w:rsidRDefault="009A7968" w:rsidP="006766DE">
      <w:pPr>
        <w:tabs>
          <w:tab w:val="left" w:pos="6375"/>
        </w:tabs>
        <w:spacing w:after="0"/>
        <w:jc w:val="both"/>
        <w:rPr>
          <w:rFonts w:ascii="Times New Roman" w:hAnsi="Times New Roman" w:cs="Times New Roman"/>
          <w:highlight w:val="green"/>
        </w:rPr>
      </w:pPr>
      <w:r w:rsidRPr="007C12F8">
        <w:rPr>
          <w:rFonts w:ascii="Times New Roman" w:hAnsi="Times New Roman" w:cs="Times New Roman"/>
          <w:highlight w:val="green"/>
        </w:rPr>
        <w:t xml:space="preserve">Table </w:t>
      </w:r>
      <w:r w:rsidR="002206A6" w:rsidRPr="007C12F8">
        <w:rPr>
          <w:rFonts w:ascii="Times New Roman" w:hAnsi="Times New Roman" w:cs="Times New Roman"/>
          <w:highlight w:val="green"/>
        </w:rPr>
        <w:t>3</w:t>
      </w:r>
      <w:r w:rsidRPr="007C12F8">
        <w:rPr>
          <w:rFonts w:ascii="Times New Roman" w:hAnsi="Times New Roman" w:cs="Times New Roman"/>
          <w:highlight w:val="green"/>
        </w:rPr>
        <w:t xml:space="preserve">. </w:t>
      </w:r>
      <w:r w:rsidR="006766DE" w:rsidRPr="007C12F8">
        <w:rPr>
          <w:rFonts w:ascii="Times New Roman" w:hAnsi="Times New Roman" w:cs="Times New Roman"/>
          <w:highlight w:val="green"/>
        </w:rPr>
        <w:t>Phillips-Perron Unit Root Test Results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1518"/>
        <w:gridCol w:w="2454"/>
        <w:gridCol w:w="2705"/>
      </w:tblGrid>
      <w:tr w:rsidR="006766DE" w:rsidRPr="006766DE" w14:paraId="6DCDE0FB" w14:textId="77777777" w:rsidTr="006766DE">
        <w:tc>
          <w:tcPr>
            <w:tcW w:w="1433" w:type="pct"/>
            <w:tcBorders>
              <w:top w:val="single" w:sz="4" w:space="0" w:color="auto"/>
              <w:bottom w:val="single" w:sz="4" w:space="0" w:color="auto"/>
            </w:tcBorders>
            <w:hideMark/>
          </w:tcPr>
          <w:p w14:paraId="222BBCCB"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Variable</w:t>
            </w:r>
          </w:p>
        </w:tc>
        <w:tc>
          <w:tcPr>
            <w:tcW w:w="811" w:type="pct"/>
            <w:tcBorders>
              <w:top w:val="single" w:sz="4" w:space="0" w:color="auto"/>
              <w:bottom w:val="single" w:sz="4" w:space="0" w:color="auto"/>
            </w:tcBorders>
            <w:hideMark/>
          </w:tcPr>
          <w:p w14:paraId="02F68826"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Level</w:t>
            </w:r>
          </w:p>
        </w:tc>
        <w:tc>
          <w:tcPr>
            <w:tcW w:w="1311" w:type="pct"/>
            <w:tcBorders>
              <w:top w:val="single" w:sz="4" w:space="0" w:color="auto"/>
              <w:bottom w:val="single" w:sz="4" w:space="0" w:color="auto"/>
            </w:tcBorders>
            <w:hideMark/>
          </w:tcPr>
          <w:p w14:paraId="46D1C976"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First Difference</w:t>
            </w:r>
          </w:p>
        </w:tc>
        <w:tc>
          <w:tcPr>
            <w:tcW w:w="1445" w:type="pct"/>
            <w:tcBorders>
              <w:top w:val="single" w:sz="4" w:space="0" w:color="auto"/>
              <w:bottom w:val="single" w:sz="4" w:space="0" w:color="auto"/>
            </w:tcBorders>
            <w:hideMark/>
          </w:tcPr>
          <w:p w14:paraId="792A7B6C"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Integration Status</w:t>
            </w:r>
          </w:p>
        </w:tc>
      </w:tr>
      <w:tr w:rsidR="006766DE" w:rsidRPr="006766DE" w14:paraId="7BEF2D14" w14:textId="77777777" w:rsidTr="006766DE">
        <w:tc>
          <w:tcPr>
            <w:tcW w:w="1433" w:type="pct"/>
            <w:tcBorders>
              <w:top w:val="single" w:sz="4" w:space="0" w:color="auto"/>
            </w:tcBorders>
            <w:hideMark/>
          </w:tcPr>
          <w:p w14:paraId="0E3CFC0A" w14:textId="08235807"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spellStart"/>
            <w:r w:rsidRPr="007C12F8">
              <w:rPr>
                <w:rFonts w:ascii="Times New Roman" w:hAnsi="Times New Roman" w:cs="Times New Roman"/>
                <w:highlight w:val="green"/>
              </w:rPr>
              <w:t>lnFDI</w:t>
            </w:r>
            <w:proofErr w:type="spellEnd"/>
          </w:p>
        </w:tc>
        <w:tc>
          <w:tcPr>
            <w:tcW w:w="811" w:type="pct"/>
            <w:tcBorders>
              <w:top w:val="single" w:sz="4" w:space="0" w:color="auto"/>
            </w:tcBorders>
            <w:hideMark/>
          </w:tcPr>
          <w:p w14:paraId="549DD30A"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-0.3124</w:t>
            </w:r>
          </w:p>
        </w:tc>
        <w:tc>
          <w:tcPr>
            <w:tcW w:w="1311" w:type="pct"/>
            <w:tcBorders>
              <w:top w:val="single" w:sz="4" w:space="0" w:color="auto"/>
            </w:tcBorders>
            <w:hideMark/>
          </w:tcPr>
          <w:p w14:paraId="45B60471"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-6.8421*</w:t>
            </w:r>
          </w:p>
        </w:tc>
        <w:tc>
          <w:tcPr>
            <w:tcW w:w="1445" w:type="pct"/>
            <w:tcBorders>
              <w:top w:val="single" w:sz="4" w:space="0" w:color="auto"/>
            </w:tcBorders>
            <w:hideMark/>
          </w:tcPr>
          <w:p w14:paraId="72D54CC6" w14:textId="1AEE6A3C"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gramStart"/>
            <w:r w:rsidRPr="006766DE">
              <w:rPr>
                <w:rFonts w:ascii="Times New Roman" w:hAnsi="Times New Roman" w:cs="Times New Roman"/>
                <w:highlight w:val="green"/>
                <w:lang w:val="en-US"/>
              </w:rPr>
              <w:t>I(</w:t>
            </w:r>
            <w:proofErr w:type="gramEnd"/>
            <w:r w:rsidRPr="006766DE">
              <w:rPr>
                <w:rFonts w:ascii="Times New Roman" w:hAnsi="Times New Roman" w:cs="Times New Roman"/>
                <w:highlight w:val="green"/>
                <w:lang w:val="en-US"/>
              </w:rPr>
              <w:t>1)</w:t>
            </w:r>
          </w:p>
        </w:tc>
      </w:tr>
      <w:tr w:rsidR="006766DE" w:rsidRPr="006766DE" w14:paraId="74505A45" w14:textId="77777777" w:rsidTr="006766DE">
        <w:tc>
          <w:tcPr>
            <w:tcW w:w="1433" w:type="pct"/>
            <w:hideMark/>
          </w:tcPr>
          <w:p w14:paraId="21A160DD" w14:textId="2931D6DB"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spellStart"/>
            <w:r w:rsidRPr="007C12F8">
              <w:rPr>
                <w:rFonts w:ascii="Times New Roman" w:hAnsi="Times New Roman" w:cs="Times New Roman"/>
                <w:highlight w:val="green"/>
              </w:rPr>
              <w:t>lnER</w:t>
            </w:r>
            <w:proofErr w:type="spellEnd"/>
          </w:p>
        </w:tc>
        <w:tc>
          <w:tcPr>
            <w:tcW w:w="811" w:type="pct"/>
            <w:hideMark/>
          </w:tcPr>
          <w:p w14:paraId="470DB6DB"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0.3032</w:t>
            </w:r>
          </w:p>
        </w:tc>
        <w:tc>
          <w:tcPr>
            <w:tcW w:w="1311" w:type="pct"/>
            <w:hideMark/>
          </w:tcPr>
          <w:p w14:paraId="742CCEB7"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-6.5232*</w:t>
            </w:r>
          </w:p>
        </w:tc>
        <w:tc>
          <w:tcPr>
            <w:tcW w:w="1445" w:type="pct"/>
            <w:hideMark/>
          </w:tcPr>
          <w:p w14:paraId="7603368B" w14:textId="6AC5C9AF"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gramStart"/>
            <w:r w:rsidRPr="006766DE">
              <w:rPr>
                <w:rFonts w:ascii="Times New Roman" w:hAnsi="Times New Roman" w:cs="Times New Roman"/>
                <w:highlight w:val="green"/>
                <w:lang w:val="en-US"/>
              </w:rPr>
              <w:t>I(</w:t>
            </w:r>
            <w:proofErr w:type="gramEnd"/>
            <w:r w:rsidRPr="006766DE">
              <w:rPr>
                <w:rFonts w:ascii="Times New Roman" w:hAnsi="Times New Roman" w:cs="Times New Roman"/>
                <w:highlight w:val="green"/>
                <w:lang w:val="en-US"/>
              </w:rPr>
              <w:t>1)</w:t>
            </w:r>
          </w:p>
        </w:tc>
      </w:tr>
      <w:tr w:rsidR="006766DE" w:rsidRPr="006766DE" w14:paraId="606F8CCA" w14:textId="77777777" w:rsidTr="006766DE">
        <w:tc>
          <w:tcPr>
            <w:tcW w:w="1433" w:type="pct"/>
            <w:hideMark/>
          </w:tcPr>
          <w:p w14:paraId="49A3F8EF" w14:textId="536C286A"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spellStart"/>
            <w:r w:rsidRPr="007C12F8">
              <w:rPr>
                <w:rFonts w:ascii="Times New Roman" w:hAnsi="Times New Roman" w:cs="Times New Roman"/>
                <w:highlight w:val="green"/>
              </w:rPr>
              <w:t>lnEG</w:t>
            </w:r>
            <w:proofErr w:type="spellEnd"/>
          </w:p>
        </w:tc>
        <w:tc>
          <w:tcPr>
            <w:tcW w:w="811" w:type="pct"/>
            <w:hideMark/>
          </w:tcPr>
          <w:p w14:paraId="3291CA02"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-1.2085</w:t>
            </w:r>
          </w:p>
        </w:tc>
        <w:tc>
          <w:tcPr>
            <w:tcW w:w="1311" w:type="pct"/>
            <w:hideMark/>
          </w:tcPr>
          <w:p w14:paraId="1DFF78C2"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-7.1205*</w:t>
            </w:r>
          </w:p>
        </w:tc>
        <w:tc>
          <w:tcPr>
            <w:tcW w:w="1445" w:type="pct"/>
            <w:hideMark/>
          </w:tcPr>
          <w:p w14:paraId="6CC86FA2" w14:textId="1AB2FF83"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gramStart"/>
            <w:r w:rsidRPr="006766DE">
              <w:rPr>
                <w:rFonts w:ascii="Times New Roman" w:hAnsi="Times New Roman" w:cs="Times New Roman"/>
                <w:highlight w:val="green"/>
                <w:lang w:val="en-US"/>
              </w:rPr>
              <w:t>I(</w:t>
            </w:r>
            <w:proofErr w:type="gramEnd"/>
            <w:r w:rsidRPr="006766DE">
              <w:rPr>
                <w:rFonts w:ascii="Times New Roman" w:hAnsi="Times New Roman" w:cs="Times New Roman"/>
                <w:highlight w:val="green"/>
                <w:lang w:val="en-US"/>
              </w:rPr>
              <w:t>1)</w:t>
            </w:r>
          </w:p>
        </w:tc>
      </w:tr>
      <w:tr w:rsidR="006766DE" w:rsidRPr="006766DE" w14:paraId="5BE14843" w14:textId="77777777" w:rsidTr="006766DE">
        <w:tc>
          <w:tcPr>
            <w:tcW w:w="1433" w:type="pct"/>
            <w:hideMark/>
          </w:tcPr>
          <w:p w14:paraId="327913CD" w14:textId="2C8AEDBB"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spellStart"/>
            <w:r w:rsidRPr="007C12F8">
              <w:rPr>
                <w:rFonts w:ascii="Times New Roman" w:hAnsi="Times New Roman" w:cs="Times New Roman"/>
                <w:highlight w:val="green"/>
              </w:rPr>
              <w:t>lnINF</w:t>
            </w:r>
            <w:proofErr w:type="spellEnd"/>
          </w:p>
        </w:tc>
        <w:tc>
          <w:tcPr>
            <w:tcW w:w="811" w:type="pct"/>
            <w:hideMark/>
          </w:tcPr>
          <w:p w14:paraId="69F960F5"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-5.4829*</w:t>
            </w:r>
          </w:p>
        </w:tc>
        <w:tc>
          <w:tcPr>
            <w:tcW w:w="1311" w:type="pct"/>
            <w:hideMark/>
          </w:tcPr>
          <w:p w14:paraId="1F098DC5"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w:t>
            </w:r>
          </w:p>
        </w:tc>
        <w:tc>
          <w:tcPr>
            <w:tcW w:w="1445" w:type="pct"/>
            <w:hideMark/>
          </w:tcPr>
          <w:p w14:paraId="4C906E38" w14:textId="203C55B8"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gramStart"/>
            <w:r w:rsidRPr="006766DE">
              <w:rPr>
                <w:rFonts w:ascii="Times New Roman" w:hAnsi="Times New Roman" w:cs="Times New Roman"/>
                <w:highlight w:val="green"/>
                <w:lang w:val="en-US"/>
              </w:rPr>
              <w:t>I(</w:t>
            </w:r>
            <w:proofErr w:type="gramEnd"/>
            <w:r w:rsidRPr="006766DE">
              <w:rPr>
                <w:rFonts w:ascii="Times New Roman" w:hAnsi="Times New Roman" w:cs="Times New Roman"/>
                <w:highlight w:val="green"/>
                <w:lang w:val="en-US"/>
              </w:rPr>
              <w:t>0)</w:t>
            </w:r>
          </w:p>
        </w:tc>
      </w:tr>
      <w:tr w:rsidR="006766DE" w:rsidRPr="006766DE" w14:paraId="6F723D55" w14:textId="77777777" w:rsidTr="006766DE">
        <w:tc>
          <w:tcPr>
            <w:tcW w:w="1433" w:type="pct"/>
            <w:hideMark/>
          </w:tcPr>
          <w:p w14:paraId="6C9E1E16" w14:textId="2C1D5D3D"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spellStart"/>
            <w:r w:rsidRPr="007C12F8">
              <w:rPr>
                <w:rFonts w:ascii="Times New Roman" w:hAnsi="Times New Roman" w:cs="Times New Roman"/>
                <w:highlight w:val="green"/>
              </w:rPr>
              <w:t>lnIR</w:t>
            </w:r>
            <w:proofErr w:type="spellEnd"/>
          </w:p>
        </w:tc>
        <w:tc>
          <w:tcPr>
            <w:tcW w:w="811" w:type="pct"/>
            <w:hideMark/>
          </w:tcPr>
          <w:p w14:paraId="08F5137A"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-4.2070*</w:t>
            </w:r>
          </w:p>
        </w:tc>
        <w:tc>
          <w:tcPr>
            <w:tcW w:w="1311" w:type="pct"/>
            <w:hideMark/>
          </w:tcPr>
          <w:p w14:paraId="3CF8EEEF" w14:textId="77777777" w:rsidR="006766DE" w:rsidRPr="006766DE" w:rsidRDefault="006766DE" w:rsidP="006766DE">
            <w:pPr>
              <w:tabs>
                <w:tab w:val="left" w:pos="6375"/>
              </w:tabs>
              <w:spacing w:line="278" w:lineRule="auto"/>
              <w:jc w:val="both"/>
              <w:rPr>
                <w:rFonts w:ascii="Times New Roman" w:hAnsi="Times New Roman" w:cs="Times New Roman"/>
                <w:highlight w:val="green"/>
                <w:lang w:val="en-US"/>
              </w:rPr>
            </w:pPr>
            <w:r w:rsidRPr="006766DE">
              <w:rPr>
                <w:rFonts w:ascii="Times New Roman" w:hAnsi="Times New Roman" w:cs="Times New Roman"/>
                <w:highlight w:val="green"/>
                <w:lang w:val="en-US"/>
              </w:rPr>
              <w:t>—</w:t>
            </w:r>
          </w:p>
        </w:tc>
        <w:tc>
          <w:tcPr>
            <w:tcW w:w="1445" w:type="pct"/>
            <w:hideMark/>
          </w:tcPr>
          <w:p w14:paraId="34F328D5" w14:textId="3D4EAC23" w:rsidR="006766DE" w:rsidRPr="006766DE" w:rsidRDefault="006766DE" w:rsidP="006766DE">
            <w:pPr>
              <w:tabs>
                <w:tab w:val="left" w:pos="6375"/>
              </w:tabs>
              <w:spacing w:line="278" w:lineRule="auto"/>
              <w:jc w:val="both"/>
              <w:rPr>
                <w:rFonts w:ascii="Times New Roman" w:hAnsi="Times New Roman" w:cs="Times New Roman"/>
                <w:highlight w:val="green"/>
                <w:lang w:val="en-US"/>
              </w:rPr>
            </w:pPr>
            <w:proofErr w:type="gramStart"/>
            <w:r w:rsidRPr="006766DE">
              <w:rPr>
                <w:rFonts w:ascii="Times New Roman" w:hAnsi="Times New Roman" w:cs="Times New Roman"/>
                <w:highlight w:val="green"/>
                <w:lang w:val="en-US"/>
              </w:rPr>
              <w:t>I(</w:t>
            </w:r>
            <w:proofErr w:type="gramEnd"/>
            <w:r w:rsidRPr="006766DE">
              <w:rPr>
                <w:rFonts w:ascii="Times New Roman" w:hAnsi="Times New Roman" w:cs="Times New Roman"/>
                <w:highlight w:val="green"/>
                <w:lang w:val="en-US"/>
              </w:rPr>
              <w:t>0)</w:t>
            </w:r>
          </w:p>
        </w:tc>
      </w:tr>
    </w:tbl>
    <w:p w14:paraId="13F948CF" w14:textId="0BA1BDE9" w:rsidR="00236B37" w:rsidRPr="00236B37" w:rsidRDefault="00236B37" w:rsidP="00236B37">
      <w:pPr>
        <w:tabs>
          <w:tab w:val="left" w:pos="6375"/>
        </w:tabs>
        <w:spacing w:after="0"/>
        <w:jc w:val="both"/>
        <w:rPr>
          <w:rFonts w:ascii="Times New Roman" w:hAnsi="Times New Roman" w:cs="Times New Roman"/>
          <w:lang w:val="en-US"/>
        </w:rPr>
      </w:pPr>
      <w:r w:rsidRPr="00236B37">
        <w:rPr>
          <w:rFonts w:ascii="Times New Roman" w:hAnsi="Times New Roman" w:cs="Times New Roman"/>
          <w:highlight w:val="green"/>
          <w:lang w:val="en-US"/>
        </w:rPr>
        <w:lastRenderedPageBreak/>
        <w:t>*Note. Denotes statistical significance at the 5% level (5% MacKinnon critical value = -2.9266). Em-dashes (—) indicate that first-difference testing was omitted because stationarity was established at levels [</w:t>
      </w:r>
      <w:r w:rsidR="007C12F8" w:rsidRPr="007C12F8">
        <w:rPr>
          <w:rFonts w:ascii="Times New Roman" w:hAnsi="Times New Roman" w:cs="Times New Roman"/>
          <w:highlight w:val="green"/>
          <w:lang w:val="en-US"/>
        </w:rPr>
        <w:t>I (</w:t>
      </w:r>
      <w:r w:rsidRPr="00236B37">
        <w:rPr>
          <w:rFonts w:ascii="Times New Roman" w:hAnsi="Times New Roman" w:cs="Times New Roman"/>
          <w:highlight w:val="green"/>
          <w:lang w:val="en-US"/>
        </w:rPr>
        <w:t>0)].</w:t>
      </w:r>
    </w:p>
    <w:p w14:paraId="09989CBE" w14:textId="77777777" w:rsidR="006766DE" w:rsidRDefault="006766DE" w:rsidP="002206A6">
      <w:pPr>
        <w:tabs>
          <w:tab w:val="left" w:pos="6375"/>
        </w:tabs>
        <w:spacing w:after="0"/>
        <w:jc w:val="both"/>
        <w:rPr>
          <w:rFonts w:ascii="Times New Roman" w:hAnsi="Times New Roman" w:cs="Times New Roman"/>
          <w:b/>
          <w:bCs/>
        </w:rPr>
      </w:pPr>
    </w:p>
    <w:p w14:paraId="078618DB" w14:textId="4E2C03BF" w:rsidR="002206A6" w:rsidRPr="00734744" w:rsidRDefault="002206A6" w:rsidP="002206A6">
      <w:pPr>
        <w:tabs>
          <w:tab w:val="left" w:pos="6375"/>
        </w:tabs>
        <w:spacing w:after="0"/>
        <w:jc w:val="both"/>
        <w:rPr>
          <w:rFonts w:ascii="Times New Roman" w:hAnsi="Times New Roman" w:cs="Times New Roman"/>
          <w:b/>
          <w:bCs/>
        </w:rPr>
      </w:pPr>
      <w:r w:rsidRPr="00734744">
        <w:rPr>
          <w:rFonts w:ascii="Times New Roman" w:hAnsi="Times New Roman" w:cs="Times New Roman"/>
          <w:b/>
          <w:bCs/>
        </w:rPr>
        <w:t>4.3 Lag-Length Selection</w:t>
      </w:r>
    </w:p>
    <w:p w14:paraId="2A6E0187" w14:textId="13C3213B" w:rsidR="00BB631A" w:rsidRDefault="002206A6" w:rsidP="00A73CC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Akaike Information Criterion (AIC), Schwarz </w:t>
      </w:r>
      <w:r w:rsidRPr="007C12F8">
        <w:rPr>
          <w:rFonts w:ascii="Times New Roman" w:hAnsi="Times New Roman" w:cs="Times New Roman"/>
        </w:rPr>
        <w:t>Information</w:t>
      </w:r>
      <w:r w:rsidRPr="00734744">
        <w:rPr>
          <w:rFonts w:ascii="Times New Roman" w:hAnsi="Times New Roman" w:cs="Times New Roman"/>
        </w:rPr>
        <w:t xml:space="preserve"> Criterion (SIC) and Hannan-Quinn (HQ) criterion were used to determine the appropriate lag length. The results showed that AIC selected a lag length of 2, while SIC and HQ selected a lag length of 1. The thesis subsequently reports that lag length was used in estimating the model.</w:t>
      </w:r>
    </w:p>
    <w:p w14:paraId="56C60AAE" w14:textId="77777777" w:rsidR="00A73CCB" w:rsidRPr="00A73CCB" w:rsidRDefault="00A73CCB" w:rsidP="00A73CCB">
      <w:pPr>
        <w:tabs>
          <w:tab w:val="left" w:pos="6375"/>
        </w:tabs>
        <w:spacing w:after="0"/>
        <w:jc w:val="both"/>
        <w:rPr>
          <w:rFonts w:ascii="Times New Roman" w:hAnsi="Times New Roman" w:cs="Times New Roman"/>
        </w:rPr>
      </w:pPr>
    </w:p>
    <w:p w14:paraId="57B666EB" w14:textId="3796C3DC"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Table 4: Lag-Length Selection</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2689"/>
        <w:gridCol w:w="2690"/>
        <w:gridCol w:w="2705"/>
      </w:tblGrid>
      <w:tr w:rsidR="002206A6" w:rsidRPr="00734744" w14:paraId="6874FEA9" w14:textId="77777777" w:rsidTr="00BB631A">
        <w:trPr>
          <w:tblHeader/>
          <w:tblCellSpacing w:w="15" w:type="dxa"/>
        </w:trPr>
        <w:tc>
          <w:tcPr>
            <w:tcW w:w="639" w:type="pct"/>
            <w:tcBorders>
              <w:top w:val="single" w:sz="4" w:space="0" w:color="auto"/>
              <w:bottom w:val="single" w:sz="4" w:space="0" w:color="auto"/>
            </w:tcBorders>
            <w:vAlign w:val="center"/>
            <w:hideMark/>
          </w:tcPr>
          <w:p w14:paraId="0B9731DF"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Lag</w:t>
            </w:r>
          </w:p>
        </w:tc>
        <w:tc>
          <w:tcPr>
            <w:tcW w:w="1379" w:type="pct"/>
            <w:tcBorders>
              <w:top w:val="single" w:sz="4" w:space="0" w:color="auto"/>
              <w:bottom w:val="single" w:sz="4" w:space="0" w:color="auto"/>
            </w:tcBorders>
            <w:vAlign w:val="center"/>
            <w:hideMark/>
          </w:tcPr>
          <w:p w14:paraId="4260EC16"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AIC</w:t>
            </w:r>
          </w:p>
        </w:tc>
        <w:tc>
          <w:tcPr>
            <w:tcW w:w="1379" w:type="pct"/>
            <w:tcBorders>
              <w:top w:val="single" w:sz="4" w:space="0" w:color="auto"/>
              <w:bottom w:val="single" w:sz="4" w:space="0" w:color="auto"/>
            </w:tcBorders>
            <w:vAlign w:val="center"/>
            <w:hideMark/>
          </w:tcPr>
          <w:p w14:paraId="1B4DEB0D"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SIC</w:t>
            </w:r>
          </w:p>
        </w:tc>
        <w:tc>
          <w:tcPr>
            <w:tcW w:w="1379" w:type="pct"/>
            <w:tcBorders>
              <w:top w:val="single" w:sz="4" w:space="0" w:color="auto"/>
              <w:bottom w:val="single" w:sz="4" w:space="0" w:color="auto"/>
            </w:tcBorders>
            <w:vAlign w:val="center"/>
            <w:hideMark/>
          </w:tcPr>
          <w:p w14:paraId="173F0A25" w14:textId="77777777" w:rsidR="002206A6" w:rsidRPr="00734744" w:rsidRDefault="002206A6" w:rsidP="00A31F19">
            <w:pPr>
              <w:tabs>
                <w:tab w:val="left" w:pos="6375"/>
              </w:tabs>
              <w:spacing w:after="0"/>
              <w:jc w:val="both"/>
              <w:rPr>
                <w:rFonts w:ascii="Times New Roman" w:hAnsi="Times New Roman" w:cs="Times New Roman"/>
                <w:b/>
                <w:bCs/>
              </w:rPr>
            </w:pPr>
            <w:r w:rsidRPr="00734744">
              <w:rPr>
                <w:rFonts w:ascii="Times New Roman" w:hAnsi="Times New Roman" w:cs="Times New Roman"/>
                <w:b/>
                <w:bCs/>
              </w:rPr>
              <w:t>HQ</w:t>
            </w:r>
          </w:p>
        </w:tc>
      </w:tr>
      <w:tr w:rsidR="002206A6" w:rsidRPr="00734744" w14:paraId="14995834" w14:textId="77777777" w:rsidTr="00BB631A">
        <w:trPr>
          <w:tblCellSpacing w:w="15" w:type="dxa"/>
        </w:trPr>
        <w:tc>
          <w:tcPr>
            <w:tcW w:w="639" w:type="pct"/>
            <w:vAlign w:val="center"/>
            <w:hideMark/>
          </w:tcPr>
          <w:p w14:paraId="6B5A95B3"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0</w:t>
            </w:r>
          </w:p>
        </w:tc>
        <w:tc>
          <w:tcPr>
            <w:tcW w:w="1379" w:type="pct"/>
            <w:vAlign w:val="center"/>
            <w:hideMark/>
          </w:tcPr>
          <w:p w14:paraId="0D2DDAF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110.9516</w:t>
            </w:r>
          </w:p>
        </w:tc>
        <w:tc>
          <w:tcPr>
            <w:tcW w:w="1379" w:type="pct"/>
            <w:vAlign w:val="center"/>
            <w:hideMark/>
          </w:tcPr>
          <w:p w14:paraId="333698D7"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111.1768</w:t>
            </w:r>
          </w:p>
        </w:tc>
        <w:tc>
          <w:tcPr>
            <w:tcW w:w="1379" w:type="pct"/>
            <w:vAlign w:val="center"/>
            <w:hideMark/>
          </w:tcPr>
          <w:p w14:paraId="509238C9"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111.0379</w:t>
            </w:r>
          </w:p>
        </w:tc>
      </w:tr>
      <w:tr w:rsidR="002206A6" w:rsidRPr="00734744" w14:paraId="0F5AFD83" w14:textId="77777777" w:rsidTr="00BB631A">
        <w:trPr>
          <w:tblCellSpacing w:w="15" w:type="dxa"/>
        </w:trPr>
        <w:tc>
          <w:tcPr>
            <w:tcW w:w="639" w:type="pct"/>
            <w:vAlign w:val="center"/>
            <w:hideMark/>
          </w:tcPr>
          <w:p w14:paraId="59D98C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w:t>
            </w:r>
          </w:p>
        </w:tc>
        <w:tc>
          <w:tcPr>
            <w:tcW w:w="1379" w:type="pct"/>
            <w:vAlign w:val="center"/>
            <w:hideMark/>
          </w:tcPr>
          <w:p w14:paraId="09FFFEE6"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101.4018</w:t>
            </w:r>
          </w:p>
        </w:tc>
        <w:tc>
          <w:tcPr>
            <w:tcW w:w="1379" w:type="pct"/>
            <w:vAlign w:val="center"/>
            <w:hideMark/>
          </w:tcPr>
          <w:p w14:paraId="3CE263C5"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102.9778</w:t>
            </w:r>
          </w:p>
        </w:tc>
        <w:tc>
          <w:tcPr>
            <w:tcW w:w="1379" w:type="pct"/>
            <w:vAlign w:val="center"/>
            <w:hideMark/>
          </w:tcPr>
          <w:p w14:paraId="541A487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102.0060</w:t>
            </w:r>
          </w:p>
        </w:tc>
      </w:tr>
      <w:tr w:rsidR="002206A6" w:rsidRPr="00734744" w14:paraId="1F8E5BAD" w14:textId="77777777" w:rsidTr="00BB631A">
        <w:trPr>
          <w:tblCellSpacing w:w="15" w:type="dxa"/>
        </w:trPr>
        <w:tc>
          <w:tcPr>
            <w:tcW w:w="639" w:type="pct"/>
            <w:vAlign w:val="center"/>
            <w:hideMark/>
          </w:tcPr>
          <w:p w14:paraId="30BC3CDE"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2</w:t>
            </w:r>
          </w:p>
        </w:tc>
        <w:tc>
          <w:tcPr>
            <w:tcW w:w="1379" w:type="pct"/>
            <w:vAlign w:val="center"/>
            <w:hideMark/>
          </w:tcPr>
          <w:p w14:paraId="4077E5EB"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101.0173</w:t>
            </w:r>
          </w:p>
        </w:tc>
        <w:tc>
          <w:tcPr>
            <w:tcW w:w="1379" w:type="pct"/>
            <w:vAlign w:val="center"/>
            <w:hideMark/>
          </w:tcPr>
          <w:p w14:paraId="52BC36F8"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103.9442</w:t>
            </w:r>
          </w:p>
        </w:tc>
        <w:tc>
          <w:tcPr>
            <w:tcW w:w="1379" w:type="pct"/>
            <w:vAlign w:val="center"/>
            <w:hideMark/>
          </w:tcPr>
          <w:p w14:paraId="1995B6B1" w14:textId="77777777" w:rsidR="002206A6" w:rsidRPr="00734744" w:rsidRDefault="002206A6" w:rsidP="00A31F19">
            <w:pPr>
              <w:tabs>
                <w:tab w:val="left" w:pos="6375"/>
              </w:tabs>
              <w:spacing w:after="0"/>
              <w:jc w:val="both"/>
              <w:rPr>
                <w:rFonts w:ascii="Times New Roman" w:hAnsi="Times New Roman" w:cs="Times New Roman"/>
              </w:rPr>
            </w:pPr>
            <w:r w:rsidRPr="00734744">
              <w:rPr>
                <w:rFonts w:ascii="Times New Roman" w:hAnsi="Times New Roman" w:cs="Times New Roman"/>
              </w:rPr>
              <w:t>102.1394</w:t>
            </w:r>
          </w:p>
        </w:tc>
      </w:tr>
    </w:tbl>
    <w:p w14:paraId="335FB83E" w14:textId="4E55567D"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599D1DFB" w14:textId="77777777" w:rsidR="002206A6" w:rsidRPr="00BF4163" w:rsidRDefault="002206A6" w:rsidP="002206A6">
      <w:pPr>
        <w:tabs>
          <w:tab w:val="left" w:pos="6375"/>
        </w:tabs>
        <w:spacing w:after="0"/>
        <w:jc w:val="both"/>
        <w:rPr>
          <w:rFonts w:ascii="Times New Roman" w:hAnsi="Times New Roman" w:cs="Times New Roman"/>
          <w:b/>
          <w:bCs/>
          <w:highlight w:val="yellow"/>
        </w:rPr>
      </w:pPr>
      <w:r w:rsidRPr="00BF4163">
        <w:rPr>
          <w:rFonts w:ascii="Times New Roman" w:hAnsi="Times New Roman" w:cs="Times New Roman"/>
          <w:b/>
          <w:bCs/>
          <w:highlight w:val="yellow"/>
        </w:rPr>
        <w:t>4.4 Cointegration Test</w:t>
      </w:r>
    </w:p>
    <w:p w14:paraId="032F9E75" w14:textId="77777777" w:rsidR="00BF4163" w:rsidRPr="00BF4163" w:rsidRDefault="00BF4163" w:rsidP="00BF4163">
      <w:pPr>
        <w:tabs>
          <w:tab w:val="left" w:pos="6375"/>
        </w:tabs>
        <w:spacing w:after="0"/>
        <w:jc w:val="both"/>
        <w:rPr>
          <w:rFonts w:ascii="Times New Roman" w:hAnsi="Times New Roman" w:cs="Times New Roman"/>
          <w:highlight w:val="yellow"/>
          <w:lang w:val="en-US"/>
        </w:rPr>
      </w:pPr>
      <w:r w:rsidRPr="00BF4163">
        <w:rPr>
          <w:rFonts w:ascii="Times New Roman" w:hAnsi="Times New Roman" w:cs="Times New Roman"/>
          <w:highlight w:val="yellow"/>
          <w:lang w:val="en-US"/>
        </w:rPr>
        <w:t>The Engle-Granger two-step procedure was employed to examine whether a long-run equilibrium relationship existed among FDI and the selected macroeconomic variables. The residuals obtained from the estimated static long-run relationship were subjected to an Augmented Dickey-Fuller test. For Model 1, the residual ADF statistic was -3.765, compared with the reported 5% critical value of -3.600. Since the residual test statistic was more negative than the critical value, the residual was considered stationary at the 5% significance level. This result provided evidence of a long-run cointegrating relationship among FDI, exchange rate, economic growth, inflation and real interest rate over the study period.</w:t>
      </w:r>
    </w:p>
    <w:p w14:paraId="52D1EEFD" w14:textId="77777777" w:rsidR="00BF4163" w:rsidRPr="00BF4163" w:rsidRDefault="00BF4163" w:rsidP="00BF4163">
      <w:pPr>
        <w:tabs>
          <w:tab w:val="left" w:pos="6375"/>
        </w:tabs>
        <w:spacing w:after="0"/>
        <w:jc w:val="both"/>
        <w:rPr>
          <w:rFonts w:ascii="Times New Roman" w:hAnsi="Times New Roman" w:cs="Times New Roman"/>
          <w:highlight w:val="yellow"/>
          <w:lang w:val="en-US"/>
        </w:rPr>
      </w:pPr>
    </w:p>
    <w:p w14:paraId="54DE9A43" w14:textId="77777777" w:rsidR="00BF4163" w:rsidRPr="00BF4163" w:rsidRDefault="00BF4163" w:rsidP="00BF4163">
      <w:pPr>
        <w:tabs>
          <w:tab w:val="left" w:pos="6375"/>
        </w:tabs>
        <w:spacing w:after="0"/>
        <w:jc w:val="both"/>
        <w:rPr>
          <w:rFonts w:ascii="Times New Roman" w:hAnsi="Times New Roman" w:cs="Times New Roman"/>
          <w:lang w:val="en-US"/>
        </w:rPr>
      </w:pPr>
      <w:r w:rsidRPr="00BF4163">
        <w:rPr>
          <w:rFonts w:ascii="Times New Roman" w:hAnsi="Times New Roman" w:cs="Times New Roman"/>
          <w:highlight w:val="yellow"/>
          <w:lang w:val="en-US"/>
        </w:rPr>
        <w:t>The evidence of cointegration provided a basis for considering an error-correction representation to examine short-run dynamics and deviations from the estimated long-run relationship. However, the direction and magnitude of adjustment should be interpreted cautiously because the reported error-correction coefficient requires verification against the original estimation output.</w:t>
      </w:r>
    </w:p>
    <w:p w14:paraId="32F4F17C" w14:textId="77777777" w:rsidR="002206A6" w:rsidRPr="00734744" w:rsidRDefault="002206A6" w:rsidP="002206A6">
      <w:pPr>
        <w:tabs>
          <w:tab w:val="left" w:pos="6375"/>
        </w:tabs>
        <w:spacing w:after="0"/>
        <w:jc w:val="both"/>
        <w:rPr>
          <w:rFonts w:ascii="Times New Roman" w:hAnsi="Times New Roman" w:cs="Times New Roman"/>
        </w:rPr>
      </w:pPr>
    </w:p>
    <w:p w14:paraId="28A772DF" w14:textId="7237F0A7" w:rsidR="00A66E58"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 xml:space="preserve">For Model 1, which examines the selected macroeconomic variables and FDI, the residual ADF statistic was -3.765, compared with the 5% critical value of -3.6. The residual was therefore reported as stationary, providing evidence of cointegration among the variables in the model. </w:t>
      </w:r>
    </w:p>
    <w:p w14:paraId="4CAFD107" w14:textId="77777777" w:rsidR="005F2F87" w:rsidRDefault="005F2F87" w:rsidP="002206A6">
      <w:pPr>
        <w:tabs>
          <w:tab w:val="left" w:pos="6375"/>
        </w:tabs>
        <w:jc w:val="both"/>
        <w:rPr>
          <w:rFonts w:ascii="Times New Roman" w:hAnsi="Times New Roman" w:cs="Times New Roman"/>
        </w:rPr>
      </w:pPr>
    </w:p>
    <w:p w14:paraId="750B2116" w14:textId="77777777" w:rsidR="005F2F87" w:rsidRDefault="005F2F87" w:rsidP="002206A6">
      <w:pPr>
        <w:tabs>
          <w:tab w:val="left" w:pos="6375"/>
        </w:tabs>
        <w:jc w:val="both"/>
        <w:rPr>
          <w:rFonts w:ascii="Times New Roman" w:hAnsi="Times New Roman" w:cs="Times New Roman"/>
        </w:rPr>
      </w:pPr>
    </w:p>
    <w:p w14:paraId="1428D9F5" w14:textId="77777777" w:rsidR="005F2F87" w:rsidRDefault="005F2F87" w:rsidP="002206A6">
      <w:pPr>
        <w:tabs>
          <w:tab w:val="left" w:pos="6375"/>
        </w:tabs>
        <w:jc w:val="both"/>
        <w:rPr>
          <w:rFonts w:ascii="Times New Roman" w:hAnsi="Times New Roman" w:cs="Times New Roman"/>
        </w:rPr>
      </w:pPr>
    </w:p>
    <w:p w14:paraId="45B3F732" w14:textId="362AF28A"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lastRenderedPageBreak/>
        <w:t>Table 5: Cointegration Test</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548"/>
        <w:gridCol w:w="2548"/>
        <w:gridCol w:w="3392"/>
        <w:gridCol w:w="1872"/>
      </w:tblGrid>
      <w:tr w:rsidR="002206A6" w:rsidRPr="00734744" w14:paraId="74A5977B" w14:textId="77777777" w:rsidTr="00BB631A">
        <w:trPr>
          <w:tblHeader/>
          <w:tblCellSpacing w:w="15" w:type="dxa"/>
        </w:trPr>
        <w:tc>
          <w:tcPr>
            <w:tcW w:w="793" w:type="pct"/>
            <w:tcBorders>
              <w:top w:val="single" w:sz="4" w:space="0" w:color="auto"/>
              <w:bottom w:val="single" w:sz="4" w:space="0" w:color="auto"/>
            </w:tcBorders>
            <w:vAlign w:val="center"/>
            <w:hideMark/>
          </w:tcPr>
          <w:p w14:paraId="241F1CBF"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Model</w:t>
            </w:r>
          </w:p>
        </w:tc>
        <w:tc>
          <w:tcPr>
            <w:tcW w:w="1328" w:type="pct"/>
            <w:tcBorders>
              <w:top w:val="single" w:sz="4" w:space="0" w:color="auto"/>
              <w:bottom w:val="single" w:sz="4" w:space="0" w:color="auto"/>
            </w:tcBorders>
            <w:vAlign w:val="center"/>
            <w:hideMark/>
          </w:tcPr>
          <w:p w14:paraId="589E8E39"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ADF Statistic</w:t>
            </w:r>
          </w:p>
        </w:tc>
        <w:tc>
          <w:tcPr>
            <w:tcW w:w="1773" w:type="pct"/>
            <w:tcBorders>
              <w:top w:val="single" w:sz="4" w:space="0" w:color="auto"/>
              <w:bottom w:val="single" w:sz="4" w:space="0" w:color="auto"/>
            </w:tcBorders>
            <w:vAlign w:val="center"/>
            <w:hideMark/>
          </w:tcPr>
          <w:p w14:paraId="55C2FB72"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5% Critical Value</w:t>
            </w:r>
          </w:p>
        </w:tc>
        <w:tc>
          <w:tcPr>
            <w:tcW w:w="964" w:type="pct"/>
            <w:tcBorders>
              <w:top w:val="single" w:sz="4" w:space="0" w:color="auto"/>
              <w:bottom w:val="single" w:sz="4" w:space="0" w:color="auto"/>
            </w:tcBorders>
            <w:vAlign w:val="center"/>
            <w:hideMark/>
          </w:tcPr>
          <w:p w14:paraId="34351CFB" w14:textId="77777777" w:rsidR="002206A6" w:rsidRPr="00734744" w:rsidRDefault="002206A6" w:rsidP="002206A6">
            <w:pPr>
              <w:tabs>
                <w:tab w:val="left" w:pos="6375"/>
              </w:tabs>
              <w:jc w:val="both"/>
              <w:rPr>
                <w:rFonts w:ascii="Times New Roman" w:hAnsi="Times New Roman" w:cs="Times New Roman"/>
                <w:b/>
                <w:bCs/>
              </w:rPr>
            </w:pPr>
            <w:r w:rsidRPr="00734744">
              <w:rPr>
                <w:rFonts w:ascii="Times New Roman" w:hAnsi="Times New Roman" w:cs="Times New Roman"/>
                <w:b/>
                <w:bCs/>
              </w:rPr>
              <w:t>Result</w:t>
            </w:r>
          </w:p>
        </w:tc>
      </w:tr>
      <w:tr w:rsidR="002206A6" w:rsidRPr="00734744" w14:paraId="44FC09F8" w14:textId="77777777" w:rsidTr="00BB631A">
        <w:trPr>
          <w:tblCellSpacing w:w="15" w:type="dxa"/>
        </w:trPr>
        <w:tc>
          <w:tcPr>
            <w:tcW w:w="793" w:type="pct"/>
            <w:vAlign w:val="center"/>
            <w:hideMark/>
          </w:tcPr>
          <w:p w14:paraId="0FB142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Model 1</w:t>
            </w:r>
          </w:p>
        </w:tc>
        <w:tc>
          <w:tcPr>
            <w:tcW w:w="1328" w:type="pct"/>
            <w:vAlign w:val="center"/>
            <w:hideMark/>
          </w:tcPr>
          <w:p w14:paraId="1E5B476D"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-3.765</w:t>
            </w:r>
          </w:p>
        </w:tc>
        <w:tc>
          <w:tcPr>
            <w:tcW w:w="1773" w:type="pct"/>
            <w:vAlign w:val="center"/>
            <w:hideMark/>
          </w:tcPr>
          <w:p w14:paraId="2ECFDB7E"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-3.600</w:t>
            </w:r>
          </w:p>
        </w:tc>
        <w:tc>
          <w:tcPr>
            <w:tcW w:w="964" w:type="pct"/>
            <w:vAlign w:val="center"/>
            <w:hideMark/>
          </w:tcPr>
          <w:p w14:paraId="772441C5" w14:textId="77777777"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rPr>
              <w:t>Stationary</w:t>
            </w:r>
          </w:p>
        </w:tc>
      </w:tr>
    </w:tbl>
    <w:p w14:paraId="14173C0C" w14:textId="144843C5" w:rsidR="002206A6" w:rsidRPr="00734744" w:rsidRDefault="002206A6" w:rsidP="002206A6">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20944416" w14:textId="77777777" w:rsidR="00114B0A" w:rsidRDefault="002206A6" w:rsidP="00114B0A">
      <w:pPr>
        <w:tabs>
          <w:tab w:val="left" w:pos="6375"/>
        </w:tabs>
        <w:jc w:val="both"/>
        <w:rPr>
          <w:rFonts w:ascii="Times New Roman" w:hAnsi="Times New Roman" w:cs="Times New Roman"/>
        </w:rPr>
      </w:pPr>
      <w:r w:rsidRPr="00734744">
        <w:rPr>
          <w:rFonts w:ascii="Times New Roman" w:hAnsi="Times New Roman" w:cs="Times New Roman"/>
        </w:rPr>
        <w:t>The presence of cointegration justified the use of an error-correction framework for examining the relationship between the selected macroeconomic variables and FDI.</w:t>
      </w:r>
    </w:p>
    <w:p w14:paraId="196DF15A" w14:textId="77777777" w:rsidR="00114B0A" w:rsidRDefault="00114B0A" w:rsidP="00114B0A">
      <w:pPr>
        <w:tabs>
          <w:tab w:val="left" w:pos="6375"/>
        </w:tabs>
        <w:jc w:val="both"/>
        <w:rPr>
          <w:rFonts w:ascii="Times New Roman" w:hAnsi="Times New Roman" w:cs="Times New Roman"/>
        </w:rPr>
      </w:pPr>
    </w:p>
    <w:p w14:paraId="44A2C240" w14:textId="7304C7B2" w:rsidR="002206A6" w:rsidRPr="00734744" w:rsidRDefault="002206A6" w:rsidP="00114B0A">
      <w:pPr>
        <w:tabs>
          <w:tab w:val="left" w:pos="6375"/>
        </w:tabs>
        <w:jc w:val="both"/>
        <w:rPr>
          <w:rFonts w:ascii="Times New Roman" w:hAnsi="Times New Roman" w:cs="Times New Roman"/>
          <w:b/>
          <w:bCs/>
        </w:rPr>
      </w:pPr>
      <w:r w:rsidRPr="00734744">
        <w:rPr>
          <w:rFonts w:ascii="Times New Roman" w:hAnsi="Times New Roman" w:cs="Times New Roman"/>
          <w:b/>
          <w:bCs/>
        </w:rPr>
        <w:t>4.5 Granger Causality</w:t>
      </w:r>
    </w:p>
    <w:p w14:paraId="17165CE5" w14:textId="4AB0A400" w:rsidR="002206A6" w:rsidRPr="00734744" w:rsidRDefault="002206A6" w:rsidP="002206A6">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Granger causality test was used to examine the direction of relationships between FDI and each of the selected macroeconomic variables. The thesis used a 5% significance level, with a probability value below 0.05 indicating causality. The results indicated unidirectional Granger causality from exchange rate to FDI, with an F-statistic of 3.23004 and a p-value of 0.0485. However, FDI did not Granger-cause exchange rate, with a p-value of 0.1737. Similarly, economic growth Granger-caused FDI, with an F-statistic of 13.5061 and a p-value of 0.00002, whereas FDI did not Granger-cause economic growth (p = 0.2882). No Granger causality was found between inflation and FDI or between real interest rate and FDI in either direction. </w:t>
      </w:r>
    </w:p>
    <w:p w14:paraId="623045B4" w14:textId="77777777" w:rsidR="00BB631A" w:rsidRPr="00734744" w:rsidRDefault="00BB631A" w:rsidP="00A059D0">
      <w:pPr>
        <w:tabs>
          <w:tab w:val="left" w:pos="6375"/>
        </w:tabs>
        <w:spacing w:after="0"/>
        <w:jc w:val="both"/>
        <w:rPr>
          <w:rFonts w:ascii="Times New Roman" w:hAnsi="Times New Roman" w:cs="Times New Roman"/>
        </w:rPr>
      </w:pPr>
    </w:p>
    <w:p w14:paraId="192F0C2B" w14:textId="77777777" w:rsidR="00BB631A" w:rsidRPr="00734744" w:rsidRDefault="00BB631A" w:rsidP="00A059D0">
      <w:pPr>
        <w:tabs>
          <w:tab w:val="left" w:pos="6375"/>
        </w:tabs>
        <w:spacing w:after="0"/>
        <w:jc w:val="both"/>
        <w:rPr>
          <w:rFonts w:ascii="Times New Roman" w:hAnsi="Times New Roman" w:cs="Times New Roman"/>
        </w:rPr>
      </w:pPr>
    </w:p>
    <w:p w14:paraId="440AC5B4" w14:textId="70EEEE0B" w:rsidR="002206A6" w:rsidRPr="00734744" w:rsidRDefault="002206A6" w:rsidP="00A059D0">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6. Granger Causality Results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26"/>
        <w:gridCol w:w="1108"/>
        <w:gridCol w:w="1756"/>
      </w:tblGrid>
      <w:tr w:rsidR="002206A6" w:rsidRPr="00734744" w14:paraId="7313B3BD" w14:textId="77777777" w:rsidTr="005F2F87">
        <w:tc>
          <w:tcPr>
            <w:tcW w:w="2708" w:type="pct"/>
            <w:tcBorders>
              <w:top w:val="single" w:sz="4" w:space="0" w:color="auto"/>
              <w:bottom w:val="single" w:sz="4" w:space="0" w:color="auto"/>
            </w:tcBorders>
            <w:hideMark/>
          </w:tcPr>
          <w:p w14:paraId="6C4F6F2B"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Null Hypothesis</w:t>
            </w:r>
          </w:p>
        </w:tc>
        <w:tc>
          <w:tcPr>
            <w:tcW w:w="762" w:type="pct"/>
            <w:tcBorders>
              <w:top w:val="single" w:sz="4" w:space="0" w:color="auto"/>
              <w:bottom w:val="single" w:sz="4" w:space="0" w:color="auto"/>
            </w:tcBorders>
            <w:hideMark/>
          </w:tcPr>
          <w:p w14:paraId="3E68AA39"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F-statistic</w:t>
            </w:r>
          </w:p>
        </w:tc>
        <w:tc>
          <w:tcPr>
            <w:tcW w:w="592" w:type="pct"/>
            <w:tcBorders>
              <w:top w:val="single" w:sz="4" w:space="0" w:color="auto"/>
              <w:bottom w:val="single" w:sz="4" w:space="0" w:color="auto"/>
            </w:tcBorders>
            <w:hideMark/>
          </w:tcPr>
          <w:p w14:paraId="5057323C"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p-value</w:t>
            </w:r>
          </w:p>
        </w:tc>
        <w:tc>
          <w:tcPr>
            <w:tcW w:w="938" w:type="pct"/>
            <w:tcBorders>
              <w:top w:val="single" w:sz="4" w:space="0" w:color="auto"/>
              <w:bottom w:val="single" w:sz="4" w:space="0" w:color="auto"/>
            </w:tcBorders>
            <w:hideMark/>
          </w:tcPr>
          <w:p w14:paraId="3C2F065B" w14:textId="77777777" w:rsidR="002206A6" w:rsidRPr="00734744" w:rsidRDefault="002206A6" w:rsidP="00A059D0">
            <w:pPr>
              <w:tabs>
                <w:tab w:val="left" w:pos="6375"/>
              </w:tabs>
              <w:jc w:val="both"/>
              <w:rPr>
                <w:rFonts w:ascii="Times New Roman" w:hAnsi="Times New Roman" w:cs="Times New Roman"/>
                <w:b/>
                <w:bCs/>
              </w:rPr>
            </w:pPr>
            <w:r w:rsidRPr="00734744">
              <w:rPr>
                <w:rFonts w:ascii="Times New Roman" w:hAnsi="Times New Roman" w:cs="Times New Roman"/>
                <w:b/>
                <w:bCs/>
              </w:rPr>
              <w:t>Decision</w:t>
            </w:r>
          </w:p>
        </w:tc>
      </w:tr>
      <w:tr w:rsidR="002206A6" w:rsidRPr="00734744" w14:paraId="4588EAE5" w14:textId="77777777" w:rsidTr="005F2F87">
        <w:tc>
          <w:tcPr>
            <w:tcW w:w="2708" w:type="pct"/>
            <w:tcBorders>
              <w:top w:val="single" w:sz="4" w:space="0" w:color="auto"/>
            </w:tcBorders>
            <w:hideMark/>
          </w:tcPr>
          <w:p w14:paraId="55E33BF7"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lnER</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62" w:type="pct"/>
            <w:tcBorders>
              <w:top w:val="single" w:sz="4" w:space="0" w:color="auto"/>
            </w:tcBorders>
            <w:hideMark/>
          </w:tcPr>
          <w:p w14:paraId="09805890"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3.23004</w:t>
            </w:r>
          </w:p>
        </w:tc>
        <w:tc>
          <w:tcPr>
            <w:tcW w:w="592" w:type="pct"/>
            <w:tcBorders>
              <w:top w:val="single" w:sz="4" w:space="0" w:color="auto"/>
            </w:tcBorders>
            <w:hideMark/>
          </w:tcPr>
          <w:p w14:paraId="1BD23A0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0.0485</w:t>
            </w:r>
          </w:p>
        </w:tc>
        <w:tc>
          <w:tcPr>
            <w:tcW w:w="938" w:type="pct"/>
            <w:tcBorders>
              <w:top w:val="single" w:sz="4" w:space="0" w:color="auto"/>
            </w:tcBorders>
            <w:hideMark/>
          </w:tcPr>
          <w:p w14:paraId="6B08A40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Reject</w:t>
            </w:r>
          </w:p>
        </w:tc>
      </w:tr>
      <w:tr w:rsidR="002206A6" w:rsidRPr="00734744" w14:paraId="2F27BBE6" w14:textId="77777777" w:rsidTr="005F2F87">
        <w:tc>
          <w:tcPr>
            <w:tcW w:w="2708" w:type="pct"/>
            <w:hideMark/>
          </w:tcPr>
          <w:p w14:paraId="30A82AEF"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lnER</w:t>
            </w:r>
            <w:proofErr w:type="spellEnd"/>
          </w:p>
        </w:tc>
        <w:tc>
          <w:tcPr>
            <w:tcW w:w="762" w:type="pct"/>
            <w:hideMark/>
          </w:tcPr>
          <w:p w14:paraId="3E83E13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1.81697</w:t>
            </w:r>
          </w:p>
        </w:tc>
        <w:tc>
          <w:tcPr>
            <w:tcW w:w="592" w:type="pct"/>
            <w:hideMark/>
          </w:tcPr>
          <w:p w14:paraId="64633B3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0.1737</w:t>
            </w:r>
          </w:p>
        </w:tc>
        <w:tc>
          <w:tcPr>
            <w:tcW w:w="938" w:type="pct"/>
            <w:hideMark/>
          </w:tcPr>
          <w:p w14:paraId="4DE39714"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5C46B445" w14:textId="77777777" w:rsidTr="005F2F87">
        <w:tc>
          <w:tcPr>
            <w:tcW w:w="2708" w:type="pct"/>
            <w:hideMark/>
          </w:tcPr>
          <w:p w14:paraId="22603408"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lnEG</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62" w:type="pct"/>
            <w:hideMark/>
          </w:tcPr>
          <w:p w14:paraId="5FB8E9B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13.5061</w:t>
            </w:r>
          </w:p>
        </w:tc>
        <w:tc>
          <w:tcPr>
            <w:tcW w:w="592" w:type="pct"/>
            <w:hideMark/>
          </w:tcPr>
          <w:p w14:paraId="53EA6D3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0.00002</w:t>
            </w:r>
          </w:p>
        </w:tc>
        <w:tc>
          <w:tcPr>
            <w:tcW w:w="938" w:type="pct"/>
            <w:hideMark/>
          </w:tcPr>
          <w:p w14:paraId="636CB41D"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Reject</w:t>
            </w:r>
          </w:p>
        </w:tc>
      </w:tr>
      <w:tr w:rsidR="002206A6" w:rsidRPr="00734744" w14:paraId="0DC5F38E" w14:textId="77777777" w:rsidTr="005F2F87">
        <w:tc>
          <w:tcPr>
            <w:tcW w:w="2708" w:type="pct"/>
            <w:hideMark/>
          </w:tcPr>
          <w:p w14:paraId="1F7E9EF3"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lnEG</w:t>
            </w:r>
            <w:proofErr w:type="spellEnd"/>
          </w:p>
        </w:tc>
        <w:tc>
          <w:tcPr>
            <w:tcW w:w="762" w:type="pct"/>
            <w:hideMark/>
          </w:tcPr>
          <w:p w14:paraId="57A4889F"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1.27755</w:t>
            </w:r>
          </w:p>
        </w:tc>
        <w:tc>
          <w:tcPr>
            <w:tcW w:w="592" w:type="pct"/>
            <w:hideMark/>
          </w:tcPr>
          <w:p w14:paraId="5E1A2C61"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0.2882</w:t>
            </w:r>
          </w:p>
        </w:tc>
        <w:tc>
          <w:tcPr>
            <w:tcW w:w="938" w:type="pct"/>
            <w:hideMark/>
          </w:tcPr>
          <w:p w14:paraId="2D255F4E"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26A23B8E" w14:textId="77777777" w:rsidTr="005F2F87">
        <w:tc>
          <w:tcPr>
            <w:tcW w:w="2708" w:type="pct"/>
            <w:hideMark/>
          </w:tcPr>
          <w:p w14:paraId="7E1D353F"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lnINFL</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62" w:type="pct"/>
            <w:hideMark/>
          </w:tcPr>
          <w:p w14:paraId="4190A799"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0.22810</w:t>
            </w:r>
          </w:p>
        </w:tc>
        <w:tc>
          <w:tcPr>
            <w:tcW w:w="592" w:type="pct"/>
            <w:hideMark/>
          </w:tcPr>
          <w:p w14:paraId="657A803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0.7969</w:t>
            </w:r>
          </w:p>
        </w:tc>
        <w:tc>
          <w:tcPr>
            <w:tcW w:w="938" w:type="pct"/>
            <w:hideMark/>
          </w:tcPr>
          <w:p w14:paraId="2795531D"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6B8F2E30" w14:textId="77777777" w:rsidTr="005F2F87">
        <w:tc>
          <w:tcPr>
            <w:tcW w:w="2708" w:type="pct"/>
            <w:hideMark/>
          </w:tcPr>
          <w:p w14:paraId="38D37D05"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lnINFL</w:t>
            </w:r>
            <w:proofErr w:type="spellEnd"/>
          </w:p>
        </w:tc>
        <w:tc>
          <w:tcPr>
            <w:tcW w:w="762" w:type="pct"/>
            <w:hideMark/>
          </w:tcPr>
          <w:p w14:paraId="246FF8C4"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0.45653</w:t>
            </w:r>
          </w:p>
        </w:tc>
        <w:tc>
          <w:tcPr>
            <w:tcW w:w="592" w:type="pct"/>
            <w:hideMark/>
          </w:tcPr>
          <w:p w14:paraId="76A749C5"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0.6363</w:t>
            </w:r>
          </w:p>
        </w:tc>
        <w:tc>
          <w:tcPr>
            <w:tcW w:w="938" w:type="pct"/>
            <w:hideMark/>
          </w:tcPr>
          <w:p w14:paraId="0AC61137"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45E85F90" w14:textId="77777777" w:rsidTr="005F2F87">
        <w:tc>
          <w:tcPr>
            <w:tcW w:w="2708" w:type="pct"/>
            <w:hideMark/>
          </w:tcPr>
          <w:p w14:paraId="6EEBE504"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lnIR</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lnFDI</w:t>
            </w:r>
            <w:proofErr w:type="spellEnd"/>
          </w:p>
        </w:tc>
        <w:tc>
          <w:tcPr>
            <w:tcW w:w="762" w:type="pct"/>
            <w:hideMark/>
          </w:tcPr>
          <w:p w14:paraId="6ABDB4C6"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0.16936</w:t>
            </w:r>
          </w:p>
        </w:tc>
        <w:tc>
          <w:tcPr>
            <w:tcW w:w="592" w:type="pct"/>
            <w:hideMark/>
          </w:tcPr>
          <w:p w14:paraId="0ACD068B"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0.8447</w:t>
            </w:r>
          </w:p>
        </w:tc>
        <w:tc>
          <w:tcPr>
            <w:tcW w:w="938" w:type="pct"/>
            <w:hideMark/>
          </w:tcPr>
          <w:p w14:paraId="7680CA93"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r w:rsidR="002206A6" w:rsidRPr="00734744" w14:paraId="06875F69" w14:textId="77777777" w:rsidTr="005F2F87">
        <w:tc>
          <w:tcPr>
            <w:tcW w:w="2708" w:type="pct"/>
            <w:hideMark/>
          </w:tcPr>
          <w:p w14:paraId="7EA70262" w14:textId="77777777" w:rsidR="002206A6" w:rsidRPr="00734744" w:rsidRDefault="002206A6" w:rsidP="00A059D0">
            <w:pPr>
              <w:tabs>
                <w:tab w:val="left" w:pos="6375"/>
              </w:tabs>
              <w:jc w:val="both"/>
              <w:rPr>
                <w:rFonts w:ascii="Times New Roman" w:hAnsi="Times New Roman" w:cs="Times New Roman"/>
              </w:rPr>
            </w:pPr>
            <w:proofErr w:type="spellStart"/>
            <w:r w:rsidRPr="00734744">
              <w:rPr>
                <w:rFonts w:ascii="Times New Roman" w:hAnsi="Times New Roman" w:cs="Times New Roman"/>
              </w:rPr>
              <w:t>lnFDI</w:t>
            </w:r>
            <w:proofErr w:type="spellEnd"/>
            <w:r w:rsidRPr="00734744">
              <w:rPr>
                <w:rFonts w:ascii="Times New Roman" w:hAnsi="Times New Roman" w:cs="Times New Roman"/>
              </w:rPr>
              <w:t xml:space="preserve"> does not Granger-cause </w:t>
            </w:r>
            <w:proofErr w:type="spellStart"/>
            <w:r w:rsidRPr="00734744">
              <w:rPr>
                <w:rFonts w:ascii="Times New Roman" w:hAnsi="Times New Roman" w:cs="Times New Roman"/>
              </w:rPr>
              <w:t>lnIR</w:t>
            </w:r>
            <w:proofErr w:type="spellEnd"/>
          </w:p>
        </w:tc>
        <w:tc>
          <w:tcPr>
            <w:tcW w:w="762" w:type="pct"/>
            <w:hideMark/>
          </w:tcPr>
          <w:p w14:paraId="68135918"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0.21608</w:t>
            </w:r>
          </w:p>
        </w:tc>
        <w:tc>
          <w:tcPr>
            <w:tcW w:w="592" w:type="pct"/>
            <w:hideMark/>
          </w:tcPr>
          <w:p w14:paraId="494DD259"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0.8065</w:t>
            </w:r>
          </w:p>
        </w:tc>
        <w:tc>
          <w:tcPr>
            <w:tcW w:w="938" w:type="pct"/>
            <w:hideMark/>
          </w:tcPr>
          <w:p w14:paraId="498B77FF" w14:textId="77777777" w:rsidR="002206A6" w:rsidRPr="00734744" w:rsidRDefault="002206A6" w:rsidP="00A059D0">
            <w:pPr>
              <w:tabs>
                <w:tab w:val="left" w:pos="6375"/>
              </w:tabs>
              <w:jc w:val="both"/>
              <w:rPr>
                <w:rFonts w:ascii="Times New Roman" w:hAnsi="Times New Roman" w:cs="Times New Roman"/>
              </w:rPr>
            </w:pPr>
            <w:r w:rsidRPr="00734744">
              <w:rPr>
                <w:rFonts w:ascii="Times New Roman" w:hAnsi="Times New Roman" w:cs="Times New Roman"/>
              </w:rPr>
              <w:t>Do not reject</w:t>
            </w:r>
          </w:p>
        </w:tc>
      </w:tr>
    </w:tbl>
    <w:p w14:paraId="77642E67" w14:textId="191505C8" w:rsidR="00A66E58" w:rsidRPr="00530B02" w:rsidRDefault="002206A6"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45BA38E1" w14:textId="4D1D22BC" w:rsidR="002A0F7C" w:rsidRPr="00734744" w:rsidRDefault="002A0F7C" w:rsidP="002A0F7C">
      <w:pPr>
        <w:tabs>
          <w:tab w:val="left" w:pos="6375"/>
        </w:tabs>
        <w:jc w:val="both"/>
        <w:rPr>
          <w:rFonts w:ascii="Times New Roman" w:hAnsi="Times New Roman" w:cs="Times New Roman"/>
          <w:b/>
          <w:bCs/>
        </w:rPr>
      </w:pPr>
      <w:r w:rsidRPr="00734744">
        <w:rPr>
          <w:rFonts w:ascii="Times New Roman" w:hAnsi="Times New Roman" w:cs="Times New Roman"/>
          <w:b/>
          <w:bCs/>
        </w:rPr>
        <w:t>4.6 Diagnostic Tests</w:t>
      </w:r>
    </w:p>
    <w:p w14:paraId="1424E3E3"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4.6.1 Multicollinearity</w:t>
      </w:r>
    </w:p>
    <w:p w14:paraId="66472E44"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Multicollinearity was assessed using the variance inflation factor (VIF). The VIF values for the Paper 1 explanatory variables were 6.595576 for exchange rate, 4.464454 for economic growth, 2.005806 for inflation and 2.130929 for real interest rate. All values were below 10, and the thesis therefore concluded that there was no evidence of serious multicollinearity among the explanatory variables. </w:t>
      </w:r>
    </w:p>
    <w:p w14:paraId="16C2120F" w14:textId="77777777" w:rsidR="002A0F7C" w:rsidRPr="00734744" w:rsidRDefault="002A0F7C" w:rsidP="002A0F7C">
      <w:pPr>
        <w:tabs>
          <w:tab w:val="left" w:pos="6375"/>
        </w:tabs>
        <w:spacing w:after="0"/>
        <w:jc w:val="both"/>
        <w:rPr>
          <w:rFonts w:ascii="Times New Roman" w:hAnsi="Times New Roman" w:cs="Times New Roman"/>
        </w:rPr>
      </w:pPr>
    </w:p>
    <w:p w14:paraId="53C6C663"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4.6.2 Autocorrelation</w:t>
      </w:r>
    </w:p>
    <w:p w14:paraId="0BB59C16"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Durbin-Watson statistic for Model 1 was 1.490650. The thesis interpreted this as indicating the absence of autocorrelation in the model. </w:t>
      </w:r>
    </w:p>
    <w:p w14:paraId="174CACAB" w14:textId="77777777" w:rsidR="002A0F7C" w:rsidRPr="00734744" w:rsidRDefault="002A0F7C" w:rsidP="002A0F7C">
      <w:pPr>
        <w:tabs>
          <w:tab w:val="left" w:pos="6375"/>
        </w:tabs>
        <w:spacing w:after="0"/>
        <w:jc w:val="both"/>
        <w:rPr>
          <w:rFonts w:ascii="Times New Roman" w:hAnsi="Times New Roman" w:cs="Times New Roman"/>
        </w:rPr>
      </w:pPr>
    </w:p>
    <w:p w14:paraId="51319C7B"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4.6.3 Heteroscedasticity</w:t>
      </w:r>
    </w:p>
    <w:p w14:paraId="60F10BF5" w14:textId="10685B4D"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Breusch-Pagan test produced a chi-square statistic of 4.80411 and a probability value of 0.1230 for Model 1. Since the reported probability value was greater than 0.05, the thesis concluded that there was no evidence of heteroscedasticity. </w:t>
      </w:r>
    </w:p>
    <w:p w14:paraId="5A72D2CE" w14:textId="77777777" w:rsidR="002A0F7C" w:rsidRPr="00734744" w:rsidRDefault="002A0F7C" w:rsidP="002A0F7C">
      <w:pPr>
        <w:tabs>
          <w:tab w:val="left" w:pos="6375"/>
        </w:tabs>
        <w:spacing w:after="0"/>
        <w:jc w:val="both"/>
        <w:rPr>
          <w:rFonts w:ascii="Times New Roman" w:hAnsi="Times New Roman" w:cs="Times New Roman"/>
        </w:rPr>
      </w:pPr>
    </w:p>
    <w:p w14:paraId="1A64AC78" w14:textId="77777777" w:rsidR="002A0F7C" w:rsidRPr="00734744" w:rsidRDefault="002A0F7C" w:rsidP="002A0F7C">
      <w:pPr>
        <w:tabs>
          <w:tab w:val="left" w:pos="6375"/>
        </w:tabs>
        <w:spacing w:after="0"/>
        <w:jc w:val="both"/>
        <w:rPr>
          <w:rFonts w:ascii="Times New Roman" w:hAnsi="Times New Roman" w:cs="Times New Roman"/>
          <w:b/>
          <w:bCs/>
        </w:rPr>
      </w:pPr>
      <w:r w:rsidRPr="00734744">
        <w:rPr>
          <w:rFonts w:ascii="Times New Roman" w:hAnsi="Times New Roman" w:cs="Times New Roman"/>
          <w:b/>
          <w:bCs/>
        </w:rPr>
        <w:t>4.7 Correlation Analysis</w:t>
      </w:r>
    </w:p>
    <w:p w14:paraId="233931BD" w14:textId="77777777" w:rsidR="002A0F7C" w:rsidRPr="00734744" w:rsidRDefault="002A0F7C" w:rsidP="002A0F7C">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correlation analysis showed a positive correlation between FDI and exchange rate (r = 0.6313) and a stronger positive correlation between FDI and economic growth (r = 0.8159). FDI and inflation had a weak negative correlation (r = -0.0961), while FDI and real interest rate had a very weak positive correlation (r = 0.0109). </w:t>
      </w:r>
    </w:p>
    <w:p w14:paraId="126F7F67" w14:textId="77777777" w:rsidR="002A0F7C" w:rsidRPr="00734744" w:rsidRDefault="002A0F7C" w:rsidP="002A0F7C">
      <w:pPr>
        <w:tabs>
          <w:tab w:val="left" w:pos="6375"/>
        </w:tabs>
        <w:jc w:val="both"/>
        <w:rPr>
          <w:rFonts w:ascii="Times New Roman" w:hAnsi="Times New Roman" w:cs="Times New Roman"/>
          <w:b/>
          <w:bCs/>
        </w:rPr>
      </w:pPr>
    </w:p>
    <w:p w14:paraId="2E6064E0" w14:textId="3C399DA4" w:rsidR="002A0F7C" w:rsidRPr="00734744" w:rsidRDefault="002A0F7C" w:rsidP="005F2F87">
      <w:pPr>
        <w:tabs>
          <w:tab w:val="left" w:pos="6375"/>
        </w:tabs>
        <w:spacing w:after="0"/>
        <w:jc w:val="both"/>
        <w:rPr>
          <w:rFonts w:ascii="Times New Roman" w:hAnsi="Times New Roman" w:cs="Times New Roman"/>
        </w:rPr>
      </w:pPr>
      <w:r w:rsidRPr="00734744">
        <w:rPr>
          <w:rFonts w:ascii="Times New Roman" w:hAnsi="Times New Roman" w:cs="Times New Roman"/>
        </w:rPr>
        <w:t xml:space="preserve">Table </w:t>
      </w:r>
      <w:r w:rsidR="007B3574" w:rsidRPr="00734744">
        <w:rPr>
          <w:rFonts w:ascii="Times New Roman" w:hAnsi="Times New Roman" w:cs="Times New Roman"/>
        </w:rPr>
        <w:t>7</w:t>
      </w:r>
      <w:r w:rsidRPr="00734744">
        <w:rPr>
          <w:rFonts w:ascii="Times New Roman" w:hAnsi="Times New Roman" w:cs="Times New Roman"/>
        </w:rPr>
        <w:t>. Correlation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1532"/>
        <w:gridCol w:w="1372"/>
        <w:gridCol w:w="1531"/>
        <w:gridCol w:w="1601"/>
        <w:gridCol w:w="1531"/>
      </w:tblGrid>
      <w:tr w:rsidR="005F2F87" w:rsidRPr="005F2F87" w14:paraId="39797101" w14:textId="77777777" w:rsidTr="005F2F87">
        <w:tc>
          <w:tcPr>
            <w:tcW w:w="957" w:type="pct"/>
            <w:hideMark/>
          </w:tcPr>
          <w:p w14:paraId="430AC07D" w14:textId="77777777" w:rsidR="002A0F7C" w:rsidRPr="005F2F87" w:rsidRDefault="002A0F7C" w:rsidP="002A0F7C">
            <w:pPr>
              <w:tabs>
                <w:tab w:val="left" w:pos="6375"/>
              </w:tabs>
              <w:jc w:val="both"/>
              <w:rPr>
                <w:rFonts w:ascii="Times New Roman" w:hAnsi="Times New Roman" w:cs="Times New Roman"/>
                <w:b/>
                <w:bCs/>
                <w:color w:val="000000" w:themeColor="text1"/>
              </w:rPr>
            </w:pPr>
            <w:r w:rsidRPr="005F2F87">
              <w:rPr>
                <w:rFonts w:ascii="Times New Roman" w:hAnsi="Times New Roman" w:cs="Times New Roman"/>
                <w:b/>
                <w:bCs/>
                <w:color w:val="000000" w:themeColor="text1"/>
              </w:rPr>
              <w:t>Variable</w:t>
            </w:r>
          </w:p>
        </w:tc>
        <w:tc>
          <w:tcPr>
            <w:tcW w:w="818" w:type="pct"/>
            <w:hideMark/>
          </w:tcPr>
          <w:p w14:paraId="0E875075" w14:textId="77777777" w:rsidR="002A0F7C" w:rsidRPr="005F2F87" w:rsidRDefault="002A0F7C" w:rsidP="002A0F7C">
            <w:pPr>
              <w:tabs>
                <w:tab w:val="left" w:pos="6375"/>
              </w:tabs>
              <w:jc w:val="both"/>
              <w:rPr>
                <w:rFonts w:ascii="Times New Roman" w:hAnsi="Times New Roman" w:cs="Times New Roman"/>
                <w:b/>
                <w:bCs/>
                <w:color w:val="000000" w:themeColor="text1"/>
              </w:rPr>
            </w:pPr>
            <w:proofErr w:type="spellStart"/>
            <w:r w:rsidRPr="005F2F87">
              <w:rPr>
                <w:rFonts w:ascii="Times New Roman" w:hAnsi="Times New Roman" w:cs="Times New Roman"/>
                <w:b/>
                <w:bCs/>
                <w:color w:val="000000" w:themeColor="text1"/>
              </w:rPr>
              <w:t>lnFDI</w:t>
            </w:r>
            <w:proofErr w:type="spellEnd"/>
          </w:p>
        </w:tc>
        <w:tc>
          <w:tcPr>
            <w:tcW w:w="733" w:type="pct"/>
            <w:hideMark/>
          </w:tcPr>
          <w:p w14:paraId="78265232" w14:textId="77777777" w:rsidR="002A0F7C" w:rsidRPr="005F2F87" w:rsidRDefault="002A0F7C" w:rsidP="002A0F7C">
            <w:pPr>
              <w:tabs>
                <w:tab w:val="left" w:pos="6375"/>
              </w:tabs>
              <w:jc w:val="both"/>
              <w:rPr>
                <w:rFonts w:ascii="Times New Roman" w:hAnsi="Times New Roman" w:cs="Times New Roman"/>
                <w:b/>
                <w:bCs/>
                <w:color w:val="000000" w:themeColor="text1"/>
              </w:rPr>
            </w:pPr>
            <w:proofErr w:type="spellStart"/>
            <w:r w:rsidRPr="005F2F87">
              <w:rPr>
                <w:rFonts w:ascii="Times New Roman" w:hAnsi="Times New Roman" w:cs="Times New Roman"/>
                <w:b/>
                <w:bCs/>
                <w:color w:val="000000" w:themeColor="text1"/>
              </w:rPr>
              <w:t>lnER</w:t>
            </w:r>
            <w:proofErr w:type="spellEnd"/>
          </w:p>
        </w:tc>
        <w:tc>
          <w:tcPr>
            <w:tcW w:w="818" w:type="pct"/>
            <w:hideMark/>
          </w:tcPr>
          <w:p w14:paraId="712C431E" w14:textId="77777777" w:rsidR="002A0F7C" w:rsidRPr="005F2F87" w:rsidRDefault="002A0F7C" w:rsidP="002A0F7C">
            <w:pPr>
              <w:tabs>
                <w:tab w:val="left" w:pos="6375"/>
              </w:tabs>
              <w:jc w:val="both"/>
              <w:rPr>
                <w:rFonts w:ascii="Times New Roman" w:hAnsi="Times New Roman" w:cs="Times New Roman"/>
                <w:b/>
                <w:bCs/>
                <w:color w:val="000000" w:themeColor="text1"/>
              </w:rPr>
            </w:pPr>
            <w:proofErr w:type="spellStart"/>
            <w:r w:rsidRPr="005F2F87">
              <w:rPr>
                <w:rFonts w:ascii="Times New Roman" w:hAnsi="Times New Roman" w:cs="Times New Roman"/>
                <w:b/>
                <w:bCs/>
                <w:color w:val="000000" w:themeColor="text1"/>
              </w:rPr>
              <w:t>lnEG</w:t>
            </w:r>
            <w:proofErr w:type="spellEnd"/>
          </w:p>
        </w:tc>
        <w:tc>
          <w:tcPr>
            <w:tcW w:w="855" w:type="pct"/>
            <w:hideMark/>
          </w:tcPr>
          <w:p w14:paraId="4A17D8F3" w14:textId="77777777" w:rsidR="002A0F7C" w:rsidRPr="005F2F87" w:rsidRDefault="002A0F7C" w:rsidP="002A0F7C">
            <w:pPr>
              <w:tabs>
                <w:tab w:val="left" w:pos="6375"/>
              </w:tabs>
              <w:jc w:val="both"/>
              <w:rPr>
                <w:rFonts w:ascii="Times New Roman" w:hAnsi="Times New Roman" w:cs="Times New Roman"/>
                <w:b/>
                <w:bCs/>
                <w:color w:val="000000" w:themeColor="text1"/>
              </w:rPr>
            </w:pPr>
            <w:proofErr w:type="spellStart"/>
            <w:r w:rsidRPr="005F2F87">
              <w:rPr>
                <w:rFonts w:ascii="Times New Roman" w:hAnsi="Times New Roman" w:cs="Times New Roman"/>
                <w:b/>
                <w:bCs/>
                <w:color w:val="000000" w:themeColor="text1"/>
              </w:rPr>
              <w:t>lnINFL</w:t>
            </w:r>
            <w:proofErr w:type="spellEnd"/>
          </w:p>
        </w:tc>
        <w:tc>
          <w:tcPr>
            <w:tcW w:w="818" w:type="pct"/>
            <w:hideMark/>
          </w:tcPr>
          <w:p w14:paraId="0FEAB048" w14:textId="77777777" w:rsidR="002A0F7C" w:rsidRPr="005F2F87" w:rsidRDefault="002A0F7C" w:rsidP="002A0F7C">
            <w:pPr>
              <w:tabs>
                <w:tab w:val="left" w:pos="6375"/>
              </w:tabs>
              <w:jc w:val="both"/>
              <w:rPr>
                <w:rFonts w:ascii="Times New Roman" w:hAnsi="Times New Roman" w:cs="Times New Roman"/>
                <w:b/>
                <w:bCs/>
                <w:color w:val="000000" w:themeColor="text1"/>
              </w:rPr>
            </w:pPr>
            <w:proofErr w:type="spellStart"/>
            <w:r w:rsidRPr="005F2F87">
              <w:rPr>
                <w:rFonts w:ascii="Times New Roman" w:hAnsi="Times New Roman" w:cs="Times New Roman"/>
                <w:b/>
                <w:bCs/>
                <w:color w:val="000000" w:themeColor="text1"/>
              </w:rPr>
              <w:t>lnIR</w:t>
            </w:r>
            <w:proofErr w:type="spellEnd"/>
          </w:p>
        </w:tc>
      </w:tr>
      <w:tr w:rsidR="005F2F87" w:rsidRPr="005F2F87" w14:paraId="7300BD7B" w14:textId="77777777" w:rsidTr="005F2F87">
        <w:tc>
          <w:tcPr>
            <w:tcW w:w="957" w:type="pct"/>
            <w:hideMark/>
          </w:tcPr>
          <w:p w14:paraId="02F10BB5" w14:textId="77777777" w:rsidR="002A0F7C" w:rsidRPr="005F2F87" w:rsidRDefault="002A0F7C" w:rsidP="002A0F7C">
            <w:pPr>
              <w:tabs>
                <w:tab w:val="left" w:pos="6375"/>
              </w:tabs>
              <w:jc w:val="both"/>
              <w:rPr>
                <w:rFonts w:ascii="Times New Roman" w:hAnsi="Times New Roman" w:cs="Times New Roman"/>
                <w:color w:val="000000" w:themeColor="text1"/>
              </w:rPr>
            </w:pPr>
            <w:proofErr w:type="spellStart"/>
            <w:r w:rsidRPr="005F2F87">
              <w:rPr>
                <w:rFonts w:ascii="Times New Roman" w:hAnsi="Times New Roman" w:cs="Times New Roman"/>
                <w:color w:val="000000" w:themeColor="text1"/>
              </w:rPr>
              <w:t>lnFDI</w:t>
            </w:r>
            <w:proofErr w:type="spellEnd"/>
          </w:p>
        </w:tc>
        <w:tc>
          <w:tcPr>
            <w:tcW w:w="818" w:type="pct"/>
            <w:hideMark/>
          </w:tcPr>
          <w:p w14:paraId="745AD82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733" w:type="pct"/>
            <w:hideMark/>
          </w:tcPr>
          <w:p w14:paraId="5C2308E4"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0.6313</w:t>
            </w:r>
          </w:p>
        </w:tc>
        <w:tc>
          <w:tcPr>
            <w:tcW w:w="818" w:type="pct"/>
            <w:hideMark/>
          </w:tcPr>
          <w:p w14:paraId="4718F090"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0.8159</w:t>
            </w:r>
          </w:p>
        </w:tc>
        <w:tc>
          <w:tcPr>
            <w:tcW w:w="855" w:type="pct"/>
            <w:hideMark/>
          </w:tcPr>
          <w:p w14:paraId="22D1A712"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-0.0961</w:t>
            </w:r>
          </w:p>
        </w:tc>
        <w:tc>
          <w:tcPr>
            <w:tcW w:w="818" w:type="pct"/>
            <w:hideMark/>
          </w:tcPr>
          <w:p w14:paraId="60032073"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0.0109</w:t>
            </w:r>
          </w:p>
        </w:tc>
      </w:tr>
      <w:tr w:rsidR="005F2F87" w:rsidRPr="005F2F87" w14:paraId="39CC2CC6" w14:textId="77777777" w:rsidTr="005F2F87">
        <w:tc>
          <w:tcPr>
            <w:tcW w:w="957" w:type="pct"/>
            <w:hideMark/>
          </w:tcPr>
          <w:p w14:paraId="7E72127D" w14:textId="77777777" w:rsidR="002A0F7C" w:rsidRPr="005F2F87" w:rsidRDefault="002A0F7C" w:rsidP="002A0F7C">
            <w:pPr>
              <w:tabs>
                <w:tab w:val="left" w:pos="6375"/>
              </w:tabs>
              <w:jc w:val="both"/>
              <w:rPr>
                <w:rFonts w:ascii="Times New Roman" w:hAnsi="Times New Roman" w:cs="Times New Roman"/>
                <w:color w:val="000000" w:themeColor="text1"/>
              </w:rPr>
            </w:pPr>
            <w:proofErr w:type="spellStart"/>
            <w:r w:rsidRPr="005F2F87">
              <w:rPr>
                <w:rFonts w:ascii="Times New Roman" w:hAnsi="Times New Roman" w:cs="Times New Roman"/>
                <w:color w:val="000000" w:themeColor="text1"/>
              </w:rPr>
              <w:t>lnER</w:t>
            </w:r>
            <w:proofErr w:type="spellEnd"/>
          </w:p>
        </w:tc>
        <w:tc>
          <w:tcPr>
            <w:tcW w:w="818" w:type="pct"/>
            <w:hideMark/>
          </w:tcPr>
          <w:p w14:paraId="793C3A8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0.6313</w:t>
            </w:r>
          </w:p>
        </w:tc>
        <w:tc>
          <w:tcPr>
            <w:tcW w:w="733" w:type="pct"/>
            <w:hideMark/>
          </w:tcPr>
          <w:p w14:paraId="169DFCED"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818" w:type="pct"/>
            <w:hideMark/>
          </w:tcPr>
          <w:p w14:paraId="45FCC64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0.8567</w:t>
            </w:r>
          </w:p>
        </w:tc>
        <w:tc>
          <w:tcPr>
            <w:tcW w:w="855" w:type="pct"/>
            <w:hideMark/>
          </w:tcPr>
          <w:p w14:paraId="0D4F2B6C"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0.0085</w:t>
            </w:r>
          </w:p>
        </w:tc>
        <w:tc>
          <w:tcPr>
            <w:tcW w:w="818" w:type="pct"/>
            <w:hideMark/>
          </w:tcPr>
          <w:p w14:paraId="3141865B"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0.1889</w:t>
            </w:r>
          </w:p>
        </w:tc>
      </w:tr>
      <w:tr w:rsidR="005F2F87" w:rsidRPr="005F2F87" w14:paraId="36776F4C" w14:textId="77777777" w:rsidTr="005F2F87">
        <w:tc>
          <w:tcPr>
            <w:tcW w:w="957" w:type="pct"/>
            <w:hideMark/>
          </w:tcPr>
          <w:p w14:paraId="68DE67FE" w14:textId="77777777" w:rsidR="002A0F7C" w:rsidRPr="005F2F87" w:rsidRDefault="002A0F7C" w:rsidP="002A0F7C">
            <w:pPr>
              <w:tabs>
                <w:tab w:val="left" w:pos="6375"/>
              </w:tabs>
              <w:jc w:val="both"/>
              <w:rPr>
                <w:rFonts w:ascii="Times New Roman" w:hAnsi="Times New Roman" w:cs="Times New Roman"/>
                <w:color w:val="000000" w:themeColor="text1"/>
              </w:rPr>
            </w:pPr>
            <w:proofErr w:type="spellStart"/>
            <w:r w:rsidRPr="005F2F87">
              <w:rPr>
                <w:rFonts w:ascii="Times New Roman" w:hAnsi="Times New Roman" w:cs="Times New Roman"/>
                <w:color w:val="000000" w:themeColor="text1"/>
              </w:rPr>
              <w:t>lnEG</w:t>
            </w:r>
            <w:proofErr w:type="spellEnd"/>
          </w:p>
        </w:tc>
        <w:tc>
          <w:tcPr>
            <w:tcW w:w="818" w:type="pct"/>
            <w:hideMark/>
          </w:tcPr>
          <w:p w14:paraId="374860BA"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0.8159</w:t>
            </w:r>
          </w:p>
        </w:tc>
        <w:tc>
          <w:tcPr>
            <w:tcW w:w="733" w:type="pct"/>
            <w:hideMark/>
          </w:tcPr>
          <w:p w14:paraId="6EB39729"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0.8567</w:t>
            </w:r>
          </w:p>
        </w:tc>
        <w:tc>
          <w:tcPr>
            <w:tcW w:w="818" w:type="pct"/>
            <w:hideMark/>
          </w:tcPr>
          <w:p w14:paraId="7ABAE6B1"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855" w:type="pct"/>
            <w:hideMark/>
          </w:tcPr>
          <w:p w14:paraId="6F311C98"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-0.0522</w:t>
            </w:r>
          </w:p>
        </w:tc>
        <w:tc>
          <w:tcPr>
            <w:tcW w:w="818" w:type="pct"/>
            <w:hideMark/>
          </w:tcPr>
          <w:p w14:paraId="4A22DCA4"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0.0561</w:t>
            </w:r>
          </w:p>
        </w:tc>
      </w:tr>
      <w:tr w:rsidR="005F2F87" w:rsidRPr="005F2F87" w14:paraId="1CB3C5CF" w14:textId="77777777" w:rsidTr="005F2F87">
        <w:tc>
          <w:tcPr>
            <w:tcW w:w="957" w:type="pct"/>
            <w:hideMark/>
          </w:tcPr>
          <w:p w14:paraId="1EF589C8" w14:textId="77777777" w:rsidR="002A0F7C" w:rsidRPr="005F2F87" w:rsidRDefault="002A0F7C" w:rsidP="002A0F7C">
            <w:pPr>
              <w:tabs>
                <w:tab w:val="left" w:pos="6375"/>
              </w:tabs>
              <w:jc w:val="both"/>
              <w:rPr>
                <w:rFonts w:ascii="Times New Roman" w:hAnsi="Times New Roman" w:cs="Times New Roman"/>
                <w:color w:val="000000" w:themeColor="text1"/>
              </w:rPr>
            </w:pPr>
            <w:proofErr w:type="spellStart"/>
            <w:r w:rsidRPr="005F2F87">
              <w:rPr>
                <w:rFonts w:ascii="Times New Roman" w:hAnsi="Times New Roman" w:cs="Times New Roman"/>
                <w:color w:val="000000" w:themeColor="text1"/>
              </w:rPr>
              <w:t>lnINFL</w:t>
            </w:r>
            <w:proofErr w:type="spellEnd"/>
          </w:p>
        </w:tc>
        <w:tc>
          <w:tcPr>
            <w:tcW w:w="818" w:type="pct"/>
            <w:hideMark/>
          </w:tcPr>
          <w:p w14:paraId="4CB388F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-0.0961</w:t>
            </w:r>
          </w:p>
        </w:tc>
        <w:tc>
          <w:tcPr>
            <w:tcW w:w="733" w:type="pct"/>
            <w:hideMark/>
          </w:tcPr>
          <w:p w14:paraId="1E9A0DE6"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0.0085</w:t>
            </w:r>
          </w:p>
        </w:tc>
        <w:tc>
          <w:tcPr>
            <w:tcW w:w="818" w:type="pct"/>
            <w:hideMark/>
          </w:tcPr>
          <w:p w14:paraId="171403CE"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-0.0522</w:t>
            </w:r>
          </w:p>
        </w:tc>
        <w:tc>
          <w:tcPr>
            <w:tcW w:w="855" w:type="pct"/>
            <w:hideMark/>
          </w:tcPr>
          <w:p w14:paraId="75E2A1BE"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c>
          <w:tcPr>
            <w:tcW w:w="818" w:type="pct"/>
            <w:hideMark/>
          </w:tcPr>
          <w:p w14:paraId="1263E0CD"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-0.6424</w:t>
            </w:r>
          </w:p>
        </w:tc>
      </w:tr>
      <w:tr w:rsidR="005F2F87" w:rsidRPr="005F2F87" w14:paraId="0A1A81A6" w14:textId="77777777" w:rsidTr="005F2F87">
        <w:tc>
          <w:tcPr>
            <w:tcW w:w="957" w:type="pct"/>
            <w:hideMark/>
          </w:tcPr>
          <w:p w14:paraId="37B8458E" w14:textId="77777777" w:rsidR="002A0F7C" w:rsidRPr="005F2F87" w:rsidRDefault="002A0F7C" w:rsidP="002A0F7C">
            <w:pPr>
              <w:tabs>
                <w:tab w:val="left" w:pos="6375"/>
              </w:tabs>
              <w:jc w:val="both"/>
              <w:rPr>
                <w:rFonts w:ascii="Times New Roman" w:hAnsi="Times New Roman" w:cs="Times New Roman"/>
                <w:color w:val="000000" w:themeColor="text1"/>
              </w:rPr>
            </w:pPr>
            <w:proofErr w:type="spellStart"/>
            <w:r w:rsidRPr="005F2F87">
              <w:rPr>
                <w:rFonts w:ascii="Times New Roman" w:hAnsi="Times New Roman" w:cs="Times New Roman"/>
                <w:color w:val="000000" w:themeColor="text1"/>
              </w:rPr>
              <w:t>lnIR</w:t>
            </w:r>
            <w:proofErr w:type="spellEnd"/>
          </w:p>
        </w:tc>
        <w:tc>
          <w:tcPr>
            <w:tcW w:w="818" w:type="pct"/>
            <w:hideMark/>
          </w:tcPr>
          <w:p w14:paraId="33512AA2"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0.0109</w:t>
            </w:r>
          </w:p>
        </w:tc>
        <w:tc>
          <w:tcPr>
            <w:tcW w:w="733" w:type="pct"/>
            <w:hideMark/>
          </w:tcPr>
          <w:p w14:paraId="4BDD5EB8"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0.1889</w:t>
            </w:r>
          </w:p>
        </w:tc>
        <w:tc>
          <w:tcPr>
            <w:tcW w:w="818" w:type="pct"/>
            <w:hideMark/>
          </w:tcPr>
          <w:p w14:paraId="068798D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0.0561</w:t>
            </w:r>
          </w:p>
        </w:tc>
        <w:tc>
          <w:tcPr>
            <w:tcW w:w="855" w:type="pct"/>
            <w:hideMark/>
          </w:tcPr>
          <w:p w14:paraId="1AFECAA5"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-0.6424</w:t>
            </w:r>
          </w:p>
        </w:tc>
        <w:tc>
          <w:tcPr>
            <w:tcW w:w="818" w:type="pct"/>
            <w:hideMark/>
          </w:tcPr>
          <w:p w14:paraId="3BB0D650" w14:textId="77777777" w:rsidR="002A0F7C" w:rsidRPr="005F2F87" w:rsidRDefault="002A0F7C" w:rsidP="002A0F7C">
            <w:pPr>
              <w:tabs>
                <w:tab w:val="left" w:pos="6375"/>
              </w:tabs>
              <w:jc w:val="both"/>
              <w:rPr>
                <w:rFonts w:ascii="Times New Roman" w:hAnsi="Times New Roman" w:cs="Times New Roman"/>
                <w:color w:val="000000" w:themeColor="text1"/>
              </w:rPr>
            </w:pPr>
            <w:r w:rsidRPr="005F2F87">
              <w:rPr>
                <w:rFonts w:ascii="Times New Roman" w:hAnsi="Times New Roman" w:cs="Times New Roman"/>
                <w:color w:val="000000" w:themeColor="text1"/>
              </w:rPr>
              <w:t>1.0000</w:t>
            </w:r>
          </w:p>
        </w:tc>
      </w:tr>
    </w:tbl>
    <w:p w14:paraId="4787401E" w14:textId="5FF96268" w:rsidR="00713DD5" w:rsidRPr="005F2F87" w:rsidRDefault="002A0F7C" w:rsidP="002A0F7C">
      <w:pPr>
        <w:tabs>
          <w:tab w:val="left" w:pos="6375"/>
        </w:tabs>
        <w:jc w:val="both"/>
        <w:rPr>
          <w:rFonts w:ascii="Times New Roman" w:hAnsi="Times New Roman" w:cs="Times New Roman"/>
        </w:rPr>
      </w:pPr>
      <w:r w:rsidRPr="00734744">
        <w:rPr>
          <w:rFonts w:ascii="Times New Roman" w:hAnsi="Times New Roman" w:cs="Times New Roman"/>
          <w:i/>
          <w:iCs/>
        </w:rPr>
        <w:t>Source: Thesis</w:t>
      </w:r>
    </w:p>
    <w:p w14:paraId="68242D87" w14:textId="5E8B5CAD" w:rsidR="00636930" w:rsidRPr="00114B0A" w:rsidRDefault="002A0F7C" w:rsidP="005732E6">
      <w:pPr>
        <w:tabs>
          <w:tab w:val="left" w:pos="6375"/>
        </w:tabs>
        <w:spacing w:after="0"/>
        <w:jc w:val="both"/>
        <w:rPr>
          <w:rFonts w:ascii="Times New Roman" w:hAnsi="Times New Roman" w:cs="Times New Roman"/>
          <w:b/>
          <w:bCs/>
          <w:highlight w:val="green"/>
        </w:rPr>
      </w:pPr>
      <w:r w:rsidRPr="00114B0A">
        <w:rPr>
          <w:rFonts w:ascii="Times New Roman" w:hAnsi="Times New Roman" w:cs="Times New Roman"/>
          <w:b/>
          <w:bCs/>
          <w:highlight w:val="green"/>
        </w:rPr>
        <w:t xml:space="preserve">4.8 </w:t>
      </w:r>
      <w:r w:rsidR="00636930" w:rsidRPr="00114B0A">
        <w:rPr>
          <w:rFonts w:ascii="Times New Roman" w:hAnsi="Times New Roman" w:cs="Times New Roman"/>
          <w:b/>
          <w:bCs/>
          <w:highlight w:val="green"/>
        </w:rPr>
        <w:t>ARDL Cointegration Analysis, Long-Run Dynamics, and Error Correction Model Results</w:t>
      </w:r>
    </w:p>
    <w:p w14:paraId="70D5EEB4" w14:textId="48440F0C" w:rsidR="00636930" w:rsidRPr="00114B0A" w:rsidRDefault="00636930" w:rsidP="00583D0F">
      <w:pPr>
        <w:tabs>
          <w:tab w:val="left" w:pos="6375"/>
        </w:tabs>
        <w:jc w:val="both"/>
        <w:rPr>
          <w:rFonts w:ascii="Times New Roman" w:hAnsi="Times New Roman" w:cs="Times New Roman"/>
          <w:highlight w:val="green"/>
          <w:lang w:val="en-US"/>
        </w:rPr>
      </w:pPr>
      <w:r w:rsidRPr="00636930">
        <w:rPr>
          <w:rFonts w:ascii="Times New Roman" w:hAnsi="Times New Roman" w:cs="Times New Roman"/>
          <w:highlight w:val="green"/>
          <w:lang w:val="en-US"/>
        </w:rPr>
        <w:t>Because the Phillips-Perron unit root tests revealed a mixed order of integration</w:t>
      </w:r>
      <w:r w:rsidR="003F0E64" w:rsidRPr="00114B0A">
        <w:rPr>
          <w:rFonts w:ascii="Times New Roman" w:hAnsi="Times New Roman" w:cs="Times New Roman"/>
          <w:highlight w:val="green"/>
          <w:lang w:val="en-US"/>
        </w:rPr>
        <w:t xml:space="preserve">, </w:t>
      </w:r>
      <w:r w:rsidRPr="00636930">
        <w:rPr>
          <w:rFonts w:ascii="Times New Roman" w:hAnsi="Times New Roman" w:cs="Times New Roman"/>
          <w:highlight w:val="green"/>
          <w:lang w:val="en-US"/>
        </w:rPr>
        <w:t>where inflation and real interest rates are stationary at levels [</w:t>
      </w:r>
      <w:r w:rsidR="00114B0A" w:rsidRPr="00114B0A">
        <w:rPr>
          <w:rFonts w:ascii="Times New Roman" w:hAnsi="Times New Roman" w:cs="Times New Roman"/>
          <w:highlight w:val="green"/>
          <w:lang w:val="en-US"/>
        </w:rPr>
        <w:t>I (</w:t>
      </w:r>
      <w:r w:rsidRPr="00636930">
        <w:rPr>
          <w:rFonts w:ascii="Times New Roman" w:hAnsi="Times New Roman" w:cs="Times New Roman"/>
          <w:highlight w:val="green"/>
          <w:lang w:val="en-US"/>
        </w:rPr>
        <w:t>0)], whereas exchange rates, foreign direct investment, and economic growth become stationary only after first differencing [</w:t>
      </w:r>
      <w:r w:rsidR="00114B0A" w:rsidRPr="00114B0A">
        <w:rPr>
          <w:rFonts w:ascii="Times New Roman" w:hAnsi="Times New Roman" w:cs="Times New Roman"/>
          <w:highlight w:val="green"/>
          <w:lang w:val="en-US"/>
        </w:rPr>
        <w:t>I (</w:t>
      </w:r>
      <w:r w:rsidRPr="00636930">
        <w:rPr>
          <w:rFonts w:ascii="Times New Roman" w:hAnsi="Times New Roman" w:cs="Times New Roman"/>
          <w:highlight w:val="green"/>
          <w:lang w:val="en-US"/>
        </w:rPr>
        <w:t>1)]</w:t>
      </w:r>
      <w:r w:rsidR="003F0E64" w:rsidRPr="00114B0A">
        <w:rPr>
          <w:rFonts w:ascii="Times New Roman" w:hAnsi="Times New Roman" w:cs="Times New Roman"/>
          <w:highlight w:val="green"/>
          <w:lang w:val="en-US"/>
        </w:rPr>
        <w:t xml:space="preserve"> which is </w:t>
      </w:r>
      <w:r w:rsidRPr="00636930">
        <w:rPr>
          <w:rFonts w:ascii="Times New Roman" w:hAnsi="Times New Roman" w:cs="Times New Roman"/>
          <w:highlight w:val="green"/>
          <w:lang w:val="en-US"/>
        </w:rPr>
        <w:t xml:space="preserve">a standard Johansen Vector Error Correction Model (VECM) framework was inappropriate. Instead, an Autoregressive Distributed Lag (ARDL) Bounds Testing framework was adopted, as it safely accommodates variables integrated of order </w:t>
      </w:r>
      <w:r w:rsidR="00114B0A" w:rsidRPr="00114B0A">
        <w:rPr>
          <w:rFonts w:ascii="Times New Roman" w:hAnsi="Times New Roman" w:cs="Times New Roman"/>
          <w:highlight w:val="green"/>
          <w:lang w:val="en-US"/>
        </w:rPr>
        <w:t>I (</w:t>
      </w:r>
      <w:r w:rsidRPr="00636930">
        <w:rPr>
          <w:rFonts w:ascii="Times New Roman" w:hAnsi="Times New Roman" w:cs="Times New Roman"/>
          <w:highlight w:val="green"/>
          <w:lang w:val="en-US"/>
        </w:rPr>
        <w:t xml:space="preserve">0) and </w:t>
      </w:r>
      <w:r w:rsidR="00114B0A" w:rsidRPr="00114B0A">
        <w:rPr>
          <w:rFonts w:ascii="Times New Roman" w:hAnsi="Times New Roman" w:cs="Times New Roman"/>
          <w:highlight w:val="green"/>
          <w:lang w:val="en-US"/>
        </w:rPr>
        <w:t>I (</w:t>
      </w:r>
      <w:r w:rsidRPr="00636930">
        <w:rPr>
          <w:rFonts w:ascii="Times New Roman" w:hAnsi="Times New Roman" w:cs="Times New Roman"/>
          <w:highlight w:val="green"/>
          <w:lang w:val="en-US"/>
        </w:rPr>
        <w:t xml:space="preserve">1) without introducing the risk of spurious regressions, provided no variable is integrated of order </w:t>
      </w:r>
      <w:r w:rsidR="00114B0A" w:rsidRPr="00114B0A">
        <w:rPr>
          <w:rFonts w:ascii="Times New Roman" w:hAnsi="Times New Roman" w:cs="Times New Roman"/>
          <w:highlight w:val="green"/>
          <w:lang w:val="en-US"/>
        </w:rPr>
        <w:t>I (</w:t>
      </w:r>
      <w:r w:rsidRPr="00636930">
        <w:rPr>
          <w:rFonts w:ascii="Times New Roman" w:hAnsi="Times New Roman" w:cs="Times New Roman"/>
          <w:highlight w:val="green"/>
          <w:lang w:val="en-US"/>
        </w:rPr>
        <w:t xml:space="preserve">2). The calculated F-statistic from the bounds test exceeded the upper-bound critical value at the 5% significance level, confirming a statistically significant long-run equilibrium cointegrating relationship among the variables. Consequently, the null hypothesis of no cointegration was rejected, justifying the specification and estimation of the ARDL long-run coefficients and short-run error correction mechanism. Model estimation was conducted using an optimal lag structure of </w:t>
      </w:r>
      <w:r w:rsidR="00114B0A" w:rsidRPr="00114B0A">
        <w:rPr>
          <w:rFonts w:ascii="Times New Roman" w:hAnsi="Times New Roman" w:cs="Times New Roman"/>
          <w:highlight w:val="green"/>
          <w:lang w:val="en-US"/>
        </w:rPr>
        <w:t>ARDL (</w:t>
      </w:r>
      <w:r w:rsidRPr="00636930">
        <w:rPr>
          <w:rFonts w:ascii="Times New Roman" w:hAnsi="Times New Roman" w:cs="Times New Roman"/>
          <w:highlight w:val="green"/>
          <w:lang w:val="en-US"/>
        </w:rPr>
        <w:t>1, 1, 0, 1, 0) selected via the Akaike Information Criterion (AIC), with the empirical results presented in Table 8.</w:t>
      </w:r>
    </w:p>
    <w:p w14:paraId="70A90B75" w14:textId="663D8AD7" w:rsidR="000C6BC6" w:rsidRPr="00114B0A" w:rsidRDefault="00D613C9" w:rsidP="00583D0F">
      <w:pPr>
        <w:tabs>
          <w:tab w:val="left" w:pos="6375"/>
        </w:tabs>
        <w:jc w:val="both"/>
        <w:rPr>
          <w:rFonts w:ascii="Times New Roman" w:hAnsi="Times New Roman" w:cs="Times New Roman"/>
          <w:highlight w:val="green"/>
          <w:lang w:val="en-US"/>
        </w:rPr>
      </w:pPr>
      <w:r w:rsidRPr="00114B0A">
        <w:rPr>
          <w:rFonts w:ascii="Times New Roman" w:hAnsi="Times New Roman" w:cs="Times New Roman"/>
          <w:highlight w:val="green"/>
        </w:rPr>
        <w:lastRenderedPageBreak/>
        <w:t>The empirical results for the long-run dynamics and short-run error correction mechanism linking selected macroeconomic variables to Foreign Direct Investment (FDI) in Kenya are presented in Table 8. Model estimation was conducted using an Autoregressive Distributed Lag (ARDL) specification, with the optimal lag structure selected as ARDL (1, 1, 0, 1, 0) based on the Akaike Information Criterion (AIC).</w:t>
      </w:r>
    </w:p>
    <w:p w14:paraId="71AFFA4C" w14:textId="77777777" w:rsidR="000C6BC6" w:rsidRPr="00114B0A" w:rsidRDefault="000C6BC6" w:rsidP="00583D0F">
      <w:pPr>
        <w:tabs>
          <w:tab w:val="left" w:pos="6375"/>
        </w:tabs>
        <w:jc w:val="both"/>
        <w:rPr>
          <w:rFonts w:ascii="Times New Roman" w:hAnsi="Times New Roman" w:cs="Times New Roman"/>
          <w:highlight w:val="green"/>
          <w:lang w:val="en-US"/>
        </w:rPr>
      </w:pPr>
    </w:p>
    <w:p w14:paraId="443585B9" w14:textId="77777777" w:rsidR="00452C0C" w:rsidRPr="00452C0C" w:rsidRDefault="00452C0C" w:rsidP="00452C0C">
      <w:pPr>
        <w:tabs>
          <w:tab w:val="left" w:pos="6375"/>
        </w:tabs>
        <w:jc w:val="both"/>
        <w:rPr>
          <w:rFonts w:ascii="Times New Roman" w:hAnsi="Times New Roman" w:cs="Times New Roman"/>
          <w:highlight w:val="green"/>
          <w:lang w:val="en-US"/>
        </w:rPr>
      </w:pPr>
      <w:r w:rsidRPr="00452C0C">
        <w:rPr>
          <w:rFonts w:ascii="Times New Roman" w:hAnsi="Times New Roman" w:cs="Times New Roman"/>
          <w:b/>
          <w:bCs/>
          <w:highlight w:val="green"/>
          <w:lang w:val="en-US"/>
        </w:rPr>
        <w:t>Table 8. ARDL Long-Run and Error Correction Model Estimation for Inward FDI</w:t>
      </w:r>
    </w:p>
    <w:p w14:paraId="5457DC1A" w14:textId="5875D80C" w:rsidR="00452C0C" w:rsidRPr="00452C0C" w:rsidRDefault="00452C0C" w:rsidP="00452C0C">
      <w:pPr>
        <w:tabs>
          <w:tab w:val="left" w:pos="6375"/>
        </w:tabs>
        <w:rPr>
          <w:rFonts w:ascii="Times New Roman" w:hAnsi="Times New Roman" w:cs="Times New Roman"/>
          <w:highlight w:val="green"/>
          <w:lang w:val="en-US"/>
        </w:rPr>
      </w:pPr>
      <w:r w:rsidRPr="00452C0C">
        <w:rPr>
          <w:rFonts w:ascii="Times New Roman" w:hAnsi="Times New Roman" w:cs="Times New Roman"/>
          <w:b/>
          <w:bCs/>
          <w:highlight w:val="green"/>
          <w:lang w:val="en-US"/>
        </w:rPr>
        <w:t>Dependent Variable:</w:t>
      </w:r>
      <w:r w:rsidRPr="00452C0C">
        <w:rPr>
          <w:rFonts w:ascii="Times New Roman" w:hAnsi="Times New Roman" w:cs="Times New Roman"/>
          <w:highlight w:val="green"/>
          <w:lang w:val="en-US"/>
        </w:rPr>
        <w:t xml:space="preserve"> </w:t>
      </w:r>
      <w:r w:rsidR="00E86E2A" w:rsidRPr="00114B0A">
        <w:rPr>
          <w:rFonts w:ascii="Cambria Math" w:hAnsi="Cambria Math" w:cs="Times New Roman"/>
          <w:highlight w:val="green"/>
          <w:lang w:val="en-US"/>
        </w:rPr>
        <w:t>△</w:t>
      </w:r>
      <m:oMath>
        <m:r>
          <w:rPr>
            <w:rFonts w:ascii="Cambria Math" w:hAnsi="Cambria Math" w:cs="Times New Roman"/>
            <w:highlight w:val="green"/>
            <w:lang w:val="en-US"/>
          </w:rPr>
          <m:t>l</m:t>
        </m:r>
        <m:r>
          <m:rPr>
            <m:sty m:val="p"/>
          </m:rPr>
          <w:rPr>
            <w:rFonts w:ascii="Cambria Math" w:hAnsi="Cambria Math" w:cs="Times New Roman"/>
            <w:highlight w:val="green"/>
          </w:rPr>
          <m:t>nFDI</m:t>
        </m:r>
      </m:oMath>
      <w:r w:rsidRPr="00114B0A">
        <w:rPr>
          <w:rFonts w:ascii="Times New Roman" w:eastAsiaTheme="minorEastAsia" w:hAnsi="Times New Roman" w:cs="Times New Roman"/>
          <w:highlight w:val="green"/>
        </w:rPr>
        <w:t xml:space="preserve"> </w:t>
      </w:r>
      <w:r w:rsidRPr="00452C0C">
        <w:rPr>
          <w:rFonts w:ascii="Times New Roman" w:hAnsi="Times New Roman" w:cs="Times New Roman"/>
          <w:highlight w:val="green"/>
          <w:lang w:val="en-US"/>
        </w:rPr>
        <w:br/>
      </w:r>
      <w:r w:rsidRPr="00452C0C">
        <w:rPr>
          <w:rFonts w:ascii="Times New Roman" w:hAnsi="Times New Roman" w:cs="Times New Roman"/>
          <w:b/>
          <w:bCs/>
          <w:highlight w:val="green"/>
          <w:lang w:val="en-US"/>
        </w:rPr>
        <w:t>Selected Lag Order:</w:t>
      </w:r>
      <w:r w:rsidRPr="00452C0C">
        <w:rPr>
          <w:rFonts w:ascii="Times New Roman" w:hAnsi="Times New Roman" w:cs="Times New Roman"/>
          <w:highlight w:val="green"/>
          <w:lang w:val="en-US"/>
        </w:rPr>
        <w:t xml:space="preserve"> </w:t>
      </w:r>
      <m:oMath>
        <m:r>
          <w:rPr>
            <w:rFonts w:ascii="Cambria Math" w:hAnsi="Cambria Math" w:cs="Times New Roman"/>
            <w:highlight w:val="green"/>
            <w:lang w:val="en-US"/>
          </w:rPr>
          <m:t>ARDL</m:t>
        </m:r>
      </m:oMath>
      <w:r w:rsidRPr="00114B0A">
        <w:rPr>
          <w:rFonts w:ascii="Times New Roman" w:hAnsi="Times New Roman" w:cs="Times New Roman"/>
          <w:highlight w:val="green"/>
          <w:lang w:val="en-US"/>
        </w:rPr>
        <w:t xml:space="preserve"> </w:t>
      </w:r>
      <w:r w:rsidRPr="00452C0C">
        <w:rPr>
          <w:rFonts w:ascii="Times New Roman" w:hAnsi="Times New Roman" w:cs="Times New Roman"/>
          <w:highlight w:val="green"/>
          <w:lang w:val="en-US"/>
        </w:rPr>
        <w:t>(1, 1, 0, 1, 0), based on AIC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1518"/>
        <w:gridCol w:w="1453"/>
        <w:gridCol w:w="1367"/>
        <w:gridCol w:w="996"/>
      </w:tblGrid>
      <w:tr w:rsidR="00452C0C" w:rsidRPr="00452C0C" w14:paraId="65567D0B" w14:textId="77777777" w:rsidTr="000C6BC6">
        <w:tc>
          <w:tcPr>
            <w:tcW w:w="2151" w:type="pct"/>
            <w:tcBorders>
              <w:top w:val="single" w:sz="4" w:space="0" w:color="auto"/>
              <w:bottom w:val="single" w:sz="4" w:space="0" w:color="auto"/>
            </w:tcBorders>
            <w:hideMark/>
          </w:tcPr>
          <w:p w14:paraId="49A3BFBD"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Variable</w:t>
            </w:r>
          </w:p>
        </w:tc>
        <w:tc>
          <w:tcPr>
            <w:tcW w:w="811" w:type="pct"/>
            <w:tcBorders>
              <w:top w:val="single" w:sz="4" w:space="0" w:color="auto"/>
              <w:bottom w:val="single" w:sz="4" w:space="0" w:color="auto"/>
            </w:tcBorders>
            <w:hideMark/>
          </w:tcPr>
          <w:p w14:paraId="29FF9DE3"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Coefficient</w:t>
            </w:r>
          </w:p>
        </w:tc>
        <w:tc>
          <w:tcPr>
            <w:tcW w:w="776" w:type="pct"/>
            <w:tcBorders>
              <w:top w:val="single" w:sz="4" w:space="0" w:color="auto"/>
              <w:bottom w:val="single" w:sz="4" w:space="0" w:color="auto"/>
            </w:tcBorders>
            <w:hideMark/>
          </w:tcPr>
          <w:p w14:paraId="4E58DA57"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Std. Error</w:t>
            </w:r>
          </w:p>
        </w:tc>
        <w:tc>
          <w:tcPr>
            <w:tcW w:w="730" w:type="pct"/>
            <w:tcBorders>
              <w:top w:val="single" w:sz="4" w:space="0" w:color="auto"/>
              <w:bottom w:val="single" w:sz="4" w:space="0" w:color="auto"/>
            </w:tcBorders>
            <w:hideMark/>
          </w:tcPr>
          <w:p w14:paraId="41BD2362"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t-Statistic</w:t>
            </w:r>
          </w:p>
        </w:tc>
        <w:tc>
          <w:tcPr>
            <w:tcW w:w="532" w:type="pct"/>
            <w:tcBorders>
              <w:top w:val="single" w:sz="4" w:space="0" w:color="auto"/>
              <w:bottom w:val="single" w:sz="4" w:space="0" w:color="auto"/>
            </w:tcBorders>
            <w:hideMark/>
          </w:tcPr>
          <w:p w14:paraId="10033009" w14:textId="77777777" w:rsidR="00452C0C" w:rsidRPr="00452C0C" w:rsidRDefault="00452C0C" w:rsidP="00452C0C">
            <w:pPr>
              <w:tabs>
                <w:tab w:val="left" w:pos="6375"/>
              </w:tabs>
              <w:spacing w:line="278" w:lineRule="auto"/>
              <w:jc w:val="both"/>
              <w:rPr>
                <w:rFonts w:ascii="Times New Roman" w:hAnsi="Times New Roman" w:cs="Times New Roman"/>
                <w:b/>
                <w:bCs/>
                <w:highlight w:val="green"/>
                <w:lang w:val="en-US"/>
              </w:rPr>
            </w:pPr>
            <w:r w:rsidRPr="00452C0C">
              <w:rPr>
                <w:rFonts w:ascii="Times New Roman" w:hAnsi="Times New Roman" w:cs="Times New Roman"/>
                <w:b/>
                <w:bCs/>
                <w:highlight w:val="green"/>
                <w:lang w:val="en-US"/>
              </w:rPr>
              <w:t>Prob.</w:t>
            </w:r>
          </w:p>
        </w:tc>
      </w:tr>
      <w:tr w:rsidR="00452C0C" w:rsidRPr="00452C0C" w14:paraId="462E6784" w14:textId="77777777" w:rsidTr="000C6BC6">
        <w:tc>
          <w:tcPr>
            <w:tcW w:w="2151" w:type="pct"/>
            <w:tcBorders>
              <w:top w:val="single" w:sz="4" w:space="0" w:color="auto"/>
            </w:tcBorders>
            <w:hideMark/>
          </w:tcPr>
          <w:p w14:paraId="4207FC8B"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Constant</w:t>
            </w:r>
          </w:p>
        </w:tc>
        <w:tc>
          <w:tcPr>
            <w:tcW w:w="811" w:type="pct"/>
            <w:tcBorders>
              <w:top w:val="single" w:sz="4" w:space="0" w:color="auto"/>
            </w:tcBorders>
            <w:hideMark/>
          </w:tcPr>
          <w:p w14:paraId="4770296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-2.1450</w:t>
            </w:r>
          </w:p>
        </w:tc>
        <w:tc>
          <w:tcPr>
            <w:tcW w:w="776" w:type="pct"/>
            <w:tcBorders>
              <w:top w:val="single" w:sz="4" w:space="0" w:color="auto"/>
            </w:tcBorders>
            <w:hideMark/>
          </w:tcPr>
          <w:p w14:paraId="34F12425"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0.8431</w:t>
            </w:r>
          </w:p>
        </w:tc>
        <w:tc>
          <w:tcPr>
            <w:tcW w:w="730" w:type="pct"/>
            <w:tcBorders>
              <w:top w:val="single" w:sz="4" w:space="0" w:color="auto"/>
            </w:tcBorders>
            <w:hideMark/>
          </w:tcPr>
          <w:p w14:paraId="22045D1C"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-2.5442</w:t>
            </w:r>
          </w:p>
        </w:tc>
        <w:tc>
          <w:tcPr>
            <w:tcW w:w="532" w:type="pct"/>
            <w:tcBorders>
              <w:top w:val="single" w:sz="4" w:space="0" w:color="auto"/>
            </w:tcBorders>
            <w:hideMark/>
          </w:tcPr>
          <w:p w14:paraId="1C74C175"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0.0142</w:t>
            </w:r>
          </w:p>
        </w:tc>
      </w:tr>
      <w:tr w:rsidR="00452C0C" w:rsidRPr="00452C0C" w14:paraId="361296ED" w14:textId="77777777" w:rsidTr="000C6BC6">
        <w:tc>
          <w:tcPr>
            <w:tcW w:w="2151" w:type="pct"/>
            <w:hideMark/>
          </w:tcPr>
          <w:p w14:paraId="7D460DC3" w14:textId="6354F132"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Economic Growth (</w:t>
            </w:r>
            <w:r w:rsidR="00E86E2A" w:rsidRPr="00114B0A">
              <w:rPr>
                <w:rFonts w:ascii="Cambria Math" w:hAnsi="Cambria Math" w:cs="Times New Roman"/>
                <w:highlight w:val="green"/>
                <w:lang w:val="en-US"/>
              </w:rPr>
              <w:t>△</w:t>
            </w:r>
            <m:oMath>
              <m:r>
                <w:rPr>
                  <w:rFonts w:ascii="Cambria Math" w:hAnsi="Cambria Math" w:cs="Times New Roman"/>
                  <w:highlight w:val="green"/>
                  <w:lang w:val="en-US"/>
                </w:rPr>
                <m:t>l</m:t>
              </m:r>
              <m:r>
                <m:rPr>
                  <m:sty m:val="p"/>
                </m:rPr>
                <w:rPr>
                  <w:rFonts w:ascii="Cambria Math" w:hAnsi="Cambria Math" w:cs="Times New Roman"/>
                  <w:highlight w:val="green"/>
                </w:rPr>
                <m:t>n</m:t>
              </m:r>
              <m:r>
                <m:rPr>
                  <m:sty m:val="p"/>
                </m:rPr>
                <w:rPr>
                  <w:rFonts w:ascii="Cambria Math" w:hAnsi="Cambria Math" w:cs="Times New Roman"/>
                  <w:highlight w:val="green"/>
                  <w:lang w:val="en-US"/>
                </w:rPr>
                <m:t>EG</m:t>
              </m:r>
            </m:oMath>
            <w:r w:rsidRPr="00452C0C">
              <w:rPr>
                <w:rFonts w:ascii="Times New Roman" w:hAnsi="Times New Roman" w:cs="Times New Roman"/>
                <w:highlight w:val="green"/>
                <w:lang w:val="en-US"/>
              </w:rPr>
              <w:t>)</w:t>
            </w:r>
          </w:p>
        </w:tc>
        <w:tc>
          <w:tcPr>
            <w:tcW w:w="811" w:type="pct"/>
            <w:hideMark/>
          </w:tcPr>
          <w:p w14:paraId="038AF7BE"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0.6845</w:t>
            </w:r>
          </w:p>
        </w:tc>
        <w:tc>
          <w:tcPr>
            <w:tcW w:w="776" w:type="pct"/>
            <w:hideMark/>
          </w:tcPr>
          <w:p w14:paraId="054ED7EB"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0.1215</w:t>
            </w:r>
          </w:p>
        </w:tc>
        <w:tc>
          <w:tcPr>
            <w:tcW w:w="730" w:type="pct"/>
            <w:hideMark/>
          </w:tcPr>
          <w:p w14:paraId="3CBE0612"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5.6337</w:t>
            </w:r>
          </w:p>
        </w:tc>
        <w:tc>
          <w:tcPr>
            <w:tcW w:w="532" w:type="pct"/>
            <w:hideMark/>
          </w:tcPr>
          <w:p w14:paraId="60FBC71D"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0.0000</w:t>
            </w:r>
          </w:p>
        </w:tc>
      </w:tr>
      <w:tr w:rsidR="00452C0C" w:rsidRPr="00452C0C" w14:paraId="4D7437B9" w14:textId="77777777" w:rsidTr="000C6BC6">
        <w:tc>
          <w:tcPr>
            <w:tcW w:w="2151" w:type="pct"/>
            <w:hideMark/>
          </w:tcPr>
          <w:p w14:paraId="0234D173" w14:textId="573B3A1A"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Real Interest Rate (</w:t>
            </w:r>
            <m:oMath>
              <m:r>
                <w:rPr>
                  <w:rFonts w:ascii="Cambria Math" w:hAnsi="Cambria Math" w:cs="Times New Roman"/>
                  <w:highlight w:val="green"/>
                  <w:lang w:val="en-US"/>
                </w:rPr>
                <m:t>l</m:t>
              </m:r>
              <m:r>
                <m:rPr>
                  <m:sty m:val="p"/>
                </m:rPr>
                <w:rPr>
                  <w:rFonts w:ascii="Cambria Math" w:hAnsi="Cambria Math" w:cs="Times New Roman"/>
                  <w:highlight w:val="green"/>
                </w:rPr>
                <m:t>nIR</m:t>
              </m:r>
            </m:oMath>
            <w:r w:rsidRPr="00452C0C">
              <w:rPr>
                <w:rFonts w:ascii="Times New Roman" w:hAnsi="Times New Roman" w:cs="Times New Roman"/>
                <w:highlight w:val="green"/>
                <w:lang w:val="en-US"/>
              </w:rPr>
              <w:t>)</w:t>
            </w:r>
          </w:p>
        </w:tc>
        <w:tc>
          <w:tcPr>
            <w:tcW w:w="811" w:type="pct"/>
            <w:hideMark/>
          </w:tcPr>
          <w:p w14:paraId="3F53E9F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0.1872</w:t>
            </w:r>
          </w:p>
        </w:tc>
        <w:tc>
          <w:tcPr>
            <w:tcW w:w="776" w:type="pct"/>
            <w:hideMark/>
          </w:tcPr>
          <w:p w14:paraId="114383A0"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0.0824</w:t>
            </w:r>
          </w:p>
        </w:tc>
        <w:tc>
          <w:tcPr>
            <w:tcW w:w="730" w:type="pct"/>
            <w:hideMark/>
          </w:tcPr>
          <w:p w14:paraId="661D41E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2.2718</w:t>
            </w:r>
          </w:p>
        </w:tc>
        <w:tc>
          <w:tcPr>
            <w:tcW w:w="532" w:type="pct"/>
            <w:hideMark/>
          </w:tcPr>
          <w:p w14:paraId="0B761E4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0.0279</w:t>
            </w:r>
          </w:p>
        </w:tc>
      </w:tr>
      <w:tr w:rsidR="00452C0C" w:rsidRPr="00452C0C" w14:paraId="6E209892" w14:textId="77777777" w:rsidTr="000C6BC6">
        <w:tc>
          <w:tcPr>
            <w:tcW w:w="2151" w:type="pct"/>
            <w:hideMark/>
          </w:tcPr>
          <w:p w14:paraId="7E8A9B4E" w14:textId="7B3E9240" w:rsidR="00452C0C" w:rsidRPr="00452C0C" w:rsidRDefault="00452C0C" w:rsidP="00E86E2A">
            <w:pPr>
              <w:tabs>
                <w:tab w:val="left" w:pos="2640"/>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 xml:space="preserve">Exchange Rate </w:t>
            </w:r>
            <w:r w:rsidR="000C6BC6" w:rsidRPr="00114B0A">
              <w:rPr>
                <w:rFonts w:ascii="Times New Roman" w:hAnsi="Times New Roman" w:cs="Times New Roman"/>
                <w:highlight w:val="green"/>
                <w:lang w:val="en-US"/>
              </w:rPr>
              <w:t>(</w:t>
            </w:r>
            <m:oMath>
              <m:r>
                <w:rPr>
                  <w:rFonts w:ascii="Cambria Math" w:hAnsi="Cambria Math" w:cs="Times New Roman"/>
                  <w:highlight w:val="green"/>
                  <w:lang w:val="en-US"/>
                </w:rPr>
                <m:t>l</m:t>
              </m:r>
              <m:r>
                <m:rPr>
                  <m:sty m:val="p"/>
                </m:rPr>
                <w:rPr>
                  <w:rFonts w:ascii="Cambria Math" w:hAnsi="Cambria Math" w:cs="Times New Roman"/>
                  <w:highlight w:val="green"/>
                </w:rPr>
                <m:t>nER</m:t>
              </m:r>
            </m:oMath>
            <w:r w:rsidRPr="00452C0C">
              <w:rPr>
                <w:rFonts w:ascii="Times New Roman" w:hAnsi="Times New Roman" w:cs="Times New Roman"/>
                <w:highlight w:val="green"/>
                <w:lang w:val="en-US"/>
              </w:rPr>
              <w:t>)</w:t>
            </w:r>
            <w:r w:rsidR="00E86E2A" w:rsidRPr="00114B0A">
              <w:rPr>
                <w:rFonts w:ascii="Times New Roman" w:hAnsi="Times New Roman" w:cs="Times New Roman"/>
                <w:highlight w:val="green"/>
                <w:lang w:val="en-US"/>
              </w:rPr>
              <w:tab/>
              <w:t xml:space="preserve"> </w:t>
            </w:r>
          </w:p>
        </w:tc>
        <w:tc>
          <w:tcPr>
            <w:tcW w:w="811" w:type="pct"/>
            <w:hideMark/>
          </w:tcPr>
          <w:p w14:paraId="2674FD24"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0.1534</w:t>
            </w:r>
          </w:p>
        </w:tc>
        <w:tc>
          <w:tcPr>
            <w:tcW w:w="776" w:type="pct"/>
            <w:hideMark/>
          </w:tcPr>
          <w:p w14:paraId="71202704"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0.0642</w:t>
            </w:r>
          </w:p>
        </w:tc>
        <w:tc>
          <w:tcPr>
            <w:tcW w:w="730" w:type="pct"/>
            <w:hideMark/>
          </w:tcPr>
          <w:p w14:paraId="7985B597"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2.3894</w:t>
            </w:r>
          </w:p>
        </w:tc>
        <w:tc>
          <w:tcPr>
            <w:tcW w:w="532" w:type="pct"/>
            <w:hideMark/>
          </w:tcPr>
          <w:p w14:paraId="19946CDA"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0.0208</w:t>
            </w:r>
          </w:p>
        </w:tc>
      </w:tr>
      <w:tr w:rsidR="00452C0C" w:rsidRPr="00452C0C" w14:paraId="7052DDA8" w14:textId="77777777" w:rsidTr="000C6BC6">
        <w:tc>
          <w:tcPr>
            <w:tcW w:w="2151" w:type="pct"/>
            <w:hideMark/>
          </w:tcPr>
          <w:p w14:paraId="738A0DC6" w14:textId="49C24995"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Inflation (</w:t>
            </w:r>
            <m:oMath>
              <m:r>
                <w:rPr>
                  <w:rFonts w:ascii="Cambria Math" w:hAnsi="Cambria Math" w:cs="Times New Roman"/>
                  <w:highlight w:val="green"/>
                  <w:lang w:val="en-US"/>
                </w:rPr>
                <m:t>l</m:t>
              </m:r>
              <m:r>
                <m:rPr>
                  <m:sty m:val="p"/>
                </m:rPr>
                <w:rPr>
                  <w:rFonts w:ascii="Cambria Math" w:hAnsi="Cambria Math" w:cs="Times New Roman"/>
                  <w:highlight w:val="green"/>
                </w:rPr>
                <m:t>nINF</m:t>
              </m:r>
            </m:oMath>
            <w:r w:rsidRPr="00452C0C">
              <w:rPr>
                <w:rFonts w:ascii="Times New Roman" w:hAnsi="Times New Roman" w:cs="Times New Roman"/>
                <w:highlight w:val="green"/>
                <w:lang w:val="en-US"/>
              </w:rPr>
              <w:t>)</w:t>
            </w:r>
            <w:r w:rsidR="00E86E2A" w:rsidRPr="00114B0A">
              <w:rPr>
                <w:rFonts w:ascii="Times New Roman" w:hAnsi="Times New Roman" w:cs="Times New Roman"/>
                <w:highlight w:val="green"/>
                <w:lang w:val="en-US"/>
              </w:rPr>
              <w:t xml:space="preserve"> </w:t>
            </w:r>
          </w:p>
        </w:tc>
        <w:tc>
          <w:tcPr>
            <w:tcW w:w="811" w:type="pct"/>
            <w:hideMark/>
          </w:tcPr>
          <w:p w14:paraId="123F6523"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-0.2856</w:t>
            </w:r>
          </w:p>
        </w:tc>
        <w:tc>
          <w:tcPr>
            <w:tcW w:w="776" w:type="pct"/>
            <w:hideMark/>
          </w:tcPr>
          <w:p w14:paraId="25179B1A"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0.1143</w:t>
            </w:r>
          </w:p>
        </w:tc>
        <w:tc>
          <w:tcPr>
            <w:tcW w:w="730" w:type="pct"/>
            <w:hideMark/>
          </w:tcPr>
          <w:p w14:paraId="15A5EE71"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-2.4987</w:t>
            </w:r>
          </w:p>
        </w:tc>
        <w:tc>
          <w:tcPr>
            <w:tcW w:w="532" w:type="pct"/>
            <w:hideMark/>
          </w:tcPr>
          <w:p w14:paraId="19B92F28"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0.0161</w:t>
            </w:r>
          </w:p>
        </w:tc>
      </w:tr>
      <w:tr w:rsidR="00452C0C" w:rsidRPr="00452C0C" w14:paraId="0A4FAFA1" w14:textId="77777777" w:rsidTr="000C6BC6">
        <w:tc>
          <w:tcPr>
            <w:tcW w:w="2151" w:type="pct"/>
            <w:hideMark/>
          </w:tcPr>
          <w:p w14:paraId="360E64DA" w14:textId="32B20BA2"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Structural Break Dummy (</w:t>
            </w:r>
            <m:oMath>
              <m:sSub>
                <m:sSubPr>
                  <m:ctrlPr>
                    <w:rPr>
                      <w:rFonts w:ascii="Cambria Math" w:hAnsi="Cambria Math" w:cs="Times New Roman"/>
                      <w:i/>
                      <w:highlight w:val="green"/>
                    </w:rPr>
                  </m:ctrlPr>
                </m:sSubPr>
                <m:e>
                  <m:r>
                    <m:rPr>
                      <m:sty m:val="p"/>
                    </m:rPr>
                    <w:rPr>
                      <w:rFonts w:ascii="Cambria Math" w:hAnsi="Cambria Math" w:cs="Times New Roman"/>
                      <w:highlight w:val="green"/>
                    </w:rPr>
                    <m:t>DUM</m:t>
                  </m:r>
                </m:e>
                <m:sub>
                  <m:r>
                    <w:rPr>
                      <w:rFonts w:ascii="Cambria Math" w:hAnsi="Cambria Math" w:cs="Times New Roman"/>
                      <w:highlight w:val="green"/>
                    </w:rPr>
                    <m:t>1</m:t>
                  </m:r>
                </m:sub>
              </m:sSub>
            </m:oMath>
            <w:r w:rsidRPr="00452C0C">
              <w:rPr>
                <w:rFonts w:ascii="Times New Roman" w:hAnsi="Times New Roman" w:cs="Times New Roman"/>
                <w:highlight w:val="green"/>
                <w:lang w:val="en-US"/>
              </w:rPr>
              <w:t>)</w:t>
            </w:r>
          </w:p>
        </w:tc>
        <w:tc>
          <w:tcPr>
            <w:tcW w:w="811" w:type="pct"/>
            <w:hideMark/>
          </w:tcPr>
          <w:p w14:paraId="613FCB8C"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-0.5210</w:t>
            </w:r>
          </w:p>
        </w:tc>
        <w:tc>
          <w:tcPr>
            <w:tcW w:w="776" w:type="pct"/>
            <w:hideMark/>
          </w:tcPr>
          <w:p w14:paraId="67709738"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0.1895</w:t>
            </w:r>
          </w:p>
        </w:tc>
        <w:tc>
          <w:tcPr>
            <w:tcW w:w="730" w:type="pct"/>
            <w:hideMark/>
          </w:tcPr>
          <w:p w14:paraId="6566259E"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-2.7493</w:t>
            </w:r>
          </w:p>
        </w:tc>
        <w:tc>
          <w:tcPr>
            <w:tcW w:w="532" w:type="pct"/>
            <w:hideMark/>
          </w:tcPr>
          <w:p w14:paraId="1ABE1C48"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0.0084</w:t>
            </w:r>
          </w:p>
        </w:tc>
      </w:tr>
      <w:tr w:rsidR="00452C0C" w:rsidRPr="00452C0C" w14:paraId="1714456D" w14:textId="77777777" w:rsidTr="000C6BC6">
        <w:tc>
          <w:tcPr>
            <w:tcW w:w="2151" w:type="pct"/>
            <w:tcBorders>
              <w:bottom w:val="single" w:sz="4" w:space="0" w:color="auto"/>
            </w:tcBorders>
            <w:hideMark/>
          </w:tcPr>
          <w:p w14:paraId="2E11732E" w14:textId="6ADA1842" w:rsidR="00452C0C" w:rsidRPr="00452C0C" w:rsidRDefault="00000000" w:rsidP="00452C0C">
            <w:pPr>
              <w:tabs>
                <w:tab w:val="left" w:pos="6375"/>
              </w:tabs>
              <w:spacing w:line="278" w:lineRule="auto"/>
              <w:jc w:val="both"/>
              <w:rPr>
                <w:rFonts w:ascii="Times New Roman" w:hAnsi="Times New Roman" w:cs="Times New Roman"/>
                <w:highlight w:val="green"/>
                <w:lang w:val="en-US"/>
              </w:rPr>
            </w:pPr>
            <m:oMathPara>
              <m:oMathParaPr>
                <m:jc m:val="left"/>
              </m:oMathParaP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m:oMathPara>
          </w:p>
        </w:tc>
        <w:tc>
          <w:tcPr>
            <w:tcW w:w="811" w:type="pct"/>
            <w:tcBorders>
              <w:bottom w:val="single" w:sz="4" w:space="0" w:color="auto"/>
            </w:tcBorders>
            <w:hideMark/>
          </w:tcPr>
          <w:p w14:paraId="6E7C6E52"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-0.4265</w:t>
            </w:r>
          </w:p>
        </w:tc>
        <w:tc>
          <w:tcPr>
            <w:tcW w:w="776" w:type="pct"/>
            <w:tcBorders>
              <w:bottom w:val="single" w:sz="4" w:space="0" w:color="auto"/>
            </w:tcBorders>
            <w:hideMark/>
          </w:tcPr>
          <w:p w14:paraId="36A12BFD"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0.0912</w:t>
            </w:r>
          </w:p>
        </w:tc>
        <w:tc>
          <w:tcPr>
            <w:tcW w:w="730" w:type="pct"/>
            <w:tcBorders>
              <w:bottom w:val="single" w:sz="4" w:space="0" w:color="auto"/>
            </w:tcBorders>
            <w:hideMark/>
          </w:tcPr>
          <w:p w14:paraId="60214779"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-4.6765</w:t>
            </w:r>
          </w:p>
        </w:tc>
        <w:tc>
          <w:tcPr>
            <w:tcW w:w="532" w:type="pct"/>
            <w:tcBorders>
              <w:bottom w:val="single" w:sz="4" w:space="0" w:color="auto"/>
            </w:tcBorders>
            <w:hideMark/>
          </w:tcPr>
          <w:p w14:paraId="77BFE07E" w14:textId="77777777" w:rsidR="00452C0C" w:rsidRPr="00452C0C" w:rsidRDefault="00452C0C" w:rsidP="00452C0C">
            <w:pPr>
              <w:tabs>
                <w:tab w:val="left" w:pos="6375"/>
              </w:tabs>
              <w:spacing w:line="278" w:lineRule="auto"/>
              <w:jc w:val="both"/>
              <w:rPr>
                <w:rFonts w:ascii="Times New Roman" w:hAnsi="Times New Roman" w:cs="Times New Roman"/>
                <w:highlight w:val="green"/>
                <w:lang w:val="en-US"/>
              </w:rPr>
            </w:pPr>
            <w:r w:rsidRPr="00452C0C">
              <w:rPr>
                <w:rFonts w:ascii="Times New Roman" w:hAnsi="Times New Roman" w:cs="Times New Roman"/>
                <w:highlight w:val="green"/>
                <w:lang w:val="en-US"/>
              </w:rPr>
              <w:t>0.0000</w:t>
            </w:r>
          </w:p>
        </w:tc>
      </w:tr>
      <w:tr w:rsidR="00452C0C" w:rsidRPr="00452C0C" w14:paraId="476B63BF" w14:textId="77777777" w:rsidTr="000C6BC6">
        <w:tc>
          <w:tcPr>
            <w:tcW w:w="2151" w:type="pct"/>
            <w:tcBorders>
              <w:top w:val="single" w:sz="4" w:space="0" w:color="auto"/>
            </w:tcBorders>
            <w:hideMark/>
          </w:tcPr>
          <w:p w14:paraId="27B69BFC" w14:textId="77777777" w:rsidR="000C6BC6" w:rsidRPr="00114B0A" w:rsidRDefault="000C6BC6" w:rsidP="00C82551">
            <w:pPr>
              <w:tabs>
                <w:tab w:val="left" w:pos="6375"/>
              </w:tabs>
              <w:spacing w:line="278" w:lineRule="auto"/>
              <w:rPr>
                <w:rFonts w:ascii="Times New Roman" w:hAnsi="Times New Roman" w:cs="Times New Roman"/>
                <w:highlight w:val="green"/>
                <w:lang w:val="en-US"/>
              </w:rPr>
            </w:pPr>
          </w:p>
          <w:p w14:paraId="7FB81F9D" w14:textId="34FEA2C1"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R-squared</w:t>
            </w:r>
          </w:p>
        </w:tc>
        <w:tc>
          <w:tcPr>
            <w:tcW w:w="811" w:type="pct"/>
            <w:tcBorders>
              <w:top w:val="single" w:sz="4" w:space="0" w:color="auto"/>
            </w:tcBorders>
            <w:hideMark/>
          </w:tcPr>
          <w:p w14:paraId="6104609E" w14:textId="77777777" w:rsidR="000C6BC6" w:rsidRPr="00114B0A" w:rsidRDefault="000C6BC6" w:rsidP="00C82551">
            <w:pPr>
              <w:tabs>
                <w:tab w:val="left" w:pos="6375"/>
              </w:tabs>
              <w:spacing w:line="278" w:lineRule="auto"/>
              <w:rPr>
                <w:rFonts w:ascii="Times New Roman" w:hAnsi="Times New Roman" w:cs="Times New Roman"/>
                <w:highlight w:val="green"/>
                <w:lang w:val="en-US"/>
              </w:rPr>
            </w:pPr>
          </w:p>
          <w:p w14:paraId="55A1D301" w14:textId="1EC75B40"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.7435</w:t>
            </w:r>
          </w:p>
        </w:tc>
        <w:tc>
          <w:tcPr>
            <w:tcW w:w="776" w:type="pct"/>
            <w:tcBorders>
              <w:top w:val="single" w:sz="4" w:space="0" w:color="auto"/>
            </w:tcBorders>
            <w:hideMark/>
          </w:tcPr>
          <w:p w14:paraId="3C28A8B4"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tcBorders>
              <w:top w:val="single" w:sz="4" w:space="0" w:color="auto"/>
            </w:tcBorders>
            <w:hideMark/>
          </w:tcPr>
          <w:p w14:paraId="7EDCC4F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tcBorders>
              <w:top w:val="single" w:sz="4" w:space="0" w:color="auto"/>
            </w:tcBorders>
            <w:hideMark/>
          </w:tcPr>
          <w:p w14:paraId="767D7E83"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r w:rsidR="00452C0C" w:rsidRPr="00452C0C" w14:paraId="6C279560" w14:textId="77777777" w:rsidTr="000C6BC6">
        <w:tc>
          <w:tcPr>
            <w:tcW w:w="2151" w:type="pct"/>
            <w:hideMark/>
          </w:tcPr>
          <w:p w14:paraId="7DDE6F7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Adjusted R-squared</w:t>
            </w:r>
          </w:p>
        </w:tc>
        <w:tc>
          <w:tcPr>
            <w:tcW w:w="811" w:type="pct"/>
            <w:hideMark/>
          </w:tcPr>
          <w:p w14:paraId="5967740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0.7102</w:t>
            </w:r>
          </w:p>
        </w:tc>
        <w:tc>
          <w:tcPr>
            <w:tcW w:w="776" w:type="pct"/>
            <w:hideMark/>
          </w:tcPr>
          <w:p w14:paraId="70DB5981"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2A059AB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340CDA83"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r w:rsidR="00452C0C" w:rsidRPr="00452C0C" w14:paraId="6C5E3DC6" w14:textId="77777777" w:rsidTr="000C6BC6">
        <w:tc>
          <w:tcPr>
            <w:tcW w:w="2151" w:type="pct"/>
            <w:hideMark/>
          </w:tcPr>
          <w:p w14:paraId="459A702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F-statistic</w:t>
            </w:r>
          </w:p>
        </w:tc>
        <w:tc>
          <w:tcPr>
            <w:tcW w:w="811" w:type="pct"/>
            <w:hideMark/>
          </w:tcPr>
          <w:p w14:paraId="50CD276A"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22.2841</w:t>
            </w:r>
          </w:p>
        </w:tc>
        <w:tc>
          <w:tcPr>
            <w:tcW w:w="776" w:type="pct"/>
            <w:hideMark/>
          </w:tcPr>
          <w:p w14:paraId="696DDD8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36D883F2"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2B4AB714"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0.0000</w:t>
            </w:r>
          </w:p>
        </w:tc>
      </w:tr>
      <w:tr w:rsidR="00452C0C" w:rsidRPr="00452C0C" w14:paraId="46D13B19" w14:textId="77777777" w:rsidTr="000C6BC6">
        <w:tc>
          <w:tcPr>
            <w:tcW w:w="2151" w:type="pct"/>
            <w:hideMark/>
          </w:tcPr>
          <w:p w14:paraId="7674C804"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Durbin-Watson statistic</w:t>
            </w:r>
          </w:p>
        </w:tc>
        <w:tc>
          <w:tcPr>
            <w:tcW w:w="811" w:type="pct"/>
            <w:hideMark/>
          </w:tcPr>
          <w:p w14:paraId="792A41A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1.9450</w:t>
            </w:r>
          </w:p>
        </w:tc>
        <w:tc>
          <w:tcPr>
            <w:tcW w:w="776" w:type="pct"/>
            <w:hideMark/>
          </w:tcPr>
          <w:p w14:paraId="65259BC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6ED601B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230D0DA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r w:rsidR="00452C0C" w:rsidRPr="00452C0C" w14:paraId="716CE352" w14:textId="77777777" w:rsidTr="000C6BC6">
        <w:tc>
          <w:tcPr>
            <w:tcW w:w="2151" w:type="pct"/>
            <w:hideMark/>
          </w:tcPr>
          <w:p w14:paraId="63D504D9"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Breusch-Pagan LM test p-value</w:t>
            </w:r>
          </w:p>
        </w:tc>
        <w:tc>
          <w:tcPr>
            <w:tcW w:w="811" w:type="pct"/>
            <w:hideMark/>
          </w:tcPr>
          <w:p w14:paraId="7E27DFB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r w:rsidRPr="00452C0C">
              <w:rPr>
                <w:rFonts w:ascii="Times New Roman" w:hAnsi="Times New Roman" w:cs="Times New Roman"/>
                <w:highlight w:val="green"/>
                <w:lang w:val="en-US"/>
              </w:rPr>
              <w:t>0.4120</w:t>
            </w:r>
          </w:p>
        </w:tc>
        <w:tc>
          <w:tcPr>
            <w:tcW w:w="776" w:type="pct"/>
            <w:hideMark/>
          </w:tcPr>
          <w:p w14:paraId="5ABE0BA7"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730" w:type="pct"/>
            <w:hideMark/>
          </w:tcPr>
          <w:p w14:paraId="47D1EAE5"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c>
          <w:tcPr>
            <w:tcW w:w="532" w:type="pct"/>
            <w:hideMark/>
          </w:tcPr>
          <w:p w14:paraId="5B2D3C3D" w14:textId="77777777" w:rsidR="00452C0C" w:rsidRPr="00452C0C" w:rsidRDefault="00452C0C" w:rsidP="00C82551">
            <w:pPr>
              <w:tabs>
                <w:tab w:val="left" w:pos="6375"/>
              </w:tabs>
              <w:spacing w:line="278" w:lineRule="auto"/>
              <w:rPr>
                <w:rFonts w:ascii="Times New Roman" w:hAnsi="Times New Roman" w:cs="Times New Roman"/>
                <w:highlight w:val="green"/>
                <w:lang w:val="en-US"/>
              </w:rPr>
            </w:pPr>
          </w:p>
        </w:tc>
      </w:tr>
    </w:tbl>
    <w:p w14:paraId="4D4CC4A5" w14:textId="7B17DA9A" w:rsidR="00452C0C" w:rsidRPr="00114B0A" w:rsidRDefault="00452C0C" w:rsidP="00114B0A">
      <w:pPr>
        <w:tabs>
          <w:tab w:val="left" w:pos="6375"/>
        </w:tabs>
        <w:rPr>
          <w:rFonts w:ascii="Times New Roman" w:hAnsi="Times New Roman" w:cs="Times New Roman"/>
          <w:highlight w:val="green"/>
          <w:lang w:val="en-US"/>
        </w:rPr>
      </w:pPr>
      <w:r w:rsidRPr="00452C0C">
        <w:rPr>
          <w:rFonts w:ascii="Times New Roman" w:hAnsi="Times New Roman" w:cs="Times New Roman"/>
          <w:b/>
          <w:bCs/>
          <w:highlight w:val="green"/>
          <w:lang w:val="en-US"/>
        </w:rPr>
        <w:t>Note:</w:t>
      </w:r>
      <w:r w:rsidRPr="00452C0C">
        <w:rPr>
          <w:rFonts w:ascii="Times New Roman" w:hAnsi="Times New Roman" w:cs="Times New Roman"/>
          <w:highlight w:val="green"/>
          <w:lang w:val="en-US"/>
        </w:rPr>
        <w:t xml:space="preserve"> Δ denotes first difference.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Pr="00452C0C">
        <w:rPr>
          <w:rFonts w:ascii="Times New Roman" w:hAnsi="Times New Roman" w:cs="Times New Roman"/>
          <w:highlight w:val="green"/>
          <w:lang w:val="en-US"/>
        </w:rPr>
        <w:t xml:space="preserve"> denotes the lagged error-correction term. AIC denotes the Akaike Information Criterion. Statistical significance is assessed at the 5% level.</w:t>
      </w:r>
    </w:p>
    <w:p w14:paraId="029D9035" w14:textId="77777777" w:rsidR="003F0E64" w:rsidRDefault="003F0E64" w:rsidP="002A0F7C">
      <w:pPr>
        <w:tabs>
          <w:tab w:val="left" w:pos="6375"/>
        </w:tabs>
        <w:spacing w:after="0"/>
        <w:jc w:val="both"/>
        <w:rPr>
          <w:rFonts w:ascii="Times New Roman" w:hAnsi="Times New Roman" w:cs="Times New Roman"/>
          <w:b/>
          <w:bCs/>
        </w:rPr>
      </w:pPr>
    </w:p>
    <w:p w14:paraId="59A8CAB4" w14:textId="77777777" w:rsidR="003F0E64" w:rsidRPr="003F0E64" w:rsidRDefault="003F0E64" w:rsidP="003F0E64">
      <w:pPr>
        <w:tabs>
          <w:tab w:val="left" w:pos="6375"/>
        </w:tabs>
        <w:spacing w:after="0"/>
        <w:jc w:val="both"/>
        <w:rPr>
          <w:rFonts w:ascii="Times New Roman" w:hAnsi="Times New Roman" w:cs="Times New Roman"/>
          <w:b/>
          <w:bCs/>
          <w:highlight w:val="green"/>
          <w:lang w:val="en-US"/>
        </w:rPr>
      </w:pPr>
      <w:r w:rsidRPr="003F0E64">
        <w:rPr>
          <w:rFonts w:ascii="Times New Roman" w:hAnsi="Times New Roman" w:cs="Times New Roman"/>
          <w:b/>
          <w:bCs/>
          <w:highlight w:val="green"/>
          <w:lang w:val="en-US"/>
        </w:rPr>
        <w:t>4.8.1 Long-Run Relationship Analysis</w:t>
      </w:r>
    </w:p>
    <w:p w14:paraId="3B7547BD" w14:textId="28C469C2"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The long-run coefficient estimates indicate that economic growth, real interest rates, and exchange rates exert a positive and statistically significant impact on inward FDI flows to Kenya, whereas inflation and exogenous structural shocks exercise a statistically significant negative effect. Among the macroeconomic determinants, economic growth exhibited the largest positive influence on inward FDI (</w:t>
      </w:r>
      <w:r w:rsidR="00114B0A" w:rsidRPr="005D58D5">
        <w:rPr>
          <w:rFonts w:ascii="Times New Roman" w:hAnsi="Times New Roman" w:cs="Times New Roman"/>
          <w:highlight w:val="green"/>
          <w:lang w:val="en-US"/>
        </w:rPr>
        <w:t>β</w:t>
      </w:r>
      <w:r w:rsidRPr="003F0E64">
        <w:rPr>
          <w:rFonts w:ascii="Times New Roman" w:hAnsi="Times New Roman" w:cs="Times New Roman"/>
          <w:highlight w:val="green"/>
          <w:lang w:val="en-US"/>
        </w:rPr>
        <w:t xml:space="preserve"> = 0.6845, t = 5.6337, p &lt; .001). Specifically, a 1% increase in economic growth is associated with a 0.685% expansion in inward FDI, reflecting market-seeking FDI behavior where an expanding domestic market size stimulates foreign capital inflows.</w:t>
      </w:r>
    </w:p>
    <w:p w14:paraId="09F24650" w14:textId="77777777" w:rsidR="00114B0A" w:rsidRPr="003F0E64" w:rsidRDefault="00114B0A" w:rsidP="003F0E64">
      <w:pPr>
        <w:tabs>
          <w:tab w:val="left" w:pos="6375"/>
        </w:tabs>
        <w:spacing w:after="0"/>
        <w:jc w:val="both"/>
        <w:rPr>
          <w:rFonts w:ascii="Times New Roman" w:hAnsi="Times New Roman" w:cs="Times New Roman"/>
          <w:highlight w:val="green"/>
          <w:lang w:val="en-US"/>
        </w:rPr>
      </w:pPr>
    </w:p>
    <w:p w14:paraId="1D4DEA2A" w14:textId="4C54C87D"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The real interest rate maintained a positive and statistically significant long-run relationship with foreign investment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xml:space="preserve">= 0.1872, t = 2.2718, p = .0279). This outcome suggests that higher real </w:t>
      </w:r>
      <w:r w:rsidRPr="003F0E64">
        <w:rPr>
          <w:rFonts w:ascii="Times New Roman" w:hAnsi="Times New Roman" w:cs="Times New Roman"/>
          <w:highlight w:val="green"/>
          <w:lang w:val="en-US"/>
        </w:rPr>
        <w:lastRenderedPageBreak/>
        <w:t>yields attract financial capital and efficiency-seeking investments by improving return expectations on deployed capital. Similarly, the exchange rate yielded a positive coefficient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0.1534, t = 2.3894, p = .0208), indicating that currency depreciation enhances the purchasing power of foreign investors, thereby making local asset acquisitions more cost-effective.</w:t>
      </w:r>
    </w:p>
    <w:p w14:paraId="64708BB6" w14:textId="77777777" w:rsidR="00114B0A" w:rsidRPr="003F0E64" w:rsidRDefault="00114B0A" w:rsidP="003F0E64">
      <w:pPr>
        <w:tabs>
          <w:tab w:val="left" w:pos="6375"/>
        </w:tabs>
        <w:spacing w:after="0"/>
        <w:jc w:val="both"/>
        <w:rPr>
          <w:rFonts w:ascii="Times New Roman" w:hAnsi="Times New Roman" w:cs="Times New Roman"/>
          <w:highlight w:val="green"/>
          <w:lang w:val="en-US"/>
        </w:rPr>
      </w:pPr>
    </w:p>
    <w:p w14:paraId="511D1231" w14:textId="3C165353"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Conversely, inflation recorded a negative and statistically significant long-run impact on inward FDI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-0.2856, t = -2.4987, p = .0161). High inflation signals underlying macroeconomic volatility and erodes investment returns, which acts as a deterrent to foreign investors. Finally, the structural break dummy showed a statistically significant negative coefficient (</w:t>
      </w:r>
      <w:r w:rsidR="00114B0A" w:rsidRPr="005D58D5">
        <w:rPr>
          <w:rFonts w:ascii="Times New Roman" w:hAnsi="Times New Roman" w:cs="Times New Roman"/>
          <w:highlight w:val="green"/>
          <w:lang w:val="en-US"/>
        </w:rPr>
        <w:t xml:space="preserve">β </w:t>
      </w:r>
      <w:r w:rsidRPr="003F0E64">
        <w:rPr>
          <w:rFonts w:ascii="Times New Roman" w:hAnsi="Times New Roman" w:cs="Times New Roman"/>
          <w:highlight w:val="green"/>
          <w:lang w:val="en-US"/>
        </w:rPr>
        <w:t>= -0.5210, t = -2.7493, p = .0084), confirming that macro-institutional disruptions or policy shocks adversely impact foreign capital inflows over the long run.</w:t>
      </w:r>
    </w:p>
    <w:p w14:paraId="633180A1" w14:textId="77777777" w:rsidR="003F0E64" w:rsidRPr="003F0E64" w:rsidRDefault="003F0E64" w:rsidP="003F0E64">
      <w:pPr>
        <w:tabs>
          <w:tab w:val="left" w:pos="6375"/>
        </w:tabs>
        <w:spacing w:after="0"/>
        <w:jc w:val="both"/>
        <w:rPr>
          <w:rFonts w:ascii="Times New Roman" w:hAnsi="Times New Roman" w:cs="Times New Roman"/>
          <w:highlight w:val="green"/>
          <w:lang w:val="en-US"/>
        </w:rPr>
      </w:pPr>
    </w:p>
    <w:p w14:paraId="634FBFD5" w14:textId="77777777" w:rsidR="003F0E64" w:rsidRPr="003F0E64" w:rsidRDefault="003F0E64" w:rsidP="003F0E64">
      <w:pPr>
        <w:tabs>
          <w:tab w:val="left" w:pos="6375"/>
        </w:tabs>
        <w:spacing w:after="0"/>
        <w:jc w:val="both"/>
        <w:rPr>
          <w:rFonts w:ascii="Times New Roman" w:hAnsi="Times New Roman" w:cs="Times New Roman"/>
          <w:b/>
          <w:bCs/>
          <w:highlight w:val="green"/>
          <w:lang w:val="en-US"/>
        </w:rPr>
      </w:pPr>
      <w:r w:rsidRPr="003F0E64">
        <w:rPr>
          <w:rFonts w:ascii="Times New Roman" w:hAnsi="Times New Roman" w:cs="Times New Roman"/>
          <w:b/>
          <w:bCs/>
          <w:highlight w:val="green"/>
          <w:lang w:val="en-US"/>
        </w:rPr>
        <w:t>4.8.2 Short-Run Dynamics, Error Correction Term, and Model Diagnostics</w:t>
      </w:r>
    </w:p>
    <w:p w14:paraId="057F4D03" w14:textId="624EA53E" w:rsidR="003F0E64" w:rsidRPr="005D58D5" w:rsidRDefault="003F0E64" w:rsidP="003F0E64">
      <w:pPr>
        <w:tabs>
          <w:tab w:val="left" w:pos="6375"/>
        </w:tabs>
        <w:spacing w:after="0"/>
        <w:jc w:val="both"/>
        <w:rPr>
          <w:rFonts w:ascii="Times New Roman" w:hAnsi="Times New Roman" w:cs="Times New Roman"/>
          <w:highlight w:val="green"/>
          <w:lang w:val="en-US"/>
        </w:rPr>
      </w:pPr>
      <w:r w:rsidRPr="003F0E64">
        <w:rPr>
          <w:rFonts w:ascii="Times New Roman" w:hAnsi="Times New Roman" w:cs="Times New Roman"/>
          <w:highlight w:val="green"/>
          <w:lang w:val="en-US"/>
        </w:rPr>
        <w:t>The short-run dynamics and adjustment properties of the system are governed by the lagged error correction term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00114B0A" w:rsidRPr="005D58D5">
        <w:rPr>
          <w:rFonts w:ascii="Times New Roman" w:hAnsi="Times New Roman" w:cs="Times New Roman"/>
          <w:highlight w:val="green"/>
          <w:lang w:val="en-US"/>
        </w:rPr>
        <w:t xml:space="preserve">). </w:t>
      </w:r>
      <w:r w:rsidRPr="003F0E64">
        <w:rPr>
          <w:rFonts w:ascii="Times New Roman" w:hAnsi="Times New Roman" w:cs="Times New Roman"/>
          <w:highlight w:val="green"/>
          <w:lang w:val="en-US"/>
        </w:rPr>
        <w:t>The estimated coefficient of</w:t>
      </w:r>
      <w:r w:rsidR="00114B0A" w:rsidRPr="005D58D5">
        <w:rPr>
          <w:rFonts w:ascii="Times New Roman" w:hAnsi="Times New Roman" w:cs="Times New Roman"/>
          <w:highlight w:val="green"/>
          <w:lang w:val="en-US"/>
        </w:rPr>
        <w:t xml:space="preserve">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00114B0A" w:rsidRPr="00452C0C">
        <w:rPr>
          <w:rFonts w:ascii="Times New Roman" w:hAnsi="Times New Roman" w:cs="Times New Roman"/>
          <w:highlight w:val="green"/>
          <w:lang w:val="en-US"/>
        </w:rPr>
        <w:t xml:space="preserve"> </w:t>
      </w:r>
      <w:r w:rsidRPr="003F0E64">
        <w:rPr>
          <w:rFonts w:ascii="Times New Roman" w:hAnsi="Times New Roman" w:cs="Times New Roman"/>
          <w:highlight w:val="green"/>
          <w:lang w:val="en-US"/>
        </w:rPr>
        <w:t>is -0.4265 (t = -4.6765, p &lt; .001), which is negative and statistically significant at the 1% level. This confirms the stability of the system and validates the cointegration results. Mechanistically, a parameter of -0.4265 indicates that approximately 42.65% of short-run disequilibria resulting from external macroeconomic shocks are corrected back toward the long-run equilibrium path within each period.</w:t>
      </w:r>
    </w:p>
    <w:p w14:paraId="0A6F54B2" w14:textId="77777777" w:rsidR="00114B0A" w:rsidRPr="003F0E64" w:rsidRDefault="00114B0A" w:rsidP="003F0E64">
      <w:pPr>
        <w:tabs>
          <w:tab w:val="left" w:pos="6375"/>
        </w:tabs>
        <w:spacing w:after="0"/>
        <w:jc w:val="both"/>
        <w:rPr>
          <w:rFonts w:ascii="Times New Roman" w:hAnsi="Times New Roman" w:cs="Times New Roman"/>
          <w:highlight w:val="green"/>
          <w:lang w:val="en-US"/>
        </w:rPr>
      </w:pPr>
    </w:p>
    <w:p w14:paraId="7FBA1E83" w14:textId="6FF8F62C" w:rsidR="003F0E64" w:rsidRPr="003F0E64" w:rsidRDefault="003F0E64" w:rsidP="003F0E64">
      <w:pPr>
        <w:tabs>
          <w:tab w:val="left" w:pos="6375"/>
        </w:tabs>
        <w:spacing w:after="0"/>
        <w:jc w:val="both"/>
        <w:rPr>
          <w:rFonts w:ascii="Times New Roman" w:hAnsi="Times New Roman" w:cs="Times New Roman"/>
          <w:lang w:val="en-US"/>
        </w:rPr>
      </w:pPr>
      <w:r w:rsidRPr="003F0E64">
        <w:rPr>
          <w:rFonts w:ascii="Times New Roman" w:hAnsi="Times New Roman" w:cs="Times New Roman"/>
          <w:highlight w:val="green"/>
          <w:lang w:val="en-US"/>
        </w:rPr>
        <w:t>Overall, the model demonstrates strong diagnostic performance and goodness of fit. The coefficient of determination (</w:t>
      </w:r>
      <w:r w:rsidR="005D58D5" w:rsidRPr="005D58D5">
        <w:rPr>
          <w:rFonts w:ascii="Times New Roman" w:hAnsi="Times New Roman" w:cs="Times New Roman"/>
          <w:highlight w:val="green"/>
          <w:lang w:val="en-US"/>
        </w:rPr>
        <w:t>R</w:t>
      </w:r>
      <w:r w:rsidR="005D58D5" w:rsidRPr="005D58D5">
        <w:rPr>
          <w:rFonts w:ascii="Times New Roman" w:hAnsi="Times New Roman" w:cs="Times New Roman"/>
          <w:highlight w:val="green"/>
          <w:vertAlign w:val="superscript"/>
          <w:lang w:val="en-US"/>
        </w:rPr>
        <w:t>2</w:t>
      </w:r>
      <w:r w:rsidRPr="003F0E64">
        <w:rPr>
          <w:rFonts w:ascii="Times New Roman" w:hAnsi="Times New Roman" w:cs="Times New Roman"/>
          <w:highlight w:val="green"/>
          <w:lang w:val="en-US"/>
        </w:rPr>
        <w:t xml:space="preserve"> = 0.7435) indicates that approximately 74.35% of the total variance in inward FDI is explained by the joint variation of the independent variables, supported by an Adjusted </w:t>
      </w:r>
      <w:r w:rsidR="005D58D5" w:rsidRPr="005D58D5">
        <w:rPr>
          <w:rFonts w:ascii="Times New Roman" w:hAnsi="Times New Roman" w:cs="Times New Roman"/>
          <w:highlight w:val="green"/>
          <w:lang w:val="en-US"/>
        </w:rPr>
        <w:t>R</w:t>
      </w:r>
      <w:r w:rsidR="005D58D5" w:rsidRPr="005D58D5">
        <w:rPr>
          <w:rFonts w:ascii="Times New Roman" w:hAnsi="Times New Roman" w:cs="Times New Roman"/>
          <w:highlight w:val="green"/>
          <w:vertAlign w:val="superscript"/>
          <w:lang w:val="en-US"/>
        </w:rPr>
        <w:t xml:space="preserve">2 </w:t>
      </w:r>
      <w:r w:rsidRPr="003F0E64">
        <w:rPr>
          <w:rFonts w:ascii="Times New Roman" w:hAnsi="Times New Roman" w:cs="Times New Roman"/>
          <w:highlight w:val="green"/>
          <w:lang w:val="en-US"/>
        </w:rPr>
        <w:t xml:space="preserve">of 0.7102. The overall regression model is statistically significant, </w:t>
      </w:r>
      <w:r w:rsidR="005D58D5" w:rsidRPr="005D58D5">
        <w:rPr>
          <w:rFonts w:ascii="Times New Roman" w:hAnsi="Times New Roman" w:cs="Times New Roman"/>
          <w:highlight w:val="green"/>
          <w:lang w:val="en-US"/>
        </w:rPr>
        <w:t>F (</w:t>
      </w:r>
      <w:r w:rsidRPr="003F0E64">
        <w:rPr>
          <w:rFonts w:ascii="Times New Roman" w:hAnsi="Times New Roman" w:cs="Times New Roman"/>
          <w:highlight w:val="green"/>
          <w:lang w:val="en-US"/>
        </w:rPr>
        <w:t>5, N) = 22.2841, p &lt; .001. Furthermore, the Durbin-Watson statistic of 1.9450 indicates the absence of severe first-order serial correlation, while the Breusch-Pagan LM test (p = 0.4120) confirms homoskedasticity in the residuals, validating the statistical robustness of the estimated parameters.</w:t>
      </w:r>
    </w:p>
    <w:p w14:paraId="38571D8F" w14:textId="77777777" w:rsidR="003F0E64" w:rsidRDefault="003F0E64" w:rsidP="002A0F7C">
      <w:pPr>
        <w:tabs>
          <w:tab w:val="left" w:pos="6375"/>
        </w:tabs>
        <w:spacing w:after="0"/>
        <w:jc w:val="both"/>
        <w:rPr>
          <w:rFonts w:ascii="Times New Roman" w:hAnsi="Times New Roman" w:cs="Times New Roman"/>
          <w:b/>
          <w:bCs/>
        </w:rPr>
      </w:pPr>
    </w:p>
    <w:p w14:paraId="489F2E2A" w14:textId="77777777" w:rsidR="000D45EE" w:rsidRPr="000D45EE" w:rsidRDefault="000D45EE" w:rsidP="000D45EE">
      <w:pPr>
        <w:tabs>
          <w:tab w:val="left" w:pos="6375"/>
        </w:tabs>
        <w:spacing w:after="0"/>
        <w:jc w:val="both"/>
        <w:rPr>
          <w:rFonts w:ascii="Times New Roman" w:hAnsi="Times New Roman" w:cs="Times New Roman"/>
          <w:b/>
          <w:bCs/>
          <w:highlight w:val="green"/>
          <w:lang w:val="en-US"/>
        </w:rPr>
      </w:pPr>
      <w:r w:rsidRPr="000D45EE">
        <w:rPr>
          <w:rFonts w:ascii="Times New Roman" w:hAnsi="Times New Roman" w:cs="Times New Roman"/>
          <w:b/>
          <w:bCs/>
          <w:highlight w:val="green"/>
          <w:lang w:val="en-US"/>
        </w:rPr>
        <w:t>4.8.3 Discussion of Findings, Hypothesis Testing, and Literature Alignment</w:t>
      </w:r>
    </w:p>
    <w:p w14:paraId="7725D6D8" w14:textId="09973352" w:rsidR="000D45EE" w:rsidRPr="00B652FD" w:rsidRDefault="000D45EE" w:rsidP="00B652FD">
      <w:pPr>
        <w:tabs>
          <w:tab w:val="left" w:pos="6375"/>
        </w:tabs>
        <w:spacing w:after="0"/>
        <w:jc w:val="both"/>
        <w:rPr>
          <w:rFonts w:ascii="Times New Roman" w:hAnsi="Times New Roman" w:cs="Times New Roman"/>
          <w:highlight w:val="green"/>
          <w:lang w:val="en-US"/>
        </w:rPr>
      </w:pPr>
      <w:r w:rsidRPr="000D45EE">
        <w:rPr>
          <w:rFonts w:ascii="Times New Roman" w:hAnsi="Times New Roman" w:cs="Times New Roman"/>
          <w:highlight w:val="green"/>
          <w:lang w:val="en-US"/>
        </w:rPr>
        <w:t>To evaluate the empirical claims against existing empirical literature, the specific impact of each macroeconomic variable, its corresponding hypothesis testing outcome, and alignment with prior studies are detailed below:</w:t>
      </w:r>
    </w:p>
    <w:p w14:paraId="272040FA" w14:textId="0A3FFE3D" w:rsidR="000D45EE" w:rsidRPr="000D45EE" w:rsidRDefault="000D45EE" w:rsidP="000D45EE">
      <w:pPr>
        <w:tabs>
          <w:tab w:val="left" w:pos="6375"/>
        </w:tabs>
        <w:jc w:val="both"/>
        <w:rPr>
          <w:rFonts w:ascii="Times New Roman" w:hAnsi="Times New Roman" w:cs="Times New Roman"/>
          <w:highlight w:val="green"/>
          <w:lang w:val="en-US"/>
        </w:rPr>
      </w:pPr>
      <w:r w:rsidRPr="000D45EE">
        <w:rPr>
          <w:rFonts w:ascii="Times New Roman" w:hAnsi="Times New Roman" w:cs="Times New Roman"/>
          <w:b/>
          <w:bCs/>
          <w:highlight w:val="green"/>
          <w:lang w:val="en-US"/>
        </w:rPr>
        <w:t>Economic Growth and FDI:</w:t>
      </w:r>
      <w:r w:rsidRPr="000D45EE">
        <w:rPr>
          <w:rFonts w:ascii="Times New Roman" w:hAnsi="Times New Roman" w:cs="Times New Roman"/>
          <w:highlight w:val="green"/>
          <w:lang w:val="en-US"/>
        </w:rPr>
        <w:t xml:space="preserve"> Economic growth had a positive and statistically significant long-run effect on foreign direct investment (</w:t>
      </w:r>
      <w:r w:rsidRPr="00B652FD">
        <w:rPr>
          <w:rFonts w:ascii="Times New Roman" w:hAnsi="Times New Roman" w:cs="Times New Roman"/>
          <w:highlight w:val="green"/>
          <w:lang w:val="en-US"/>
        </w:rPr>
        <w:t>β</w:t>
      </w:r>
      <w:r w:rsidRPr="000D45EE">
        <w:rPr>
          <w:rFonts w:ascii="Times New Roman" w:hAnsi="Times New Roman" w:cs="Times New Roman"/>
          <w:highlight w:val="green"/>
          <w:lang w:val="en-US"/>
        </w:rPr>
        <w:t xml:space="preserve"> = 0.6845, p &lt; .001). The study therefore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economic growth has no statistically significant effect on FDI in Kenya. The result confirms that expansion in real output drives market-seeking investment. This finding is consistent with GuechHeang and Moolio (2013), who identified a long-run relationship between GDP and FDI in Cambodia, and Nosheen (2013), who documented a strong positive linkage in Pakistan. However, it contrasts with Ciesielska and Kołtuniak (2017), who reported divergent dynamics concerning FDI and growth in Poland.</w:t>
      </w:r>
    </w:p>
    <w:p w14:paraId="1B697A7C" w14:textId="1E5E3EDE" w:rsidR="000D45EE" w:rsidRPr="000D45EE" w:rsidRDefault="000D45EE" w:rsidP="000D45EE">
      <w:pPr>
        <w:tabs>
          <w:tab w:val="left" w:pos="6375"/>
        </w:tabs>
        <w:jc w:val="both"/>
        <w:rPr>
          <w:rFonts w:ascii="Times New Roman" w:hAnsi="Times New Roman" w:cs="Times New Roman"/>
          <w:highlight w:val="green"/>
          <w:lang w:val="en-US"/>
        </w:rPr>
      </w:pPr>
      <w:r w:rsidRPr="000D45EE">
        <w:rPr>
          <w:rFonts w:ascii="Times New Roman" w:hAnsi="Times New Roman" w:cs="Times New Roman"/>
          <w:b/>
          <w:bCs/>
          <w:highlight w:val="green"/>
          <w:lang w:val="en-US"/>
        </w:rPr>
        <w:lastRenderedPageBreak/>
        <w:t>Real Interest Rate and FDI:</w:t>
      </w:r>
      <w:r w:rsidRPr="000D45EE">
        <w:rPr>
          <w:rFonts w:ascii="Times New Roman" w:hAnsi="Times New Roman" w:cs="Times New Roman"/>
          <w:highlight w:val="green"/>
          <w:lang w:val="en-US"/>
        </w:rPr>
        <w:t xml:space="preserve"> The estimated long-run coefficient for the real interest rate was 0.1872 (p = .0279), demonstrating a statistically significant positive relationship at the 5% level. The study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real interest rates have no statistically significant effect on FDI in Kenya. This implies that higher real returns attract capital by boosting expected profitability. This result supports Kiplagat (2016), who similarly established a positive relationship between interest rates and FDI in Kenya, but contrasts with Siddiqui and Aumeboonsuke (2014), who observed an inverse relationship across Thailand, Indonesia, and Malaysia.</w:t>
      </w:r>
      <w:r w:rsidR="00B652FD" w:rsidRPr="00B652FD">
        <w:rPr>
          <w:rFonts w:ascii="Times New Roman" w:hAnsi="Times New Roman" w:cs="Times New Roman"/>
          <w:highlight w:val="green"/>
          <w:lang w:val="en-US"/>
        </w:rPr>
        <w:t xml:space="preserve"> </w:t>
      </w:r>
    </w:p>
    <w:p w14:paraId="388C9B59" w14:textId="68433DBF" w:rsidR="000D45EE" w:rsidRPr="000D45EE" w:rsidRDefault="000D45EE" w:rsidP="00B652FD">
      <w:pPr>
        <w:tabs>
          <w:tab w:val="left" w:pos="6375"/>
        </w:tabs>
        <w:jc w:val="both"/>
        <w:rPr>
          <w:rFonts w:ascii="Times New Roman" w:hAnsi="Times New Roman" w:cs="Times New Roman"/>
          <w:highlight w:val="green"/>
          <w:lang w:val="en-US"/>
        </w:rPr>
      </w:pPr>
      <w:r w:rsidRPr="000D45EE">
        <w:rPr>
          <w:rFonts w:ascii="Times New Roman" w:hAnsi="Times New Roman" w:cs="Times New Roman"/>
          <w:b/>
          <w:bCs/>
          <w:highlight w:val="green"/>
          <w:lang w:val="en-US"/>
        </w:rPr>
        <w:t>Exchange Rate and FDI:</w:t>
      </w:r>
      <w:r w:rsidRPr="000D45EE">
        <w:rPr>
          <w:rFonts w:ascii="Times New Roman" w:hAnsi="Times New Roman" w:cs="Times New Roman"/>
          <w:highlight w:val="green"/>
          <w:lang w:val="en-US"/>
        </w:rPr>
        <w:t xml:space="preserve"> The exchange rate maintained a statistically significant positive long-run coefficient (</w:t>
      </w:r>
      <w:r w:rsidR="00B652FD" w:rsidRPr="00B652FD">
        <w:rPr>
          <w:rFonts w:ascii="Times New Roman" w:hAnsi="Times New Roman" w:cs="Times New Roman"/>
          <w:highlight w:val="green"/>
          <w:lang w:val="en-US"/>
        </w:rPr>
        <w:t>β</w:t>
      </w:r>
      <w:r w:rsidRPr="000D45EE">
        <w:rPr>
          <w:rFonts w:ascii="Times New Roman" w:hAnsi="Times New Roman" w:cs="Times New Roman"/>
          <w:highlight w:val="green"/>
          <w:lang w:val="en-US"/>
        </w:rPr>
        <w:t xml:space="preserve"> = 0.1534, p = .0208). Consequently, the study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exchange rates have no statistically significant effect on FDI in Kenya. This finding suggests that domestic currency depreciation lowers asset acquisition costs for foreign investors. This aligns with Omondi and Muturi (2013), who identified a significant relationship between exchange rate movements and FDI in Kenya, but stands in contrast to Hosein and Maryam (2012), who reported a negative relationship in Iran.</w:t>
      </w:r>
    </w:p>
    <w:p w14:paraId="0B5FC5F4" w14:textId="7AB12AE5" w:rsidR="007B3574" w:rsidRPr="00B416D2" w:rsidRDefault="000D45EE" w:rsidP="002A0F7C">
      <w:pPr>
        <w:tabs>
          <w:tab w:val="left" w:pos="6375"/>
        </w:tabs>
        <w:jc w:val="both"/>
        <w:rPr>
          <w:rFonts w:ascii="Times New Roman" w:hAnsi="Times New Roman" w:cs="Times New Roman"/>
          <w:lang w:val="en-US"/>
        </w:rPr>
      </w:pPr>
      <w:r w:rsidRPr="000D45EE">
        <w:rPr>
          <w:rFonts w:ascii="Times New Roman" w:hAnsi="Times New Roman" w:cs="Times New Roman"/>
          <w:b/>
          <w:bCs/>
          <w:highlight w:val="green"/>
          <w:lang w:val="en-US"/>
        </w:rPr>
        <w:t>Inflation and FDI:</w:t>
      </w:r>
      <w:r w:rsidRPr="000D45EE">
        <w:rPr>
          <w:rFonts w:ascii="Times New Roman" w:hAnsi="Times New Roman" w:cs="Times New Roman"/>
          <w:highlight w:val="green"/>
          <w:lang w:val="en-US"/>
        </w:rPr>
        <w:t xml:space="preserve"> Inflation exhibited a negative and statistically significant long-run relationship with FDI (</w:t>
      </w:r>
      <w:r w:rsidR="00B652FD" w:rsidRPr="00B652FD">
        <w:rPr>
          <w:rFonts w:ascii="Times New Roman" w:hAnsi="Times New Roman" w:cs="Times New Roman"/>
          <w:highlight w:val="green"/>
          <w:lang w:val="en-US"/>
        </w:rPr>
        <w:t>β</w:t>
      </w:r>
      <w:r w:rsidRPr="000D45EE">
        <w:rPr>
          <w:rFonts w:ascii="Times New Roman" w:hAnsi="Times New Roman" w:cs="Times New Roman"/>
          <w:highlight w:val="green"/>
          <w:lang w:val="en-US"/>
        </w:rPr>
        <w:t xml:space="preserve"> = -0.2856, p = .0161). The study rejected the null hypothesis (</w:t>
      </w:r>
      <m:oMath>
        <m:sSub>
          <m:sSubPr>
            <m:ctrlPr>
              <w:rPr>
                <w:rFonts w:ascii="Cambria Math" w:hAnsi="Cambria Math" w:cs="Times New Roman"/>
                <w:i/>
                <w:highlight w:val="green"/>
                <w:lang w:val="en-US"/>
              </w:rPr>
            </m:ctrlPr>
          </m:sSubPr>
          <m:e>
            <m:r>
              <w:rPr>
                <w:rFonts w:ascii="Cambria Math" w:hAnsi="Cambria Math" w:cs="Times New Roman"/>
                <w:highlight w:val="green"/>
                <w:lang w:val="en-US"/>
              </w:rPr>
              <m:t>H</m:t>
            </m:r>
          </m:e>
          <m:sub>
            <m:r>
              <w:rPr>
                <w:rFonts w:ascii="Cambria Math" w:hAnsi="Cambria Math" w:cs="Times New Roman"/>
                <w:highlight w:val="green"/>
                <w:lang w:val="en-US"/>
              </w:rPr>
              <m:t>0</m:t>
            </m:r>
          </m:sub>
        </m:sSub>
      </m:oMath>
      <w:r w:rsidRPr="000D45EE">
        <w:rPr>
          <w:rFonts w:ascii="Times New Roman" w:hAnsi="Times New Roman" w:cs="Times New Roman"/>
          <w:highlight w:val="green"/>
          <w:lang w:val="en-US"/>
        </w:rPr>
        <w:t>) that inflation has no statistically significant effect on FDI in Kenya. High inflation reflects macroeconomic instability and erodes real asset values, thereby discouraging foreign capital inflows. This finding is consistent with Xaypanya et al. (2015), who reported that inflation hindered FDI in ASEAN economies, and Nduati (2018), who observed a similar negative relationship in Kenya.</w:t>
      </w:r>
    </w:p>
    <w:p w14:paraId="5AF10872" w14:textId="43B4C915" w:rsidR="00BB631A" w:rsidRPr="00B416D2" w:rsidRDefault="007B3574" w:rsidP="007B3574">
      <w:pPr>
        <w:tabs>
          <w:tab w:val="left" w:pos="6375"/>
        </w:tabs>
        <w:spacing w:after="0"/>
        <w:jc w:val="both"/>
        <w:rPr>
          <w:rFonts w:ascii="Times New Roman" w:hAnsi="Times New Roman" w:cs="Times New Roman"/>
          <w:b/>
          <w:bCs/>
          <w:highlight w:val="green"/>
        </w:rPr>
      </w:pPr>
      <w:r w:rsidRPr="00B416D2">
        <w:rPr>
          <w:rFonts w:ascii="Times New Roman" w:hAnsi="Times New Roman" w:cs="Times New Roman"/>
          <w:b/>
          <w:bCs/>
          <w:highlight w:val="green"/>
        </w:rPr>
        <w:t xml:space="preserve">4.9 Summary of Findings for Paper </w:t>
      </w:r>
    </w:p>
    <w:p w14:paraId="3DC19D7E" w14:textId="77777777" w:rsidR="0092283E" w:rsidRPr="0092283E" w:rsidRDefault="0092283E" w:rsidP="0092283E">
      <w:pPr>
        <w:tabs>
          <w:tab w:val="left" w:pos="6375"/>
        </w:tabs>
        <w:spacing w:after="0"/>
        <w:jc w:val="both"/>
        <w:rPr>
          <w:rFonts w:ascii="Times New Roman" w:hAnsi="Times New Roman" w:cs="Times New Roman"/>
          <w:b/>
          <w:bCs/>
          <w:highlight w:val="green"/>
          <w:lang w:val="en-US"/>
        </w:rPr>
      </w:pPr>
      <w:r w:rsidRPr="0092283E">
        <w:rPr>
          <w:rFonts w:ascii="Times New Roman" w:hAnsi="Times New Roman" w:cs="Times New Roman"/>
          <w:b/>
          <w:bCs/>
          <w:highlight w:val="green"/>
          <w:lang w:val="en-US"/>
        </w:rPr>
        <w:t>Table 9: Revised Hypotheses Decisions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1913"/>
        <w:gridCol w:w="1717"/>
        <w:gridCol w:w="1621"/>
        <w:gridCol w:w="2085"/>
      </w:tblGrid>
      <w:tr w:rsidR="0092283E" w:rsidRPr="00B416D2" w14:paraId="5CA4ECE4" w14:textId="77777777" w:rsidTr="0092283E">
        <w:tc>
          <w:tcPr>
            <w:tcW w:w="1081" w:type="pct"/>
            <w:tcBorders>
              <w:top w:val="single" w:sz="4" w:space="0" w:color="auto"/>
              <w:bottom w:val="single" w:sz="4" w:space="0" w:color="auto"/>
            </w:tcBorders>
            <w:hideMark/>
          </w:tcPr>
          <w:p w14:paraId="47C3B028"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Explanatory Variable</w:t>
            </w:r>
          </w:p>
        </w:tc>
        <w:tc>
          <w:tcPr>
            <w:tcW w:w="1022" w:type="pct"/>
            <w:tcBorders>
              <w:top w:val="single" w:sz="4" w:space="0" w:color="auto"/>
              <w:bottom w:val="single" w:sz="4" w:space="0" w:color="auto"/>
            </w:tcBorders>
            <w:hideMark/>
          </w:tcPr>
          <w:p w14:paraId="3949D00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Elasticity Coefficient</w:t>
            </w:r>
          </w:p>
        </w:tc>
        <w:tc>
          <w:tcPr>
            <w:tcW w:w="917" w:type="pct"/>
            <w:tcBorders>
              <w:top w:val="single" w:sz="4" w:space="0" w:color="auto"/>
              <w:bottom w:val="single" w:sz="4" w:space="0" w:color="auto"/>
            </w:tcBorders>
            <w:hideMark/>
          </w:tcPr>
          <w:p w14:paraId="5FBDE8F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Corrected p-value</w:t>
            </w:r>
          </w:p>
        </w:tc>
        <w:tc>
          <w:tcPr>
            <w:tcW w:w="866" w:type="pct"/>
            <w:tcBorders>
              <w:top w:val="single" w:sz="4" w:space="0" w:color="auto"/>
              <w:bottom w:val="single" w:sz="4" w:space="0" w:color="auto"/>
            </w:tcBorders>
            <w:hideMark/>
          </w:tcPr>
          <w:p w14:paraId="13A03350"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Impact Direction</w:t>
            </w:r>
          </w:p>
        </w:tc>
        <w:tc>
          <w:tcPr>
            <w:tcW w:w="1114" w:type="pct"/>
            <w:tcBorders>
              <w:top w:val="single" w:sz="4" w:space="0" w:color="auto"/>
              <w:bottom w:val="single" w:sz="4" w:space="0" w:color="auto"/>
            </w:tcBorders>
            <w:hideMark/>
          </w:tcPr>
          <w:p w14:paraId="03DD522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Empirical Decision</w:t>
            </w:r>
          </w:p>
        </w:tc>
      </w:tr>
      <w:tr w:rsidR="0092283E" w:rsidRPr="00B416D2" w14:paraId="64F61D6D" w14:textId="77777777" w:rsidTr="0092283E">
        <w:tc>
          <w:tcPr>
            <w:tcW w:w="1081" w:type="pct"/>
            <w:tcBorders>
              <w:top w:val="single" w:sz="4" w:space="0" w:color="auto"/>
            </w:tcBorders>
            <w:hideMark/>
          </w:tcPr>
          <w:p w14:paraId="3E20E169"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Real Interest Rate</w:t>
            </w:r>
          </w:p>
        </w:tc>
        <w:tc>
          <w:tcPr>
            <w:tcW w:w="1022" w:type="pct"/>
            <w:tcBorders>
              <w:top w:val="single" w:sz="4" w:space="0" w:color="auto"/>
            </w:tcBorders>
            <w:hideMark/>
          </w:tcPr>
          <w:p w14:paraId="0E745948"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0.1872</w:t>
            </w:r>
          </w:p>
        </w:tc>
        <w:tc>
          <w:tcPr>
            <w:tcW w:w="917" w:type="pct"/>
            <w:tcBorders>
              <w:top w:val="single" w:sz="4" w:space="0" w:color="auto"/>
            </w:tcBorders>
            <w:hideMark/>
          </w:tcPr>
          <w:p w14:paraId="2091D45C"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0.0279</w:t>
            </w:r>
          </w:p>
        </w:tc>
        <w:tc>
          <w:tcPr>
            <w:tcW w:w="866" w:type="pct"/>
            <w:tcBorders>
              <w:top w:val="single" w:sz="4" w:space="0" w:color="auto"/>
            </w:tcBorders>
            <w:hideMark/>
          </w:tcPr>
          <w:p w14:paraId="158C7F8D"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Positive</w:t>
            </w:r>
          </w:p>
        </w:tc>
        <w:tc>
          <w:tcPr>
            <w:tcW w:w="1114" w:type="pct"/>
            <w:tcBorders>
              <w:top w:val="single" w:sz="4" w:space="0" w:color="auto"/>
            </w:tcBorders>
            <w:hideMark/>
          </w:tcPr>
          <w:p w14:paraId="4A060B8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r w:rsidR="0092283E" w:rsidRPr="00B416D2" w14:paraId="7B97BCB5" w14:textId="77777777" w:rsidTr="0092283E">
        <w:tc>
          <w:tcPr>
            <w:tcW w:w="1081" w:type="pct"/>
            <w:hideMark/>
          </w:tcPr>
          <w:p w14:paraId="50D3CC71"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Inflation Rate</w:t>
            </w:r>
          </w:p>
        </w:tc>
        <w:tc>
          <w:tcPr>
            <w:tcW w:w="1022" w:type="pct"/>
            <w:hideMark/>
          </w:tcPr>
          <w:p w14:paraId="6856EFD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-0.2856</w:t>
            </w:r>
          </w:p>
        </w:tc>
        <w:tc>
          <w:tcPr>
            <w:tcW w:w="917" w:type="pct"/>
            <w:hideMark/>
          </w:tcPr>
          <w:p w14:paraId="6A3B7D9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0.0161</w:t>
            </w:r>
          </w:p>
        </w:tc>
        <w:tc>
          <w:tcPr>
            <w:tcW w:w="866" w:type="pct"/>
            <w:hideMark/>
          </w:tcPr>
          <w:p w14:paraId="074EFBEE"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Negative</w:t>
            </w:r>
          </w:p>
        </w:tc>
        <w:tc>
          <w:tcPr>
            <w:tcW w:w="1114" w:type="pct"/>
            <w:hideMark/>
          </w:tcPr>
          <w:p w14:paraId="7C2391A7"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r w:rsidR="0092283E" w:rsidRPr="00B416D2" w14:paraId="313E5565" w14:textId="77777777" w:rsidTr="0092283E">
        <w:tc>
          <w:tcPr>
            <w:tcW w:w="1081" w:type="pct"/>
            <w:hideMark/>
          </w:tcPr>
          <w:p w14:paraId="072F7480"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Economic Growth</w:t>
            </w:r>
          </w:p>
        </w:tc>
        <w:tc>
          <w:tcPr>
            <w:tcW w:w="1022" w:type="pct"/>
            <w:hideMark/>
          </w:tcPr>
          <w:p w14:paraId="42951902"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0.6845</w:t>
            </w:r>
          </w:p>
        </w:tc>
        <w:tc>
          <w:tcPr>
            <w:tcW w:w="917" w:type="pct"/>
            <w:hideMark/>
          </w:tcPr>
          <w:p w14:paraId="6CED38A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0.0000</w:t>
            </w:r>
          </w:p>
        </w:tc>
        <w:tc>
          <w:tcPr>
            <w:tcW w:w="866" w:type="pct"/>
            <w:hideMark/>
          </w:tcPr>
          <w:p w14:paraId="63A2E064"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Positive</w:t>
            </w:r>
          </w:p>
        </w:tc>
        <w:tc>
          <w:tcPr>
            <w:tcW w:w="1114" w:type="pct"/>
            <w:hideMark/>
          </w:tcPr>
          <w:p w14:paraId="7A873D0F"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r w:rsidR="0092283E" w:rsidRPr="00B416D2" w14:paraId="23AD8EAC" w14:textId="77777777" w:rsidTr="0092283E">
        <w:tc>
          <w:tcPr>
            <w:tcW w:w="1081" w:type="pct"/>
            <w:hideMark/>
          </w:tcPr>
          <w:p w14:paraId="3F5EE1BA"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Exchange Rate</w:t>
            </w:r>
          </w:p>
        </w:tc>
        <w:tc>
          <w:tcPr>
            <w:tcW w:w="1022" w:type="pct"/>
            <w:hideMark/>
          </w:tcPr>
          <w:p w14:paraId="360674D6"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0.1534</w:t>
            </w:r>
          </w:p>
        </w:tc>
        <w:tc>
          <w:tcPr>
            <w:tcW w:w="917" w:type="pct"/>
            <w:hideMark/>
          </w:tcPr>
          <w:p w14:paraId="30BD0E89"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0.0208</w:t>
            </w:r>
          </w:p>
        </w:tc>
        <w:tc>
          <w:tcPr>
            <w:tcW w:w="866" w:type="pct"/>
            <w:hideMark/>
          </w:tcPr>
          <w:p w14:paraId="5FE35A9C"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Positive</w:t>
            </w:r>
          </w:p>
        </w:tc>
        <w:tc>
          <w:tcPr>
            <w:tcW w:w="1114" w:type="pct"/>
            <w:hideMark/>
          </w:tcPr>
          <w:p w14:paraId="3017FF65" w14:textId="77777777" w:rsidR="0092283E" w:rsidRPr="0092283E" w:rsidRDefault="0092283E" w:rsidP="0092283E">
            <w:pPr>
              <w:tabs>
                <w:tab w:val="left" w:pos="6375"/>
              </w:tabs>
              <w:jc w:val="both"/>
              <w:rPr>
                <w:rFonts w:ascii="Times New Roman" w:hAnsi="Times New Roman" w:cs="Times New Roman"/>
                <w:highlight w:val="green"/>
                <w:lang w:val="en-US"/>
              </w:rPr>
            </w:pPr>
            <w:r w:rsidRPr="0092283E">
              <w:rPr>
                <w:rFonts w:ascii="Times New Roman" w:hAnsi="Times New Roman" w:cs="Times New Roman"/>
                <w:highlight w:val="green"/>
                <w:lang w:val="en-US"/>
              </w:rPr>
              <w:t>Reject Null (Significant)</w:t>
            </w:r>
          </w:p>
        </w:tc>
      </w:tr>
    </w:tbl>
    <w:p w14:paraId="45192FCE" w14:textId="1763B4C3" w:rsidR="0092283E" w:rsidRDefault="0092283E" w:rsidP="007B3574">
      <w:pPr>
        <w:tabs>
          <w:tab w:val="left" w:pos="6375"/>
        </w:tabs>
        <w:jc w:val="both"/>
        <w:rPr>
          <w:rFonts w:ascii="Times New Roman" w:hAnsi="Times New Roman" w:cs="Times New Roman"/>
          <w:highlight w:val="green"/>
        </w:rPr>
      </w:pPr>
      <w:r w:rsidRPr="00B416D2">
        <w:rPr>
          <w:rFonts w:ascii="Times New Roman" w:hAnsi="Times New Roman" w:cs="Times New Roman"/>
          <w:highlight w:val="green"/>
        </w:rPr>
        <w:t>Note. Source: Study Data (2026).</w:t>
      </w:r>
    </w:p>
    <w:p w14:paraId="765D1738" w14:textId="77777777" w:rsidR="00B416D2" w:rsidRPr="00B416D2" w:rsidRDefault="00B416D2" w:rsidP="007B3574">
      <w:pPr>
        <w:tabs>
          <w:tab w:val="left" w:pos="6375"/>
        </w:tabs>
        <w:jc w:val="both"/>
        <w:rPr>
          <w:rFonts w:ascii="Times New Roman" w:hAnsi="Times New Roman" w:cs="Times New Roman"/>
          <w:highlight w:val="green"/>
        </w:rPr>
      </w:pPr>
    </w:p>
    <w:p w14:paraId="0E5CC2B4" w14:textId="77777777" w:rsidR="00760B94" w:rsidRPr="00760B94" w:rsidRDefault="00760B94" w:rsidP="00760B94">
      <w:pPr>
        <w:tabs>
          <w:tab w:val="left" w:pos="6375"/>
        </w:tabs>
        <w:spacing w:after="0"/>
        <w:jc w:val="both"/>
        <w:rPr>
          <w:rFonts w:ascii="Times New Roman" w:hAnsi="Times New Roman" w:cs="Times New Roman"/>
          <w:b/>
          <w:bCs/>
          <w:highlight w:val="green"/>
          <w:lang w:val="en-US"/>
        </w:rPr>
      </w:pPr>
      <w:r w:rsidRPr="00760B94">
        <w:rPr>
          <w:rFonts w:ascii="Times New Roman" w:hAnsi="Times New Roman" w:cs="Times New Roman"/>
          <w:b/>
          <w:bCs/>
          <w:highlight w:val="green"/>
          <w:lang w:val="en-US"/>
        </w:rPr>
        <w:t>Summary Narrative</w:t>
      </w:r>
    </w:p>
    <w:p w14:paraId="001FB973" w14:textId="4371FEA4" w:rsidR="00760B94" w:rsidRPr="00B416D2" w:rsidRDefault="00760B94" w:rsidP="00206D3F">
      <w:pPr>
        <w:tabs>
          <w:tab w:val="left" w:pos="6375"/>
        </w:tabs>
        <w:spacing w:after="0"/>
        <w:jc w:val="both"/>
        <w:rPr>
          <w:rFonts w:ascii="Times New Roman" w:hAnsi="Times New Roman" w:cs="Times New Roman"/>
          <w:highlight w:val="green"/>
          <w:lang w:val="en-US"/>
        </w:rPr>
      </w:pPr>
      <w:r w:rsidRPr="00760B94">
        <w:rPr>
          <w:rFonts w:ascii="Times New Roman" w:hAnsi="Times New Roman" w:cs="Times New Roman"/>
          <w:highlight w:val="green"/>
          <w:lang w:val="en-US"/>
        </w:rPr>
        <w:t>The empirical findings confirm that all four selected macroeconomic variables, along with the structural break control, exert statistically significant long-run effects on inward Foreign Direct Investment (FDI) in Kenya. Specifically:</w:t>
      </w:r>
    </w:p>
    <w:p w14:paraId="5ABDF4DF" w14:textId="3C56AB5A" w:rsidR="00760B94" w:rsidRPr="00760B94" w:rsidRDefault="00760B94" w:rsidP="00760B94">
      <w:pPr>
        <w:tabs>
          <w:tab w:val="left" w:pos="6375"/>
        </w:tabs>
        <w:jc w:val="both"/>
        <w:rPr>
          <w:rFonts w:ascii="Times New Roman" w:hAnsi="Times New Roman" w:cs="Times New Roman"/>
          <w:highlight w:val="green"/>
          <w:lang w:val="en-US"/>
        </w:rPr>
      </w:pPr>
      <w:r w:rsidRPr="00760B94">
        <w:rPr>
          <w:rFonts w:ascii="Times New Roman" w:hAnsi="Times New Roman" w:cs="Times New Roman"/>
          <w:b/>
          <w:bCs/>
          <w:highlight w:val="green"/>
          <w:lang w:val="en-US"/>
        </w:rPr>
        <w:lastRenderedPageBreak/>
        <w:t>Positive Drivers:</w:t>
      </w:r>
      <w:r w:rsidRPr="00760B94">
        <w:rPr>
          <w:rFonts w:ascii="Times New Roman" w:hAnsi="Times New Roman" w:cs="Times New Roman"/>
          <w:highlight w:val="green"/>
          <w:lang w:val="en-US"/>
        </w:rPr>
        <w:t xml:space="preserve"> Economic growth (</w:t>
      </w:r>
      <w:r w:rsidRPr="00B416D2">
        <w:rPr>
          <w:rFonts w:ascii="Times New Roman" w:hAnsi="Times New Roman" w:cs="Times New Roman"/>
          <w:highlight w:val="green"/>
          <w:lang w:val="en-US"/>
        </w:rPr>
        <w:t>β</w:t>
      </w:r>
      <w:r w:rsidRPr="00760B94">
        <w:rPr>
          <w:rFonts w:ascii="Times New Roman" w:hAnsi="Times New Roman" w:cs="Times New Roman"/>
          <w:highlight w:val="green"/>
          <w:lang w:val="en-US"/>
        </w:rPr>
        <w:t xml:space="preserve"> = 0.6845, p = 0.0000), real interest rates (</w:t>
      </w:r>
      <w:r w:rsidRPr="00B416D2">
        <w:rPr>
          <w:rFonts w:ascii="Times New Roman" w:hAnsi="Times New Roman" w:cs="Times New Roman"/>
          <w:highlight w:val="green"/>
          <w:lang w:val="en-US"/>
        </w:rPr>
        <w:t>β</w:t>
      </w:r>
      <w:r w:rsidRPr="00760B94">
        <w:rPr>
          <w:rFonts w:ascii="Times New Roman" w:hAnsi="Times New Roman" w:cs="Times New Roman"/>
          <w:highlight w:val="green"/>
          <w:lang w:val="en-US"/>
        </w:rPr>
        <w:t xml:space="preserve"> = 0.1872, p = 0.0279), and exchange rates (</w:t>
      </w:r>
      <w:r w:rsidRPr="00B416D2">
        <w:rPr>
          <w:rFonts w:ascii="Times New Roman" w:hAnsi="Times New Roman" w:cs="Times New Roman"/>
          <w:highlight w:val="green"/>
          <w:lang w:val="en-US"/>
        </w:rPr>
        <w:t xml:space="preserve">β </w:t>
      </w:r>
      <w:r w:rsidRPr="00760B94">
        <w:rPr>
          <w:rFonts w:ascii="Times New Roman" w:hAnsi="Times New Roman" w:cs="Times New Roman"/>
          <w:highlight w:val="green"/>
          <w:lang w:val="en-US"/>
        </w:rPr>
        <w:t>= 0.1534, p = 0.0208) exert statistically significant positive effects on FDI inflows. Economic growth represents the primary driver, confirming the predominance of market-seeking FDI behavior in Kenya.</w:t>
      </w:r>
    </w:p>
    <w:p w14:paraId="4468052C" w14:textId="38901970" w:rsidR="00760B94" w:rsidRPr="00760B94" w:rsidRDefault="00760B94" w:rsidP="00760B94">
      <w:pPr>
        <w:tabs>
          <w:tab w:val="left" w:pos="6375"/>
        </w:tabs>
        <w:jc w:val="both"/>
        <w:rPr>
          <w:rFonts w:ascii="Times New Roman" w:hAnsi="Times New Roman" w:cs="Times New Roman"/>
          <w:highlight w:val="green"/>
          <w:lang w:val="en-US"/>
        </w:rPr>
      </w:pPr>
      <w:r w:rsidRPr="00760B94">
        <w:rPr>
          <w:rFonts w:ascii="Times New Roman" w:hAnsi="Times New Roman" w:cs="Times New Roman"/>
          <w:b/>
          <w:bCs/>
          <w:highlight w:val="green"/>
          <w:lang w:val="en-US"/>
        </w:rPr>
        <w:t>Negative Deterrents:</w:t>
      </w:r>
      <w:r w:rsidRPr="00760B94">
        <w:rPr>
          <w:rFonts w:ascii="Times New Roman" w:hAnsi="Times New Roman" w:cs="Times New Roman"/>
          <w:highlight w:val="green"/>
          <w:lang w:val="en-US"/>
        </w:rPr>
        <w:t xml:space="preserve"> Inflation (</w:t>
      </w:r>
      <w:r w:rsidRPr="00B416D2">
        <w:rPr>
          <w:rFonts w:ascii="Times New Roman" w:hAnsi="Times New Roman" w:cs="Times New Roman"/>
          <w:highlight w:val="green"/>
          <w:lang w:val="en-US"/>
        </w:rPr>
        <w:t xml:space="preserve">β </w:t>
      </w:r>
      <w:r w:rsidRPr="00760B94">
        <w:rPr>
          <w:rFonts w:ascii="Times New Roman" w:hAnsi="Times New Roman" w:cs="Times New Roman"/>
          <w:highlight w:val="green"/>
          <w:lang w:val="en-US"/>
        </w:rPr>
        <w:t>= -0.2856, p = 0.0161) and exogenous structural disruptions (</w:t>
      </w:r>
      <w:r w:rsidRPr="00B416D2">
        <w:rPr>
          <w:rFonts w:ascii="Times New Roman" w:hAnsi="Times New Roman" w:cs="Times New Roman"/>
          <w:highlight w:val="green"/>
          <w:lang w:val="en-US"/>
        </w:rPr>
        <w:t>β</w:t>
      </w:r>
      <w:r w:rsidRPr="00760B94">
        <w:rPr>
          <w:rFonts w:ascii="Times New Roman" w:hAnsi="Times New Roman" w:cs="Times New Roman"/>
          <w:highlight w:val="green"/>
          <w:lang w:val="en-US"/>
        </w:rPr>
        <w:t xml:space="preserve"> = -0.5210, p = 0.0084) exercise statistically significant negative impacts on inward FDI, highlighting macroeconomic and institutional volatility as major disincentives for foreign capital.</w:t>
      </w:r>
    </w:p>
    <w:p w14:paraId="659B53FB" w14:textId="7BB934E8" w:rsidR="00760B94" w:rsidRPr="00760B94" w:rsidRDefault="00760B94" w:rsidP="00760B94">
      <w:pPr>
        <w:tabs>
          <w:tab w:val="left" w:pos="6375"/>
        </w:tabs>
        <w:jc w:val="both"/>
        <w:rPr>
          <w:rFonts w:ascii="Times New Roman" w:hAnsi="Times New Roman" w:cs="Times New Roman"/>
          <w:highlight w:val="green"/>
          <w:lang w:val="en-US"/>
        </w:rPr>
      </w:pPr>
      <w:r w:rsidRPr="00760B94">
        <w:rPr>
          <w:rFonts w:ascii="Times New Roman" w:hAnsi="Times New Roman" w:cs="Times New Roman"/>
          <w:b/>
          <w:bCs/>
          <w:highlight w:val="green"/>
          <w:lang w:val="en-US"/>
        </w:rPr>
        <w:t>System Stability &amp; Convergence:</w:t>
      </w:r>
      <w:r w:rsidRPr="00760B94">
        <w:rPr>
          <w:rFonts w:ascii="Times New Roman" w:hAnsi="Times New Roman" w:cs="Times New Roman"/>
          <w:highlight w:val="green"/>
          <w:lang w:val="en-US"/>
        </w:rPr>
        <w:t xml:space="preserve"> The lagged error correction term (</w:t>
      </w:r>
      <m:oMath>
        <m:sSub>
          <m:sSubPr>
            <m:ctrlPr>
              <w:rPr>
                <w:rFonts w:ascii="Cambria Math" w:hAnsi="Cambria Math" w:cs="Times New Roman"/>
                <w:i/>
                <w:highlight w:val="green"/>
              </w:rPr>
            </m:ctrlPr>
          </m:sSubPr>
          <m:e>
            <m:r>
              <m:rPr>
                <m:sty m:val="p"/>
              </m:rPr>
              <w:rPr>
                <w:rFonts w:ascii="Cambria Math" w:hAnsi="Cambria Math" w:cs="Times New Roman"/>
                <w:highlight w:val="green"/>
              </w:rPr>
              <m:t>ECT</m:t>
            </m:r>
          </m:e>
          <m:sub>
            <m:r>
              <w:rPr>
                <w:rFonts w:ascii="Cambria Math" w:hAnsi="Cambria Math" w:cs="Times New Roman"/>
                <w:highlight w:val="green"/>
              </w:rPr>
              <m:t>t-1</m:t>
            </m:r>
          </m:sub>
        </m:sSub>
      </m:oMath>
      <w:r w:rsidRPr="00760B94">
        <w:rPr>
          <w:rFonts w:ascii="Times New Roman" w:hAnsi="Times New Roman" w:cs="Times New Roman"/>
          <w:highlight w:val="green"/>
          <w:lang w:val="en-US"/>
        </w:rPr>
        <w:t>= -0.4265, p = 0.0000) is negative and highly significant, proving that 42.65% of short-run disequilibria resulting from external macroeconomic shocks are adjusted back to the long-run equilibrium path within each period.</w:t>
      </w:r>
      <w:r w:rsidR="00206D3F" w:rsidRPr="00B416D2">
        <w:rPr>
          <w:rFonts w:ascii="Times New Roman" w:hAnsi="Times New Roman" w:cs="Times New Roman"/>
          <w:highlight w:val="green"/>
          <w:lang w:val="en-US"/>
        </w:rPr>
        <w:t xml:space="preserve"> </w:t>
      </w:r>
    </w:p>
    <w:p w14:paraId="12F1ACB6" w14:textId="1B0B07FA" w:rsidR="00760B94" w:rsidRPr="00760B94" w:rsidRDefault="00760B94" w:rsidP="00206D3F">
      <w:pPr>
        <w:tabs>
          <w:tab w:val="left" w:pos="6375"/>
        </w:tabs>
        <w:jc w:val="both"/>
        <w:rPr>
          <w:rFonts w:ascii="Times New Roman" w:hAnsi="Times New Roman" w:cs="Times New Roman"/>
          <w:lang w:val="en-US"/>
        </w:rPr>
      </w:pPr>
      <w:r w:rsidRPr="00760B94">
        <w:rPr>
          <w:rFonts w:ascii="Times New Roman" w:hAnsi="Times New Roman" w:cs="Times New Roman"/>
          <w:b/>
          <w:bCs/>
          <w:highlight w:val="green"/>
          <w:lang w:val="en-US"/>
        </w:rPr>
        <w:t>Overall Model Fit:</w:t>
      </w:r>
      <w:r w:rsidRPr="00760B94">
        <w:rPr>
          <w:rFonts w:ascii="Times New Roman" w:hAnsi="Times New Roman" w:cs="Times New Roman"/>
          <w:highlight w:val="green"/>
          <w:lang w:val="en-US"/>
        </w:rPr>
        <w:t xml:space="preserve"> The estimated ARDL model is statistically significant as a whole, </w:t>
      </w:r>
      <w:r w:rsidR="00206D3F" w:rsidRPr="00B416D2">
        <w:rPr>
          <w:rFonts w:ascii="Times New Roman" w:hAnsi="Times New Roman" w:cs="Times New Roman"/>
          <w:highlight w:val="green"/>
          <w:lang w:val="en-US"/>
        </w:rPr>
        <w:t>F (</w:t>
      </w:r>
      <w:r w:rsidRPr="00760B94">
        <w:rPr>
          <w:rFonts w:ascii="Times New Roman" w:hAnsi="Times New Roman" w:cs="Times New Roman"/>
          <w:highlight w:val="green"/>
          <w:lang w:val="en-US"/>
        </w:rPr>
        <w:t>5, N) = 22.2841, p &lt; .001. The coefficient of determination (</w:t>
      </w:r>
      <w:r w:rsidR="00206D3F" w:rsidRPr="00B416D2">
        <w:rPr>
          <w:rFonts w:ascii="Times New Roman" w:hAnsi="Times New Roman" w:cs="Times New Roman"/>
          <w:highlight w:val="green"/>
          <w:lang w:val="en-US"/>
        </w:rPr>
        <w:t>R</w:t>
      </w:r>
      <w:r w:rsidR="00206D3F" w:rsidRPr="00B416D2">
        <w:rPr>
          <w:rFonts w:ascii="Times New Roman" w:hAnsi="Times New Roman" w:cs="Times New Roman"/>
          <w:highlight w:val="green"/>
          <w:vertAlign w:val="superscript"/>
          <w:lang w:val="en-US"/>
        </w:rPr>
        <w:t>2</w:t>
      </w:r>
      <w:r w:rsidRPr="00760B94">
        <w:rPr>
          <w:rFonts w:ascii="Times New Roman" w:hAnsi="Times New Roman" w:cs="Times New Roman"/>
          <w:highlight w:val="green"/>
          <w:lang w:val="en-US"/>
        </w:rPr>
        <w:t xml:space="preserve"> = 0.7435, Adjusted </w:t>
      </w:r>
      <w:r w:rsidR="00206D3F" w:rsidRPr="00B416D2">
        <w:rPr>
          <w:rFonts w:ascii="Times New Roman" w:hAnsi="Times New Roman" w:cs="Times New Roman"/>
          <w:highlight w:val="green"/>
          <w:lang w:val="en-US"/>
        </w:rPr>
        <w:t>R</w:t>
      </w:r>
      <w:r w:rsidR="00206D3F" w:rsidRPr="00B416D2">
        <w:rPr>
          <w:rFonts w:ascii="Times New Roman" w:hAnsi="Times New Roman" w:cs="Times New Roman"/>
          <w:highlight w:val="green"/>
          <w:vertAlign w:val="superscript"/>
          <w:lang w:val="en-US"/>
        </w:rPr>
        <w:t>2</w:t>
      </w:r>
      <w:r w:rsidRPr="00760B94">
        <w:rPr>
          <w:rFonts w:ascii="Times New Roman" w:hAnsi="Times New Roman" w:cs="Times New Roman"/>
          <w:highlight w:val="green"/>
          <w:lang w:val="en-US"/>
        </w:rPr>
        <w:t xml:space="preserve"> = 0.7102) indicates substantial explanatory power, with approximately 74.35% of the variance in inward FDI explained by the joint movement of the independent variables. Diagnostic testing confirms the absence of severe serial correlation (Durbin-Watson</w:t>
      </w:r>
      <w:r w:rsidR="00206D3F" w:rsidRPr="00B416D2">
        <w:rPr>
          <w:rFonts w:ascii="Times New Roman" w:hAnsi="Times New Roman" w:cs="Times New Roman"/>
          <w:highlight w:val="green"/>
          <w:lang w:val="en-US"/>
        </w:rPr>
        <w:t xml:space="preserve"> </w:t>
      </w:r>
      <w:r w:rsidRPr="00760B94">
        <w:rPr>
          <w:rFonts w:ascii="Times New Roman" w:hAnsi="Times New Roman" w:cs="Times New Roman"/>
          <w:highlight w:val="green"/>
          <w:lang w:val="en-US"/>
        </w:rPr>
        <w:t>= 1.9450) and verifies residual homoskedasticity (Breusch-</w:t>
      </w:r>
      <w:r w:rsidR="00206D3F" w:rsidRPr="00B416D2">
        <w:rPr>
          <w:rFonts w:ascii="Times New Roman" w:hAnsi="Times New Roman" w:cs="Times New Roman"/>
          <w:highlight w:val="green"/>
          <w:lang w:val="en-US"/>
        </w:rPr>
        <w:t>Pagan p</w:t>
      </w:r>
      <w:r w:rsidRPr="00760B94">
        <w:rPr>
          <w:rFonts w:ascii="Times New Roman" w:hAnsi="Times New Roman" w:cs="Times New Roman"/>
          <w:highlight w:val="green"/>
          <w:lang w:val="en-US"/>
        </w:rPr>
        <w:t xml:space="preserve"> = 0.4120).</w:t>
      </w:r>
    </w:p>
    <w:p w14:paraId="24273C16" w14:textId="77777777" w:rsidR="009A7968" w:rsidRPr="00734744" w:rsidRDefault="009A7968" w:rsidP="00EB72D7">
      <w:pPr>
        <w:tabs>
          <w:tab w:val="left" w:pos="6375"/>
        </w:tabs>
        <w:jc w:val="both"/>
        <w:rPr>
          <w:rFonts w:ascii="Times New Roman" w:hAnsi="Times New Roman" w:cs="Times New Roman"/>
        </w:rPr>
      </w:pPr>
    </w:p>
    <w:p w14:paraId="45F77FFE" w14:textId="77777777" w:rsidR="00A46DDB" w:rsidRPr="00734744" w:rsidRDefault="00A46DDB" w:rsidP="00A46DDB">
      <w:pPr>
        <w:tabs>
          <w:tab w:val="left" w:pos="6375"/>
        </w:tabs>
        <w:jc w:val="both"/>
        <w:rPr>
          <w:rFonts w:ascii="Times New Roman" w:hAnsi="Times New Roman" w:cs="Times New Roman"/>
          <w:b/>
          <w:bCs/>
        </w:rPr>
      </w:pPr>
      <w:r w:rsidRPr="00734744">
        <w:rPr>
          <w:rFonts w:ascii="Times New Roman" w:hAnsi="Times New Roman" w:cs="Times New Roman"/>
          <w:b/>
          <w:bCs/>
        </w:rPr>
        <w:t>5. CONCLUSION AND POLICY IMPLICATIONS</w:t>
      </w:r>
    </w:p>
    <w:p w14:paraId="42F5FA88" w14:textId="77777777" w:rsidR="00A46DDB" w:rsidRPr="007C12F8" w:rsidRDefault="00A46DDB" w:rsidP="00A46DDB">
      <w:pPr>
        <w:tabs>
          <w:tab w:val="left" w:pos="6375"/>
        </w:tabs>
        <w:spacing w:after="0"/>
        <w:jc w:val="both"/>
        <w:rPr>
          <w:rFonts w:ascii="Times New Roman" w:hAnsi="Times New Roman" w:cs="Times New Roman"/>
          <w:b/>
          <w:bCs/>
          <w:highlight w:val="green"/>
        </w:rPr>
      </w:pPr>
      <w:r w:rsidRPr="007C12F8">
        <w:rPr>
          <w:rFonts w:ascii="Times New Roman" w:hAnsi="Times New Roman" w:cs="Times New Roman"/>
          <w:b/>
          <w:bCs/>
          <w:highlight w:val="green"/>
        </w:rPr>
        <w:t>5.1 Conclusion</w:t>
      </w:r>
    </w:p>
    <w:p w14:paraId="757B0C8A" w14:textId="2A78D2A2" w:rsidR="007C12F8" w:rsidRPr="007C12F8" w:rsidRDefault="007C12F8" w:rsidP="007C12F8">
      <w:pPr>
        <w:tabs>
          <w:tab w:val="left" w:pos="6375"/>
        </w:tabs>
        <w:jc w:val="both"/>
        <w:rPr>
          <w:rFonts w:ascii="Times New Roman" w:hAnsi="Times New Roman" w:cs="Times New Roman"/>
          <w:highlight w:val="green"/>
          <w:lang w:val="en-US"/>
        </w:rPr>
      </w:pPr>
      <w:r w:rsidRPr="007C12F8">
        <w:rPr>
          <w:rFonts w:ascii="Times New Roman" w:hAnsi="Times New Roman" w:cs="Times New Roman"/>
          <w:b/>
          <w:bCs/>
          <w:highlight w:val="green"/>
          <w:lang w:val="en-US"/>
        </w:rPr>
        <w:t>Real interest rate</w:t>
      </w:r>
      <w:r w:rsidRPr="007C12F8">
        <w:rPr>
          <w:rFonts w:ascii="Times New Roman" w:hAnsi="Times New Roman" w:cs="Times New Roman"/>
          <w:highlight w:val="green"/>
          <w:lang w:val="en-US"/>
        </w:rPr>
        <w:t xml:space="preserve"> maintained a positive and statistically significant long-run relationship with FDI (β = 0.1872, p = 0.0279). This indicates that higher real returns enhance expected returns on foreign investments, leading to the rejection of the null hypothesis. </w:t>
      </w:r>
    </w:p>
    <w:p w14:paraId="0C9D0B3D" w14:textId="25E85A83" w:rsidR="007C12F8" w:rsidRPr="007C12F8" w:rsidRDefault="007C12F8" w:rsidP="007C12F8">
      <w:pPr>
        <w:tabs>
          <w:tab w:val="left" w:pos="6375"/>
        </w:tabs>
        <w:jc w:val="both"/>
        <w:rPr>
          <w:rFonts w:ascii="Times New Roman" w:hAnsi="Times New Roman" w:cs="Times New Roman"/>
          <w:highlight w:val="green"/>
          <w:lang w:val="en-US"/>
        </w:rPr>
      </w:pPr>
      <w:r w:rsidRPr="007C12F8">
        <w:rPr>
          <w:rFonts w:ascii="Times New Roman" w:hAnsi="Times New Roman" w:cs="Times New Roman"/>
          <w:b/>
          <w:bCs/>
          <w:highlight w:val="green"/>
          <w:lang w:val="en-US"/>
        </w:rPr>
        <w:t>Inflation</w:t>
      </w:r>
      <w:r w:rsidRPr="007C12F8">
        <w:rPr>
          <w:rFonts w:ascii="Times New Roman" w:hAnsi="Times New Roman" w:cs="Times New Roman"/>
          <w:highlight w:val="green"/>
          <w:lang w:val="en-US"/>
        </w:rPr>
        <w:t xml:space="preserve"> exhibited a negative and statistically significant long-run relationship with FDI (β = -0.2856, p = 0.0161). This confirms that general price volatility acts as a deterrent to foreign capital, leading to the rejection of the null hypothesis. </w:t>
      </w:r>
    </w:p>
    <w:p w14:paraId="7FC4D56F" w14:textId="3A7FF87B" w:rsidR="007C12F8" w:rsidRPr="007C12F8" w:rsidRDefault="007C12F8" w:rsidP="007C12F8">
      <w:pPr>
        <w:tabs>
          <w:tab w:val="left" w:pos="6375"/>
        </w:tabs>
        <w:jc w:val="both"/>
        <w:rPr>
          <w:rFonts w:ascii="Times New Roman" w:hAnsi="Times New Roman" w:cs="Times New Roman"/>
          <w:highlight w:val="green"/>
          <w:lang w:val="en-US"/>
        </w:rPr>
      </w:pPr>
      <w:r w:rsidRPr="007C12F8">
        <w:rPr>
          <w:rFonts w:ascii="Times New Roman" w:hAnsi="Times New Roman" w:cs="Times New Roman"/>
          <w:b/>
          <w:bCs/>
          <w:highlight w:val="green"/>
          <w:lang w:val="en-US"/>
        </w:rPr>
        <w:t>Economic growth</w:t>
      </w:r>
      <w:r w:rsidRPr="007C12F8">
        <w:rPr>
          <w:rFonts w:ascii="Times New Roman" w:hAnsi="Times New Roman" w:cs="Times New Roman"/>
          <w:highlight w:val="green"/>
          <w:lang w:val="en-US"/>
        </w:rPr>
        <w:t xml:space="preserve"> demonstrated a positive and highly significant long-run relationship with FDI (β = 0.6845, p = 0.0000). Market expansion represents the strongest driver of foreign direct capital inflows in Kenya. </w:t>
      </w:r>
    </w:p>
    <w:p w14:paraId="3D3CFEF5" w14:textId="751442AB" w:rsidR="007C12F8" w:rsidRPr="007C12F8" w:rsidRDefault="007C12F8" w:rsidP="007C12F8">
      <w:pPr>
        <w:tabs>
          <w:tab w:val="left" w:pos="6375"/>
        </w:tabs>
        <w:jc w:val="both"/>
        <w:rPr>
          <w:rFonts w:ascii="Times New Roman" w:hAnsi="Times New Roman" w:cs="Times New Roman"/>
          <w:lang w:val="en-US"/>
        </w:rPr>
      </w:pPr>
      <w:r w:rsidRPr="007C12F8">
        <w:rPr>
          <w:rFonts w:ascii="Times New Roman" w:hAnsi="Times New Roman" w:cs="Times New Roman"/>
          <w:b/>
          <w:bCs/>
          <w:highlight w:val="green"/>
          <w:lang w:val="en-US"/>
        </w:rPr>
        <w:t>Exchange rate</w:t>
      </w:r>
      <w:r w:rsidRPr="007C12F8">
        <w:rPr>
          <w:rFonts w:ascii="Times New Roman" w:hAnsi="Times New Roman" w:cs="Times New Roman"/>
          <w:highlight w:val="green"/>
          <w:lang w:val="en-US"/>
        </w:rPr>
        <w:t xml:space="preserve"> yielded a statistically significant positive relationship with FDI (β = 0.1534, p = 0.0208), indicating that local currency movements lower relative asset acquisition costs for international investors.</w:t>
      </w:r>
    </w:p>
    <w:p w14:paraId="665620B5" w14:textId="4A0E4CC0" w:rsidR="00A46DDB"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 </w:t>
      </w:r>
    </w:p>
    <w:p w14:paraId="222D296F" w14:textId="77777777" w:rsidR="006D63CE" w:rsidRPr="00734744" w:rsidRDefault="006D63CE" w:rsidP="00A46DDB">
      <w:pPr>
        <w:tabs>
          <w:tab w:val="left" w:pos="6375"/>
        </w:tabs>
        <w:jc w:val="both"/>
        <w:rPr>
          <w:rFonts w:ascii="Times New Roman" w:hAnsi="Times New Roman" w:cs="Times New Roman"/>
        </w:rPr>
      </w:pPr>
    </w:p>
    <w:p w14:paraId="11319E1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lastRenderedPageBreak/>
        <w:t>5.2 Policy Implications and Recommendations</w:t>
      </w:r>
    </w:p>
    <w:p w14:paraId="378AA622"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Based on the findings, the study proposes the following policy implications for improving Kenya's capacity to attract and retain FDI.</w:t>
      </w:r>
    </w:p>
    <w:p w14:paraId="3CB5606F" w14:textId="77777777" w:rsidR="00A46DDB" w:rsidRPr="00734744" w:rsidRDefault="00A46DDB" w:rsidP="00A46DDB">
      <w:pPr>
        <w:tabs>
          <w:tab w:val="left" w:pos="6375"/>
        </w:tabs>
        <w:spacing w:after="0"/>
        <w:jc w:val="both"/>
        <w:rPr>
          <w:rFonts w:ascii="Times New Roman" w:hAnsi="Times New Roman" w:cs="Times New Roman"/>
        </w:rPr>
      </w:pPr>
    </w:p>
    <w:p w14:paraId="5D142EA8"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5.2.1 Promote Sustainable Economic Growth</w:t>
      </w:r>
    </w:p>
    <w:p w14:paraId="6A4EC7BC"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pursue policies and initiatives that encourage long-term and sustainable economic growth, given the positive and statistically significant relationship between economic growth and FDI. Sustained economic expansion can strengthen the investment environment and increase the attractiveness of Kenya to foreign investors. </w:t>
      </w:r>
    </w:p>
    <w:p w14:paraId="02ABC3F8" w14:textId="77777777" w:rsidR="00A46DDB" w:rsidRPr="00734744" w:rsidRDefault="00A46DDB" w:rsidP="00A46DDB">
      <w:pPr>
        <w:tabs>
          <w:tab w:val="left" w:pos="6375"/>
        </w:tabs>
        <w:spacing w:after="0"/>
        <w:jc w:val="both"/>
        <w:rPr>
          <w:rFonts w:ascii="Times New Roman" w:hAnsi="Times New Roman" w:cs="Times New Roman"/>
        </w:rPr>
      </w:pPr>
    </w:p>
    <w:p w14:paraId="6B5155EE"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5.2.2 Maintain Macroeconomic and Price Stability</w:t>
      </w:r>
    </w:p>
    <w:p w14:paraId="2A5A751D" w14:textId="77777777"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The government should place greater emphasis on maintaining stable general price levels. The negative relationship between inflation and FDI indicates that persistent inflation can undermine the attractiveness of Kenya as an investment destination. Maintaining price stability can improve the competitiveness of domestic goods and services and provide greater predictability for foreign investors. </w:t>
      </w:r>
    </w:p>
    <w:p w14:paraId="7AEF1E40" w14:textId="77777777" w:rsidR="00A46DDB" w:rsidRPr="00734744" w:rsidRDefault="00A46DDB" w:rsidP="00A46DDB">
      <w:pPr>
        <w:tabs>
          <w:tab w:val="left" w:pos="6375"/>
        </w:tabs>
        <w:spacing w:after="0"/>
        <w:jc w:val="both"/>
        <w:rPr>
          <w:rFonts w:ascii="Times New Roman" w:hAnsi="Times New Roman" w:cs="Times New Roman"/>
        </w:rPr>
      </w:pPr>
    </w:p>
    <w:p w14:paraId="6B4B9181" w14:textId="77777777" w:rsidR="00A46DDB" w:rsidRPr="00734744" w:rsidRDefault="00A46DDB" w:rsidP="00A46DDB">
      <w:pPr>
        <w:tabs>
          <w:tab w:val="left" w:pos="6375"/>
        </w:tabs>
        <w:spacing w:after="0"/>
        <w:jc w:val="both"/>
        <w:rPr>
          <w:rFonts w:ascii="Times New Roman" w:hAnsi="Times New Roman" w:cs="Times New Roman"/>
          <w:b/>
          <w:bCs/>
        </w:rPr>
      </w:pPr>
      <w:r w:rsidRPr="00734744">
        <w:rPr>
          <w:rFonts w:ascii="Times New Roman" w:hAnsi="Times New Roman" w:cs="Times New Roman"/>
          <w:b/>
          <w:bCs/>
        </w:rPr>
        <w:t>5.2.3 Strengthen Exchange-Rate Stability and the Investment Environment</w:t>
      </w:r>
    </w:p>
    <w:p w14:paraId="4D19F600" w14:textId="11FAAB9C" w:rsidR="00A46DDB" w:rsidRPr="00734744" w:rsidRDefault="00A46DDB" w:rsidP="00A46DDB">
      <w:pPr>
        <w:tabs>
          <w:tab w:val="left" w:pos="6375"/>
        </w:tabs>
        <w:spacing w:after="0"/>
        <w:jc w:val="both"/>
        <w:rPr>
          <w:rFonts w:ascii="Times New Roman" w:hAnsi="Times New Roman" w:cs="Times New Roman"/>
        </w:rPr>
      </w:pPr>
      <w:r w:rsidRPr="00734744">
        <w:rPr>
          <w:rFonts w:ascii="Times New Roman" w:hAnsi="Times New Roman" w:cs="Times New Roman"/>
        </w:rPr>
        <w:t xml:space="preserve">Given the significant relationship between exchange rate and FDI, policies affecting the foreign-exchange environment should be carefully managed. The thesis concludes that </w:t>
      </w:r>
      <w:r w:rsidR="00A66E58" w:rsidRPr="00734744">
        <w:rPr>
          <w:rFonts w:ascii="Times New Roman" w:hAnsi="Times New Roman" w:cs="Times New Roman"/>
        </w:rPr>
        <w:t>favourable</w:t>
      </w:r>
      <w:r w:rsidRPr="00734744">
        <w:rPr>
          <w:rFonts w:ascii="Times New Roman" w:hAnsi="Times New Roman" w:cs="Times New Roman"/>
        </w:rPr>
        <w:t xml:space="preserve"> exchange-rate conditions can contribute to attracting greater levels of foreign investment. </w:t>
      </w:r>
    </w:p>
    <w:p w14:paraId="0D961EFA" w14:textId="77777777" w:rsidR="00A46DDB" w:rsidRPr="00734744" w:rsidRDefault="00A46DDB" w:rsidP="00A46DDB">
      <w:pPr>
        <w:tabs>
          <w:tab w:val="left" w:pos="6375"/>
        </w:tabs>
        <w:spacing w:after="0"/>
        <w:jc w:val="both"/>
        <w:rPr>
          <w:rFonts w:ascii="Times New Roman" w:hAnsi="Times New Roman" w:cs="Times New Roman"/>
        </w:rPr>
      </w:pPr>
    </w:p>
    <w:p w14:paraId="77FF4CD1"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5.2.4 Promote an Environment Conducive to Foreign Investment</w:t>
      </w:r>
    </w:p>
    <w:p w14:paraId="72DDF137" w14:textId="67E5AD1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broader findings indicate that macroeconomic stability is an important consideration in attracting FDI. Policy makers should therefore adopt a coordinated approach to economic management that considers economic growth, inflation, interest rates and exchange-rate conditions collectively, rather than addressing these variables in isolation.</w:t>
      </w:r>
      <w:r w:rsidR="005372DE" w:rsidRPr="00734744">
        <w:rPr>
          <w:rFonts w:ascii="Times New Roman" w:hAnsi="Times New Roman" w:cs="Times New Roman"/>
        </w:rPr>
        <w:t xml:space="preserve"> </w:t>
      </w:r>
      <w:r w:rsidRPr="00734744">
        <w:rPr>
          <w:rFonts w:ascii="Times New Roman" w:hAnsi="Times New Roman" w:cs="Times New Roman"/>
        </w:rPr>
        <w:t xml:space="preserve">The study's overall evidence suggests that strengthening the macroeconomic environment can improve Kenya's ability to attract foreign investment and support broader economic performance. </w:t>
      </w:r>
    </w:p>
    <w:p w14:paraId="477BC351" w14:textId="712E46FC" w:rsidR="00A46DDB" w:rsidRPr="00734744" w:rsidRDefault="00A46DDB" w:rsidP="00A46DDB">
      <w:pPr>
        <w:tabs>
          <w:tab w:val="left" w:pos="6375"/>
        </w:tabs>
        <w:jc w:val="both"/>
        <w:rPr>
          <w:rFonts w:ascii="Times New Roman" w:hAnsi="Times New Roman" w:cs="Times New Roman"/>
        </w:rPr>
      </w:pPr>
    </w:p>
    <w:p w14:paraId="7200C979"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5.3 Overall Policy Message</w:t>
      </w:r>
    </w:p>
    <w:p w14:paraId="233E1900" w14:textId="77777777"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central policy implication emerging from Paper 1 is that Kenya's ability to attract FDI depends substantially on the quality and stability of its macroeconomic environment.</w:t>
      </w:r>
    </w:p>
    <w:p w14:paraId="2051DA29" w14:textId="4A54C791" w:rsidR="00A46DDB" w:rsidRPr="00734744" w:rsidRDefault="006D63CE" w:rsidP="00A46DDB">
      <w:pPr>
        <w:tabs>
          <w:tab w:val="left" w:pos="6375"/>
        </w:tabs>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178EF40" wp14:editId="410F31A7">
                <wp:simplePos x="0" y="0"/>
                <wp:positionH relativeFrom="column">
                  <wp:posOffset>3305175</wp:posOffset>
                </wp:positionH>
                <wp:positionV relativeFrom="paragraph">
                  <wp:posOffset>276860</wp:posOffset>
                </wp:positionV>
                <wp:extent cx="0" cy="190500"/>
                <wp:effectExtent l="76200" t="38100" r="57150" b="19050"/>
                <wp:wrapNone/>
                <wp:docPr id="97104823" name="Straight Arrow Connector 17"/>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0B212F" id="Straight Arrow Connector 17" o:spid="_x0000_s1026" type="#_x0000_t32" style="position:absolute;margin-left:260.25pt;margin-top:21.8pt;width:0;height:1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Vnwk&#10;nd4AAAAJAQAADwAAAGRycy9kb3ducmV2LnhtbEyPy07DMBBF90j8gzVI7KhDSx8KcSoeahdILBqI&#10;xNKNJ3FEPI5ipw1/zyAWsJw7R/eRbSfXiRMOofWk4HaWgECqvGmpUfD+trvZgAhRk9GdJ1TwhQG2&#10;+eVFplPjz3TAUxEbwSYUUq3AxtinUobKotNh5nsk/tV+cDryOTTSDPrM5q6T8yRZSadb4gSre3yy&#10;WH0Wo+OQl9diXX/sFjQ+b/ZlXT7ubXlQ6vpqergHEXGKfzD81OfqkHOnox/JBNEpWM6TJaMK7hYr&#10;EAz8CkcFaxZknsn/C/JvAAAA//8DAFBLAQItABQABgAIAAAAIQC2gziS/gAAAOEBAAATAAAAAAAA&#10;AAAAAAAAAAAAAABbQ29udGVudF9UeXBlc10ueG1sUEsBAi0AFAAGAAgAAAAhADj9If/WAAAAlAEA&#10;AAsAAAAAAAAAAAAAAAAALwEAAF9yZWxzLy5yZWxzUEsBAi0AFAAGAAgAAAAhAEm1KSTQAQAABwQA&#10;AA4AAAAAAAAAAAAAAAAALgIAAGRycy9lMm9Eb2MueG1sUEsBAi0AFAAGAAgAAAAhAFZ8JJ3eAAAA&#10;CQEAAA8AAAAAAAAAAAAAAAAAKgQAAGRycy9kb3ducmV2LnhtbFBLBQYAAAAABAAEAPMAAAA1BQAA&#10;AAA=&#10;" strokecolor="black [3213]"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CD19B69" wp14:editId="70A0FF47">
                <wp:simplePos x="0" y="0"/>
                <wp:positionH relativeFrom="column">
                  <wp:posOffset>1181100</wp:posOffset>
                </wp:positionH>
                <wp:positionV relativeFrom="paragraph">
                  <wp:posOffset>269875</wp:posOffset>
                </wp:positionV>
                <wp:extent cx="9525" cy="171450"/>
                <wp:effectExtent l="76200" t="38100" r="66675" b="19050"/>
                <wp:wrapNone/>
                <wp:docPr id="26084465" name="Straight Arrow Connector 15"/>
                <wp:cNvGraphicFramePr/>
                <a:graphic xmlns:a="http://schemas.openxmlformats.org/drawingml/2006/main">
                  <a:graphicData uri="http://schemas.microsoft.com/office/word/2010/wordprocessingShape">
                    <wps:wsp>
                      <wps:cNvCnPr/>
                      <wps:spPr>
                        <a:xfrm flipH="1" flipV="1">
                          <a:off x="0" y="0"/>
                          <a:ext cx="9525"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7F6309" id="Straight Arrow Connector 15" o:spid="_x0000_s1026" type="#_x0000_t32" style="position:absolute;margin-left:93pt;margin-top:21.25pt;width:.75pt;height:13.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8/72gEAABQEAAAOAAAAZHJzL2Uyb0RvYy54bWysU8uu1DAM3SPxD1H2TNsRw6Oazl3M5cIC&#10;wRWvfW7qtJHSJErMtP17nHSmw0tIIDaRE/sc28fO/mYaDDtBiNrZhlebkjOw0rXadg3//OnuyQvO&#10;IgrbCuMsNHyGyG8Ojx/tR1/D1vXOtBAYkdhYj77hPaKviyLKHgYRN86DJadyYRBI19AVbRAjsQ+m&#10;2Jbls2J0ofXBSYiRXm8XJz9kfqVA4nulIiAzDafaMJ8hnw/pLA57UXdB+F7LcxniH6oYhLaUdKW6&#10;FSjY16B/oRq0DC46hRvphsIppSXkHqibqvypm4+98JB7IXGiX2WK/49Wvjsd7X0gGUYf6+jvQ+pi&#10;UmFgymj/hmbKs/UlWclHNbMpCzivAsKETNLjy912x5kkR/W8errL8hYLXYL6EPE1uIElo+ERg9Bd&#10;j0dnLQ3KhSWBOL2NSAUR8AJIYGPTGZ3R7Z02Jl/SlsDRBHYSNF+cqjRPwv0QhUKbV7ZlOHtaQAxa&#10;2M7AOTKxFtfWs4WzgSXjB1BMt9TYUlneyms+ISVYvOQ0lqITTFF1K7DMmv0ReI5PUMgb+zfgFZEz&#10;O4sreNDWhd9lv8qklviLAkvfSYIH1855KbI0tHpZ1fM3Sbv9/T3Dr5/58A0AAP//AwBQSwMEFAAG&#10;AAgAAAAhAAS62SneAAAACQEAAA8AAABkcnMvZG93bnJldi54bWxMj8FOwzAQRO9I/IO1SNyoQ6HB&#10;DXGqCokbPTREAm5uvE0i4nUUu034e7YnuO1oRzNv8s3senHGMXSeNNwvEhBItbcdNRqq99c7BSJE&#10;Q9b0nlDDDwbYFNdXucmsn2iP5zI2gkMoZEZDG+OQSRnqFp0JCz8g8e/oR2ciy7GRdjQTh7teLpMk&#10;lc50xA2tGfClxfq7PDkNu/ig1h8lzW+T2n0dh89qv50qrW9v5u0ziIhz/DPDBZ/RoWCmgz+RDaJn&#10;rVLeEjU8LlcgLgb1xMdBQ7pegSxy+X9B8QsAAP//AwBQSwECLQAUAAYACAAAACEAtoM4kv4AAADh&#10;AQAAEwAAAAAAAAAAAAAAAAAAAAAAW0NvbnRlbnRfVHlwZXNdLnhtbFBLAQItABQABgAIAAAAIQA4&#10;/SH/1gAAAJQBAAALAAAAAAAAAAAAAAAAAC8BAABfcmVscy8ucmVsc1BLAQItABQABgAIAAAAIQAm&#10;n8/72gEAABQEAAAOAAAAAAAAAAAAAAAAAC4CAABkcnMvZTJvRG9jLnhtbFBLAQItABQABgAIAAAA&#10;IQAEutkp3gAAAAkBAAAPAAAAAAAAAAAAAAAAADQEAABkcnMvZG93bnJldi54bWxQSwUGAAAAAAQA&#10;BADzAAAAPwUAAAAA&#10;" strokecolor="black [3213]" strokeweight=".5pt">
                <v:stroke endarrow="block" joinstyle="miter"/>
              </v:shape>
            </w:pict>
          </mc:Fallback>
        </mc:AlternateContent>
      </w:r>
      <w:r w:rsidR="00A46DDB" w:rsidRPr="00734744">
        <w:rPr>
          <w:rFonts w:ascii="Times New Roman" w:hAnsi="Times New Roman" w:cs="Times New Roman"/>
        </w:rPr>
        <w:t>The evidence points in three broad directions:</w:t>
      </w:r>
    </w:p>
    <w:p w14:paraId="5240BB73" w14:textId="404489B6" w:rsidR="007C12F8" w:rsidRPr="007C12F8" w:rsidRDefault="006D63CE" w:rsidP="007C12F8">
      <w:pPr>
        <w:tabs>
          <w:tab w:val="left" w:pos="6375"/>
        </w:tabs>
        <w:jc w:val="both"/>
        <w:rPr>
          <w:rFonts w:ascii="Times New Roman" w:hAnsi="Times New Roman" w:cs="Times New Roman"/>
          <w:highlight w:val="green"/>
          <w:lang w:val="en-US"/>
        </w:rPr>
      </w:pPr>
      <w:r>
        <w:rPr>
          <w:rFonts w:ascii="Times New Roman" w:hAnsi="Times New Roman" w:cs="Times New Roman"/>
          <w:noProof/>
          <w:lang w:val="en-US"/>
        </w:rPr>
        <mc:AlternateContent>
          <mc:Choice Requires="wps">
            <w:drawing>
              <wp:anchor distT="0" distB="0" distL="114300" distR="114300" simplePos="0" relativeHeight="251667456" behindDoc="0" locked="0" layoutInCell="1" allowOverlap="1" wp14:anchorId="2063D200" wp14:editId="13592AC8">
                <wp:simplePos x="0" y="0"/>
                <wp:positionH relativeFrom="column">
                  <wp:posOffset>3343275</wp:posOffset>
                </wp:positionH>
                <wp:positionV relativeFrom="paragraph">
                  <wp:posOffset>257810</wp:posOffset>
                </wp:positionV>
                <wp:extent cx="9525" cy="152400"/>
                <wp:effectExtent l="38100" t="38100" r="66675" b="19050"/>
                <wp:wrapNone/>
                <wp:docPr id="2045247175"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7518DF" id="Straight Arrow Connector 20" o:spid="_x0000_s1026" type="#_x0000_t32" style="position:absolute;margin-left:263.25pt;margin-top:20.3pt;width:.75pt;height:12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D9Ay/E4QAAAAkBAAAPAAAAZHJzL2Rvd25yZXYueG1sTI/LboMwEEX3lfoP1lTqrjGlgSKKifpQ&#10;sqjURWiQsnSwwah4jLBJ6N93umqXozm699xis9iBnfXke4cC7lcRMI2NUz12Ag6f27sMmA8SlRwc&#10;agHf2sOmvL4qZK7cBff6XIWOUQj6XAowIYw5574x2kq/cqNG+rVusjLQOXVcTfJC4XbgcRSl3Moe&#10;qcHIUb8a3XxVs6WS94/qsT1uH3B+y3Z1W7/sTL0X4vZmeX4CFvQS/mD41Sd1KMnp5GZUng0CkjhN&#10;CBWwjlJgBCRxRuNOAtJ1Crws+P8F5Q8AAAD//wMAUEsBAi0AFAAGAAgAAAAhALaDOJL+AAAA4QEA&#10;ABMAAAAAAAAAAAAAAAAAAAAAAFtDb250ZW50X1R5cGVzXS54bWxQSwECLQAUAAYACAAAACEAOP0h&#10;/9YAAACUAQAACwAAAAAAAAAAAAAAAAAvAQAAX3JlbHMvLnJlbHNQSwECLQAUAAYACAAAACEAbn1Y&#10;z9UBAAAKBAAADgAAAAAAAAAAAAAAAAAuAgAAZHJzL2Uyb0RvYy54bWxQSwECLQAUAAYACAAAACEA&#10;/QMvxOEAAAAJAQAADwAAAAAAAAAAAAAAAAAvBAAAZHJzL2Rvd25yZXYueG1sUEsFBgAAAAAEAAQA&#10;8wAAAD0FAAAAAA==&#10;" strokecolor="black [3213]" strokeweight=".5pt">
                <v:stroke endarrow="block" joinstyle="miter"/>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5408" behindDoc="0" locked="0" layoutInCell="1" allowOverlap="1" wp14:anchorId="5F5427B5" wp14:editId="54ABCA5E">
                <wp:simplePos x="0" y="0"/>
                <wp:positionH relativeFrom="column">
                  <wp:posOffset>1095375</wp:posOffset>
                </wp:positionH>
                <wp:positionV relativeFrom="paragraph">
                  <wp:posOffset>286385</wp:posOffset>
                </wp:positionV>
                <wp:extent cx="0" cy="190500"/>
                <wp:effectExtent l="76200" t="38100" r="57150" b="19050"/>
                <wp:wrapNone/>
                <wp:docPr id="1215175204" name="Straight Arrow Connector 18"/>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603F53" id="Straight Arrow Connector 18" o:spid="_x0000_s1026" type="#_x0000_t32" style="position:absolute;margin-left:86.25pt;margin-top:22.55pt;width:0;height:1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HHSc&#10;xN4AAAAJAQAADwAAAGRycy9kb3ducmV2LnhtbEyPS0/DMBCE70j8B2uRuFGnhZIqxKl4qD0gcWho&#10;pB7dePMQ8TqKnTb8e7Zc4Dizo5lv0/VkO3HCwbeOFMxnEQik0pmWagX7z83dCoQPmozuHKGCb/Sw&#10;zq6vUp0Yd6YdnvJQCy4hn2gFTQh9IqUvG7Taz1yPxLfKDVYHlkMtzaDPXG47uYiiR2l1S7zQ6B5f&#10;Gyy/8tHyyPtHHleHzT2Nb6ttURUv26bYKXV7Mz0/gQg4hb8wXPAZHTJmOrqRjBcd63ix5KiCh+Uc&#10;xCXwaxwVxGzILJX/P8h+AAAA//8DAFBLAQItABQABgAIAAAAIQC2gziS/gAAAOEBAAATAAAAAAAA&#10;AAAAAAAAAAAAAABbQ29udGVudF9UeXBlc10ueG1sUEsBAi0AFAAGAAgAAAAhADj9If/WAAAAlAEA&#10;AAsAAAAAAAAAAAAAAAAALwEAAF9yZWxzLy5yZWxzUEsBAi0AFAAGAAgAAAAhAEm1KSTQAQAABwQA&#10;AA4AAAAAAAAAAAAAAAAALgIAAGRycy9lMm9Eb2MueG1sUEsBAi0AFAAGAAgAAAAhABx0nMTeAAAA&#10;CQEAAA8AAAAAAAAAAAAAAAAAKgQAAGRycy9kb3ducmV2LnhtbFBLBQYAAAAABAAEAPMAAAA1BQAA&#10;AAA=&#10;" strokecolor="black [3213]" strokeweight=".5pt">
                <v:stroke endarrow="block" joinstyle="miter"/>
              </v:shape>
            </w:pict>
          </mc:Fallback>
        </mc:AlternateContent>
      </w:r>
      <w:r>
        <w:rPr>
          <w:rFonts w:ascii="Times New Roman" w:hAnsi="Times New Roman" w:cs="Times New Roman"/>
          <w:noProof/>
          <w:lang w:val="en-US"/>
        </w:rPr>
        <mc:AlternateContent>
          <mc:Choice Requires="wps">
            <w:drawing>
              <wp:anchor distT="0" distB="0" distL="114300" distR="114300" simplePos="0" relativeHeight="251663360" behindDoc="0" locked="0" layoutInCell="1" allowOverlap="1" wp14:anchorId="6C932823" wp14:editId="30CF8B93">
                <wp:simplePos x="0" y="0"/>
                <wp:positionH relativeFrom="column">
                  <wp:posOffset>2809875</wp:posOffset>
                </wp:positionH>
                <wp:positionV relativeFrom="paragraph">
                  <wp:posOffset>114935</wp:posOffset>
                </wp:positionV>
                <wp:extent cx="161925" cy="0"/>
                <wp:effectExtent l="0" t="76200" r="9525" b="95250"/>
                <wp:wrapNone/>
                <wp:docPr id="129379821" name="Straight Arrow Connector 16"/>
                <wp:cNvGraphicFramePr/>
                <a:graphic xmlns:a="http://schemas.openxmlformats.org/drawingml/2006/main">
                  <a:graphicData uri="http://schemas.microsoft.com/office/word/2010/wordprocessingShape">
                    <wps:wsp>
                      <wps:cNvCnPr/>
                      <wps:spPr>
                        <a:xfrm>
                          <a:off x="0" y="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DAD8BC" id="Straight Arrow Connector 16" o:spid="_x0000_s1026" type="#_x0000_t32" style="position:absolute;margin-left:221.25pt;margin-top:9.05pt;width:12.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mayAEAAP0DAAAOAAAAZHJzL2Uyb0RvYy54bWysU8tu2zAQvBfoPxC815IMNGgNyzk4SS9F&#10;G/TxAQy1lAjwBXJrSX/fJW1LfQFFi1xWIrmzszNc7m8na9gJYtLetbzZ1JyBk77Trm/51y8Pr95w&#10;llC4ThjvoOUzJH57ePliP4YdbP3gTQeRURGXdmNo+YAYdlWV5ABWpI0P4OhQ+WgF0jL2VRfFSNWt&#10;qbZ1fVONPnYhegkp0e7d+ZAfSn2lQOJHpRIgMy2n3rDEWOJTjtVhL3Z9FGHQ8tKG+I8urNCOSJdS&#10;dwIF+xb1b6WsltEnr3Ajva28UlpC0UBqmvoXNZ8HEaBoIXNSWGxKz1dWfjgd3WMkG8aQdik8xqxi&#10;UtHmL/XHpmLWvJgFEzJJm81N83b7mjN5PapWXIgJ34G3LP+0PGEUuh/w6J2jG/GxKV6J0/uExEzA&#10;KyCTGpdj8kZ3D9qYssjjAEcT2UnQReLU5Isj3E9ZKLS5dx3DOdCkYdTC9QYumblqtWosfzgbODN+&#10;AsV0l1WVzsr4rXxCSnB45TSOsjNMUXcLsP478JKfoVBG81/AC6Iwe4cL2Grn45/YV5vUOf/qwFl3&#10;tuDJd3O5/WINzVhx9fIe8hD/uC7w9dUevgMAAP//AwBQSwMEFAAGAAgAAAAhAOd7gazeAAAACQEA&#10;AA8AAABkcnMvZG93bnJldi54bWxMj1FLw0AQhN8F/8Oxgm/2khJLjLmUIhSKItTqD7jk1iR4txdz&#10;1zb59674YB935mN2plxPzooTjqH3pCBdJCCQGm96ahV8vG/vchAhajLaekIFMwZYV9dXpS6MP9Mb&#10;ng6xFRxCodAKuhiHQsrQdOh0WPgBib1PPzod+RxbaUZ95nBn5TJJVtLpnvhDpwd86rD5Ohydgofd&#10;0NZ2//Kcfifjdtfv59dpMyt1ezNtHkFEnOI/DL/1uTpU3Kn2RzJBWAVZtrxnlI08BcFAtsp5XP0n&#10;yKqUlwuqHwAAAP//AwBQSwECLQAUAAYACAAAACEAtoM4kv4AAADhAQAAEwAAAAAAAAAAAAAAAAAA&#10;AAAAW0NvbnRlbnRfVHlwZXNdLnhtbFBLAQItABQABgAIAAAAIQA4/SH/1gAAAJQBAAALAAAAAAAA&#10;AAAAAAAAAC8BAABfcmVscy8ucmVsc1BLAQItABQABgAIAAAAIQDXnjmayAEAAP0DAAAOAAAAAAAA&#10;AAAAAAAAAC4CAABkcnMvZTJvRG9jLnhtbFBLAQItABQABgAIAAAAIQDne4Gs3gAAAAkBAAAPAAAA&#10;AAAAAAAAAAAAACIEAABkcnMvZG93bnJldi54bWxQSwUGAAAAAAQABADzAAAALQUAAAAA&#10;" strokecolor="black [3213]" strokeweight=".5pt">
                <v:stroke endarrow="block" joinstyle="miter"/>
              </v:shape>
            </w:pict>
          </mc:Fallback>
        </mc:AlternateContent>
      </w:r>
      <w:r w:rsidR="007C12F8" w:rsidRPr="007C12F8">
        <w:rPr>
          <w:rFonts w:ascii="Times New Roman" w:hAnsi="Times New Roman" w:cs="Times New Roman"/>
          <w:lang w:val="en-US"/>
        </w:rPr>
        <w:t xml:space="preserve"> </w:t>
      </w:r>
      <w:r w:rsidR="007C12F8" w:rsidRPr="007C12F8">
        <w:rPr>
          <w:rFonts w:ascii="Times New Roman" w:hAnsi="Times New Roman" w:cs="Times New Roman"/>
          <w:highlight w:val="green"/>
          <w:lang w:val="en-US"/>
        </w:rPr>
        <w:t xml:space="preserve">Economic growth </w:t>
      </w:r>
      <w:proofErr w:type="gramStart"/>
      <w:r w:rsidR="007C12F8" w:rsidRPr="007C12F8">
        <w:rPr>
          <w:rFonts w:ascii="Times New Roman" w:hAnsi="Times New Roman" w:cs="Times New Roman"/>
          <w:highlight w:val="green"/>
          <w:lang w:val="en-US"/>
        </w:rPr>
        <w:t xml:space="preserve">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w:t>
      </w:r>
      <w:r w:rsidRPr="007C12F8">
        <w:rPr>
          <w:rFonts w:ascii="Times New Roman" w:hAnsi="Times New Roman" w:cs="Times New Roman"/>
          <w:highlight w:val="green"/>
          <w:lang w:val="en-US"/>
        </w:rPr>
        <w:t>(</w:t>
      </w:r>
      <w:proofErr w:type="gramEnd"/>
      <w:r w:rsidRPr="009074E3">
        <w:rPr>
          <w:rFonts w:ascii="Times New Roman" w:hAnsi="Times New Roman" w:cs="Times New Roman"/>
          <w:highlight w:val="green"/>
          <w:lang w:val="en-US"/>
        </w:rPr>
        <w:t>β</w:t>
      </w:r>
      <w:r w:rsidRPr="007C12F8">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0.6845, p = 0.0000) </w:t>
      </w:r>
      <w:r w:rsidRPr="009074E3">
        <w:rPr>
          <w:rFonts w:ascii="Times New Roman" w:hAnsi="Times New Roman" w:cs="Times New Roman"/>
          <w:highlight w:val="green"/>
          <w:lang w:val="en-US"/>
        </w:rPr>
        <w:t xml:space="preserve">     FDI</w:t>
      </w:r>
      <w:r w:rsidR="007C12F8" w:rsidRPr="007C12F8">
        <w:rPr>
          <w:rFonts w:ascii="Times New Roman" w:hAnsi="Times New Roman" w:cs="Times New Roman"/>
          <w:highlight w:val="green"/>
          <w:lang w:val="en-US"/>
        </w:rPr>
        <w:t xml:space="preserve"> </w:t>
      </w:r>
    </w:p>
    <w:p w14:paraId="1864036C" w14:textId="7F532E26" w:rsidR="007C12F8" w:rsidRPr="007C12F8" w:rsidRDefault="006D63CE" w:rsidP="007C12F8">
      <w:pPr>
        <w:tabs>
          <w:tab w:val="left" w:pos="6375"/>
        </w:tabs>
        <w:jc w:val="both"/>
        <w:rPr>
          <w:rFonts w:ascii="Times New Roman" w:hAnsi="Times New Roman" w:cs="Times New Roman"/>
          <w:highlight w:val="green"/>
          <w:lang w:val="en-US"/>
        </w:rPr>
      </w:pPr>
      <w:r w:rsidRPr="009074E3">
        <w:rPr>
          <w:rFonts w:ascii="Times New Roman" w:hAnsi="Times New Roman" w:cs="Times New Roman"/>
          <w:noProof/>
          <w:highlight w:val="green"/>
          <w:lang w:val="en-US"/>
        </w:rPr>
        <mc:AlternateContent>
          <mc:Choice Requires="wps">
            <w:drawing>
              <wp:anchor distT="0" distB="0" distL="114300" distR="114300" simplePos="0" relativeHeight="251668480" behindDoc="0" locked="0" layoutInCell="1" allowOverlap="1" wp14:anchorId="77ED12F7" wp14:editId="69E9ADDC">
                <wp:simplePos x="0" y="0"/>
                <wp:positionH relativeFrom="column">
                  <wp:posOffset>914400</wp:posOffset>
                </wp:positionH>
                <wp:positionV relativeFrom="paragraph">
                  <wp:posOffset>286385</wp:posOffset>
                </wp:positionV>
                <wp:extent cx="9525" cy="200025"/>
                <wp:effectExtent l="38100" t="38100" r="66675" b="28575"/>
                <wp:wrapNone/>
                <wp:docPr id="613817801" name="Straight Arrow Connector 21"/>
                <wp:cNvGraphicFramePr/>
                <a:graphic xmlns:a="http://schemas.openxmlformats.org/drawingml/2006/main">
                  <a:graphicData uri="http://schemas.microsoft.com/office/word/2010/wordprocessingShape">
                    <wps:wsp>
                      <wps:cNvCnPr/>
                      <wps:spPr>
                        <a:xfrm flipV="1">
                          <a:off x="0" y="0"/>
                          <a:ext cx="9525"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D5D901" id="Straight Arrow Connector 21" o:spid="_x0000_s1026" type="#_x0000_t32" style="position:absolute;margin-left:1in;margin-top:22.55pt;width:.75pt;height:15.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x0QEAAAoEAAAOAAAAZHJzL2Uyb0RvYy54bWysU02P0zAQvSPxHyzfadJKi6BquocuywXB&#10;CljuXmecWPKX7KFJ/j1jJ035EhKIi+WPeW/mvRkfbkdr2Bli0t41fLupOQMnfatd1/DHz/cvXnGW&#10;ULhWGO+g4RMkfnt8/uwwhD3sfO9NC5ERiUv7ITS8Rwz7qkqyByvSxgdw9Kh8tALpGLuqjWIgdmuq&#10;XV2/rAYf2xC9hJTo9m5+5MfCrxRI/KBUAmSm4VQbljWW9Smv1fEg9l0UoddyKUP8QxVWaEdJV6o7&#10;gYJ9jfoXKqtl9Mkr3EhvK6+UllA0kJpt/ZOaT70IULSQOSmsNqX/Ryvfn0/uIZINQ0j7FB5iVjGq&#10;aJkyOnyhnhZdVCkbi23TahuMyCRdvr7Z3XAm6YE6UtOe2KqZJJOFmPAteMvypuEJo9BdjyfvHLXH&#10;xzmBOL9LOAMvgAw2Lq/JG93ea2PKIc8GnExkZ0FdxXG7JPwhCoU2b1zLcAo0dhi1cJ2BJTKzVlfB&#10;ZYeTgTnjR1BMtyRsrqzM4jWfkBIcXnIaR9EZpqi6FVgXz/4IXOIzFMqc/g14RZTM3uEKttr5+Lvs&#10;V5vUHH9xYNadLXjy7VRGoVhDA1fauHyOPNHfnwv8+oWP3wAAAP//AwBQSwMEFAAGAAgAAAAhANei&#10;Tv3gAAAACQEAAA8AAABkcnMvZG93bnJldi54bWxMj81ugzAQhO+V+g7WVuqtMWmBRAQT9UfJoVIP&#10;oUXK0cEGo+I1wiahb9/NqT2OZjTzTb6dbc/OevSdQwHLRQRMY+1Uh62Ar8/dwxqYDxKV7B1qAT/a&#10;w7a4vcllptwFD/pchpZRCfpMCjAhDBnnvjbaSr9wg0byGjdaGUiOLVejvFC57fljFKXcyg5pwchB&#10;vxpdf5eTpZH3j3LVHHdPOL2t91VTvexNdRDi/m5+3gALeg5/YbjiEzoUxHRyEyrPetJxTF+CgDhZ&#10;ArsG4iQBdhKwSlPgRc7/Pyh+AQAA//8DAFBLAQItABQABgAIAAAAIQC2gziS/gAAAOEBAAATAAAA&#10;AAAAAAAAAAAAAAAAAABbQ29udGVudF9UeXBlc10ueG1sUEsBAi0AFAAGAAgAAAAhADj9If/WAAAA&#10;lAEAAAsAAAAAAAAAAAAAAAAALwEAAF9yZWxzLy5yZWxzUEsBAi0AFAAGAAgAAAAhAMv/azHRAQAA&#10;CgQAAA4AAAAAAAAAAAAAAAAALgIAAGRycy9lMm9Eb2MueG1sUEsBAi0AFAAGAAgAAAAhANeiTv3g&#10;AAAACQEAAA8AAAAAAAAAAAAAAAAAKwQAAGRycy9kb3ducmV2LnhtbFBLBQYAAAAABAAEAPMAAAA4&#10;BQAAAAA=&#10;" strokecolor="black [3213]" strokeweight=".5pt">
                <v:stroke endarrow="block" joinstyle="miter"/>
              </v:shape>
            </w:pict>
          </mc:Fallback>
        </mc:AlternateContent>
      </w:r>
      <w:r w:rsidRPr="009074E3">
        <w:rPr>
          <w:rFonts w:ascii="Times New Roman" w:hAnsi="Times New Roman" w:cs="Times New Roman"/>
          <w:noProof/>
          <w:highlight w:val="green"/>
          <w:lang w:val="en-US"/>
        </w:rPr>
        <mc:AlternateContent>
          <mc:Choice Requires="wps">
            <w:drawing>
              <wp:anchor distT="0" distB="0" distL="114300" distR="114300" simplePos="0" relativeHeight="251666432" behindDoc="0" locked="0" layoutInCell="1" allowOverlap="1" wp14:anchorId="45F93B9B" wp14:editId="3031AA31">
                <wp:simplePos x="0" y="0"/>
                <wp:positionH relativeFrom="column">
                  <wp:posOffset>2714625</wp:posOffset>
                </wp:positionH>
                <wp:positionV relativeFrom="paragraph">
                  <wp:posOffset>114935</wp:posOffset>
                </wp:positionV>
                <wp:extent cx="257175" cy="9525"/>
                <wp:effectExtent l="0" t="57150" r="28575" b="85725"/>
                <wp:wrapNone/>
                <wp:docPr id="1263547543" name="Straight Arrow Connector 19"/>
                <wp:cNvGraphicFramePr/>
                <a:graphic xmlns:a="http://schemas.openxmlformats.org/drawingml/2006/main">
                  <a:graphicData uri="http://schemas.microsoft.com/office/word/2010/wordprocessingShape">
                    <wps:wsp>
                      <wps:cNvCnPr/>
                      <wps:spPr>
                        <a:xfrm>
                          <a:off x="0" y="0"/>
                          <a:ext cx="25717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A58F75" id="Straight Arrow Connector 19" o:spid="_x0000_s1026" type="#_x0000_t32" style="position:absolute;margin-left:213.75pt;margin-top:9.05pt;width:20.25pt;height:.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7lzQEAAAAEAAAOAAAAZHJzL2Uyb0RvYy54bWysU8uO1DAQvCPxD5bvTJKRhoVoMnuYZbkg&#10;WPH4AK/TTiz5JbuZJH+P7WQSXkJitZdObHd1dZXbx9tRK3IBH6Q1Da12JSVguG2l6Rr67ev9qzeU&#10;BGSmZcoaaOgEgd6eXr44Dq6Gve2tasGTWMSEenAN7RFdXRSB96BZ2FkHJh4K6zXDuPRd0Xo2xOpa&#10;FfuyfF0M1rfOWw4hxN27+ZCecn0hgOMnIQIgUQ2NvWGOPsfHFIvTkdWdZ66XfGmDPaELzaSJpGup&#10;O4aMfPfyj1Jacm+DFbjjVhdWCMkha4hqqvI3NV965iBrieYEt9oUnq8s/3g5mwcfbRhcqIN78EnF&#10;KLxO39gfGbNZ02oWjEh43NwfbqqbAyU8Hr097A/JymKDOh/wPVhN0k9DA3omux7P1ph4KdZX2S52&#10;+RBwBl4BiVeZFINVsr2XSuVFmgg4K08uLN4ljtVC+EsWMqnemZbg5OKwoZfMdAqWzFS12GTmP5wU&#10;zIyfQRDZRmFzZ3kCNz7GORi8cioTsxNMxO5WYJkl/RO45Cco5On8H/CKyMzW4ArW0lj/N/bNJjHn&#10;Xx2YdScLHm075QHI1sQxy9e4PIk0xz+vM3x7uKcfAAAA//8DAFBLAwQUAAYACAAAACEAfhdBGN8A&#10;AAAJAQAADwAAAGRycy9kb3ducmV2LnhtbEyPwU7DMBBE70j8g7VI3KiTqoQ0xKkqpEoVCKkUPsCJ&#10;lyQiXgfbbZO/ZznBcWeeZmfKzWQHcUYfekcK0kUCAqlxpqdWwcf77i4HEaImowdHqGDGAJvq+qrU&#10;hXEXesPzMbaCQygUWkEX41hIGZoOrQ4LNyKx9+m81ZFP30rj9YXD7SCXSZJJq3viD50e8anD5ut4&#10;sgrW+7Gth8PLc/qd+N2+P8yv03ZW6vZm2j6CiDjFPxh+63N1qLhT7U5kghgUrJYP94yykacgGFhl&#10;OY+rWVhnIKtS/l9Q/QAAAP//AwBQSwECLQAUAAYACAAAACEAtoM4kv4AAADhAQAAEwAAAAAAAAAA&#10;AAAAAAAAAAAAW0NvbnRlbnRfVHlwZXNdLnhtbFBLAQItABQABgAIAAAAIQA4/SH/1gAAAJQBAAAL&#10;AAAAAAAAAAAAAAAAAC8BAABfcmVscy8ucmVsc1BLAQItABQABgAIAAAAIQAq3s7lzQEAAAAEAAAO&#10;AAAAAAAAAAAAAAAAAC4CAABkcnMvZTJvRG9jLnhtbFBLAQItABQABgAIAAAAIQB+F0EY3wAAAAkB&#10;AAAPAAAAAAAAAAAAAAAAACcEAABkcnMvZG93bnJldi54bWxQSwUGAAAAAAQABADzAAAAMwUAAAAA&#10;" strokecolor="black [3213]" strokeweight=".5pt">
                <v:stroke endarrow="block" joinstyle="miter"/>
              </v:shape>
            </w:pict>
          </mc:Fallback>
        </mc:AlternateContent>
      </w:r>
      <w:r w:rsidR="007C12F8" w:rsidRPr="007C12F8">
        <w:rPr>
          <w:rFonts w:ascii="Times New Roman" w:hAnsi="Times New Roman" w:cs="Times New Roman"/>
          <w:highlight w:val="green"/>
          <w:lang w:val="en-US"/>
        </w:rPr>
        <w:t xml:space="preserve">Real interest rate </w:t>
      </w:r>
      <w:proofErr w:type="gramStart"/>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w:t>
      </w:r>
      <w:proofErr w:type="gramEnd"/>
      <w:r w:rsidRPr="009074E3">
        <w:rPr>
          <w:rFonts w:ascii="Times New Roman" w:hAnsi="Times New Roman" w:cs="Times New Roman"/>
          <w:highlight w:val="green"/>
          <w:lang w:val="en-US"/>
        </w:rPr>
        <w:t>β</w:t>
      </w:r>
      <w:r w:rsidRPr="007C12F8">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0.1872, p = 0.0279)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FDI}</w:t>
      </w:r>
      <w:r w:rsidRPr="009074E3">
        <w:rPr>
          <w:rFonts w:ascii="Times New Roman" w:hAnsi="Times New Roman" w:cs="Times New Roman"/>
          <w:highlight w:val="green"/>
          <w:lang w:val="en-US"/>
        </w:rPr>
        <w:t xml:space="preserve"> </w:t>
      </w:r>
    </w:p>
    <w:p w14:paraId="009D4E79" w14:textId="69CB3E20" w:rsidR="006D63CE" w:rsidRPr="009074E3" w:rsidRDefault="009074E3" w:rsidP="007C12F8">
      <w:pPr>
        <w:tabs>
          <w:tab w:val="left" w:pos="6375"/>
        </w:tabs>
        <w:jc w:val="both"/>
        <w:rPr>
          <w:rFonts w:ascii="Times New Roman" w:hAnsi="Times New Roman" w:cs="Times New Roman"/>
          <w:highlight w:val="green"/>
          <w:lang w:val="en-US"/>
        </w:rPr>
      </w:pPr>
      <w:r w:rsidRPr="009074E3">
        <w:rPr>
          <w:rFonts w:ascii="Times New Roman" w:hAnsi="Times New Roman" w:cs="Times New Roman"/>
          <w:noProof/>
          <w:highlight w:val="green"/>
          <w:lang w:val="en-US"/>
        </w:rPr>
        <mc:AlternateContent>
          <mc:Choice Requires="wps">
            <w:drawing>
              <wp:anchor distT="0" distB="0" distL="114300" distR="114300" simplePos="0" relativeHeight="251675648" behindDoc="0" locked="0" layoutInCell="1" allowOverlap="1" wp14:anchorId="351B482A" wp14:editId="1DDAC6BF">
                <wp:simplePos x="0" y="0"/>
                <wp:positionH relativeFrom="column">
                  <wp:posOffset>3000375</wp:posOffset>
                </wp:positionH>
                <wp:positionV relativeFrom="paragraph">
                  <wp:posOffset>296545</wp:posOffset>
                </wp:positionV>
                <wp:extent cx="0" cy="171450"/>
                <wp:effectExtent l="76200" t="38100" r="57150" b="19050"/>
                <wp:wrapNone/>
                <wp:docPr id="342309210" name="Straight Arrow Connector 27"/>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0DE328" id="Straight Arrow Connector 27" o:spid="_x0000_s1026" type="#_x0000_t32" style="position:absolute;margin-left:236.25pt;margin-top:23.35pt;width:0;height:13.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3mXN&#10;lN8AAAAJAQAADwAAAGRycy9kb3ducmV2LnhtbEyPzU7DMBCE70i8g7VI3KhDC3WVxqn4UXtA6qGB&#10;SD26sRNHxOsodtrw9iziALfdndHMt9lmch07myG0HiXczxJgBiuvW2wkfLxv71bAQlSoVefRSPgy&#10;ATb59VWmUu0veDDnIjaMQjCkSoKNsU85D5U1ToWZ7w2SVvvBqUjr0HA9qAuFu47Pk2TJnWqRGqzq&#10;zYs11WcxOip52xeiPm4XOL6udmVdPu9seZDy9mZ6WgOLZop/ZvjBJ3TIienkR9SBdRIexPyRrDQs&#10;BTAy/B5OEsRCAM8z/v+D/BsAAP//AwBQSwECLQAUAAYACAAAACEAtoM4kv4AAADhAQAAEwAAAAAA&#10;AAAAAAAAAAAAAAAAW0NvbnRlbnRfVHlwZXNdLnhtbFBLAQItABQABgAIAAAAIQA4/SH/1gAAAJQB&#10;AAALAAAAAAAAAAAAAAAAAC8BAABfcmVscy8ucmVsc1BLAQItABQABgAIAAAAIQBnwOda0AEAAAcE&#10;AAAOAAAAAAAAAAAAAAAAAC4CAABkcnMvZTJvRG9jLnhtbFBLAQItABQABgAIAAAAIQDeZc2U3wAA&#10;AAkBAAAPAAAAAAAAAAAAAAAAACoEAABkcnMvZG93bnJldi54bWxQSwUGAAAAAAQABADzAAAANgUA&#10;AAAA&#10;" strokecolor="black [3213]" strokeweight=".5pt">
                <v:stroke endarrow="block" joinstyle="miter"/>
              </v:shape>
            </w:pict>
          </mc:Fallback>
        </mc:AlternateContent>
      </w:r>
      <w:r w:rsidRPr="009074E3">
        <w:rPr>
          <w:rFonts w:ascii="Times New Roman" w:hAnsi="Times New Roman" w:cs="Times New Roman"/>
          <w:noProof/>
          <w:highlight w:val="green"/>
          <w:lang w:val="en-US"/>
        </w:rPr>
        <mc:AlternateContent>
          <mc:Choice Requires="wps">
            <w:drawing>
              <wp:anchor distT="0" distB="0" distL="114300" distR="114300" simplePos="0" relativeHeight="251674624" behindDoc="0" locked="0" layoutInCell="1" allowOverlap="1" wp14:anchorId="57C33094" wp14:editId="7C5AD540">
                <wp:simplePos x="0" y="0"/>
                <wp:positionH relativeFrom="column">
                  <wp:posOffset>2581275</wp:posOffset>
                </wp:positionH>
                <wp:positionV relativeFrom="paragraph">
                  <wp:posOffset>134620</wp:posOffset>
                </wp:positionV>
                <wp:extent cx="247650" cy="0"/>
                <wp:effectExtent l="0" t="76200" r="19050" b="95250"/>
                <wp:wrapNone/>
                <wp:docPr id="1546257684" name="Straight Arrow Connector 23"/>
                <wp:cNvGraphicFramePr/>
                <a:graphic xmlns:a="http://schemas.openxmlformats.org/drawingml/2006/main">
                  <a:graphicData uri="http://schemas.microsoft.com/office/word/2010/wordprocessingShape">
                    <wps:wsp>
                      <wps:cNvCnPr/>
                      <wps:spPr>
                        <a:xfrm>
                          <a:off x="0" y="0"/>
                          <a:ext cx="2476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51126" id="Straight Arrow Connector 23" o:spid="_x0000_s1026" type="#_x0000_t32" style="position:absolute;margin-left:203.25pt;margin-top:10.6pt;width:19.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6YygEAAP0DAAAOAAAAZHJzL2Uyb0RvYy54bWysU9uO0zAQfUfiHyy/07QV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uX/5+uYVWSqvR9WKCzHhO/CW5Z+GJ4xCdz2evHN0Iz7uilfi/D4hMRPw&#10;CsikxuWYvNHtvTamLPI4wMlEdhZ0kTju8sUR7ocsFNq8dS3DKdCkYdTCdQYumblqtWosfzgZmBk/&#10;gWK6JVVzZ2X8Vj4hJTi8chpH2RmmqLsFuC2S/gi85GcolNH8G/CCKMze4QK22vn4O/bVJjXnXx2Y&#10;dWcLnnw7ldsv1tCMFVcv7yEP8ffrAl9f7fEbAAAA//8DAFBLAwQUAAYACAAAACEAkrO4/d4AAAAJ&#10;AQAADwAAAGRycy9kb3ducmV2LnhtbEyP0UrDMBSG7wXfIRzBO5e0dENr0zGEwVCEbfoAaRPbYnJS&#10;k2xr394jXujl+c/Hf75TrSdn2dmEOHiUkC0EMIOt1wN2Et7ftnf3wGJSqJX1aCTMJsK6vr6qVKn9&#10;BQ/mfEwdoxKMpZLQpzSWnMe2N07FhR8N0u7DB6cSjaHjOqgLlTvLcyFW3KkB6UKvRvPUm/bzeHIS&#10;HnZj19j9y3P2JcJ2N+zn12kzS3l7M20egSUzpT8YfvRJHWpyavwJdWRWQiFWS0Il5FkOjICiWFLQ&#10;/Aa8rvj/D+pvAAAA//8DAFBLAQItABQABgAIAAAAIQC2gziS/gAAAOEBAAATAAAAAAAAAAAAAAAA&#10;AAAAAABbQ29udGVudF9UeXBlc10ueG1sUEsBAi0AFAAGAAgAAAAhADj9If/WAAAAlAEAAAsAAAAA&#10;AAAAAAAAAAAALwEAAF9yZWxzLy5yZWxzUEsBAi0AFAAGAAgAAAAhACv1bpjKAQAA/QMAAA4AAAAA&#10;AAAAAAAAAAAALgIAAGRycy9lMm9Eb2MueG1sUEsBAi0AFAAGAAgAAAAhAJKzuP3eAAAACQEAAA8A&#10;AAAAAAAAAAAAAAAAJAQAAGRycy9kb3ducmV2LnhtbFBLBQYAAAAABAAEAPMAAAAvBQAAAAA=&#10;" strokecolor="black [3213]" strokeweight=".5pt">
                <v:stroke endarrow="block" joinstyle="miter"/>
              </v:shape>
            </w:pict>
          </mc:Fallback>
        </mc:AlternateContent>
      </w:r>
      <w:r w:rsidRPr="009074E3">
        <w:rPr>
          <w:rFonts w:ascii="Times New Roman" w:hAnsi="Times New Roman" w:cs="Times New Roman"/>
          <w:noProof/>
          <w:highlight w:val="green"/>
          <w:lang w:val="en-US"/>
        </w:rPr>
        <mc:AlternateContent>
          <mc:Choice Requires="wps">
            <w:drawing>
              <wp:anchor distT="0" distB="0" distL="114300" distR="114300" simplePos="0" relativeHeight="251673600" behindDoc="0" locked="0" layoutInCell="1" allowOverlap="1" wp14:anchorId="290E7C0C" wp14:editId="468DFB5D">
                <wp:simplePos x="0" y="0"/>
                <wp:positionH relativeFrom="column">
                  <wp:posOffset>628650</wp:posOffset>
                </wp:positionH>
                <wp:positionV relativeFrom="paragraph">
                  <wp:posOffset>277495</wp:posOffset>
                </wp:positionV>
                <wp:extent cx="0" cy="171450"/>
                <wp:effectExtent l="76200" t="38100" r="57150" b="19050"/>
                <wp:wrapNone/>
                <wp:docPr id="1103275923" name="Straight Arrow Connector 22"/>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BC2C0" id="Straight Arrow Connector 22" o:spid="_x0000_s1026" type="#_x0000_t32" style="position:absolute;margin-left:49.5pt;margin-top:21.85pt;width:0;height:1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jqbz&#10;Tt0AAAAHAQAADwAAAGRycy9kb3ducmV2LnhtbEyPzU7DMBCE70i8g7VI3KgDRaQNcSp+1B6QODQQ&#10;iaMbb+KIeB3FThvenoULHEczmvkm38yuF0ccQ+dJwfUiAYFUe9NRq+D9bXu1AhGiJqN7T6jgCwNs&#10;ivOzXGfGn2iPxzK2gksoZFqBjXHIpAy1RafDwg9I7DV+dDqyHFtpRn3ictfLmyS5k053xAtWD/hk&#10;sf4sJ8cjL69l2nxslzQ9r3ZVUz3ubLVX6vJifrgHEXGOf2H4wWd0KJjp4CcyQfQK1mu+EhXcLlMQ&#10;7P/qg4I0SUEWufzPX3wDAAD//wMAUEsBAi0AFAAGAAgAAAAhALaDOJL+AAAA4QEAABMAAAAAAAAA&#10;AAAAAAAAAAAAAFtDb250ZW50X1R5cGVzXS54bWxQSwECLQAUAAYACAAAACEAOP0h/9YAAACUAQAA&#10;CwAAAAAAAAAAAAAAAAAvAQAAX3JlbHMvLnJlbHNQSwECLQAUAAYACAAAACEAZ8DnWtABAAAHBAAA&#10;DgAAAAAAAAAAAAAAAAAuAgAAZHJzL2Uyb0RvYy54bWxQSwECLQAUAAYACAAAACEAjqbzTt0AAAAH&#10;AQAADwAAAAAAAAAAAAAAAAAqBAAAZHJzL2Rvd25yZXYueG1sUEsFBgAAAAAEAAQA8wAAADQFAAAA&#10;AA==&#10;" strokecolor="black [3213]" strokeweight=".5pt">
                <v:stroke endarrow="block" joinstyle="miter"/>
              </v:shape>
            </w:pict>
          </mc:Fallback>
        </mc:AlternateContent>
      </w:r>
      <w:r w:rsidR="006D63CE" w:rsidRPr="009074E3">
        <w:rPr>
          <w:rFonts w:ascii="Times New Roman" w:hAnsi="Times New Roman" w:cs="Times New Roman"/>
          <w:noProof/>
          <w:highlight w:val="green"/>
          <w:lang w:val="en-US"/>
        </w:rPr>
        <mc:AlternateContent>
          <mc:Choice Requires="wps">
            <w:drawing>
              <wp:anchor distT="0" distB="0" distL="114300" distR="114300" simplePos="0" relativeHeight="251670528" behindDoc="0" locked="0" layoutInCell="1" allowOverlap="1" wp14:anchorId="5545AC2C" wp14:editId="30C7B9D4">
                <wp:simplePos x="0" y="0"/>
                <wp:positionH relativeFrom="column">
                  <wp:posOffset>3143250</wp:posOffset>
                </wp:positionH>
                <wp:positionV relativeFrom="paragraph">
                  <wp:posOffset>19050</wp:posOffset>
                </wp:positionV>
                <wp:extent cx="9525" cy="152400"/>
                <wp:effectExtent l="38100" t="38100" r="66675" b="19050"/>
                <wp:wrapNone/>
                <wp:docPr id="1544123497"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94277" id="Straight Arrow Connector 20" o:spid="_x0000_s1026" type="#_x0000_t32" style="position:absolute;margin-left:247.5pt;margin-top:1.5pt;width:.75pt;height:12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CCWraR4AAAAAgBAAAPAAAAZHJzL2Rvd25yZXYueG1sTI9LT8MwEITvSPwHa5G4UYe+G+JUPNQe&#10;kDg0bSSObrKJI+J1FDtt+PcsJzitVjOa+SbZjrYVF+x940jB4yQCgVS4sqFawem4e1iD8EFTqVtH&#10;qOAbPWzT25tEx6W70gEvWagFh5CPtQITQhdL6QuDVvuJ65BYq1xvdeC3r2XZ6yuH21ZOo2gprW6I&#10;G4zu8NVg8ZUNlkveP7JV9bmb0fC23udV/rI3+UGp+7vx+QlEwDH8meEXn9EhZaazG6j0olUw3yx4&#10;S1Aw48P6fLNcgDgrmK4ikGki/w9IfwAAAP//AwBQSwECLQAUAAYACAAAACEAtoM4kv4AAADhAQAA&#10;EwAAAAAAAAAAAAAAAAAAAAAAW0NvbnRlbnRfVHlwZXNdLnhtbFBLAQItABQABgAIAAAAIQA4/SH/&#10;1gAAAJQBAAALAAAAAAAAAAAAAAAAAC8BAABfcmVscy8ucmVsc1BLAQItABQABgAIAAAAIQBufVjP&#10;1QEAAAoEAAAOAAAAAAAAAAAAAAAAAC4CAABkcnMvZTJvRG9jLnhtbFBLAQItABQABgAIAAAAIQCC&#10;WraR4AAAAAgBAAAPAAAAAAAAAAAAAAAAAC8EAABkcnMvZG93bnJldi54bWxQSwUGAAAAAAQABADz&#10;AAAAPAUAAAAA&#10;" strokecolor="black [3213]" strokeweight=".5pt">
                <v:stroke endarrow="block" joinstyle="miter"/>
              </v:shape>
            </w:pict>
          </mc:Fallback>
        </mc:AlternateContent>
      </w:r>
      <w:r w:rsidR="007C12F8" w:rsidRPr="007C12F8">
        <w:rPr>
          <w:rFonts w:ascii="Times New Roman" w:hAnsi="Times New Roman" w:cs="Times New Roman"/>
          <w:highlight w:val="green"/>
          <w:lang w:val="en-US"/>
        </w:rPr>
        <w:t>Exchange rate</w:t>
      </w:r>
      <w:proofErr w:type="gramStart"/>
      <w:r w:rsidR="007C12F8" w:rsidRPr="007C12F8">
        <w:rPr>
          <w:rFonts w:ascii="Times New Roman" w:hAnsi="Times New Roman" w:cs="Times New Roman"/>
          <w:highlight w:val="green"/>
          <w:lang w:val="en-US"/>
        </w:rPr>
        <w:t xml:space="preserve">  </w:t>
      </w:r>
      <w:r w:rsidR="006D63CE" w:rsidRPr="009074E3">
        <w:rPr>
          <w:rFonts w:ascii="Times New Roman" w:hAnsi="Times New Roman" w:cs="Times New Roman"/>
          <w:highlight w:val="green"/>
          <w:lang w:val="en-US"/>
        </w:rPr>
        <w:t xml:space="preserve"> (</w:t>
      </w:r>
      <w:proofErr w:type="gramEnd"/>
      <w:r w:rsidR="007C12F8" w:rsidRPr="007C12F8">
        <w:rPr>
          <w:rFonts w:ascii="Times New Roman" w:hAnsi="Times New Roman" w:cs="Times New Roman"/>
          <w:highlight w:val="green"/>
          <w:lang w:val="en-US"/>
        </w:rPr>
        <w:t xml:space="preserve"> </w:t>
      </w:r>
      <w:r w:rsidR="006D63CE" w:rsidRPr="007C12F8">
        <w:rPr>
          <w:rFonts w:ascii="Times New Roman" w:hAnsi="Times New Roman" w:cs="Times New Roman"/>
          <w:highlight w:val="green"/>
          <w:lang w:val="en-US"/>
        </w:rPr>
        <w:t>(</w:t>
      </w:r>
      <w:r w:rsidR="006D63CE" w:rsidRPr="009074E3">
        <w:rPr>
          <w:rFonts w:ascii="Times New Roman" w:hAnsi="Times New Roman" w:cs="Times New Roman"/>
          <w:highlight w:val="green"/>
          <w:lang w:val="en-US"/>
        </w:rPr>
        <w:t>β</w:t>
      </w:r>
      <w:r w:rsidR="006D63CE" w:rsidRPr="007C12F8">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 xml:space="preserve">= 0.1534, p = 0.0208) </w:t>
      </w:r>
      <w:r w:rsidR="006D63CE" w:rsidRPr="009074E3">
        <w:rPr>
          <w:rFonts w:ascii="Times New Roman" w:hAnsi="Times New Roman" w:cs="Times New Roman"/>
          <w:highlight w:val="green"/>
          <w:lang w:val="en-US"/>
        </w:rPr>
        <w:t xml:space="preserve">     </w:t>
      </w:r>
      <w:r w:rsidRPr="009074E3">
        <w:rPr>
          <w:rFonts w:ascii="Times New Roman" w:hAnsi="Times New Roman" w:cs="Times New Roman"/>
          <w:highlight w:val="green"/>
          <w:lang w:val="en-US"/>
        </w:rPr>
        <w:t xml:space="preserve"> </w:t>
      </w:r>
      <w:r w:rsidR="007C12F8" w:rsidRPr="007C12F8">
        <w:rPr>
          <w:rFonts w:ascii="Times New Roman" w:hAnsi="Times New Roman" w:cs="Times New Roman"/>
          <w:highlight w:val="green"/>
          <w:lang w:val="en-US"/>
        </w:rPr>
        <w:t>FD</w:t>
      </w:r>
      <w:r w:rsidRPr="009074E3">
        <w:rPr>
          <w:rFonts w:ascii="Times New Roman" w:hAnsi="Times New Roman" w:cs="Times New Roman"/>
          <w:highlight w:val="green"/>
          <w:lang w:val="en-US"/>
        </w:rPr>
        <w:t xml:space="preserve">I     </w:t>
      </w:r>
    </w:p>
    <w:p w14:paraId="774034AD" w14:textId="4DEE3221" w:rsidR="007C12F8" w:rsidRPr="007C12F8" w:rsidRDefault="009074E3" w:rsidP="007C12F8">
      <w:pPr>
        <w:tabs>
          <w:tab w:val="left" w:pos="6375"/>
        </w:tabs>
        <w:jc w:val="both"/>
        <w:rPr>
          <w:rFonts w:ascii="Times New Roman" w:hAnsi="Times New Roman" w:cs="Times New Roman"/>
          <w:lang w:val="en-US"/>
        </w:rPr>
      </w:pPr>
      <w:r w:rsidRPr="009074E3">
        <w:rPr>
          <w:rFonts w:ascii="Times New Roman" w:hAnsi="Times New Roman" w:cs="Times New Roman"/>
          <w:noProof/>
          <w:highlight w:val="green"/>
          <w:lang w:val="en-US"/>
        </w:rPr>
        <mc:AlternateContent>
          <mc:Choice Requires="wps">
            <w:drawing>
              <wp:anchor distT="0" distB="0" distL="114300" distR="114300" simplePos="0" relativeHeight="251676672" behindDoc="0" locked="0" layoutInCell="1" allowOverlap="1" wp14:anchorId="4605F1B5" wp14:editId="00921305">
                <wp:simplePos x="0" y="0"/>
                <wp:positionH relativeFrom="column">
                  <wp:posOffset>2343150</wp:posOffset>
                </wp:positionH>
                <wp:positionV relativeFrom="paragraph">
                  <wp:posOffset>125095</wp:posOffset>
                </wp:positionV>
                <wp:extent cx="323850" cy="9525"/>
                <wp:effectExtent l="0" t="57150" r="38100" b="85725"/>
                <wp:wrapNone/>
                <wp:docPr id="1047643131" name="Straight Arrow Connector 29"/>
                <wp:cNvGraphicFramePr/>
                <a:graphic xmlns:a="http://schemas.openxmlformats.org/drawingml/2006/main">
                  <a:graphicData uri="http://schemas.microsoft.com/office/word/2010/wordprocessingShape">
                    <wps:wsp>
                      <wps:cNvCnPr/>
                      <wps:spPr>
                        <a:xfrm>
                          <a:off x="0" y="0"/>
                          <a:ext cx="3238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A1D216" id="Straight Arrow Connector 29" o:spid="_x0000_s1026" type="#_x0000_t32" style="position:absolute;margin-left:184.5pt;margin-top:9.85pt;width:25.5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1OzQEAAAAEAAAOAAAAZHJzL2Uyb0RvYy54bWysU9uO0zAQfUfiH6y806RdFS1R033osrwg&#10;WMHyAV5nnFjyTfbQJH/P2GkTbkIC8TKJ7Tlz5hyPD3ej0ewMISpnm2K7qQoGVrhW2a4pvjw9vLot&#10;WERuW66dhaaYIBZ3x5cvDoOvYed6p1sIjIrYWA++KXpEX5dlFD0YHjfOg6VD6YLhSMvQlW3gA1U3&#10;utxV1etycKH1wQmIkXbv58PimOtLCQI/ShkBmW4K6g1zDDk+p1geD7zuAve9Epc2+D90YbiyRLqU&#10;uufI2degfilllAguOokb4UzppFQCsgZSs61+UvO55x6yFjIn+sWm+P/Kig/nk30MZMPgYx39Y0gq&#10;RhlM+lJ/bMxmTYtZMCITtHmzu7ndk6WCjt7sd/tkZblCfYj4Dpxh6acpIgauuh5Pzlq6FBe22S5+&#10;fh9xBl4BiVfbFKPTqn1QWudFmgg46cDOnO4Sx+2F8Ics5Eq/tS3DydOwYVDcdhoumalqucrMfzhp&#10;mBk/gWSqJWFzZ3kCVz4uBFi8cmpL2QkmqbsFWGVJfwRe8hMU8nT+DXhBZGZncQEbZV34Hftqk5zz&#10;rw7MupMFz66d8gBka2jM8jVenkSa4+/XGb4+3OM3AAAA//8DAFBLAwQUAAYACAAAACEABw+sBN8A&#10;AAAJAQAADwAAAGRycy9kb3ducmV2LnhtbEyP0UrDQBRE3wX/YbmCb3aTKLWJ2ZQiFIoi1NoP2GSv&#10;SXD3bsxu2+TvvT7p4zDDzJlyPTkrzjiG3pOCdJGAQGq86alVcPzY3q1AhKjJaOsJFcwYYF1dX5W6&#10;MP5C73g+xFZwCYVCK+hiHAopQ9Oh02HhByT2Pv3odGQ5ttKM+sLlzsosSZbS6Z54odMDPnfYfB1O&#10;TkG+G9ra7l9f0u9k3O76/fw2bWalbm+mzROIiFP8C8MvPqNDxUy1P5EJwiq4X+b8JbKRP4LgwAPv&#10;gagVZGkGsirl/wfVDwAAAP//AwBQSwECLQAUAAYACAAAACEAtoM4kv4AAADhAQAAEwAAAAAAAAAA&#10;AAAAAAAAAAAAW0NvbnRlbnRfVHlwZXNdLnhtbFBLAQItABQABgAIAAAAIQA4/SH/1gAAAJQBAAAL&#10;AAAAAAAAAAAAAAAAAC8BAABfcmVscy8ucmVsc1BLAQItABQABgAIAAAAIQC08O1OzQEAAAAEAAAO&#10;AAAAAAAAAAAAAAAAAC4CAABkcnMvZTJvRG9jLnhtbFBLAQItABQABgAIAAAAIQAHD6wE3wAAAAkB&#10;AAAPAAAAAAAAAAAAAAAAACcEAABkcnMvZG93bnJldi54bWxQSwUGAAAAAAQABADzAAAAMwUAAAAA&#10;" strokecolor="black [3213]" strokeweight=".5pt">
                <v:stroke endarrow="block" joinstyle="miter"/>
              </v:shape>
            </w:pict>
          </mc:Fallback>
        </mc:AlternateContent>
      </w:r>
      <w:r w:rsidR="007C12F8" w:rsidRPr="007C12F8">
        <w:rPr>
          <w:rFonts w:ascii="Times New Roman" w:hAnsi="Times New Roman" w:cs="Times New Roman"/>
          <w:highlight w:val="green"/>
          <w:lang w:val="en-US"/>
        </w:rPr>
        <w:t xml:space="preserve">Inflation </w:t>
      </w:r>
      <w:r w:rsidR="006D63CE" w:rsidRPr="009074E3">
        <w:rPr>
          <w:rFonts w:ascii="Times New Roman" w:hAnsi="Times New Roman" w:cs="Times New Roman"/>
          <w:highlight w:val="green"/>
          <w:lang w:val="en-US"/>
        </w:rPr>
        <w:t xml:space="preserve">   </w:t>
      </w:r>
      <w:proofErr w:type="gramStart"/>
      <w:r w:rsidR="006D63CE" w:rsidRPr="009074E3">
        <w:rPr>
          <w:rFonts w:ascii="Times New Roman" w:hAnsi="Times New Roman" w:cs="Times New Roman"/>
          <w:highlight w:val="green"/>
          <w:lang w:val="en-US"/>
        </w:rPr>
        <w:t xml:space="preserve">   </w:t>
      </w:r>
      <w:r w:rsidR="006D63CE" w:rsidRPr="007C12F8">
        <w:rPr>
          <w:rFonts w:ascii="Times New Roman" w:hAnsi="Times New Roman" w:cs="Times New Roman"/>
          <w:highlight w:val="green"/>
          <w:lang w:val="en-US"/>
        </w:rPr>
        <w:t>(</w:t>
      </w:r>
      <w:proofErr w:type="gramEnd"/>
      <w:r w:rsidR="006D63CE" w:rsidRPr="009074E3">
        <w:rPr>
          <w:rFonts w:ascii="Times New Roman" w:hAnsi="Times New Roman" w:cs="Times New Roman"/>
          <w:highlight w:val="green"/>
          <w:lang w:val="en-US"/>
        </w:rPr>
        <w:t>β</w:t>
      </w:r>
      <w:r w:rsidR="007C12F8" w:rsidRPr="007C12F8">
        <w:rPr>
          <w:rFonts w:ascii="Times New Roman" w:hAnsi="Times New Roman" w:cs="Times New Roman"/>
          <w:highlight w:val="green"/>
          <w:lang w:val="en-US"/>
        </w:rPr>
        <w:t xml:space="preserve"> = -0.2856, p = 0.0161) </w:t>
      </w:r>
      <w:r w:rsidR="006D63CE" w:rsidRPr="009074E3">
        <w:rPr>
          <w:rFonts w:ascii="Times New Roman" w:hAnsi="Times New Roman" w:cs="Times New Roman"/>
          <w:highlight w:val="green"/>
          <w:lang w:val="en-US"/>
        </w:rPr>
        <w:t xml:space="preserve"> </w:t>
      </w:r>
      <w:r w:rsidRPr="009074E3">
        <w:rPr>
          <w:rFonts w:ascii="Times New Roman" w:hAnsi="Times New Roman" w:cs="Times New Roman"/>
          <w:highlight w:val="green"/>
          <w:lang w:val="en-US"/>
        </w:rPr>
        <w:t xml:space="preserve">       F</w:t>
      </w:r>
      <w:r w:rsidR="007C12F8" w:rsidRPr="007C12F8">
        <w:rPr>
          <w:rFonts w:ascii="Times New Roman" w:hAnsi="Times New Roman" w:cs="Times New Roman"/>
          <w:highlight w:val="green"/>
          <w:lang w:val="en-US"/>
        </w:rPr>
        <w:t>DI</w:t>
      </w:r>
      <w:r w:rsidR="007C12F8" w:rsidRPr="007C12F8">
        <w:rPr>
          <w:rFonts w:ascii="Times New Roman" w:hAnsi="Times New Roman" w:cs="Times New Roman"/>
          <w:lang w:val="en-US"/>
        </w:rPr>
        <w:t xml:space="preserve"> </w:t>
      </w:r>
    </w:p>
    <w:p w14:paraId="29BD68AD" w14:textId="77777777" w:rsidR="007C12F8" w:rsidRDefault="007C12F8" w:rsidP="00A46DDB">
      <w:pPr>
        <w:tabs>
          <w:tab w:val="left" w:pos="6375"/>
        </w:tabs>
        <w:jc w:val="both"/>
        <w:rPr>
          <w:rFonts w:ascii="Times New Roman" w:hAnsi="Times New Roman" w:cs="Times New Roman"/>
        </w:rPr>
      </w:pPr>
    </w:p>
    <w:p w14:paraId="434B7B41" w14:textId="3DC78170"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 xml:space="preserve">while exchange-rate conditions were also significantly associated with FDI. </w:t>
      </w:r>
    </w:p>
    <w:p w14:paraId="41C43DC3" w14:textId="77777777" w:rsidR="00A46DDB" w:rsidRPr="00734744" w:rsidRDefault="00A46DDB" w:rsidP="00A46DDB">
      <w:pPr>
        <w:tabs>
          <w:tab w:val="left" w:pos="6375"/>
        </w:tabs>
        <w:jc w:val="both"/>
        <w:rPr>
          <w:rFonts w:ascii="Times New Roman" w:hAnsi="Times New Roman" w:cs="Times New Roman"/>
        </w:rPr>
      </w:pPr>
      <w:r w:rsidRPr="00734744">
        <w:rPr>
          <w:rFonts w:ascii="Times New Roman" w:hAnsi="Times New Roman" w:cs="Times New Roman"/>
        </w:rPr>
        <w:t>Consequently, policies aimed at attracting FDI should not focus solely on investment incentives. They should also strengthen the underlying macroeconomic environment through sustainable economic growth, price stability, appropriate monetary conditions and a supportive foreign-exchange environment.</w:t>
      </w:r>
    </w:p>
    <w:p w14:paraId="208230D1" w14:textId="6EB47F62" w:rsidR="00A46DDB" w:rsidRPr="00734744" w:rsidRDefault="00A46DDB" w:rsidP="00A46DDB">
      <w:pPr>
        <w:tabs>
          <w:tab w:val="left" w:pos="6375"/>
        </w:tabs>
        <w:jc w:val="both"/>
        <w:rPr>
          <w:rFonts w:ascii="Times New Roman" w:hAnsi="Times New Roman" w:cs="Times New Roman"/>
        </w:rPr>
      </w:pPr>
    </w:p>
    <w:p w14:paraId="3D9786A3" w14:textId="77777777" w:rsidR="00A46DDB" w:rsidRPr="00734744" w:rsidRDefault="00A46DDB" w:rsidP="005372DE">
      <w:pPr>
        <w:tabs>
          <w:tab w:val="left" w:pos="6375"/>
        </w:tabs>
        <w:spacing w:after="0"/>
        <w:jc w:val="both"/>
        <w:rPr>
          <w:rFonts w:ascii="Times New Roman" w:hAnsi="Times New Roman" w:cs="Times New Roman"/>
          <w:b/>
          <w:bCs/>
        </w:rPr>
      </w:pPr>
      <w:r w:rsidRPr="00734744">
        <w:rPr>
          <w:rFonts w:ascii="Times New Roman" w:hAnsi="Times New Roman" w:cs="Times New Roman"/>
          <w:b/>
          <w:bCs/>
        </w:rPr>
        <w:t>5.4 Suggested Further Research</w:t>
      </w:r>
    </w:p>
    <w:p w14:paraId="6C500D52" w14:textId="307E62C5" w:rsidR="00A46DDB" w:rsidRPr="00734744" w:rsidRDefault="00A46DDB" w:rsidP="005372DE">
      <w:pPr>
        <w:tabs>
          <w:tab w:val="left" w:pos="6375"/>
        </w:tabs>
        <w:spacing w:after="0"/>
        <w:jc w:val="both"/>
        <w:rPr>
          <w:rFonts w:ascii="Times New Roman" w:hAnsi="Times New Roman" w:cs="Times New Roman"/>
        </w:rPr>
      </w:pPr>
      <w:r w:rsidRPr="00734744">
        <w:rPr>
          <w:rFonts w:ascii="Times New Roman" w:hAnsi="Times New Roman" w:cs="Times New Roman"/>
        </w:rPr>
        <w:t>The thesis recommends further research in several areas. First, future studies could employ asymmetric modelling and an Autoregressive Distributed Lag (ARDL) approach to examine the specific contribution of exchange-rate components to inward FDI in Kenya. Second, further research could examine the long-run relationship between FDI and economic growth using cointegration and vector autoregressive approaches. Third, future research could examine the dynamic effects of inflation on the relationship between FDI and economic development rather than focusing only on its direct effect.</w:t>
      </w:r>
    </w:p>
    <w:p w14:paraId="6E38C862" w14:textId="77777777" w:rsidR="009A7968" w:rsidRDefault="009A7968" w:rsidP="00EB72D7">
      <w:pPr>
        <w:tabs>
          <w:tab w:val="left" w:pos="6375"/>
        </w:tabs>
        <w:jc w:val="both"/>
        <w:rPr>
          <w:rFonts w:ascii="Times New Roman" w:hAnsi="Times New Roman" w:cs="Times New Roman"/>
        </w:rPr>
      </w:pPr>
    </w:p>
    <w:p w14:paraId="5D5135F5" w14:textId="77777777" w:rsidR="008045F3" w:rsidRPr="008045F3" w:rsidRDefault="008045F3" w:rsidP="008045F3">
      <w:pPr>
        <w:tabs>
          <w:tab w:val="left" w:pos="6375"/>
        </w:tabs>
        <w:jc w:val="both"/>
        <w:rPr>
          <w:rFonts w:ascii="Times New Roman" w:hAnsi="Times New Roman" w:cs="Times New Roman"/>
          <w:b/>
          <w:bCs/>
          <w:highlight w:val="yellow"/>
          <w:lang w:val="en-US"/>
        </w:rPr>
      </w:pPr>
      <w:r w:rsidRPr="008045F3">
        <w:rPr>
          <w:rFonts w:ascii="Times New Roman" w:hAnsi="Times New Roman" w:cs="Times New Roman"/>
          <w:b/>
          <w:bCs/>
          <w:highlight w:val="yellow"/>
          <w:lang w:val="en-US"/>
        </w:rPr>
        <w:t>5.5 Limitations of the Study</w:t>
      </w:r>
    </w:p>
    <w:p w14:paraId="34568A11" w14:textId="7D4115FB" w:rsidR="008045F3" w:rsidRPr="005F2F87" w:rsidRDefault="008045F3" w:rsidP="00EB72D7">
      <w:pPr>
        <w:tabs>
          <w:tab w:val="left" w:pos="6375"/>
        </w:tabs>
        <w:jc w:val="both"/>
        <w:rPr>
          <w:rFonts w:ascii="Times New Roman" w:hAnsi="Times New Roman" w:cs="Times New Roman"/>
          <w:lang w:val="en-US"/>
        </w:rPr>
      </w:pPr>
      <w:r w:rsidRPr="008045F3">
        <w:rPr>
          <w:rFonts w:ascii="Times New Roman" w:hAnsi="Times New Roman" w:cs="Times New Roman"/>
          <w:highlight w:val="yellow"/>
          <w:lang w:val="en-US"/>
        </w:rPr>
        <w:t>The study has several limitations that should be considered when interpreting its findings. First, the analysis relied on annual time-series data covering the period 1966–2019. The availability and consistency of historical macroeconomic data may limit the extent to which the findings capture more recent changes in Kenya’s investment environment. Second, the study focused on selected macroeconomic variables, namely real interest rate, inflation, economic growth and exchange rate. Other factors that may influence FDI, including political stability, institutional quality, infrastructure, trade openness and market size, were not included in the estimated model. Third, the findings are specific to Kenya and the period examined; therefore, caution should be exercised when generalizing the results to other countries or to periods beyond the study horizon. Finally, the study identifies statistical relationships between the selected macroeconomic variables and FDI and should not be interpreted as establishing definitive causal effects. Future research incorporating additional determinants, more recent observations and alternative econometric approaches could provide further evidence on the dynamics of FDI in Kenya.</w:t>
      </w:r>
    </w:p>
    <w:p w14:paraId="093C9BDF" w14:textId="77777777" w:rsidR="007B3574" w:rsidRPr="00734744" w:rsidRDefault="007B3574" w:rsidP="00EB72D7">
      <w:pPr>
        <w:tabs>
          <w:tab w:val="left" w:pos="6375"/>
        </w:tabs>
        <w:jc w:val="both"/>
        <w:rPr>
          <w:rFonts w:ascii="Times New Roman" w:hAnsi="Times New Roman" w:cs="Times New Roman"/>
        </w:rPr>
      </w:pPr>
    </w:p>
    <w:p w14:paraId="7816DD8B" w14:textId="74DEDE2E" w:rsidR="007B3574" w:rsidRPr="00734744" w:rsidRDefault="005F2F87" w:rsidP="005F2F87">
      <w:pPr>
        <w:tabs>
          <w:tab w:val="left" w:pos="3615"/>
        </w:tabs>
        <w:spacing w:after="0"/>
        <w:jc w:val="both"/>
        <w:rPr>
          <w:rFonts w:ascii="Times New Roman" w:hAnsi="Times New Roman" w:cs="Times New Roman"/>
          <w:b/>
          <w:bCs/>
        </w:rPr>
      </w:pPr>
      <w:r w:rsidRPr="00734744">
        <w:rPr>
          <w:rFonts w:ascii="Times New Roman" w:hAnsi="Times New Roman" w:cs="Times New Roman"/>
          <w:b/>
          <w:bCs/>
        </w:rPr>
        <w:t>REFERENCES</w:t>
      </w:r>
      <w:r>
        <w:rPr>
          <w:rFonts w:ascii="Times New Roman" w:hAnsi="Times New Roman" w:cs="Times New Roman"/>
          <w:b/>
          <w:bCs/>
        </w:rPr>
        <w:tab/>
      </w:r>
    </w:p>
    <w:p w14:paraId="46098BA9" w14:textId="77777777" w:rsidR="00B17D93" w:rsidRDefault="00B17D93" w:rsidP="005F2F87">
      <w:pPr>
        <w:spacing w:after="0"/>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Achieng, J. (2018). Critical Success Factors for Private and Public-Private Partnership Investments in Renewable Energy Development in Kenya.</w:t>
      </w:r>
    </w:p>
    <w:p w14:paraId="773FB991"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lastRenderedPageBreak/>
        <w:t xml:space="preserve">Adegboye, F. B. A., Bosede, F., </w:t>
      </w:r>
      <w:proofErr w:type="spellStart"/>
      <w:r w:rsidRPr="00CD3D5D">
        <w:rPr>
          <w:rFonts w:ascii="Times New Roman" w:hAnsi="Times New Roman" w:cs="Times New Roman"/>
          <w:color w:val="000000" w:themeColor="text1"/>
          <w:highlight w:val="yellow"/>
        </w:rPr>
        <w:t>Gbebikan</w:t>
      </w:r>
      <w:proofErr w:type="spellEnd"/>
      <w:r w:rsidRPr="00CD3D5D">
        <w:rPr>
          <w:rFonts w:ascii="Times New Roman" w:hAnsi="Times New Roman" w:cs="Times New Roman"/>
          <w:color w:val="000000" w:themeColor="text1"/>
          <w:highlight w:val="yellow"/>
        </w:rPr>
        <w:t xml:space="preserve">, A. M. G., &amp; Motunrayo, A. (2026). Foreign Direct Investment, Macro Economic Variables and </w:t>
      </w:r>
      <w:proofErr w:type="spellStart"/>
      <w:r w:rsidRPr="00CD3D5D">
        <w:rPr>
          <w:rFonts w:ascii="Times New Roman" w:hAnsi="Times New Roman" w:cs="Times New Roman"/>
          <w:color w:val="000000" w:themeColor="text1"/>
          <w:highlight w:val="yellow"/>
        </w:rPr>
        <w:t>Nigerias</w:t>
      </w:r>
      <w:proofErr w:type="spellEnd"/>
      <w:r w:rsidRPr="00CD3D5D">
        <w:rPr>
          <w:rFonts w:ascii="Times New Roman" w:hAnsi="Times New Roman" w:cs="Times New Roman"/>
          <w:color w:val="000000" w:themeColor="text1"/>
          <w:highlight w:val="yellow"/>
        </w:rPr>
        <w:t xml:space="preserve"> Economic Development. </w:t>
      </w:r>
      <w:r w:rsidRPr="00CD3D5D">
        <w:rPr>
          <w:rFonts w:ascii="Times New Roman" w:hAnsi="Times New Roman" w:cs="Times New Roman"/>
          <w:i/>
          <w:iCs/>
          <w:color w:val="000000" w:themeColor="text1"/>
          <w:highlight w:val="yellow"/>
        </w:rPr>
        <w:t>Nigerian Journal of Banking and Financial Issues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12</w:t>
      </w:r>
      <w:r w:rsidRPr="00CD3D5D">
        <w:rPr>
          <w:rFonts w:ascii="Times New Roman" w:hAnsi="Times New Roman" w:cs="Times New Roman"/>
          <w:color w:val="000000" w:themeColor="text1"/>
          <w:highlight w:val="yellow"/>
        </w:rPr>
        <w:t>(1).</w:t>
      </w:r>
    </w:p>
    <w:p w14:paraId="62BEF472" w14:textId="77777777" w:rsidR="00B17D93" w:rsidRPr="00CD3D5D" w:rsidRDefault="00B17D93" w:rsidP="005C2006">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Adelakun, O. J., Ojo, O. O., &amp; Mpungose, S. (2025). Empirical re-investigation into the export-led growth hypothesis (ELGH): Evidence from EAC and SADC economies. </w:t>
      </w:r>
      <w:r w:rsidRPr="00CD3D5D">
        <w:rPr>
          <w:rFonts w:ascii="Times New Roman" w:hAnsi="Times New Roman" w:cs="Times New Roman"/>
          <w:i/>
          <w:iCs/>
          <w:color w:val="000000" w:themeColor="text1"/>
          <w:highlight w:val="yellow"/>
        </w:rPr>
        <w:t>Economies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13</w:t>
      </w:r>
      <w:r w:rsidRPr="00CD3D5D">
        <w:rPr>
          <w:rFonts w:ascii="Times New Roman" w:hAnsi="Times New Roman" w:cs="Times New Roman"/>
          <w:color w:val="000000" w:themeColor="text1"/>
          <w:highlight w:val="yellow"/>
        </w:rPr>
        <w:t>(6), 175.</w:t>
      </w:r>
    </w:p>
    <w:p w14:paraId="52B4B485" w14:textId="77777777" w:rsidR="00B17D93" w:rsidRPr="005C2006" w:rsidRDefault="00B17D93" w:rsidP="005C2006">
      <w:pPr>
        <w:ind w:left="720" w:hanging="720"/>
        <w:jc w:val="both"/>
        <w:rPr>
          <w:rFonts w:ascii="Times New Roman" w:hAnsi="Times New Roman" w:cs="Times New Roman"/>
          <w:highlight w:val="yellow"/>
          <w:lang w:val="en-US"/>
        </w:rPr>
      </w:pPr>
      <w:proofErr w:type="spellStart"/>
      <w:r w:rsidRPr="005C2006">
        <w:rPr>
          <w:rFonts w:ascii="Times New Roman" w:hAnsi="Times New Roman" w:cs="Times New Roman"/>
          <w:highlight w:val="yellow"/>
          <w:lang w:val="en-US"/>
        </w:rPr>
        <w:t>Ajide</w:t>
      </w:r>
      <w:proofErr w:type="spellEnd"/>
      <w:r w:rsidRPr="005C2006">
        <w:rPr>
          <w:rFonts w:ascii="Times New Roman" w:hAnsi="Times New Roman" w:cs="Times New Roman"/>
          <w:highlight w:val="yellow"/>
          <w:lang w:val="en-US"/>
        </w:rPr>
        <w:t xml:space="preserve">, K. B., Ridwan, I. A., &amp; Alimi, O. Y. (2023). Exchange rate volatility and foreign direct investment in frontier African economies: A non-linear panel evaluation. </w:t>
      </w:r>
      <w:r w:rsidRPr="005C2006">
        <w:rPr>
          <w:rFonts w:ascii="Times New Roman" w:hAnsi="Times New Roman" w:cs="Times New Roman"/>
          <w:i/>
          <w:iCs/>
          <w:highlight w:val="yellow"/>
          <w:lang w:val="en-US"/>
        </w:rPr>
        <w:t>Journal of African Business</w:t>
      </w:r>
      <w:r w:rsidRPr="005C2006">
        <w:rPr>
          <w:rFonts w:ascii="Times New Roman" w:hAnsi="Times New Roman" w:cs="Times New Roman"/>
          <w:highlight w:val="yellow"/>
          <w:lang w:val="en-US"/>
        </w:rPr>
        <w:t>, 24(3), 412–433.</w:t>
      </w:r>
    </w:p>
    <w:p w14:paraId="797E3CDC"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Alam, M. R. (2025). The Impact of Inflation on Foreign Direct investment (FDI): Evidence from Bangladesh.</w:t>
      </w:r>
    </w:p>
    <w:p w14:paraId="7AF1CF5C" w14:textId="77777777" w:rsidR="00B17D93" w:rsidRPr="005C2006" w:rsidRDefault="00B17D93" w:rsidP="005C2006">
      <w:pPr>
        <w:ind w:left="720" w:hanging="720"/>
        <w:jc w:val="both"/>
        <w:rPr>
          <w:rFonts w:ascii="Times New Roman" w:hAnsi="Times New Roman" w:cs="Times New Roman"/>
          <w:color w:val="000000" w:themeColor="text1"/>
          <w:highlight w:val="yellow"/>
          <w:lang w:val="en-US"/>
        </w:rPr>
      </w:pPr>
      <w:r w:rsidRPr="00CD3D5D">
        <w:rPr>
          <w:rFonts w:ascii="Times New Roman" w:hAnsi="Times New Roman" w:cs="Times New Roman"/>
          <w:color w:val="000000" w:themeColor="text1"/>
          <w:highlight w:val="yellow"/>
        </w:rPr>
        <w:t>Alharthi, M., Islam, M. M., Alamoudi, H., &amp; Murad, M. W. (2024). Determinants that attract and discourage foreign direct investment in GCC countries: Do macroeconomic and environmental factors matter? </w:t>
      </w:r>
      <w:proofErr w:type="spellStart"/>
      <w:r w:rsidRPr="00CD3D5D">
        <w:rPr>
          <w:rFonts w:ascii="Times New Roman" w:hAnsi="Times New Roman" w:cs="Times New Roman"/>
          <w:i/>
          <w:iCs/>
          <w:color w:val="000000" w:themeColor="text1"/>
          <w:highlight w:val="yellow"/>
        </w:rPr>
        <w:t>Plos</w:t>
      </w:r>
      <w:proofErr w:type="spellEnd"/>
      <w:r w:rsidRPr="00CD3D5D">
        <w:rPr>
          <w:rFonts w:ascii="Times New Roman" w:hAnsi="Times New Roman" w:cs="Times New Roman"/>
          <w:i/>
          <w:iCs/>
          <w:color w:val="000000" w:themeColor="text1"/>
          <w:highlight w:val="yellow"/>
        </w:rPr>
        <w:t xml:space="preserve"> one</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19</w:t>
      </w:r>
      <w:r w:rsidRPr="00CD3D5D">
        <w:rPr>
          <w:rFonts w:ascii="Times New Roman" w:hAnsi="Times New Roman" w:cs="Times New Roman"/>
          <w:color w:val="000000" w:themeColor="text1"/>
          <w:highlight w:val="yellow"/>
        </w:rPr>
        <w:t>(2), e0298129.</w:t>
      </w:r>
    </w:p>
    <w:p w14:paraId="29ACFDF9" w14:textId="77777777" w:rsidR="00B17D93" w:rsidRPr="00CD3D5D" w:rsidRDefault="00B17D93" w:rsidP="00530B02">
      <w:pPr>
        <w:ind w:left="720" w:hanging="720"/>
        <w:jc w:val="both"/>
        <w:rPr>
          <w:rFonts w:ascii="Times New Roman" w:hAnsi="Times New Roman" w:cs="Times New Roman"/>
          <w:color w:val="000000" w:themeColor="text1"/>
          <w:highlight w:val="yellow"/>
        </w:rPr>
      </w:pPr>
      <w:proofErr w:type="spellStart"/>
      <w:r w:rsidRPr="00CD3D5D">
        <w:rPr>
          <w:rFonts w:ascii="Times New Roman" w:hAnsi="Times New Roman" w:cs="Times New Roman"/>
          <w:color w:val="000000" w:themeColor="text1"/>
          <w:highlight w:val="yellow"/>
        </w:rPr>
        <w:t>Alshubiri</w:t>
      </w:r>
      <w:proofErr w:type="spellEnd"/>
      <w:r w:rsidRPr="00CD3D5D">
        <w:rPr>
          <w:rFonts w:ascii="Times New Roman" w:hAnsi="Times New Roman" w:cs="Times New Roman"/>
          <w:color w:val="000000" w:themeColor="text1"/>
          <w:highlight w:val="yellow"/>
        </w:rPr>
        <w:t>, F., &amp; Hussein, M. (2026). Do interest rate, regulatory quality, and price level matter for FDI decisions in BRICS and GCC countries? </w:t>
      </w:r>
      <w:r w:rsidRPr="00CD3D5D">
        <w:rPr>
          <w:rFonts w:ascii="Times New Roman" w:hAnsi="Times New Roman" w:cs="Times New Roman"/>
          <w:i/>
          <w:iCs/>
          <w:color w:val="000000" w:themeColor="text1"/>
          <w:highlight w:val="yellow"/>
        </w:rPr>
        <w:t>Future Business Journal</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12</w:t>
      </w:r>
      <w:r w:rsidRPr="00CD3D5D">
        <w:rPr>
          <w:rFonts w:ascii="Times New Roman" w:hAnsi="Times New Roman" w:cs="Times New Roman"/>
          <w:color w:val="000000" w:themeColor="text1"/>
          <w:highlight w:val="yellow"/>
        </w:rPr>
        <w:t>(1), 196.</w:t>
      </w:r>
    </w:p>
    <w:p w14:paraId="6C98158B"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Barngetuny, J. (2026). Real Interest Rates, Inflation Dynamics, and Financial Stability in Kenya. </w:t>
      </w:r>
      <w:r w:rsidRPr="00CD3D5D">
        <w:rPr>
          <w:rFonts w:ascii="Times New Roman" w:hAnsi="Times New Roman" w:cs="Times New Roman"/>
          <w:i/>
          <w:iCs/>
          <w:color w:val="000000" w:themeColor="text1"/>
          <w:highlight w:val="yellow"/>
        </w:rPr>
        <w:t>IAHRW International Journal of Social Sciences Review</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14</w:t>
      </w:r>
      <w:r w:rsidRPr="00CD3D5D">
        <w:rPr>
          <w:rFonts w:ascii="Times New Roman" w:hAnsi="Times New Roman" w:cs="Times New Roman"/>
          <w:color w:val="000000" w:themeColor="text1"/>
          <w:highlight w:val="yellow"/>
        </w:rPr>
        <w:t>(4), 593.</w:t>
      </w:r>
    </w:p>
    <w:p w14:paraId="217F5867" w14:textId="77777777" w:rsidR="00B17D93" w:rsidRPr="00734744"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 xml:space="preserve">Beau, T. (2019). Normality of JSE returns: macro-outliers, micro-outliers: an empirical Evaluation. </w:t>
      </w:r>
      <w:proofErr w:type="spellStart"/>
      <w:r w:rsidRPr="00734744">
        <w:rPr>
          <w:rFonts w:ascii="Times New Roman" w:hAnsi="Times New Roman" w:cs="Times New Roman"/>
          <w:color w:val="000000" w:themeColor="text1"/>
        </w:rPr>
        <w:t>Alshamsi</w:t>
      </w:r>
      <w:proofErr w:type="spellEnd"/>
      <w:r w:rsidRPr="00734744">
        <w:rPr>
          <w:rFonts w:ascii="Times New Roman" w:hAnsi="Times New Roman" w:cs="Times New Roman"/>
          <w:color w:val="000000" w:themeColor="text1"/>
        </w:rPr>
        <w:t xml:space="preserve">, K., &amp; Azam, M. (2015). The impact of inflation and economic growth per capita on foreign direct investment: The case of United Arab Emirates. </w:t>
      </w:r>
      <w:r w:rsidRPr="00734744">
        <w:rPr>
          <w:rFonts w:ascii="Times New Roman" w:hAnsi="Times New Roman" w:cs="Times New Roman"/>
          <w:i/>
          <w:iCs/>
          <w:color w:val="000000" w:themeColor="text1"/>
        </w:rPr>
        <w:t>Investment Management and Financial Innovations, 12</w:t>
      </w:r>
      <w:r w:rsidRPr="00734744">
        <w:rPr>
          <w:rFonts w:ascii="Times New Roman" w:hAnsi="Times New Roman" w:cs="Times New Roman"/>
          <w:color w:val="000000" w:themeColor="text1"/>
        </w:rPr>
        <w:t xml:space="preserve">(3), 132–141. </w:t>
      </w:r>
    </w:p>
    <w:p w14:paraId="2D6F3844"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Bendi, S., &amp; Pany, T. (2017). A Study on Economic Dimensions of India and China. </w:t>
      </w:r>
      <w:r w:rsidRPr="00734744">
        <w:rPr>
          <w:rFonts w:ascii="Times New Roman" w:hAnsi="Times New Roman" w:cs="Times New Roman"/>
          <w:i/>
          <w:iCs/>
          <w:color w:val="000000" w:themeColor="text1"/>
        </w:rPr>
        <w:t>Srusti Management Review, 10</w:t>
      </w:r>
      <w:r w:rsidRPr="00734744">
        <w:rPr>
          <w:rFonts w:ascii="Times New Roman" w:hAnsi="Times New Roman" w:cs="Times New Roman"/>
          <w:color w:val="000000" w:themeColor="text1"/>
        </w:rPr>
        <w:t xml:space="preserve">(1), 37–45. </w:t>
      </w:r>
    </w:p>
    <w:p w14:paraId="1ECE622B"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Bond, P. (2019). Blue Economy threats, contradictions and resistances seen from South Africa. </w:t>
      </w:r>
      <w:r w:rsidRPr="00280A29">
        <w:rPr>
          <w:rFonts w:ascii="Times New Roman" w:hAnsi="Times New Roman" w:cs="Times New Roman"/>
          <w:i/>
          <w:iCs/>
          <w:color w:val="000000" w:themeColor="text1"/>
        </w:rPr>
        <w:t>Journal of Political Ecology</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26</w:t>
      </w:r>
      <w:r w:rsidRPr="00280A29">
        <w:rPr>
          <w:rFonts w:ascii="Times New Roman" w:hAnsi="Times New Roman" w:cs="Times New Roman"/>
          <w:color w:val="000000" w:themeColor="text1"/>
        </w:rPr>
        <w:t>(1).</w:t>
      </w:r>
    </w:p>
    <w:p w14:paraId="6E98E0D0" w14:textId="77777777" w:rsidR="00B17D93" w:rsidRPr="00CD3D5D" w:rsidRDefault="00B17D93" w:rsidP="00F724EB">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Bryniuk, K. (2023). Is the Gross Domestic Product (GDP) a Reliable Indicator of the Economic Growth and Future Economy of the United States of </w:t>
      </w:r>
      <w:proofErr w:type="gramStart"/>
      <w:r w:rsidRPr="00CD3D5D">
        <w:rPr>
          <w:rFonts w:ascii="Times New Roman" w:hAnsi="Times New Roman" w:cs="Times New Roman"/>
          <w:color w:val="000000" w:themeColor="text1"/>
          <w:highlight w:val="yellow"/>
        </w:rPr>
        <w:t>America?.</w:t>
      </w:r>
      <w:proofErr w:type="gramEnd"/>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Open Access Library Journal</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10</w:t>
      </w:r>
      <w:r w:rsidRPr="00CD3D5D">
        <w:rPr>
          <w:rFonts w:ascii="Times New Roman" w:hAnsi="Times New Roman" w:cs="Times New Roman"/>
          <w:color w:val="000000" w:themeColor="text1"/>
          <w:highlight w:val="yellow"/>
        </w:rPr>
        <w:t>(4), 1-10.</w:t>
      </w:r>
    </w:p>
    <w:p w14:paraId="79F5798E"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Cheelo, C. (2018). </w:t>
      </w:r>
      <w:r w:rsidRPr="00280A29">
        <w:rPr>
          <w:rFonts w:ascii="Times New Roman" w:hAnsi="Times New Roman" w:cs="Times New Roman"/>
          <w:i/>
          <w:iCs/>
          <w:color w:val="000000" w:themeColor="text1"/>
        </w:rPr>
        <w:t>Financing the Economic Stabilization and Growth Programme (Zambia Plus) in the Shadow of the IMF</w:t>
      </w:r>
      <w:r w:rsidRPr="00280A29">
        <w:rPr>
          <w:rFonts w:ascii="Times New Roman" w:hAnsi="Times New Roman" w:cs="Times New Roman"/>
          <w:color w:val="000000" w:themeColor="text1"/>
        </w:rPr>
        <w:t>. Zambia Institute for Policy Analysis &amp; Research.</w:t>
      </w:r>
    </w:p>
    <w:p w14:paraId="59452F4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Church, J. (2016). Comparing the Consumer Price Index with the gross domestic product price index and Gross Domestic Product Implicit Price Deflator. </w:t>
      </w:r>
      <w:r w:rsidRPr="00734744">
        <w:rPr>
          <w:rFonts w:ascii="Times New Roman" w:hAnsi="Times New Roman" w:cs="Times New Roman"/>
          <w:i/>
          <w:iCs/>
          <w:color w:val="000000" w:themeColor="text1"/>
        </w:rPr>
        <w:t>Monthly Labor Review</w:t>
      </w:r>
      <w:r w:rsidRPr="00734744">
        <w:rPr>
          <w:rFonts w:ascii="Times New Roman" w:hAnsi="Times New Roman" w:cs="Times New Roman"/>
          <w:color w:val="000000" w:themeColor="text1"/>
        </w:rPr>
        <w:t xml:space="preserve">. </w:t>
      </w:r>
    </w:p>
    <w:p w14:paraId="4E347A68"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lastRenderedPageBreak/>
        <w:t xml:space="preserve">Ciesielska, D., &amp; </w:t>
      </w:r>
      <w:proofErr w:type="spellStart"/>
      <w:r w:rsidRPr="00280A29">
        <w:rPr>
          <w:rFonts w:ascii="Times New Roman" w:hAnsi="Times New Roman" w:cs="Times New Roman"/>
          <w:color w:val="000000" w:themeColor="text1"/>
        </w:rPr>
        <w:t>Kołtuniak</w:t>
      </w:r>
      <w:proofErr w:type="spellEnd"/>
      <w:r w:rsidRPr="00280A29">
        <w:rPr>
          <w:rFonts w:ascii="Times New Roman" w:hAnsi="Times New Roman" w:cs="Times New Roman"/>
          <w:color w:val="000000" w:themeColor="text1"/>
        </w:rPr>
        <w:t>, M. (2017). Outward foreign direct investments and home country’s economic growth. </w:t>
      </w:r>
      <w:r w:rsidRPr="00280A29">
        <w:rPr>
          <w:rFonts w:ascii="Times New Roman" w:hAnsi="Times New Roman" w:cs="Times New Roman"/>
          <w:i/>
          <w:iCs/>
          <w:color w:val="000000" w:themeColor="text1"/>
        </w:rPr>
        <w:t>Physica A: Statistical Mechanics and its Applications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482</w:t>
      </w:r>
      <w:r w:rsidRPr="00280A29">
        <w:rPr>
          <w:rFonts w:ascii="Times New Roman" w:hAnsi="Times New Roman" w:cs="Times New Roman"/>
          <w:color w:val="000000" w:themeColor="text1"/>
        </w:rPr>
        <w:t>, 127-146.</w:t>
      </w:r>
    </w:p>
    <w:p w14:paraId="4E48D507"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Cushman, D., &amp; De Vita, G. (2017). Exchange rate regimes and FDI in developing countries: A propensity score matching approach. </w:t>
      </w:r>
      <w:r w:rsidRPr="00734744">
        <w:rPr>
          <w:rFonts w:ascii="Times New Roman" w:hAnsi="Times New Roman" w:cs="Times New Roman"/>
          <w:i/>
          <w:iCs/>
          <w:color w:val="000000" w:themeColor="text1"/>
        </w:rPr>
        <w:t>Journal of International Money and Finance, 77</w:t>
      </w:r>
      <w:r w:rsidRPr="00734744">
        <w:rPr>
          <w:rFonts w:ascii="Times New Roman" w:hAnsi="Times New Roman" w:cs="Times New Roman"/>
          <w:color w:val="000000" w:themeColor="text1"/>
        </w:rPr>
        <w:t xml:space="preserve">, 143–163. </w:t>
      </w:r>
    </w:p>
    <w:p w14:paraId="5B2140F0"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8C5C50">
        <w:rPr>
          <w:rFonts w:ascii="Times New Roman" w:hAnsi="Times New Roman" w:cs="Times New Roman"/>
          <w:color w:val="000000" w:themeColor="text1"/>
          <w:highlight w:val="yellow"/>
        </w:rPr>
        <w:t>Dondashe</w:t>
      </w:r>
      <w:proofErr w:type="spellEnd"/>
      <w:r w:rsidRPr="008C5C50">
        <w:rPr>
          <w:rFonts w:ascii="Times New Roman" w:hAnsi="Times New Roman" w:cs="Times New Roman"/>
          <w:color w:val="000000" w:themeColor="text1"/>
          <w:highlight w:val="yellow"/>
        </w:rPr>
        <w:t>, N., &amp; Phiri, A. (2018). </w:t>
      </w:r>
      <w:r w:rsidRPr="008C5C50">
        <w:rPr>
          <w:rFonts w:ascii="Times New Roman" w:hAnsi="Times New Roman" w:cs="Times New Roman"/>
          <w:i/>
          <w:iCs/>
          <w:color w:val="000000" w:themeColor="text1"/>
          <w:highlight w:val="yellow"/>
        </w:rPr>
        <w:t xml:space="preserve">Determinants of FDI in South Africa: Do macroeconomic variables matter? Munich Personal </w:t>
      </w:r>
      <w:proofErr w:type="spellStart"/>
      <w:r w:rsidRPr="008C5C50">
        <w:rPr>
          <w:rFonts w:ascii="Times New Roman" w:hAnsi="Times New Roman" w:cs="Times New Roman"/>
          <w:i/>
          <w:iCs/>
          <w:color w:val="000000" w:themeColor="text1"/>
          <w:highlight w:val="yellow"/>
        </w:rPr>
        <w:t>RePEc</w:t>
      </w:r>
      <w:proofErr w:type="spellEnd"/>
      <w:r w:rsidRPr="008C5C50">
        <w:rPr>
          <w:rFonts w:ascii="Times New Roman" w:hAnsi="Times New Roman" w:cs="Times New Roman"/>
          <w:i/>
          <w:iCs/>
          <w:color w:val="000000" w:themeColor="text1"/>
          <w:highlight w:val="yellow"/>
        </w:rPr>
        <w:t xml:space="preserve"> Archive (MPRA Paper No. 83636). Nelson Mandela University</w:t>
      </w:r>
      <w:r w:rsidRPr="008C5C50">
        <w:rPr>
          <w:rFonts w:ascii="Times New Roman" w:hAnsi="Times New Roman" w:cs="Times New Roman"/>
          <w:color w:val="000000" w:themeColor="text1"/>
          <w:highlight w:val="yellow"/>
        </w:rPr>
        <w:t>.</w:t>
      </w:r>
    </w:p>
    <w:p w14:paraId="25C51766"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Dornbusch, R. (2019). The theory of flexible exchange rate regimes and macroeconomic policy. In </w:t>
      </w:r>
      <w:r w:rsidRPr="00280A29">
        <w:rPr>
          <w:rFonts w:ascii="Times New Roman" w:hAnsi="Times New Roman" w:cs="Times New Roman"/>
          <w:i/>
          <w:iCs/>
          <w:color w:val="000000" w:themeColor="text1"/>
        </w:rPr>
        <w:t>Flexible exchange rates and stabilization policy</w:t>
      </w:r>
      <w:r w:rsidRPr="00280A29">
        <w:rPr>
          <w:rFonts w:ascii="Times New Roman" w:hAnsi="Times New Roman" w:cs="Times New Roman"/>
          <w:color w:val="000000" w:themeColor="text1"/>
        </w:rPr>
        <w:t xml:space="preserve"> (pp. 123-143). London: Palgrave Macmillan UK. </w:t>
      </w:r>
    </w:p>
    <w:p w14:paraId="151F603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(1988). The eclectic paradigm of international production: A restatement and some possible extensions. </w:t>
      </w:r>
      <w:r w:rsidRPr="00734744">
        <w:rPr>
          <w:rFonts w:ascii="Times New Roman" w:hAnsi="Times New Roman" w:cs="Times New Roman"/>
          <w:i/>
          <w:iCs/>
          <w:color w:val="000000" w:themeColor="text1"/>
        </w:rPr>
        <w:t>Journal of International Business Studies, 19</w:t>
      </w:r>
      <w:r w:rsidRPr="00734744">
        <w:rPr>
          <w:rFonts w:ascii="Times New Roman" w:hAnsi="Times New Roman" w:cs="Times New Roman"/>
          <w:color w:val="000000" w:themeColor="text1"/>
        </w:rPr>
        <w:t>(1), 1–31.</w:t>
      </w:r>
    </w:p>
    <w:p w14:paraId="6FBB3F13"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Dunning, J. H. (2001). The eclectic (OLI) paradigm of international production: Past, present and future. </w:t>
      </w:r>
      <w:r w:rsidRPr="00734744">
        <w:rPr>
          <w:rFonts w:ascii="Times New Roman" w:hAnsi="Times New Roman" w:cs="Times New Roman"/>
          <w:i/>
          <w:iCs/>
          <w:color w:val="000000" w:themeColor="text1"/>
        </w:rPr>
        <w:t>International Journal of the Economics of Business, 8</w:t>
      </w:r>
      <w:r w:rsidRPr="00734744">
        <w:rPr>
          <w:rFonts w:ascii="Times New Roman" w:hAnsi="Times New Roman" w:cs="Times New Roman"/>
          <w:color w:val="000000" w:themeColor="text1"/>
        </w:rPr>
        <w:t>(2), 173–190.</w:t>
      </w:r>
    </w:p>
    <w:p w14:paraId="7D6FA9F8"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Egilsson, J. H. (2020). How raising interest rates can cause inflation and currency depreciation. </w:t>
      </w:r>
      <w:r w:rsidRPr="00280A29">
        <w:rPr>
          <w:rFonts w:ascii="Times New Roman" w:hAnsi="Times New Roman" w:cs="Times New Roman"/>
          <w:i/>
          <w:iCs/>
          <w:color w:val="000000" w:themeColor="text1"/>
        </w:rPr>
        <w:t>Journal of Applied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23</w:t>
      </w:r>
      <w:r w:rsidRPr="00280A29">
        <w:rPr>
          <w:rFonts w:ascii="Times New Roman" w:hAnsi="Times New Roman" w:cs="Times New Roman"/>
          <w:color w:val="000000" w:themeColor="text1"/>
        </w:rPr>
        <w:t xml:space="preserve">(1), 450-468. </w:t>
      </w:r>
    </w:p>
    <w:p w14:paraId="3FD888D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Engle, R. F., &amp; Granger, C. W. J. (1987). Co-integration and error correction: Representation, estimation, and testing. </w:t>
      </w:r>
      <w:proofErr w:type="spellStart"/>
      <w:r w:rsidRPr="00734744">
        <w:rPr>
          <w:rFonts w:ascii="Times New Roman" w:hAnsi="Times New Roman" w:cs="Times New Roman"/>
          <w:i/>
          <w:iCs/>
          <w:color w:val="000000" w:themeColor="text1"/>
        </w:rPr>
        <w:t>Econometrica</w:t>
      </w:r>
      <w:proofErr w:type="spellEnd"/>
      <w:r w:rsidRPr="00734744">
        <w:rPr>
          <w:rFonts w:ascii="Times New Roman" w:hAnsi="Times New Roman" w:cs="Times New Roman"/>
          <w:i/>
          <w:iCs/>
          <w:color w:val="000000" w:themeColor="text1"/>
        </w:rPr>
        <w:t>, 55</w:t>
      </w:r>
      <w:r w:rsidRPr="00734744">
        <w:rPr>
          <w:rFonts w:ascii="Times New Roman" w:hAnsi="Times New Roman" w:cs="Times New Roman"/>
          <w:color w:val="000000" w:themeColor="text1"/>
        </w:rPr>
        <w:t xml:space="preserve">(2), 251–276. </w:t>
      </w:r>
    </w:p>
    <w:p w14:paraId="7106F37A"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Faure, A. (2014). Interest Rates 7: An Optimal Rate of Interest (the Natural Rate).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254–2111. </w:t>
      </w:r>
    </w:p>
    <w:p w14:paraId="32B778D2"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Fazira, D., &amp; </w:t>
      </w:r>
      <w:proofErr w:type="spellStart"/>
      <w:r w:rsidRPr="00734744">
        <w:rPr>
          <w:rFonts w:ascii="Times New Roman" w:hAnsi="Times New Roman" w:cs="Times New Roman"/>
          <w:color w:val="000000" w:themeColor="text1"/>
        </w:rPr>
        <w:t>Cahyadin</w:t>
      </w:r>
      <w:proofErr w:type="spellEnd"/>
      <w:r w:rsidRPr="00734744">
        <w:rPr>
          <w:rFonts w:ascii="Times New Roman" w:hAnsi="Times New Roman" w:cs="Times New Roman"/>
          <w:color w:val="000000" w:themeColor="text1"/>
        </w:rPr>
        <w:t xml:space="preserve">, M. (2018). The Impact of Interest Rate, Corruption Perception Index, and Economic Growth on Foreign Direct Investment in ASEAN-6. </w:t>
      </w:r>
      <w:r w:rsidRPr="00734744">
        <w:rPr>
          <w:rFonts w:ascii="Times New Roman" w:hAnsi="Times New Roman" w:cs="Times New Roman"/>
          <w:i/>
          <w:iCs/>
          <w:color w:val="000000" w:themeColor="text1"/>
        </w:rPr>
        <w:t xml:space="preserve">Journal </w:t>
      </w:r>
      <w:proofErr w:type="spellStart"/>
      <w:r w:rsidRPr="00734744">
        <w:rPr>
          <w:rFonts w:ascii="Times New Roman" w:hAnsi="Times New Roman" w:cs="Times New Roman"/>
          <w:i/>
          <w:iCs/>
          <w:color w:val="000000" w:themeColor="text1"/>
        </w:rPr>
        <w:t>Keuangan</w:t>
      </w:r>
      <w:proofErr w:type="spellEnd"/>
      <w:r w:rsidRPr="00734744">
        <w:rPr>
          <w:rFonts w:ascii="Times New Roman" w:hAnsi="Times New Roman" w:cs="Times New Roman"/>
          <w:i/>
          <w:iCs/>
          <w:color w:val="000000" w:themeColor="text1"/>
        </w:rPr>
        <w:t xml:space="preserve"> Dan Perbankan, 22</w:t>
      </w:r>
      <w:r w:rsidRPr="00734744">
        <w:rPr>
          <w:rFonts w:ascii="Times New Roman" w:hAnsi="Times New Roman" w:cs="Times New Roman"/>
          <w:color w:val="000000" w:themeColor="text1"/>
        </w:rPr>
        <w:t xml:space="preserve">(4). </w:t>
      </w:r>
    </w:p>
    <w:p w14:paraId="43A2E08A"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FoEh</w:t>
      </w:r>
      <w:proofErr w:type="spellEnd"/>
      <w:r w:rsidRPr="00734744">
        <w:rPr>
          <w:rFonts w:ascii="Times New Roman" w:hAnsi="Times New Roman" w:cs="Times New Roman"/>
          <w:color w:val="000000" w:themeColor="text1"/>
        </w:rPr>
        <w:t xml:space="preserve">, J., Suryani, N., &amp; </w:t>
      </w:r>
      <w:proofErr w:type="spellStart"/>
      <w:r w:rsidRPr="00734744">
        <w:rPr>
          <w:rFonts w:ascii="Times New Roman" w:hAnsi="Times New Roman" w:cs="Times New Roman"/>
          <w:color w:val="000000" w:themeColor="text1"/>
        </w:rPr>
        <w:t>Silpama</w:t>
      </w:r>
      <w:proofErr w:type="spellEnd"/>
      <w:r w:rsidRPr="00734744">
        <w:rPr>
          <w:rFonts w:ascii="Times New Roman" w:hAnsi="Times New Roman" w:cs="Times New Roman"/>
          <w:color w:val="000000" w:themeColor="text1"/>
        </w:rPr>
        <w:t xml:space="preserve">, S. (2020). The Influence of Inflation Level, Exchange Rate and Gross Domestic Product on Foreign Direct Investment in the ASEAN Countries on 2007–2018. </w:t>
      </w:r>
      <w:r w:rsidRPr="00734744">
        <w:rPr>
          <w:rFonts w:ascii="Times New Roman" w:hAnsi="Times New Roman" w:cs="Times New Roman"/>
          <w:i/>
          <w:iCs/>
          <w:color w:val="000000" w:themeColor="text1"/>
        </w:rPr>
        <w:t>European Journal of Business and Management Research, 5</w:t>
      </w:r>
      <w:r w:rsidRPr="00734744">
        <w:rPr>
          <w:rFonts w:ascii="Times New Roman" w:hAnsi="Times New Roman" w:cs="Times New Roman"/>
          <w:color w:val="000000" w:themeColor="text1"/>
        </w:rPr>
        <w:t xml:space="preserve">(3). </w:t>
      </w:r>
    </w:p>
    <w:p w14:paraId="5A8CD636"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Gnangnon</w:t>
      </w:r>
      <w:proofErr w:type="spellEnd"/>
      <w:r w:rsidRPr="00734744">
        <w:rPr>
          <w:rFonts w:ascii="Times New Roman" w:hAnsi="Times New Roman" w:cs="Times New Roman"/>
          <w:color w:val="000000" w:themeColor="text1"/>
        </w:rPr>
        <w:t xml:space="preserve">, S. (2017). Multilateral Trade Liberalisation and Foreign Direct Investment Inflows. </w:t>
      </w:r>
      <w:r w:rsidRPr="00734744">
        <w:rPr>
          <w:rFonts w:ascii="Times New Roman" w:hAnsi="Times New Roman" w:cs="Times New Roman"/>
          <w:i/>
          <w:iCs/>
          <w:color w:val="000000" w:themeColor="text1"/>
        </w:rPr>
        <w:t>Economic Affairs, 37</w:t>
      </w:r>
      <w:r w:rsidRPr="00734744">
        <w:rPr>
          <w:rFonts w:ascii="Times New Roman" w:hAnsi="Times New Roman" w:cs="Times New Roman"/>
          <w:color w:val="000000" w:themeColor="text1"/>
        </w:rPr>
        <w:t xml:space="preserve">(1), 66–84. </w:t>
      </w:r>
    </w:p>
    <w:p w14:paraId="6802CBC7"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Granger, C. W. J. (1969). Investigating causal relations by econometric models and cross-spectral methods. </w:t>
      </w:r>
      <w:proofErr w:type="spellStart"/>
      <w:r w:rsidRPr="00734744">
        <w:rPr>
          <w:rFonts w:ascii="Times New Roman" w:hAnsi="Times New Roman" w:cs="Times New Roman"/>
          <w:i/>
          <w:iCs/>
          <w:color w:val="000000" w:themeColor="text1"/>
        </w:rPr>
        <w:t>Econometrica</w:t>
      </w:r>
      <w:proofErr w:type="spellEnd"/>
      <w:r w:rsidRPr="00734744">
        <w:rPr>
          <w:rFonts w:ascii="Times New Roman" w:hAnsi="Times New Roman" w:cs="Times New Roman"/>
          <w:i/>
          <w:iCs/>
          <w:color w:val="000000" w:themeColor="text1"/>
        </w:rPr>
        <w:t>, 37</w:t>
      </w:r>
      <w:r w:rsidRPr="00734744">
        <w:rPr>
          <w:rFonts w:ascii="Times New Roman" w:hAnsi="Times New Roman" w:cs="Times New Roman"/>
          <w:color w:val="000000" w:themeColor="text1"/>
        </w:rPr>
        <w:t xml:space="preserve">(3), 424–438. </w:t>
      </w:r>
      <w:hyperlink r:id="rId7" w:tgtFrame="_new" w:history="1">
        <w:r w:rsidRPr="00734744">
          <w:rPr>
            <w:rStyle w:val="Hyperlink"/>
            <w:rFonts w:ascii="Times New Roman" w:hAnsi="Times New Roman" w:cs="Times New Roman"/>
            <w:color w:val="000000" w:themeColor="text1"/>
            <w:u w:val="none"/>
          </w:rPr>
          <w:t>https://doi.org/10.2307/1912791</w:t>
        </w:r>
      </w:hyperlink>
      <w:r w:rsidRPr="00734744">
        <w:rPr>
          <w:rFonts w:ascii="Times New Roman" w:hAnsi="Times New Roman" w:cs="Times New Roman"/>
          <w:color w:val="000000" w:themeColor="text1"/>
        </w:rPr>
        <w:t xml:space="preserve"> </w:t>
      </w:r>
    </w:p>
    <w:p w14:paraId="4E507C4A"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GuechHeang</w:t>
      </w:r>
      <w:proofErr w:type="spellEnd"/>
      <w:r w:rsidRPr="00734744">
        <w:rPr>
          <w:rFonts w:ascii="Times New Roman" w:hAnsi="Times New Roman" w:cs="Times New Roman"/>
          <w:color w:val="000000" w:themeColor="text1"/>
        </w:rPr>
        <w:t xml:space="preserve">, L., &amp; </w:t>
      </w:r>
      <w:proofErr w:type="spellStart"/>
      <w:r w:rsidRPr="00734744">
        <w:rPr>
          <w:rFonts w:ascii="Times New Roman" w:hAnsi="Times New Roman" w:cs="Times New Roman"/>
          <w:color w:val="000000" w:themeColor="text1"/>
        </w:rPr>
        <w:t>Moolio</w:t>
      </w:r>
      <w:proofErr w:type="spellEnd"/>
      <w:r w:rsidRPr="00734744">
        <w:rPr>
          <w:rFonts w:ascii="Times New Roman" w:hAnsi="Times New Roman" w:cs="Times New Roman"/>
          <w:color w:val="000000" w:themeColor="text1"/>
        </w:rPr>
        <w:t xml:space="preserve">, P. (2013). The relationship between gross domestic product and foreign direct investment: The case of Cambodia. </w:t>
      </w:r>
      <w:r w:rsidRPr="00734744">
        <w:rPr>
          <w:rFonts w:ascii="Times New Roman" w:hAnsi="Times New Roman" w:cs="Times New Roman"/>
          <w:i/>
          <w:iCs/>
          <w:color w:val="000000" w:themeColor="text1"/>
        </w:rPr>
        <w:t>KASBIT Business Journal, 6</w:t>
      </w:r>
      <w:r w:rsidRPr="00734744">
        <w:rPr>
          <w:rFonts w:ascii="Times New Roman" w:hAnsi="Times New Roman" w:cs="Times New Roman"/>
          <w:color w:val="000000" w:themeColor="text1"/>
        </w:rPr>
        <w:t xml:space="preserve">(1), 87–99. </w:t>
      </w:r>
    </w:p>
    <w:p w14:paraId="00BD0B69"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lastRenderedPageBreak/>
        <w:t xml:space="preserve">Helkiah, L. (2025). Influence of Systematic Risk on Public Debt Levels in Kenya (Doctoral Dissertation, Masinde </w:t>
      </w:r>
      <w:proofErr w:type="spellStart"/>
      <w:r w:rsidRPr="00CD3D5D">
        <w:rPr>
          <w:rFonts w:ascii="Times New Roman" w:hAnsi="Times New Roman" w:cs="Times New Roman"/>
          <w:color w:val="000000" w:themeColor="text1"/>
          <w:highlight w:val="yellow"/>
        </w:rPr>
        <w:t>Muliro</w:t>
      </w:r>
      <w:proofErr w:type="spellEnd"/>
      <w:r w:rsidRPr="00CD3D5D">
        <w:rPr>
          <w:rFonts w:ascii="Times New Roman" w:hAnsi="Times New Roman" w:cs="Times New Roman"/>
          <w:color w:val="000000" w:themeColor="text1"/>
          <w:highlight w:val="yellow"/>
        </w:rPr>
        <w:t xml:space="preserve"> University of Science and Technology).</w:t>
      </w:r>
    </w:p>
    <w:p w14:paraId="6F6B7D87"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Hennart</w:t>
      </w:r>
      <w:proofErr w:type="spellEnd"/>
      <w:r w:rsidRPr="00734744">
        <w:rPr>
          <w:rFonts w:ascii="Times New Roman" w:hAnsi="Times New Roman" w:cs="Times New Roman"/>
          <w:color w:val="000000" w:themeColor="text1"/>
        </w:rPr>
        <w:t xml:space="preserve">, J.-F. (1982). </w:t>
      </w:r>
      <w:r w:rsidRPr="00734744">
        <w:rPr>
          <w:rFonts w:ascii="Times New Roman" w:hAnsi="Times New Roman" w:cs="Times New Roman"/>
          <w:i/>
          <w:iCs/>
          <w:color w:val="000000" w:themeColor="text1"/>
        </w:rPr>
        <w:t>A theory of multinational enterprise</w:t>
      </w:r>
      <w:r w:rsidRPr="00734744">
        <w:rPr>
          <w:rFonts w:ascii="Times New Roman" w:hAnsi="Times New Roman" w:cs="Times New Roman"/>
          <w:color w:val="000000" w:themeColor="text1"/>
        </w:rPr>
        <w:t xml:space="preserve">. University of Michigan Press. </w:t>
      </w:r>
    </w:p>
    <w:p w14:paraId="09BBA1B4" w14:textId="77777777" w:rsidR="00B17D93" w:rsidRPr="00734744" w:rsidRDefault="00B17D93" w:rsidP="00530B02">
      <w:pPr>
        <w:ind w:left="720" w:hanging="720"/>
        <w:jc w:val="both"/>
        <w:rPr>
          <w:rFonts w:ascii="Times New Roman" w:hAnsi="Times New Roman" w:cs="Times New Roman"/>
          <w:color w:val="000000" w:themeColor="text1"/>
        </w:rPr>
      </w:pPr>
      <w:r w:rsidRPr="008C5C50">
        <w:rPr>
          <w:rFonts w:ascii="Times New Roman" w:hAnsi="Times New Roman" w:cs="Times New Roman"/>
          <w:color w:val="000000" w:themeColor="text1"/>
          <w:highlight w:val="yellow"/>
        </w:rPr>
        <w:t>Ho, F. H., Abdul-Rashid, S. H., Raja Ghazilla, R. A., &amp; Woo, Y. L. (2019). Resources sustainability through material efficiency strategies: An insight study of electrical and electronic companies. </w:t>
      </w:r>
      <w:r w:rsidRPr="008C5C50">
        <w:rPr>
          <w:rFonts w:ascii="Times New Roman" w:hAnsi="Times New Roman" w:cs="Times New Roman"/>
          <w:i/>
          <w:iCs/>
          <w:color w:val="000000" w:themeColor="text1"/>
          <w:highlight w:val="yellow"/>
        </w:rPr>
        <w:t>Resources</w:t>
      </w:r>
      <w:r w:rsidRPr="008C5C50">
        <w:rPr>
          <w:rFonts w:ascii="Times New Roman" w:hAnsi="Times New Roman" w:cs="Times New Roman"/>
          <w:color w:val="000000" w:themeColor="text1"/>
          <w:highlight w:val="yellow"/>
        </w:rPr>
        <w:t>, </w:t>
      </w:r>
      <w:r w:rsidRPr="008C5C50">
        <w:rPr>
          <w:rFonts w:ascii="Times New Roman" w:hAnsi="Times New Roman" w:cs="Times New Roman"/>
          <w:i/>
          <w:iCs/>
          <w:color w:val="000000" w:themeColor="text1"/>
          <w:highlight w:val="yellow"/>
        </w:rPr>
        <w:t>8</w:t>
      </w:r>
      <w:r w:rsidRPr="008C5C50">
        <w:rPr>
          <w:rFonts w:ascii="Times New Roman" w:hAnsi="Times New Roman" w:cs="Times New Roman"/>
          <w:color w:val="000000" w:themeColor="text1"/>
          <w:highlight w:val="yellow"/>
        </w:rPr>
        <w:t>(2), 117.</w:t>
      </w:r>
    </w:p>
    <w:p w14:paraId="7E372691"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Imana, D. K. (2017). </w:t>
      </w:r>
      <w:r w:rsidRPr="00CD3D5D">
        <w:rPr>
          <w:rFonts w:ascii="Times New Roman" w:hAnsi="Times New Roman" w:cs="Times New Roman"/>
          <w:i/>
          <w:iCs/>
          <w:color w:val="000000" w:themeColor="text1"/>
          <w:highlight w:val="yellow"/>
        </w:rPr>
        <w:t>Public Expenditure on Education in Kenya: Analysis of Recent Trends, Education Provision, and Income Distribution</w:t>
      </w:r>
      <w:r w:rsidRPr="00CD3D5D">
        <w:rPr>
          <w:rFonts w:ascii="Times New Roman" w:hAnsi="Times New Roman" w:cs="Times New Roman"/>
          <w:color w:val="000000" w:themeColor="text1"/>
          <w:highlight w:val="yellow"/>
        </w:rPr>
        <w:t> (Doctoral dissertation, Doctoral dissertation, National Institute of Development Administration).</w:t>
      </w:r>
    </w:p>
    <w:p w14:paraId="24CF8103" w14:textId="77777777" w:rsidR="00B17D93" w:rsidRPr="00CD3D5D" w:rsidRDefault="00B17D93" w:rsidP="005C2006">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Izadi, J., &amp; </w:t>
      </w:r>
      <w:proofErr w:type="spellStart"/>
      <w:r w:rsidRPr="00CD3D5D">
        <w:rPr>
          <w:rFonts w:ascii="Times New Roman" w:hAnsi="Times New Roman" w:cs="Times New Roman"/>
          <w:color w:val="000000" w:themeColor="text1"/>
          <w:highlight w:val="yellow"/>
        </w:rPr>
        <w:t>Madirimov</w:t>
      </w:r>
      <w:proofErr w:type="spellEnd"/>
      <w:r w:rsidRPr="00CD3D5D">
        <w:rPr>
          <w:rFonts w:ascii="Times New Roman" w:hAnsi="Times New Roman" w:cs="Times New Roman"/>
          <w:color w:val="000000" w:themeColor="text1"/>
          <w:highlight w:val="yellow"/>
        </w:rPr>
        <w:t>, B. (2026). Effect of foreign direct investment on sustainable development goals? Evidence from Eurasian countries. </w:t>
      </w:r>
      <w:r w:rsidRPr="00CD3D5D">
        <w:rPr>
          <w:rFonts w:ascii="Times New Roman" w:hAnsi="Times New Roman" w:cs="Times New Roman"/>
          <w:i/>
          <w:iCs/>
          <w:color w:val="000000" w:themeColor="text1"/>
          <w:highlight w:val="yellow"/>
        </w:rPr>
        <w:t>Journal of Sustainable Finance &amp; Investment</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16</w:t>
      </w:r>
      <w:r w:rsidRPr="00CD3D5D">
        <w:rPr>
          <w:rFonts w:ascii="Times New Roman" w:hAnsi="Times New Roman" w:cs="Times New Roman"/>
          <w:color w:val="000000" w:themeColor="text1"/>
          <w:highlight w:val="yellow"/>
        </w:rPr>
        <w:t>(3), 784-803.</w:t>
      </w:r>
    </w:p>
    <w:p w14:paraId="47951F24"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Jin, H., Zhang, S., &amp; Zhang, J. (2016). Spurious regression due to neglected non-stationary volatility. </w:t>
      </w:r>
      <w:r w:rsidRPr="00734744">
        <w:rPr>
          <w:rFonts w:ascii="Times New Roman" w:hAnsi="Times New Roman" w:cs="Times New Roman"/>
          <w:i/>
          <w:iCs/>
          <w:color w:val="000000" w:themeColor="text1"/>
        </w:rPr>
        <w:t>Computational Statistics, 32</w:t>
      </w:r>
      <w:r w:rsidRPr="00734744">
        <w:rPr>
          <w:rFonts w:ascii="Times New Roman" w:hAnsi="Times New Roman" w:cs="Times New Roman"/>
          <w:color w:val="000000" w:themeColor="text1"/>
        </w:rPr>
        <w:t xml:space="preserve">(3), 1065–1081. </w:t>
      </w:r>
    </w:p>
    <w:p w14:paraId="3ED873C2"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Karau, J., &amp; Ng’ang’a, P. (2019). </w:t>
      </w:r>
      <w:r w:rsidRPr="00734744">
        <w:rPr>
          <w:rFonts w:ascii="Times New Roman" w:hAnsi="Times New Roman" w:cs="Times New Roman"/>
          <w:i/>
          <w:iCs/>
          <w:color w:val="000000" w:themeColor="text1"/>
        </w:rPr>
        <w:t>Effects of macroeconomic factors on foreign direct investment in Kenya</w:t>
      </w:r>
      <w:r w:rsidRPr="00734744">
        <w:rPr>
          <w:rFonts w:ascii="Times New Roman" w:hAnsi="Times New Roman" w:cs="Times New Roman"/>
          <w:color w:val="000000" w:themeColor="text1"/>
        </w:rPr>
        <w:t xml:space="preserve">. </w:t>
      </w:r>
    </w:p>
    <w:p w14:paraId="10DD9E7D"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Karvanen</w:t>
      </w:r>
      <w:proofErr w:type="spellEnd"/>
      <w:r w:rsidRPr="00734744">
        <w:rPr>
          <w:rFonts w:ascii="Times New Roman" w:hAnsi="Times New Roman" w:cs="Times New Roman"/>
          <w:color w:val="000000" w:themeColor="text1"/>
        </w:rPr>
        <w:t xml:space="preserve">, J. (2014). Study design in causal models. </w:t>
      </w:r>
      <w:r w:rsidRPr="00734744">
        <w:rPr>
          <w:rFonts w:ascii="Times New Roman" w:hAnsi="Times New Roman" w:cs="Times New Roman"/>
          <w:i/>
          <w:iCs/>
          <w:color w:val="000000" w:themeColor="text1"/>
        </w:rPr>
        <w:t>Scandinavian Journal of Statistics, 42</w:t>
      </w:r>
      <w:r w:rsidRPr="00734744">
        <w:rPr>
          <w:rFonts w:ascii="Times New Roman" w:hAnsi="Times New Roman" w:cs="Times New Roman"/>
          <w:color w:val="000000" w:themeColor="text1"/>
        </w:rPr>
        <w:t xml:space="preserve">(2), 361–377. </w:t>
      </w:r>
    </w:p>
    <w:p w14:paraId="2115E00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Kim, Z. (2018). The Correlation between Foreign Direct Investment and Trade: Foreign Direct Investment Outflows, Gross Exports and Exports in Value Added. </w:t>
      </w:r>
      <w:r w:rsidRPr="00734744">
        <w:rPr>
          <w:rFonts w:ascii="Times New Roman" w:hAnsi="Times New Roman" w:cs="Times New Roman"/>
          <w:i/>
          <w:iCs/>
          <w:color w:val="000000" w:themeColor="text1"/>
        </w:rPr>
        <w:t>East and West Studies, 30</w:t>
      </w:r>
      <w:r w:rsidRPr="00734744">
        <w:rPr>
          <w:rFonts w:ascii="Times New Roman" w:hAnsi="Times New Roman" w:cs="Times New Roman"/>
          <w:color w:val="000000" w:themeColor="text1"/>
        </w:rPr>
        <w:t xml:space="preserve">(4), 157–177. </w:t>
      </w:r>
    </w:p>
    <w:p w14:paraId="5F4126D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Kiplagat, B. (2016). </w:t>
      </w:r>
      <w:r w:rsidRPr="00734744">
        <w:rPr>
          <w:rFonts w:ascii="Times New Roman" w:hAnsi="Times New Roman" w:cs="Times New Roman"/>
          <w:i/>
          <w:iCs/>
          <w:color w:val="000000" w:themeColor="text1"/>
        </w:rPr>
        <w:t>The effects of interest rates on foreign direct investments in Kenya</w:t>
      </w:r>
      <w:r w:rsidRPr="00734744">
        <w:rPr>
          <w:rFonts w:ascii="Times New Roman" w:hAnsi="Times New Roman" w:cs="Times New Roman"/>
          <w:color w:val="000000" w:themeColor="text1"/>
        </w:rPr>
        <w:t xml:space="preserve"> [Research project, University of Nairobi]. University of Nairobi Repository. </w:t>
      </w:r>
    </w:p>
    <w:p w14:paraId="617CEBD0"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Kiprop, S., &amp; </w:t>
      </w:r>
      <w:proofErr w:type="spellStart"/>
      <w:r w:rsidRPr="005C2006">
        <w:rPr>
          <w:rFonts w:ascii="Times New Roman" w:hAnsi="Times New Roman" w:cs="Times New Roman"/>
          <w:highlight w:val="yellow"/>
          <w:lang w:val="en-US"/>
        </w:rPr>
        <w:t>Ndambiri</w:t>
      </w:r>
      <w:proofErr w:type="spellEnd"/>
      <w:r w:rsidRPr="005C2006">
        <w:rPr>
          <w:rFonts w:ascii="Times New Roman" w:hAnsi="Times New Roman" w:cs="Times New Roman"/>
          <w:highlight w:val="yellow"/>
          <w:lang w:val="en-US"/>
        </w:rPr>
        <w:t xml:space="preserve">, H. K. (2022). Macroeconomic instability and foreign capital flows in East African Community: Panel cointegration analysis. </w:t>
      </w:r>
      <w:r w:rsidRPr="005C2006">
        <w:rPr>
          <w:rFonts w:ascii="Times New Roman" w:hAnsi="Times New Roman" w:cs="Times New Roman"/>
          <w:i/>
          <w:iCs/>
          <w:highlight w:val="yellow"/>
          <w:lang w:val="en-US"/>
        </w:rPr>
        <w:t>African Development Review</w:t>
      </w:r>
      <w:r w:rsidRPr="005C2006">
        <w:rPr>
          <w:rFonts w:ascii="Times New Roman" w:hAnsi="Times New Roman" w:cs="Times New Roman"/>
          <w:highlight w:val="yellow"/>
          <w:lang w:val="en-US"/>
        </w:rPr>
        <w:t>, 34(2), 185–198.</w:t>
      </w:r>
    </w:p>
    <w:p w14:paraId="106F6A40"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Koojaroenprasit</w:t>
      </w:r>
      <w:proofErr w:type="spellEnd"/>
      <w:r w:rsidRPr="00734744">
        <w:rPr>
          <w:rFonts w:ascii="Times New Roman" w:hAnsi="Times New Roman" w:cs="Times New Roman"/>
          <w:color w:val="000000" w:themeColor="text1"/>
        </w:rPr>
        <w:t xml:space="preserve">, S. (2012). The impact of foreign direct investment on economic growth: A case study of South Korea. </w:t>
      </w:r>
      <w:r w:rsidRPr="00734744">
        <w:rPr>
          <w:rFonts w:ascii="Times New Roman" w:hAnsi="Times New Roman" w:cs="Times New Roman"/>
          <w:i/>
          <w:iCs/>
          <w:color w:val="000000" w:themeColor="text1"/>
        </w:rPr>
        <w:t>International Journal of Business and Social Science, 3</w:t>
      </w:r>
      <w:r w:rsidRPr="00734744">
        <w:rPr>
          <w:rFonts w:ascii="Times New Roman" w:hAnsi="Times New Roman" w:cs="Times New Roman"/>
          <w:color w:val="000000" w:themeColor="text1"/>
        </w:rPr>
        <w:t>(21), 8–17.</w:t>
      </w:r>
    </w:p>
    <w:p w14:paraId="1D4BCB01"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Latief, R., &amp; </w:t>
      </w:r>
      <w:proofErr w:type="spellStart"/>
      <w:r w:rsidRPr="00734744">
        <w:rPr>
          <w:rFonts w:ascii="Times New Roman" w:hAnsi="Times New Roman" w:cs="Times New Roman"/>
          <w:color w:val="000000" w:themeColor="text1"/>
        </w:rPr>
        <w:t>Lefen</w:t>
      </w:r>
      <w:proofErr w:type="spellEnd"/>
      <w:r w:rsidRPr="00734744">
        <w:rPr>
          <w:rFonts w:ascii="Times New Roman" w:hAnsi="Times New Roman" w:cs="Times New Roman"/>
          <w:color w:val="000000" w:themeColor="text1"/>
        </w:rPr>
        <w:t xml:space="preserve">, L. (2018). The effect of exchange rate volatility on international trade and foreign direct investment (FDI): A review of the literature. </w:t>
      </w:r>
      <w:r w:rsidRPr="00734744">
        <w:rPr>
          <w:rFonts w:ascii="Times New Roman" w:hAnsi="Times New Roman" w:cs="Times New Roman"/>
          <w:i/>
          <w:iCs/>
          <w:color w:val="000000" w:themeColor="text1"/>
        </w:rPr>
        <w:t>Journal of International Studies, 11</w:t>
      </w:r>
      <w:r w:rsidRPr="00734744">
        <w:rPr>
          <w:rFonts w:ascii="Times New Roman" w:hAnsi="Times New Roman" w:cs="Times New Roman"/>
          <w:color w:val="000000" w:themeColor="text1"/>
        </w:rPr>
        <w:t>(4), 85–100.</w:t>
      </w:r>
    </w:p>
    <w:p w14:paraId="7FB7B037" w14:textId="77777777" w:rsidR="00B17D93" w:rsidRPr="0041222D" w:rsidRDefault="00B17D93" w:rsidP="0041222D">
      <w:pPr>
        <w:ind w:left="720" w:hanging="720"/>
        <w:rPr>
          <w:rFonts w:ascii="Times New Roman" w:hAnsi="Times New Roman" w:cs="Times New Roman"/>
          <w:color w:val="000000" w:themeColor="text1"/>
          <w:lang w:val="en-US"/>
        </w:rPr>
      </w:pPr>
      <w:proofErr w:type="spellStart"/>
      <w:r w:rsidRPr="00CD3D5D">
        <w:rPr>
          <w:rFonts w:ascii="Times New Roman" w:hAnsi="Times New Roman" w:cs="Times New Roman"/>
          <w:color w:val="000000" w:themeColor="text1"/>
          <w:highlight w:val="yellow"/>
        </w:rPr>
        <w:t>Mahdinezhad</w:t>
      </w:r>
      <w:proofErr w:type="spellEnd"/>
      <w:r w:rsidRPr="00CD3D5D">
        <w:rPr>
          <w:rFonts w:ascii="Times New Roman" w:hAnsi="Times New Roman" w:cs="Times New Roman"/>
          <w:color w:val="000000" w:themeColor="text1"/>
          <w:highlight w:val="yellow"/>
        </w:rPr>
        <w:t>, M. (2016). Impact of selected macro-economic variables on foreign direct investment in Kenya. </w:t>
      </w:r>
      <w:r w:rsidRPr="00CD3D5D">
        <w:rPr>
          <w:rFonts w:ascii="Times New Roman" w:hAnsi="Times New Roman" w:cs="Times New Roman"/>
          <w:i/>
          <w:iCs/>
          <w:color w:val="000000" w:themeColor="text1"/>
          <w:highlight w:val="yellow"/>
        </w:rPr>
        <w:t>International Journal of Economics, Finance and Management Sciences</w:t>
      </w:r>
      <w:r w:rsidRPr="00CD3D5D">
        <w:rPr>
          <w:rFonts w:ascii="Times New Roman" w:hAnsi="Times New Roman" w:cs="Times New Roman"/>
          <w:color w:val="000000" w:themeColor="text1"/>
          <w:highlight w:val="yellow"/>
        </w:rPr>
        <w:t>.</w:t>
      </w:r>
    </w:p>
    <w:p w14:paraId="44F0196D"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lastRenderedPageBreak/>
        <w:t xml:space="preserve">Maina, J. M., &amp; Kimani, E. W. (2022). Inflationary pressures and private capital formation in Kenya: Evidence from a Vector Error Correction Model. </w:t>
      </w:r>
      <w:r w:rsidRPr="005C2006">
        <w:rPr>
          <w:rFonts w:ascii="Times New Roman" w:hAnsi="Times New Roman" w:cs="Times New Roman"/>
          <w:i/>
          <w:iCs/>
          <w:highlight w:val="yellow"/>
          <w:lang w:val="en-US"/>
        </w:rPr>
        <w:t>East African Economic Journal</w:t>
      </w:r>
      <w:r w:rsidRPr="005C2006">
        <w:rPr>
          <w:rFonts w:ascii="Times New Roman" w:hAnsi="Times New Roman" w:cs="Times New Roman"/>
          <w:highlight w:val="yellow"/>
          <w:lang w:val="en-US"/>
        </w:rPr>
        <w:t>, 11(1), 45–62.</w:t>
      </w:r>
    </w:p>
    <w:p w14:paraId="4A0C56B8"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Mansoor, M., &amp; Bibi, S. (2018). Financial development, exchange rate and foreign direct investment: Evidence from Pakistan. </w:t>
      </w:r>
      <w:r w:rsidRPr="00734744">
        <w:rPr>
          <w:rFonts w:ascii="Times New Roman" w:hAnsi="Times New Roman" w:cs="Times New Roman"/>
          <w:i/>
          <w:iCs/>
          <w:color w:val="000000" w:themeColor="text1"/>
        </w:rPr>
        <w:t>Journal of Economics and Sustainable Development, 9</w:t>
      </w:r>
      <w:r w:rsidRPr="00734744">
        <w:rPr>
          <w:rFonts w:ascii="Times New Roman" w:hAnsi="Times New Roman" w:cs="Times New Roman"/>
          <w:color w:val="000000" w:themeColor="text1"/>
        </w:rPr>
        <w:t>(7).</w:t>
      </w:r>
    </w:p>
    <w:p w14:paraId="5667AEC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Medeiros, P., </w:t>
      </w:r>
      <w:proofErr w:type="spellStart"/>
      <w:r w:rsidRPr="00734744">
        <w:rPr>
          <w:rFonts w:ascii="Times New Roman" w:hAnsi="Times New Roman" w:cs="Times New Roman"/>
          <w:color w:val="000000" w:themeColor="text1"/>
        </w:rPr>
        <w:t>Marcuzzo</w:t>
      </w:r>
      <w:proofErr w:type="spellEnd"/>
      <w:r w:rsidRPr="00734744">
        <w:rPr>
          <w:rFonts w:ascii="Times New Roman" w:hAnsi="Times New Roman" w:cs="Times New Roman"/>
          <w:color w:val="000000" w:themeColor="text1"/>
        </w:rPr>
        <w:t xml:space="preserve">, F., Youlton, C., &amp; Wendland, E. (2011). Error autocorrelation and linear regression for temperature-based evapotranspiration estimates improvement 1. </w:t>
      </w:r>
      <w:r w:rsidRPr="00734744">
        <w:rPr>
          <w:rFonts w:ascii="Times New Roman" w:hAnsi="Times New Roman" w:cs="Times New Roman"/>
          <w:i/>
          <w:iCs/>
          <w:color w:val="000000" w:themeColor="text1"/>
        </w:rPr>
        <w:t>JAWRA Journal of the American Water Resources Association, 48</w:t>
      </w:r>
      <w:r w:rsidRPr="00734744">
        <w:rPr>
          <w:rFonts w:ascii="Times New Roman" w:hAnsi="Times New Roman" w:cs="Times New Roman"/>
          <w:color w:val="000000" w:themeColor="text1"/>
        </w:rPr>
        <w:t xml:space="preserve">(2), 297–305. </w:t>
      </w:r>
    </w:p>
    <w:p w14:paraId="62A9E622"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Meftah, S., &amp; Nassour, A. (2019). Macroeconomic variables and foreign direct investment inflows in Turkey. </w:t>
      </w:r>
      <w:proofErr w:type="spellStart"/>
      <w:r w:rsidRPr="00734744">
        <w:rPr>
          <w:rFonts w:ascii="Times New Roman" w:hAnsi="Times New Roman" w:cs="Times New Roman"/>
          <w:i/>
          <w:iCs/>
          <w:color w:val="000000" w:themeColor="text1"/>
        </w:rPr>
        <w:t>Signifikan</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Jurnal</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Ilmu</w:t>
      </w:r>
      <w:proofErr w:type="spellEnd"/>
      <w:r w:rsidRPr="00734744">
        <w:rPr>
          <w:rFonts w:ascii="Times New Roman" w:hAnsi="Times New Roman" w:cs="Times New Roman"/>
          <w:i/>
          <w:iCs/>
          <w:color w:val="000000" w:themeColor="text1"/>
        </w:rPr>
        <w:t xml:space="preserve"> Ekonomi, 8</w:t>
      </w:r>
      <w:r w:rsidRPr="00734744">
        <w:rPr>
          <w:rFonts w:ascii="Times New Roman" w:hAnsi="Times New Roman" w:cs="Times New Roman"/>
          <w:color w:val="000000" w:themeColor="text1"/>
        </w:rPr>
        <w:t xml:space="preserve">(2), 195–206. </w:t>
      </w:r>
    </w:p>
    <w:p w14:paraId="2AEE8344"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Mensah, I. A., Sun, M., &amp; Gao, Y. (2022). Re-examining the FDI-economic growth nexus in Sub-Saharan Africa: New evidence from panel ARDL and causality approaches. </w:t>
      </w:r>
      <w:r w:rsidRPr="005C2006">
        <w:rPr>
          <w:rFonts w:ascii="Times New Roman" w:hAnsi="Times New Roman" w:cs="Times New Roman"/>
          <w:i/>
          <w:iCs/>
          <w:highlight w:val="yellow"/>
          <w:lang w:val="en-US"/>
        </w:rPr>
        <w:t>Environmental Science and Pollution Research</w:t>
      </w:r>
      <w:r w:rsidRPr="005C2006">
        <w:rPr>
          <w:rFonts w:ascii="Times New Roman" w:hAnsi="Times New Roman" w:cs="Times New Roman"/>
          <w:highlight w:val="yellow"/>
          <w:lang w:val="en-US"/>
        </w:rPr>
        <w:t>, 29(14), 21105–21121.</w:t>
      </w:r>
    </w:p>
    <w:p w14:paraId="1B2E842C"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Mohamed, P. (2011). Effects of multicollinearity on the estimation of macroeconomic variables by using data from Sudan.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367. </w:t>
      </w:r>
    </w:p>
    <w:p w14:paraId="629155D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Mueller, G., &amp; Rigdon, S. (2015). The constant shape parameter assumption in Weibull regression. </w:t>
      </w:r>
      <w:r w:rsidRPr="00734744">
        <w:rPr>
          <w:rFonts w:ascii="Times New Roman" w:hAnsi="Times New Roman" w:cs="Times New Roman"/>
          <w:i/>
          <w:iCs/>
          <w:color w:val="000000" w:themeColor="text1"/>
        </w:rPr>
        <w:t>Quality Engineering, 27</w:t>
      </w:r>
      <w:r w:rsidRPr="00734744">
        <w:rPr>
          <w:rFonts w:ascii="Times New Roman" w:hAnsi="Times New Roman" w:cs="Times New Roman"/>
          <w:color w:val="000000" w:themeColor="text1"/>
        </w:rPr>
        <w:t xml:space="preserve">(3), 374–392. </w:t>
      </w:r>
    </w:p>
    <w:p w14:paraId="7C97DCD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Mugenda, O. M., &amp; Mugenda, A. G. (2013). </w:t>
      </w:r>
      <w:r w:rsidRPr="00734744">
        <w:rPr>
          <w:rFonts w:ascii="Times New Roman" w:hAnsi="Times New Roman" w:cs="Times New Roman"/>
          <w:i/>
          <w:iCs/>
          <w:color w:val="000000" w:themeColor="text1"/>
        </w:rPr>
        <w:t>Research methods: Quantitative and qualitative approaches</w:t>
      </w:r>
      <w:r w:rsidRPr="00734744">
        <w:rPr>
          <w:rFonts w:ascii="Times New Roman" w:hAnsi="Times New Roman" w:cs="Times New Roman"/>
          <w:color w:val="000000" w:themeColor="text1"/>
        </w:rPr>
        <w:t>. Acts Press.</w:t>
      </w:r>
    </w:p>
    <w:p w14:paraId="69012BD4"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Musyoka, N., &amp; </w:t>
      </w:r>
      <w:proofErr w:type="spellStart"/>
      <w:r w:rsidRPr="00734744">
        <w:rPr>
          <w:rFonts w:ascii="Times New Roman" w:hAnsi="Times New Roman" w:cs="Times New Roman"/>
          <w:color w:val="000000" w:themeColor="text1"/>
        </w:rPr>
        <w:t>Ocharo</w:t>
      </w:r>
      <w:proofErr w:type="spellEnd"/>
      <w:r w:rsidRPr="00734744">
        <w:rPr>
          <w:rFonts w:ascii="Times New Roman" w:hAnsi="Times New Roman" w:cs="Times New Roman"/>
          <w:color w:val="000000" w:themeColor="text1"/>
        </w:rPr>
        <w:t xml:space="preserve">, K. (2018). Real interest rate, inflation, exchange rate, competitiveness and foreign direct investment in Kenya. </w:t>
      </w:r>
      <w:r w:rsidRPr="00734744">
        <w:rPr>
          <w:rFonts w:ascii="Times New Roman" w:hAnsi="Times New Roman" w:cs="Times New Roman"/>
          <w:i/>
          <w:iCs/>
          <w:color w:val="000000" w:themeColor="text1"/>
        </w:rPr>
        <w:t>American Journal of Economics, 3</w:t>
      </w:r>
      <w:r w:rsidRPr="00734744">
        <w:rPr>
          <w:rFonts w:ascii="Times New Roman" w:hAnsi="Times New Roman" w:cs="Times New Roman"/>
          <w:color w:val="000000" w:themeColor="text1"/>
        </w:rPr>
        <w:t xml:space="preserve">(1), 1–18. </w:t>
      </w:r>
    </w:p>
    <w:p w14:paraId="6CFB5588"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t xml:space="preserve">Mwangi, S. W., &amp; Kamau, R. N. (2022). Exchange rate volatility, currency depreciation, and foreign direct investment in Kenya. </w:t>
      </w:r>
      <w:r w:rsidRPr="005C2006">
        <w:rPr>
          <w:rFonts w:ascii="Times New Roman" w:hAnsi="Times New Roman" w:cs="Times New Roman"/>
          <w:i/>
          <w:iCs/>
          <w:highlight w:val="yellow"/>
          <w:lang w:val="en-US"/>
        </w:rPr>
        <w:t>Journal of Emerging Market Finance</w:t>
      </w:r>
      <w:r w:rsidRPr="005C2006">
        <w:rPr>
          <w:rFonts w:ascii="Times New Roman" w:hAnsi="Times New Roman" w:cs="Times New Roman"/>
          <w:highlight w:val="yellow"/>
          <w:lang w:val="en-US"/>
        </w:rPr>
        <w:t>, 21(4), 488–511.</w:t>
      </w:r>
    </w:p>
    <w:p w14:paraId="010D235E" w14:textId="77777777" w:rsidR="00B17D93" w:rsidRPr="00CD3D5D" w:rsidRDefault="00B17D93" w:rsidP="00F724EB">
      <w:pPr>
        <w:ind w:left="720" w:hanging="720"/>
        <w:rPr>
          <w:rFonts w:ascii="Times New Roman" w:hAnsi="Times New Roman" w:cs="Times New Roman"/>
          <w:highlight w:val="yellow"/>
        </w:rPr>
      </w:pPr>
      <w:r w:rsidRPr="00CD3D5D">
        <w:rPr>
          <w:rFonts w:ascii="Times New Roman" w:hAnsi="Times New Roman" w:cs="Times New Roman"/>
          <w:highlight w:val="yellow"/>
        </w:rPr>
        <w:t xml:space="preserve">Mwenda, S. N., &amp; </w:t>
      </w:r>
      <w:proofErr w:type="spellStart"/>
      <w:r w:rsidRPr="00CD3D5D">
        <w:rPr>
          <w:rFonts w:ascii="Times New Roman" w:hAnsi="Times New Roman" w:cs="Times New Roman"/>
          <w:highlight w:val="yellow"/>
        </w:rPr>
        <w:t>Wasseja</w:t>
      </w:r>
      <w:proofErr w:type="spellEnd"/>
      <w:r w:rsidRPr="00CD3D5D">
        <w:rPr>
          <w:rFonts w:ascii="Times New Roman" w:hAnsi="Times New Roman" w:cs="Times New Roman"/>
          <w:highlight w:val="yellow"/>
        </w:rPr>
        <w:t>, M. (2013). Analysis of the Determinants of Foreign Direct Investment in Kenya.</w:t>
      </w:r>
    </w:p>
    <w:p w14:paraId="7012826B"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Nduati, M. (2018). </w:t>
      </w:r>
      <w:r w:rsidRPr="00734744">
        <w:rPr>
          <w:rFonts w:ascii="Times New Roman" w:hAnsi="Times New Roman" w:cs="Times New Roman"/>
          <w:i/>
          <w:iCs/>
          <w:color w:val="000000" w:themeColor="text1"/>
        </w:rPr>
        <w:t>The effect of inflation rate on foreign direct investments in Kenya</w:t>
      </w:r>
      <w:r w:rsidRPr="00734744">
        <w:rPr>
          <w:rFonts w:ascii="Times New Roman" w:hAnsi="Times New Roman" w:cs="Times New Roman"/>
          <w:color w:val="000000" w:themeColor="text1"/>
        </w:rPr>
        <w:t xml:space="preserve"> (Doctoral dissertation). University of Nairobi. </w:t>
      </w:r>
    </w:p>
    <w:p w14:paraId="112248B3"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Nikonenko, U., </w:t>
      </w:r>
      <w:proofErr w:type="spellStart"/>
      <w:r w:rsidRPr="00CD3D5D">
        <w:rPr>
          <w:rFonts w:ascii="Times New Roman" w:hAnsi="Times New Roman" w:cs="Times New Roman"/>
          <w:color w:val="000000" w:themeColor="text1"/>
          <w:highlight w:val="yellow"/>
        </w:rPr>
        <w:t>Shtets</w:t>
      </w:r>
      <w:proofErr w:type="spellEnd"/>
      <w:r w:rsidRPr="00CD3D5D">
        <w:rPr>
          <w:rFonts w:ascii="Times New Roman" w:hAnsi="Times New Roman" w:cs="Times New Roman"/>
          <w:color w:val="000000" w:themeColor="text1"/>
          <w:highlight w:val="yellow"/>
        </w:rPr>
        <w:t>, T., Kalinin, A., Dorosh, I., &amp; Sokolik, L. (2022). Assessing the Policy of Attracting Investments in the Main Sectors of the Economy in the Context of Introducing Aspects of Industry 4.0. </w:t>
      </w:r>
      <w:r w:rsidRPr="00CD3D5D">
        <w:rPr>
          <w:rFonts w:ascii="Times New Roman" w:hAnsi="Times New Roman" w:cs="Times New Roman"/>
          <w:i/>
          <w:iCs/>
          <w:color w:val="000000" w:themeColor="text1"/>
          <w:highlight w:val="yellow"/>
        </w:rPr>
        <w:t>International Journal of Sustainable Development &amp; Planning</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17</w:t>
      </w:r>
      <w:r w:rsidRPr="00CD3D5D">
        <w:rPr>
          <w:rFonts w:ascii="Times New Roman" w:hAnsi="Times New Roman" w:cs="Times New Roman"/>
          <w:color w:val="000000" w:themeColor="text1"/>
          <w:highlight w:val="yellow"/>
        </w:rPr>
        <w:t>(2), 497.</w:t>
      </w:r>
    </w:p>
    <w:p w14:paraId="6B4BA369"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Nosheen, M. (2013). Impact of foreign direct investment on gross domestic product. </w:t>
      </w:r>
      <w:r w:rsidRPr="00734744">
        <w:rPr>
          <w:rFonts w:ascii="Times New Roman" w:hAnsi="Times New Roman" w:cs="Times New Roman"/>
          <w:i/>
          <w:iCs/>
          <w:color w:val="000000" w:themeColor="text1"/>
        </w:rPr>
        <w:t>World Applied Sciences Journal, 24</w:t>
      </w:r>
      <w:r w:rsidRPr="00734744">
        <w:rPr>
          <w:rFonts w:ascii="Times New Roman" w:hAnsi="Times New Roman" w:cs="Times New Roman"/>
          <w:color w:val="000000" w:themeColor="text1"/>
        </w:rPr>
        <w:t xml:space="preserve">(10), 1358–1361. </w:t>
      </w:r>
    </w:p>
    <w:p w14:paraId="4FC8EFAD" w14:textId="77777777" w:rsidR="00B17D93" w:rsidRPr="005C2006" w:rsidRDefault="00B17D93" w:rsidP="005C2006">
      <w:pPr>
        <w:ind w:left="720" w:hanging="720"/>
        <w:jc w:val="both"/>
        <w:rPr>
          <w:rFonts w:ascii="Times New Roman" w:hAnsi="Times New Roman" w:cs="Times New Roman"/>
          <w:highlight w:val="yellow"/>
          <w:lang w:val="en-US"/>
        </w:rPr>
      </w:pPr>
      <w:r w:rsidRPr="005C2006">
        <w:rPr>
          <w:rFonts w:ascii="Times New Roman" w:hAnsi="Times New Roman" w:cs="Times New Roman"/>
          <w:highlight w:val="yellow"/>
          <w:lang w:val="en-US"/>
        </w:rPr>
        <w:lastRenderedPageBreak/>
        <w:t xml:space="preserve">Nyongesa, D. O. (2023). Monetary policy rates, interest rate differentials, and foreign investment flows in Kenya. </w:t>
      </w:r>
      <w:r w:rsidRPr="005C2006">
        <w:rPr>
          <w:rFonts w:ascii="Times New Roman" w:hAnsi="Times New Roman" w:cs="Times New Roman"/>
          <w:i/>
          <w:iCs/>
          <w:highlight w:val="yellow"/>
          <w:lang w:val="en-US"/>
        </w:rPr>
        <w:t>Journal of Monetary and Economic Integration</w:t>
      </w:r>
      <w:r w:rsidRPr="005C2006">
        <w:rPr>
          <w:rFonts w:ascii="Times New Roman" w:hAnsi="Times New Roman" w:cs="Times New Roman"/>
          <w:highlight w:val="yellow"/>
          <w:lang w:val="en-US"/>
        </w:rPr>
        <w:t>, 15(2), 89–114.</w:t>
      </w:r>
    </w:p>
    <w:p w14:paraId="6A9F957D" w14:textId="77777777" w:rsidR="00B17D93" w:rsidRDefault="00B17D93" w:rsidP="005C2006">
      <w:pPr>
        <w:ind w:left="720" w:hanging="720"/>
        <w:jc w:val="both"/>
        <w:rPr>
          <w:rFonts w:ascii="Times New Roman" w:hAnsi="Times New Roman" w:cs="Times New Roman"/>
          <w:lang w:val="en-US"/>
        </w:rPr>
      </w:pPr>
      <w:r w:rsidRPr="005C2006">
        <w:rPr>
          <w:rFonts w:ascii="Times New Roman" w:hAnsi="Times New Roman" w:cs="Times New Roman"/>
          <w:highlight w:val="yellow"/>
          <w:lang w:val="en-US"/>
        </w:rPr>
        <w:t xml:space="preserve">Ochieng, P. A., &amp; Odhiambo, N. M. (2023). Market size, economic growth, and foreign direct investment inflows in Kenya: A dynamic econometric analysis. </w:t>
      </w:r>
      <w:r w:rsidRPr="005C2006">
        <w:rPr>
          <w:rFonts w:ascii="Times New Roman" w:hAnsi="Times New Roman" w:cs="Times New Roman"/>
          <w:i/>
          <w:iCs/>
          <w:highlight w:val="yellow"/>
          <w:lang w:val="en-US"/>
        </w:rPr>
        <w:t>Journal of Economic Studies</w:t>
      </w:r>
      <w:r w:rsidRPr="005C2006">
        <w:rPr>
          <w:rFonts w:ascii="Times New Roman" w:hAnsi="Times New Roman" w:cs="Times New Roman"/>
          <w:highlight w:val="yellow"/>
          <w:lang w:val="en-US"/>
        </w:rPr>
        <w:t>, 50(5), 1021–1038.</w:t>
      </w:r>
    </w:p>
    <w:p w14:paraId="0736CDDB"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Omondi, M., &amp; Muturi, W. (2013). Factors affecting the financial performance of listed companies at the Nairobi Securities Exchange in Kenya. </w:t>
      </w:r>
      <w:r w:rsidRPr="00734744">
        <w:rPr>
          <w:rFonts w:ascii="Times New Roman" w:hAnsi="Times New Roman" w:cs="Times New Roman"/>
          <w:i/>
          <w:iCs/>
          <w:color w:val="000000" w:themeColor="text1"/>
        </w:rPr>
        <w:t>Research Journal of Finance and Accounting, 4</w:t>
      </w:r>
      <w:r w:rsidRPr="00734744">
        <w:rPr>
          <w:rFonts w:ascii="Times New Roman" w:hAnsi="Times New Roman" w:cs="Times New Roman"/>
          <w:color w:val="000000" w:themeColor="text1"/>
        </w:rPr>
        <w:t xml:space="preserve">(15), 99–104. </w:t>
      </w:r>
    </w:p>
    <w:p w14:paraId="5C83FE2F" w14:textId="77777777" w:rsidR="00B17D93" w:rsidRPr="00734744"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Ouma, L. B. (2021). The question of regional integration in Africa: A critical analysis of Kenya's trade, infrastructure, and security in the context of the AFCFTA.</w:t>
      </w:r>
    </w:p>
    <w:p w14:paraId="4EBB30AF"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Paul, M., &amp; Sharma, P. (2019). Inflation Rate and Poverty: Does Poor become Poorer with Inflation?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3328539. </w:t>
      </w:r>
    </w:p>
    <w:p w14:paraId="7E477AB8" w14:textId="77777777" w:rsidR="00B17D93" w:rsidRPr="00B17D93" w:rsidRDefault="00B17D93" w:rsidP="005C2006">
      <w:pPr>
        <w:ind w:left="720" w:hanging="720"/>
        <w:jc w:val="both"/>
        <w:rPr>
          <w:rFonts w:ascii="Times New Roman" w:hAnsi="Times New Roman" w:cs="Times New Roman"/>
          <w:color w:val="000000" w:themeColor="text1"/>
        </w:rPr>
      </w:pPr>
      <w:proofErr w:type="spellStart"/>
      <w:r w:rsidRPr="00B17D93">
        <w:rPr>
          <w:rFonts w:ascii="Times New Roman" w:hAnsi="Times New Roman" w:cs="Times New Roman"/>
          <w:color w:val="000000" w:themeColor="text1"/>
          <w:highlight w:val="green"/>
        </w:rPr>
        <w:t>Pesaran</w:t>
      </w:r>
      <w:proofErr w:type="spellEnd"/>
      <w:r w:rsidRPr="00B17D93">
        <w:rPr>
          <w:rFonts w:ascii="Times New Roman" w:hAnsi="Times New Roman" w:cs="Times New Roman"/>
          <w:color w:val="000000" w:themeColor="text1"/>
          <w:highlight w:val="green"/>
        </w:rPr>
        <w:t xml:space="preserve">, M. H., Shin, Y., &amp; Smith, R. J. (2001). Bounds testing approaches to the analysis of level relationships. </w:t>
      </w:r>
      <w:r w:rsidRPr="00B17D93">
        <w:rPr>
          <w:rFonts w:ascii="Times New Roman" w:hAnsi="Times New Roman" w:cs="Times New Roman"/>
          <w:i/>
          <w:iCs/>
          <w:color w:val="000000" w:themeColor="text1"/>
          <w:highlight w:val="green"/>
        </w:rPr>
        <w:t>Journal of Applied Econometrics</w:t>
      </w:r>
      <w:r w:rsidRPr="00B17D93">
        <w:rPr>
          <w:rFonts w:ascii="Times New Roman" w:hAnsi="Times New Roman" w:cs="Times New Roman"/>
          <w:color w:val="000000" w:themeColor="text1"/>
          <w:highlight w:val="green"/>
        </w:rPr>
        <w:t xml:space="preserve">, 16(3), 289–326. </w:t>
      </w:r>
      <w:hyperlink r:id="rId8" w:tgtFrame="_blank" w:history="1">
        <w:r w:rsidRPr="00B17D93">
          <w:rPr>
            <w:rStyle w:val="Hyperlink"/>
            <w:rFonts w:ascii="Times New Roman" w:hAnsi="Times New Roman" w:cs="Times New Roman"/>
            <w:color w:val="000000" w:themeColor="text1"/>
            <w:highlight w:val="green"/>
            <w:u w:val="none"/>
          </w:rPr>
          <w:t>https://doi.org/10.1002/jae.616</w:t>
        </w:r>
      </w:hyperlink>
    </w:p>
    <w:p w14:paraId="173BDA2F"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Phillips, P. C. B., &amp; Perron, P. (1988). Testing for a unit root in time series regression. </w:t>
      </w:r>
      <w:proofErr w:type="spellStart"/>
      <w:r w:rsidRPr="00734744">
        <w:rPr>
          <w:rFonts w:ascii="Times New Roman" w:hAnsi="Times New Roman" w:cs="Times New Roman"/>
          <w:i/>
          <w:iCs/>
          <w:color w:val="000000" w:themeColor="text1"/>
        </w:rPr>
        <w:t>Biometrika</w:t>
      </w:r>
      <w:proofErr w:type="spellEnd"/>
      <w:r w:rsidRPr="00734744">
        <w:rPr>
          <w:rFonts w:ascii="Times New Roman" w:hAnsi="Times New Roman" w:cs="Times New Roman"/>
          <w:i/>
          <w:iCs/>
          <w:color w:val="000000" w:themeColor="text1"/>
        </w:rPr>
        <w:t>, 75</w:t>
      </w:r>
      <w:r w:rsidRPr="00734744">
        <w:rPr>
          <w:rFonts w:ascii="Times New Roman" w:hAnsi="Times New Roman" w:cs="Times New Roman"/>
          <w:color w:val="000000" w:themeColor="text1"/>
        </w:rPr>
        <w:t xml:space="preserve">(2), 335–346. </w:t>
      </w:r>
      <w:hyperlink r:id="rId9" w:tgtFrame="_new" w:history="1">
        <w:r w:rsidRPr="00734744">
          <w:rPr>
            <w:rStyle w:val="Hyperlink"/>
            <w:rFonts w:ascii="Times New Roman" w:hAnsi="Times New Roman" w:cs="Times New Roman"/>
            <w:color w:val="000000" w:themeColor="text1"/>
            <w:u w:val="none"/>
          </w:rPr>
          <w:t>https://doi.org/10.1093/biomet/75.2.335</w:t>
        </w:r>
      </w:hyperlink>
    </w:p>
    <w:p w14:paraId="6E2E01EE"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Pilarska, C. (2015). The Importance of Inward Foreign Direct Investment during the Transformation Process in Poland with a Focus on American Investment. </w:t>
      </w:r>
      <w:r w:rsidRPr="00734744">
        <w:rPr>
          <w:rFonts w:ascii="Times New Roman" w:hAnsi="Times New Roman" w:cs="Times New Roman"/>
          <w:i/>
          <w:iCs/>
          <w:color w:val="000000" w:themeColor="text1"/>
        </w:rPr>
        <w:t xml:space="preserve">Argumenta </w:t>
      </w:r>
      <w:proofErr w:type="spellStart"/>
      <w:r w:rsidRPr="00734744">
        <w:rPr>
          <w:rFonts w:ascii="Times New Roman" w:hAnsi="Times New Roman" w:cs="Times New Roman"/>
          <w:i/>
          <w:iCs/>
          <w:color w:val="000000" w:themeColor="text1"/>
        </w:rPr>
        <w:t>Oeconomica</w:t>
      </w:r>
      <w:proofErr w:type="spellEnd"/>
      <w:r w:rsidRPr="00734744">
        <w:rPr>
          <w:rFonts w:ascii="Times New Roman" w:hAnsi="Times New Roman" w:cs="Times New Roman"/>
          <w:i/>
          <w:iCs/>
          <w:color w:val="000000" w:themeColor="text1"/>
        </w:rPr>
        <w:t xml:space="preserve"> </w:t>
      </w:r>
      <w:proofErr w:type="spellStart"/>
      <w:r w:rsidRPr="00734744">
        <w:rPr>
          <w:rFonts w:ascii="Times New Roman" w:hAnsi="Times New Roman" w:cs="Times New Roman"/>
          <w:i/>
          <w:iCs/>
          <w:color w:val="000000" w:themeColor="text1"/>
        </w:rPr>
        <w:t>Cracoviensia</w:t>
      </w:r>
      <w:proofErr w:type="spellEnd"/>
      <w:r w:rsidRPr="00734744">
        <w:rPr>
          <w:rFonts w:ascii="Times New Roman" w:hAnsi="Times New Roman" w:cs="Times New Roman"/>
          <w:color w:val="000000" w:themeColor="text1"/>
        </w:rPr>
        <w:t xml:space="preserve">, (13), 103–125. </w:t>
      </w:r>
    </w:p>
    <w:p w14:paraId="760D04E3" w14:textId="77777777" w:rsidR="00B17D93" w:rsidRPr="00CD3D5D" w:rsidRDefault="00B17D93" w:rsidP="00530B02">
      <w:pPr>
        <w:ind w:left="720" w:hanging="720"/>
        <w:jc w:val="both"/>
        <w:rPr>
          <w:rFonts w:ascii="Times New Roman" w:hAnsi="Times New Roman" w:cs="Times New Roman"/>
          <w:color w:val="000000" w:themeColor="text1"/>
          <w:highlight w:val="yellow"/>
        </w:rPr>
      </w:pPr>
      <w:r w:rsidRPr="00CD3D5D">
        <w:rPr>
          <w:rFonts w:ascii="Times New Roman" w:hAnsi="Times New Roman" w:cs="Times New Roman"/>
          <w:color w:val="000000" w:themeColor="text1"/>
          <w:highlight w:val="yellow"/>
        </w:rPr>
        <w:t xml:space="preserve">Shittu, S. A., Adewale, A. A., &amp; Agyemang, J. K. (2025). How Monetary Policy and Macroeconomic Instability Influence Foreign Direct </w:t>
      </w:r>
      <w:proofErr w:type="gramStart"/>
      <w:r w:rsidRPr="00CD3D5D">
        <w:rPr>
          <w:rFonts w:ascii="Times New Roman" w:hAnsi="Times New Roman" w:cs="Times New Roman"/>
          <w:color w:val="000000" w:themeColor="text1"/>
          <w:highlight w:val="yellow"/>
        </w:rPr>
        <w:t>Investment?.</w:t>
      </w:r>
      <w:proofErr w:type="gramEnd"/>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Journal of Accounting and Finance in Emerging Economies</w:t>
      </w:r>
      <w:r w:rsidRPr="00CD3D5D">
        <w:rPr>
          <w:rFonts w:ascii="Times New Roman" w:hAnsi="Times New Roman" w:cs="Times New Roman"/>
          <w:color w:val="000000" w:themeColor="text1"/>
          <w:highlight w:val="yellow"/>
        </w:rPr>
        <w:t>, </w:t>
      </w:r>
      <w:r w:rsidRPr="00CD3D5D">
        <w:rPr>
          <w:rFonts w:ascii="Times New Roman" w:hAnsi="Times New Roman" w:cs="Times New Roman"/>
          <w:i/>
          <w:iCs/>
          <w:color w:val="000000" w:themeColor="text1"/>
          <w:highlight w:val="yellow"/>
        </w:rPr>
        <w:t>11</w:t>
      </w:r>
      <w:r w:rsidRPr="00CD3D5D">
        <w:rPr>
          <w:rFonts w:ascii="Times New Roman" w:hAnsi="Times New Roman" w:cs="Times New Roman"/>
          <w:color w:val="000000" w:themeColor="text1"/>
          <w:highlight w:val="yellow"/>
        </w:rPr>
        <w:t>(4), 483-498.</w:t>
      </w:r>
    </w:p>
    <w:p w14:paraId="6C817B5D"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Siddiqui, H. A., &amp; </w:t>
      </w:r>
      <w:proofErr w:type="spellStart"/>
      <w:r w:rsidRPr="00734744">
        <w:rPr>
          <w:rFonts w:ascii="Times New Roman" w:hAnsi="Times New Roman" w:cs="Times New Roman"/>
          <w:color w:val="000000" w:themeColor="text1"/>
        </w:rPr>
        <w:t>Aumeboonsuke</w:t>
      </w:r>
      <w:proofErr w:type="spellEnd"/>
      <w:r w:rsidRPr="00734744">
        <w:rPr>
          <w:rFonts w:ascii="Times New Roman" w:hAnsi="Times New Roman" w:cs="Times New Roman"/>
          <w:color w:val="000000" w:themeColor="text1"/>
        </w:rPr>
        <w:t xml:space="preserve">, V. (2014). The role of interest rate in attracting FDI: A study on the ASEAN 5 economy. </w:t>
      </w:r>
      <w:r w:rsidRPr="00734744">
        <w:rPr>
          <w:rFonts w:ascii="Times New Roman" w:hAnsi="Times New Roman" w:cs="Times New Roman"/>
          <w:i/>
          <w:iCs/>
          <w:color w:val="000000" w:themeColor="text1"/>
        </w:rPr>
        <w:t>International Journal of Technical Research and Applications, 2</w:t>
      </w:r>
      <w:r w:rsidRPr="00734744">
        <w:rPr>
          <w:rFonts w:ascii="Times New Roman" w:hAnsi="Times New Roman" w:cs="Times New Roman"/>
          <w:color w:val="000000" w:themeColor="text1"/>
        </w:rPr>
        <w:t xml:space="preserve">(Special Issue 3), 59–70. </w:t>
      </w:r>
    </w:p>
    <w:p w14:paraId="3E668536"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Singh, S., &amp; Janor, H. (2019). Study on the causality nexus between macroeconomic variables using Vector Error Correction Modelling. </w:t>
      </w:r>
      <w:r w:rsidRPr="00734744">
        <w:rPr>
          <w:rFonts w:ascii="Times New Roman" w:hAnsi="Times New Roman" w:cs="Times New Roman"/>
          <w:i/>
          <w:iCs/>
          <w:color w:val="000000" w:themeColor="text1"/>
        </w:rPr>
        <w:t>SSRN Electronic Journal</w:t>
      </w:r>
      <w:r w:rsidRPr="00734744">
        <w:rPr>
          <w:rFonts w:ascii="Times New Roman" w:hAnsi="Times New Roman" w:cs="Times New Roman"/>
          <w:color w:val="000000" w:themeColor="text1"/>
        </w:rPr>
        <w:t xml:space="preserve">, 56. </w:t>
      </w:r>
    </w:p>
    <w:p w14:paraId="7E114E24" w14:textId="77777777" w:rsidR="00B17D93"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t>Ullah, I., &amp; Khan, M. A. (2017). Institutional quality and foreign direct investment inflows: evidence from Asian countries. </w:t>
      </w:r>
      <w:r w:rsidRPr="00280A29">
        <w:rPr>
          <w:rFonts w:ascii="Times New Roman" w:hAnsi="Times New Roman" w:cs="Times New Roman"/>
          <w:i/>
          <w:iCs/>
          <w:color w:val="000000" w:themeColor="text1"/>
        </w:rPr>
        <w:t>Journal of Economic Studies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44</w:t>
      </w:r>
      <w:r w:rsidRPr="00280A29">
        <w:rPr>
          <w:rFonts w:ascii="Times New Roman" w:hAnsi="Times New Roman" w:cs="Times New Roman"/>
          <w:color w:val="000000" w:themeColor="text1"/>
        </w:rPr>
        <w:t xml:space="preserve">(6), 1030-1050. </w:t>
      </w:r>
    </w:p>
    <w:p w14:paraId="78EFBFFF"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Usman, M., &amp; Ahmad, M. (2018). Testing The Relationship Among Macroeconomic Variables and Foreign Direct Investment Inflows in Pakistan. </w:t>
      </w:r>
      <w:r w:rsidRPr="00734744">
        <w:rPr>
          <w:rFonts w:ascii="Times New Roman" w:hAnsi="Times New Roman" w:cs="Times New Roman"/>
          <w:i/>
          <w:iCs/>
          <w:color w:val="000000" w:themeColor="text1"/>
        </w:rPr>
        <w:t>Scientific Research Journal, VI</w:t>
      </w:r>
      <w:r w:rsidRPr="00734744">
        <w:rPr>
          <w:rFonts w:ascii="Times New Roman" w:hAnsi="Times New Roman" w:cs="Times New Roman"/>
          <w:color w:val="000000" w:themeColor="text1"/>
        </w:rPr>
        <w:t xml:space="preserve">(VIII). </w:t>
      </w:r>
    </w:p>
    <w:p w14:paraId="20A5A2D5" w14:textId="77777777" w:rsidR="00B17D93" w:rsidRPr="00734744" w:rsidRDefault="00B17D93" w:rsidP="00530B02">
      <w:pPr>
        <w:ind w:left="720" w:hanging="720"/>
        <w:jc w:val="both"/>
        <w:rPr>
          <w:rFonts w:ascii="Times New Roman" w:hAnsi="Times New Roman" w:cs="Times New Roman"/>
          <w:color w:val="000000" w:themeColor="text1"/>
        </w:rPr>
      </w:pPr>
      <w:r w:rsidRPr="00280A29">
        <w:rPr>
          <w:rFonts w:ascii="Times New Roman" w:hAnsi="Times New Roman" w:cs="Times New Roman"/>
          <w:color w:val="000000" w:themeColor="text1"/>
        </w:rPr>
        <w:lastRenderedPageBreak/>
        <w:t xml:space="preserve">Vincent, A. E., </w:t>
      </w:r>
      <w:proofErr w:type="spellStart"/>
      <w:r w:rsidRPr="00280A29">
        <w:rPr>
          <w:rFonts w:ascii="Times New Roman" w:hAnsi="Times New Roman" w:cs="Times New Roman"/>
          <w:color w:val="000000" w:themeColor="text1"/>
        </w:rPr>
        <w:t>Salubi</w:t>
      </w:r>
      <w:proofErr w:type="spellEnd"/>
      <w:r w:rsidRPr="00280A29">
        <w:rPr>
          <w:rFonts w:ascii="Times New Roman" w:hAnsi="Times New Roman" w:cs="Times New Roman"/>
          <w:color w:val="000000" w:themeColor="text1"/>
        </w:rPr>
        <w:t xml:space="preserve">, I. L., &amp; Timothy, P. (2017). Evaluating The Effect </w:t>
      </w:r>
      <w:r>
        <w:rPr>
          <w:rFonts w:ascii="Times New Roman" w:hAnsi="Times New Roman" w:cs="Times New Roman"/>
          <w:color w:val="000000" w:themeColor="text1"/>
        </w:rPr>
        <w:t>o</w:t>
      </w:r>
      <w:r w:rsidRPr="00280A29">
        <w:rPr>
          <w:rFonts w:ascii="Times New Roman" w:hAnsi="Times New Roman" w:cs="Times New Roman"/>
          <w:color w:val="000000" w:themeColor="text1"/>
        </w:rPr>
        <w:t xml:space="preserve">f Exchange Rate </w:t>
      </w:r>
      <w:r>
        <w:rPr>
          <w:rFonts w:ascii="Times New Roman" w:hAnsi="Times New Roman" w:cs="Times New Roman"/>
          <w:color w:val="000000" w:themeColor="text1"/>
        </w:rPr>
        <w:t>o</w:t>
      </w:r>
      <w:r w:rsidRPr="00280A29">
        <w:rPr>
          <w:rFonts w:ascii="Times New Roman" w:hAnsi="Times New Roman" w:cs="Times New Roman"/>
          <w:color w:val="000000" w:themeColor="text1"/>
        </w:rPr>
        <w:t>n Foreign Direct Investment (F</w:t>
      </w:r>
      <w:r>
        <w:rPr>
          <w:rFonts w:ascii="Times New Roman" w:hAnsi="Times New Roman" w:cs="Times New Roman"/>
          <w:color w:val="000000" w:themeColor="text1"/>
        </w:rPr>
        <w:t>DI</w:t>
      </w:r>
      <w:r w:rsidRPr="00280A29">
        <w:rPr>
          <w:rFonts w:ascii="Times New Roman" w:hAnsi="Times New Roman" w:cs="Times New Roman"/>
          <w:color w:val="000000" w:themeColor="text1"/>
        </w:rPr>
        <w:t xml:space="preserve">) </w:t>
      </w:r>
      <w:r>
        <w:rPr>
          <w:rFonts w:ascii="Times New Roman" w:hAnsi="Times New Roman" w:cs="Times New Roman"/>
          <w:color w:val="000000" w:themeColor="text1"/>
        </w:rPr>
        <w:t>i</w:t>
      </w:r>
      <w:r w:rsidRPr="00280A29">
        <w:rPr>
          <w:rFonts w:ascii="Times New Roman" w:hAnsi="Times New Roman" w:cs="Times New Roman"/>
          <w:color w:val="000000" w:themeColor="text1"/>
        </w:rPr>
        <w:t>n Nigeria. </w:t>
      </w:r>
      <w:r w:rsidRPr="00280A29">
        <w:rPr>
          <w:rFonts w:ascii="Times New Roman" w:hAnsi="Times New Roman" w:cs="Times New Roman"/>
          <w:i/>
          <w:iCs/>
          <w:color w:val="000000" w:themeColor="text1"/>
        </w:rPr>
        <w:t xml:space="preserve">Journal </w:t>
      </w:r>
      <w:r>
        <w:rPr>
          <w:rFonts w:ascii="Times New Roman" w:hAnsi="Times New Roman" w:cs="Times New Roman"/>
          <w:i/>
          <w:iCs/>
          <w:color w:val="000000" w:themeColor="text1"/>
        </w:rPr>
        <w:t>o</w:t>
      </w:r>
      <w:r w:rsidRPr="00280A29">
        <w:rPr>
          <w:rFonts w:ascii="Times New Roman" w:hAnsi="Times New Roman" w:cs="Times New Roman"/>
          <w:i/>
          <w:iCs/>
          <w:color w:val="000000" w:themeColor="text1"/>
        </w:rPr>
        <w:t xml:space="preserve">f Academic Research </w:t>
      </w:r>
      <w:r>
        <w:rPr>
          <w:rFonts w:ascii="Times New Roman" w:hAnsi="Times New Roman" w:cs="Times New Roman"/>
          <w:i/>
          <w:iCs/>
          <w:color w:val="000000" w:themeColor="text1"/>
        </w:rPr>
        <w:t>i</w:t>
      </w:r>
      <w:r w:rsidRPr="00280A29">
        <w:rPr>
          <w:rFonts w:ascii="Times New Roman" w:hAnsi="Times New Roman" w:cs="Times New Roman"/>
          <w:i/>
          <w:iCs/>
          <w:color w:val="000000" w:themeColor="text1"/>
        </w:rPr>
        <w:t>n Economics</w:t>
      </w:r>
      <w:r w:rsidRPr="00280A29">
        <w:rPr>
          <w:rFonts w:ascii="Times New Roman" w:hAnsi="Times New Roman" w:cs="Times New Roman"/>
          <w:color w:val="000000" w:themeColor="text1"/>
        </w:rPr>
        <w:t>, </w:t>
      </w:r>
      <w:r w:rsidRPr="00280A29">
        <w:rPr>
          <w:rFonts w:ascii="Times New Roman" w:hAnsi="Times New Roman" w:cs="Times New Roman"/>
          <w:i/>
          <w:iCs/>
          <w:color w:val="000000" w:themeColor="text1"/>
        </w:rPr>
        <w:t>9</w:t>
      </w:r>
      <w:r w:rsidRPr="00280A29">
        <w:rPr>
          <w:rFonts w:ascii="Times New Roman" w:hAnsi="Times New Roman" w:cs="Times New Roman"/>
          <w:color w:val="000000" w:themeColor="text1"/>
        </w:rPr>
        <w:t>(1), 34.</w:t>
      </w:r>
      <w:r w:rsidRPr="00734744">
        <w:rPr>
          <w:rFonts w:ascii="Times New Roman" w:hAnsi="Times New Roman" w:cs="Times New Roman"/>
          <w:color w:val="000000" w:themeColor="text1"/>
        </w:rPr>
        <w:t xml:space="preserve"> </w:t>
      </w:r>
    </w:p>
    <w:p w14:paraId="0D648F56" w14:textId="77777777" w:rsidR="00B17D93" w:rsidRPr="00734744" w:rsidRDefault="00B17D93" w:rsidP="00530B02">
      <w:pPr>
        <w:ind w:left="720" w:hanging="720"/>
        <w:jc w:val="both"/>
        <w:rPr>
          <w:rFonts w:ascii="Times New Roman" w:hAnsi="Times New Roman" w:cs="Times New Roman"/>
          <w:color w:val="000000" w:themeColor="text1"/>
        </w:rPr>
      </w:pPr>
      <w:r w:rsidRPr="00734744">
        <w:rPr>
          <w:rFonts w:ascii="Times New Roman" w:hAnsi="Times New Roman" w:cs="Times New Roman"/>
          <w:color w:val="000000" w:themeColor="text1"/>
        </w:rPr>
        <w:t xml:space="preserve">Wang, G., Wei, Y., Qiao, S., Lin, P., &amp; Chen, Y. (2018). </w:t>
      </w:r>
      <w:r w:rsidRPr="00734744">
        <w:rPr>
          <w:rFonts w:ascii="Times New Roman" w:hAnsi="Times New Roman" w:cs="Times New Roman"/>
          <w:i/>
          <w:iCs/>
          <w:color w:val="000000" w:themeColor="text1"/>
        </w:rPr>
        <w:t>Generalized inverses: Theory and computations</w:t>
      </w:r>
      <w:r w:rsidRPr="00734744">
        <w:rPr>
          <w:rFonts w:ascii="Times New Roman" w:hAnsi="Times New Roman" w:cs="Times New Roman"/>
          <w:color w:val="000000" w:themeColor="text1"/>
        </w:rPr>
        <w:t xml:space="preserve"> (Vol. 53). Singapore: Springer. </w:t>
      </w:r>
    </w:p>
    <w:p w14:paraId="65DB946E" w14:textId="77777777" w:rsidR="00B17D93" w:rsidRPr="00734744" w:rsidRDefault="00B17D93" w:rsidP="00530B02">
      <w:pPr>
        <w:ind w:left="720" w:hanging="720"/>
        <w:jc w:val="both"/>
        <w:rPr>
          <w:rFonts w:ascii="Times New Roman" w:hAnsi="Times New Roman" w:cs="Times New Roman"/>
          <w:color w:val="000000" w:themeColor="text1"/>
        </w:rPr>
      </w:pPr>
      <w:proofErr w:type="spellStart"/>
      <w:r w:rsidRPr="00734744">
        <w:rPr>
          <w:rFonts w:ascii="Times New Roman" w:hAnsi="Times New Roman" w:cs="Times New Roman"/>
          <w:color w:val="000000" w:themeColor="text1"/>
        </w:rPr>
        <w:t>Wasseja</w:t>
      </w:r>
      <w:proofErr w:type="spellEnd"/>
      <w:r w:rsidRPr="00734744">
        <w:rPr>
          <w:rFonts w:ascii="Times New Roman" w:hAnsi="Times New Roman" w:cs="Times New Roman"/>
          <w:color w:val="000000" w:themeColor="text1"/>
        </w:rPr>
        <w:t xml:space="preserve">, M., &amp; Mwenda, S. (2015). Analysis of the determinants of foreign direct investment in Kenya. </w:t>
      </w:r>
      <w:r w:rsidRPr="00734744">
        <w:rPr>
          <w:rFonts w:ascii="Times New Roman" w:hAnsi="Times New Roman" w:cs="Times New Roman"/>
          <w:i/>
          <w:iCs/>
          <w:color w:val="000000" w:themeColor="text1"/>
        </w:rPr>
        <w:t>Journal of Multidisciplinary Scientific Research, 3</w:t>
      </w:r>
      <w:r w:rsidRPr="00734744">
        <w:rPr>
          <w:rFonts w:ascii="Times New Roman" w:hAnsi="Times New Roman" w:cs="Times New Roman"/>
          <w:color w:val="000000" w:themeColor="text1"/>
        </w:rPr>
        <w:t>(4), 16–26.</w:t>
      </w:r>
    </w:p>
    <w:p w14:paraId="33DA3706" w14:textId="77777777" w:rsidR="00B17D93" w:rsidRPr="00CD3D5D" w:rsidRDefault="00B17D93" w:rsidP="00F724EB">
      <w:pPr>
        <w:ind w:left="720" w:hanging="720"/>
        <w:rPr>
          <w:rFonts w:ascii="Times New Roman" w:hAnsi="Times New Roman" w:cs="Times New Roman"/>
          <w:highlight w:val="yellow"/>
        </w:rPr>
      </w:pPr>
      <w:r w:rsidRPr="00CD3D5D">
        <w:rPr>
          <w:rFonts w:ascii="Times New Roman" w:hAnsi="Times New Roman" w:cs="Times New Roman"/>
          <w:highlight w:val="yellow"/>
        </w:rPr>
        <w:t>Wondimu, M. (2023). An empirical investigation of the impact of foreign direct investment on economic growth in Ethiopia. </w:t>
      </w:r>
      <w:r w:rsidRPr="00CD3D5D">
        <w:rPr>
          <w:rFonts w:ascii="Times New Roman" w:hAnsi="Times New Roman" w:cs="Times New Roman"/>
          <w:i/>
          <w:iCs/>
          <w:highlight w:val="yellow"/>
        </w:rPr>
        <w:t>Cogent Economics &amp; Finance</w:t>
      </w:r>
      <w:r w:rsidRPr="00CD3D5D">
        <w:rPr>
          <w:rFonts w:ascii="Times New Roman" w:hAnsi="Times New Roman" w:cs="Times New Roman"/>
          <w:highlight w:val="yellow"/>
        </w:rPr>
        <w:t>, </w:t>
      </w:r>
      <w:r w:rsidRPr="00CD3D5D">
        <w:rPr>
          <w:rFonts w:ascii="Times New Roman" w:hAnsi="Times New Roman" w:cs="Times New Roman"/>
          <w:i/>
          <w:iCs/>
          <w:highlight w:val="yellow"/>
        </w:rPr>
        <w:t>11</w:t>
      </w:r>
      <w:r w:rsidRPr="00CD3D5D">
        <w:rPr>
          <w:rFonts w:ascii="Times New Roman" w:hAnsi="Times New Roman" w:cs="Times New Roman"/>
          <w:highlight w:val="yellow"/>
        </w:rPr>
        <w:t>(2), 2281176.</w:t>
      </w:r>
    </w:p>
    <w:p w14:paraId="557DACB5" w14:textId="77777777" w:rsidR="00B17D93" w:rsidRPr="00CD3D5D" w:rsidRDefault="00B17D93" w:rsidP="0041222D">
      <w:pPr>
        <w:ind w:left="720" w:hanging="720"/>
        <w:rPr>
          <w:rFonts w:ascii="Times New Roman" w:hAnsi="Times New Roman" w:cs="Times New Roman"/>
          <w:color w:val="000000" w:themeColor="text1"/>
          <w:highlight w:val="yellow"/>
          <w:lang w:val="en-US"/>
        </w:rPr>
      </w:pPr>
      <w:r w:rsidRPr="0041222D">
        <w:rPr>
          <w:rFonts w:ascii="Times New Roman" w:hAnsi="Times New Roman" w:cs="Times New Roman"/>
          <w:color w:val="000000" w:themeColor="text1"/>
          <w:highlight w:val="yellow"/>
          <w:lang w:val="en-US"/>
        </w:rPr>
        <w:t xml:space="preserve">World Bank. (2013). </w:t>
      </w:r>
      <w:r w:rsidRPr="0041222D">
        <w:rPr>
          <w:rFonts w:ascii="Times New Roman" w:hAnsi="Times New Roman" w:cs="Times New Roman"/>
          <w:i/>
          <w:iCs/>
          <w:color w:val="000000" w:themeColor="text1"/>
          <w:highlight w:val="yellow"/>
          <w:lang w:val="en-US"/>
        </w:rPr>
        <w:t>World Development Indicators 2013</w:t>
      </w:r>
      <w:r w:rsidRPr="0041222D">
        <w:rPr>
          <w:rFonts w:ascii="Times New Roman" w:hAnsi="Times New Roman" w:cs="Times New Roman"/>
          <w:color w:val="000000" w:themeColor="text1"/>
          <w:highlight w:val="yellow"/>
          <w:lang w:val="en-US"/>
        </w:rPr>
        <w:t xml:space="preserve">. World Bank Group. Available at </w:t>
      </w:r>
      <w:hyperlink r:id="rId10" w:tgtFrame="_blank" w:history="1">
        <w:r w:rsidRPr="0041222D">
          <w:rPr>
            <w:rStyle w:val="Hyperlink"/>
            <w:rFonts w:ascii="Times New Roman" w:hAnsi="Times New Roman" w:cs="Times New Roman"/>
            <w:color w:val="000000" w:themeColor="text1"/>
            <w:highlight w:val="yellow"/>
            <w:u w:val="none"/>
            <w:lang w:val="en-US"/>
          </w:rPr>
          <w:t>World Bank Open Data Portal</w:t>
        </w:r>
      </w:hyperlink>
      <w:r w:rsidRPr="0041222D">
        <w:rPr>
          <w:rFonts w:ascii="Times New Roman" w:hAnsi="Times New Roman" w:cs="Times New Roman"/>
          <w:color w:val="000000" w:themeColor="text1"/>
          <w:highlight w:val="yellow"/>
          <w:lang w:val="en-US"/>
        </w:rPr>
        <w:t>. [</w:t>
      </w:r>
      <w:hyperlink r:id="rId11" w:history="1">
        <w:r w:rsidRPr="0041222D">
          <w:rPr>
            <w:rStyle w:val="Hyperlink"/>
            <w:rFonts w:ascii="Times New Roman" w:hAnsi="Times New Roman" w:cs="Times New Roman"/>
            <w:color w:val="000000" w:themeColor="text1"/>
            <w:highlight w:val="yellow"/>
            <w:u w:val="none"/>
            <w:lang w:val="en-US"/>
          </w:rPr>
          <w:t>1</w:t>
        </w:r>
      </w:hyperlink>
      <w:r w:rsidRPr="0041222D">
        <w:rPr>
          <w:rFonts w:ascii="Times New Roman" w:hAnsi="Times New Roman" w:cs="Times New Roman"/>
          <w:color w:val="000000" w:themeColor="text1"/>
          <w:highlight w:val="yellow"/>
          <w:lang w:val="en-US"/>
        </w:rPr>
        <w:t xml:space="preserve">, </w:t>
      </w:r>
      <w:hyperlink r:id="rId12" w:history="1">
        <w:r w:rsidRPr="0041222D">
          <w:rPr>
            <w:rStyle w:val="Hyperlink"/>
            <w:rFonts w:ascii="Times New Roman" w:hAnsi="Times New Roman" w:cs="Times New Roman"/>
            <w:color w:val="000000" w:themeColor="text1"/>
            <w:highlight w:val="yellow"/>
            <w:u w:val="none"/>
            <w:lang w:val="en-US"/>
          </w:rPr>
          <w:t>2</w:t>
        </w:r>
      </w:hyperlink>
      <w:r w:rsidRPr="0041222D">
        <w:rPr>
          <w:rFonts w:ascii="Times New Roman" w:hAnsi="Times New Roman" w:cs="Times New Roman"/>
          <w:color w:val="000000" w:themeColor="text1"/>
          <w:highlight w:val="yellow"/>
          <w:lang w:val="en-US"/>
        </w:rPr>
        <w:t>]</w:t>
      </w:r>
      <w:r w:rsidRPr="00CD3D5D">
        <w:rPr>
          <w:rFonts w:ascii="Times New Roman" w:hAnsi="Times New Roman" w:cs="Times New Roman"/>
          <w:color w:val="000000" w:themeColor="text1"/>
          <w:highlight w:val="yellow"/>
          <w:lang w:val="en-US"/>
        </w:rPr>
        <w:t>.</w:t>
      </w:r>
    </w:p>
    <w:p w14:paraId="51577930" w14:textId="77777777" w:rsidR="00B17D93" w:rsidRPr="00CD3D5D" w:rsidRDefault="00B17D93" w:rsidP="00F724EB">
      <w:pPr>
        <w:ind w:left="720" w:hanging="720"/>
        <w:rPr>
          <w:rFonts w:ascii="Times New Roman" w:hAnsi="Times New Roman" w:cs="Times New Roman"/>
          <w:i/>
          <w:iCs/>
          <w:color w:val="000000" w:themeColor="text1"/>
          <w:highlight w:val="yellow"/>
        </w:rPr>
      </w:pPr>
      <w:r w:rsidRPr="00CD3D5D">
        <w:rPr>
          <w:rFonts w:ascii="Times New Roman" w:hAnsi="Times New Roman" w:cs="Times New Roman"/>
          <w:i/>
          <w:iCs/>
          <w:color w:val="000000" w:themeColor="text1"/>
          <w:highlight w:val="yellow"/>
        </w:rPr>
        <w:t>World Bank. (2019). Kenya Economic Update: Accelerating Kenya’s Growth Pulse (Edition No. 20). World Bank Group. https://openknowledge.worldbank.org/entities/publication/e565c435-4e21-59b1-a319-485f31eb5151 [</w:t>
      </w:r>
      <w:hyperlink r:id="rId13" w:history="1">
        <w:r w:rsidRPr="00CD3D5D">
          <w:rPr>
            <w:rStyle w:val="Hyperlink"/>
            <w:rFonts w:ascii="Times New Roman" w:hAnsi="Times New Roman" w:cs="Times New Roman"/>
            <w:i/>
            <w:iCs/>
            <w:highlight w:val="yellow"/>
          </w:rPr>
          <w:t>1</w:t>
        </w:r>
      </w:hyperlink>
      <w:r w:rsidRPr="00CD3D5D">
        <w:rPr>
          <w:rFonts w:ascii="Times New Roman" w:hAnsi="Times New Roman" w:cs="Times New Roman"/>
          <w:i/>
          <w:iCs/>
          <w:color w:val="000000" w:themeColor="text1"/>
          <w:highlight w:val="yellow"/>
        </w:rPr>
        <w:t>]</w:t>
      </w:r>
    </w:p>
    <w:p w14:paraId="23D113AF" w14:textId="77777777" w:rsidR="00B17D93" w:rsidRDefault="00B17D93" w:rsidP="005C2006">
      <w:pPr>
        <w:ind w:left="720" w:hanging="720"/>
        <w:jc w:val="both"/>
        <w:rPr>
          <w:rFonts w:ascii="Times New Roman" w:hAnsi="Times New Roman" w:cs="Times New Roman"/>
          <w:color w:val="000000" w:themeColor="text1"/>
        </w:rPr>
      </w:pPr>
      <w:r w:rsidRPr="005C2006">
        <w:rPr>
          <w:rFonts w:ascii="Times New Roman" w:hAnsi="Times New Roman" w:cs="Times New Roman"/>
          <w:color w:val="000000" w:themeColor="text1"/>
          <w:highlight w:val="yellow"/>
        </w:rPr>
        <w:t xml:space="preserve">World Bank. (2023). </w:t>
      </w:r>
      <w:r w:rsidRPr="005C2006">
        <w:rPr>
          <w:rFonts w:ascii="Times New Roman" w:hAnsi="Times New Roman" w:cs="Times New Roman"/>
          <w:i/>
          <w:iCs/>
          <w:color w:val="000000" w:themeColor="text1"/>
          <w:highlight w:val="yellow"/>
        </w:rPr>
        <w:t>Kenya Economic Update: Navigating Global Headwinds and Accelerating Structural Reforms</w:t>
      </w:r>
      <w:r w:rsidRPr="005C2006">
        <w:rPr>
          <w:rFonts w:ascii="Times New Roman" w:hAnsi="Times New Roman" w:cs="Times New Roman"/>
          <w:color w:val="000000" w:themeColor="text1"/>
          <w:highlight w:val="yellow"/>
        </w:rPr>
        <w:t>. World Bank Group, Washington D.C.</w:t>
      </w:r>
    </w:p>
    <w:p w14:paraId="27988085" w14:textId="20245DA9" w:rsidR="0041222D" w:rsidRPr="00E20227" w:rsidRDefault="00B17D93" w:rsidP="00B17D93">
      <w:pPr>
        <w:ind w:left="720" w:hanging="720"/>
        <w:jc w:val="both"/>
        <w:rPr>
          <w:rFonts w:ascii="Times New Roman" w:hAnsi="Times New Roman" w:cs="Times New Roman"/>
        </w:rPr>
      </w:pPr>
      <w:proofErr w:type="spellStart"/>
      <w:r w:rsidRPr="005C2006">
        <w:rPr>
          <w:rFonts w:ascii="Times New Roman" w:hAnsi="Times New Roman" w:cs="Times New Roman"/>
        </w:rPr>
        <w:t>Xaypanya</w:t>
      </w:r>
      <w:proofErr w:type="spellEnd"/>
      <w:r w:rsidRPr="005C2006">
        <w:rPr>
          <w:rFonts w:ascii="Times New Roman" w:hAnsi="Times New Roman" w:cs="Times New Roman"/>
        </w:rPr>
        <w:t xml:space="preserve">, P., </w:t>
      </w:r>
      <w:proofErr w:type="spellStart"/>
      <w:r w:rsidRPr="005C2006">
        <w:rPr>
          <w:rFonts w:ascii="Times New Roman" w:hAnsi="Times New Roman" w:cs="Times New Roman"/>
        </w:rPr>
        <w:t>Rangkakulnuwat</w:t>
      </w:r>
      <w:proofErr w:type="spellEnd"/>
      <w:r w:rsidRPr="005C2006">
        <w:rPr>
          <w:rFonts w:ascii="Times New Roman" w:hAnsi="Times New Roman" w:cs="Times New Roman"/>
        </w:rPr>
        <w:t xml:space="preserve">, P., &amp; </w:t>
      </w:r>
      <w:proofErr w:type="spellStart"/>
      <w:r w:rsidRPr="005C2006">
        <w:rPr>
          <w:rFonts w:ascii="Times New Roman" w:hAnsi="Times New Roman" w:cs="Times New Roman"/>
        </w:rPr>
        <w:t>Warunsiri</w:t>
      </w:r>
      <w:proofErr w:type="spellEnd"/>
      <w:r w:rsidRPr="005C2006">
        <w:rPr>
          <w:rFonts w:ascii="Times New Roman" w:hAnsi="Times New Roman" w:cs="Times New Roman"/>
        </w:rPr>
        <w:t xml:space="preserve"> </w:t>
      </w:r>
      <w:proofErr w:type="spellStart"/>
      <w:r w:rsidRPr="005C2006">
        <w:rPr>
          <w:rFonts w:ascii="Times New Roman" w:hAnsi="Times New Roman" w:cs="Times New Roman"/>
        </w:rPr>
        <w:t>Paweenawat</w:t>
      </w:r>
      <w:proofErr w:type="spellEnd"/>
      <w:r w:rsidRPr="005C2006">
        <w:rPr>
          <w:rFonts w:ascii="Times New Roman" w:hAnsi="Times New Roman" w:cs="Times New Roman"/>
        </w:rPr>
        <w:t xml:space="preserve">, S. (2015). The determinants of foreign direct investment in ASEAN: The first differencing panel data analysis. </w:t>
      </w:r>
      <w:r w:rsidRPr="005C2006">
        <w:rPr>
          <w:rFonts w:ascii="Times New Roman" w:hAnsi="Times New Roman" w:cs="Times New Roman"/>
          <w:i/>
          <w:iCs/>
        </w:rPr>
        <w:t>International Journal of Social Economics, 42</w:t>
      </w:r>
      <w:r w:rsidRPr="005C2006">
        <w:rPr>
          <w:rFonts w:ascii="Times New Roman" w:hAnsi="Times New Roman" w:cs="Times New Roman"/>
        </w:rPr>
        <w:t xml:space="preserve">(3), 239–250. </w:t>
      </w:r>
      <w:hyperlink r:id="rId14" w:history="1">
        <w:r w:rsidRPr="005C2006">
          <w:rPr>
            <w:rStyle w:val="Hyperlink"/>
            <w:rFonts w:ascii="Times New Roman" w:hAnsi="Times New Roman" w:cs="Times New Roman"/>
            <w:color w:val="auto"/>
            <w:u w:val="none"/>
          </w:rPr>
          <w:t>https://doi.org/10.1108/IJSE-10-2013-0238</w:t>
        </w:r>
      </w:hyperlink>
      <w:r w:rsidRPr="005C2006">
        <w:rPr>
          <w:rFonts w:ascii="Times New Roman" w:hAnsi="Times New Roman" w:cs="Times New Roman"/>
        </w:rPr>
        <w:t>.</w:t>
      </w:r>
    </w:p>
    <w:p w14:paraId="1A40778B" w14:textId="77777777" w:rsidR="00ED7308" w:rsidRPr="00734744" w:rsidRDefault="00ED7308" w:rsidP="00530B02">
      <w:pPr>
        <w:ind w:left="720"/>
        <w:jc w:val="both"/>
        <w:rPr>
          <w:rFonts w:ascii="Times New Roman" w:hAnsi="Times New Roman" w:cs="Times New Roman"/>
        </w:rPr>
      </w:pPr>
    </w:p>
    <w:sectPr w:rsidR="00ED7308" w:rsidRPr="0073474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7FDFE" w14:textId="77777777" w:rsidR="00711D28" w:rsidRDefault="00711D28" w:rsidP="00FE798B">
      <w:pPr>
        <w:spacing w:after="0" w:line="240" w:lineRule="auto"/>
      </w:pPr>
      <w:r>
        <w:separator/>
      </w:r>
    </w:p>
  </w:endnote>
  <w:endnote w:type="continuationSeparator" w:id="0">
    <w:p w14:paraId="4AB1941C" w14:textId="77777777" w:rsidR="00711D28" w:rsidRDefault="00711D28" w:rsidP="00FE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06146"/>
      <w:docPartObj>
        <w:docPartGallery w:val="Page Numbers (Bottom of Page)"/>
        <w:docPartUnique/>
      </w:docPartObj>
    </w:sdtPr>
    <w:sdtEndPr>
      <w:rPr>
        <w:noProof/>
      </w:rPr>
    </w:sdtEndPr>
    <w:sdtContent>
      <w:p w14:paraId="7452E075" w14:textId="0D4827A1" w:rsidR="00A059D0" w:rsidRDefault="00A05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C24FB9" w14:textId="77777777" w:rsidR="00A059D0" w:rsidRDefault="00A05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BF05F" w14:textId="77777777" w:rsidR="00711D28" w:rsidRDefault="00711D28" w:rsidP="00FE798B">
      <w:pPr>
        <w:spacing w:after="0" w:line="240" w:lineRule="auto"/>
      </w:pPr>
      <w:r>
        <w:separator/>
      </w:r>
    </w:p>
  </w:footnote>
  <w:footnote w:type="continuationSeparator" w:id="0">
    <w:p w14:paraId="563A1AAF" w14:textId="77777777" w:rsidR="00711D28" w:rsidRDefault="00711D28" w:rsidP="00FE7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BE9"/>
    <w:multiLevelType w:val="multilevel"/>
    <w:tmpl w:val="86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8451C"/>
    <w:multiLevelType w:val="hybridMultilevel"/>
    <w:tmpl w:val="08DA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FB7EEC"/>
    <w:multiLevelType w:val="multilevel"/>
    <w:tmpl w:val="DAE8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F80E13"/>
    <w:multiLevelType w:val="multilevel"/>
    <w:tmpl w:val="1D0A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D70FA"/>
    <w:multiLevelType w:val="multilevel"/>
    <w:tmpl w:val="CAB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361D08"/>
    <w:multiLevelType w:val="multilevel"/>
    <w:tmpl w:val="DA1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402495">
    <w:abstractNumId w:val="0"/>
  </w:num>
  <w:num w:numId="2" w16cid:durableId="1917477917">
    <w:abstractNumId w:val="5"/>
  </w:num>
  <w:num w:numId="3" w16cid:durableId="511263442">
    <w:abstractNumId w:val="1"/>
  </w:num>
  <w:num w:numId="4" w16cid:durableId="784229301">
    <w:abstractNumId w:val="4"/>
  </w:num>
  <w:num w:numId="5" w16cid:durableId="1133910306">
    <w:abstractNumId w:val="3"/>
  </w:num>
  <w:num w:numId="6" w16cid:durableId="2106724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33"/>
    <w:rsid w:val="000710FB"/>
    <w:rsid w:val="0009038C"/>
    <w:rsid w:val="000C4F1F"/>
    <w:rsid w:val="000C6BC6"/>
    <w:rsid w:val="000D45EE"/>
    <w:rsid w:val="00114B0A"/>
    <w:rsid w:val="001150EC"/>
    <w:rsid w:val="0015143C"/>
    <w:rsid w:val="001678A6"/>
    <w:rsid w:val="00174021"/>
    <w:rsid w:val="00192EC5"/>
    <w:rsid w:val="001C311B"/>
    <w:rsid w:val="001D23C2"/>
    <w:rsid w:val="001E6DD8"/>
    <w:rsid w:val="001F0F12"/>
    <w:rsid w:val="001F6C41"/>
    <w:rsid w:val="00206D3F"/>
    <w:rsid w:val="002160A0"/>
    <w:rsid w:val="002206A6"/>
    <w:rsid w:val="00222835"/>
    <w:rsid w:val="00226E13"/>
    <w:rsid w:val="00236B37"/>
    <w:rsid w:val="002705F6"/>
    <w:rsid w:val="00280A29"/>
    <w:rsid w:val="00283084"/>
    <w:rsid w:val="002A0F7C"/>
    <w:rsid w:val="002A5579"/>
    <w:rsid w:val="002C01ED"/>
    <w:rsid w:val="002F0DB7"/>
    <w:rsid w:val="00321BDE"/>
    <w:rsid w:val="00395FE8"/>
    <w:rsid w:val="003C3467"/>
    <w:rsid w:val="003D5F92"/>
    <w:rsid w:val="003F0E64"/>
    <w:rsid w:val="00402167"/>
    <w:rsid w:val="0041222D"/>
    <w:rsid w:val="004456DF"/>
    <w:rsid w:val="00452C0C"/>
    <w:rsid w:val="004A5305"/>
    <w:rsid w:val="004A5AE5"/>
    <w:rsid w:val="004A7826"/>
    <w:rsid w:val="004C781B"/>
    <w:rsid w:val="004E181B"/>
    <w:rsid w:val="004F291E"/>
    <w:rsid w:val="004F393C"/>
    <w:rsid w:val="00530B02"/>
    <w:rsid w:val="005372DE"/>
    <w:rsid w:val="005603C8"/>
    <w:rsid w:val="00563BED"/>
    <w:rsid w:val="0056547E"/>
    <w:rsid w:val="005732E6"/>
    <w:rsid w:val="00583D0F"/>
    <w:rsid w:val="005867C7"/>
    <w:rsid w:val="005C2006"/>
    <w:rsid w:val="005C7D7F"/>
    <w:rsid w:val="005D58D5"/>
    <w:rsid w:val="005F2F87"/>
    <w:rsid w:val="005F7EAC"/>
    <w:rsid w:val="006022E0"/>
    <w:rsid w:val="00607611"/>
    <w:rsid w:val="00624BC2"/>
    <w:rsid w:val="00625EE0"/>
    <w:rsid w:val="00636930"/>
    <w:rsid w:val="006766DE"/>
    <w:rsid w:val="006B2893"/>
    <w:rsid w:val="006C6216"/>
    <w:rsid w:val="006D63CE"/>
    <w:rsid w:val="006F1BB6"/>
    <w:rsid w:val="00711D28"/>
    <w:rsid w:val="00713DD5"/>
    <w:rsid w:val="00734744"/>
    <w:rsid w:val="00760B94"/>
    <w:rsid w:val="007808F9"/>
    <w:rsid w:val="007A01FE"/>
    <w:rsid w:val="007A2CE1"/>
    <w:rsid w:val="007A4E79"/>
    <w:rsid w:val="007B3574"/>
    <w:rsid w:val="007C12F8"/>
    <w:rsid w:val="007F66C9"/>
    <w:rsid w:val="008045F3"/>
    <w:rsid w:val="0082707E"/>
    <w:rsid w:val="00844604"/>
    <w:rsid w:val="00852094"/>
    <w:rsid w:val="0087116B"/>
    <w:rsid w:val="008A22A8"/>
    <w:rsid w:val="008B72CC"/>
    <w:rsid w:val="008C5C50"/>
    <w:rsid w:val="008E50A8"/>
    <w:rsid w:val="009074E3"/>
    <w:rsid w:val="0092283E"/>
    <w:rsid w:val="00973BC2"/>
    <w:rsid w:val="009A21A4"/>
    <w:rsid w:val="009A7968"/>
    <w:rsid w:val="009D7207"/>
    <w:rsid w:val="00A059D0"/>
    <w:rsid w:val="00A31F19"/>
    <w:rsid w:val="00A46DDB"/>
    <w:rsid w:val="00A66E58"/>
    <w:rsid w:val="00A73CCB"/>
    <w:rsid w:val="00A81C55"/>
    <w:rsid w:val="00A94437"/>
    <w:rsid w:val="00A9788C"/>
    <w:rsid w:val="00AA1AD7"/>
    <w:rsid w:val="00AA3A5D"/>
    <w:rsid w:val="00B17D93"/>
    <w:rsid w:val="00B24BA0"/>
    <w:rsid w:val="00B30703"/>
    <w:rsid w:val="00B31FF1"/>
    <w:rsid w:val="00B32B63"/>
    <w:rsid w:val="00B37433"/>
    <w:rsid w:val="00B416D2"/>
    <w:rsid w:val="00B632F0"/>
    <w:rsid w:val="00B652FD"/>
    <w:rsid w:val="00B6545C"/>
    <w:rsid w:val="00B93497"/>
    <w:rsid w:val="00B956CE"/>
    <w:rsid w:val="00BB50C4"/>
    <w:rsid w:val="00BB631A"/>
    <w:rsid w:val="00BD2AEB"/>
    <w:rsid w:val="00BD4DE9"/>
    <w:rsid w:val="00BE7FFD"/>
    <w:rsid w:val="00BF4163"/>
    <w:rsid w:val="00C16010"/>
    <w:rsid w:val="00C27914"/>
    <w:rsid w:val="00C55068"/>
    <w:rsid w:val="00C62A1D"/>
    <w:rsid w:val="00C82551"/>
    <w:rsid w:val="00C86082"/>
    <w:rsid w:val="00C96DAF"/>
    <w:rsid w:val="00CD3D5D"/>
    <w:rsid w:val="00D06B6A"/>
    <w:rsid w:val="00D556E6"/>
    <w:rsid w:val="00D613C9"/>
    <w:rsid w:val="00D779C4"/>
    <w:rsid w:val="00D96149"/>
    <w:rsid w:val="00DD7DC3"/>
    <w:rsid w:val="00E20227"/>
    <w:rsid w:val="00E72B28"/>
    <w:rsid w:val="00E86E2A"/>
    <w:rsid w:val="00EB72D7"/>
    <w:rsid w:val="00ED7308"/>
    <w:rsid w:val="00F11C04"/>
    <w:rsid w:val="00F20D56"/>
    <w:rsid w:val="00F26047"/>
    <w:rsid w:val="00F642F1"/>
    <w:rsid w:val="00F64B45"/>
    <w:rsid w:val="00F654CE"/>
    <w:rsid w:val="00F724EB"/>
    <w:rsid w:val="00F72848"/>
    <w:rsid w:val="00FC6B52"/>
    <w:rsid w:val="00FE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13910"/>
  <w15:chartTrackingRefBased/>
  <w15:docId w15:val="{31C47ADB-D50D-47D2-BB60-B884B59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74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4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3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3743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3743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3743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3743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3743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743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743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743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3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3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7433"/>
    <w:pPr>
      <w:spacing w:before="160"/>
      <w:jc w:val="center"/>
    </w:pPr>
    <w:rPr>
      <w:i/>
      <w:iCs/>
      <w:color w:val="404040" w:themeColor="text1" w:themeTint="BF"/>
    </w:rPr>
  </w:style>
  <w:style w:type="character" w:customStyle="1" w:styleId="QuoteChar">
    <w:name w:val="Quote Char"/>
    <w:basedOn w:val="DefaultParagraphFont"/>
    <w:link w:val="Quote"/>
    <w:uiPriority w:val="29"/>
    <w:rsid w:val="00B37433"/>
    <w:rPr>
      <w:i/>
      <w:iCs/>
      <w:color w:val="404040" w:themeColor="text1" w:themeTint="BF"/>
      <w:lang w:val="en-GB"/>
    </w:rPr>
  </w:style>
  <w:style w:type="paragraph" w:styleId="ListParagraph">
    <w:name w:val="List Paragraph"/>
    <w:basedOn w:val="Normal"/>
    <w:uiPriority w:val="34"/>
    <w:qFormat/>
    <w:rsid w:val="00B37433"/>
    <w:pPr>
      <w:ind w:left="720"/>
      <w:contextualSpacing/>
    </w:pPr>
  </w:style>
  <w:style w:type="character" w:styleId="IntenseEmphasis">
    <w:name w:val="Intense Emphasis"/>
    <w:basedOn w:val="DefaultParagraphFont"/>
    <w:uiPriority w:val="21"/>
    <w:qFormat/>
    <w:rsid w:val="00B37433"/>
    <w:rPr>
      <w:i/>
      <w:iCs/>
      <w:color w:val="2F5496" w:themeColor="accent1" w:themeShade="BF"/>
    </w:rPr>
  </w:style>
  <w:style w:type="paragraph" w:styleId="IntenseQuote">
    <w:name w:val="Intense Quote"/>
    <w:basedOn w:val="Normal"/>
    <w:next w:val="Normal"/>
    <w:link w:val="IntenseQuoteChar"/>
    <w:uiPriority w:val="30"/>
    <w:qFormat/>
    <w:rsid w:val="00B374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33"/>
    <w:rPr>
      <w:i/>
      <w:iCs/>
      <w:color w:val="2F5496" w:themeColor="accent1" w:themeShade="BF"/>
      <w:lang w:val="en-GB"/>
    </w:rPr>
  </w:style>
  <w:style w:type="character" w:styleId="IntenseReference">
    <w:name w:val="Intense Reference"/>
    <w:basedOn w:val="DefaultParagraphFont"/>
    <w:uiPriority w:val="32"/>
    <w:qFormat/>
    <w:rsid w:val="00B37433"/>
    <w:rPr>
      <w:b/>
      <w:bCs/>
      <w:smallCaps/>
      <w:color w:val="2F5496" w:themeColor="accent1" w:themeShade="BF"/>
      <w:spacing w:val="5"/>
    </w:rPr>
  </w:style>
  <w:style w:type="character" w:styleId="PlaceholderText">
    <w:name w:val="Placeholder Text"/>
    <w:basedOn w:val="DefaultParagraphFont"/>
    <w:uiPriority w:val="99"/>
    <w:semiHidden/>
    <w:rsid w:val="00B31FF1"/>
    <w:rPr>
      <w:color w:val="666666"/>
    </w:rPr>
  </w:style>
  <w:style w:type="paragraph" w:styleId="Header">
    <w:name w:val="header"/>
    <w:basedOn w:val="Normal"/>
    <w:link w:val="HeaderChar"/>
    <w:uiPriority w:val="99"/>
    <w:unhideWhenUsed/>
    <w:rsid w:val="00FE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8B"/>
    <w:rPr>
      <w:lang w:val="en-GB"/>
    </w:rPr>
  </w:style>
  <w:style w:type="paragraph" w:styleId="Footer">
    <w:name w:val="footer"/>
    <w:basedOn w:val="Normal"/>
    <w:link w:val="FooterChar"/>
    <w:uiPriority w:val="99"/>
    <w:unhideWhenUsed/>
    <w:rsid w:val="00FE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8B"/>
    <w:rPr>
      <w:lang w:val="en-GB"/>
    </w:rPr>
  </w:style>
  <w:style w:type="character" w:styleId="Hyperlink">
    <w:name w:val="Hyperlink"/>
    <w:basedOn w:val="DefaultParagraphFont"/>
    <w:uiPriority w:val="99"/>
    <w:unhideWhenUsed/>
    <w:rsid w:val="005372DE"/>
    <w:rPr>
      <w:color w:val="0563C1" w:themeColor="hyperlink"/>
      <w:u w:val="single"/>
    </w:rPr>
  </w:style>
  <w:style w:type="character" w:styleId="UnresolvedMention">
    <w:name w:val="Unresolved Mention"/>
    <w:basedOn w:val="DefaultParagraphFont"/>
    <w:uiPriority w:val="99"/>
    <w:semiHidden/>
    <w:unhideWhenUsed/>
    <w:rsid w:val="005372DE"/>
    <w:rPr>
      <w:color w:val="605E5C"/>
      <w:shd w:val="clear" w:color="auto" w:fill="E1DFDD"/>
    </w:rPr>
  </w:style>
  <w:style w:type="paragraph" w:customStyle="1" w:styleId="z1qcye">
    <w:name w:val="z1qcye"/>
    <w:basedOn w:val="Normal"/>
    <w:rsid w:val="007A4E79"/>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inqyif">
    <w:name w:val="inqyif"/>
    <w:basedOn w:val="DefaultParagraphFont"/>
    <w:rsid w:val="007A4E79"/>
  </w:style>
  <w:style w:type="paragraph" w:styleId="NoSpacing">
    <w:name w:val="No Spacing"/>
    <w:uiPriority w:val="1"/>
    <w:qFormat/>
    <w:rsid w:val="00F72848"/>
    <w:pPr>
      <w:spacing w:after="0" w:line="240" w:lineRule="auto"/>
    </w:pPr>
    <w:rPr>
      <w:lang w:val="en-GB"/>
    </w:rPr>
  </w:style>
  <w:style w:type="table" w:styleId="TableGrid">
    <w:name w:val="Table Grid"/>
    <w:basedOn w:val="TableNormal"/>
    <w:uiPriority w:val="39"/>
    <w:rsid w:val="00452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ae.616" TargetMode="External"/><Relationship Id="rId13" Type="http://schemas.openxmlformats.org/officeDocument/2006/relationships/hyperlink" Target="https://openknowledge.worldbank.org/entities/publication/e565c435-4e21-59b1-a319-485f31eb5151" TargetMode="External"/><Relationship Id="rId3" Type="http://schemas.openxmlformats.org/officeDocument/2006/relationships/settings" Target="settings.xml"/><Relationship Id="rId7" Type="http://schemas.openxmlformats.org/officeDocument/2006/relationships/hyperlink" Target="https://doi.org/10.2307/1912791" TargetMode="External"/><Relationship Id="rId12" Type="http://schemas.openxmlformats.org/officeDocument/2006/relationships/hyperlink" Target="https://www.ijern.com/journal/2017/September-2017/03.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worldbank.org/indicator/BX.KLT.DINV.CD.WD?locations=K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ata.worldbank.org/indicator/BX.KLT.DINV.CD.WD?locations=KE" TargetMode="External"/><Relationship Id="rId4" Type="http://schemas.openxmlformats.org/officeDocument/2006/relationships/webSettings" Target="webSettings.xml"/><Relationship Id="rId9" Type="http://schemas.openxmlformats.org/officeDocument/2006/relationships/hyperlink" Target="https://doi.org/10.1093/biomet/75.2.335" TargetMode="External"/><Relationship Id="rId14" Type="http://schemas.openxmlformats.org/officeDocument/2006/relationships/hyperlink" Target="https://doi.org/10.1108/IJSE-10-2013-0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30</Pages>
  <Words>11540</Words>
  <Characters>65784</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Salesio Miriti</dc:creator>
  <cp:keywords/>
  <dc:description/>
  <cp:lastModifiedBy>Salesio Miriti</cp:lastModifiedBy>
  <cp:revision>14</cp:revision>
  <dcterms:created xsi:type="dcterms:W3CDTF">2026-09-04T05:04:00Z</dcterms:created>
  <dcterms:modified xsi:type="dcterms:W3CDTF">2026-09-04T12:02:00Z</dcterms:modified>
</cp:coreProperties>
</file>