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866CB" w14:textId="77777777" w:rsidR="004456DF" w:rsidRPr="004456DF" w:rsidRDefault="004456DF" w:rsidP="007A01FE">
      <w:pPr>
        <w:jc w:val="both"/>
        <w:rPr>
          <w:rFonts w:ascii="Times New Roman" w:hAnsi="Times New Roman" w:cs="Times New Roman"/>
          <w:b/>
          <w:bCs/>
          <w:sz w:val="28"/>
          <w:szCs w:val="28"/>
        </w:rPr>
      </w:pPr>
      <w:r w:rsidRPr="004456DF">
        <w:rPr>
          <w:rFonts w:ascii="Times New Roman" w:hAnsi="Times New Roman" w:cs="Times New Roman"/>
          <w:b/>
          <w:bCs/>
          <w:sz w:val="28"/>
          <w:szCs w:val="28"/>
        </w:rPr>
        <w:t>Macroeconomic Drivers Shaping Foreign Direct Investment in Kenya: Evidence from Time-Series Analysis</w:t>
      </w:r>
    </w:p>
    <w:p w14:paraId="04775418" w14:textId="1C7B2311" w:rsidR="00A059D0" w:rsidRPr="00734744" w:rsidRDefault="00A059D0" w:rsidP="00A059D0">
      <w:pPr>
        <w:spacing w:after="0"/>
        <w:jc w:val="both"/>
        <w:rPr>
          <w:rFonts w:ascii="Times New Roman" w:hAnsi="Times New Roman" w:cs="Times New Roman"/>
          <w:b/>
          <w:bCs/>
        </w:rPr>
      </w:pPr>
      <w:r w:rsidRPr="00734744">
        <w:rPr>
          <w:rFonts w:ascii="Times New Roman" w:hAnsi="Times New Roman" w:cs="Times New Roman"/>
          <w:b/>
          <w:bCs/>
        </w:rPr>
        <w:t>Abstract</w:t>
      </w:r>
    </w:p>
    <w:p w14:paraId="574BA83A" w14:textId="77777777" w:rsidR="00395FE8" w:rsidRPr="00395FE8" w:rsidRDefault="00395FE8" w:rsidP="00395FE8">
      <w:pPr>
        <w:spacing w:after="0"/>
        <w:jc w:val="both"/>
        <w:rPr>
          <w:rFonts w:ascii="Times New Roman" w:hAnsi="Times New Roman" w:cs="Times New Roman"/>
          <w:highlight w:val="yellow"/>
          <w:lang w:val="en-US"/>
        </w:rPr>
      </w:pPr>
      <w:r w:rsidRPr="00395FE8">
        <w:rPr>
          <w:rFonts w:ascii="Times New Roman" w:hAnsi="Times New Roman" w:cs="Times New Roman"/>
          <w:b/>
          <w:bCs/>
          <w:highlight w:val="yellow"/>
          <w:lang w:val="en-US"/>
        </w:rPr>
        <w:t>Introduction:</w:t>
      </w:r>
      <w:r w:rsidRPr="00395FE8">
        <w:rPr>
          <w:rFonts w:ascii="Times New Roman" w:hAnsi="Times New Roman" w:cs="Times New Roman"/>
          <w:highlight w:val="yellow"/>
          <w:lang w:val="en-US"/>
        </w:rPr>
        <w:t xml:space="preserve"> Foreign direct investment (FDI) is an important source of external finance for developing economies, yet Kenya has experienced considerable fluctuations in FDI inflows over time. Understanding the macroeconomic conditions associated with FDI is therefore important for strengthening Kenya’s attractiveness to foreign investors.</w:t>
      </w:r>
    </w:p>
    <w:p w14:paraId="0C818E31" w14:textId="77777777" w:rsidR="00395FE8" w:rsidRPr="00395FE8" w:rsidRDefault="00395FE8" w:rsidP="00395FE8">
      <w:pPr>
        <w:spacing w:after="0"/>
        <w:jc w:val="both"/>
        <w:rPr>
          <w:rFonts w:ascii="Times New Roman" w:hAnsi="Times New Roman" w:cs="Times New Roman"/>
          <w:highlight w:val="yellow"/>
          <w:lang w:val="en-US"/>
        </w:rPr>
      </w:pPr>
      <w:r w:rsidRPr="00395FE8">
        <w:rPr>
          <w:rFonts w:ascii="Times New Roman" w:hAnsi="Times New Roman" w:cs="Times New Roman"/>
          <w:b/>
          <w:bCs/>
          <w:highlight w:val="yellow"/>
          <w:lang w:val="en-US"/>
        </w:rPr>
        <w:t>Methods:</w:t>
      </w:r>
      <w:r w:rsidRPr="00395FE8">
        <w:rPr>
          <w:rFonts w:ascii="Times New Roman" w:hAnsi="Times New Roman" w:cs="Times New Roman"/>
          <w:highlight w:val="yellow"/>
          <w:lang w:val="en-US"/>
        </w:rPr>
        <w:t xml:space="preserve"> This study examined the effects of real interest rate, inflation, economic growth and exchange rate on FDI in Kenya using annual time-series data covering 1966–2019, comprising 54 observations. The study employed Phillips-Perron unit-root tests, Engle-Granger cointegration analysis, Granger causality tests and an error-correction modelling approach to examine the long-run and short-run relationships among the variables.</w:t>
      </w:r>
    </w:p>
    <w:p w14:paraId="6138AE76" w14:textId="77777777" w:rsidR="00395FE8" w:rsidRPr="00395FE8" w:rsidRDefault="00395FE8" w:rsidP="00395FE8">
      <w:pPr>
        <w:spacing w:after="0"/>
        <w:jc w:val="both"/>
        <w:rPr>
          <w:rFonts w:ascii="Times New Roman" w:hAnsi="Times New Roman" w:cs="Times New Roman"/>
          <w:highlight w:val="yellow"/>
          <w:lang w:val="en-US"/>
        </w:rPr>
      </w:pPr>
      <w:r w:rsidRPr="00395FE8">
        <w:rPr>
          <w:rFonts w:ascii="Times New Roman" w:hAnsi="Times New Roman" w:cs="Times New Roman"/>
          <w:b/>
          <w:bCs/>
          <w:highlight w:val="yellow"/>
          <w:lang w:val="en-US"/>
        </w:rPr>
        <w:t>Results:</w:t>
      </w:r>
      <w:r w:rsidRPr="00395FE8">
        <w:rPr>
          <w:rFonts w:ascii="Times New Roman" w:hAnsi="Times New Roman" w:cs="Times New Roman"/>
          <w:highlight w:val="yellow"/>
          <w:lang w:val="en-US"/>
        </w:rPr>
        <w:t xml:space="preserve"> The results established a long-run relationship among FDI and the selected macroeconomic variables. The time-series patterns showed considerable fluctuations in FDI, inflation, economic growth, real interest rates and exchange rates over the study period. Granger causality tests revealed unidirectional causality from exchange rate and economic growth to FDI. The estimated long-run relationship showed positive coefficients for real interest rate, economic growth and exchange rate, while inflation had a negative coefficient. Economic growth recorded the largest positive coefficient among the explanatory variables, with an estimated coefficient of 0.7762, followed by real interest rate (0.3068) and exchange rate (0.2234), while inflation had a coefficient of −0.3386.</w:t>
      </w:r>
    </w:p>
    <w:p w14:paraId="5689DBB4" w14:textId="77777777" w:rsidR="00395FE8" w:rsidRPr="00395FE8" w:rsidRDefault="00395FE8" w:rsidP="00395FE8">
      <w:pPr>
        <w:spacing w:after="0"/>
        <w:jc w:val="both"/>
        <w:rPr>
          <w:rFonts w:ascii="Times New Roman" w:hAnsi="Times New Roman" w:cs="Times New Roman"/>
          <w:highlight w:val="yellow"/>
          <w:lang w:val="en-US"/>
        </w:rPr>
      </w:pPr>
      <w:r w:rsidRPr="00395FE8">
        <w:rPr>
          <w:rFonts w:ascii="Times New Roman" w:hAnsi="Times New Roman" w:cs="Times New Roman"/>
          <w:b/>
          <w:bCs/>
          <w:highlight w:val="yellow"/>
          <w:lang w:val="en-US"/>
        </w:rPr>
        <w:t>Conclusion:</w:t>
      </w:r>
      <w:r w:rsidRPr="00395FE8">
        <w:rPr>
          <w:rFonts w:ascii="Times New Roman" w:hAnsi="Times New Roman" w:cs="Times New Roman"/>
          <w:highlight w:val="yellow"/>
          <w:lang w:val="en-US"/>
        </w:rPr>
        <w:t xml:space="preserve"> The findings indicate that Kenya’s FDI inflows are closely associated with the country’s macroeconomic environment. Economic growth, interest-rate conditions, inflation and exchange-rate movements are important considerations in understanding FDI dynamics over the study period.</w:t>
      </w:r>
    </w:p>
    <w:p w14:paraId="01BE6561" w14:textId="77777777" w:rsidR="00395FE8" w:rsidRPr="00395FE8" w:rsidRDefault="00395FE8" w:rsidP="00395FE8">
      <w:pPr>
        <w:spacing w:after="0"/>
        <w:jc w:val="both"/>
        <w:rPr>
          <w:rFonts w:ascii="Times New Roman" w:hAnsi="Times New Roman" w:cs="Times New Roman"/>
          <w:highlight w:val="yellow"/>
          <w:lang w:val="en-US"/>
        </w:rPr>
      </w:pPr>
      <w:r w:rsidRPr="00395FE8">
        <w:rPr>
          <w:rFonts w:ascii="Times New Roman" w:hAnsi="Times New Roman" w:cs="Times New Roman"/>
          <w:b/>
          <w:bCs/>
          <w:highlight w:val="yellow"/>
          <w:lang w:val="en-US"/>
        </w:rPr>
        <w:t>Recommendations:</w:t>
      </w:r>
      <w:r w:rsidRPr="00395FE8">
        <w:rPr>
          <w:rFonts w:ascii="Times New Roman" w:hAnsi="Times New Roman" w:cs="Times New Roman"/>
          <w:highlight w:val="yellow"/>
          <w:lang w:val="en-US"/>
        </w:rPr>
        <w:t xml:space="preserve"> The study recommends policies that promote sustainable economic growth, maintain price stability, and strengthen the overall macroeconomic and foreign-exchange environment to enhance Kenya’s attractiveness to foreign investors.</w:t>
      </w:r>
    </w:p>
    <w:p w14:paraId="0043FDAE" w14:textId="77777777" w:rsidR="00395FE8" w:rsidRPr="00395FE8" w:rsidRDefault="00395FE8" w:rsidP="00395FE8">
      <w:pPr>
        <w:spacing w:after="0"/>
        <w:jc w:val="both"/>
        <w:rPr>
          <w:rFonts w:ascii="Times New Roman" w:hAnsi="Times New Roman" w:cs="Times New Roman"/>
          <w:lang w:val="en-US"/>
        </w:rPr>
      </w:pPr>
      <w:r w:rsidRPr="00395FE8">
        <w:rPr>
          <w:rFonts w:ascii="Times New Roman" w:hAnsi="Times New Roman" w:cs="Times New Roman"/>
          <w:b/>
          <w:bCs/>
          <w:highlight w:val="yellow"/>
          <w:lang w:val="en-US"/>
        </w:rPr>
        <w:t>Keywords:</w:t>
      </w:r>
      <w:r w:rsidRPr="00395FE8">
        <w:rPr>
          <w:rFonts w:ascii="Times New Roman" w:hAnsi="Times New Roman" w:cs="Times New Roman"/>
          <w:highlight w:val="yellow"/>
          <w:lang w:val="en-US"/>
        </w:rPr>
        <w:t xml:space="preserve"> </w:t>
      </w:r>
      <w:r w:rsidRPr="00395FE8">
        <w:rPr>
          <w:rFonts w:ascii="Times New Roman" w:hAnsi="Times New Roman" w:cs="Times New Roman"/>
          <w:i/>
          <w:iCs/>
          <w:highlight w:val="yellow"/>
          <w:lang w:val="en-US"/>
        </w:rPr>
        <w:t>Foreign direct investment; macroeconomic drivers; time-series analysis; real interest rate; inflation; economic growth; exchange rate; Kenya.</w:t>
      </w:r>
    </w:p>
    <w:p w14:paraId="690A9938" w14:textId="77777777" w:rsidR="00395FE8" w:rsidRDefault="00395FE8" w:rsidP="00A059D0">
      <w:pPr>
        <w:spacing w:after="0"/>
        <w:jc w:val="both"/>
        <w:rPr>
          <w:rFonts w:ascii="Times New Roman" w:hAnsi="Times New Roman" w:cs="Times New Roman"/>
          <w:b/>
          <w:bCs/>
        </w:rPr>
      </w:pPr>
    </w:p>
    <w:p w14:paraId="5B014D15" w14:textId="6993E023" w:rsidR="00B37433" w:rsidRPr="00734744" w:rsidRDefault="00B37433" w:rsidP="00A059D0">
      <w:pPr>
        <w:spacing w:after="0"/>
        <w:jc w:val="both"/>
        <w:rPr>
          <w:rFonts w:ascii="Times New Roman" w:hAnsi="Times New Roman" w:cs="Times New Roman"/>
          <w:b/>
          <w:bCs/>
        </w:rPr>
      </w:pPr>
      <w:r w:rsidRPr="00734744">
        <w:rPr>
          <w:rFonts w:ascii="Times New Roman" w:hAnsi="Times New Roman" w:cs="Times New Roman"/>
          <w:b/>
          <w:bCs/>
        </w:rPr>
        <w:t>1. Introduction</w:t>
      </w:r>
    </w:p>
    <w:p w14:paraId="5BF713BE" w14:textId="2BBDF0BA" w:rsidR="00B37433" w:rsidRPr="00734744" w:rsidRDefault="00B37433" w:rsidP="00A059D0">
      <w:pPr>
        <w:spacing w:after="0"/>
        <w:jc w:val="both"/>
        <w:rPr>
          <w:rFonts w:ascii="Times New Roman" w:hAnsi="Times New Roman" w:cs="Times New Roman"/>
        </w:rPr>
      </w:pPr>
      <w:r w:rsidRPr="00734744">
        <w:rPr>
          <w:rFonts w:ascii="Times New Roman" w:hAnsi="Times New Roman" w:cs="Times New Roman"/>
        </w:rPr>
        <w:t>Foreign direct investment (FDI) is an important source of external finance for developing economies</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 xml:space="preserve">Izadi &amp; </w:t>
      </w:r>
      <w:proofErr w:type="spellStart"/>
      <w:r w:rsidR="002160A0" w:rsidRPr="002160A0">
        <w:rPr>
          <w:rFonts w:ascii="Times New Roman" w:hAnsi="Times New Roman" w:cs="Times New Roman"/>
          <w:color w:val="000000" w:themeColor="text1"/>
          <w:highlight w:val="yellow"/>
        </w:rPr>
        <w:t>Madirimov</w:t>
      </w:r>
      <w:proofErr w:type="spellEnd"/>
      <w:r w:rsidR="002160A0" w:rsidRPr="002160A0">
        <w:rPr>
          <w:rFonts w:ascii="Times New Roman" w:hAnsi="Times New Roman" w:cs="Times New Roman"/>
          <w:color w:val="000000" w:themeColor="text1"/>
          <w:highlight w:val="yellow"/>
        </w:rPr>
        <w:t>, 2026).</w:t>
      </w:r>
      <w:r w:rsidR="002160A0" w:rsidRPr="002160A0">
        <w:rPr>
          <w:rFonts w:ascii="Times New Roman" w:hAnsi="Times New Roman" w:cs="Times New Roman"/>
          <w:color w:val="000000" w:themeColor="text1"/>
        </w:rPr>
        <w:t xml:space="preserve"> </w:t>
      </w:r>
      <w:r w:rsidRPr="00734744">
        <w:rPr>
          <w:rFonts w:ascii="Times New Roman" w:hAnsi="Times New Roman" w:cs="Times New Roman"/>
        </w:rPr>
        <w:t xml:space="preserve"> It supplements domestic savings and investment and can contribute to economic development through capital accumulation, technology transfer, improved managerial efficiency, innovation, employment creation and export-led growth</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Adelakun et al., 2025)</w:t>
      </w:r>
      <w:r w:rsidRPr="002160A0">
        <w:rPr>
          <w:rFonts w:ascii="Times New Roman" w:hAnsi="Times New Roman" w:cs="Times New Roman"/>
          <w:highlight w:val="yellow"/>
        </w:rPr>
        <w:t>.</w:t>
      </w:r>
      <w:r w:rsidRPr="00734744">
        <w:rPr>
          <w:rFonts w:ascii="Times New Roman" w:hAnsi="Times New Roman" w:cs="Times New Roman"/>
        </w:rPr>
        <w:t xml:space="preserve"> FDI can also improve foreign exchange reserves and the balance of payments of host countries (Pilarska, 2015; Kim, 2018). </w:t>
      </w:r>
    </w:p>
    <w:p w14:paraId="4AFC3C27" w14:textId="77777777" w:rsidR="00A059D0" w:rsidRPr="00734744" w:rsidRDefault="00A059D0" w:rsidP="00A059D0">
      <w:pPr>
        <w:spacing w:after="0"/>
        <w:jc w:val="both"/>
        <w:rPr>
          <w:rFonts w:ascii="Times New Roman" w:hAnsi="Times New Roman" w:cs="Times New Roman"/>
        </w:rPr>
      </w:pPr>
    </w:p>
    <w:p w14:paraId="30BD3631" w14:textId="41A1AA6F" w:rsidR="00B37433" w:rsidRPr="00734744" w:rsidRDefault="00B37433" w:rsidP="00B37433">
      <w:pPr>
        <w:jc w:val="both"/>
        <w:rPr>
          <w:rFonts w:ascii="Times New Roman" w:hAnsi="Times New Roman" w:cs="Times New Roman"/>
        </w:rPr>
      </w:pPr>
      <w:r w:rsidRPr="00734744">
        <w:rPr>
          <w:rFonts w:ascii="Times New Roman" w:hAnsi="Times New Roman" w:cs="Times New Roman"/>
        </w:rPr>
        <w:lastRenderedPageBreak/>
        <w:t>Macroeconomic variables play an important role in determining the attractiveness of a country to foreign investors</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Alharthi et al., 2024)</w:t>
      </w:r>
      <w:r w:rsidRPr="0009038C">
        <w:rPr>
          <w:rFonts w:ascii="Times New Roman" w:hAnsi="Times New Roman" w:cs="Times New Roman"/>
          <w:highlight w:val="yellow"/>
        </w:rPr>
        <w:t>.</w:t>
      </w:r>
      <w:r w:rsidRPr="00734744">
        <w:rPr>
          <w:rFonts w:ascii="Times New Roman" w:hAnsi="Times New Roman" w:cs="Times New Roman"/>
        </w:rPr>
        <w:t xml:space="preserve"> A </w:t>
      </w:r>
      <w:r w:rsidR="00A66E58" w:rsidRPr="00734744">
        <w:rPr>
          <w:rFonts w:ascii="Times New Roman" w:hAnsi="Times New Roman" w:cs="Times New Roman"/>
        </w:rPr>
        <w:t>favourable</w:t>
      </w:r>
      <w:r w:rsidRPr="00734744">
        <w:rPr>
          <w:rFonts w:ascii="Times New Roman" w:hAnsi="Times New Roman" w:cs="Times New Roman"/>
        </w:rPr>
        <w:t xml:space="preserve"> and predictable macroeconomic environment can encourage foreign enterprises to invest, while </w:t>
      </w:r>
      <w:r w:rsidR="00A66E58" w:rsidRPr="00734744">
        <w:rPr>
          <w:rFonts w:ascii="Times New Roman" w:hAnsi="Times New Roman" w:cs="Times New Roman"/>
        </w:rPr>
        <w:t>unfavourable</w:t>
      </w:r>
      <w:r w:rsidRPr="00734744">
        <w:rPr>
          <w:rFonts w:ascii="Times New Roman" w:hAnsi="Times New Roman" w:cs="Times New Roman"/>
        </w:rPr>
        <w:t xml:space="preserve"> macroeconomic conditions may discourage investment</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Shittu et al., 2025)</w:t>
      </w:r>
      <w:r w:rsidRPr="0009038C">
        <w:rPr>
          <w:rFonts w:ascii="Times New Roman" w:hAnsi="Times New Roman" w:cs="Times New Roman"/>
          <w:highlight w:val="yellow"/>
        </w:rPr>
        <w:t>.</w:t>
      </w:r>
      <w:r w:rsidRPr="00734744">
        <w:rPr>
          <w:rFonts w:ascii="Times New Roman" w:hAnsi="Times New Roman" w:cs="Times New Roman"/>
        </w:rPr>
        <w:t xml:space="preserve"> Interest rates, inflation, gross domestic product and exchange rates are among the macroeconomic variables that influence FDI flows (Usman &amp; Ahmad, 2018; </w:t>
      </w:r>
      <w:proofErr w:type="spellStart"/>
      <w:r w:rsidRPr="00734744">
        <w:rPr>
          <w:rFonts w:ascii="Times New Roman" w:hAnsi="Times New Roman" w:cs="Times New Roman"/>
        </w:rPr>
        <w:t>Dondashe</w:t>
      </w:r>
      <w:proofErr w:type="spellEnd"/>
      <w:r w:rsidRPr="00734744">
        <w:rPr>
          <w:rFonts w:ascii="Times New Roman" w:hAnsi="Times New Roman" w:cs="Times New Roman"/>
        </w:rPr>
        <w:t xml:space="preserve"> &amp; Phiri, 2018). </w:t>
      </w:r>
    </w:p>
    <w:p w14:paraId="18755A4F" w14:textId="1872483D" w:rsidR="006C6216" w:rsidRDefault="006C6216" w:rsidP="00B37433">
      <w:pPr>
        <w:jc w:val="both"/>
        <w:rPr>
          <w:rFonts w:ascii="Times New Roman" w:hAnsi="Times New Roman" w:cs="Times New Roman"/>
        </w:rPr>
      </w:pPr>
      <w:r w:rsidRPr="006C6216">
        <w:rPr>
          <w:rFonts w:ascii="Times New Roman" w:hAnsi="Times New Roman" w:cs="Times New Roman"/>
        </w:rPr>
        <w:t xml:space="preserve">The real interest rate can influence FDI decisions through its effects on the cost of capital, expected returns, and macroeconomic stability </w:t>
      </w:r>
      <w:r w:rsidRPr="0009038C">
        <w:rPr>
          <w:rFonts w:ascii="Times New Roman" w:hAnsi="Times New Roman" w:cs="Times New Roman"/>
          <w:highlight w:val="yellow"/>
        </w:rPr>
        <w:t>(</w:t>
      </w:r>
      <w:proofErr w:type="spellStart"/>
      <w:r w:rsidR="0009038C" w:rsidRPr="0009038C">
        <w:rPr>
          <w:rFonts w:ascii="Times New Roman" w:hAnsi="Times New Roman" w:cs="Times New Roman"/>
          <w:color w:val="000000" w:themeColor="text1"/>
          <w:highlight w:val="yellow"/>
        </w:rPr>
        <w:t>Alshubiri</w:t>
      </w:r>
      <w:proofErr w:type="spellEnd"/>
      <w:r w:rsidR="0009038C" w:rsidRPr="0009038C">
        <w:rPr>
          <w:rFonts w:ascii="Times New Roman" w:hAnsi="Times New Roman" w:cs="Times New Roman"/>
          <w:color w:val="000000" w:themeColor="text1"/>
          <w:highlight w:val="yellow"/>
        </w:rPr>
        <w:t xml:space="preserve"> &amp; Hussein, 2026</w:t>
      </w:r>
      <w:r w:rsidRPr="0009038C">
        <w:rPr>
          <w:rFonts w:ascii="Times New Roman" w:hAnsi="Times New Roman" w:cs="Times New Roman"/>
          <w:highlight w:val="yellow"/>
        </w:rPr>
        <w:t>).</w:t>
      </w:r>
      <w:r w:rsidRPr="006C6216">
        <w:rPr>
          <w:rFonts w:ascii="Times New Roman" w:hAnsi="Times New Roman" w:cs="Times New Roman"/>
        </w:rPr>
        <w:t xml:space="preserve"> Investors may favour economies where real returns are attractive, while high financing costs may discourage investment (Faure, 2014). Changes in real interest rates may also affect investment expectations and the perceived risk associated with investing in a host economy (</w:t>
      </w:r>
      <w:proofErr w:type="spellStart"/>
      <w:r w:rsidR="00F26047" w:rsidRPr="00F26047">
        <w:rPr>
          <w:rFonts w:ascii="Times New Roman" w:hAnsi="Times New Roman" w:cs="Times New Roman"/>
          <w:color w:val="000000" w:themeColor="text1"/>
          <w:highlight w:val="yellow"/>
        </w:rPr>
        <w:t>Nikonenko</w:t>
      </w:r>
      <w:proofErr w:type="spellEnd"/>
      <w:r w:rsidR="00F26047" w:rsidRPr="00F26047">
        <w:rPr>
          <w:rFonts w:ascii="Times New Roman" w:hAnsi="Times New Roman" w:cs="Times New Roman"/>
          <w:color w:val="000000" w:themeColor="text1"/>
          <w:highlight w:val="yellow"/>
        </w:rPr>
        <w:t xml:space="preserve"> et al., 2022</w:t>
      </w:r>
      <w:r w:rsidRPr="00F26047">
        <w:rPr>
          <w:rFonts w:ascii="Times New Roman" w:hAnsi="Times New Roman" w:cs="Times New Roman"/>
          <w:highlight w:val="yellow"/>
        </w:rPr>
        <w:t>).</w:t>
      </w:r>
      <w:r w:rsidRPr="006C6216">
        <w:rPr>
          <w:rFonts w:ascii="Times New Roman" w:hAnsi="Times New Roman" w:cs="Times New Roman"/>
        </w:rPr>
        <w:t xml:space="preserve"> Consequently, the direction of the relationship between the real interest rate and FDI is an empirical question that may depend on the prevailing macroeconomic conditions (</w:t>
      </w:r>
      <w:proofErr w:type="spellStart"/>
      <w:r w:rsidRPr="006C6216">
        <w:rPr>
          <w:rFonts w:ascii="Times New Roman" w:hAnsi="Times New Roman" w:cs="Times New Roman"/>
        </w:rPr>
        <w:t>Fazira</w:t>
      </w:r>
      <w:proofErr w:type="spellEnd"/>
      <w:r w:rsidRPr="006C6216">
        <w:rPr>
          <w:rFonts w:ascii="Times New Roman" w:hAnsi="Times New Roman" w:cs="Times New Roman"/>
        </w:rPr>
        <w:t xml:space="preserve"> &amp; Cahyadin, 2018).</w:t>
      </w:r>
    </w:p>
    <w:p w14:paraId="2F87DFC1" w14:textId="6E94364E"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In Kenya, interest rates have fluctuated considerably over the study period. </w:t>
      </w:r>
      <w:r w:rsidR="001D23C2" w:rsidRPr="001D23C2">
        <w:rPr>
          <w:rFonts w:ascii="Times New Roman" w:hAnsi="Times New Roman" w:cs="Times New Roman"/>
        </w:rPr>
        <w:t>Kenya's real interest rate has fluctuated considerably over time, reflecting changes in monetary conditions, inflation and the cost of capital</w:t>
      </w:r>
      <w:r w:rsidR="00F26047">
        <w:rPr>
          <w:rFonts w:ascii="Times New Roman" w:hAnsi="Times New Roman" w:cs="Times New Roman"/>
        </w:rPr>
        <w:t xml:space="preserve"> </w:t>
      </w:r>
      <w:r w:rsidR="00F26047" w:rsidRPr="00F26047">
        <w:rPr>
          <w:rFonts w:ascii="Times New Roman" w:hAnsi="Times New Roman" w:cs="Times New Roman"/>
          <w:highlight w:val="yellow"/>
        </w:rPr>
        <w:t>(</w:t>
      </w:r>
      <w:r w:rsidR="00F26047" w:rsidRPr="00F26047">
        <w:rPr>
          <w:rFonts w:ascii="Times New Roman" w:hAnsi="Times New Roman" w:cs="Times New Roman"/>
          <w:color w:val="000000" w:themeColor="text1"/>
          <w:highlight w:val="yellow"/>
        </w:rPr>
        <w:t>Barngetuny, 2026)</w:t>
      </w:r>
      <w:r w:rsidR="001D23C2" w:rsidRPr="00F26047">
        <w:rPr>
          <w:rFonts w:ascii="Times New Roman" w:hAnsi="Times New Roman" w:cs="Times New Roman"/>
          <w:highlight w:val="yellow"/>
        </w:rPr>
        <w:t>.</w:t>
      </w:r>
      <w:r w:rsidR="001D23C2" w:rsidRPr="001D23C2">
        <w:rPr>
          <w:rFonts w:ascii="Times New Roman" w:hAnsi="Times New Roman" w:cs="Times New Roman"/>
        </w:rPr>
        <w:t xml:space="preserve"> Such fluctuations may influence investors' expected returns and financing decisions and therefore have implications for FDI inflows</w:t>
      </w:r>
      <w:r w:rsidRPr="00734744">
        <w:rPr>
          <w:rFonts w:ascii="Times New Roman" w:hAnsi="Times New Roman" w:cs="Times New Roman"/>
        </w:rPr>
        <w:t xml:space="preserve"> (KNBS Report, 2020). </w:t>
      </w:r>
    </w:p>
    <w:p w14:paraId="0A9FAAFC" w14:textId="67EBED39" w:rsidR="00B37433" w:rsidRPr="00734744" w:rsidRDefault="00F26047" w:rsidP="00B37433">
      <w:pPr>
        <w:jc w:val="both"/>
        <w:rPr>
          <w:rFonts w:ascii="Times New Roman" w:hAnsi="Times New Roman" w:cs="Times New Roman"/>
        </w:rPr>
      </w:pPr>
      <w:r w:rsidRPr="00F26047">
        <w:rPr>
          <w:rFonts w:ascii="Times New Roman" w:hAnsi="Times New Roman" w:cs="Times New Roman"/>
          <w:highlight w:val="yellow"/>
        </w:rPr>
        <w:t>Inflation is an important macroeconomic variable influencing FDI, characterized by a sustained increase in the general price level of goods and services that erodes the purchasing power of a currency</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Adegboye et al., 2026</w:t>
      </w:r>
      <w:r w:rsidR="00973BC2">
        <w:rPr>
          <w:rFonts w:ascii="Times New Roman" w:hAnsi="Times New Roman" w:cs="Times New Roman"/>
          <w:color w:val="000000" w:themeColor="text1"/>
        </w:rPr>
        <w:t>).</w:t>
      </w:r>
      <w:r w:rsidR="00B37433" w:rsidRPr="00734744">
        <w:rPr>
          <w:rFonts w:ascii="Times New Roman" w:hAnsi="Times New Roman" w:cs="Times New Roman"/>
        </w:rPr>
        <w:t xml:space="preserve"> Inflation can delay economic growth, reduce welfare and deter FDI inflows because foreign corporations consider the inflation environment when making investment decisions</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Alam, 2025)</w:t>
      </w:r>
      <w:r w:rsidR="00B37433" w:rsidRPr="00973BC2">
        <w:rPr>
          <w:rFonts w:ascii="Times New Roman" w:hAnsi="Times New Roman" w:cs="Times New Roman"/>
          <w:highlight w:val="yellow"/>
        </w:rPr>
        <w:t>.</w:t>
      </w:r>
      <w:r w:rsidR="00B37433" w:rsidRPr="00734744">
        <w:rPr>
          <w:rFonts w:ascii="Times New Roman" w:hAnsi="Times New Roman" w:cs="Times New Roman"/>
        </w:rPr>
        <w:t xml:space="preserve"> Lower inflation can support productivity and facilitate trade, thereby creating a more </w:t>
      </w:r>
      <w:r w:rsidR="00A66E58" w:rsidRPr="00734744">
        <w:rPr>
          <w:rFonts w:ascii="Times New Roman" w:hAnsi="Times New Roman" w:cs="Times New Roman"/>
        </w:rPr>
        <w:t>favourable</w:t>
      </w:r>
      <w:r w:rsidR="00B37433" w:rsidRPr="00734744">
        <w:rPr>
          <w:rFonts w:ascii="Times New Roman" w:hAnsi="Times New Roman" w:cs="Times New Roman"/>
        </w:rPr>
        <w:t xml:space="preserve"> environment for foreign firms, whereas increasing inflation may encourage capital flight and discourage potential investors (Paul &amp; Sharma, 2019). </w:t>
      </w:r>
    </w:p>
    <w:p w14:paraId="2A6F3E0B" w14:textId="4424CB83" w:rsidR="00B37433" w:rsidRPr="00734744" w:rsidRDefault="00973BC2" w:rsidP="00B37433">
      <w:pPr>
        <w:jc w:val="both"/>
        <w:rPr>
          <w:rFonts w:ascii="Times New Roman" w:hAnsi="Times New Roman" w:cs="Times New Roman"/>
        </w:rPr>
      </w:pPr>
      <w:r w:rsidRPr="00BD2AEB">
        <w:rPr>
          <w:rFonts w:ascii="Times New Roman" w:hAnsi="Times New Roman" w:cs="Times New Roman"/>
          <w:highlight w:val="yellow"/>
        </w:rPr>
        <w:t>Kenya has experienced considerable fluctuations in inflation over time, with the rate rising from 0.70% in 1963 to a peak of 45.98% in 1993</w:t>
      </w:r>
      <w:r w:rsidR="00BD2AEB">
        <w:rPr>
          <w:rFonts w:ascii="Times New Roman" w:hAnsi="Times New Roman" w:cs="Times New Roman"/>
        </w:rPr>
        <w:t xml:space="preserve"> (</w:t>
      </w:r>
      <w:r w:rsidR="00BD2AEB" w:rsidRPr="00BD2AEB">
        <w:rPr>
          <w:rFonts w:ascii="Times New Roman" w:hAnsi="Times New Roman" w:cs="Times New Roman"/>
          <w:color w:val="000000" w:themeColor="text1"/>
          <w:highlight w:val="yellow"/>
        </w:rPr>
        <w:t>Imana, 2017</w:t>
      </w:r>
      <w:r w:rsidR="00BD2AEB" w:rsidRPr="00973BC2">
        <w:rPr>
          <w:rFonts w:ascii="Times New Roman" w:hAnsi="Times New Roman" w:cs="Times New Roman"/>
          <w:color w:val="000000" w:themeColor="text1"/>
        </w:rPr>
        <w:t>). </w:t>
      </w:r>
      <w:r w:rsidR="00B37433" w:rsidRPr="00734744">
        <w:rPr>
          <w:rFonts w:ascii="Times New Roman" w:hAnsi="Times New Roman" w:cs="Times New Roman"/>
        </w:rPr>
        <w:t xml:space="preserve"> It subsequently fluctuated, increasing from 3.96% in 2010 to 8.01% in 2017 before declining to 4.69% in 2018 and standing at 5.2% in 2019</w:t>
      </w:r>
      <w:r w:rsidR="00BD2AEB">
        <w:rPr>
          <w:rFonts w:ascii="Times New Roman" w:hAnsi="Times New Roman" w:cs="Times New Roman"/>
        </w:rPr>
        <w:t xml:space="preserve"> </w:t>
      </w:r>
      <w:r w:rsidR="00BD2AEB" w:rsidRPr="00BD2AEB">
        <w:rPr>
          <w:rFonts w:ascii="Times New Roman" w:hAnsi="Times New Roman" w:cs="Times New Roman"/>
          <w:highlight w:val="yellow"/>
        </w:rPr>
        <w:t>(</w:t>
      </w:r>
      <w:proofErr w:type="spellStart"/>
      <w:r w:rsidR="00BD2AEB" w:rsidRPr="00BD2AEB">
        <w:rPr>
          <w:rFonts w:ascii="Times New Roman" w:hAnsi="Times New Roman" w:cs="Times New Roman"/>
          <w:color w:val="000000" w:themeColor="text1"/>
          <w:highlight w:val="yellow"/>
        </w:rPr>
        <w:t>Helkiah</w:t>
      </w:r>
      <w:proofErr w:type="spellEnd"/>
      <w:r w:rsidR="00BD2AEB" w:rsidRPr="00BD2AEB">
        <w:rPr>
          <w:rFonts w:ascii="Times New Roman" w:hAnsi="Times New Roman" w:cs="Times New Roman"/>
          <w:color w:val="000000" w:themeColor="text1"/>
          <w:highlight w:val="yellow"/>
        </w:rPr>
        <w:t>, 2025).</w:t>
      </w:r>
      <w:r w:rsidR="00BD2AEB" w:rsidRPr="00BD2AEB">
        <w:rPr>
          <w:rFonts w:ascii="Times New Roman" w:hAnsi="Times New Roman" w:cs="Times New Roman"/>
          <w:color w:val="000000" w:themeColor="text1"/>
        </w:rPr>
        <w:t> </w:t>
      </w:r>
      <w:r w:rsidR="00B37433" w:rsidRPr="00734744">
        <w:rPr>
          <w:rFonts w:ascii="Times New Roman" w:hAnsi="Times New Roman" w:cs="Times New Roman"/>
        </w:rPr>
        <w:t xml:space="preserve"> These fluctuations indicate instability in general prices, with implications for FDI flows (Bendi &amp; Pany, 2017). </w:t>
      </w:r>
    </w:p>
    <w:p w14:paraId="08AC0431" w14:textId="0B9485AE" w:rsidR="00B37433" w:rsidRPr="00734744" w:rsidRDefault="0015143C" w:rsidP="00B37433">
      <w:pPr>
        <w:jc w:val="both"/>
        <w:rPr>
          <w:rFonts w:ascii="Times New Roman" w:hAnsi="Times New Roman" w:cs="Times New Roman"/>
        </w:rPr>
      </w:pPr>
      <w:r w:rsidRPr="0015143C">
        <w:rPr>
          <w:rFonts w:ascii="Times New Roman" w:hAnsi="Times New Roman" w:cs="Times New Roman"/>
        </w:rPr>
        <w:t>Economic growth reflects the expansion of an economy's production of goods and services and is commonly measured using the growth rate of real gross domestic product (GDP)</w:t>
      </w:r>
      <w:r w:rsidR="00F724EB">
        <w:rPr>
          <w:rFonts w:ascii="Times New Roman" w:hAnsi="Times New Roman" w:cs="Times New Roman"/>
        </w:rPr>
        <w:t xml:space="preserve"> </w:t>
      </w:r>
      <w:r w:rsidR="00F724EB" w:rsidRPr="00F724EB">
        <w:rPr>
          <w:rFonts w:ascii="Times New Roman" w:hAnsi="Times New Roman" w:cs="Times New Roman"/>
          <w:highlight w:val="yellow"/>
        </w:rPr>
        <w:t xml:space="preserve">[ </w:t>
      </w:r>
      <w:r w:rsidR="00F724EB" w:rsidRPr="00F724EB">
        <w:rPr>
          <w:rFonts w:ascii="Times New Roman" w:hAnsi="Times New Roman" w:cs="Times New Roman"/>
          <w:color w:val="000000" w:themeColor="text1"/>
          <w:highlight w:val="yellow"/>
        </w:rPr>
        <w:t>Bryniuk, 2023]</w:t>
      </w:r>
      <w:r w:rsidRPr="00F724EB">
        <w:rPr>
          <w:rFonts w:ascii="Times New Roman" w:hAnsi="Times New Roman" w:cs="Times New Roman"/>
          <w:highlight w:val="yellow"/>
        </w:rPr>
        <w:t>.</w:t>
      </w:r>
      <w:r w:rsidRPr="0015143C">
        <w:rPr>
          <w:rFonts w:ascii="Times New Roman" w:hAnsi="Times New Roman" w:cs="Times New Roman"/>
        </w:rPr>
        <w:t xml:space="preserve"> Sustained economic growth can signal expanding markets, improving productive capacity and stronger investment opportunities, which may increase a country's attractiveness to foreign investors (Church, 2016; </w:t>
      </w:r>
      <w:proofErr w:type="spellStart"/>
      <w:r w:rsidRPr="0015143C">
        <w:rPr>
          <w:rFonts w:ascii="Times New Roman" w:hAnsi="Times New Roman" w:cs="Times New Roman"/>
        </w:rPr>
        <w:t>FoEh</w:t>
      </w:r>
      <w:proofErr w:type="spellEnd"/>
      <w:r w:rsidRPr="0015143C">
        <w:rPr>
          <w:rFonts w:ascii="Times New Roman" w:hAnsi="Times New Roman" w:cs="Times New Roman"/>
        </w:rPr>
        <w:t xml:space="preserve"> et al., 2020</w:t>
      </w:r>
      <w:r w:rsidR="001D23C2" w:rsidRPr="0015143C">
        <w:rPr>
          <w:rFonts w:ascii="Times New Roman" w:hAnsi="Times New Roman" w:cs="Times New Roman"/>
        </w:rPr>
        <w:t>).</w:t>
      </w:r>
      <w:r w:rsidR="001D23C2">
        <w:rPr>
          <w:rFonts w:ascii="Times New Roman" w:hAnsi="Times New Roman" w:cs="Times New Roman"/>
        </w:rPr>
        <w:t xml:space="preserve"> Real</w:t>
      </w:r>
      <w:r>
        <w:rPr>
          <w:rFonts w:ascii="Times New Roman" w:hAnsi="Times New Roman" w:cs="Times New Roman"/>
        </w:rPr>
        <w:t xml:space="preserve"> </w:t>
      </w:r>
      <w:r w:rsidR="001D23C2">
        <w:rPr>
          <w:rFonts w:ascii="Times New Roman" w:hAnsi="Times New Roman" w:cs="Times New Roman"/>
        </w:rPr>
        <w:t xml:space="preserve">interest </w:t>
      </w:r>
      <w:r w:rsidR="001D23C2" w:rsidRPr="00734744">
        <w:rPr>
          <w:rFonts w:ascii="Times New Roman" w:hAnsi="Times New Roman" w:cs="Times New Roman"/>
        </w:rPr>
        <w:t>international</w:t>
      </w:r>
      <w:r w:rsidR="00B37433" w:rsidRPr="00734744">
        <w:rPr>
          <w:rFonts w:ascii="Times New Roman" w:hAnsi="Times New Roman" w:cs="Times New Roman"/>
        </w:rPr>
        <w:t xml:space="preserve"> investors may use GDP as an indicator of a country's productivity when determining whether to invest in an economy (</w:t>
      </w:r>
      <w:proofErr w:type="spellStart"/>
      <w:r w:rsidR="00B37433" w:rsidRPr="00734744">
        <w:rPr>
          <w:rFonts w:ascii="Times New Roman" w:hAnsi="Times New Roman" w:cs="Times New Roman"/>
        </w:rPr>
        <w:t>FoEh</w:t>
      </w:r>
      <w:proofErr w:type="spellEnd"/>
      <w:r w:rsidR="00B37433" w:rsidRPr="00734744">
        <w:rPr>
          <w:rFonts w:ascii="Times New Roman" w:hAnsi="Times New Roman" w:cs="Times New Roman"/>
        </w:rPr>
        <w:t xml:space="preserve">, Suryani, &amp; </w:t>
      </w:r>
      <w:proofErr w:type="spellStart"/>
      <w:r w:rsidR="00B37433" w:rsidRPr="00734744">
        <w:rPr>
          <w:rFonts w:ascii="Times New Roman" w:hAnsi="Times New Roman" w:cs="Times New Roman"/>
        </w:rPr>
        <w:t>Silpama</w:t>
      </w:r>
      <w:proofErr w:type="spellEnd"/>
      <w:r w:rsidR="00B37433" w:rsidRPr="00734744">
        <w:rPr>
          <w:rFonts w:ascii="Times New Roman" w:hAnsi="Times New Roman" w:cs="Times New Roman"/>
        </w:rPr>
        <w:t xml:space="preserve">, 2020). </w:t>
      </w:r>
    </w:p>
    <w:p w14:paraId="4A297742" w14:textId="1AD94F33" w:rsidR="00B37433" w:rsidRPr="00734744" w:rsidRDefault="00F724EB" w:rsidP="00B37433">
      <w:pPr>
        <w:jc w:val="both"/>
        <w:rPr>
          <w:rFonts w:ascii="Times New Roman" w:hAnsi="Times New Roman" w:cs="Times New Roman"/>
        </w:rPr>
      </w:pPr>
      <w:r w:rsidRPr="00F724EB">
        <w:rPr>
          <w:rFonts w:ascii="Times New Roman" w:hAnsi="Times New Roman" w:cs="Times New Roman"/>
        </w:rPr>
        <w:lastRenderedPageBreak/>
        <w:t>Kenya’s economic growth fluctuated over the study period, declining from approximately 5.7% in 2013 to 5.3% in 2014, rising to 6.32% in 2018, and subsequently falling to about 5.37% in 2019</w:t>
      </w:r>
      <w:r>
        <w:rPr>
          <w:rFonts w:ascii="Times New Roman" w:hAnsi="Times New Roman" w:cs="Times New Roman"/>
        </w:rPr>
        <w:t xml:space="preserve"> </w:t>
      </w:r>
      <w:r w:rsidRPr="00F724EB">
        <w:rPr>
          <w:rFonts w:ascii="Times New Roman" w:hAnsi="Times New Roman" w:cs="Times New Roman"/>
          <w:highlight w:val="yellow"/>
        </w:rPr>
        <w:t>(World Bank, 2019)</w:t>
      </w:r>
      <w:r w:rsidR="00B37433" w:rsidRPr="00F724EB">
        <w:rPr>
          <w:rFonts w:ascii="Times New Roman" w:hAnsi="Times New Roman" w:cs="Times New Roman"/>
          <w:highlight w:val="yellow"/>
        </w:rPr>
        <w:t>.</w:t>
      </w:r>
      <w:r w:rsidR="00B37433" w:rsidRPr="00734744">
        <w:rPr>
          <w:rFonts w:ascii="Times New Roman" w:hAnsi="Times New Roman" w:cs="Times New Roman"/>
        </w:rPr>
        <w:t xml:space="preserve"> Such fluctuations have implications for FDI inflow trends </w:t>
      </w:r>
      <w:r w:rsidR="00B37433" w:rsidRPr="008C5C50">
        <w:rPr>
          <w:rFonts w:ascii="Times New Roman" w:hAnsi="Times New Roman" w:cs="Times New Roman"/>
          <w:highlight w:val="yellow"/>
        </w:rPr>
        <w:t xml:space="preserve">(Ho </w:t>
      </w:r>
      <w:r w:rsidR="008C5C50" w:rsidRPr="008C5C50">
        <w:rPr>
          <w:rFonts w:ascii="Times New Roman" w:hAnsi="Times New Roman" w:cs="Times New Roman"/>
          <w:highlight w:val="yellow"/>
        </w:rPr>
        <w:t>et al.</w:t>
      </w:r>
      <w:r w:rsidR="00B37433" w:rsidRPr="008C5C50">
        <w:rPr>
          <w:rFonts w:ascii="Times New Roman" w:hAnsi="Times New Roman" w:cs="Times New Roman"/>
          <w:highlight w:val="yellow"/>
        </w:rPr>
        <w:t>, 2019).</w:t>
      </w:r>
      <w:r w:rsidR="00B37433" w:rsidRPr="00734744">
        <w:rPr>
          <w:rFonts w:ascii="Times New Roman" w:hAnsi="Times New Roman" w:cs="Times New Roman"/>
        </w:rPr>
        <w:t xml:space="preserve"> </w:t>
      </w:r>
    </w:p>
    <w:p w14:paraId="33D1064E" w14:textId="583636E8"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(Linda &amp; </w:t>
      </w:r>
      <w:proofErr w:type="spellStart"/>
      <w:r w:rsidRPr="00734744">
        <w:rPr>
          <w:rFonts w:ascii="Times New Roman" w:hAnsi="Times New Roman" w:cs="Times New Roman"/>
        </w:rPr>
        <w:t>Kolstard</w:t>
      </w:r>
      <w:proofErr w:type="spellEnd"/>
      <w:r w:rsidRPr="00734744">
        <w:rPr>
          <w:rFonts w:ascii="Times New Roman" w:hAnsi="Times New Roman" w:cs="Times New Roman"/>
        </w:rPr>
        <w:t xml:space="preserve">, 2015).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74EBA451" w14:textId="7C0CA603"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importance of FDI has increased globally because foreign capital complements domestic savings and can contribute to development and productivity</w:t>
      </w:r>
      <w:r w:rsidR="00E20227">
        <w:rPr>
          <w:rFonts w:ascii="Times New Roman" w:hAnsi="Times New Roman" w:cs="Times New Roman"/>
        </w:rPr>
        <w:t xml:space="preserve"> (</w:t>
      </w:r>
      <w:r w:rsidR="00E20227" w:rsidRPr="00E20227">
        <w:rPr>
          <w:rFonts w:ascii="Times New Roman" w:hAnsi="Times New Roman" w:cs="Times New Roman"/>
          <w:highlight w:val="yellow"/>
        </w:rPr>
        <w:t>Wondimu, 2023)</w:t>
      </w:r>
      <w:r w:rsidRPr="00E20227">
        <w:rPr>
          <w:rFonts w:ascii="Times New Roman" w:hAnsi="Times New Roman" w:cs="Times New Roman"/>
          <w:highlight w:val="yellow"/>
        </w:rPr>
        <w:t>.</w:t>
      </w:r>
      <w:r w:rsidRPr="00734744">
        <w:rPr>
          <w:rFonts w:ascii="Times New Roman" w:hAnsi="Times New Roman" w:cs="Times New Roman"/>
        </w:rPr>
        <w:t xml:space="preserve"> FDI can facilitate technological exchange between developing and developed countries and consequently contribute to economic growth (</w:t>
      </w:r>
      <w:proofErr w:type="spellStart"/>
      <w:r w:rsidRPr="00734744">
        <w:rPr>
          <w:rFonts w:ascii="Times New Roman" w:hAnsi="Times New Roman" w:cs="Times New Roman"/>
        </w:rPr>
        <w:t>Gnangnon</w:t>
      </w:r>
      <w:proofErr w:type="spellEnd"/>
      <w:r w:rsidRPr="00734744">
        <w:rPr>
          <w:rFonts w:ascii="Times New Roman" w:hAnsi="Times New Roman" w:cs="Times New Roman"/>
        </w:rPr>
        <w:t xml:space="preserve">, 2017). </w:t>
      </w:r>
    </w:p>
    <w:p w14:paraId="124F675F" w14:textId="77777777" w:rsidR="0015143C" w:rsidRDefault="0015143C" w:rsidP="00B37433">
      <w:pPr>
        <w:jc w:val="both"/>
        <w:rPr>
          <w:rFonts w:ascii="Times New Roman" w:hAnsi="Times New Roman" w:cs="Times New Roman"/>
        </w:rPr>
      </w:pPr>
      <w:r w:rsidRPr="0015143C">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(Bond, 2019).</w:t>
      </w:r>
    </w:p>
    <w:p w14:paraId="4D90C441" w14:textId="2B31639D" w:rsidR="00B37433" w:rsidRPr="00734744" w:rsidRDefault="00E20227" w:rsidP="00B37433">
      <w:pPr>
        <w:jc w:val="both"/>
        <w:rPr>
          <w:rFonts w:ascii="Times New Roman" w:hAnsi="Times New Roman" w:cs="Times New Roman"/>
        </w:rPr>
      </w:pPr>
      <w:r w:rsidRPr="00E20227">
        <w:rPr>
          <w:rFonts w:ascii="Times New Roman" w:hAnsi="Times New Roman" w:cs="Times New Roman"/>
        </w:rPr>
        <w:t>Kenya’s experience has likewise been marked by fluctuations in FDI inflows, although the country remained a favourable destination for foreign direct investment in the East African region from the 1960s through the 1980s</w:t>
      </w:r>
      <w:r w:rsidR="0041222D">
        <w:rPr>
          <w:rFonts w:ascii="Times New Roman" w:hAnsi="Times New Roman" w:cs="Times New Roman"/>
        </w:rPr>
        <w:t xml:space="preserve"> </w:t>
      </w:r>
      <w:r w:rsidRPr="0041222D">
        <w:rPr>
          <w:rFonts w:ascii="Times New Roman" w:hAnsi="Times New Roman" w:cs="Times New Roman"/>
          <w:highlight w:val="yellow"/>
        </w:rPr>
        <w:t xml:space="preserve">(Mwenda &amp; </w:t>
      </w:r>
      <w:proofErr w:type="spellStart"/>
      <w:r w:rsidRPr="0041222D">
        <w:rPr>
          <w:rFonts w:ascii="Times New Roman" w:hAnsi="Times New Roman" w:cs="Times New Roman"/>
          <w:highlight w:val="yellow"/>
        </w:rPr>
        <w:t>Wasseja</w:t>
      </w:r>
      <w:proofErr w:type="spellEnd"/>
      <w:r w:rsidRPr="0041222D">
        <w:rPr>
          <w:rFonts w:ascii="Times New Roman" w:hAnsi="Times New Roman" w:cs="Times New Roman"/>
          <w:highlight w:val="yellow"/>
        </w:rPr>
        <w:t>, 2013).</w:t>
      </w:r>
      <w:r w:rsidR="00B37433" w:rsidRPr="00734744">
        <w:rPr>
          <w:rFonts w:ascii="Times New Roman" w:hAnsi="Times New Roman" w:cs="Times New Roman"/>
        </w:rPr>
        <w:t xml:space="preserve"> FDI inflows </w:t>
      </w:r>
      <w:r w:rsidR="0041222D">
        <w:rPr>
          <w:rFonts w:ascii="Times New Roman" w:hAnsi="Times New Roman" w:cs="Times New Roman"/>
        </w:rPr>
        <w:t xml:space="preserve">for Kenya </w:t>
      </w:r>
      <w:r w:rsidR="00B37433" w:rsidRPr="00734744">
        <w:rPr>
          <w:rFonts w:ascii="Times New Roman" w:hAnsi="Times New Roman" w:cs="Times New Roman"/>
        </w:rPr>
        <w:t xml:space="preserve">averaged approximately US$106 million annually between 2000 and 2009, although </w:t>
      </w:r>
      <w:r w:rsidR="00A31F19" w:rsidRPr="00734744">
        <w:rPr>
          <w:rFonts w:ascii="Times New Roman" w:hAnsi="Times New Roman" w:cs="Times New Roman"/>
        </w:rPr>
        <w:t>neighbouring</w:t>
      </w:r>
      <w:r w:rsidR="00B37433" w:rsidRPr="00734744">
        <w:rPr>
          <w:rFonts w:ascii="Times New Roman" w:hAnsi="Times New Roman" w:cs="Times New Roman"/>
        </w:rPr>
        <w:t xml:space="preserve"> Tanzania and Uganda attracted higher inflows during the same period</w:t>
      </w:r>
      <w:r w:rsidR="0041222D">
        <w:rPr>
          <w:rFonts w:ascii="Times New Roman" w:hAnsi="Times New Roman" w:cs="Times New Roman"/>
        </w:rPr>
        <w:t xml:space="preserve"> </w:t>
      </w:r>
      <w:r w:rsidR="0041222D" w:rsidRPr="0041222D">
        <w:rPr>
          <w:rFonts w:ascii="Times New Roman" w:hAnsi="Times New Roman" w:cs="Times New Roman"/>
          <w:highlight w:val="yellow"/>
        </w:rPr>
        <w:t>(World Bank, 2013</w:t>
      </w:r>
      <w:r w:rsidR="0041222D" w:rsidRPr="0041222D">
        <w:rPr>
          <w:rFonts w:ascii="Times New Roman" w:hAnsi="Times New Roman" w:cs="Times New Roman"/>
        </w:rPr>
        <w:t>)</w:t>
      </w:r>
      <w:r w:rsidR="00B37433" w:rsidRPr="00734744">
        <w:rPr>
          <w:rFonts w:ascii="Times New Roman" w:hAnsi="Times New Roman" w:cs="Times New Roman"/>
        </w:rPr>
        <w:t xml:space="preserve">. Despite government efforts to create </w:t>
      </w:r>
      <w:r w:rsidR="00A31F19" w:rsidRPr="00734744">
        <w:rPr>
          <w:rFonts w:ascii="Times New Roman" w:hAnsi="Times New Roman" w:cs="Times New Roman"/>
        </w:rPr>
        <w:t>favourable</w:t>
      </w:r>
      <w:r w:rsidR="00B37433" w:rsidRPr="00734744">
        <w:rPr>
          <w:rFonts w:ascii="Times New Roman" w:hAnsi="Times New Roman" w:cs="Times New Roman"/>
        </w:rPr>
        <w:t xml:space="preserve"> policies and promote industrialization and investment, FDI inflows continued to fluctuate. Between 2010 and 2019, FDI averaged approximately US$1.3 billion annually, but inflows declined from US$1.6 billion in 2018 to US$1.3 billion in 2019, an 18% decline (</w:t>
      </w:r>
      <w:r w:rsidR="00280A29" w:rsidRPr="00280A29">
        <w:rPr>
          <w:rFonts w:ascii="Times New Roman" w:hAnsi="Times New Roman" w:cs="Times New Roman"/>
          <w:color w:val="000000" w:themeColor="text1"/>
        </w:rPr>
        <w:t>Cheelo,</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2018). </w:t>
      </w:r>
    </w:p>
    <w:p w14:paraId="45C5D69E" w14:textId="175C3C05"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decline in FDI is important because FDI inflows provide resources that can contribute to economic growth and long-term development</w:t>
      </w:r>
      <w:r w:rsidR="0041222D">
        <w:rPr>
          <w:rFonts w:ascii="Times New Roman" w:hAnsi="Times New Roman" w:cs="Times New Roman"/>
        </w:rPr>
        <w:t xml:space="preserve"> </w:t>
      </w:r>
      <w:r w:rsidR="0041222D" w:rsidRPr="0041222D">
        <w:rPr>
          <w:rFonts w:ascii="Times New Roman" w:hAnsi="Times New Roman" w:cs="Times New Roman"/>
          <w:highlight w:val="yellow"/>
        </w:rPr>
        <w:t>(</w:t>
      </w:r>
      <w:proofErr w:type="spellStart"/>
      <w:r w:rsidR="0041222D" w:rsidRPr="0041222D">
        <w:rPr>
          <w:rFonts w:ascii="Times New Roman" w:hAnsi="Times New Roman" w:cs="Times New Roman"/>
          <w:color w:val="000000" w:themeColor="text1"/>
          <w:highlight w:val="yellow"/>
        </w:rPr>
        <w:t>Mahdinezhad</w:t>
      </w:r>
      <w:proofErr w:type="spellEnd"/>
      <w:r w:rsidR="0041222D" w:rsidRPr="0041222D">
        <w:rPr>
          <w:rFonts w:ascii="Times New Roman" w:hAnsi="Times New Roman" w:cs="Times New Roman"/>
          <w:color w:val="000000" w:themeColor="text1"/>
          <w:highlight w:val="yellow"/>
        </w:rPr>
        <w:t>, M2016)</w:t>
      </w:r>
      <w:r w:rsidRPr="0041222D">
        <w:rPr>
          <w:rFonts w:ascii="Times New Roman" w:hAnsi="Times New Roman" w:cs="Times New Roman"/>
          <w:highlight w:val="yellow"/>
        </w:rPr>
        <w:t>.</w:t>
      </w:r>
      <w:r w:rsidRPr="00734744">
        <w:rPr>
          <w:rFonts w:ascii="Times New Roman" w:hAnsi="Times New Roman" w:cs="Times New Roman"/>
        </w:rPr>
        <w:t xml:space="preserve"> Kenya has implemented several economic reforms, including infrastructure development and public-private partnerships under the Vision 2030 framework, with the objective of creating a conducive environment for foreign investors (</w:t>
      </w:r>
      <w:r w:rsidR="00222835">
        <w:rPr>
          <w:rFonts w:ascii="Times New Roman" w:hAnsi="Times New Roman" w:cs="Times New Roman"/>
        </w:rPr>
        <w:t>Achieng</w:t>
      </w:r>
      <w:r w:rsidRPr="00734744">
        <w:rPr>
          <w:rFonts w:ascii="Times New Roman" w:hAnsi="Times New Roman" w:cs="Times New Roman"/>
        </w:rPr>
        <w:t>, 201</w:t>
      </w:r>
      <w:r w:rsidR="00222835">
        <w:rPr>
          <w:rFonts w:ascii="Times New Roman" w:hAnsi="Times New Roman" w:cs="Times New Roman"/>
        </w:rPr>
        <w:t>8</w:t>
      </w:r>
      <w:r w:rsidRPr="00734744">
        <w:rPr>
          <w:rFonts w:ascii="Times New Roman" w:hAnsi="Times New Roman" w:cs="Times New Roman"/>
        </w:rPr>
        <w:t xml:space="preserve">). Nevertheless, FDI inflows have remained lower than those of some </w:t>
      </w:r>
      <w:r w:rsidR="00A31F19" w:rsidRPr="00734744">
        <w:rPr>
          <w:rFonts w:ascii="Times New Roman" w:hAnsi="Times New Roman" w:cs="Times New Roman"/>
        </w:rPr>
        <w:t>neighbouring</w:t>
      </w:r>
      <w:r w:rsidRPr="00734744">
        <w:rPr>
          <w:rFonts w:ascii="Times New Roman" w:hAnsi="Times New Roman" w:cs="Times New Roman"/>
        </w:rPr>
        <w:t xml:space="preserve"> East African economies. In 2019, Kenya's FDI inflows stood at US$1.3 billion compared with US$1.6 billion in 2018 (</w:t>
      </w:r>
      <w:r w:rsidR="00280A29">
        <w:rPr>
          <w:rFonts w:ascii="Times New Roman" w:hAnsi="Times New Roman" w:cs="Times New Roman"/>
        </w:rPr>
        <w:t>Ouma</w:t>
      </w:r>
      <w:r w:rsidRPr="00734744">
        <w:rPr>
          <w:rFonts w:ascii="Times New Roman" w:hAnsi="Times New Roman" w:cs="Times New Roman"/>
        </w:rPr>
        <w:t>, 202</w:t>
      </w:r>
      <w:r w:rsidR="00280A29">
        <w:rPr>
          <w:rFonts w:ascii="Times New Roman" w:hAnsi="Times New Roman" w:cs="Times New Roman"/>
        </w:rPr>
        <w:t>1</w:t>
      </w:r>
      <w:r w:rsidRPr="00734744">
        <w:rPr>
          <w:rFonts w:ascii="Times New Roman" w:hAnsi="Times New Roman" w:cs="Times New Roman"/>
        </w:rPr>
        <w:t xml:space="preserve">). </w:t>
      </w:r>
    </w:p>
    <w:p w14:paraId="678C1E9E" w14:textId="77777777" w:rsidR="001D23C2" w:rsidRDefault="001D23C2" w:rsidP="00B37433">
      <w:pPr>
        <w:jc w:val="both"/>
        <w:rPr>
          <w:rFonts w:ascii="Times New Roman" w:hAnsi="Times New Roman" w:cs="Times New Roman"/>
        </w:rPr>
      </w:pPr>
      <w:r w:rsidRPr="001D23C2">
        <w:rPr>
          <w:rFonts w:ascii="Times New Roman" w:hAnsi="Times New Roman" w:cs="Times New Roman"/>
        </w:rPr>
        <w:t xml:space="preserve">The continued fluctuations in FDI inflows despite policy interventions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w:t>
      </w:r>
      <w:r w:rsidRPr="001D23C2">
        <w:rPr>
          <w:rFonts w:ascii="Times New Roman" w:hAnsi="Times New Roman" w:cs="Times New Roman"/>
        </w:rPr>
        <w:lastRenderedPageBreak/>
        <w:t>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393ABDA9" w14:textId="668AD224" w:rsidR="00B37433" w:rsidRPr="00734744" w:rsidRDefault="001D23C2" w:rsidP="00B37433">
      <w:pPr>
        <w:jc w:val="both"/>
        <w:rPr>
          <w:rFonts w:ascii="Times New Roman" w:hAnsi="Times New Roman" w:cs="Times New Roman"/>
        </w:rPr>
      </w:pPr>
      <w:r w:rsidRPr="001D23C2">
        <w:rPr>
          <w:rFonts w:ascii="Times New Roman" w:hAnsi="Times New Roman" w:cs="Times New Roman"/>
        </w:rPr>
        <w:t>The study examined the effects of selected macroeconomic variables on foreign direct investment in Kenya. Specifically, it examined the effects of real interest rate, inflation, economic growth and exchange rate on FDI in Kenya.</w:t>
      </w:r>
      <w:r w:rsidR="00B37433" w:rsidRPr="00734744">
        <w:rPr>
          <w:rFonts w:ascii="Times New Roman" w:hAnsi="Times New Roman" w:cs="Times New Roman"/>
        </w:rPr>
        <w:t xml:space="preserve"> </w:t>
      </w:r>
    </w:p>
    <w:p w14:paraId="3EDAC9CE" w14:textId="5E489234" w:rsidR="001F0F12" w:rsidRDefault="001D23C2" w:rsidP="00B37433">
      <w:pPr>
        <w:jc w:val="both"/>
        <w:rPr>
          <w:rFonts w:ascii="Times New Roman" w:hAnsi="Times New Roman" w:cs="Times New Roman"/>
        </w:rPr>
      </w:pPr>
      <w:r w:rsidRPr="001D23C2">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0629648F" w14:textId="47F7EFE3" w:rsidR="006022E0" w:rsidRDefault="006022E0" w:rsidP="00B37433">
      <w:pPr>
        <w:jc w:val="both"/>
        <w:rPr>
          <w:rFonts w:ascii="Times New Roman" w:hAnsi="Times New Roman" w:cs="Times New Roman"/>
        </w:rPr>
      </w:pPr>
      <w:r w:rsidRPr="006022E0">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4DA6D537" w14:textId="77777777" w:rsidR="006022E0" w:rsidRPr="00734744" w:rsidRDefault="006022E0" w:rsidP="00B37433">
      <w:pPr>
        <w:jc w:val="both"/>
        <w:rPr>
          <w:rFonts w:ascii="Times New Roman" w:hAnsi="Times New Roman" w:cs="Times New Roman"/>
        </w:rPr>
      </w:pPr>
    </w:p>
    <w:p w14:paraId="223C9C19"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 LITERATURE REVIEW</w:t>
      </w:r>
    </w:p>
    <w:p w14:paraId="0A3D24A2"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2.1 Theoretical Review</w:t>
      </w:r>
    </w:p>
    <w:p w14:paraId="66B3122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2.1.1 Eclectic Paradigm Theory</w:t>
      </w:r>
    </w:p>
    <w:p w14:paraId="7ECC1797" w14:textId="5159D58E"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labour and raw materials, taxation, tariffs and availability of skilled labour, can influence the attractiveness of a country as an investment destination (Dunning, 2001). </w:t>
      </w:r>
    </w:p>
    <w:p w14:paraId="3E141A36" w14:textId="77777777" w:rsidR="00226E13" w:rsidRPr="00734744" w:rsidRDefault="00226E13" w:rsidP="00226E13">
      <w:pPr>
        <w:spacing w:after="0"/>
        <w:jc w:val="both"/>
        <w:rPr>
          <w:rFonts w:ascii="Times New Roman" w:hAnsi="Times New Roman" w:cs="Times New Roman"/>
        </w:rPr>
      </w:pPr>
    </w:p>
    <w:p w14:paraId="76B1E93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w:t>
      </w:r>
      <w:r w:rsidRPr="00734744">
        <w:rPr>
          <w:rFonts w:ascii="Times New Roman" w:hAnsi="Times New Roman" w:cs="Times New Roman"/>
        </w:rPr>
        <w:lastRenderedPageBreak/>
        <w:t xml:space="preserve">notes that the theory links firm-level considerations with the broader macroeconomic environment of international production (Dunning, 1988a). </w:t>
      </w:r>
    </w:p>
    <w:p w14:paraId="224E1D9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2.1.2 Neoclassical Trade Theory</w:t>
      </w:r>
    </w:p>
    <w:p w14:paraId="29D1B52C" w14:textId="3F256C0C"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280A29">
        <w:rPr>
          <w:rFonts w:ascii="Times New Roman" w:hAnsi="Times New Roman" w:cs="Times New Roman"/>
          <w:color w:val="000000" w:themeColor="text1"/>
        </w:rPr>
        <w:t>Ullah</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&amp; Khan, 2017).</w:t>
      </w:r>
    </w:p>
    <w:p w14:paraId="0808311D" w14:textId="77777777" w:rsidR="00CD3D5D" w:rsidRDefault="00CD3D5D" w:rsidP="001F0F12">
      <w:pPr>
        <w:jc w:val="both"/>
        <w:rPr>
          <w:rFonts w:ascii="Times New Roman" w:hAnsi="Times New Roman" w:cs="Times New Roman"/>
        </w:rPr>
      </w:pPr>
    </w:p>
    <w:p w14:paraId="6D201CDE" w14:textId="14A48ED5"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04006038"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2.1.3 Internalization Theory</w:t>
      </w:r>
    </w:p>
    <w:p w14:paraId="1D7809A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Internalization Theory explains the motivation of multinational enterprises to undertake FDI by emphasizing the advantages of conducting activities internally rather than relying on external markets. The theory originated from the work of Buckley and Casson and was subsequently developed by scholars including Hennart, Casson and Hymer. Hymer (1976) emphasized firm-specific advantages and the costs associated with operating in foreign markets. </w:t>
      </w:r>
    </w:p>
    <w:p w14:paraId="3FB85BF5" w14:textId="77777777" w:rsidR="00226E13" w:rsidRPr="00734744" w:rsidRDefault="00226E13" w:rsidP="00226E13">
      <w:pPr>
        <w:spacing w:after="0"/>
        <w:jc w:val="both"/>
        <w:rPr>
          <w:rFonts w:ascii="Times New Roman" w:hAnsi="Times New Roman" w:cs="Times New Roman"/>
        </w:rPr>
      </w:pPr>
    </w:p>
    <w:p w14:paraId="2117262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Internalization provides a useful perspective for understanding FDI because multinational corporations consider the costs, risks and advantages associated with operating in foreign markets. The macroeconomic environment of the host country can therefore influence the decision to internalize activities through FDI.</w:t>
      </w:r>
    </w:p>
    <w:p w14:paraId="10209CBD"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2.1.4 Interest Rate Parity Theory</w:t>
      </w:r>
    </w:p>
    <w:p w14:paraId="30C358F7" w14:textId="42C0C799" w:rsidR="001F0F12" w:rsidRDefault="001F0F12" w:rsidP="00CD3D5D">
      <w:pPr>
        <w:spacing w:after="0"/>
        <w:jc w:val="both"/>
        <w:rPr>
          <w:rFonts w:ascii="Times New Roman" w:hAnsi="Times New Roman" w:cs="Times New Roman"/>
        </w:rPr>
      </w:pPr>
      <w:r w:rsidRPr="00734744">
        <w:rPr>
          <w:rFonts w:ascii="Times New Roman" w:hAnsi="Times New Roman" w:cs="Times New Roman"/>
        </w:rPr>
        <w:t>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in exchange rates (</w:t>
      </w:r>
      <w:r w:rsidR="00280A29" w:rsidRPr="00280A29">
        <w:rPr>
          <w:rFonts w:ascii="Times New Roman" w:hAnsi="Times New Roman" w:cs="Times New Roman"/>
          <w:color w:val="000000" w:themeColor="text1"/>
        </w:rPr>
        <w:t>Dornbusch, 2019)</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7E7A0D8C" w14:textId="77777777" w:rsidR="00CD3D5D" w:rsidRPr="00734744" w:rsidRDefault="00CD3D5D" w:rsidP="00CD3D5D">
      <w:pPr>
        <w:spacing w:after="0"/>
        <w:jc w:val="both"/>
        <w:rPr>
          <w:rFonts w:ascii="Times New Roman" w:hAnsi="Times New Roman" w:cs="Times New Roman"/>
        </w:rPr>
      </w:pPr>
    </w:p>
    <w:p w14:paraId="5138CE27"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2.1.5 International Fisher Effect Theory</w:t>
      </w:r>
    </w:p>
    <w:p w14:paraId="79491916" w14:textId="7A1BB65F" w:rsidR="00B956CE" w:rsidRDefault="001F0F12" w:rsidP="00CD3D5D">
      <w:pPr>
        <w:spacing w:after="0"/>
        <w:jc w:val="both"/>
        <w:rPr>
          <w:rFonts w:ascii="Times New Roman" w:hAnsi="Times New Roman" w:cs="Times New Roman"/>
        </w:rPr>
      </w:pPr>
      <w:r w:rsidRPr="00734744">
        <w:rPr>
          <w:rFonts w:ascii="Times New Roman" w:hAnsi="Times New Roman" w:cs="Times New Roman"/>
        </w:rPr>
        <w:t xml:space="preserve">The International Fisher Effect explains the relationship between interest rates, inflation and exchange rates. The theory proposes that differences in interest rates across countries are </w:t>
      </w:r>
      <w:r w:rsidRPr="00734744">
        <w:rPr>
          <w:rFonts w:ascii="Times New Roman" w:hAnsi="Times New Roman" w:cs="Times New Roman"/>
        </w:rPr>
        <w:lastRenderedPageBreak/>
        <w:t>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280A29">
        <w:rPr>
          <w:rFonts w:ascii="Times New Roman" w:hAnsi="Times New Roman" w:cs="Times New Roman"/>
          <w:color w:val="000000" w:themeColor="text1"/>
        </w:rPr>
        <w:t>Egilsson, 2020).</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1A889919" w14:textId="77777777" w:rsidR="00CD3D5D" w:rsidRDefault="00CD3D5D" w:rsidP="00CD3D5D">
      <w:pPr>
        <w:spacing w:after="0"/>
        <w:jc w:val="both"/>
        <w:rPr>
          <w:rFonts w:ascii="Times New Roman" w:hAnsi="Times New Roman" w:cs="Times New Roman"/>
        </w:rPr>
      </w:pPr>
    </w:p>
    <w:p w14:paraId="45D37915" w14:textId="77777777" w:rsidR="00530B02" w:rsidRPr="00530B02" w:rsidRDefault="00530B02" w:rsidP="006B2893">
      <w:pPr>
        <w:spacing w:after="0"/>
        <w:jc w:val="both"/>
        <w:rPr>
          <w:rFonts w:ascii="Times New Roman" w:hAnsi="Times New Roman" w:cs="Times New Roman"/>
          <w:lang w:val="en-US"/>
        </w:rPr>
      </w:pPr>
      <w:r w:rsidRPr="00530B02">
        <w:rPr>
          <w:rFonts w:ascii="Times New Roman" w:hAnsi="Times New Roman" w:cs="Times New Roman"/>
          <w:b/>
          <w:bCs/>
          <w:lang w:val="en-US"/>
        </w:rPr>
        <w:t>2.2 Conceptual Framework</w:t>
      </w:r>
    </w:p>
    <w:p w14:paraId="3113B017" w14:textId="7F922354" w:rsidR="00B956CE" w:rsidRPr="00530B02" w:rsidRDefault="00530B02" w:rsidP="006B2893">
      <w:pPr>
        <w:jc w:val="both"/>
        <w:rPr>
          <w:rFonts w:ascii="Times New Roman" w:hAnsi="Times New Roman" w:cs="Times New Roman"/>
          <w:lang w:val="en-US"/>
        </w:rPr>
      </w:pPr>
      <w:r w:rsidRPr="00530B02">
        <w:rPr>
          <w:rFonts w:ascii="Times New Roman" w:hAnsi="Times New Roman" w:cs="Times New Roman"/>
          <w:lang w:val="en-US"/>
        </w:rPr>
        <w:t>The conceptual framework illustrates the proposed relationship between selected macroeconomic drivers and foreign direct investment in Kenya. The framework conceptualizes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emphasizes host-country location conditions in determining international investment decisions.</w:t>
      </w:r>
    </w:p>
    <w:p w14:paraId="4AC10877" w14:textId="06994133" w:rsidR="00B956CE" w:rsidRPr="00530B02" w:rsidRDefault="00B956CE" w:rsidP="00530B02">
      <w:pPr>
        <w:jc w:val="both"/>
        <w:rPr>
          <w:rFonts w:ascii="Times New Roman" w:hAnsi="Times New Roman" w:cs="Times New Roman"/>
        </w:rPr>
      </w:pPr>
      <w:r>
        <w:rPr>
          <w:noProof/>
          <w:sz w:val="6"/>
          <w:szCs w:val="6"/>
        </w:rPr>
        <mc:AlternateContent>
          <mc:Choice Requires="wpg">
            <w:drawing>
              <wp:anchor distT="0" distB="0" distL="114300" distR="114300" simplePos="0" relativeHeight="251659264" behindDoc="0" locked="0" layoutInCell="1" allowOverlap="1" wp14:anchorId="042FE97A" wp14:editId="6CEDC594">
                <wp:simplePos x="0" y="0"/>
                <wp:positionH relativeFrom="margin">
                  <wp:align>left</wp:align>
                </wp:positionH>
                <wp:positionV relativeFrom="paragraph">
                  <wp:posOffset>361950</wp:posOffset>
                </wp:positionV>
                <wp:extent cx="5264150" cy="240982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09825"/>
                          <a:chOff x="0" y="0"/>
                          <a:chExt cx="5264150" cy="2519616"/>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DB98CA"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30806"/>
                            <a:ext cx="1732915" cy="28881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89.75pt;z-index:251659264;mso-position-horizontal:left;mso-position-horizontal-relative:margin;mso-height-relative:margin" coordsize="52641,2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19DB98CA"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308;width:17329;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D98D03E" w14:textId="6691D2BB" w:rsidR="00C27914" w:rsidRDefault="00C27914" w:rsidP="00B956CE">
      <w:pPr>
        <w:spacing w:after="0" w:line="360" w:lineRule="auto"/>
        <w:ind w:left="10"/>
        <w:rPr>
          <w:rFonts w:ascii="Times New Roman" w:hAnsi="Times New Roman" w:cs="Times New Roman"/>
          <w:color w:val="000000" w:themeColor="text1"/>
        </w:rPr>
      </w:pPr>
      <w:r w:rsidRPr="00C27914">
        <w:rPr>
          <w:rFonts w:ascii="Times New Roman" w:hAnsi="Times New Roman" w:cs="Times New Roman"/>
          <w:color w:val="000000" w:themeColor="text1"/>
        </w:rPr>
        <w:t>Source: Author's conceptualization</w:t>
      </w:r>
    </w:p>
    <w:p w14:paraId="11EC62B3" w14:textId="78C1C14A" w:rsidR="00395FE8" w:rsidRPr="00395FE8" w:rsidRDefault="00B956CE" w:rsidP="00395FE8">
      <w:pPr>
        <w:spacing w:after="0" w:line="360" w:lineRule="auto"/>
        <w:ind w:left="10"/>
        <w:rPr>
          <w:rFonts w:ascii="Times New Roman" w:hAnsi="Times New Roman" w:cs="Times New Roman"/>
          <w:color w:val="000000" w:themeColor="text1"/>
        </w:rPr>
      </w:pPr>
      <w:r w:rsidRPr="00530B0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30B02">
        <w:rPr>
          <w:rFonts w:ascii="Times New Roman" w:hAnsi="Times New Roman" w:cs="Times New Roman"/>
          <w:color w:val="000000" w:themeColor="text1"/>
        </w:rPr>
        <w:t xml:space="preserve">Figure </w:t>
      </w:r>
      <w:r w:rsidRPr="00530B02">
        <w:rPr>
          <w:rFonts w:ascii="Times New Roman" w:hAnsi="Times New Roman" w:cs="Times New Roman"/>
          <w:color w:val="000000" w:themeColor="text1"/>
        </w:rPr>
        <w:fldChar w:fldCharType="begin"/>
      </w:r>
      <w:r w:rsidRPr="00530B02">
        <w:rPr>
          <w:rFonts w:ascii="Times New Roman" w:hAnsi="Times New Roman" w:cs="Times New Roman"/>
          <w:color w:val="000000" w:themeColor="text1"/>
        </w:rPr>
        <w:instrText xml:space="preserve"> SEQ Figure \* ARABIC </w:instrText>
      </w:r>
      <w:r w:rsidRPr="00530B02">
        <w:rPr>
          <w:rFonts w:ascii="Times New Roman" w:hAnsi="Times New Roman" w:cs="Times New Roman"/>
          <w:color w:val="000000" w:themeColor="text1"/>
        </w:rPr>
        <w:fldChar w:fldCharType="separate"/>
      </w:r>
      <w:r w:rsidRPr="00530B02">
        <w:rPr>
          <w:rFonts w:ascii="Times New Roman" w:hAnsi="Times New Roman" w:cs="Times New Roman"/>
          <w:noProof/>
          <w:color w:val="000000" w:themeColor="text1"/>
        </w:rPr>
        <w:t>1</w:t>
      </w:r>
      <w:r w:rsidRPr="00530B02">
        <w:rPr>
          <w:rFonts w:ascii="Times New Roman" w:hAnsi="Times New Roman" w:cs="Times New Roman"/>
          <w:color w:val="000000" w:themeColor="text1"/>
        </w:rPr>
        <w:fldChar w:fldCharType="end"/>
      </w:r>
      <w:r w:rsidRPr="00530B02">
        <w:rPr>
          <w:rFonts w:ascii="Times New Roman" w:hAnsi="Times New Roman" w:cs="Times New Roman"/>
          <w:color w:val="000000" w:themeColor="text1"/>
        </w:rPr>
        <w:t>. Hypothesized Link between the predictor variables and predicted variable</w:t>
      </w:r>
      <w:bookmarkEnd w:id="0"/>
    </w:p>
    <w:p w14:paraId="68B51F5C" w14:textId="56A4F8DF"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 xml:space="preserve"> Empirical Review</w:t>
      </w:r>
    </w:p>
    <w:p w14:paraId="0781056F" w14:textId="438FD328"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.1 Interest Rate and Foreign Direct Investment</w:t>
      </w:r>
    </w:p>
    <w:p w14:paraId="7BBA3435"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The empirical literature presents varying evidence concerning the relationship between interest rates and FDI. The thesis reports evidence of both positive and negative relationships depending on the country and study period. Studies examining Kenya have particularly identified interest rates as an important macroeconomic factor influencing FDI.</w:t>
      </w:r>
    </w:p>
    <w:p w14:paraId="34242AC5" w14:textId="77777777" w:rsidR="00226E13" w:rsidRPr="00734744" w:rsidRDefault="00226E13" w:rsidP="00226E13">
      <w:pPr>
        <w:spacing w:after="0"/>
        <w:jc w:val="both"/>
        <w:rPr>
          <w:rFonts w:ascii="Times New Roman" w:hAnsi="Times New Roman" w:cs="Times New Roman"/>
        </w:rPr>
      </w:pPr>
    </w:p>
    <w:p w14:paraId="3171E0F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lastRenderedPageBreak/>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8D16755"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737068C2" w14:textId="2B2E4421" w:rsidR="00DD7DC3" w:rsidRPr="00734744" w:rsidRDefault="00DD7DC3" w:rsidP="001F0F12">
      <w:pPr>
        <w:jc w:val="both"/>
        <w:rPr>
          <w:rFonts w:ascii="Times New Roman" w:hAnsi="Times New Roman" w:cs="Times New Roman"/>
        </w:rPr>
      </w:pPr>
      <w:r w:rsidRPr="00DD7DC3">
        <w:rPr>
          <w:rFonts w:ascii="Times New Roman" w:hAnsi="Times New Roman" w:cs="Times New Roman"/>
          <w:highlight w:val="yellow"/>
        </w:rPr>
        <w:t xml:space="preserve">Recent empirical literature further underscores the non-linear dynamics of interest rates on capital flows in developing regions. Kiprop and </w:t>
      </w:r>
      <w:proofErr w:type="spellStart"/>
      <w:r w:rsidRPr="00DD7DC3">
        <w:rPr>
          <w:rFonts w:ascii="Times New Roman" w:hAnsi="Times New Roman" w:cs="Times New Roman"/>
          <w:highlight w:val="yellow"/>
        </w:rPr>
        <w:t>Ndambiri</w:t>
      </w:r>
      <w:proofErr w:type="spellEnd"/>
      <w:r w:rsidRPr="00DD7DC3">
        <w:rPr>
          <w:rFonts w:ascii="Times New Roman" w:hAnsi="Times New Roman" w:cs="Times New Roman"/>
          <w:highlight w:val="yellow"/>
        </w:rPr>
        <w:t xml:space="preserve"> (2022) examined macroeconomic instability and foreign capital flows across the East African Community (EAC) using panel cointegration models (2000–2020). They established that high real interest rates increase borrowing costs for foreign investors requiring local leverage, thereby exerting a net negative drag on structural FDI inward stock. Similarly, Nyongesa (2023) investigated monetary policy transmission mechanisms on external private financial flows in Kenya (2005–2022) using an ARDL framework, finding that while high-interest rate differentials initially attract short-term portfolio capital, they significantly deter long-term FDI due to heightened cost-of-capital concerns.</w:t>
      </w:r>
    </w:p>
    <w:p w14:paraId="147619C6"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11C77801" w14:textId="65B145EE"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.2 Inflation and Foreign Direct Investment</w:t>
      </w:r>
    </w:p>
    <w:p w14:paraId="1B2B9549" w14:textId="691A60D8"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r w:rsidR="00CD3D5D">
        <w:rPr>
          <w:rFonts w:ascii="Times New Roman" w:hAnsi="Times New Roman" w:cs="Times New Roman"/>
        </w:rPr>
        <w:t xml:space="preserve"> </w:t>
      </w:r>
      <w:proofErr w:type="spellStart"/>
      <w:r w:rsidRPr="00734744">
        <w:rPr>
          <w:rFonts w:ascii="Times New Roman" w:hAnsi="Times New Roman" w:cs="Times New Roman"/>
        </w:rPr>
        <w:t>Alshamsi</w:t>
      </w:r>
      <w:proofErr w:type="spellEnd"/>
      <w:r w:rsidRPr="00734744">
        <w:rPr>
          <w:rFonts w:ascii="Times New Roman" w:hAnsi="Times New Roman" w:cs="Times New Roman"/>
        </w:rPr>
        <w:t xml:space="preserve">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720ACB5D"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Mansoor and Bibi (2018), using data for Pakistan covering 1980–2016, examined the relationship among financial growth, exchange rates, FDI and inflation. Their ARDL analysis found a weak short-run association between inflation and FDI. </w:t>
      </w:r>
    </w:p>
    <w:p w14:paraId="5D363D40" w14:textId="345B9C4E" w:rsidR="00DD7DC3" w:rsidRDefault="001F0F12" w:rsidP="001F0F12">
      <w:pPr>
        <w:jc w:val="both"/>
        <w:rPr>
          <w:rFonts w:ascii="Times New Roman" w:hAnsi="Times New Roman" w:cs="Times New Roman"/>
        </w:rPr>
      </w:pPr>
      <w:r w:rsidRPr="00734744">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Karau and Ng’ang’a (2019) similarly found an undesirable relationship between inflation and FDI in Kenya. </w:t>
      </w:r>
    </w:p>
    <w:p w14:paraId="07A732FC" w14:textId="07FF7A6C" w:rsidR="00DD7DC3" w:rsidRDefault="00DD7DC3" w:rsidP="001F0F12">
      <w:pPr>
        <w:jc w:val="both"/>
        <w:rPr>
          <w:rFonts w:ascii="Times New Roman" w:hAnsi="Times New Roman" w:cs="Times New Roman"/>
        </w:rPr>
      </w:pPr>
      <w:r w:rsidRPr="00DD7DC3">
        <w:rPr>
          <w:rFonts w:ascii="Times New Roman" w:hAnsi="Times New Roman" w:cs="Times New Roman"/>
          <w:highlight w:val="yellow"/>
        </w:rPr>
        <w:lastRenderedPageBreak/>
        <w:t>Expanding on these findings, World Bank (2023) macroeconomic assessments for Sub-Saharan Africa demonstrated that persistent post-pandemic inflation eroded investor confidence across East Africa by increasing operational input volatility and real exchange rate uncertainty. Furthermore, Maina and Kimani (2022) utilized a Vector Error Correction Model (VECM) on Kenyan annual data (1990–2021) and concluded that chronic consumer price inflation exerts a statistically significant long-run negative impact on inbound FDI, confirming that macroeconomic price stability remains a primary anchor for foreign capital retention.</w:t>
      </w:r>
    </w:p>
    <w:p w14:paraId="665BA4DE" w14:textId="04D8AE66"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differences in findings across studies indicate the need for additional evidence based on a longer time series.</w:t>
      </w:r>
    </w:p>
    <w:p w14:paraId="64D0CDAF" w14:textId="662511F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.3 Economic Growth and Foreign Direct Investment</w:t>
      </w:r>
    </w:p>
    <w:p w14:paraId="396FA823"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Economic growth and FDI may influence each other through market expansion, capital accumulation, productivity and technological spillovers. The studies reviewed in the thesis generally indicate an association between economic growth and FDI, although the direction and strength of the relationship vary across countries.</w:t>
      </w:r>
    </w:p>
    <w:p w14:paraId="5D053AB7" w14:textId="77777777" w:rsidR="00226E13" w:rsidRPr="00734744" w:rsidRDefault="00226E13" w:rsidP="00226E13">
      <w:pPr>
        <w:spacing w:after="0"/>
        <w:jc w:val="both"/>
        <w:rPr>
          <w:rFonts w:ascii="Times New Roman" w:hAnsi="Times New Roman" w:cs="Times New Roman"/>
        </w:rPr>
      </w:pPr>
    </w:p>
    <w:p w14:paraId="0B922055"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GuechHeang</w:t>
      </w:r>
      <w:proofErr w:type="spellEnd"/>
      <w:r w:rsidRPr="00734744">
        <w:rPr>
          <w:rFonts w:ascii="Times New Roman" w:hAnsi="Times New Roman" w:cs="Times New Roman"/>
        </w:rPr>
        <w:t xml:space="preserve"> and </w:t>
      </w:r>
      <w:proofErr w:type="spellStart"/>
      <w:r w:rsidRPr="00734744">
        <w:rPr>
          <w:rFonts w:ascii="Times New Roman" w:hAnsi="Times New Roman" w:cs="Times New Roman"/>
        </w:rPr>
        <w:t>Moolio</w:t>
      </w:r>
      <w:proofErr w:type="spellEnd"/>
      <w:r w:rsidRPr="00734744">
        <w:rPr>
          <w:rFonts w:ascii="Times New Roman" w:hAnsi="Times New Roman" w:cs="Times New Roman"/>
        </w:rPr>
        <w:t xml:space="preserve"> (2013) examined the relationship between GDP and FDI in Cambodia using time-series data for 1993–2011. Simple regression analysis indicated a long-term relationship between economic development and FDI. </w:t>
      </w:r>
    </w:p>
    <w:p w14:paraId="7FEF19A4" w14:textId="4E3171DE"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Nosheen (2013) examined the effect of FDI on GDP in Pakistan using time-series data covering 1980–2010. Cointegration analysis indicated a </w:t>
      </w:r>
      <w:r w:rsidR="00280A29" w:rsidRPr="00734744">
        <w:rPr>
          <w:rFonts w:ascii="Times New Roman" w:hAnsi="Times New Roman" w:cs="Times New Roman"/>
        </w:rPr>
        <w:t>favourable</w:t>
      </w:r>
      <w:r w:rsidRPr="00734744">
        <w:rPr>
          <w:rFonts w:ascii="Times New Roman" w:hAnsi="Times New Roman" w:cs="Times New Roman"/>
        </w:rPr>
        <w:t xml:space="preserve"> long-term relationship between GDP and FDI. </w:t>
      </w:r>
    </w:p>
    <w:p w14:paraId="12B7B4B2"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Koojaroenprasit</w:t>
      </w:r>
      <w:proofErr w:type="spellEnd"/>
      <w:r w:rsidRPr="00734744">
        <w:rPr>
          <w:rFonts w:ascii="Times New Roman" w:hAnsi="Times New Roman" w:cs="Times New Roman"/>
        </w:rPr>
        <w:t xml:space="preserve"> (2012) examined the impact of FDI on economic growth in Korea using panel data covering 1980–2009. The study found a positive relationship between FDI and GDP. </w:t>
      </w:r>
    </w:p>
    <w:p w14:paraId="2C9BDDEB"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In Kenya, </w:t>
      </w:r>
      <w:proofErr w:type="spellStart"/>
      <w:r w:rsidRPr="00734744">
        <w:rPr>
          <w:rFonts w:ascii="Times New Roman" w:hAnsi="Times New Roman" w:cs="Times New Roman"/>
        </w:rPr>
        <w:t>Wasseja</w:t>
      </w:r>
      <w:proofErr w:type="spellEnd"/>
      <w:r w:rsidRPr="00734744">
        <w:rPr>
          <w:rFonts w:ascii="Times New Roman" w:hAnsi="Times New Roman" w:cs="Times New Roman"/>
        </w:rPr>
        <w:t xml:space="preserve">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795FB4B2" w14:textId="0FF2F23E" w:rsidR="005C2006"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t>Contemporary empirical studies continue to validate the market-seeking hypothesis in regional economic blocks. Mensah et al. (2022) conducted a panel ARDL investigation across 22 Sub-Saharan African economies (2000–2021) and confirmed a robust, bidirectional long-run causality between real GDP growth and aggregate FDI flows. Specifically in Kenya, Ochieng and Odhiambo (2023) evaluated output growth dynamics following major infrastructural expansions (2000–2022), finding that domestic economic expansion consistently acts as a positive predictor of net foreign capital inflow, reinforcing the market-size hypothesis in long-term estimation.</w:t>
      </w:r>
    </w:p>
    <w:p w14:paraId="729D3E42" w14:textId="25CEB105"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.4 Exchange Rate and Foreign Direct Investment</w:t>
      </w:r>
    </w:p>
    <w:p w14:paraId="156A6B8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lastRenderedPageBreak/>
        <w:t>Exchange-rate movements can influence FDI by affecting production costs, investment returns and the relative attractiveness of host-country assets. However, empirical evidence concerning the direction of this relationship is mixed.</w:t>
      </w:r>
    </w:p>
    <w:p w14:paraId="177E5BA5" w14:textId="77777777" w:rsidR="00226E13" w:rsidRPr="00734744" w:rsidRDefault="00226E13" w:rsidP="00226E13">
      <w:pPr>
        <w:spacing w:after="0"/>
        <w:jc w:val="both"/>
        <w:rPr>
          <w:rFonts w:ascii="Times New Roman" w:hAnsi="Times New Roman" w:cs="Times New Roman"/>
        </w:rPr>
      </w:pPr>
    </w:p>
    <w:p w14:paraId="2EABF622"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Omondi and Muturi (2013) examined exchange-rate volatility and FDI in Kenya using time-series data covering 1981–2010. Using Pearson correlation analysis, the study found some evidence of a positive association between FDI and exchange-rate volatility. </w:t>
      </w:r>
    </w:p>
    <w:p w14:paraId="160E32E6" w14:textId="222EF4C8" w:rsidR="001F0F12" w:rsidRPr="00734744" w:rsidRDefault="00280A29" w:rsidP="001F0F12">
      <w:pPr>
        <w:jc w:val="both"/>
        <w:rPr>
          <w:rFonts w:ascii="Times New Roman" w:hAnsi="Times New Roman" w:cs="Times New Roman"/>
        </w:rPr>
      </w:pPr>
      <w:r w:rsidRPr="00280A29">
        <w:rPr>
          <w:rFonts w:ascii="Times New Roman" w:hAnsi="Times New Roman" w:cs="Times New Roman"/>
          <w:color w:val="000000" w:themeColor="text1"/>
        </w:rPr>
        <w:t>Vincent</w:t>
      </w:r>
      <w:r>
        <w:rPr>
          <w:rFonts w:ascii="Times New Roman" w:hAnsi="Times New Roman" w:cs="Times New Roman"/>
          <w:color w:val="000000" w:themeColor="text1"/>
        </w:rPr>
        <w:t xml:space="preserve"> et al. (2017)</w:t>
      </w:r>
      <w:r w:rsidR="001F0F12" w:rsidRPr="00734744">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9C34C0A"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Latief and </w:t>
      </w:r>
      <w:proofErr w:type="spellStart"/>
      <w:r w:rsidRPr="00734744">
        <w:rPr>
          <w:rFonts w:ascii="Times New Roman" w:hAnsi="Times New Roman" w:cs="Times New Roman"/>
        </w:rPr>
        <w:t>Lefen</w:t>
      </w:r>
      <w:proofErr w:type="spellEnd"/>
      <w:r w:rsidRPr="00734744">
        <w:rPr>
          <w:rFonts w:ascii="Times New Roman" w:hAnsi="Times New Roman" w:cs="Times New Roman"/>
        </w:rPr>
        <w:t xml:space="preserve"> (2018) investigated exchange-rate volatility, international trade and FDI in seven developing countries using panel data for 1995–2016. Their findings indicated that exchange-rate instability significantly affected FDI and international trade, with a negative effect in the countries associated with the Belt and Road initiative. </w:t>
      </w:r>
    </w:p>
    <w:p w14:paraId="4DEF9546" w14:textId="0CA98358" w:rsidR="001F0F12"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5658F82E" w14:textId="76805A37" w:rsidR="005C2006"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t xml:space="preserve">Recent post-2021 studies emphasize exchange rate stabilization as a prerequisite for mitigating exchange rate risk. Mwangi and Kamau (2022) investigated local currency depreciation dynamics against the USD in Kenya (1995–2021), demonstrating through GARCH and VECM estimations that continuous currency depreciation creates exchange rate uncertainty, which delays foreign capital commitments in non-resource sectors. Globally, </w:t>
      </w:r>
      <w:proofErr w:type="spellStart"/>
      <w:r w:rsidRPr="005C2006">
        <w:rPr>
          <w:rFonts w:ascii="Times New Roman" w:hAnsi="Times New Roman" w:cs="Times New Roman"/>
          <w:highlight w:val="yellow"/>
        </w:rPr>
        <w:t>Ajide</w:t>
      </w:r>
      <w:proofErr w:type="spellEnd"/>
      <w:r w:rsidRPr="005C2006">
        <w:rPr>
          <w:rFonts w:ascii="Times New Roman" w:hAnsi="Times New Roman" w:cs="Times New Roman"/>
          <w:highlight w:val="yellow"/>
        </w:rPr>
        <w:t xml:space="preserve"> et al. (2023) examined exchange rate volatility and inbound FDI in frontier African economies, confirming that exchange rate stability significantly outperforms currency undervaluation in attracting sustained multi-year FDI projects.</w:t>
      </w:r>
    </w:p>
    <w:p w14:paraId="7B3E8C6C" w14:textId="46F6F86A"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4</w:t>
      </w:r>
      <w:r w:rsidRPr="00734744">
        <w:rPr>
          <w:rFonts w:ascii="Times New Roman" w:hAnsi="Times New Roman" w:cs="Times New Roman"/>
          <w:b/>
          <w:bCs/>
        </w:rPr>
        <w:t xml:space="preserve"> Synthesis and Research Gap</w:t>
      </w:r>
    </w:p>
    <w:p w14:paraId="299DFDF4"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significant, insignificant and weak relationships; economic growth has generally been associated with FDI but with differences in direction and causality; and exchange-rate effects have similarly varied across studies.</w:t>
      </w:r>
    </w:p>
    <w:p w14:paraId="38CFBBC0" w14:textId="77777777" w:rsidR="00226E13" w:rsidRPr="00734744" w:rsidRDefault="00226E13" w:rsidP="00226E13">
      <w:pPr>
        <w:spacing w:after="0"/>
        <w:jc w:val="both"/>
        <w:rPr>
          <w:rFonts w:ascii="Times New Roman" w:hAnsi="Times New Roman" w:cs="Times New Roman"/>
        </w:rPr>
      </w:pPr>
    </w:p>
    <w:p w14:paraId="2D2430B7"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A further limitation of the reviewed studies is the relatively short study periods and differences in analytical approaches. Several Kenyan studies have relied on OLS or correlation analysis and have covered substantially shorter periods than the present study. For example, Nduati (2018) covered 2008–2017, while 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covered 1970–2016. The present study extends the analysis to 1966–2019, providing 54 annual observations.</w:t>
      </w:r>
    </w:p>
    <w:p w14:paraId="606DA35C"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lastRenderedPageBreak/>
        <w:t xml:space="preserve">The methodological differences also provide a basis for the present study. Whereas several earlier studies used OLS, correlation or simple regression techniques, the present study employs a Vector Error Correction Model (VECM) to investigate the dynamic relationship among the selected macroeconomic variables and FDI. The thesis specifically identifies the use of a longer data period and error-correction methodology as improvements over some of the earlier studies. </w:t>
      </w:r>
    </w:p>
    <w:p w14:paraId="6920FA2E"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Consequently, the study addresses the empirical gap by examining the effects of real interest rate, inflation rate, economic growth and exchange rate on FDI in Kenya using a long annual time series covering 1966–2019 and a VECM framework.</w:t>
      </w:r>
    </w:p>
    <w:p w14:paraId="62A9B624" w14:textId="77777777" w:rsidR="00B24BA0" w:rsidRPr="00734744" w:rsidRDefault="00B24BA0" w:rsidP="001F0F12">
      <w:pPr>
        <w:jc w:val="both"/>
        <w:rPr>
          <w:rFonts w:ascii="Times New Roman" w:hAnsi="Times New Roman" w:cs="Times New Roman"/>
        </w:rPr>
      </w:pPr>
    </w:p>
    <w:p w14:paraId="6B3B4CFB" w14:textId="77777777" w:rsidR="00B24BA0" w:rsidRPr="00734744" w:rsidRDefault="00B24BA0" w:rsidP="00B24BA0">
      <w:pPr>
        <w:jc w:val="both"/>
        <w:rPr>
          <w:rFonts w:ascii="Times New Roman" w:hAnsi="Times New Roman" w:cs="Times New Roman"/>
          <w:b/>
          <w:bCs/>
        </w:rPr>
      </w:pPr>
      <w:r w:rsidRPr="00734744">
        <w:rPr>
          <w:rFonts w:ascii="Times New Roman" w:hAnsi="Times New Roman" w:cs="Times New Roman"/>
          <w:b/>
          <w:bCs/>
        </w:rPr>
        <w:t>3. METHODOLOGY</w:t>
      </w:r>
    </w:p>
    <w:p w14:paraId="5D0536FD"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3.1 Research Design</w:t>
      </w:r>
    </w:p>
    <w:p w14:paraId="24CE3EB0" w14:textId="5E2080E3" w:rsidR="00321BDE" w:rsidRDefault="00B24BA0" w:rsidP="00226E13">
      <w:pPr>
        <w:spacing w:after="0"/>
        <w:jc w:val="both"/>
        <w:rPr>
          <w:rFonts w:ascii="Times New Roman" w:hAnsi="Times New Roman" w:cs="Times New Roman"/>
        </w:rPr>
      </w:pPr>
      <w:r w:rsidRPr="00734744">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734744">
        <w:rPr>
          <w:rFonts w:ascii="Times New Roman" w:hAnsi="Times New Roman" w:cs="Times New Roman"/>
        </w:rPr>
        <w:t>analysed</w:t>
      </w:r>
      <w:r w:rsidRPr="00734744">
        <w:rPr>
          <w:rFonts w:ascii="Times New Roman" w:hAnsi="Times New Roman" w:cs="Times New Roman"/>
        </w:rPr>
        <w:t xml:space="preserve"> observations recorded over a defined period (</w:t>
      </w:r>
      <w:proofErr w:type="spellStart"/>
      <w:r w:rsidRPr="00734744">
        <w:rPr>
          <w:rFonts w:ascii="Times New Roman" w:hAnsi="Times New Roman" w:cs="Times New Roman"/>
        </w:rPr>
        <w:t>Karvanen</w:t>
      </w:r>
      <w:proofErr w:type="spellEnd"/>
      <w:r w:rsidRPr="00734744">
        <w:rPr>
          <w:rFonts w:ascii="Times New Roman" w:hAnsi="Times New Roman" w:cs="Times New Roman"/>
        </w:rPr>
        <w:t xml:space="preserve">, 2014). </w:t>
      </w:r>
    </w:p>
    <w:p w14:paraId="428DCAA5" w14:textId="77777777" w:rsidR="00226E13" w:rsidRPr="00734744" w:rsidRDefault="00226E13" w:rsidP="00226E13">
      <w:pPr>
        <w:spacing w:after="0"/>
        <w:jc w:val="both"/>
        <w:rPr>
          <w:rFonts w:ascii="Times New Roman" w:hAnsi="Times New Roman" w:cs="Times New Roman"/>
        </w:rPr>
      </w:pPr>
    </w:p>
    <w:p w14:paraId="315F55FA"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3.2 Study Area, Population and Data</w:t>
      </w:r>
    </w:p>
    <w:p w14:paraId="03E9F1E3" w14:textId="77777777" w:rsidR="00226E13" w:rsidRDefault="00B24BA0" w:rsidP="00226E13">
      <w:pPr>
        <w:spacing w:after="0"/>
        <w:jc w:val="both"/>
        <w:rPr>
          <w:rFonts w:ascii="Times New Roman" w:hAnsi="Times New Roman" w:cs="Times New Roman"/>
        </w:rPr>
      </w:pPr>
      <w:r w:rsidRPr="00734744">
        <w:rPr>
          <w:rFonts w:ascii="Times New Roman" w:hAnsi="Times New Roman" w:cs="Times New Roman"/>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w:t>
      </w:r>
      <w:proofErr w:type="spellStart"/>
      <w:r w:rsidRPr="00734744">
        <w:rPr>
          <w:rFonts w:ascii="Times New Roman" w:hAnsi="Times New Roman" w:cs="Times New Roman"/>
        </w:rPr>
        <w:t>Gnangnon</w:t>
      </w:r>
      <w:proofErr w:type="spellEnd"/>
      <w:r w:rsidRPr="00734744">
        <w:rPr>
          <w:rFonts w:ascii="Times New Roman" w:hAnsi="Times New Roman" w:cs="Times New Roman"/>
        </w:rPr>
        <w:t xml:space="preserve">, 2017). </w:t>
      </w:r>
    </w:p>
    <w:p w14:paraId="038F9BFC" w14:textId="77777777" w:rsidR="00226E13" w:rsidRDefault="00226E13" w:rsidP="00226E13">
      <w:pPr>
        <w:spacing w:after="0"/>
        <w:jc w:val="both"/>
        <w:rPr>
          <w:rFonts w:ascii="Times New Roman" w:hAnsi="Times New Roman" w:cs="Times New Roman"/>
        </w:rPr>
      </w:pPr>
    </w:p>
    <w:p w14:paraId="00C061EC" w14:textId="72E2DA9F" w:rsidR="00B24BA0" w:rsidRDefault="00B24BA0" w:rsidP="00226E13">
      <w:pPr>
        <w:spacing w:after="0"/>
        <w:jc w:val="both"/>
        <w:rPr>
          <w:rFonts w:ascii="Times New Roman" w:hAnsi="Times New Roman" w:cs="Times New Roman"/>
        </w:rPr>
      </w:pPr>
      <w:r w:rsidRPr="00734744">
        <w:rPr>
          <w:rFonts w:ascii="Times New Roman" w:hAnsi="Times New Roman" w:cs="Times New Roman"/>
        </w:rPr>
        <w:t xml:space="preserve">The study population comprised annual observations of the variables of interest over the study period. The variables included real interest rate, inflation rate, economic growth, exchange rate and FDI inflows. The study used secondary time-series data covering 1966–2019. </w:t>
      </w:r>
    </w:p>
    <w:p w14:paraId="701467A9" w14:textId="77777777" w:rsidR="00226E13" w:rsidRPr="00734744" w:rsidRDefault="00226E13" w:rsidP="00226E13">
      <w:pPr>
        <w:spacing w:after="0"/>
        <w:jc w:val="both"/>
        <w:rPr>
          <w:rFonts w:ascii="Times New Roman" w:hAnsi="Times New Roman" w:cs="Times New Roman"/>
        </w:rPr>
      </w:pPr>
    </w:p>
    <w:p w14:paraId="6F794404"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data were obtained from the Kenya National Bureau of Statistics (KNBS) database. Historical information on FDI, gross domestic product, inflation, interest rates and exchange rates was obtained from official economic reports, verified documents and historical records. </w:t>
      </w:r>
    </w:p>
    <w:p w14:paraId="1A3350E2" w14:textId="4F281859" w:rsidR="00B24BA0" w:rsidRDefault="00B24BA0" w:rsidP="00B24BA0">
      <w:pPr>
        <w:jc w:val="both"/>
        <w:rPr>
          <w:rFonts w:ascii="Times New Roman" w:hAnsi="Times New Roman" w:cs="Times New Roman"/>
        </w:rPr>
      </w:pPr>
      <w:r w:rsidRPr="00734744">
        <w:rPr>
          <w:rFonts w:ascii="Times New Roman" w:hAnsi="Times New Roman" w:cs="Times New Roman"/>
        </w:rPr>
        <w:t xml:space="preserve">Because the study relied on secondary data, a data-collection checklist was used to systematically compile the required observations. The checklist captured the independent variables: interest rate, inflation, gross domestic product and exchange rate and the dependent variable, FDI. </w:t>
      </w:r>
    </w:p>
    <w:p w14:paraId="7CF58828" w14:textId="77777777" w:rsidR="00530B02" w:rsidRPr="00734744" w:rsidRDefault="00530B02" w:rsidP="00B24BA0">
      <w:pPr>
        <w:jc w:val="both"/>
        <w:rPr>
          <w:rFonts w:ascii="Times New Roman" w:hAnsi="Times New Roman" w:cs="Times New Roman"/>
        </w:rPr>
      </w:pPr>
    </w:p>
    <w:p w14:paraId="3DB29DAE"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3.3 Measurement of Variables</w:t>
      </w:r>
    </w:p>
    <w:p w14:paraId="0858032B" w14:textId="77777777" w:rsidR="00B24BA0" w:rsidRDefault="00B24BA0" w:rsidP="00226E13">
      <w:pPr>
        <w:spacing w:after="0"/>
        <w:jc w:val="both"/>
        <w:rPr>
          <w:rFonts w:ascii="Times New Roman" w:hAnsi="Times New Roman" w:cs="Times New Roman"/>
        </w:rPr>
      </w:pPr>
      <w:r w:rsidRPr="00734744">
        <w:rPr>
          <w:rFonts w:ascii="Times New Roman" w:hAnsi="Times New Roman" w:cs="Times New Roman"/>
        </w:rPr>
        <w:t>The dependent variable was foreign direct investment (FDI), while the explanatory variables were real interest rate, inflation rate, economic growth and exchange rate.</w:t>
      </w:r>
    </w:p>
    <w:p w14:paraId="7747271A" w14:textId="77777777" w:rsidR="00226E13" w:rsidRPr="00734744" w:rsidRDefault="00226E13" w:rsidP="00226E13">
      <w:pPr>
        <w:spacing w:after="0"/>
        <w:jc w:val="both"/>
        <w:rPr>
          <w:rFonts w:ascii="Times New Roman" w:hAnsi="Times New Roman" w:cs="Times New Roman"/>
        </w:rPr>
      </w:pPr>
    </w:p>
    <w:p w14:paraId="337E2BC3"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variables were transformed into natural logarithms before estimation to facilitate the analysis and achieve a linear functional relationship. </w:t>
      </w:r>
    </w:p>
    <w:p w14:paraId="3E30D197" w14:textId="4248027B" w:rsidR="00B24BA0" w:rsidRPr="00734744" w:rsidRDefault="00B24BA0" w:rsidP="00A059D0">
      <w:pPr>
        <w:spacing w:after="0"/>
        <w:jc w:val="both"/>
        <w:rPr>
          <w:rFonts w:ascii="Times New Roman" w:hAnsi="Times New Roman" w:cs="Times New Roman"/>
        </w:rPr>
      </w:pPr>
      <w:r w:rsidRPr="00734744">
        <w:rPr>
          <w:rFonts w:ascii="Times New Roman" w:hAnsi="Times New Roman" w:cs="Times New Roman"/>
        </w:rPr>
        <w:t>Table 1: Operationalization of variables</w:t>
      </w:r>
    </w:p>
    <w:tbl>
      <w:tblPr>
        <w:tblW w:w="5043"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525"/>
        <w:gridCol w:w="835"/>
        <w:gridCol w:w="2033"/>
        <w:gridCol w:w="4047"/>
      </w:tblGrid>
      <w:tr w:rsidR="00B24BA0" w:rsidRPr="00734744" w14:paraId="70D091F0" w14:textId="77777777" w:rsidTr="00A059D0">
        <w:trPr>
          <w:tblHeader/>
          <w:tblCellSpacing w:w="15" w:type="dxa"/>
        </w:trPr>
        <w:tc>
          <w:tcPr>
            <w:tcW w:w="1314" w:type="pct"/>
            <w:tcBorders>
              <w:top w:val="single" w:sz="4" w:space="0" w:color="auto"/>
              <w:bottom w:val="single" w:sz="4" w:space="0" w:color="auto"/>
            </w:tcBorders>
            <w:vAlign w:val="center"/>
            <w:hideMark/>
          </w:tcPr>
          <w:p w14:paraId="1065581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Variable</w:t>
            </w:r>
          </w:p>
        </w:tc>
        <w:tc>
          <w:tcPr>
            <w:tcW w:w="426" w:type="pct"/>
            <w:tcBorders>
              <w:top w:val="single" w:sz="4" w:space="0" w:color="auto"/>
              <w:bottom w:val="single" w:sz="4" w:space="0" w:color="auto"/>
            </w:tcBorders>
            <w:vAlign w:val="center"/>
            <w:hideMark/>
          </w:tcPr>
          <w:p w14:paraId="1AF132F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Symbol</w:t>
            </w:r>
          </w:p>
        </w:tc>
        <w:tc>
          <w:tcPr>
            <w:tcW w:w="1061" w:type="pct"/>
            <w:tcBorders>
              <w:top w:val="single" w:sz="4" w:space="0" w:color="auto"/>
              <w:bottom w:val="single" w:sz="4" w:space="0" w:color="auto"/>
            </w:tcBorders>
            <w:vAlign w:val="center"/>
            <w:hideMark/>
          </w:tcPr>
          <w:p w14:paraId="323CE195"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Role in the model</w:t>
            </w:r>
          </w:p>
        </w:tc>
        <w:tc>
          <w:tcPr>
            <w:tcW w:w="2120" w:type="pct"/>
            <w:tcBorders>
              <w:top w:val="single" w:sz="4" w:space="0" w:color="auto"/>
              <w:bottom w:val="single" w:sz="4" w:space="0" w:color="auto"/>
            </w:tcBorders>
            <w:vAlign w:val="center"/>
            <w:hideMark/>
          </w:tcPr>
          <w:p w14:paraId="64A6DF4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Measurement</w:t>
            </w:r>
          </w:p>
        </w:tc>
      </w:tr>
      <w:tr w:rsidR="00B24BA0" w:rsidRPr="00734744" w14:paraId="5488B292" w14:textId="77777777" w:rsidTr="00A059D0">
        <w:trPr>
          <w:tblCellSpacing w:w="15" w:type="dxa"/>
        </w:trPr>
        <w:tc>
          <w:tcPr>
            <w:tcW w:w="1314" w:type="pct"/>
            <w:vAlign w:val="center"/>
            <w:hideMark/>
          </w:tcPr>
          <w:p w14:paraId="0C7B9AA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Foreign Direct Investment</w:t>
            </w:r>
          </w:p>
        </w:tc>
        <w:tc>
          <w:tcPr>
            <w:tcW w:w="426" w:type="pct"/>
            <w:vAlign w:val="center"/>
            <w:hideMark/>
          </w:tcPr>
          <w:p w14:paraId="7CE8B2E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w:t>
            </w:r>
          </w:p>
        </w:tc>
        <w:tc>
          <w:tcPr>
            <w:tcW w:w="1061" w:type="pct"/>
            <w:vAlign w:val="center"/>
            <w:hideMark/>
          </w:tcPr>
          <w:p w14:paraId="06238D7A"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Dependent variable</w:t>
            </w:r>
          </w:p>
        </w:tc>
        <w:tc>
          <w:tcPr>
            <w:tcW w:w="2120" w:type="pct"/>
            <w:vAlign w:val="center"/>
            <w:hideMark/>
          </w:tcPr>
          <w:p w14:paraId="1CF74116"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 inflows</w:t>
            </w:r>
          </w:p>
        </w:tc>
      </w:tr>
      <w:tr w:rsidR="00B24BA0" w:rsidRPr="00734744" w14:paraId="32240980" w14:textId="77777777" w:rsidTr="00A059D0">
        <w:trPr>
          <w:tblCellSpacing w:w="15" w:type="dxa"/>
        </w:trPr>
        <w:tc>
          <w:tcPr>
            <w:tcW w:w="1314" w:type="pct"/>
            <w:vAlign w:val="center"/>
            <w:hideMark/>
          </w:tcPr>
          <w:p w14:paraId="1B37731E"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c>
          <w:tcPr>
            <w:tcW w:w="426" w:type="pct"/>
            <w:vAlign w:val="center"/>
            <w:hideMark/>
          </w:tcPr>
          <w:p w14:paraId="394804D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IR</w:t>
            </w:r>
          </w:p>
        </w:tc>
        <w:tc>
          <w:tcPr>
            <w:tcW w:w="1061" w:type="pct"/>
            <w:vAlign w:val="center"/>
            <w:hideMark/>
          </w:tcPr>
          <w:p w14:paraId="1AEE75C3"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4928828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r>
      <w:tr w:rsidR="00B24BA0" w:rsidRPr="00734744" w14:paraId="109CF0DF" w14:textId="77777777" w:rsidTr="00A059D0">
        <w:trPr>
          <w:tblCellSpacing w:w="15" w:type="dxa"/>
        </w:trPr>
        <w:tc>
          <w:tcPr>
            <w:tcW w:w="1314" w:type="pct"/>
            <w:vAlign w:val="center"/>
            <w:hideMark/>
          </w:tcPr>
          <w:p w14:paraId="2B8D3D8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c>
          <w:tcPr>
            <w:tcW w:w="426" w:type="pct"/>
            <w:vAlign w:val="center"/>
            <w:hideMark/>
          </w:tcPr>
          <w:p w14:paraId="647E4F9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w:t>
            </w:r>
          </w:p>
        </w:tc>
        <w:tc>
          <w:tcPr>
            <w:tcW w:w="1061" w:type="pct"/>
            <w:vAlign w:val="center"/>
            <w:hideMark/>
          </w:tcPr>
          <w:p w14:paraId="5CBF3A4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2F2A9B8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r>
      <w:tr w:rsidR="00B24BA0" w:rsidRPr="00734744" w14:paraId="59690BA0" w14:textId="77777777" w:rsidTr="00A059D0">
        <w:trPr>
          <w:tblCellSpacing w:w="15" w:type="dxa"/>
        </w:trPr>
        <w:tc>
          <w:tcPr>
            <w:tcW w:w="1314" w:type="pct"/>
            <w:vAlign w:val="center"/>
            <w:hideMark/>
          </w:tcPr>
          <w:p w14:paraId="6FD14D4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Economic Growth</w:t>
            </w:r>
          </w:p>
        </w:tc>
        <w:tc>
          <w:tcPr>
            <w:tcW w:w="426" w:type="pct"/>
            <w:vAlign w:val="center"/>
            <w:hideMark/>
          </w:tcPr>
          <w:p w14:paraId="4B8EE52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EG</w:t>
            </w:r>
          </w:p>
        </w:tc>
        <w:tc>
          <w:tcPr>
            <w:tcW w:w="1061" w:type="pct"/>
            <w:vAlign w:val="center"/>
            <w:hideMark/>
          </w:tcPr>
          <w:p w14:paraId="43F9D7EB"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62DD288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Gross domestic product/economic growth</w:t>
            </w:r>
          </w:p>
        </w:tc>
      </w:tr>
      <w:tr w:rsidR="00B24BA0" w:rsidRPr="00734744" w14:paraId="786D71F3" w14:textId="77777777" w:rsidTr="00A059D0">
        <w:trPr>
          <w:tblCellSpacing w:w="15" w:type="dxa"/>
        </w:trPr>
        <w:tc>
          <w:tcPr>
            <w:tcW w:w="1314" w:type="pct"/>
            <w:vAlign w:val="center"/>
            <w:hideMark/>
          </w:tcPr>
          <w:p w14:paraId="2DEFDCA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c>
          <w:tcPr>
            <w:tcW w:w="426" w:type="pct"/>
            <w:vAlign w:val="center"/>
            <w:hideMark/>
          </w:tcPr>
          <w:p w14:paraId="65EFEEB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ER</w:t>
            </w:r>
          </w:p>
        </w:tc>
        <w:tc>
          <w:tcPr>
            <w:tcW w:w="1061" w:type="pct"/>
            <w:vAlign w:val="center"/>
            <w:hideMark/>
          </w:tcPr>
          <w:p w14:paraId="40A5E7B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37B6BC9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r>
    </w:tbl>
    <w:p w14:paraId="125B331D" w14:textId="38EC4143" w:rsidR="00EB72D7" w:rsidRPr="00734744" w:rsidRDefault="00A059D0" w:rsidP="00B37433">
      <w:pPr>
        <w:jc w:val="both"/>
        <w:rPr>
          <w:rFonts w:ascii="Times New Roman" w:hAnsi="Times New Roman" w:cs="Times New Roman"/>
        </w:rPr>
      </w:pPr>
      <w:r w:rsidRPr="00734744">
        <w:rPr>
          <w:rFonts w:ascii="Times New Roman" w:hAnsi="Times New Roman" w:cs="Times New Roman"/>
        </w:rPr>
        <w:t>Source: Author</w:t>
      </w:r>
    </w:p>
    <w:p w14:paraId="50E38773" w14:textId="58AC6E47" w:rsidR="00B24BA0" w:rsidRPr="00AA3A5D" w:rsidRDefault="00B24BA0" w:rsidP="00B24BA0">
      <w:pPr>
        <w:jc w:val="both"/>
        <w:rPr>
          <w:rFonts w:ascii="Times New Roman" w:hAnsi="Times New Roman" w:cs="Times New Roman"/>
        </w:rPr>
      </w:pPr>
      <w:r w:rsidRPr="00734744">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07D003F7" w14:textId="36C8D015" w:rsidR="00B24BA0" w:rsidRPr="00734744" w:rsidRDefault="00B24BA0" w:rsidP="00EB72D7">
      <w:pPr>
        <w:spacing w:after="0"/>
        <w:jc w:val="both"/>
        <w:rPr>
          <w:rFonts w:ascii="Times New Roman" w:hAnsi="Times New Roman" w:cs="Times New Roman"/>
          <w:b/>
          <w:bCs/>
        </w:rPr>
      </w:pPr>
      <w:r w:rsidRPr="00734744">
        <w:rPr>
          <w:rFonts w:ascii="Times New Roman" w:hAnsi="Times New Roman" w:cs="Times New Roman"/>
          <w:b/>
          <w:bCs/>
        </w:rPr>
        <w:t>3.4 Model Specification</w:t>
      </w:r>
    </w:p>
    <w:p w14:paraId="5BA742A6" w14:textId="77777777" w:rsidR="001C311B" w:rsidRDefault="001C311B" w:rsidP="00EB72D7">
      <w:pPr>
        <w:spacing w:after="0"/>
        <w:jc w:val="both"/>
        <w:rPr>
          <w:rFonts w:ascii="Times New Roman" w:hAnsi="Times New Roman" w:cs="Times New Roman"/>
        </w:rPr>
      </w:pPr>
      <w:r w:rsidRPr="001C311B">
        <w:rPr>
          <w:rFonts w:ascii="Times New Roman" w:hAnsi="Times New Roman" w:cs="Times New Roman"/>
          <w:highlight w:val="yellow"/>
        </w:rPr>
        <w:t>This study employs an Error Correction Model (ECM) framework to examine the empirical relationship between Foreign Direct Investment (FDI) and selected macroeconomic variables in Kenya. The ECM framework is highly suited for this analysis as it simultaneously captures the long-run equilibrium relationships among the variables and the short-run dynamics driving deviations from this equilibrium.</w:t>
      </w:r>
      <w:r>
        <w:rPr>
          <w:rFonts w:ascii="Times New Roman" w:hAnsi="Times New Roman" w:cs="Times New Roman"/>
        </w:rPr>
        <w:t xml:space="preserve"> </w:t>
      </w:r>
      <w:r w:rsidRPr="001C311B">
        <w:rPr>
          <w:rFonts w:ascii="Times New Roman" w:hAnsi="Times New Roman" w:cs="Times New Roman"/>
          <w:highlight w:val="yellow"/>
        </w:rPr>
        <w:t>T</w:t>
      </w:r>
      <w:r w:rsidR="00B24BA0" w:rsidRPr="001C311B">
        <w:rPr>
          <w:rFonts w:ascii="Times New Roman" w:hAnsi="Times New Roman" w:cs="Times New Roman"/>
          <w:highlight w:val="yellow"/>
        </w:rPr>
        <w:t>he model combines short-run and long-run dynamics within a single system (Wang et al., 2018).</w:t>
      </w:r>
    </w:p>
    <w:p w14:paraId="43C88616" w14:textId="77777777" w:rsidR="001C311B" w:rsidRDefault="001C311B" w:rsidP="00EB72D7">
      <w:pPr>
        <w:spacing w:after="0"/>
        <w:jc w:val="both"/>
        <w:rPr>
          <w:rFonts w:ascii="Times New Roman" w:hAnsi="Times New Roman" w:cs="Times New Roman"/>
        </w:rPr>
      </w:pPr>
    </w:p>
    <w:p w14:paraId="557DA005" w14:textId="77777777" w:rsidR="001C311B" w:rsidRPr="001C311B" w:rsidRDefault="001C311B" w:rsidP="001C311B">
      <w:pPr>
        <w:spacing w:after="0"/>
        <w:jc w:val="both"/>
        <w:rPr>
          <w:rFonts w:ascii="Times New Roman" w:hAnsi="Times New Roman" w:cs="Times New Roman"/>
          <w:b/>
          <w:bCs/>
          <w:lang w:val="en-US"/>
        </w:rPr>
      </w:pPr>
      <w:r w:rsidRPr="001C311B">
        <w:rPr>
          <w:rFonts w:ascii="Times New Roman" w:hAnsi="Times New Roman" w:cs="Times New Roman"/>
          <w:b/>
          <w:bCs/>
          <w:lang w:val="en-US"/>
        </w:rPr>
        <w:t>3.4.1 Long-Run Equilibrium Model</w:t>
      </w:r>
    </w:p>
    <w:p w14:paraId="4F70D467" w14:textId="1253ED67" w:rsidR="001C311B" w:rsidRPr="001C311B" w:rsidRDefault="001C311B" w:rsidP="001C311B">
      <w:pPr>
        <w:spacing w:after="0"/>
        <w:jc w:val="both"/>
        <w:rPr>
          <w:rFonts w:ascii="Times New Roman" w:hAnsi="Times New Roman" w:cs="Times New Roman"/>
          <w:highlight w:val="yellow"/>
          <w:lang w:val="en-US"/>
        </w:rPr>
      </w:pPr>
      <w:r w:rsidRPr="001C311B">
        <w:rPr>
          <w:rFonts w:ascii="Times New Roman" w:hAnsi="Times New Roman" w:cs="Times New Roman"/>
          <w:highlight w:val="yellow"/>
          <w:lang w:val="en-US"/>
        </w:rPr>
        <w:t>The long-run structural relationship is specified with the natural logarithm of foreign direct investment inflows as the dependent variable, determined by the real interest rate, inflation rate, economic growth, and the exchange rate. Additionally, a structural break dummy variable (</w:t>
      </w:r>
      <m:oMath>
        <m:sSub>
          <m:sSubPr>
            <m:ctrlPr>
              <w:rPr>
                <w:rFonts w:ascii="Cambria Math" w:hAnsi="Cambria Math" w:cs="Times New Roman"/>
                <w:i/>
                <w:highlight w:val="yellow"/>
              </w:rPr>
            </m:ctrlPr>
          </m:sSubPr>
          <m:e>
            <m:r>
              <m:rPr>
                <m:sty m:val="p"/>
              </m:rPr>
              <w:rPr>
                <w:rFonts w:ascii="Cambria Math" w:hAnsi="Cambria Math" w:cs="Times New Roman"/>
                <w:highlight w:val="yellow"/>
              </w:rPr>
              <m:t>DUM1</m:t>
            </m:r>
          </m:e>
          <m:sub>
            <m:r>
              <w:rPr>
                <w:rFonts w:ascii="Cambria Math" w:hAnsi="Cambria Math" w:cs="Times New Roman"/>
                <w:highlight w:val="yellow"/>
              </w:rPr>
              <m:t>t</m:t>
            </m:r>
          </m:sub>
        </m:sSub>
      </m:oMath>
      <w:r w:rsidRPr="001C311B">
        <w:rPr>
          <w:rFonts w:ascii="Times New Roman" w:hAnsi="Times New Roman" w:cs="Times New Roman"/>
          <w:highlight w:val="yellow"/>
          <w:lang w:val="en-US"/>
        </w:rPr>
        <w:t>) is incorporated into the model to account for major exogenous disruptions identified during the study period.</w:t>
      </w:r>
    </w:p>
    <w:p w14:paraId="36916589" w14:textId="38C73B85" w:rsidR="001C311B" w:rsidRPr="001C311B" w:rsidRDefault="001C311B" w:rsidP="001C311B">
      <w:pPr>
        <w:spacing w:after="0"/>
        <w:jc w:val="both"/>
        <w:rPr>
          <w:rFonts w:ascii="Times New Roman" w:hAnsi="Times New Roman" w:cs="Times New Roman"/>
          <w:lang w:val="en-US"/>
        </w:rPr>
      </w:pPr>
      <w:r w:rsidRPr="001C311B">
        <w:rPr>
          <w:rFonts w:ascii="Times New Roman" w:hAnsi="Times New Roman" w:cs="Times New Roman"/>
          <w:highlight w:val="yellow"/>
          <w:lang w:val="en-US"/>
        </w:rPr>
        <w:t>The long-run econometric model is expressed linearly as:</w:t>
      </w:r>
      <w:r>
        <w:rPr>
          <w:rFonts w:ascii="Times New Roman" w:hAnsi="Times New Roman" w:cs="Times New Roman"/>
          <w:lang w:val="en-US"/>
        </w:rPr>
        <w:t xml:space="preserve"> </w:t>
      </w:r>
    </w:p>
    <w:p w14:paraId="4DC3A557" w14:textId="20665965" w:rsidR="00B24BA0" w:rsidRPr="00734744" w:rsidRDefault="00B24BA0" w:rsidP="008A22A8">
      <w:pPr>
        <w:spacing w:after="0"/>
        <w:jc w:val="both"/>
        <w:rPr>
          <w:rFonts w:ascii="Times New Roman" w:hAnsi="Times New Roman" w:cs="Times New Roman"/>
        </w:rPr>
      </w:pPr>
      <w:r w:rsidRPr="00734744">
        <w:rPr>
          <w:rFonts w:ascii="Times New Roman" w:hAnsi="Times New Roman" w:cs="Times New Roman"/>
        </w:rPr>
        <w:t xml:space="preserve"> </w:t>
      </w:r>
    </w:p>
    <w:p w14:paraId="65AADFFB" w14:textId="7B8896C2" w:rsidR="00B24BA0" w:rsidRPr="008A22A8" w:rsidRDefault="00000000" w:rsidP="00B24BA0">
      <w:pPr>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2</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m:t>
            </m:r>
          </m:sub>
        </m:sSub>
      </m:oMath>
      <w:r w:rsidR="00B31FF1" w:rsidRPr="008A22A8">
        <w:rPr>
          <w:rFonts w:ascii="Times New Roman" w:hAnsi="Times New Roman" w:cs="Times New Roman"/>
          <w:highlight w:val="yellow"/>
        </w:rPr>
        <w:t xml:space="preserve"> </w:t>
      </w:r>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3</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4</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lnDUM</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w:t>
      </w:r>
    </w:p>
    <w:p w14:paraId="675F972B" w14:textId="77777777" w:rsidR="00B24BA0" w:rsidRPr="008A22A8" w:rsidRDefault="00B24BA0" w:rsidP="00B24BA0">
      <w:pPr>
        <w:jc w:val="both"/>
        <w:rPr>
          <w:rFonts w:ascii="Times New Roman" w:hAnsi="Times New Roman" w:cs="Times New Roman"/>
          <w:highlight w:val="yellow"/>
        </w:rPr>
      </w:pPr>
      <w:r w:rsidRPr="008A22A8">
        <w:rPr>
          <w:rFonts w:ascii="Times New Roman" w:hAnsi="Times New Roman" w:cs="Times New Roman"/>
          <w:highlight w:val="yellow"/>
        </w:rPr>
        <w:t>where:</w:t>
      </w:r>
    </w:p>
    <w:p w14:paraId="5937378B" w14:textId="295BE722"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foreign direct investment inflows at time t.</w:t>
      </w:r>
    </w:p>
    <w:p w14:paraId="365AB10E" w14:textId="6CA9FF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real interest rate at time t.</w:t>
      </w:r>
    </w:p>
    <w:p w14:paraId="50472C98" w14:textId="6A6F92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INFL</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inflation rate at time t.</w:t>
      </w:r>
    </w:p>
    <w:p w14:paraId="752D01E5" w14:textId="002CED04" w:rsidR="00F642F1" w:rsidRPr="008A22A8" w:rsidRDefault="00000000" w:rsidP="00A059D0">
      <w:pPr>
        <w:numPr>
          <w:ilvl w:val="0"/>
          <w:numId w:val="1"/>
        </w:numPr>
        <w:spacing w:after="0"/>
        <w:jc w:val="both"/>
        <w:rPr>
          <w:rFonts w:ascii="Times New Roman" w:hAnsi="Times New Roman" w:cs="Times New Roman"/>
          <w:sz w:val="22"/>
          <w:szCs w:val="22"/>
          <w:highlight w:val="yellow"/>
        </w:rPr>
      </w:pPr>
      <m:oMath>
        <m:sSub>
          <m:sSubPr>
            <m:ctrlPr>
              <w:rPr>
                <w:rFonts w:ascii="Cambria Math" w:hAnsi="Cambria Math" w:cs="Times New Roman"/>
                <w:i/>
                <w:sz w:val="22"/>
                <w:szCs w:val="22"/>
                <w:highlight w:val="yellow"/>
              </w:rPr>
            </m:ctrlPr>
          </m:sSubPr>
          <m:e>
            <m:r>
              <m:rPr>
                <m:sty m:val="p"/>
              </m:rPr>
              <w:rPr>
                <w:rFonts w:ascii="Cambria Math" w:hAnsi="Cambria Math" w:cs="Times New Roman"/>
                <w:sz w:val="22"/>
                <w:szCs w:val="22"/>
                <w:highlight w:val="yellow"/>
              </w:rPr>
              <m:t>lnEG</m:t>
            </m:r>
          </m:e>
          <m:sub>
            <m:r>
              <w:rPr>
                <w:rFonts w:ascii="Cambria Math" w:hAnsi="Cambria Math" w:cs="Times New Roman"/>
                <w:sz w:val="22"/>
                <w:szCs w:val="22"/>
                <w:highlight w:val="yellow"/>
              </w:rPr>
              <m:t>t</m:t>
            </m:r>
          </m:sub>
        </m:sSub>
        <m:r>
          <m:rPr>
            <m:sty m:val="p"/>
          </m:rPr>
          <w:rPr>
            <w:rFonts w:ascii="Cambria Math" w:hAnsi="Cambria Math" w:cs="Times New Roman"/>
            <w:sz w:val="22"/>
            <w:szCs w:val="22"/>
            <w:highlight w:val="yellow"/>
          </w:rPr>
          <m:t>​= Natural logarithm of economic growth (Real GDP growth rate or proxy) at time t</m:t>
        </m:r>
      </m:oMath>
    </w:p>
    <w:p w14:paraId="27D3FF2B" w14:textId="2EDDF8E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nominal/real effective exchange rate at time t.</w:t>
      </w:r>
    </w:p>
    <w:p w14:paraId="533ECCFC" w14:textId="7095FECB" w:rsidR="00B24BA0" w:rsidRPr="008A22A8" w:rsidRDefault="00000000" w:rsidP="00F642F1">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DUM</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Structural break dummy variable (1 for periods post-disruption, 0 otherwise).</w:t>
      </w:r>
    </w:p>
    <w:p w14:paraId="2B4AC18E" w14:textId="6B9495D0"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Constant intercept term.</w:t>
      </w:r>
    </w:p>
    <w:p w14:paraId="6DF02E8A" w14:textId="3E444A3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oMath>
      <w:r w:rsidR="00B24BA0" w:rsidRPr="008A22A8">
        <w:rPr>
          <w:rFonts w:ascii="Times New Roman" w:hAnsi="Times New Roman" w:cs="Times New Roman"/>
          <w:highlight w:val="yellow"/>
        </w:rPr>
        <w:t>​−</w:t>
      </w:r>
      <w:r w:rsidR="00FE798B"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Long-run elasticity coefficients to be estimated.</w:t>
      </w:r>
    </w:p>
    <w:p w14:paraId="78178DEB" w14:textId="1D1C1ED3" w:rsidR="008A22A8" w:rsidRPr="008A22A8" w:rsidRDefault="00000000" w:rsidP="008A22A8">
      <w:pPr>
        <w:numPr>
          <w:ilvl w:val="0"/>
          <w:numId w:val="1"/>
        </w:numPr>
        <w:spacing w:after="0"/>
        <w:jc w:val="both"/>
        <w:rPr>
          <w:rFonts w:ascii="Times New Roman" w:hAnsi="Times New Roman" w:cs="Times New Roman"/>
          <w:highlight w:val="yellow"/>
          <w:lang w:val="en-US"/>
        </w:rPr>
      </w:pP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lang w:val="en-US"/>
        </w:rPr>
        <w:t>White-noise stochastic error term.</w:t>
      </w:r>
    </w:p>
    <w:p w14:paraId="323648B0" w14:textId="3AAC77D8" w:rsidR="00B24BA0" w:rsidRPr="00734744" w:rsidRDefault="00B24BA0" w:rsidP="008A22A8">
      <w:pPr>
        <w:spacing w:after="0"/>
        <w:ind w:left="720"/>
        <w:jc w:val="both"/>
        <w:rPr>
          <w:rFonts w:ascii="Times New Roman" w:hAnsi="Times New Roman" w:cs="Times New Roman"/>
        </w:rPr>
      </w:pPr>
    </w:p>
    <w:p w14:paraId="43AC23AE" w14:textId="77777777" w:rsidR="00D96149" w:rsidRPr="00D96149" w:rsidRDefault="00D96149" w:rsidP="00D96149">
      <w:pPr>
        <w:ind w:left="360"/>
        <w:jc w:val="both"/>
        <w:rPr>
          <w:rFonts w:ascii="Times New Roman" w:hAnsi="Times New Roman" w:cs="Times New Roman"/>
          <w:b/>
          <w:bCs/>
          <w:highlight w:val="yellow"/>
          <w:lang w:val="en-US"/>
        </w:rPr>
      </w:pPr>
      <w:r w:rsidRPr="00D96149">
        <w:rPr>
          <w:rFonts w:ascii="Times New Roman" w:hAnsi="Times New Roman" w:cs="Times New Roman"/>
          <w:b/>
          <w:bCs/>
          <w:highlight w:val="yellow"/>
          <w:lang w:val="en-US"/>
        </w:rPr>
        <w:t>3.4.2 Short-Run Error Correction Representation</w:t>
      </w:r>
    </w:p>
    <w:p w14:paraId="3DE1B0A3" w14:textId="653890C1" w:rsidR="00D96149" w:rsidRPr="00D96149" w:rsidRDefault="00D96149" w:rsidP="00D96149">
      <w:pPr>
        <w:ind w:left="360"/>
        <w:jc w:val="both"/>
        <w:rPr>
          <w:rFonts w:ascii="Times New Roman" w:hAnsi="Times New Roman" w:cs="Times New Roman"/>
          <w:highlight w:val="yellow"/>
          <w:lang w:val="en-US"/>
        </w:rPr>
      </w:pPr>
      <w:r w:rsidRPr="00D96149">
        <w:rPr>
          <w:rFonts w:ascii="Times New Roman" w:hAnsi="Times New Roman" w:cs="Times New Roman"/>
          <w:highlight w:val="yellow"/>
          <w:lang w:val="en-US"/>
        </w:rPr>
        <w:t xml:space="preserve">If the long-run variables are cointegrated, their generated residuals are stationary, </w:t>
      </w:r>
      <w:r w:rsidR="00C96DAF" w:rsidRPr="00B93497">
        <w:rPr>
          <w:rFonts w:ascii="Times New Roman" w:hAnsi="Times New Roman" w:cs="Times New Roman"/>
          <w:highlight w:val="yellow"/>
          <w:lang w:val="en-US"/>
        </w:rPr>
        <w:t>I (</w:t>
      </w:r>
      <w:r w:rsidRPr="00D96149">
        <w:rPr>
          <w:rFonts w:ascii="Times New Roman" w:hAnsi="Times New Roman" w:cs="Times New Roman"/>
          <w:highlight w:val="yellow"/>
          <w:lang w:val="en-US"/>
        </w:rPr>
        <w:t>0). These residuals are used to create the lagged Error Correction Term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Pr="00D96149">
        <w:rPr>
          <w:rFonts w:ascii="Times New Roman" w:hAnsi="Times New Roman" w:cs="Times New Roman"/>
          <w:highlight w:val="yellow"/>
          <w:lang w:val="en-US"/>
        </w:rPr>
        <w:t>), which measures deviations from the long-run equilibrium. The short-run dynamic error correction model is specified as:</w:t>
      </w:r>
    </w:p>
    <w:p w14:paraId="427C5B15" w14:textId="4509C767" w:rsidR="00FE798B" w:rsidRPr="00B93497" w:rsidRDefault="001678A6" w:rsidP="001678A6">
      <w:pPr>
        <w:jc w:val="both"/>
        <w:rPr>
          <w:rFonts w:eastAsiaTheme="minorEastAsia" w:cstheme="minorHAnsi"/>
          <w:highlight w:val="yellow"/>
        </w:rPr>
      </w:pP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D96149" w:rsidRPr="00B93497">
        <w:rPr>
          <w:rFonts w:ascii="Times New Roman"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α</m:t>
            </m:r>
          </m:e>
          <m:sub>
            <m:r>
              <w:rPr>
                <w:rFonts w:ascii="Cambria Math" w:hAnsi="Cambria Math" w:cs="Times New Roman"/>
                <w:highlight w:val="yellow"/>
              </w:rPr>
              <m:t>0</m:t>
            </m:r>
          </m:sub>
        </m:sSub>
      </m:oMath>
      <w:r w:rsidR="00D96149" w:rsidRPr="00B93497">
        <w:rPr>
          <w:rFonts w:ascii="Times New Roman" w:hAnsi="Times New Roman" w:cs="Times New Roman"/>
          <w:highlight w:val="yellow"/>
        </w:rPr>
        <w:t>​+</w:t>
      </w:r>
      <m:oMath>
        <m:nary>
          <m:naryPr>
            <m:chr m:val="∑"/>
            <m:limLoc m:val="undOvr"/>
            <m:grow m:val="1"/>
            <m:ctrlPr>
              <w:rPr>
                <w:rFonts w:ascii="Cambria Math" w:hAnsi="Cambria Math"/>
                <w:highlight w:val="yellow"/>
              </w:rPr>
            </m:ctrlPr>
          </m:naryPr>
          <m:sub>
            <m:r>
              <w:rPr>
                <w:rFonts w:ascii="Cambria Math" w:hAnsi="Cambria Math"/>
                <w:highlight w:val="yellow"/>
              </w:rPr>
              <m:t>i=1</m:t>
            </m:r>
          </m:sub>
          <m:sup>
            <m:r>
              <w:rPr>
                <w:rFonts w:ascii="Cambria Math" w:hAnsi="Cambria Math"/>
                <w:highlight w:val="yellow"/>
              </w:rPr>
              <m:t>p</m:t>
            </m:r>
          </m:sup>
          <m:e>
            <m:sSub>
              <m:sSubPr>
                <m:ctrlPr>
                  <w:rPr>
                    <w:rFonts w:ascii="Cambria Math" w:hAnsi="Cambria Math"/>
                    <w:highlight w:val="yellow"/>
                  </w:rPr>
                </m:ctrlPr>
              </m:sSubPr>
              <m:e>
                <m:r>
                  <m:rPr>
                    <m:sty m:val="p"/>
                  </m:rPr>
                  <w:rPr>
                    <w:rFonts w:ascii="Cambria Math" w:hAnsi="Cambria Math"/>
                    <w:highlight w:val="yellow"/>
                    <w:lang w:val="en-US"/>
                  </w:rPr>
                  <m:t>α</m:t>
                </m:r>
              </m:e>
              <m:sub>
                <m:r>
                  <w:rPr>
                    <w:rFonts w:ascii="Cambria Math" w:hAnsi="Cambria Math"/>
                    <w:highlight w:val="yellow"/>
                  </w:rPr>
                  <m:t>i</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t-i</m:t>
            </m:r>
          </m:sub>
        </m:sSub>
        <m:r>
          <w:rPr>
            <w:rFonts w:ascii="Cambria Math" w:hAnsi="Cambria Math"/>
            <w:highlight w:val="yellow"/>
          </w:rPr>
          <m:t xml:space="preserve">+ </m:t>
        </m:r>
        <m:nary>
          <m:naryPr>
            <m:chr m:val="∑"/>
            <m:limLoc m:val="undOvr"/>
            <m:grow m:val="1"/>
            <m:ctrlPr>
              <w:rPr>
                <w:rFonts w:ascii="Cambria Math" w:hAnsi="Cambria Math"/>
                <w:highlight w:val="yellow"/>
              </w:rPr>
            </m:ctrlPr>
          </m:naryPr>
          <m:sub>
            <m:r>
              <w:rPr>
                <w:rFonts w:ascii="Cambria Math" w:hAnsi="Cambria Math"/>
                <w:highlight w:val="yellow"/>
              </w:rPr>
              <m:t>j=0</m:t>
            </m:r>
          </m:sub>
          <m:sup>
            <m:r>
              <w:rPr>
                <w:rFonts w:ascii="Cambria Math" w:hAnsi="Cambria Math"/>
                <w:highlight w:val="yellow"/>
              </w:rPr>
              <m:t>q1</m:t>
            </m:r>
          </m:sup>
          <m:e>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j</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t-j</m:t>
            </m:r>
          </m:sub>
        </m:sSub>
        <m:r>
          <w:rPr>
            <w:rFonts w:ascii="Cambria Math" w:hAnsi="Cambria Math" w:cs="Times New Roman"/>
            <w:highlight w:val="yellow"/>
          </w:rPr>
          <m:t xml:space="preserve"> </m:t>
        </m:r>
      </m:oMath>
      <w:r w:rsidRPr="00B93497">
        <w:rPr>
          <w:highlight w:val="yellow"/>
          <w:lang w:val="en-US"/>
        </w:rPr>
        <w:t>+</w:t>
      </w:r>
      <m:oMath>
        <m:sSub>
          <m:sSubPr>
            <m:ctrlPr>
              <w:rPr>
                <w:rFonts w:ascii="Cambria Math" w:hAnsi="Cambria Math"/>
                <w:highlight w:val="yellow"/>
              </w:rPr>
            </m:ctrlPr>
          </m:sSubPr>
          <m:e>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k=0</m:t>
                </m:r>
              </m:sub>
              <m:sup>
                <m:r>
                  <w:rPr>
                    <w:rFonts w:ascii="Cambria Math" w:hAnsi="Cambria Math"/>
                    <w:highlight w:val="yellow"/>
                  </w:rPr>
                  <m:t>q2</m:t>
                </m:r>
              </m:sup>
              <m:e>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t-k</m:t>
                </m:r>
              </m:sub>
            </m:sSub>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m=0</m:t>
                </m:r>
              </m:sub>
              <m:sup>
                <m:r>
                  <w:rPr>
                    <w:rFonts w:ascii="Cambria Math" w:hAnsi="Cambria Math"/>
                    <w:highlight w:val="yellow"/>
                  </w:rPr>
                  <m:t>q3</m:t>
                </m:r>
              </m:sup>
              <m:e>
                <m:sSub>
                  <m:sSubPr>
                    <m:ctrlPr>
                      <w:rPr>
                        <w:rFonts w:ascii="Cambria Math" w:hAnsi="Cambria Math"/>
                        <w:highlight w:val="yellow"/>
                      </w:rPr>
                    </m:ctrlPr>
                  </m:sSubPr>
                  <m:e>
                    <m:r>
                      <m:rPr>
                        <m:sty m:val="p"/>
                      </m:rPr>
                      <w:rPr>
                        <w:rFonts w:ascii="Cambria Math" w:hAnsi="Cambria Math"/>
                        <w:highlight w:val="yellow"/>
                        <w:lang w:val="en-US"/>
                      </w:rPr>
                      <m:t>γ</m:t>
                    </m:r>
                  </m:e>
                  <m:sub>
                    <m:r>
                      <w:rPr>
                        <w:rFonts w:ascii="Cambria Math" w:hAnsi="Cambria Math"/>
                        <w:highlight w:val="yellow"/>
                      </w:rPr>
                      <m:t>m</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m:t>
                </m:r>
              </m:sub>
            </m:sSub>
            <m:r>
              <w:rPr>
                <w:rFonts w:ascii="Cambria Math" w:hAnsi="Cambria Math" w:cs="Times New Roman"/>
                <w:highlight w:val="yellow"/>
              </w:rPr>
              <m:t xml:space="preserve"> </m:t>
            </m:r>
            <m:r>
              <m:rPr>
                <m:sty m:val="p"/>
              </m:rPr>
              <w:rPr>
                <w:rFonts w:ascii="Cambria Math" w:hAnsi="Cambria Math"/>
                <w:highlight w:val="yellow"/>
                <w:lang w:val="en-US"/>
              </w:rPr>
              <m:t>+</m:t>
            </m:r>
            <m:nary>
              <m:naryPr>
                <m:chr m:val="∑"/>
                <m:limLoc m:val="undOvr"/>
                <m:grow m:val="1"/>
                <m:ctrlPr>
                  <w:rPr>
                    <w:rFonts w:ascii="Cambria Math" w:hAnsi="Cambria Math"/>
                    <w:highlight w:val="yellow"/>
                  </w:rPr>
                </m:ctrlPr>
              </m:naryPr>
              <m:sub>
                <m:r>
                  <w:rPr>
                    <w:rFonts w:ascii="Cambria Math" w:hAnsi="Cambria Math"/>
                    <w:highlight w:val="yellow"/>
                  </w:rPr>
                  <m:t>n=0</m:t>
                </m:r>
              </m:sub>
              <m:sup>
                <m:r>
                  <w:rPr>
                    <w:rFonts w:ascii="Cambria Math" w:hAnsi="Cambria Math"/>
                    <w:highlight w:val="yellow"/>
                  </w:rPr>
                  <m:t>q4</m:t>
                </m:r>
              </m:sup>
              <m:e>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t-n</m:t>
                </m:r>
              </m:sub>
            </m:sSub>
            <m:r>
              <m:rPr>
                <m:sty m:val="p"/>
              </m:rPr>
              <w:rPr>
                <w:rFonts w:ascii="Cambria Math" w:hAnsi="Cambria Math"/>
                <w:highlight w:val="yellow"/>
                <w:lang w:val="en-US"/>
              </w:rPr>
              <m:t>+λECT</m:t>
            </m:r>
          </m:e>
          <m:sub>
            <m:r>
              <w:rPr>
                <w:rFonts w:ascii="Cambria Math" w:hAnsi="Cambria Math"/>
                <w:highlight w:val="yellow"/>
              </w:rPr>
              <m:t>t-1</m:t>
            </m:r>
          </m:sub>
        </m:sSub>
      </m:oMath>
      <w:r w:rsidR="004E181B" w:rsidRPr="00B93497">
        <w:rPr>
          <w:rFonts w:eastAsiaTheme="minorEastAsia"/>
          <w:highlight w:val="yellow"/>
        </w:rPr>
        <w:t xml:space="preserve">+ </w:t>
      </w:r>
      <w:r w:rsidR="004E181B" w:rsidRPr="00B93497">
        <w:rPr>
          <w:rFonts w:eastAsiaTheme="minorEastAsia" w:cstheme="minorHAnsi"/>
          <w:highlight w:val="yellow"/>
        </w:rPr>
        <w:t>φ</w:t>
      </w:r>
      <m:oMath>
        <m:sSub>
          <m:sSubPr>
            <m:ctrlPr>
              <w:rPr>
                <w:rFonts w:ascii="Cambria Math" w:hAnsi="Cambria Math" w:cs="Times New Roman"/>
                <w:i/>
                <w:highlight w:val="yellow"/>
              </w:rPr>
            </m:ctrlPr>
          </m:sSubPr>
          <m:e>
            <m:r>
              <w:rPr>
                <w:rFonts w:ascii="Cambria Math" w:hAnsi="Cambria Math" w:cs="Times New Roman"/>
                <w:highlight w:val="yellow"/>
              </w:rPr>
              <m:t>DUM1</m:t>
            </m:r>
          </m:e>
          <m:sub>
            <m:r>
              <w:rPr>
                <w:rFonts w:ascii="Cambria Math" w:hAnsi="Cambria Math" w:cs="Times New Roman"/>
                <w:highlight w:val="yellow"/>
              </w:rPr>
              <m:t>t</m:t>
            </m:r>
          </m:sub>
        </m:sSub>
      </m:oMath>
      <w:r w:rsidR="004E181B" w:rsidRPr="00B93497">
        <w:rPr>
          <w:rFonts w:eastAsiaTheme="minorEastAsia" w:cstheme="minorHAnsi"/>
          <w:highlight w:val="yellow"/>
        </w:rPr>
        <w:t>+</w:t>
      </w: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p>
    <w:p w14:paraId="6E3A3CDA" w14:textId="242A8F63" w:rsidR="001E6DD8" w:rsidRPr="00B93497" w:rsidRDefault="001E6DD8" w:rsidP="001678A6">
      <w:pPr>
        <w:jc w:val="both"/>
        <w:rPr>
          <w:rFonts w:ascii="Times New Roman" w:eastAsiaTheme="minorEastAsia" w:hAnsi="Times New Roman" w:cs="Times New Roman"/>
          <w:highlight w:val="yellow"/>
        </w:rPr>
      </w:pPr>
      <w:r w:rsidRPr="00B93497">
        <w:rPr>
          <w:rFonts w:ascii="Times New Roman" w:eastAsiaTheme="minorEastAsia" w:hAnsi="Times New Roman" w:cs="Times New Roman"/>
          <w:highlight w:val="yellow"/>
        </w:rPr>
        <w:t xml:space="preserve">Where: </w:t>
      </w:r>
    </w:p>
    <w:p w14:paraId="1A9FA1E4" w14:textId="358F69A8"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cs="Times New Roman"/>
            <w:highlight w:val="yellow"/>
          </w:rPr>
          <m:t>△</m:t>
        </m:r>
      </m:oMath>
      <w:r w:rsidRPr="00B93497">
        <w:rPr>
          <w:rFonts w:ascii="Times New Roman" w:hAnsi="Times New Roman" w:cs="Times New Roman"/>
          <w:highlight w:val="yellow"/>
        </w:rPr>
        <w:t xml:space="preserve">= First-difference operator (e.g., </w:t>
      </w: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t-1</m:t>
            </m:r>
          </m:sub>
        </m:sSub>
      </m:oMath>
      <w:r w:rsidRPr="00B93497">
        <w:rPr>
          <w:rFonts w:ascii="Times New Roman" w:eastAsiaTheme="minorEastAsia" w:hAnsi="Times New Roman" w:cs="Times New Roman"/>
          <w:highlight w:val="yellow"/>
        </w:rPr>
        <w:t>)</w:t>
      </w:r>
    </w:p>
    <w:p w14:paraId="3C1FFC1D" w14:textId="5AD80469"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highlight w:val="yellow"/>
          </w:rPr>
          <m:t>p</m:t>
        </m:r>
      </m:oMath>
      <w:r w:rsidRPr="00B93497">
        <w:rPr>
          <w:rFonts w:ascii="Times New Roman" w:hAnsi="Times New Roman" w:cs="Times New Roman"/>
          <w:highlight w:val="yellow"/>
        </w:rPr>
        <w:t>,</w:t>
      </w:r>
      <w:r w:rsidRPr="00B93497">
        <w:rPr>
          <w:rFonts w:ascii="Cambria Math" w:hAnsi="Cambria Math"/>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1,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2,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3, </m:t>
            </m:r>
          </m:sub>
        </m:sSub>
      </m:oMath>
      <w:r w:rsidRPr="00B93497">
        <w:rPr>
          <w:rFonts w:ascii="Times New Roman" w:hAnsi="Times New Roman" w:cs="Times New Roman"/>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4 </m:t>
            </m:r>
          </m:sub>
        </m:sSub>
      </m:oMath>
      <w:r w:rsidRPr="00B93497">
        <w:rPr>
          <w:rFonts w:ascii="Times New Roman" w:hAnsi="Times New Roman" w:cs="Times New Roman"/>
          <w:highlight w:val="yellow"/>
        </w:rPr>
        <w:t>= Optimal lag lengths selected using AIC or BIC criteria</w:t>
      </w:r>
    </w:p>
    <w:p w14:paraId="6425B884" w14:textId="6D99B60C" w:rsidR="00C16010" w:rsidRPr="00B93497" w:rsidRDefault="00000000" w:rsidP="00FE798B">
      <w:pPr>
        <w:pStyle w:val="ListParagraph"/>
        <w:numPr>
          <w:ilvl w:val="0"/>
          <w:numId w:val="3"/>
        </w:numPr>
        <w:spacing w:after="0"/>
        <w:jc w:val="both"/>
        <w:rPr>
          <w:rFonts w:ascii="Times New Roman" w:hAnsi="Times New Roman" w:cs="Times New Roman"/>
          <w:b/>
          <w:bCs/>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7A4E79" w:rsidRPr="00B93497">
        <w:rPr>
          <w:rFonts w:ascii="Times New Roman" w:hAnsi="Times New Roman" w:cs="Times New Roman"/>
          <w:highlight w:val="yellow"/>
        </w:rPr>
        <w:t xml:space="preserve">= </w:t>
      </w:r>
      <w:r w:rsidR="00C16010" w:rsidRPr="00B93497">
        <w:rPr>
          <w:rFonts w:ascii="Times New Roman" w:hAnsi="Times New Roman" w:cs="Times New Roman"/>
          <w:highlight w:val="yellow"/>
        </w:rPr>
        <w:t>Lagged residual term from the long-run cointegrating equation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 xml:space="preserve"> ε</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w:p>
    <w:p w14:paraId="6879799D" w14:textId="194C3452" w:rsidR="00C16010" w:rsidRPr="00B93497" w:rsidRDefault="007A4E79" w:rsidP="00FE798B">
      <w:pPr>
        <w:pStyle w:val="ListParagraph"/>
        <w:numPr>
          <w:ilvl w:val="0"/>
          <w:numId w:val="3"/>
        </w:numPr>
        <w:spacing w:after="0"/>
        <w:jc w:val="both"/>
        <w:rPr>
          <w:rFonts w:ascii="Times New Roman" w:hAnsi="Times New Roman" w:cs="Times New Roman"/>
          <w:highlight w:val="yellow"/>
        </w:rPr>
      </w:pPr>
      <m:oMath>
        <m:r>
          <m:rPr>
            <m:sty m:val="p"/>
          </m:rPr>
          <w:rPr>
            <w:rFonts w:ascii="Cambria Math" w:hAnsi="Cambria Math"/>
            <w:highlight w:val="yellow"/>
            <w:lang w:val="en-US"/>
          </w:rPr>
          <m:t>λ</m:t>
        </m:r>
      </m:oMath>
      <w:r w:rsidRPr="00B93497">
        <w:rPr>
          <w:rFonts w:ascii="Times New Roman" w:hAnsi="Times New Roman" w:cs="Times New Roman"/>
          <w:highlight w:val="yellow"/>
        </w:rPr>
        <w:t>= Speed of adjustment coefficient</w:t>
      </w:r>
    </w:p>
    <w:p w14:paraId="15648EB2" w14:textId="696E1B98" w:rsidR="007A4E79" w:rsidRPr="00B93497" w:rsidRDefault="00000000" w:rsidP="00FE798B">
      <w:pPr>
        <w:pStyle w:val="ListParagraph"/>
        <w:numPr>
          <w:ilvl w:val="0"/>
          <w:numId w:val="3"/>
        </w:numPr>
        <w:spacing w:after="0"/>
        <w:jc w:val="both"/>
        <w:rPr>
          <w:rFonts w:ascii="Times New Roman" w:hAnsi="Times New Roman" w:cs="Times New Roman"/>
          <w:highlight w:val="yellow"/>
        </w:rPr>
      </w:pP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r w:rsidR="007A4E79" w:rsidRPr="00B93497">
        <w:rPr>
          <w:rFonts w:ascii="Times New Roman" w:hAnsi="Times New Roman" w:cs="Times New Roman"/>
          <w:highlight w:val="yellow"/>
        </w:rPr>
        <w:t>= Random error term</w:t>
      </w:r>
    </w:p>
    <w:p w14:paraId="31C40D93" w14:textId="746068DA" w:rsidR="007A4E79" w:rsidRPr="00B93497" w:rsidRDefault="00000000" w:rsidP="007A4E79">
      <w:pPr>
        <w:pStyle w:val="z1qcye"/>
        <w:numPr>
          <w:ilvl w:val="0"/>
          <w:numId w:val="3"/>
        </w:numPr>
        <w:spacing w:before="0" w:beforeAutospacing="0" w:after="0" w:afterAutospacing="0"/>
        <w:rPr>
          <w:rFonts w:ascii="Arial" w:hAnsi="Arial" w:cs="Arial"/>
          <w:highlight w:val="yellow"/>
        </w:rPr>
      </w:pPr>
      <m:oMath>
        <m:sSub>
          <m:sSubPr>
            <m:ctrlPr>
              <w:rPr>
                <w:rFonts w:ascii="Cambria Math" w:hAnsi="Cambria Math"/>
                <w:highlight w:val="yellow"/>
              </w:rPr>
            </m:ctrlPr>
          </m:sSubPr>
          <m:e>
            <m:r>
              <m:rPr>
                <m:sty m:val="p"/>
              </m:rPr>
              <w:rPr>
                <w:rFonts w:ascii="Cambria Math" w:hAnsi="Cambria Math"/>
                <w:highlight w:val="yellow"/>
              </w:rPr>
              <m:t>α</m:t>
            </m:r>
          </m:e>
          <m:sub>
            <m:r>
              <w:rPr>
                <w:rFonts w:ascii="Cambria Math" w:hAnsi="Cambria Math"/>
                <w:highlight w:val="yellow"/>
              </w:rPr>
              <m:t>i</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μ</m:t>
            </m:r>
          </m:e>
          <m:sub>
            <m:r>
              <w:rPr>
                <w:rFonts w:ascii="Cambria Math" w:hAnsi="Cambria Math"/>
                <w:highlight w:val="yellow"/>
              </w:rPr>
              <m:t>j</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γ</m:t>
            </m:r>
          </m:e>
          <m:sub>
            <m:r>
              <w:rPr>
                <w:rFonts w:ascii="Cambria Math" w:hAnsi="Cambria Math"/>
                <w:highlight w:val="yellow"/>
              </w:rPr>
              <m:t>m</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oMath>
      <w:r w:rsidR="007A4E79" w:rsidRPr="00B93497">
        <w:rPr>
          <w:rStyle w:val="inqyif"/>
          <w:rFonts w:ascii="Arial" w:eastAsiaTheme="majorEastAsia" w:hAnsi="Arial" w:cs="Arial"/>
          <w:highlight w:val="yellow"/>
        </w:rPr>
        <w:t xml:space="preserve">= </w:t>
      </w:r>
      <w:r w:rsidR="007A4E79" w:rsidRPr="00B93497">
        <w:rPr>
          <w:rStyle w:val="inqyif"/>
          <w:rFonts w:eastAsiaTheme="majorEastAsia"/>
          <w:highlight w:val="yellow"/>
        </w:rPr>
        <w:t>Coefficients capturing short-run effects of the explanatory variables</w:t>
      </w:r>
      <w:r w:rsidR="00607611" w:rsidRPr="00B93497">
        <w:rPr>
          <w:rStyle w:val="inqyif"/>
          <w:rFonts w:eastAsiaTheme="majorEastAsia"/>
          <w:highlight w:val="yellow"/>
        </w:rPr>
        <w:t xml:space="preserve">  </w:t>
      </w:r>
    </w:p>
    <w:p w14:paraId="7B733123" w14:textId="77777777" w:rsidR="007A4E79" w:rsidRPr="00B93497" w:rsidRDefault="007A4E79" w:rsidP="00607611">
      <w:pPr>
        <w:spacing w:after="0"/>
        <w:ind w:left="360"/>
        <w:jc w:val="both"/>
        <w:rPr>
          <w:rFonts w:ascii="Times New Roman" w:hAnsi="Times New Roman" w:cs="Times New Roman"/>
          <w:highlight w:val="yellow"/>
        </w:rPr>
      </w:pPr>
    </w:p>
    <w:p w14:paraId="39D4D2A6" w14:textId="3E96395B" w:rsidR="00607611" w:rsidRDefault="00607611" w:rsidP="00607611">
      <w:pPr>
        <w:spacing w:after="0"/>
        <w:ind w:left="360"/>
        <w:jc w:val="both"/>
        <w:rPr>
          <w:rFonts w:ascii="Times New Roman" w:hAnsi="Times New Roman" w:cs="Times New Roman"/>
        </w:rPr>
      </w:pPr>
      <w:r w:rsidRPr="00B93497">
        <w:rPr>
          <w:rFonts w:ascii="Times New Roman" w:hAnsi="Times New Roman" w:cs="Times New Roman"/>
          <w:highlight w:val="yellow"/>
        </w:rPr>
        <w:t>The coefficient of the error correction term (</w:t>
      </w:r>
      <m:oMath>
        <m:r>
          <m:rPr>
            <m:sty m:val="p"/>
          </m:rPr>
          <w:rPr>
            <w:rFonts w:ascii="Cambria Math" w:hAnsi="Cambria Math"/>
            <w:highlight w:val="yellow"/>
            <w:lang w:val="en-US"/>
          </w:rPr>
          <m:t>λ</m:t>
        </m:r>
      </m:oMath>
      <w:r w:rsidRPr="00B93497">
        <w:rPr>
          <w:rFonts w:ascii="Times New Roman" w:hAnsi="Times New Roman" w:cs="Times New Roman"/>
          <w:highlight w:val="yellow"/>
        </w:rPr>
        <w:t>) is expected to be negative and statistically significant (-1</w:t>
      </w:r>
      <w:r w:rsidRPr="00B93497">
        <w:rPr>
          <w:highlight w:val="yellow"/>
        </w:rPr>
        <w:t xml:space="preserve"> </w:t>
      </w:r>
      <w:r w:rsidRPr="00B93497">
        <w:rPr>
          <w:rFonts w:ascii="Times New Roman" w:hAnsi="Times New Roman" w:cs="Times New Roman"/>
          <w:highlight w:val="yellow"/>
        </w:rPr>
        <w:t>&lt;</w:t>
      </w:r>
      <w:r w:rsidRPr="00B93497">
        <w:rPr>
          <w:rFonts w:ascii="Cambria Math" w:hAnsi="Cambria Math"/>
          <w:highlight w:val="yellow"/>
          <w:lang w:val="en-US"/>
        </w:rPr>
        <w:t xml:space="preserve"> </w:t>
      </w:r>
      <m:oMath>
        <m:r>
          <m:rPr>
            <m:sty m:val="p"/>
          </m:rPr>
          <w:rPr>
            <w:rFonts w:ascii="Cambria Math" w:hAnsi="Cambria Math"/>
            <w:highlight w:val="yellow"/>
            <w:lang w:val="en-US"/>
          </w:rPr>
          <m:t>λ</m:t>
        </m:r>
        <m:r>
          <m:rPr>
            <m:sty m:val="p"/>
          </m:rPr>
          <w:rPr>
            <w:rFonts w:ascii="Cambria Math" w:hAnsi="Cambria Math" w:cs="Times New Roman"/>
            <w:highlight w:val="yellow"/>
          </w:rPr>
          <m:t>&lt;</m:t>
        </m:r>
        <m:r>
          <m:rPr>
            <m:sty m:val="p"/>
          </m:rPr>
          <w:rPr>
            <w:rFonts w:ascii="Cambria Math" w:hAnsi="Cambria Math"/>
            <w:highlight w:val="yellow"/>
            <w:lang w:val="en-US"/>
          </w:rPr>
          <m:t>0)</m:t>
        </m:r>
      </m:oMath>
      <w:r w:rsidRPr="00B93497">
        <w:rPr>
          <w:rFonts w:ascii="Times New Roman" w:hAnsi="Times New Roman" w:cs="Times New Roman"/>
          <w:highlight w:val="yellow"/>
        </w:rPr>
        <w:t>. A negative and significant coefficient indicates that deviations from the long-run equilibrium are corrected over time. The size of the coefficient shows the speed at which FDI returns towards its long-run equilibrium following a short-run disturbance.</w:t>
      </w:r>
      <w:r>
        <w:rPr>
          <w:rFonts w:ascii="Times New Roman" w:hAnsi="Times New Roman" w:cs="Times New Roman"/>
        </w:rPr>
        <w:t xml:space="preserve"> </w:t>
      </w:r>
    </w:p>
    <w:p w14:paraId="49D1D46A" w14:textId="77777777" w:rsidR="001F6C41" w:rsidRDefault="001F6C41" w:rsidP="00607611">
      <w:pPr>
        <w:spacing w:after="0"/>
        <w:ind w:left="360"/>
        <w:jc w:val="both"/>
        <w:rPr>
          <w:rFonts w:ascii="Times New Roman" w:hAnsi="Times New Roman" w:cs="Times New Roman"/>
        </w:rPr>
      </w:pPr>
    </w:p>
    <w:p w14:paraId="7F65856C" w14:textId="77777777" w:rsidR="001F6C41" w:rsidRPr="00C16010" w:rsidRDefault="001F6C41" w:rsidP="001F6C41">
      <w:pPr>
        <w:pStyle w:val="ListParagraph"/>
        <w:spacing w:after="0"/>
        <w:jc w:val="both"/>
        <w:rPr>
          <w:rFonts w:ascii="Times New Roman" w:hAnsi="Times New Roman" w:cs="Times New Roman"/>
          <w:b/>
          <w:bCs/>
        </w:rPr>
      </w:pPr>
      <w:r w:rsidRPr="001F6C41">
        <w:rPr>
          <w:rFonts w:ascii="Times New Roman" w:hAnsi="Times New Roman" w:cs="Times New Roman"/>
          <w:b/>
          <w:bCs/>
        </w:rPr>
        <w:t>Interpretation of the Error Correction Term</w:t>
      </w:r>
    </w:p>
    <w:p w14:paraId="43BE879E" w14:textId="77777777" w:rsidR="001F6C41" w:rsidRPr="00607611" w:rsidRDefault="001F6C41" w:rsidP="00607611">
      <w:pPr>
        <w:spacing w:after="0"/>
        <w:ind w:left="360"/>
        <w:jc w:val="both"/>
        <w:rPr>
          <w:rFonts w:ascii="Times New Roman" w:hAnsi="Times New Roman" w:cs="Times New Roman"/>
        </w:rPr>
      </w:pPr>
    </w:p>
    <w:p w14:paraId="58879767" w14:textId="77777777" w:rsidR="00C16010" w:rsidRDefault="00C16010" w:rsidP="00C16010">
      <w:pPr>
        <w:pStyle w:val="ListParagraph"/>
        <w:spacing w:after="0"/>
        <w:jc w:val="both"/>
        <w:rPr>
          <w:rFonts w:ascii="Times New Roman" w:hAnsi="Times New Roman" w:cs="Times New Roman"/>
          <w:b/>
          <w:bCs/>
        </w:rPr>
      </w:pPr>
    </w:p>
    <w:p w14:paraId="7BAFC5E7" w14:textId="77777777" w:rsidR="001F6C41" w:rsidRDefault="00FE798B" w:rsidP="00C16010">
      <w:pPr>
        <w:pStyle w:val="ListParagraph"/>
        <w:spacing w:after="0"/>
        <w:jc w:val="both"/>
        <w:rPr>
          <w:rFonts w:ascii="Times New Roman" w:hAnsi="Times New Roman" w:cs="Times New Roman"/>
          <w:b/>
          <w:bCs/>
        </w:rPr>
      </w:pPr>
      <w:r w:rsidRPr="00C16010">
        <w:rPr>
          <w:rFonts w:ascii="Times New Roman" w:hAnsi="Times New Roman" w:cs="Times New Roman"/>
          <w:b/>
          <w:bCs/>
        </w:rPr>
        <w:t>3.5 Data Analysis and Estimation Procedure</w:t>
      </w:r>
    </w:p>
    <w:p w14:paraId="72DE8802" w14:textId="5BBFCCDA"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data were </w:t>
      </w:r>
      <w:r w:rsidR="00226E13" w:rsidRPr="00734744">
        <w:rPr>
          <w:rFonts w:ascii="Times New Roman" w:hAnsi="Times New Roman" w:cs="Times New Roman"/>
        </w:rPr>
        <w:t>analysed</w:t>
      </w:r>
      <w:r w:rsidRPr="00734744">
        <w:rPr>
          <w:rFonts w:ascii="Times New Roman" w:hAnsi="Times New Roman" w:cs="Times New Roman"/>
        </w:rPr>
        <w:t xml:space="preserve"> using EViews, Stata, Excel and Ox-Metrics. Before estimation, the variables were transformed into natural logarithms. The analysis subsequently involved </w:t>
      </w:r>
      <w:r w:rsidRPr="00734744">
        <w:rPr>
          <w:rFonts w:ascii="Times New Roman" w:hAnsi="Times New Roman" w:cs="Times New Roman"/>
        </w:rPr>
        <w:lastRenderedPageBreak/>
        <w:t xml:space="preserve">stationarity testing, differencing where necessary, correlation analysis, cointegration analysis and estimation of the error-correction model. Statistical inference was based on the estimated coefficients and their associated probability values. </w:t>
      </w:r>
    </w:p>
    <w:p w14:paraId="219A3A25" w14:textId="77777777" w:rsidR="00FE798B" w:rsidRPr="00734744" w:rsidRDefault="00FE798B" w:rsidP="00FE798B">
      <w:pPr>
        <w:spacing w:after="0"/>
        <w:jc w:val="both"/>
        <w:rPr>
          <w:rFonts w:ascii="Times New Roman" w:hAnsi="Times New Roman" w:cs="Times New Roman"/>
        </w:rPr>
      </w:pPr>
    </w:p>
    <w:p w14:paraId="5E14ADBC"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3.5.1 Stationarity Test</w:t>
      </w:r>
    </w:p>
    <w:p w14:paraId="5A59EC9F" w14:textId="77777777" w:rsidR="00FE798B"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study used the Phillips-Perron (PP) unit-root test to determine whether the variables were stationary or contained unit roots. Testing for stationarity was necessary because regression involving non-stationary time-series variables may produce misleading results or spurious regression relationships (Jin et al., 2016). </w:t>
      </w:r>
    </w:p>
    <w:p w14:paraId="68E11F46" w14:textId="77777777" w:rsidR="00FE798B" w:rsidRPr="00734744" w:rsidRDefault="00FE798B" w:rsidP="00FE798B">
      <w:pPr>
        <w:spacing w:after="0"/>
        <w:jc w:val="both"/>
        <w:rPr>
          <w:rFonts w:ascii="Times New Roman" w:hAnsi="Times New Roman" w:cs="Times New Roman"/>
        </w:rPr>
      </w:pPr>
    </w:p>
    <w:p w14:paraId="46D77C1C" w14:textId="77777777" w:rsidR="00FE798B" w:rsidRPr="00BF4163" w:rsidRDefault="00FE798B" w:rsidP="00FE798B">
      <w:pPr>
        <w:spacing w:after="0"/>
        <w:jc w:val="both"/>
        <w:rPr>
          <w:rFonts w:ascii="Times New Roman" w:hAnsi="Times New Roman" w:cs="Times New Roman"/>
          <w:b/>
          <w:bCs/>
          <w:highlight w:val="yellow"/>
        </w:rPr>
      </w:pPr>
      <w:r w:rsidRPr="00BF4163">
        <w:rPr>
          <w:rFonts w:ascii="Times New Roman" w:hAnsi="Times New Roman" w:cs="Times New Roman"/>
          <w:b/>
          <w:bCs/>
          <w:highlight w:val="yellow"/>
        </w:rPr>
        <w:t>3.5.2 Cointegration Test</w:t>
      </w:r>
    </w:p>
    <w:p w14:paraId="33E534C4" w14:textId="77777777" w:rsidR="005603C8" w:rsidRPr="005603C8" w:rsidRDefault="005603C8" w:rsidP="005603C8">
      <w:pPr>
        <w:spacing w:after="0"/>
        <w:jc w:val="both"/>
        <w:rPr>
          <w:rFonts w:ascii="Times New Roman" w:hAnsi="Times New Roman" w:cs="Times New Roman"/>
          <w:lang w:val="en-US"/>
        </w:rPr>
      </w:pPr>
      <w:r w:rsidRPr="005603C8">
        <w:rPr>
          <w:rFonts w:ascii="Times New Roman" w:hAnsi="Times New Roman" w:cs="Times New Roman"/>
          <w:highlight w:val="yellow"/>
          <w:lang w:val="en-US"/>
        </w:rPr>
        <w:t>Cointegration analysis was undertaken to determine whether a stable long-run equilibrium relationship existed among foreign direct investment and the selected macroeconomic variables. The study employed the Engle-Granger two-step procedure. In the first step, a static long-run relationship was estimated among the variables. In the second step, the residuals from the estimated long-run relationship were subjected to an Augmented Dickey-Fuller test. If the residuals were stationary, this was interpreted as evidence of cointegration among the variables. The cointegration results were subsequently used to motivate an error-correction representation for examining the adjustment dynamics between FDI and the selected macroeconomic variables.</w:t>
      </w:r>
    </w:p>
    <w:p w14:paraId="1A39770C" w14:textId="77777777" w:rsidR="00FE798B" w:rsidRPr="00734744" w:rsidRDefault="00FE798B" w:rsidP="00FE798B">
      <w:pPr>
        <w:spacing w:after="0"/>
        <w:jc w:val="both"/>
        <w:rPr>
          <w:rFonts w:ascii="Times New Roman" w:hAnsi="Times New Roman" w:cs="Times New Roman"/>
        </w:rPr>
      </w:pPr>
    </w:p>
    <w:p w14:paraId="7371FDB0"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3.5.3 Granger Causality Test</w:t>
      </w:r>
    </w:p>
    <w:p w14:paraId="771E4790" w14:textId="77777777" w:rsidR="00FE798B" w:rsidRDefault="00FE798B" w:rsidP="00FE798B">
      <w:pPr>
        <w:spacing w:after="0"/>
        <w:jc w:val="both"/>
        <w:rPr>
          <w:rFonts w:ascii="Times New Roman" w:hAnsi="Times New Roman" w:cs="Times New Roman"/>
        </w:rPr>
      </w:pPr>
      <w:r w:rsidRPr="00734744">
        <w:rPr>
          <w:rFonts w:ascii="Times New Roman" w:hAnsi="Times New Roman" w:cs="Times New Roman"/>
        </w:rPr>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(Singh &amp; Janor, 2019). </w:t>
      </w:r>
    </w:p>
    <w:p w14:paraId="507C7416" w14:textId="77777777" w:rsidR="00CD3D5D" w:rsidRDefault="00CD3D5D" w:rsidP="00FE798B">
      <w:pPr>
        <w:spacing w:after="0"/>
        <w:jc w:val="both"/>
        <w:rPr>
          <w:rFonts w:ascii="Times New Roman" w:hAnsi="Times New Roman" w:cs="Times New Roman"/>
        </w:rPr>
      </w:pPr>
    </w:p>
    <w:p w14:paraId="73A43067" w14:textId="77777777" w:rsidR="00CD3D5D" w:rsidRPr="00734744" w:rsidRDefault="00CD3D5D" w:rsidP="00FE798B">
      <w:pPr>
        <w:spacing w:after="0"/>
        <w:jc w:val="both"/>
        <w:rPr>
          <w:rFonts w:ascii="Times New Roman" w:hAnsi="Times New Roman" w:cs="Times New Roman"/>
        </w:rPr>
      </w:pPr>
    </w:p>
    <w:p w14:paraId="52BA94F8" w14:textId="77777777" w:rsidR="00FE798B" w:rsidRPr="00734744" w:rsidRDefault="00FE798B" w:rsidP="00FE798B">
      <w:pPr>
        <w:spacing w:after="0"/>
        <w:jc w:val="both"/>
        <w:rPr>
          <w:rFonts w:ascii="Times New Roman" w:hAnsi="Times New Roman" w:cs="Times New Roman"/>
        </w:rPr>
      </w:pPr>
    </w:p>
    <w:p w14:paraId="5FAC5E9D"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3.5.4 Diagnostic Tests</w:t>
      </w:r>
    </w:p>
    <w:p w14:paraId="7992B46B" w14:textId="3B89BF41"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(Mueller &amp; Rigdon, 2015). Autocorrelation was assessed using the Durbin-Watson test. The thesis used the test to determine whether the residuals exhibited serial correlation (Medeiros et al., 2011). Normality was assessed using skewness, kurtosis and the Jarque-Bera test, following the criteria cited in the thesis (</w:t>
      </w:r>
      <w:r w:rsidR="00280A29">
        <w:rPr>
          <w:rFonts w:ascii="Times New Roman" w:hAnsi="Times New Roman" w:cs="Times New Roman"/>
        </w:rPr>
        <w:t>Beau</w:t>
      </w:r>
      <w:r w:rsidRPr="00734744">
        <w:rPr>
          <w:rFonts w:ascii="Times New Roman" w:hAnsi="Times New Roman" w:cs="Times New Roman"/>
        </w:rPr>
        <w:t>, 20</w:t>
      </w:r>
      <w:r w:rsidR="00280A29">
        <w:rPr>
          <w:rFonts w:ascii="Times New Roman" w:hAnsi="Times New Roman" w:cs="Times New Roman"/>
        </w:rPr>
        <w:t>19</w:t>
      </w:r>
      <w:r w:rsidRPr="00734744">
        <w:rPr>
          <w:rFonts w:ascii="Times New Roman" w:hAnsi="Times New Roman" w:cs="Times New Roman"/>
        </w:rPr>
        <w:t xml:space="preserve">). </w:t>
      </w:r>
      <w:r w:rsidR="00280A29">
        <w:rPr>
          <w:rFonts w:ascii="Times New Roman" w:hAnsi="Times New Roman" w:cs="Times New Roman"/>
        </w:rPr>
        <w:t xml:space="preserve">  </w:t>
      </w:r>
    </w:p>
    <w:p w14:paraId="4A66A439" w14:textId="77777777" w:rsidR="00FE798B" w:rsidRPr="00734744" w:rsidRDefault="00FE798B" w:rsidP="00FE798B">
      <w:pPr>
        <w:spacing w:after="0"/>
        <w:jc w:val="both"/>
        <w:rPr>
          <w:rFonts w:ascii="Times New Roman" w:hAnsi="Times New Roman" w:cs="Times New Roman"/>
        </w:rPr>
      </w:pPr>
    </w:p>
    <w:p w14:paraId="6ADD7D98"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lastRenderedPageBreak/>
        <w:t>3.5.5 Lag-Order Selection</w:t>
      </w:r>
    </w:p>
    <w:p w14:paraId="4E28130C" w14:textId="77777777"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22D92C38" w14:textId="5667507E" w:rsidR="001F0F12" w:rsidRPr="00734744" w:rsidRDefault="00EB72D7" w:rsidP="00EB72D7">
      <w:pPr>
        <w:tabs>
          <w:tab w:val="left" w:pos="6375"/>
        </w:tabs>
        <w:jc w:val="both"/>
        <w:rPr>
          <w:rFonts w:ascii="Times New Roman" w:hAnsi="Times New Roman" w:cs="Times New Roman"/>
        </w:rPr>
      </w:pPr>
      <w:r w:rsidRPr="00734744">
        <w:rPr>
          <w:rFonts w:ascii="Times New Roman" w:hAnsi="Times New Roman" w:cs="Times New Roman"/>
        </w:rPr>
        <w:tab/>
      </w:r>
    </w:p>
    <w:p w14:paraId="2F54E85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 RESULTS AND DISCUSSION</w:t>
      </w:r>
    </w:p>
    <w:p w14:paraId="6762F945"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4.1 Descriptive Statistics and Normality</w:t>
      </w:r>
    </w:p>
    <w:p w14:paraId="5B01C2D4" w14:textId="12B3F184"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The study used 54 annual observations covering the period 1966–2019. The variables </w:t>
      </w:r>
      <w:r w:rsidR="00226E13" w:rsidRPr="00734744">
        <w:rPr>
          <w:rFonts w:ascii="Times New Roman" w:hAnsi="Times New Roman" w:cs="Times New Roman"/>
        </w:rPr>
        <w:t>analysed</w:t>
      </w:r>
      <w:r w:rsidRPr="00734744">
        <w:rPr>
          <w:rFonts w:ascii="Times New Roman" w:hAnsi="Times New Roman" w:cs="Times New Roman"/>
        </w:rPr>
        <w:t xml:space="preserve"> in the first model were foreign direct investment (FDI), exchange rate, economic growth, inflation rate and real interest rate. The variables were transformed into natural logarithms before estimation.</w:t>
      </w:r>
    </w:p>
    <w:p w14:paraId="6D9C150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The mean values of the logged variables were 2.0301 for FDI, 4.8825 for exchange rate, 6.9110 for economic growth, 9.3039 for inflation and 7.1557 for real interest rate. The corresponding standard deviations were 3.8311, 5.0518, 4.8735, 7.6688 and 7.2509, respectively. The Jarque-Bera probabilities reported in the thesis were 0.0000 for FDI, 0.0498 for exchange rate, 0.0000 for economic growth, 0.0000 for inflation and 0.0041 for real interest rate.</w:t>
      </w:r>
    </w:p>
    <w:p w14:paraId="68A83337" w14:textId="49B03814" w:rsidR="009A7968" w:rsidRPr="00734744" w:rsidRDefault="009A7968" w:rsidP="009A7968">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2206A6" w:rsidRPr="00734744">
        <w:rPr>
          <w:rFonts w:ascii="Times New Roman" w:hAnsi="Times New Roman" w:cs="Times New Roman"/>
        </w:rPr>
        <w:t>2</w:t>
      </w:r>
      <w:r w:rsidRPr="00734744">
        <w:rPr>
          <w:rFonts w:ascii="Times New Roman" w:hAnsi="Times New Roman" w:cs="Times New Roman"/>
        </w:rPr>
        <w:t>. Descriptive Statistics and Normality Tests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389"/>
        <w:gridCol w:w="1278"/>
        <w:gridCol w:w="1494"/>
        <w:gridCol w:w="1278"/>
        <w:gridCol w:w="1485"/>
        <w:gridCol w:w="1436"/>
      </w:tblGrid>
      <w:tr w:rsidR="009A7968" w:rsidRPr="00734744" w14:paraId="60854D63" w14:textId="77777777" w:rsidTr="00A059D0">
        <w:trPr>
          <w:tblHeader/>
          <w:tblCellSpacing w:w="15" w:type="dxa"/>
        </w:trPr>
        <w:tc>
          <w:tcPr>
            <w:tcW w:w="1252" w:type="pct"/>
            <w:tcBorders>
              <w:top w:val="single" w:sz="4" w:space="0" w:color="auto"/>
              <w:bottom w:val="single" w:sz="4" w:space="0" w:color="auto"/>
            </w:tcBorders>
            <w:vAlign w:val="center"/>
            <w:hideMark/>
          </w:tcPr>
          <w:p w14:paraId="1EC532DD" w14:textId="77777777" w:rsidR="009A7968" w:rsidRPr="00734744" w:rsidRDefault="009A7968" w:rsidP="009A7968">
            <w:pPr>
              <w:tabs>
                <w:tab w:val="left" w:pos="6375"/>
              </w:tabs>
              <w:spacing w:after="0"/>
              <w:jc w:val="both"/>
              <w:rPr>
                <w:rFonts w:ascii="Times New Roman" w:hAnsi="Times New Roman" w:cs="Times New Roman"/>
                <w:b/>
                <w:bCs/>
              </w:rPr>
            </w:pPr>
            <w:r w:rsidRPr="00734744">
              <w:rPr>
                <w:rFonts w:ascii="Times New Roman" w:hAnsi="Times New Roman" w:cs="Times New Roman"/>
                <w:b/>
                <w:bCs/>
              </w:rPr>
              <w:t>Statistic</w:t>
            </w:r>
          </w:p>
        </w:tc>
        <w:tc>
          <w:tcPr>
            <w:tcW w:w="667" w:type="pct"/>
            <w:tcBorders>
              <w:top w:val="single" w:sz="4" w:space="0" w:color="auto"/>
              <w:bottom w:val="single" w:sz="4" w:space="0" w:color="auto"/>
            </w:tcBorders>
            <w:vAlign w:val="center"/>
            <w:hideMark/>
          </w:tcPr>
          <w:p w14:paraId="0E3D0CB3"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lnFDI</w:t>
            </w:r>
            <w:proofErr w:type="spellEnd"/>
          </w:p>
        </w:tc>
        <w:tc>
          <w:tcPr>
            <w:tcW w:w="782" w:type="pct"/>
            <w:tcBorders>
              <w:top w:val="single" w:sz="4" w:space="0" w:color="auto"/>
              <w:bottom w:val="single" w:sz="4" w:space="0" w:color="auto"/>
            </w:tcBorders>
            <w:vAlign w:val="center"/>
            <w:hideMark/>
          </w:tcPr>
          <w:p w14:paraId="571CDC48"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lnER</w:t>
            </w:r>
            <w:proofErr w:type="spellEnd"/>
          </w:p>
        </w:tc>
        <w:tc>
          <w:tcPr>
            <w:tcW w:w="667" w:type="pct"/>
            <w:tcBorders>
              <w:top w:val="single" w:sz="4" w:space="0" w:color="auto"/>
              <w:bottom w:val="single" w:sz="4" w:space="0" w:color="auto"/>
            </w:tcBorders>
            <w:vAlign w:val="center"/>
            <w:hideMark/>
          </w:tcPr>
          <w:p w14:paraId="093BAB46"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lnEG</w:t>
            </w:r>
            <w:proofErr w:type="spellEnd"/>
          </w:p>
        </w:tc>
        <w:tc>
          <w:tcPr>
            <w:tcW w:w="777" w:type="pct"/>
            <w:tcBorders>
              <w:top w:val="single" w:sz="4" w:space="0" w:color="auto"/>
              <w:bottom w:val="single" w:sz="4" w:space="0" w:color="auto"/>
            </w:tcBorders>
            <w:vAlign w:val="center"/>
            <w:hideMark/>
          </w:tcPr>
          <w:p w14:paraId="51264C3C"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lnINFL</w:t>
            </w:r>
            <w:proofErr w:type="spellEnd"/>
          </w:p>
        </w:tc>
        <w:tc>
          <w:tcPr>
            <w:tcW w:w="743" w:type="pct"/>
            <w:tcBorders>
              <w:top w:val="single" w:sz="4" w:space="0" w:color="auto"/>
              <w:bottom w:val="single" w:sz="4" w:space="0" w:color="auto"/>
            </w:tcBorders>
            <w:vAlign w:val="center"/>
            <w:hideMark/>
          </w:tcPr>
          <w:p w14:paraId="45476F4A"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lnIR</w:t>
            </w:r>
            <w:proofErr w:type="spellEnd"/>
          </w:p>
        </w:tc>
      </w:tr>
      <w:tr w:rsidR="009A7968" w:rsidRPr="00734744" w14:paraId="1EF97855" w14:textId="77777777" w:rsidTr="00A059D0">
        <w:trPr>
          <w:tblCellSpacing w:w="15" w:type="dxa"/>
        </w:trPr>
        <w:tc>
          <w:tcPr>
            <w:tcW w:w="1252" w:type="pct"/>
            <w:vAlign w:val="center"/>
            <w:hideMark/>
          </w:tcPr>
          <w:p w14:paraId="74F6B13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Mean</w:t>
            </w:r>
          </w:p>
        </w:tc>
        <w:tc>
          <w:tcPr>
            <w:tcW w:w="667" w:type="pct"/>
            <w:vAlign w:val="center"/>
            <w:hideMark/>
          </w:tcPr>
          <w:p w14:paraId="36F8AA0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2.0301</w:t>
            </w:r>
          </w:p>
        </w:tc>
        <w:tc>
          <w:tcPr>
            <w:tcW w:w="782" w:type="pct"/>
            <w:vAlign w:val="center"/>
            <w:hideMark/>
          </w:tcPr>
          <w:p w14:paraId="7C9F808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4.8825</w:t>
            </w:r>
          </w:p>
        </w:tc>
        <w:tc>
          <w:tcPr>
            <w:tcW w:w="667" w:type="pct"/>
            <w:vAlign w:val="center"/>
            <w:hideMark/>
          </w:tcPr>
          <w:p w14:paraId="0E124E1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6.9110</w:t>
            </w:r>
          </w:p>
        </w:tc>
        <w:tc>
          <w:tcPr>
            <w:tcW w:w="777" w:type="pct"/>
            <w:vAlign w:val="center"/>
            <w:hideMark/>
          </w:tcPr>
          <w:p w14:paraId="6F4A0E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9.3039</w:t>
            </w:r>
          </w:p>
        </w:tc>
        <w:tc>
          <w:tcPr>
            <w:tcW w:w="743" w:type="pct"/>
            <w:vAlign w:val="center"/>
            <w:hideMark/>
          </w:tcPr>
          <w:p w14:paraId="070D296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7.1557</w:t>
            </w:r>
          </w:p>
        </w:tc>
      </w:tr>
      <w:tr w:rsidR="009A7968" w:rsidRPr="00734744" w14:paraId="63104586" w14:textId="77777777" w:rsidTr="00A059D0">
        <w:trPr>
          <w:tblCellSpacing w:w="15" w:type="dxa"/>
        </w:trPr>
        <w:tc>
          <w:tcPr>
            <w:tcW w:w="1252" w:type="pct"/>
            <w:vAlign w:val="center"/>
            <w:hideMark/>
          </w:tcPr>
          <w:p w14:paraId="638A25A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Median</w:t>
            </w:r>
          </w:p>
        </w:tc>
        <w:tc>
          <w:tcPr>
            <w:tcW w:w="667" w:type="pct"/>
            <w:vAlign w:val="center"/>
            <w:hideMark/>
          </w:tcPr>
          <w:p w14:paraId="45D34A2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1.9365</w:t>
            </w:r>
          </w:p>
        </w:tc>
        <w:tc>
          <w:tcPr>
            <w:tcW w:w="782" w:type="pct"/>
            <w:vAlign w:val="center"/>
            <w:hideMark/>
          </w:tcPr>
          <w:p w14:paraId="55D1069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3.8233</w:t>
            </w:r>
          </w:p>
        </w:tc>
        <w:tc>
          <w:tcPr>
            <w:tcW w:w="667" w:type="pct"/>
            <w:vAlign w:val="center"/>
            <w:hideMark/>
          </w:tcPr>
          <w:p w14:paraId="4EF5FCA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5.5546</w:t>
            </w:r>
          </w:p>
        </w:tc>
        <w:tc>
          <w:tcPr>
            <w:tcW w:w="777" w:type="pct"/>
            <w:vAlign w:val="center"/>
            <w:hideMark/>
          </w:tcPr>
          <w:p w14:paraId="4DEAAF4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9.0458</w:t>
            </w:r>
          </w:p>
        </w:tc>
        <w:tc>
          <w:tcPr>
            <w:tcW w:w="743" w:type="pct"/>
            <w:vAlign w:val="center"/>
            <w:hideMark/>
          </w:tcPr>
          <w:p w14:paraId="3F52B5A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7.0740</w:t>
            </w:r>
          </w:p>
        </w:tc>
      </w:tr>
      <w:tr w:rsidR="009A7968" w:rsidRPr="00734744" w14:paraId="299D5A12" w14:textId="77777777" w:rsidTr="00A059D0">
        <w:trPr>
          <w:tblCellSpacing w:w="15" w:type="dxa"/>
        </w:trPr>
        <w:tc>
          <w:tcPr>
            <w:tcW w:w="1252" w:type="pct"/>
            <w:vAlign w:val="center"/>
            <w:hideMark/>
          </w:tcPr>
          <w:p w14:paraId="02480EC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Maximum</w:t>
            </w:r>
          </w:p>
        </w:tc>
        <w:tc>
          <w:tcPr>
            <w:tcW w:w="667" w:type="pct"/>
            <w:vAlign w:val="center"/>
            <w:hideMark/>
          </w:tcPr>
          <w:p w14:paraId="216CC89C"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3.6109</w:t>
            </w:r>
          </w:p>
        </w:tc>
        <w:tc>
          <w:tcPr>
            <w:tcW w:w="782" w:type="pct"/>
            <w:vAlign w:val="center"/>
            <w:hideMark/>
          </w:tcPr>
          <w:p w14:paraId="6558BE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10.4109</w:t>
            </w:r>
          </w:p>
        </w:tc>
        <w:tc>
          <w:tcPr>
            <w:tcW w:w="667" w:type="pct"/>
            <w:vAlign w:val="center"/>
            <w:hideMark/>
          </w:tcPr>
          <w:p w14:paraId="18A4219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7.1753</w:t>
            </w:r>
          </w:p>
        </w:tc>
        <w:tc>
          <w:tcPr>
            <w:tcW w:w="777" w:type="pct"/>
            <w:vAlign w:val="center"/>
            <w:hideMark/>
          </w:tcPr>
          <w:p w14:paraId="6BA884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11.9888</w:t>
            </w:r>
          </w:p>
        </w:tc>
        <w:tc>
          <w:tcPr>
            <w:tcW w:w="743" w:type="pct"/>
            <w:vAlign w:val="center"/>
            <w:hideMark/>
          </w:tcPr>
          <w:p w14:paraId="3AFD7C7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8.0963</w:t>
            </w:r>
          </w:p>
        </w:tc>
      </w:tr>
      <w:tr w:rsidR="009A7968" w:rsidRPr="00734744" w14:paraId="2ABBDC9A" w14:textId="77777777" w:rsidTr="00A059D0">
        <w:trPr>
          <w:tblCellSpacing w:w="15" w:type="dxa"/>
        </w:trPr>
        <w:tc>
          <w:tcPr>
            <w:tcW w:w="1252" w:type="pct"/>
            <w:vAlign w:val="center"/>
            <w:hideMark/>
          </w:tcPr>
          <w:p w14:paraId="149520C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Minimum</w:t>
            </w:r>
          </w:p>
        </w:tc>
        <w:tc>
          <w:tcPr>
            <w:tcW w:w="667" w:type="pct"/>
            <w:vAlign w:val="center"/>
            <w:hideMark/>
          </w:tcPr>
          <w:p w14:paraId="381773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1.8031</w:t>
            </w:r>
          </w:p>
        </w:tc>
        <w:tc>
          <w:tcPr>
            <w:tcW w:w="782" w:type="pct"/>
            <w:vAlign w:val="center"/>
            <w:hideMark/>
          </w:tcPr>
          <w:p w14:paraId="76C9C13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7.0204</w:t>
            </w:r>
          </w:p>
        </w:tc>
        <w:tc>
          <w:tcPr>
            <w:tcW w:w="667" w:type="pct"/>
            <w:vAlign w:val="center"/>
            <w:hideMark/>
          </w:tcPr>
          <w:p w14:paraId="35067B6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2.1081</w:t>
            </w:r>
          </w:p>
        </w:tc>
        <w:tc>
          <w:tcPr>
            <w:tcW w:w="777" w:type="pct"/>
            <w:vAlign w:val="center"/>
            <w:hideMark/>
          </w:tcPr>
          <w:p w14:paraId="54B8F43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9.2192</w:t>
            </w:r>
          </w:p>
        </w:tc>
        <w:tc>
          <w:tcPr>
            <w:tcW w:w="743" w:type="pct"/>
            <w:vAlign w:val="center"/>
            <w:hideMark/>
          </w:tcPr>
          <w:p w14:paraId="567D94A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6.0099</w:t>
            </w:r>
          </w:p>
        </w:tc>
      </w:tr>
      <w:tr w:rsidR="009A7968" w:rsidRPr="00734744" w14:paraId="5DCF9B3B" w14:textId="77777777" w:rsidTr="00A059D0">
        <w:trPr>
          <w:tblCellSpacing w:w="15" w:type="dxa"/>
        </w:trPr>
        <w:tc>
          <w:tcPr>
            <w:tcW w:w="1252" w:type="pct"/>
            <w:vAlign w:val="center"/>
            <w:hideMark/>
          </w:tcPr>
          <w:p w14:paraId="040AB9F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Std. Dev.</w:t>
            </w:r>
          </w:p>
        </w:tc>
        <w:tc>
          <w:tcPr>
            <w:tcW w:w="667" w:type="pct"/>
            <w:vAlign w:val="center"/>
            <w:hideMark/>
          </w:tcPr>
          <w:p w14:paraId="2A8C1CA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3.8311</w:t>
            </w:r>
          </w:p>
        </w:tc>
        <w:tc>
          <w:tcPr>
            <w:tcW w:w="782" w:type="pct"/>
            <w:vAlign w:val="center"/>
            <w:hideMark/>
          </w:tcPr>
          <w:p w14:paraId="5C34252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5.0518</w:t>
            </w:r>
          </w:p>
        </w:tc>
        <w:tc>
          <w:tcPr>
            <w:tcW w:w="667" w:type="pct"/>
            <w:vAlign w:val="center"/>
            <w:hideMark/>
          </w:tcPr>
          <w:p w14:paraId="57825E5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4.8735</w:t>
            </w:r>
          </w:p>
        </w:tc>
        <w:tc>
          <w:tcPr>
            <w:tcW w:w="777" w:type="pct"/>
            <w:vAlign w:val="center"/>
            <w:hideMark/>
          </w:tcPr>
          <w:p w14:paraId="3F6A6EF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7.6688</w:t>
            </w:r>
          </w:p>
        </w:tc>
        <w:tc>
          <w:tcPr>
            <w:tcW w:w="743" w:type="pct"/>
            <w:vAlign w:val="center"/>
            <w:hideMark/>
          </w:tcPr>
          <w:p w14:paraId="71301C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7.2509</w:t>
            </w:r>
          </w:p>
        </w:tc>
      </w:tr>
      <w:tr w:rsidR="009A7968" w:rsidRPr="00734744" w14:paraId="3EE5D88B" w14:textId="77777777" w:rsidTr="00A059D0">
        <w:trPr>
          <w:tblCellSpacing w:w="15" w:type="dxa"/>
        </w:trPr>
        <w:tc>
          <w:tcPr>
            <w:tcW w:w="1252" w:type="pct"/>
            <w:vAlign w:val="center"/>
            <w:hideMark/>
          </w:tcPr>
          <w:p w14:paraId="0082FD9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Skewness</w:t>
            </w:r>
          </w:p>
        </w:tc>
        <w:tc>
          <w:tcPr>
            <w:tcW w:w="667" w:type="pct"/>
            <w:vAlign w:val="center"/>
            <w:hideMark/>
          </w:tcPr>
          <w:p w14:paraId="3C46D3C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2.0807</w:t>
            </w:r>
          </w:p>
        </w:tc>
        <w:tc>
          <w:tcPr>
            <w:tcW w:w="782" w:type="pct"/>
            <w:vAlign w:val="center"/>
            <w:hideMark/>
          </w:tcPr>
          <w:p w14:paraId="04368D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0.2186</w:t>
            </w:r>
          </w:p>
        </w:tc>
        <w:tc>
          <w:tcPr>
            <w:tcW w:w="667" w:type="pct"/>
            <w:vAlign w:val="center"/>
            <w:hideMark/>
          </w:tcPr>
          <w:p w14:paraId="3BE9B1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1.5586</w:t>
            </w:r>
          </w:p>
        </w:tc>
        <w:tc>
          <w:tcPr>
            <w:tcW w:w="777" w:type="pct"/>
            <w:vAlign w:val="center"/>
            <w:hideMark/>
          </w:tcPr>
          <w:p w14:paraId="0F3D34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1.4381</w:t>
            </w:r>
          </w:p>
        </w:tc>
        <w:tc>
          <w:tcPr>
            <w:tcW w:w="743" w:type="pct"/>
            <w:vAlign w:val="center"/>
            <w:hideMark/>
          </w:tcPr>
          <w:p w14:paraId="3A1E7E7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-0.0761</w:t>
            </w:r>
          </w:p>
        </w:tc>
      </w:tr>
      <w:tr w:rsidR="009A7968" w:rsidRPr="00734744" w14:paraId="09112165" w14:textId="77777777" w:rsidTr="00A059D0">
        <w:trPr>
          <w:tblCellSpacing w:w="15" w:type="dxa"/>
        </w:trPr>
        <w:tc>
          <w:tcPr>
            <w:tcW w:w="1252" w:type="pct"/>
            <w:vAlign w:val="center"/>
            <w:hideMark/>
          </w:tcPr>
          <w:p w14:paraId="12B133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Kurtosis</w:t>
            </w:r>
          </w:p>
        </w:tc>
        <w:tc>
          <w:tcPr>
            <w:tcW w:w="667" w:type="pct"/>
            <w:vAlign w:val="center"/>
            <w:hideMark/>
          </w:tcPr>
          <w:p w14:paraId="330CAC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1.9843</w:t>
            </w:r>
          </w:p>
        </w:tc>
        <w:tc>
          <w:tcPr>
            <w:tcW w:w="782" w:type="pct"/>
            <w:vAlign w:val="center"/>
            <w:hideMark/>
          </w:tcPr>
          <w:p w14:paraId="083F1D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1.4276</w:t>
            </w:r>
          </w:p>
        </w:tc>
        <w:tc>
          <w:tcPr>
            <w:tcW w:w="667" w:type="pct"/>
            <w:vAlign w:val="center"/>
            <w:hideMark/>
          </w:tcPr>
          <w:p w14:paraId="7856AE8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2.0805</w:t>
            </w:r>
          </w:p>
        </w:tc>
        <w:tc>
          <w:tcPr>
            <w:tcW w:w="777" w:type="pct"/>
            <w:vAlign w:val="center"/>
            <w:hideMark/>
          </w:tcPr>
          <w:p w14:paraId="3073971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2.0051</w:t>
            </w:r>
          </w:p>
        </w:tc>
        <w:tc>
          <w:tcPr>
            <w:tcW w:w="743" w:type="pct"/>
            <w:vAlign w:val="center"/>
            <w:hideMark/>
          </w:tcPr>
          <w:p w14:paraId="5D7914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2.5478</w:t>
            </w:r>
          </w:p>
        </w:tc>
      </w:tr>
      <w:tr w:rsidR="009A7968" w:rsidRPr="00734744" w14:paraId="11C5F7A1" w14:textId="77777777" w:rsidTr="00A059D0">
        <w:trPr>
          <w:tblCellSpacing w:w="15" w:type="dxa"/>
        </w:trPr>
        <w:tc>
          <w:tcPr>
            <w:tcW w:w="1252" w:type="pct"/>
            <w:vAlign w:val="center"/>
            <w:hideMark/>
          </w:tcPr>
          <w:p w14:paraId="713ACEF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Jarque-Bera</w:t>
            </w:r>
          </w:p>
        </w:tc>
        <w:tc>
          <w:tcPr>
            <w:tcW w:w="667" w:type="pct"/>
            <w:vAlign w:val="center"/>
            <w:hideMark/>
          </w:tcPr>
          <w:p w14:paraId="7822F18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5.0003</w:t>
            </w:r>
          </w:p>
        </w:tc>
        <w:tc>
          <w:tcPr>
            <w:tcW w:w="782" w:type="pct"/>
            <w:vAlign w:val="center"/>
            <w:hideMark/>
          </w:tcPr>
          <w:p w14:paraId="6F98EEE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5.1930</w:t>
            </w:r>
          </w:p>
        </w:tc>
        <w:tc>
          <w:tcPr>
            <w:tcW w:w="667" w:type="pct"/>
            <w:vAlign w:val="center"/>
            <w:hideMark/>
          </w:tcPr>
          <w:p w14:paraId="591227E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2.1964</w:t>
            </w:r>
          </w:p>
        </w:tc>
        <w:tc>
          <w:tcPr>
            <w:tcW w:w="777" w:type="pct"/>
            <w:vAlign w:val="center"/>
            <w:hideMark/>
          </w:tcPr>
          <w:p w14:paraId="289198D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4.9790</w:t>
            </w:r>
          </w:p>
        </w:tc>
        <w:tc>
          <w:tcPr>
            <w:tcW w:w="743" w:type="pct"/>
            <w:vAlign w:val="center"/>
            <w:hideMark/>
          </w:tcPr>
          <w:p w14:paraId="74A24F3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0.5121</w:t>
            </w:r>
          </w:p>
        </w:tc>
      </w:tr>
      <w:tr w:rsidR="009A7968" w:rsidRPr="00734744" w14:paraId="35734ECE" w14:textId="77777777" w:rsidTr="00A059D0">
        <w:trPr>
          <w:tblCellSpacing w:w="15" w:type="dxa"/>
        </w:trPr>
        <w:tc>
          <w:tcPr>
            <w:tcW w:w="1252" w:type="pct"/>
            <w:vAlign w:val="center"/>
            <w:hideMark/>
          </w:tcPr>
          <w:p w14:paraId="72B99EB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Probability</w:t>
            </w:r>
          </w:p>
        </w:tc>
        <w:tc>
          <w:tcPr>
            <w:tcW w:w="667" w:type="pct"/>
            <w:vAlign w:val="center"/>
            <w:hideMark/>
          </w:tcPr>
          <w:p w14:paraId="560A103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82" w:type="pct"/>
            <w:vAlign w:val="center"/>
            <w:hideMark/>
          </w:tcPr>
          <w:p w14:paraId="5B1E04D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0.0498</w:t>
            </w:r>
          </w:p>
        </w:tc>
        <w:tc>
          <w:tcPr>
            <w:tcW w:w="667" w:type="pct"/>
            <w:vAlign w:val="center"/>
            <w:hideMark/>
          </w:tcPr>
          <w:p w14:paraId="29ACC90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77" w:type="pct"/>
            <w:vAlign w:val="center"/>
            <w:hideMark/>
          </w:tcPr>
          <w:p w14:paraId="64A812D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43" w:type="pct"/>
            <w:vAlign w:val="center"/>
            <w:hideMark/>
          </w:tcPr>
          <w:p w14:paraId="1EE7960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0.0041</w:t>
            </w:r>
          </w:p>
        </w:tc>
      </w:tr>
      <w:tr w:rsidR="009A7968" w:rsidRPr="00734744" w14:paraId="49BF1D97" w14:textId="77777777" w:rsidTr="00A059D0">
        <w:trPr>
          <w:tblCellSpacing w:w="15" w:type="dxa"/>
        </w:trPr>
        <w:tc>
          <w:tcPr>
            <w:tcW w:w="1252" w:type="pct"/>
            <w:vAlign w:val="center"/>
            <w:hideMark/>
          </w:tcPr>
          <w:p w14:paraId="23A2FA8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Observations</w:t>
            </w:r>
          </w:p>
        </w:tc>
        <w:tc>
          <w:tcPr>
            <w:tcW w:w="667" w:type="pct"/>
            <w:vAlign w:val="center"/>
            <w:hideMark/>
          </w:tcPr>
          <w:p w14:paraId="3E71974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82" w:type="pct"/>
            <w:vAlign w:val="center"/>
            <w:hideMark/>
          </w:tcPr>
          <w:p w14:paraId="26C6871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667" w:type="pct"/>
            <w:vAlign w:val="center"/>
            <w:hideMark/>
          </w:tcPr>
          <w:p w14:paraId="293A667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77" w:type="pct"/>
            <w:vAlign w:val="center"/>
            <w:hideMark/>
          </w:tcPr>
          <w:p w14:paraId="407896AD"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43" w:type="pct"/>
            <w:vAlign w:val="center"/>
            <w:hideMark/>
          </w:tcPr>
          <w:p w14:paraId="6D39495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r>
    </w:tbl>
    <w:p w14:paraId="28DD7396" w14:textId="760C6970" w:rsidR="00EB72D7" w:rsidRPr="00734744" w:rsidRDefault="009A7968" w:rsidP="00EB72D7">
      <w:pPr>
        <w:tabs>
          <w:tab w:val="left" w:pos="6375"/>
        </w:tabs>
        <w:jc w:val="both"/>
        <w:rPr>
          <w:rFonts w:ascii="Times New Roman" w:hAnsi="Times New Roman" w:cs="Times New Roman"/>
        </w:rPr>
      </w:pPr>
      <w:r w:rsidRPr="00734744">
        <w:rPr>
          <w:rFonts w:ascii="Times New Roman" w:hAnsi="Times New Roman" w:cs="Times New Roman"/>
        </w:rPr>
        <w:t>Source: Thesis</w:t>
      </w:r>
    </w:p>
    <w:p w14:paraId="71730832" w14:textId="77777777" w:rsidR="009A7968" w:rsidRPr="00734744" w:rsidRDefault="009A7968" w:rsidP="009A7968">
      <w:pPr>
        <w:tabs>
          <w:tab w:val="left" w:pos="6375"/>
        </w:tabs>
        <w:spacing w:after="0"/>
        <w:jc w:val="both"/>
        <w:rPr>
          <w:rFonts w:ascii="Times New Roman" w:hAnsi="Times New Roman" w:cs="Times New Roman"/>
          <w:b/>
          <w:bCs/>
        </w:rPr>
      </w:pPr>
      <w:r w:rsidRPr="00734744">
        <w:rPr>
          <w:rFonts w:ascii="Times New Roman" w:hAnsi="Times New Roman" w:cs="Times New Roman"/>
          <w:b/>
          <w:bCs/>
        </w:rPr>
        <w:t>4.2 Stationarity Tests</w:t>
      </w:r>
    </w:p>
    <w:p w14:paraId="650E5C40" w14:textId="77777777" w:rsidR="009A7968" w:rsidRDefault="009A7968" w:rsidP="009A7968">
      <w:pPr>
        <w:tabs>
          <w:tab w:val="left" w:pos="6375"/>
        </w:tabs>
        <w:spacing w:after="0"/>
        <w:jc w:val="both"/>
        <w:rPr>
          <w:rFonts w:ascii="Times New Roman" w:hAnsi="Times New Roman" w:cs="Times New Roman"/>
        </w:rPr>
      </w:pPr>
      <w:r w:rsidRPr="00734744">
        <w:rPr>
          <w:rFonts w:ascii="Times New Roman" w:hAnsi="Times New Roman" w:cs="Times New Roman"/>
        </w:rPr>
        <w:lastRenderedPageBreak/>
        <w:t xml:space="preserve">The Phillips-Perron (PP) test was employed to establish the stationarity properties of the variables. The results showed that FDI, exchange rate and economic growth were non-stationary at levels, whereas inflation and real interest rate were stationary at levels. The PP statistics reported for FDI, exchange rate and economic growth were -0.3124, 0.3032 and 9.8047, respectively, compared with the 5% MacKinnon critical value of -2.9266. Inflation and real interest rate were stationary at level, with PP statistics of -5.4829 and -4.2070, respectively. </w:t>
      </w:r>
    </w:p>
    <w:p w14:paraId="4E0204E2" w14:textId="77777777" w:rsidR="00280A29" w:rsidRPr="00734744" w:rsidRDefault="00280A29" w:rsidP="009A7968">
      <w:pPr>
        <w:tabs>
          <w:tab w:val="left" w:pos="6375"/>
        </w:tabs>
        <w:spacing w:after="0"/>
        <w:jc w:val="both"/>
        <w:rPr>
          <w:rFonts w:ascii="Times New Roman" w:hAnsi="Times New Roman" w:cs="Times New Roman"/>
        </w:rPr>
      </w:pPr>
    </w:p>
    <w:p w14:paraId="74443149" w14:textId="4A852DB9" w:rsidR="004C781B"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At first difference, exchange rate became stationary with a PP statistic of -6.5232, while FDI and economic growth remained non-stationary. Economic growth and FDI became stationary after second differencing, with PP statistics of -12.0503 and -9.6354, respectively. </w:t>
      </w:r>
    </w:p>
    <w:p w14:paraId="5B97499C" w14:textId="7C17F19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Table </w:t>
      </w:r>
      <w:r w:rsidR="002206A6" w:rsidRPr="00734744">
        <w:rPr>
          <w:rFonts w:ascii="Times New Roman" w:hAnsi="Times New Roman" w:cs="Times New Roman"/>
        </w:rPr>
        <w:t>3</w:t>
      </w:r>
      <w:r w:rsidRPr="00734744">
        <w:rPr>
          <w:rFonts w:ascii="Times New Roman" w:hAnsi="Times New Roman" w:cs="Times New Roman"/>
        </w:rPr>
        <w:t>. Phillips-Perron Unit Root Test Results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455"/>
        <w:gridCol w:w="1233"/>
        <w:gridCol w:w="2600"/>
        <w:gridCol w:w="2979"/>
        <w:gridCol w:w="1093"/>
      </w:tblGrid>
      <w:tr w:rsidR="009A7968" w:rsidRPr="00734744" w14:paraId="428D1AE4" w14:textId="77777777" w:rsidTr="00BB631A">
        <w:trPr>
          <w:tblHeader/>
          <w:tblCellSpacing w:w="15" w:type="dxa"/>
        </w:trPr>
        <w:tc>
          <w:tcPr>
            <w:tcW w:w="745" w:type="pct"/>
            <w:tcBorders>
              <w:top w:val="single" w:sz="4" w:space="0" w:color="auto"/>
              <w:bottom w:val="single" w:sz="4" w:space="0" w:color="auto"/>
            </w:tcBorders>
            <w:vAlign w:val="center"/>
            <w:hideMark/>
          </w:tcPr>
          <w:p w14:paraId="55EFC56E"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Variable</w:t>
            </w:r>
          </w:p>
        </w:tc>
        <w:tc>
          <w:tcPr>
            <w:tcW w:w="636" w:type="pct"/>
            <w:tcBorders>
              <w:top w:val="single" w:sz="4" w:space="0" w:color="auto"/>
              <w:bottom w:val="single" w:sz="4" w:space="0" w:color="auto"/>
            </w:tcBorders>
            <w:vAlign w:val="center"/>
            <w:hideMark/>
          </w:tcPr>
          <w:p w14:paraId="6A75EC0B"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Level</w:t>
            </w:r>
          </w:p>
        </w:tc>
        <w:tc>
          <w:tcPr>
            <w:tcW w:w="1359" w:type="pct"/>
            <w:tcBorders>
              <w:top w:val="single" w:sz="4" w:space="0" w:color="auto"/>
              <w:bottom w:val="single" w:sz="4" w:space="0" w:color="auto"/>
            </w:tcBorders>
            <w:vAlign w:val="center"/>
            <w:hideMark/>
          </w:tcPr>
          <w:p w14:paraId="48ED4F17"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First Difference</w:t>
            </w:r>
          </w:p>
        </w:tc>
        <w:tc>
          <w:tcPr>
            <w:tcW w:w="1558" w:type="pct"/>
            <w:tcBorders>
              <w:top w:val="single" w:sz="4" w:space="0" w:color="auto"/>
              <w:bottom w:val="single" w:sz="4" w:space="0" w:color="auto"/>
            </w:tcBorders>
            <w:vAlign w:val="center"/>
            <w:hideMark/>
          </w:tcPr>
          <w:p w14:paraId="5300112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Second Difference</w:t>
            </w:r>
          </w:p>
        </w:tc>
        <w:tc>
          <w:tcPr>
            <w:tcW w:w="554" w:type="pct"/>
            <w:tcBorders>
              <w:top w:val="single" w:sz="4" w:space="0" w:color="auto"/>
              <w:bottom w:val="single" w:sz="4" w:space="0" w:color="auto"/>
            </w:tcBorders>
            <w:vAlign w:val="center"/>
            <w:hideMark/>
          </w:tcPr>
          <w:p w14:paraId="449FD3CC"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Status</w:t>
            </w:r>
          </w:p>
        </w:tc>
      </w:tr>
      <w:tr w:rsidR="009A7968" w:rsidRPr="00734744" w14:paraId="3DD5E259" w14:textId="77777777" w:rsidTr="00A059D0">
        <w:trPr>
          <w:tblCellSpacing w:w="15" w:type="dxa"/>
        </w:trPr>
        <w:tc>
          <w:tcPr>
            <w:tcW w:w="745" w:type="pct"/>
            <w:vAlign w:val="center"/>
            <w:hideMark/>
          </w:tcPr>
          <w:p w14:paraId="3A4D783E"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p>
        </w:tc>
        <w:tc>
          <w:tcPr>
            <w:tcW w:w="636" w:type="pct"/>
            <w:vAlign w:val="center"/>
            <w:hideMark/>
          </w:tcPr>
          <w:p w14:paraId="490AAD1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-0.3124</w:t>
            </w:r>
          </w:p>
        </w:tc>
        <w:tc>
          <w:tcPr>
            <w:tcW w:w="1359" w:type="pct"/>
            <w:vAlign w:val="center"/>
            <w:hideMark/>
          </w:tcPr>
          <w:p w14:paraId="399EA7D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-2.1453</w:t>
            </w:r>
          </w:p>
        </w:tc>
        <w:tc>
          <w:tcPr>
            <w:tcW w:w="1558" w:type="pct"/>
            <w:vAlign w:val="center"/>
            <w:hideMark/>
          </w:tcPr>
          <w:p w14:paraId="1699B93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-9.6354</w:t>
            </w:r>
          </w:p>
        </w:tc>
        <w:tc>
          <w:tcPr>
            <w:tcW w:w="554" w:type="pct"/>
            <w:vAlign w:val="center"/>
            <w:hideMark/>
          </w:tcPr>
          <w:p w14:paraId="2262A80E"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2)</w:t>
            </w:r>
          </w:p>
        </w:tc>
      </w:tr>
      <w:tr w:rsidR="009A7968" w:rsidRPr="00734744" w14:paraId="1826C69A" w14:textId="77777777" w:rsidTr="00A059D0">
        <w:trPr>
          <w:tblCellSpacing w:w="15" w:type="dxa"/>
        </w:trPr>
        <w:tc>
          <w:tcPr>
            <w:tcW w:w="745" w:type="pct"/>
            <w:vAlign w:val="center"/>
            <w:hideMark/>
          </w:tcPr>
          <w:p w14:paraId="51595230"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lnER</w:t>
            </w:r>
            <w:proofErr w:type="spellEnd"/>
          </w:p>
        </w:tc>
        <w:tc>
          <w:tcPr>
            <w:tcW w:w="636" w:type="pct"/>
            <w:vAlign w:val="center"/>
            <w:hideMark/>
          </w:tcPr>
          <w:p w14:paraId="6AB2DDD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0.3032</w:t>
            </w:r>
          </w:p>
        </w:tc>
        <w:tc>
          <w:tcPr>
            <w:tcW w:w="1359" w:type="pct"/>
            <w:vAlign w:val="center"/>
            <w:hideMark/>
          </w:tcPr>
          <w:p w14:paraId="6AF487B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-6.5232</w:t>
            </w:r>
          </w:p>
        </w:tc>
        <w:tc>
          <w:tcPr>
            <w:tcW w:w="1558" w:type="pct"/>
            <w:vAlign w:val="center"/>
            <w:hideMark/>
          </w:tcPr>
          <w:p w14:paraId="4207942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37CB952E"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1)</w:t>
            </w:r>
          </w:p>
        </w:tc>
      </w:tr>
      <w:tr w:rsidR="009A7968" w:rsidRPr="00734744" w14:paraId="03847996" w14:textId="77777777" w:rsidTr="00A059D0">
        <w:trPr>
          <w:tblCellSpacing w:w="15" w:type="dxa"/>
        </w:trPr>
        <w:tc>
          <w:tcPr>
            <w:tcW w:w="745" w:type="pct"/>
            <w:vAlign w:val="center"/>
            <w:hideMark/>
          </w:tcPr>
          <w:p w14:paraId="229DC0F6"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lnEG</w:t>
            </w:r>
            <w:proofErr w:type="spellEnd"/>
          </w:p>
        </w:tc>
        <w:tc>
          <w:tcPr>
            <w:tcW w:w="636" w:type="pct"/>
            <w:vAlign w:val="center"/>
            <w:hideMark/>
          </w:tcPr>
          <w:p w14:paraId="19006DF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9.8047</w:t>
            </w:r>
          </w:p>
        </w:tc>
        <w:tc>
          <w:tcPr>
            <w:tcW w:w="1359" w:type="pct"/>
            <w:vAlign w:val="center"/>
            <w:hideMark/>
          </w:tcPr>
          <w:p w14:paraId="40886DD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-1.2085</w:t>
            </w:r>
          </w:p>
        </w:tc>
        <w:tc>
          <w:tcPr>
            <w:tcW w:w="1558" w:type="pct"/>
            <w:vAlign w:val="center"/>
            <w:hideMark/>
          </w:tcPr>
          <w:p w14:paraId="4CEA65E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-12.0503</w:t>
            </w:r>
          </w:p>
        </w:tc>
        <w:tc>
          <w:tcPr>
            <w:tcW w:w="554" w:type="pct"/>
            <w:vAlign w:val="center"/>
            <w:hideMark/>
          </w:tcPr>
          <w:p w14:paraId="57556EB2"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2)</w:t>
            </w:r>
          </w:p>
        </w:tc>
      </w:tr>
      <w:tr w:rsidR="009A7968" w:rsidRPr="00734744" w14:paraId="63C7BAD1" w14:textId="77777777" w:rsidTr="00A059D0">
        <w:trPr>
          <w:tblCellSpacing w:w="15" w:type="dxa"/>
        </w:trPr>
        <w:tc>
          <w:tcPr>
            <w:tcW w:w="745" w:type="pct"/>
            <w:vAlign w:val="center"/>
            <w:hideMark/>
          </w:tcPr>
          <w:p w14:paraId="0C391795"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lnINFL</w:t>
            </w:r>
            <w:proofErr w:type="spellEnd"/>
          </w:p>
        </w:tc>
        <w:tc>
          <w:tcPr>
            <w:tcW w:w="636" w:type="pct"/>
            <w:vAlign w:val="center"/>
            <w:hideMark/>
          </w:tcPr>
          <w:p w14:paraId="054A696D"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-5.4829</w:t>
            </w:r>
          </w:p>
        </w:tc>
        <w:tc>
          <w:tcPr>
            <w:tcW w:w="1359" w:type="pct"/>
            <w:vAlign w:val="center"/>
            <w:hideMark/>
          </w:tcPr>
          <w:p w14:paraId="12BB3A3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1558" w:type="pct"/>
            <w:vAlign w:val="center"/>
            <w:hideMark/>
          </w:tcPr>
          <w:p w14:paraId="33B50BA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438BC314"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0)</w:t>
            </w:r>
          </w:p>
        </w:tc>
      </w:tr>
      <w:tr w:rsidR="009A7968" w:rsidRPr="00734744" w14:paraId="20D6EBFB" w14:textId="77777777" w:rsidTr="00A059D0">
        <w:trPr>
          <w:tblCellSpacing w:w="15" w:type="dxa"/>
        </w:trPr>
        <w:tc>
          <w:tcPr>
            <w:tcW w:w="745" w:type="pct"/>
            <w:vAlign w:val="center"/>
            <w:hideMark/>
          </w:tcPr>
          <w:p w14:paraId="0056DAFE"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lnIR</w:t>
            </w:r>
            <w:proofErr w:type="spellEnd"/>
          </w:p>
        </w:tc>
        <w:tc>
          <w:tcPr>
            <w:tcW w:w="636" w:type="pct"/>
            <w:vAlign w:val="center"/>
            <w:hideMark/>
          </w:tcPr>
          <w:p w14:paraId="1F1BE77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-4.2070</w:t>
            </w:r>
          </w:p>
        </w:tc>
        <w:tc>
          <w:tcPr>
            <w:tcW w:w="1359" w:type="pct"/>
            <w:vAlign w:val="center"/>
            <w:hideMark/>
          </w:tcPr>
          <w:p w14:paraId="0C8A912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1558" w:type="pct"/>
            <w:vAlign w:val="center"/>
            <w:hideMark/>
          </w:tcPr>
          <w:p w14:paraId="3AEE4DE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632F18CA"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0)</w:t>
            </w:r>
          </w:p>
        </w:tc>
      </w:tr>
    </w:tbl>
    <w:p w14:paraId="7027B38E" w14:textId="797F12D5"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i/>
          <w:iCs/>
        </w:rPr>
        <w:t>5% MacKinnon critical value = -2.9266. Source: Thesis</w:t>
      </w:r>
    </w:p>
    <w:p w14:paraId="078618DB" w14:textId="77777777"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4.3 Lag-Length Selection</w:t>
      </w:r>
    </w:p>
    <w:p w14:paraId="3E743252" w14:textId="77777777" w:rsidR="002206A6"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The Akaike Information Criterion (AIC), Schwarz Information Criterion (SIC) and Hannan-Quinn (HQ) criterion were used to determine the appropriate lag length. The results showed that AIC selected a lag length of 2, while SIC and HQ selected a lag length of 1. The thesis subsequently reports that lag length was used in estimating the model.</w:t>
      </w:r>
    </w:p>
    <w:p w14:paraId="2A6E0187" w14:textId="77777777" w:rsidR="00BB631A" w:rsidRPr="00734744" w:rsidRDefault="00BB631A" w:rsidP="002206A6">
      <w:pPr>
        <w:tabs>
          <w:tab w:val="left" w:pos="6375"/>
        </w:tabs>
        <w:jc w:val="both"/>
        <w:rPr>
          <w:rFonts w:ascii="Times New Roman" w:hAnsi="Times New Roman" w:cs="Times New Roman"/>
          <w:b/>
          <w:bCs/>
        </w:rPr>
      </w:pPr>
    </w:p>
    <w:p w14:paraId="57B666EB" w14:textId="3796C3DC"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734744" w14:paraId="6874FEA9" w14:textId="77777777" w:rsidTr="00BB631A">
        <w:trPr>
          <w:tblHeader/>
          <w:tblCellSpacing w:w="15" w:type="dxa"/>
        </w:trPr>
        <w:tc>
          <w:tcPr>
            <w:tcW w:w="639" w:type="pct"/>
            <w:tcBorders>
              <w:top w:val="single" w:sz="4" w:space="0" w:color="auto"/>
              <w:bottom w:val="single" w:sz="4" w:space="0" w:color="auto"/>
            </w:tcBorders>
            <w:vAlign w:val="center"/>
            <w:hideMark/>
          </w:tcPr>
          <w:p w14:paraId="0B9731DF"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4260EC16"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1B4DEB0D"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73F0A25"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HQ</w:t>
            </w:r>
          </w:p>
        </w:tc>
      </w:tr>
      <w:tr w:rsidR="002206A6" w:rsidRPr="00734744" w14:paraId="14995834" w14:textId="77777777" w:rsidTr="00BB631A">
        <w:trPr>
          <w:tblCellSpacing w:w="15" w:type="dxa"/>
        </w:trPr>
        <w:tc>
          <w:tcPr>
            <w:tcW w:w="639" w:type="pct"/>
            <w:vAlign w:val="center"/>
            <w:hideMark/>
          </w:tcPr>
          <w:p w14:paraId="6B5A95B3"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0</w:t>
            </w:r>
          </w:p>
        </w:tc>
        <w:tc>
          <w:tcPr>
            <w:tcW w:w="1379" w:type="pct"/>
            <w:vAlign w:val="center"/>
            <w:hideMark/>
          </w:tcPr>
          <w:p w14:paraId="0D2DDAF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110.9516</w:t>
            </w:r>
          </w:p>
        </w:tc>
        <w:tc>
          <w:tcPr>
            <w:tcW w:w="1379" w:type="pct"/>
            <w:vAlign w:val="center"/>
            <w:hideMark/>
          </w:tcPr>
          <w:p w14:paraId="333698D7"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111.1768</w:t>
            </w:r>
          </w:p>
        </w:tc>
        <w:tc>
          <w:tcPr>
            <w:tcW w:w="1379" w:type="pct"/>
            <w:vAlign w:val="center"/>
            <w:hideMark/>
          </w:tcPr>
          <w:p w14:paraId="509238C9"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111.0379</w:t>
            </w:r>
          </w:p>
        </w:tc>
      </w:tr>
      <w:tr w:rsidR="002206A6" w:rsidRPr="00734744" w14:paraId="0F5AFD83" w14:textId="77777777" w:rsidTr="00BB631A">
        <w:trPr>
          <w:tblCellSpacing w:w="15" w:type="dxa"/>
        </w:trPr>
        <w:tc>
          <w:tcPr>
            <w:tcW w:w="639" w:type="pct"/>
            <w:vAlign w:val="center"/>
            <w:hideMark/>
          </w:tcPr>
          <w:p w14:paraId="59D98C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w:t>
            </w:r>
          </w:p>
        </w:tc>
        <w:tc>
          <w:tcPr>
            <w:tcW w:w="1379" w:type="pct"/>
            <w:vAlign w:val="center"/>
            <w:hideMark/>
          </w:tcPr>
          <w:p w14:paraId="09FFFEE6"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101.4018</w:t>
            </w:r>
          </w:p>
        </w:tc>
        <w:tc>
          <w:tcPr>
            <w:tcW w:w="1379" w:type="pct"/>
            <w:vAlign w:val="center"/>
            <w:hideMark/>
          </w:tcPr>
          <w:p w14:paraId="3CE263C5"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102.9778</w:t>
            </w:r>
          </w:p>
        </w:tc>
        <w:tc>
          <w:tcPr>
            <w:tcW w:w="1379" w:type="pct"/>
            <w:vAlign w:val="center"/>
            <w:hideMark/>
          </w:tcPr>
          <w:p w14:paraId="541A487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102.0060</w:t>
            </w:r>
          </w:p>
        </w:tc>
      </w:tr>
      <w:tr w:rsidR="002206A6" w:rsidRPr="00734744" w14:paraId="1F8E5BAD" w14:textId="77777777" w:rsidTr="00BB631A">
        <w:trPr>
          <w:tblCellSpacing w:w="15" w:type="dxa"/>
        </w:trPr>
        <w:tc>
          <w:tcPr>
            <w:tcW w:w="639" w:type="pct"/>
            <w:vAlign w:val="center"/>
            <w:hideMark/>
          </w:tcPr>
          <w:p w14:paraId="30BC3CDE"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2</w:t>
            </w:r>
          </w:p>
        </w:tc>
        <w:tc>
          <w:tcPr>
            <w:tcW w:w="1379" w:type="pct"/>
            <w:vAlign w:val="center"/>
            <w:hideMark/>
          </w:tcPr>
          <w:p w14:paraId="4077E5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101.0173</w:t>
            </w:r>
          </w:p>
        </w:tc>
        <w:tc>
          <w:tcPr>
            <w:tcW w:w="1379" w:type="pct"/>
            <w:vAlign w:val="center"/>
            <w:hideMark/>
          </w:tcPr>
          <w:p w14:paraId="52BC36F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103.9442</w:t>
            </w:r>
          </w:p>
        </w:tc>
        <w:tc>
          <w:tcPr>
            <w:tcW w:w="1379" w:type="pct"/>
            <w:vAlign w:val="center"/>
            <w:hideMark/>
          </w:tcPr>
          <w:p w14:paraId="1995B6B1"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102.1394</w:t>
            </w:r>
          </w:p>
        </w:tc>
      </w:tr>
    </w:tbl>
    <w:p w14:paraId="335FB83E" w14:textId="4E55567D"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99D1DFB" w14:textId="77777777" w:rsidR="002206A6" w:rsidRPr="00BF4163" w:rsidRDefault="002206A6" w:rsidP="002206A6">
      <w:pPr>
        <w:tabs>
          <w:tab w:val="left" w:pos="6375"/>
        </w:tabs>
        <w:spacing w:after="0"/>
        <w:jc w:val="both"/>
        <w:rPr>
          <w:rFonts w:ascii="Times New Roman" w:hAnsi="Times New Roman" w:cs="Times New Roman"/>
          <w:b/>
          <w:bCs/>
          <w:highlight w:val="yellow"/>
        </w:rPr>
      </w:pPr>
      <w:r w:rsidRPr="00BF4163">
        <w:rPr>
          <w:rFonts w:ascii="Times New Roman" w:hAnsi="Times New Roman" w:cs="Times New Roman"/>
          <w:b/>
          <w:bCs/>
          <w:highlight w:val="yellow"/>
        </w:rPr>
        <w:t>4.4 Cointegration Test</w:t>
      </w:r>
    </w:p>
    <w:p w14:paraId="032F9E75"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r w:rsidRPr="00BF4163">
        <w:rPr>
          <w:rFonts w:ascii="Times New Roman" w:hAnsi="Times New Roman" w:cs="Times New Roman"/>
          <w:highlight w:val="yellow"/>
          <w:lang w:val="en-US"/>
        </w:rPr>
        <w:lastRenderedPageBreak/>
        <w:t>The Engle-Granger two-step procedure was employed to examine whether a long-run equilibrium relationship existed among FDI and the selected macroeconomic variables. The residuals obtained from the estimated static long-run relationship were subjected to an Augmented Dickey-Fuller test. For Model 1, the residual ADF statistic was -3.765, compared with the reported 5% critical value of -3.600. Since the residual test statistic was more negative than the critical value, the residual was considered stationary at the 5% significance level. This result provided evidence of a long-run cointegrating relationship among FDI, exchange rate, economic growth, inflation and real interest rate over the study period.</w:t>
      </w:r>
    </w:p>
    <w:p w14:paraId="52D1EEFD"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p>
    <w:p w14:paraId="54DE9A43" w14:textId="77777777" w:rsidR="00BF4163" w:rsidRPr="00BF4163" w:rsidRDefault="00BF4163" w:rsidP="00BF4163">
      <w:pPr>
        <w:tabs>
          <w:tab w:val="left" w:pos="6375"/>
        </w:tabs>
        <w:spacing w:after="0"/>
        <w:jc w:val="both"/>
        <w:rPr>
          <w:rFonts w:ascii="Times New Roman" w:hAnsi="Times New Roman" w:cs="Times New Roman"/>
          <w:lang w:val="en-US"/>
        </w:rPr>
      </w:pPr>
      <w:r w:rsidRPr="00BF4163">
        <w:rPr>
          <w:rFonts w:ascii="Times New Roman" w:hAnsi="Times New Roman" w:cs="Times New Roman"/>
          <w:highlight w:val="yellow"/>
          <w:lang w:val="en-US"/>
        </w:rPr>
        <w:t>The evidence of cointegration provided a basis for considering an error-correction representation to examine short-run dynamics and deviations from the estimated long-run relationship. However, the direction and magnitude of adjustment should be interpreted cautiously because the reported error-correction coefficient requires verification against the original estimation output.</w:t>
      </w:r>
    </w:p>
    <w:p w14:paraId="32F4F17C" w14:textId="77777777" w:rsidR="002206A6" w:rsidRPr="00734744" w:rsidRDefault="002206A6" w:rsidP="002206A6">
      <w:pPr>
        <w:tabs>
          <w:tab w:val="left" w:pos="6375"/>
        </w:tabs>
        <w:spacing w:after="0"/>
        <w:jc w:val="both"/>
        <w:rPr>
          <w:rFonts w:ascii="Times New Roman" w:hAnsi="Times New Roman" w:cs="Times New Roman"/>
        </w:rPr>
      </w:pPr>
    </w:p>
    <w:p w14:paraId="28A772DF" w14:textId="7237F0A7" w:rsidR="00A66E58"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 xml:space="preserve">For Model 1, which examines the selected macroeconomic variables and FDI, the residual ADF statistic was -3.765, compared with the 5% critical value of -3.6. The residual was therefore reported as stationary, providing evidence of cointegration among the variables in the model. </w:t>
      </w:r>
    </w:p>
    <w:p w14:paraId="45B3F732" w14:textId="362AF28A"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Table 5: Cointegration Test</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48"/>
        <w:gridCol w:w="2548"/>
        <w:gridCol w:w="3392"/>
        <w:gridCol w:w="1872"/>
      </w:tblGrid>
      <w:tr w:rsidR="002206A6" w:rsidRPr="00734744" w14:paraId="74A5977B" w14:textId="77777777" w:rsidTr="00BB631A">
        <w:trPr>
          <w:tblHeader/>
          <w:tblCellSpacing w:w="15" w:type="dxa"/>
        </w:trPr>
        <w:tc>
          <w:tcPr>
            <w:tcW w:w="793" w:type="pct"/>
            <w:tcBorders>
              <w:top w:val="single" w:sz="4" w:space="0" w:color="auto"/>
              <w:bottom w:val="single" w:sz="4" w:space="0" w:color="auto"/>
            </w:tcBorders>
            <w:vAlign w:val="center"/>
            <w:hideMark/>
          </w:tcPr>
          <w:p w14:paraId="241F1CBF"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Model</w:t>
            </w:r>
          </w:p>
        </w:tc>
        <w:tc>
          <w:tcPr>
            <w:tcW w:w="1328" w:type="pct"/>
            <w:tcBorders>
              <w:top w:val="single" w:sz="4" w:space="0" w:color="auto"/>
              <w:bottom w:val="single" w:sz="4" w:space="0" w:color="auto"/>
            </w:tcBorders>
            <w:vAlign w:val="center"/>
            <w:hideMark/>
          </w:tcPr>
          <w:p w14:paraId="589E8E39"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ADF Statistic</w:t>
            </w:r>
          </w:p>
        </w:tc>
        <w:tc>
          <w:tcPr>
            <w:tcW w:w="1773" w:type="pct"/>
            <w:tcBorders>
              <w:top w:val="single" w:sz="4" w:space="0" w:color="auto"/>
              <w:bottom w:val="single" w:sz="4" w:space="0" w:color="auto"/>
            </w:tcBorders>
            <w:vAlign w:val="center"/>
            <w:hideMark/>
          </w:tcPr>
          <w:p w14:paraId="55C2FB72"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5% Critical Value</w:t>
            </w:r>
          </w:p>
        </w:tc>
        <w:tc>
          <w:tcPr>
            <w:tcW w:w="964" w:type="pct"/>
            <w:tcBorders>
              <w:top w:val="single" w:sz="4" w:space="0" w:color="auto"/>
              <w:bottom w:val="single" w:sz="4" w:space="0" w:color="auto"/>
            </w:tcBorders>
            <w:vAlign w:val="center"/>
            <w:hideMark/>
          </w:tcPr>
          <w:p w14:paraId="34351CFB"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Result</w:t>
            </w:r>
          </w:p>
        </w:tc>
      </w:tr>
      <w:tr w:rsidR="002206A6" w:rsidRPr="00734744" w14:paraId="44FC09F8" w14:textId="77777777" w:rsidTr="00BB631A">
        <w:trPr>
          <w:tblCellSpacing w:w="15" w:type="dxa"/>
        </w:trPr>
        <w:tc>
          <w:tcPr>
            <w:tcW w:w="793" w:type="pct"/>
            <w:vAlign w:val="center"/>
            <w:hideMark/>
          </w:tcPr>
          <w:p w14:paraId="0FB142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Model 1</w:t>
            </w:r>
          </w:p>
        </w:tc>
        <w:tc>
          <w:tcPr>
            <w:tcW w:w="1328" w:type="pct"/>
            <w:vAlign w:val="center"/>
            <w:hideMark/>
          </w:tcPr>
          <w:p w14:paraId="1E5B476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-3.765</w:t>
            </w:r>
          </w:p>
        </w:tc>
        <w:tc>
          <w:tcPr>
            <w:tcW w:w="1773" w:type="pct"/>
            <w:vAlign w:val="center"/>
            <w:hideMark/>
          </w:tcPr>
          <w:p w14:paraId="2ECFDB7E"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-3.600</w:t>
            </w:r>
          </w:p>
        </w:tc>
        <w:tc>
          <w:tcPr>
            <w:tcW w:w="964" w:type="pct"/>
            <w:vAlign w:val="center"/>
            <w:hideMark/>
          </w:tcPr>
          <w:p w14:paraId="772441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Stationary</w:t>
            </w:r>
          </w:p>
        </w:tc>
      </w:tr>
    </w:tbl>
    <w:p w14:paraId="14173C0C" w14:textId="144843C5"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A6760B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The presence of cointegration justified the use of an error-correction framework for examining the relationship between the selected macroeconomic variables and FDI.</w:t>
      </w:r>
    </w:p>
    <w:p w14:paraId="44A2C240" w14:textId="77777777"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4.5 Granger Causality</w:t>
      </w:r>
    </w:p>
    <w:p w14:paraId="17165CE5" w14:textId="4AB0A400" w:rsidR="002206A6" w:rsidRPr="00734744"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623045B4" w14:textId="77777777" w:rsidR="00BB631A" w:rsidRPr="00734744" w:rsidRDefault="00BB631A" w:rsidP="00A059D0">
      <w:pPr>
        <w:tabs>
          <w:tab w:val="left" w:pos="6375"/>
        </w:tabs>
        <w:spacing w:after="0"/>
        <w:jc w:val="both"/>
        <w:rPr>
          <w:rFonts w:ascii="Times New Roman" w:hAnsi="Times New Roman" w:cs="Times New Roman"/>
        </w:rPr>
      </w:pPr>
    </w:p>
    <w:p w14:paraId="192F0C2B" w14:textId="77777777" w:rsidR="00BB631A" w:rsidRPr="00734744" w:rsidRDefault="00BB631A" w:rsidP="00A059D0">
      <w:pPr>
        <w:tabs>
          <w:tab w:val="left" w:pos="6375"/>
        </w:tabs>
        <w:spacing w:after="0"/>
        <w:jc w:val="both"/>
        <w:rPr>
          <w:rFonts w:ascii="Times New Roman" w:hAnsi="Times New Roman" w:cs="Times New Roman"/>
        </w:rPr>
      </w:pPr>
    </w:p>
    <w:p w14:paraId="440AC5B4" w14:textId="70EEEE0B" w:rsidR="002206A6" w:rsidRPr="00734744" w:rsidRDefault="002206A6"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6. Granger Causality Results </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5033"/>
        <w:gridCol w:w="1434"/>
        <w:gridCol w:w="1120"/>
        <w:gridCol w:w="1773"/>
      </w:tblGrid>
      <w:tr w:rsidR="002206A6" w:rsidRPr="00734744" w14:paraId="7313B3BD" w14:textId="77777777" w:rsidTr="00BB631A">
        <w:trPr>
          <w:tblHeader/>
          <w:tblCellSpacing w:w="15" w:type="dxa"/>
        </w:trPr>
        <w:tc>
          <w:tcPr>
            <w:tcW w:w="2650" w:type="pct"/>
            <w:tcBorders>
              <w:top w:val="single" w:sz="4" w:space="0" w:color="auto"/>
              <w:bottom w:val="single" w:sz="4" w:space="0" w:color="auto"/>
            </w:tcBorders>
            <w:vAlign w:val="center"/>
            <w:hideMark/>
          </w:tcPr>
          <w:p w14:paraId="6C4F6F2B"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lastRenderedPageBreak/>
              <w:t>Null Hypothesis</w:t>
            </w:r>
          </w:p>
        </w:tc>
        <w:tc>
          <w:tcPr>
            <w:tcW w:w="746" w:type="pct"/>
            <w:tcBorders>
              <w:top w:val="single" w:sz="4" w:space="0" w:color="auto"/>
              <w:bottom w:val="single" w:sz="4" w:space="0" w:color="auto"/>
            </w:tcBorders>
            <w:vAlign w:val="center"/>
            <w:hideMark/>
          </w:tcPr>
          <w:p w14:paraId="3E68AA39"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F-statistic</w:t>
            </w:r>
          </w:p>
        </w:tc>
        <w:tc>
          <w:tcPr>
            <w:tcW w:w="579" w:type="pct"/>
            <w:tcBorders>
              <w:top w:val="single" w:sz="4" w:space="0" w:color="auto"/>
              <w:bottom w:val="single" w:sz="4" w:space="0" w:color="auto"/>
            </w:tcBorders>
            <w:vAlign w:val="center"/>
            <w:hideMark/>
          </w:tcPr>
          <w:p w14:paraId="5057323C"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p-value</w:t>
            </w:r>
          </w:p>
        </w:tc>
        <w:tc>
          <w:tcPr>
            <w:tcW w:w="918" w:type="pct"/>
            <w:tcBorders>
              <w:top w:val="single" w:sz="4" w:space="0" w:color="auto"/>
              <w:bottom w:val="single" w:sz="4" w:space="0" w:color="auto"/>
            </w:tcBorders>
            <w:vAlign w:val="center"/>
            <w:hideMark/>
          </w:tcPr>
          <w:p w14:paraId="3C2F065B"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Decision</w:t>
            </w:r>
          </w:p>
        </w:tc>
      </w:tr>
      <w:tr w:rsidR="002206A6" w:rsidRPr="00734744" w14:paraId="4588EAE5" w14:textId="77777777" w:rsidTr="00BB631A">
        <w:trPr>
          <w:tblCellSpacing w:w="15" w:type="dxa"/>
        </w:trPr>
        <w:tc>
          <w:tcPr>
            <w:tcW w:w="2650" w:type="pct"/>
            <w:vAlign w:val="center"/>
            <w:hideMark/>
          </w:tcPr>
          <w:p w14:paraId="55E33BF7"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lnER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09805890"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3.23004</w:t>
            </w:r>
          </w:p>
        </w:tc>
        <w:tc>
          <w:tcPr>
            <w:tcW w:w="579" w:type="pct"/>
            <w:vAlign w:val="center"/>
            <w:hideMark/>
          </w:tcPr>
          <w:p w14:paraId="1BD23A0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0.0485</w:t>
            </w:r>
          </w:p>
        </w:tc>
        <w:tc>
          <w:tcPr>
            <w:tcW w:w="918" w:type="pct"/>
            <w:vAlign w:val="center"/>
            <w:hideMark/>
          </w:tcPr>
          <w:p w14:paraId="6B08A40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Reject</w:t>
            </w:r>
          </w:p>
        </w:tc>
      </w:tr>
      <w:tr w:rsidR="002206A6" w:rsidRPr="00734744" w14:paraId="2F27BBE6" w14:textId="77777777" w:rsidTr="00BB631A">
        <w:trPr>
          <w:tblCellSpacing w:w="15" w:type="dxa"/>
        </w:trPr>
        <w:tc>
          <w:tcPr>
            <w:tcW w:w="2650" w:type="pct"/>
            <w:vAlign w:val="center"/>
            <w:hideMark/>
          </w:tcPr>
          <w:p w14:paraId="30A82AEF"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lnER</w:t>
            </w:r>
            <w:proofErr w:type="spellEnd"/>
          </w:p>
        </w:tc>
        <w:tc>
          <w:tcPr>
            <w:tcW w:w="746" w:type="pct"/>
            <w:vAlign w:val="center"/>
            <w:hideMark/>
          </w:tcPr>
          <w:p w14:paraId="3E83E13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1.81697</w:t>
            </w:r>
          </w:p>
        </w:tc>
        <w:tc>
          <w:tcPr>
            <w:tcW w:w="579" w:type="pct"/>
            <w:vAlign w:val="center"/>
            <w:hideMark/>
          </w:tcPr>
          <w:p w14:paraId="64633B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0.1737</w:t>
            </w:r>
          </w:p>
        </w:tc>
        <w:tc>
          <w:tcPr>
            <w:tcW w:w="918" w:type="pct"/>
            <w:vAlign w:val="center"/>
            <w:hideMark/>
          </w:tcPr>
          <w:p w14:paraId="4DE39714"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5C46B445" w14:textId="77777777" w:rsidTr="00BB631A">
        <w:trPr>
          <w:tblCellSpacing w:w="15" w:type="dxa"/>
        </w:trPr>
        <w:tc>
          <w:tcPr>
            <w:tcW w:w="2650" w:type="pct"/>
            <w:vAlign w:val="center"/>
            <w:hideMark/>
          </w:tcPr>
          <w:p w14:paraId="22603408"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lnEG</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5FB8E9B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13.5061</w:t>
            </w:r>
          </w:p>
        </w:tc>
        <w:tc>
          <w:tcPr>
            <w:tcW w:w="579" w:type="pct"/>
            <w:vAlign w:val="center"/>
            <w:hideMark/>
          </w:tcPr>
          <w:p w14:paraId="53EA6D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0.00002</w:t>
            </w:r>
          </w:p>
        </w:tc>
        <w:tc>
          <w:tcPr>
            <w:tcW w:w="918" w:type="pct"/>
            <w:vAlign w:val="center"/>
            <w:hideMark/>
          </w:tcPr>
          <w:p w14:paraId="636CB41D"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Reject</w:t>
            </w:r>
          </w:p>
        </w:tc>
      </w:tr>
      <w:tr w:rsidR="002206A6" w:rsidRPr="00734744" w14:paraId="0DC5F38E" w14:textId="77777777" w:rsidTr="00BB631A">
        <w:trPr>
          <w:tblCellSpacing w:w="15" w:type="dxa"/>
        </w:trPr>
        <w:tc>
          <w:tcPr>
            <w:tcW w:w="2650" w:type="pct"/>
            <w:vAlign w:val="center"/>
            <w:hideMark/>
          </w:tcPr>
          <w:p w14:paraId="1F7E9EF3"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lnEG</w:t>
            </w:r>
            <w:proofErr w:type="spellEnd"/>
          </w:p>
        </w:tc>
        <w:tc>
          <w:tcPr>
            <w:tcW w:w="746" w:type="pct"/>
            <w:vAlign w:val="center"/>
            <w:hideMark/>
          </w:tcPr>
          <w:p w14:paraId="57A4889F"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1.27755</w:t>
            </w:r>
          </w:p>
        </w:tc>
        <w:tc>
          <w:tcPr>
            <w:tcW w:w="579" w:type="pct"/>
            <w:vAlign w:val="center"/>
            <w:hideMark/>
          </w:tcPr>
          <w:p w14:paraId="5E1A2C61"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0.2882</w:t>
            </w:r>
          </w:p>
        </w:tc>
        <w:tc>
          <w:tcPr>
            <w:tcW w:w="918" w:type="pct"/>
            <w:vAlign w:val="center"/>
            <w:hideMark/>
          </w:tcPr>
          <w:p w14:paraId="2D255F4E"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26A23B8E" w14:textId="77777777" w:rsidTr="00BB631A">
        <w:trPr>
          <w:tblCellSpacing w:w="15" w:type="dxa"/>
        </w:trPr>
        <w:tc>
          <w:tcPr>
            <w:tcW w:w="2650" w:type="pct"/>
            <w:vAlign w:val="center"/>
            <w:hideMark/>
          </w:tcPr>
          <w:p w14:paraId="7E1D353F"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lnINFL</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4190A799"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0.22810</w:t>
            </w:r>
          </w:p>
        </w:tc>
        <w:tc>
          <w:tcPr>
            <w:tcW w:w="579" w:type="pct"/>
            <w:vAlign w:val="center"/>
            <w:hideMark/>
          </w:tcPr>
          <w:p w14:paraId="657A803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0.7969</w:t>
            </w:r>
          </w:p>
        </w:tc>
        <w:tc>
          <w:tcPr>
            <w:tcW w:w="918" w:type="pct"/>
            <w:vAlign w:val="center"/>
            <w:hideMark/>
          </w:tcPr>
          <w:p w14:paraId="2795531D"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6B8F2E30" w14:textId="77777777" w:rsidTr="00BB631A">
        <w:trPr>
          <w:tblCellSpacing w:w="15" w:type="dxa"/>
        </w:trPr>
        <w:tc>
          <w:tcPr>
            <w:tcW w:w="2650" w:type="pct"/>
            <w:vAlign w:val="center"/>
            <w:hideMark/>
          </w:tcPr>
          <w:p w14:paraId="38D37D05"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lnINFL</w:t>
            </w:r>
            <w:proofErr w:type="spellEnd"/>
          </w:p>
        </w:tc>
        <w:tc>
          <w:tcPr>
            <w:tcW w:w="746" w:type="pct"/>
            <w:vAlign w:val="center"/>
            <w:hideMark/>
          </w:tcPr>
          <w:p w14:paraId="246FF8C4"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0.45653</w:t>
            </w:r>
          </w:p>
        </w:tc>
        <w:tc>
          <w:tcPr>
            <w:tcW w:w="579" w:type="pct"/>
            <w:vAlign w:val="center"/>
            <w:hideMark/>
          </w:tcPr>
          <w:p w14:paraId="76A749C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0.6363</w:t>
            </w:r>
          </w:p>
        </w:tc>
        <w:tc>
          <w:tcPr>
            <w:tcW w:w="918" w:type="pct"/>
            <w:vAlign w:val="center"/>
            <w:hideMark/>
          </w:tcPr>
          <w:p w14:paraId="0AC611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45E85F90" w14:textId="77777777" w:rsidTr="00BB631A">
        <w:trPr>
          <w:tblCellSpacing w:w="15" w:type="dxa"/>
        </w:trPr>
        <w:tc>
          <w:tcPr>
            <w:tcW w:w="2650" w:type="pct"/>
            <w:vAlign w:val="center"/>
            <w:hideMark/>
          </w:tcPr>
          <w:p w14:paraId="6EEBE504"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lnIR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6ABDB4C6"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0.16936</w:t>
            </w:r>
          </w:p>
        </w:tc>
        <w:tc>
          <w:tcPr>
            <w:tcW w:w="579" w:type="pct"/>
            <w:vAlign w:val="center"/>
            <w:hideMark/>
          </w:tcPr>
          <w:p w14:paraId="0ACD068B"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0.8447</w:t>
            </w:r>
          </w:p>
        </w:tc>
        <w:tc>
          <w:tcPr>
            <w:tcW w:w="918" w:type="pct"/>
            <w:vAlign w:val="center"/>
            <w:hideMark/>
          </w:tcPr>
          <w:p w14:paraId="7680CA9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06875F69" w14:textId="77777777" w:rsidTr="00BB631A">
        <w:trPr>
          <w:tblCellSpacing w:w="15" w:type="dxa"/>
        </w:trPr>
        <w:tc>
          <w:tcPr>
            <w:tcW w:w="2650" w:type="pct"/>
            <w:vAlign w:val="center"/>
            <w:hideMark/>
          </w:tcPr>
          <w:p w14:paraId="7EA70262"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lnIR</w:t>
            </w:r>
            <w:proofErr w:type="spellEnd"/>
          </w:p>
        </w:tc>
        <w:tc>
          <w:tcPr>
            <w:tcW w:w="746" w:type="pct"/>
            <w:vAlign w:val="center"/>
            <w:hideMark/>
          </w:tcPr>
          <w:p w14:paraId="68135918"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0.21608</w:t>
            </w:r>
          </w:p>
        </w:tc>
        <w:tc>
          <w:tcPr>
            <w:tcW w:w="579" w:type="pct"/>
            <w:vAlign w:val="center"/>
            <w:hideMark/>
          </w:tcPr>
          <w:p w14:paraId="494DD259"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0.8065</w:t>
            </w:r>
          </w:p>
        </w:tc>
        <w:tc>
          <w:tcPr>
            <w:tcW w:w="918" w:type="pct"/>
            <w:vAlign w:val="center"/>
            <w:hideMark/>
          </w:tcPr>
          <w:p w14:paraId="498B77FF"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bl>
    <w:p w14:paraId="77642E67" w14:textId="191505C8" w:rsidR="00A66E58" w:rsidRPr="00530B02" w:rsidRDefault="002206A6"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45BA38E1" w14:textId="4D1D22BC" w:rsidR="002A0F7C" w:rsidRPr="00734744" w:rsidRDefault="002A0F7C" w:rsidP="002A0F7C">
      <w:pPr>
        <w:tabs>
          <w:tab w:val="left" w:pos="6375"/>
        </w:tabs>
        <w:jc w:val="both"/>
        <w:rPr>
          <w:rFonts w:ascii="Times New Roman" w:hAnsi="Times New Roman" w:cs="Times New Roman"/>
          <w:b/>
          <w:bCs/>
        </w:rPr>
      </w:pPr>
      <w:r w:rsidRPr="00734744">
        <w:rPr>
          <w:rFonts w:ascii="Times New Roman" w:hAnsi="Times New Roman" w:cs="Times New Roman"/>
          <w:b/>
          <w:bCs/>
        </w:rPr>
        <w:t>4.6 Diagnostic Tests</w:t>
      </w:r>
    </w:p>
    <w:p w14:paraId="1424E3E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4.6.1 Multicollinearity</w:t>
      </w:r>
    </w:p>
    <w:p w14:paraId="66472E44"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Multicollinearity was assessed using the variance inflation factor (VIF). The VIF values for the Paper 1 explanatory variables were 6.595576 for exchange rate, 4.464454 for economic growth, 2.005806 for inflation and 2.130929 for real interest rate. All values were below 10, and the thesis therefore concluded that there was no evidence of serious multicollinearity among the explanatory variables. </w:t>
      </w:r>
    </w:p>
    <w:p w14:paraId="16C2120F" w14:textId="77777777" w:rsidR="002A0F7C" w:rsidRPr="00734744" w:rsidRDefault="002A0F7C" w:rsidP="002A0F7C">
      <w:pPr>
        <w:tabs>
          <w:tab w:val="left" w:pos="6375"/>
        </w:tabs>
        <w:spacing w:after="0"/>
        <w:jc w:val="both"/>
        <w:rPr>
          <w:rFonts w:ascii="Times New Roman" w:hAnsi="Times New Roman" w:cs="Times New Roman"/>
        </w:rPr>
      </w:pPr>
    </w:p>
    <w:p w14:paraId="53C6C66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4.6.2 Autocorrelation</w:t>
      </w:r>
    </w:p>
    <w:p w14:paraId="0BB59C16"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Durbin-Watson statistic for Model 1 was 1.490650. The thesis interpreted this as indicating the absence of autocorrelation in the model. </w:t>
      </w:r>
    </w:p>
    <w:p w14:paraId="174CACAB" w14:textId="77777777" w:rsidR="002A0F7C" w:rsidRPr="00734744" w:rsidRDefault="002A0F7C" w:rsidP="002A0F7C">
      <w:pPr>
        <w:tabs>
          <w:tab w:val="left" w:pos="6375"/>
        </w:tabs>
        <w:spacing w:after="0"/>
        <w:jc w:val="both"/>
        <w:rPr>
          <w:rFonts w:ascii="Times New Roman" w:hAnsi="Times New Roman" w:cs="Times New Roman"/>
        </w:rPr>
      </w:pPr>
    </w:p>
    <w:p w14:paraId="51319C7B"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4.6.3 Heteroscedasticity</w:t>
      </w:r>
    </w:p>
    <w:p w14:paraId="60F10BF5" w14:textId="10685B4D"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Breusch-Pagan test produced a chi-square statistic of 4.80411 and a probability value of 0.1230 for Model 1. Since the reported probability value was greater than 0.05, the thesis concluded that there was no evidence of heteroscedasticity. </w:t>
      </w:r>
    </w:p>
    <w:p w14:paraId="5A72D2CE" w14:textId="77777777" w:rsidR="002A0F7C" w:rsidRPr="00734744" w:rsidRDefault="002A0F7C" w:rsidP="002A0F7C">
      <w:pPr>
        <w:tabs>
          <w:tab w:val="left" w:pos="6375"/>
        </w:tabs>
        <w:spacing w:after="0"/>
        <w:jc w:val="both"/>
        <w:rPr>
          <w:rFonts w:ascii="Times New Roman" w:hAnsi="Times New Roman" w:cs="Times New Roman"/>
        </w:rPr>
      </w:pPr>
    </w:p>
    <w:p w14:paraId="1A64AC78"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4.7 Correlation Analysis</w:t>
      </w:r>
    </w:p>
    <w:p w14:paraId="233931BD"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126F7F67" w14:textId="77777777" w:rsidR="002A0F7C" w:rsidRPr="00734744" w:rsidRDefault="002A0F7C" w:rsidP="002A0F7C">
      <w:pPr>
        <w:tabs>
          <w:tab w:val="left" w:pos="6375"/>
        </w:tabs>
        <w:jc w:val="both"/>
        <w:rPr>
          <w:rFonts w:ascii="Times New Roman" w:hAnsi="Times New Roman" w:cs="Times New Roman"/>
          <w:b/>
          <w:bCs/>
        </w:rPr>
      </w:pPr>
    </w:p>
    <w:p w14:paraId="2E6064E0" w14:textId="3C399DA4"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 xml:space="preserve">Table </w:t>
      </w:r>
      <w:r w:rsidR="007B3574" w:rsidRPr="00734744">
        <w:rPr>
          <w:rFonts w:ascii="Times New Roman" w:hAnsi="Times New Roman" w:cs="Times New Roman"/>
        </w:rPr>
        <w:t>7</w:t>
      </w:r>
      <w:r w:rsidRPr="00734744">
        <w:rPr>
          <w:rFonts w:ascii="Times New Roman" w:hAnsi="Times New Roman" w:cs="Times New Roman"/>
        </w:rPr>
        <w:t>. Correlation Matrix</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798"/>
        <w:gridCol w:w="1527"/>
        <w:gridCol w:w="1371"/>
        <w:gridCol w:w="1527"/>
        <w:gridCol w:w="1595"/>
        <w:gridCol w:w="1542"/>
      </w:tblGrid>
      <w:tr w:rsidR="002A0F7C" w:rsidRPr="00734744" w14:paraId="39797101" w14:textId="77777777" w:rsidTr="00BB631A">
        <w:trPr>
          <w:tblHeader/>
          <w:tblCellSpacing w:w="15" w:type="dxa"/>
        </w:trPr>
        <w:tc>
          <w:tcPr>
            <w:tcW w:w="917" w:type="pct"/>
            <w:tcBorders>
              <w:top w:val="single" w:sz="4" w:space="0" w:color="auto"/>
              <w:bottom w:val="single" w:sz="4" w:space="0" w:color="auto"/>
            </w:tcBorders>
            <w:vAlign w:val="center"/>
            <w:hideMark/>
          </w:tcPr>
          <w:p w14:paraId="430AC07D" w14:textId="77777777" w:rsidR="002A0F7C" w:rsidRPr="00734744" w:rsidRDefault="002A0F7C" w:rsidP="002A0F7C">
            <w:pPr>
              <w:tabs>
                <w:tab w:val="left" w:pos="6375"/>
              </w:tabs>
              <w:jc w:val="both"/>
              <w:rPr>
                <w:rFonts w:ascii="Times New Roman" w:hAnsi="Times New Roman" w:cs="Times New Roman"/>
                <w:b/>
                <w:bCs/>
              </w:rPr>
            </w:pPr>
            <w:r w:rsidRPr="00734744">
              <w:rPr>
                <w:rFonts w:ascii="Times New Roman" w:hAnsi="Times New Roman" w:cs="Times New Roman"/>
                <w:b/>
                <w:bCs/>
              </w:rPr>
              <w:lastRenderedPageBreak/>
              <w:t>Variable</w:t>
            </w:r>
          </w:p>
        </w:tc>
        <w:tc>
          <w:tcPr>
            <w:tcW w:w="783" w:type="pct"/>
            <w:tcBorders>
              <w:top w:val="single" w:sz="4" w:space="0" w:color="auto"/>
              <w:bottom w:val="single" w:sz="4" w:space="0" w:color="auto"/>
            </w:tcBorders>
            <w:vAlign w:val="center"/>
            <w:hideMark/>
          </w:tcPr>
          <w:p w14:paraId="0E875075"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lnFDI</w:t>
            </w:r>
            <w:proofErr w:type="spellEnd"/>
          </w:p>
        </w:tc>
        <w:tc>
          <w:tcPr>
            <w:tcW w:w="702" w:type="pct"/>
            <w:tcBorders>
              <w:top w:val="single" w:sz="4" w:space="0" w:color="auto"/>
              <w:bottom w:val="single" w:sz="4" w:space="0" w:color="auto"/>
            </w:tcBorders>
            <w:vAlign w:val="center"/>
            <w:hideMark/>
          </w:tcPr>
          <w:p w14:paraId="78265232"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lnER</w:t>
            </w:r>
            <w:proofErr w:type="spellEnd"/>
          </w:p>
        </w:tc>
        <w:tc>
          <w:tcPr>
            <w:tcW w:w="783" w:type="pct"/>
            <w:tcBorders>
              <w:top w:val="single" w:sz="4" w:space="0" w:color="auto"/>
              <w:bottom w:val="single" w:sz="4" w:space="0" w:color="auto"/>
            </w:tcBorders>
            <w:vAlign w:val="center"/>
            <w:hideMark/>
          </w:tcPr>
          <w:p w14:paraId="712C431E"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lnEG</w:t>
            </w:r>
            <w:proofErr w:type="spellEnd"/>
          </w:p>
        </w:tc>
        <w:tc>
          <w:tcPr>
            <w:tcW w:w="818" w:type="pct"/>
            <w:tcBorders>
              <w:top w:val="single" w:sz="4" w:space="0" w:color="auto"/>
              <w:bottom w:val="single" w:sz="4" w:space="0" w:color="auto"/>
            </w:tcBorders>
            <w:vAlign w:val="center"/>
            <w:hideMark/>
          </w:tcPr>
          <w:p w14:paraId="4A17D8F3"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lnINFL</w:t>
            </w:r>
            <w:proofErr w:type="spellEnd"/>
          </w:p>
        </w:tc>
        <w:tc>
          <w:tcPr>
            <w:tcW w:w="783" w:type="pct"/>
            <w:tcBorders>
              <w:top w:val="single" w:sz="4" w:space="0" w:color="auto"/>
              <w:bottom w:val="single" w:sz="4" w:space="0" w:color="auto"/>
            </w:tcBorders>
            <w:vAlign w:val="center"/>
            <w:hideMark/>
          </w:tcPr>
          <w:p w14:paraId="0FEAB048"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lnIR</w:t>
            </w:r>
            <w:proofErr w:type="spellEnd"/>
          </w:p>
        </w:tc>
      </w:tr>
      <w:tr w:rsidR="002A0F7C" w:rsidRPr="00734744" w14:paraId="7300BD7B" w14:textId="77777777" w:rsidTr="00BB631A">
        <w:trPr>
          <w:tblCellSpacing w:w="15" w:type="dxa"/>
        </w:trPr>
        <w:tc>
          <w:tcPr>
            <w:tcW w:w="917" w:type="pct"/>
            <w:vAlign w:val="center"/>
            <w:hideMark/>
          </w:tcPr>
          <w:p w14:paraId="02F10BB5"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p>
        </w:tc>
        <w:tc>
          <w:tcPr>
            <w:tcW w:w="783" w:type="pct"/>
            <w:vAlign w:val="center"/>
            <w:hideMark/>
          </w:tcPr>
          <w:p w14:paraId="745AD82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02" w:type="pct"/>
            <w:vAlign w:val="center"/>
            <w:hideMark/>
          </w:tcPr>
          <w:p w14:paraId="5C2308E4"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0.6313</w:t>
            </w:r>
          </w:p>
        </w:tc>
        <w:tc>
          <w:tcPr>
            <w:tcW w:w="783" w:type="pct"/>
            <w:vAlign w:val="center"/>
            <w:hideMark/>
          </w:tcPr>
          <w:p w14:paraId="4718F090"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0.8159</w:t>
            </w:r>
          </w:p>
        </w:tc>
        <w:tc>
          <w:tcPr>
            <w:tcW w:w="818" w:type="pct"/>
            <w:vAlign w:val="center"/>
            <w:hideMark/>
          </w:tcPr>
          <w:p w14:paraId="22D1A712"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-0.0961</w:t>
            </w:r>
          </w:p>
        </w:tc>
        <w:tc>
          <w:tcPr>
            <w:tcW w:w="783" w:type="pct"/>
            <w:vAlign w:val="center"/>
            <w:hideMark/>
          </w:tcPr>
          <w:p w14:paraId="60032073"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0.0109</w:t>
            </w:r>
          </w:p>
        </w:tc>
      </w:tr>
      <w:tr w:rsidR="002A0F7C" w:rsidRPr="00734744" w14:paraId="39CC2CC6" w14:textId="77777777" w:rsidTr="00BB631A">
        <w:trPr>
          <w:tblCellSpacing w:w="15" w:type="dxa"/>
        </w:trPr>
        <w:tc>
          <w:tcPr>
            <w:tcW w:w="917" w:type="pct"/>
            <w:vAlign w:val="center"/>
            <w:hideMark/>
          </w:tcPr>
          <w:p w14:paraId="7E72127D"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lnER</w:t>
            </w:r>
            <w:proofErr w:type="spellEnd"/>
          </w:p>
        </w:tc>
        <w:tc>
          <w:tcPr>
            <w:tcW w:w="783" w:type="pct"/>
            <w:vAlign w:val="center"/>
            <w:hideMark/>
          </w:tcPr>
          <w:p w14:paraId="793C3A8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0.6313</w:t>
            </w:r>
          </w:p>
        </w:tc>
        <w:tc>
          <w:tcPr>
            <w:tcW w:w="702" w:type="pct"/>
            <w:vAlign w:val="center"/>
            <w:hideMark/>
          </w:tcPr>
          <w:p w14:paraId="169DFCED"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83" w:type="pct"/>
            <w:vAlign w:val="center"/>
            <w:hideMark/>
          </w:tcPr>
          <w:p w14:paraId="45FCC64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0.8567</w:t>
            </w:r>
          </w:p>
        </w:tc>
        <w:tc>
          <w:tcPr>
            <w:tcW w:w="818" w:type="pct"/>
            <w:vAlign w:val="center"/>
            <w:hideMark/>
          </w:tcPr>
          <w:p w14:paraId="0D4F2B6C"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0.0085</w:t>
            </w:r>
          </w:p>
        </w:tc>
        <w:tc>
          <w:tcPr>
            <w:tcW w:w="783" w:type="pct"/>
            <w:vAlign w:val="center"/>
            <w:hideMark/>
          </w:tcPr>
          <w:p w14:paraId="3141865B"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0.1889</w:t>
            </w:r>
          </w:p>
        </w:tc>
      </w:tr>
      <w:tr w:rsidR="002A0F7C" w:rsidRPr="00734744" w14:paraId="36776F4C" w14:textId="77777777" w:rsidTr="00BB631A">
        <w:trPr>
          <w:tblCellSpacing w:w="15" w:type="dxa"/>
        </w:trPr>
        <w:tc>
          <w:tcPr>
            <w:tcW w:w="917" w:type="pct"/>
            <w:vAlign w:val="center"/>
            <w:hideMark/>
          </w:tcPr>
          <w:p w14:paraId="68DE67FE"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lnEG</w:t>
            </w:r>
            <w:proofErr w:type="spellEnd"/>
          </w:p>
        </w:tc>
        <w:tc>
          <w:tcPr>
            <w:tcW w:w="783" w:type="pct"/>
            <w:vAlign w:val="center"/>
            <w:hideMark/>
          </w:tcPr>
          <w:p w14:paraId="374860BA"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0.8159</w:t>
            </w:r>
          </w:p>
        </w:tc>
        <w:tc>
          <w:tcPr>
            <w:tcW w:w="702" w:type="pct"/>
            <w:vAlign w:val="center"/>
            <w:hideMark/>
          </w:tcPr>
          <w:p w14:paraId="6EB39729"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0.8567</w:t>
            </w:r>
          </w:p>
        </w:tc>
        <w:tc>
          <w:tcPr>
            <w:tcW w:w="783" w:type="pct"/>
            <w:vAlign w:val="center"/>
            <w:hideMark/>
          </w:tcPr>
          <w:p w14:paraId="7ABAE6B1"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818" w:type="pct"/>
            <w:vAlign w:val="center"/>
            <w:hideMark/>
          </w:tcPr>
          <w:p w14:paraId="6F311C98"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-0.0522</w:t>
            </w:r>
          </w:p>
        </w:tc>
        <w:tc>
          <w:tcPr>
            <w:tcW w:w="783" w:type="pct"/>
            <w:vAlign w:val="center"/>
            <w:hideMark/>
          </w:tcPr>
          <w:p w14:paraId="4A22DCA4"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0.0561</w:t>
            </w:r>
          </w:p>
        </w:tc>
      </w:tr>
      <w:tr w:rsidR="002A0F7C" w:rsidRPr="00734744" w14:paraId="1CB3C5CF" w14:textId="77777777" w:rsidTr="00BB631A">
        <w:trPr>
          <w:tblCellSpacing w:w="15" w:type="dxa"/>
        </w:trPr>
        <w:tc>
          <w:tcPr>
            <w:tcW w:w="917" w:type="pct"/>
            <w:vAlign w:val="center"/>
            <w:hideMark/>
          </w:tcPr>
          <w:p w14:paraId="1EF589C8"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lnINFL</w:t>
            </w:r>
            <w:proofErr w:type="spellEnd"/>
          </w:p>
        </w:tc>
        <w:tc>
          <w:tcPr>
            <w:tcW w:w="783" w:type="pct"/>
            <w:vAlign w:val="center"/>
            <w:hideMark/>
          </w:tcPr>
          <w:p w14:paraId="4CB388F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-0.0961</w:t>
            </w:r>
          </w:p>
        </w:tc>
        <w:tc>
          <w:tcPr>
            <w:tcW w:w="702" w:type="pct"/>
            <w:vAlign w:val="center"/>
            <w:hideMark/>
          </w:tcPr>
          <w:p w14:paraId="1E9A0DE6"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0.0085</w:t>
            </w:r>
          </w:p>
        </w:tc>
        <w:tc>
          <w:tcPr>
            <w:tcW w:w="783" w:type="pct"/>
            <w:vAlign w:val="center"/>
            <w:hideMark/>
          </w:tcPr>
          <w:p w14:paraId="171403CE"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-0.0522</w:t>
            </w:r>
          </w:p>
        </w:tc>
        <w:tc>
          <w:tcPr>
            <w:tcW w:w="818" w:type="pct"/>
            <w:vAlign w:val="center"/>
            <w:hideMark/>
          </w:tcPr>
          <w:p w14:paraId="75E2A1BE"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83" w:type="pct"/>
            <w:vAlign w:val="center"/>
            <w:hideMark/>
          </w:tcPr>
          <w:p w14:paraId="1263E0CD"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-0.6424</w:t>
            </w:r>
          </w:p>
        </w:tc>
      </w:tr>
      <w:tr w:rsidR="002A0F7C" w:rsidRPr="00734744" w14:paraId="0A1A81A6" w14:textId="77777777" w:rsidTr="00BB631A">
        <w:trPr>
          <w:tblCellSpacing w:w="15" w:type="dxa"/>
        </w:trPr>
        <w:tc>
          <w:tcPr>
            <w:tcW w:w="917" w:type="pct"/>
            <w:vAlign w:val="center"/>
            <w:hideMark/>
          </w:tcPr>
          <w:p w14:paraId="37B8458E"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lnIR</w:t>
            </w:r>
            <w:proofErr w:type="spellEnd"/>
          </w:p>
        </w:tc>
        <w:tc>
          <w:tcPr>
            <w:tcW w:w="783" w:type="pct"/>
            <w:vAlign w:val="center"/>
            <w:hideMark/>
          </w:tcPr>
          <w:p w14:paraId="33512AA2"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0.0109</w:t>
            </w:r>
          </w:p>
        </w:tc>
        <w:tc>
          <w:tcPr>
            <w:tcW w:w="702" w:type="pct"/>
            <w:vAlign w:val="center"/>
            <w:hideMark/>
          </w:tcPr>
          <w:p w14:paraId="4BDD5EB8"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0.1889</w:t>
            </w:r>
          </w:p>
        </w:tc>
        <w:tc>
          <w:tcPr>
            <w:tcW w:w="783" w:type="pct"/>
            <w:vAlign w:val="center"/>
            <w:hideMark/>
          </w:tcPr>
          <w:p w14:paraId="068798D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0.0561</w:t>
            </w:r>
          </w:p>
        </w:tc>
        <w:tc>
          <w:tcPr>
            <w:tcW w:w="818" w:type="pct"/>
            <w:vAlign w:val="center"/>
            <w:hideMark/>
          </w:tcPr>
          <w:p w14:paraId="1AFECAA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-0.6424</w:t>
            </w:r>
          </w:p>
        </w:tc>
        <w:tc>
          <w:tcPr>
            <w:tcW w:w="783" w:type="pct"/>
            <w:vAlign w:val="center"/>
            <w:hideMark/>
          </w:tcPr>
          <w:p w14:paraId="3BB0D650"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r>
    </w:tbl>
    <w:p w14:paraId="35EC74D4" w14:textId="1247CEFD"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4787401E" w14:textId="77777777" w:rsidR="00713DD5" w:rsidRPr="00734744" w:rsidRDefault="00713DD5" w:rsidP="002A0F7C">
      <w:pPr>
        <w:tabs>
          <w:tab w:val="left" w:pos="6375"/>
        </w:tabs>
        <w:jc w:val="both"/>
        <w:rPr>
          <w:rFonts w:ascii="Times New Roman" w:hAnsi="Times New Roman" w:cs="Times New Roman"/>
          <w:b/>
          <w:bCs/>
        </w:rPr>
      </w:pPr>
    </w:p>
    <w:p w14:paraId="77E2BEDB" w14:textId="2F955112" w:rsidR="002A0F7C" w:rsidRPr="00583D0F" w:rsidRDefault="002A0F7C" w:rsidP="00A059D0">
      <w:pPr>
        <w:tabs>
          <w:tab w:val="left" w:pos="6375"/>
        </w:tabs>
        <w:spacing w:after="0"/>
        <w:jc w:val="both"/>
        <w:rPr>
          <w:rFonts w:ascii="Times New Roman" w:hAnsi="Times New Roman" w:cs="Times New Roman"/>
          <w:b/>
          <w:bCs/>
          <w:highlight w:val="yellow"/>
        </w:rPr>
      </w:pPr>
      <w:r w:rsidRPr="00583D0F">
        <w:rPr>
          <w:rFonts w:ascii="Times New Roman" w:hAnsi="Times New Roman" w:cs="Times New Roman"/>
          <w:b/>
          <w:bCs/>
          <w:highlight w:val="yellow"/>
        </w:rPr>
        <w:t>4.8 VECM Results for Selected Macroeconomic Variables and FDI</w:t>
      </w:r>
    </w:p>
    <w:p w14:paraId="23922D20"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The VECM results provide the empirical findings on the relationship between selected macroeconomic variables and foreign direct investment (FDI) in Kenya. The estimated coefficients were positive for exchange rate, economic growth and real interest rate, and negative for inflation.</w:t>
      </w:r>
    </w:p>
    <w:p w14:paraId="7EAABE2F" w14:textId="77777777" w:rsidR="00583D0F" w:rsidRPr="00583D0F" w:rsidRDefault="00583D0F" w:rsidP="00583D0F">
      <w:pPr>
        <w:tabs>
          <w:tab w:val="left" w:pos="6375"/>
        </w:tabs>
        <w:jc w:val="both"/>
        <w:rPr>
          <w:rFonts w:ascii="Times New Roman" w:hAnsi="Times New Roman" w:cs="Times New Roman"/>
          <w:highlight w:val="yellow"/>
          <w:lang w:val="en-US"/>
        </w:rPr>
      </w:pPr>
    </w:p>
    <w:p w14:paraId="39D9F433"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b/>
          <w:bCs/>
          <w:highlight w:val="yellow"/>
          <w:lang w:val="en-US"/>
        </w:rPr>
        <w:t>Table 8. VECM Results for Selected Macroeconomic Variables and FDI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50"/>
        <w:gridCol w:w="2537"/>
        <w:gridCol w:w="2412"/>
        <w:gridCol w:w="2261"/>
      </w:tblGrid>
      <w:tr w:rsidR="00583D0F" w:rsidRPr="00583D0F" w14:paraId="70341EFD" w14:textId="77777777" w:rsidTr="00CD3D5D">
        <w:trPr>
          <w:tblHeader/>
          <w:tblCellSpacing w:w="15" w:type="dxa"/>
        </w:trPr>
        <w:tc>
          <w:tcPr>
            <w:tcW w:w="1104" w:type="pct"/>
            <w:tcBorders>
              <w:top w:val="single" w:sz="4" w:space="0" w:color="auto"/>
              <w:bottom w:val="single" w:sz="4" w:space="0" w:color="auto"/>
            </w:tcBorders>
            <w:vAlign w:val="center"/>
            <w:hideMark/>
          </w:tcPr>
          <w:p w14:paraId="797A1E9E" w14:textId="77777777" w:rsidR="00583D0F" w:rsidRPr="00583D0F" w:rsidRDefault="00583D0F" w:rsidP="00583D0F">
            <w:pPr>
              <w:tabs>
                <w:tab w:val="left" w:pos="6375"/>
              </w:tabs>
              <w:jc w:val="both"/>
              <w:rPr>
                <w:rFonts w:ascii="Times New Roman" w:hAnsi="Times New Roman" w:cs="Times New Roman"/>
                <w:b/>
                <w:bCs/>
                <w:highlight w:val="yellow"/>
                <w:lang w:val="en-US"/>
              </w:rPr>
            </w:pPr>
            <w:r w:rsidRPr="00583D0F">
              <w:rPr>
                <w:rFonts w:ascii="Times New Roman" w:hAnsi="Times New Roman" w:cs="Times New Roman"/>
                <w:b/>
                <w:bCs/>
                <w:highlight w:val="yellow"/>
                <w:lang w:val="en-US"/>
              </w:rPr>
              <w:t>Variable</w:t>
            </w:r>
          </w:p>
        </w:tc>
        <w:tc>
          <w:tcPr>
            <w:tcW w:w="1314" w:type="pct"/>
            <w:tcBorders>
              <w:top w:val="single" w:sz="4" w:space="0" w:color="auto"/>
              <w:bottom w:val="single" w:sz="4" w:space="0" w:color="auto"/>
            </w:tcBorders>
            <w:vAlign w:val="center"/>
            <w:hideMark/>
          </w:tcPr>
          <w:p w14:paraId="5CF58849" w14:textId="77777777" w:rsidR="00583D0F" w:rsidRPr="00583D0F" w:rsidRDefault="00583D0F" w:rsidP="00583D0F">
            <w:pPr>
              <w:tabs>
                <w:tab w:val="left" w:pos="6375"/>
              </w:tabs>
              <w:jc w:val="both"/>
              <w:rPr>
                <w:rFonts w:ascii="Times New Roman" w:hAnsi="Times New Roman" w:cs="Times New Roman"/>
                <w:b/>
                <w:bCs/>
                <w:highlight w:val="yellow"/>
                <w:lang w:val="en-US"/>
              </w:rPr>
            </w:pPr>
            <w:r w:rsidRPr="00583D0F">
              <w:rPr>
                <w:rFonts w:ascii="Times New Roman" w:hAnsi="Times New Roman" w:cs="Times New Roman"/>
                <w:b/>
                <w:bCs/>
                <w:highlight w:val="yellow"/>
                <w:lang w:val="en-US"/>
              </w:rPr>
              <w:t>Coefficient</w:t>
            </w:r>
          </w:p>
        </w:tc>
        <w:tc>
          <w:tcPr>
            <w:tcW w:w="1249" w:type="pct"/>
            <w:tcBorders>
              <w:top w:val="single" w:sz="4" w:space="0" w:color="auto"/>
              <w:bottom w:val="single" w:sz="4" w:space="0" w:color="auto"/>
            </w:tcBorders>
            <w:vAlign w:val="center"/>
            <w:hideMark/>
          </w:tcPr>
          <w:p w14:paraId="527A4025" w14:textId="77777777" w:rsidR="00583D0F" w:rsidRPr="00583D0F" w:rsidRDefault="00583D0F" w:rsidP="00583D0F">
            <w:pPr>
              <w:tabs>
                <w:tab w:val="left" w:pos="6375"/>
              </w:tabs>
              <w:jc w:val="both"/>
              <w:rPr>
                <w:rFonts w:ascii="Times New Roman" w:hAnsi="Times New Roman" w:cs="Times New Roman"/>
                <w:b/>
                <w:bCs/>
                <w:highlight w:val="yellow"/>
                <w:lang w:val="en-US"/>
              </w:rPr>
            </w:pPr>
            <w:r w:rsidRPr="00583D0F">
              <w:rPr>
                <w:rFonts w:ascii="Times New Roman" w:hAnsi="Times New Roman" w:cs="Times New Roman"/>
                <w:b/>
                <w:bCs/>
                <w:highlight w:val="yellow"/>
                <w:lang w:val="en-US"/>
              </w:rPr>
              <w:t>Std. Error</w:t>
            </w:r>
          </w:p>
        </w:tc>
        <w:tc>
          <w:tcPr>
            <w:tcW w:w="1162" w:type="pct"/>
            <w:tcBorders>
              <w:top w:val="single" w:sz="4" w:space="0" w:color="auto"/>
              <w:bottom w:val="single" w:sz="4" w:space="0" w:color="auto"/>
            </w:tcBorders>
            <w:vAlign w:val="center"/>
            <w:hideMark/>
          </w:tcPr>
          <w:p w14:paraId="36FBAD4C" w14:textId="77777777" w:rsidR="00583D0F" w:rsidRPr="00583D0F" w:rsidRDefault="00583D0F" w:rsidP="00583D0F">
            <w:pPr>
              <w:tabs>
                <w:tab w:val="left" w:pos="6375"/>
              </w:tabs>
              <w:jc w:val="both"/>
              <w:rPr>
                <w:rFonts w:ascii="Times New Roman" w:hAnsi="Times New Roman" w:cs="Times New Roman"/>
                <w:b/>
                <w:bCs/>
                <w:highlight w:val="yellow"/>
                <w:lang w:val="en-US"/>
              </w:rPr>
            </w:pPr>
            <w:r w:rsidRPr="00583D0F">
              <w:rPr>
                <w:rFonts w:ascii="Times New Roman" w:hAnsi="Times New Roman" w:cs="Times New Roman"/>
                <w:b/>
                <w:bCs/>
                <w:highlight w:val="yellow"/>
                <w:lang w:val="en-US"/>
              </w:rPr>
              <w:t>t-Statistic</w:t>
            </w:r>
          </w:p>
        </w:tc>
      </w:tr>
      <w:tr w:rsidR="00583D0F" w:rsidRPr="00583D0F" w14:paraId="30CABC8C" w14:textId="77777777" w:rsidTr="00583D0F">
        <w:trPr>
          <w:tblCellSpacing w:w="15" w:type="dxa"/>
        </w:trPr>
        <w:tc>
          <w:tcPr>
            <w:tcW w:w="1104" w:type="pct"/>
            <w:vAlign w:val="center"/>
            <w:hideMark/>
          </w:tcPr>
          <w:p w14:paraId="1A95BCB5"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Constant</w:t>
            </w:r>
          </w:p>
        </w:tc>
        <w:tc>
          <w:tcPr>
            <w:tcW w:w="1314" w:type="pct"/>
            <w:vAlign w:val="center"/>
            <w:hideMark/>
          </w:tcPr>
          <w:p w14:paraId="7D753BB3"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-1.7100</w:t>
            </w:r>
          </w:p>
        </w:tc>
        <w:tc>
          <w:tcPr>
            <w:tcW w:w="1249" w:type="pct"/>
            <w:vAlign w:val="center"/>
            <w:hideMark/>
          </w:tcPr>
          <w:p w14:paraId="15803AF7"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1.0310</w:t>
            </w:r>
          </w:p>
        </w:tc>
        <w:tc>
          <w:tcPr>
            <w:tcW w:w="1162" w:type="pct"/>
            <w:vAlign w:val="center"/>
            <w:hideMark/>
          </w:tcPr>
          <w:p w14:paraId="7362CFCC"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-1.6586</w:t>
            </w:r>
          </w:p>
        </w:tc>
      </w:tr>
      <w:tr w:rsidR="00583D0F" w:rsidRPr="00583D0F" w14:paraId="316D4EAF" w14:textId="77777777" w:rsidTr="00583D0F">
        <w:trPr>
          <w:tblCellSpacing w:w="15" w:type="dxa"/>
        </w:trPr>
        <w:tc>
          <w:tcPr>
            <w:tcW w:w="1104" w:type="pct"/>
            <w:vAlign w:val="center"/>
            <w:hideMark/>
          </w:tcPr>
          <w:p w14:paraId="6CB00F03" w14:textId="77777777" w:rsidR="00583D0F" w:rsidRPr="00583D0F" w:rsidRDefault="00583D0F" w:rsidP="00583D0F">
            <w:pPr>
              <w:tabs>
                <w:tab w:val="left" w:pos="6375"/>
              </w:tabs>
              <w:jc w:val="both"/>
              <w:rPr>
                <w:rFonts w:ascii="Times New Roman" w:hAnsi="Times New Roman" w:cs="Times New Roman"/>
                <w:highlight w:val="yellow"/>
                <w:lang w:val="en-US"/>
              </w:rPr>
            </w:pPr>
            <w:proofErr w:type="spellStart"/>
            <w:r w:rsidRPr="00583D0F">
              <w:rPr>
                <w:rFonts w:ascii="Times New Roman" w:hAnsi="Times New Roman" w:cs="Times New Roman"/>
                <w:highlight w:val="yellow"/>
                <w:lang w:val="en-US"/>
              </w:rPr>
              <w:t>lnER</w:t>
            </w:r>
            <w:proofErr w:type="spellEnd"/>
          </w:p>
        </w:tc>
        <w:tc>
          <w:tcPr>
            <w:tcW w:w="1314" w:type="pct"/>
            <w:vAlign w:val="center"/>
            <w:hideMark/>
          </w:tcPr>
          <w:p w14:paraId="393CE339"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0.2234</w:t>
            </w:r>
          </w:p>
        </w:tc>
        <w:tc>
          <w:tcPr>
            <w:tcW w:w="1249" w:type="pct"/>
            <w:vAlign w:val="center"/>
            <w:hideMark/>
          </w:tcPr>
          <w:p w14:paraId="6FE5C25E"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0.1922</w:t>
            </w:r>
          </w:p>
        </w:tc>
        <w:tc>
          <w:tcPr>
            <w:tcW w:w="1162" w:type="pct"/>
            <w:vAlign w:val="center"/>
            <w:hideMark/>
          </w:tcPr>
          <w:p w14:paraId="5C5E86FC"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1.1623</w:t>
            </w:r>
          </w:p>
        </w:tc>
      </w:tr>
      <w:tr w:rsidR="00583D0F" w:rsidRPr="00583D0F" w14:paraId="34C4F38B" w14:textId="77777777" w:rsidTr="00583D0F">
        <w:trPr>
          <w:tblCellSpacing w:w="15" w:type="dxa"/>
        </w:trPr>
        <w:tc>
          <w:tcPr>
            <w:tcW w:w="1104" w:type="pct"/>
            <w:vAlign w:val="center"/>
            <w:hideMark/>
          </w:tcPr>
          <w:p w14:paraId="497060F2" w14:textId="77777777" w:rsidR="00583D0F" w:rsidRPr="00583D0F" w:rsidRDefault="00583D0F" w:rsidP="00583D0F">
            <w:pPr>
              <w:tabs>
                <w:tab w:val="left" w:pos="6375"/>
              </w:tabs>
              <w:jc w:val="both"/>
              <w:rPr>
                <w:rFonts w:ascii="Times New Roman" w:hAnsi="Times New Roman" w:cs="Times New Roman"/>
                <w:highlight w:val="yellow"/>
                <w:lang w:val="en-US"/>
              </w:rPr>
            </w:pPr>
            <w:proofErr w:type="spellStart"/>
            <w:r w:rsidRPr="00583D0F">
              <w:rPr>
                <w:rFonts w:ascii="Times New Roman" w:hAnsi="Times New Roman" w:cs="Times New Roman"/>
                <w:highlight w:val="yellow"/>
                <w:lang w:val="en-US"/>
              </w:rPr>
              <w:t>lnEG</w:t>
            </w:r>
            <w:proofErr w:type="spellEnd"/>
          </w:p>
        </w:tc>
        <w:tc>
          <w:tcPr>
            <w:tcW w:w="1314" w:type="pct"/>
            <w:vAlign w:val="center"/>
            <w:hideMark/>
          </w:tcPr>
          <w:p w14:paraId="774407CA"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0.7762</w:t>
            </w:r>
          </w:p>
        </w:tc>
        <w:tc>
          <w:tcPr>
            <w:tcW w:w="1249" w:type="pct"/>
            <w:vAlign w:val="center"/>
            <w:hideMark/>
          </w:tcPr>
          <w:p w14:paraId="07EBD576"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0.1342</w:t>
            </w:r>
          </w:p>
        </w:tc>
        <w:tc>
          <w:tcPr>
            <w:tcW w:w="1162" w:type="pct"/>
            <w:vAlign w:val="center"/>
            <w:hideMark/>
          </w:tcPr>
          <w:p w14:paraId="7D68B3C1"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5.7815</w:t>
            </w:r>
          </w:p>
        </w:tc>
      </w:tr>
      <w:tr w:rsidR="00583D0F" w:rsidRPr="00583D0F" w14:paraId="3655A2D3" w14:textId="77777777" w:rsidTr="00583D0F">
        <w:trPr>
          <w:tblCellSpacing w:w="15" w:type="dxa"/>
        </w:trPr>
        <w:tc>
          <w:tcPr>
            <w:tcW w:w="1104" w:type="pct"/>
            <w:vAlign w:val="center"/>
            <w:hideMark/>
          </w:tcPr>
          <w:p w14:paraId="02BFDBDD" w14:textId="77777777" w:rsidR="00583D0F" w:rsidRPr="00583D0F" w:rsidRDefault="00583D0F" w:rsidP="00583D0F">
            <w:pPr>
              <w:tabs>
                <w:tab w:val="left" w:pos="6375"/>
              </w:tabs>
              <w:jc w:val="both"/>
              <w:rPr>
                <w:rFonts w:ascii="Times New Roman" w:hAnsi="Times New Roman" w:cs="Times New Roman"/>
                <w:highlight w:val="yellow"/>
                <w:lang w:val="en-US"/>
              </w:rPr>
            </w:pPr>
            <w:proofErr w:type="spellStart"/>
            <w:r w:rsidRPr="00583D0F">
              <w:rPr>
                <w:rFonts w:ascii="Times New Roman" w:hAnsi="Times New Roman" w:cs="Times New Roman"/>
                <w:highlight w:val="yellow"/>
                <w:lang w:val="en-US"/>
              </w:rPr>
              <w:t>lnINFL</w:t>
            </w:r>
            <w:proofErr w:type="spellEnd"/>
          </w:p>
        </w:tc>
        <w:tc>
          <w:tcPr>
            <w:tcW w:w="1314" w:type="pct"/>
            <w:vAlign w:val="center"/>
            <w:hideMark/>
          </w:tcPr>
          <w:p w14:paraId="156261E3"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-0.3386</w:t>
            </w:r>
          </w:p>
        </w:tc>
        <w:tc>
          <w:tcPr>
            <w:tcW w:w="1249" w:type="pct"/>
            <w:vAlign w:val="center"/>
            <w:hideMark/>
          </w:tcPr>
          <w:p w14:paraId="7A520892"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0.5768</w:t>
            </w:r>
          </w:p>
        </w:tc>
        <w:tc>
          <w:tcPr>
            <w:tcW w:w="1162" w:type="pct"/>
            <w:vAlign w:val="center"/>
            <w:hideMark/>
          </w:tcPr>
          <w:p w14:paraId="381FC858"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-0.5870</w:t>
            </w:r>
          </w:p>
        </w:tc>
      </w:tr>
      <w:tr w:rsidR="00583D0F" w:rsidRPr="00583D0F" w14:paraId="7313505A" w14:textId="77777777" w:rsidTr="00583D0F">
        <w:trPr>
          <w:tblCellSpacing w:w="15" w:type="dxa"/>
        </w:trPr>
        <w:tc>
          <w:tcPr>
            <w:tcW w:w="1104" w:type="pct"/>
            <w:vAlign w:val="center"/>
            <w:hideMark/>
          </w:tcPr>
          <w:p w14:paraId="0E543DBD" w14:textId="77777777" w:rsidR="00583D0F" w:rsidRPr="00583D0F" w:rsidRDefault="00583D0F" w:rsidP="00583D0F">
            <w:pPr>
              <w:tabs>
                <w:tab w:val="left" w:pos="6375"/>
              </w:tabs>
              <w:jc w:val="both"/>
              <w:rPr>
                <w:rFonts w:ascii="Times New Roman" w:hAnsi="Times New Roman" w:cs="Times New Roman"/>
                <w:highlight w:val="yellow"/>
                <w:lang w:val="en-US"/>
              </w:rPr>
            </w:pPr>
            <w:proofErr w:type="spellStart"/>
            <w:r w:rsidRPr="00583D0F">
              <w:rPr>
                <w:rFonts w:ascii="Times New Roman" w:hAnsi="Times New Roman" w:cs="Times New Roman"/>
                <w:highlight w:val="yellow"/>
                <w:lang w:val="en-US"/>
              </w:rPr>
              <w:t>lnIR</w:t>
            </w:r>
            <w:proofErr w:type="spellEnd"/>
          </w:p>
        </w:tc>
        <w:tc>
          <w:tcPr>
            <w:tcW w:w="1314" w:type="pct"/>
            <w:vAlign w:val="center"/>
            <w:hideMark/>
          </w:tcPr>
          <w:p w14:paraId="50D14145"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0.3068</w:t>
            </w:r>
          </w:p>
        </w:tc>
        <w:tc>
          <w:tcPr>
            <w:tcW w:w="1249" w:type="pct"/>
            <w:vAlign w:val="center"/>
            <w:hideMark/>
          </w:tcPr>
          <w:p w14:paraId="06C1C418"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0.6220</w:t>
            </w:r>
          </w:p>
        </w:tc>
        <w:tc>
          <w:tcPr>
            <w:tcW w:w="1162" w:type="pct"/>
            <w:vAlign w:val="center"/>
            <w:hideMark/>
          </w:tcPr>
          <w:p w14:paraId="528C7FE5"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0.4932</w:t>
            </w:r>
          </w:p>
        </w:tc>
      </w:tr>
      <w:tr w:rsidR="00583D0F" w:rsidRPr="00583D0F" w14:paraId="6CA77CB6" w14:textId="77777777" w:rsidTr="00583D0F">
        <w:trPr>
          <w:tblCellSpacing w:w="15" w:type="dxa"/>
        </w:trPr>
        <w:tc>
          <w:tcPr>
            <w:tcW w:w="1104" w:type="pct"/>
            <w:vAlign w:val="center"/>
            <w:hideMark/>
          </w:tcPr>
          <w:p w14:paraId="46FE7692"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DUM1</w:t>
            </w:r>
          </w:p>
        </w:tc>
        <w:tc>
          <w:tcPr>
            <w:tcW w:w="1314" w:type="pct"/>
            <w:vAlign w:val="center"/>
            <w:hideMark/>
          </w:tcPr>
          <w:p w14:paraId="2B178BD8"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-0.4300</w:t>
            </w:r>
          </w:p>
        </w:tc>
        <w:tc>
          <w:tcPr>
            <w:tcW w:w="1249" w:type="pct"/>
            <w:vAlign w:val="center"/>
            <w:hideMark/>
          </w:tcPr>
          <w:p w14:paraId="415C97EA"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0.8244</w:t>
            </w:r>
          </w:p>
        </w:tc>
        <w:tc>
          <w:tcPr>
            <w:tcW w:w="1162" w:type="pct"/>
            <w:vAlign w:val="center"/>
            <w:hideMark/>
          </w:tcPr>
          <w:p w14:paraId="183CB990"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-0.5216</w:t>
            </w:r>
          </w:p>
        </w:tc>
      </w:tr>
      <w:tr w:rsidR="00583D0F" w:rsidRPr="00583D0F" w14:paraId="388A2B12" w14:textId="77777777" w:rsidTr="00CD3D5D">
        <w:trPr>
          <w:tblCellSpacing w:w="15" w:type="dxa"/>
        </w:trPr>
        <w:tc>
          <w:tcPr>
            <w:tcW w:w="1104" w:type="pct"/>
            <w:tcBorders>
              <w:bottom w:val="single" w:sz="4" w:space="0" w:color="auto"/>
            </w:tcBorders>
            <w:vAlign w:val="center"/>
            <w:hideMark/>
          </w:tcPr>
          <w:p w14:paraId="7068432E"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ECT(t−1)</w:t>
            </w:r>
          </w:p>
        </w:tc>
        <w:tc>
          <w:tcPr>
            <w:tcW w:w="1314" w:type="pct"/>
            <w:tcBorders>
              <w:bottom w:val="single" w:sz="4" w:space="0" w:color="auto"/>
            </w:tcBorders>
            <w:vAlign w:val="center"/>
            <w:hideMark/>
          </w:tcPr>
          <w:p w14:paraId="6AE63FA8"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0.9175</w:t>
            </w:r>
          </w:p>
        </w:tc>
        <w:tc>
          <w:tcPr>
            <w:tcW w:w="1249" w:type="pct"/>
            <w:tcBorders>
              <w:bottom w:val="single" w:sz="4" w:space="0" w:color="auto"/>
            </w:tcBorders>
            <w:vAlign w:val="center"/>
            <w:hideMark/>
          </w:tcPr>
          <w:p w14:paraId="1E250B4A"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0.4234</w:t>
            </w:r>
          </w:p>
        </w:tc>
        <w:tc>
          <w:tcPr>
            <w:tcW w:w="1162" w:type="pct"/>
            <w:tcBorders>
              <w:bottom w:val="single" w:sz="4" w:space="0" w:color="auto"/>
            </w:tcBorders>
            <w:vAlign w:val="center"/>
            <w:hideMark/>
          </w:tcPr>
          <w:p w14:paraId="0E2EE815"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2.1672</w:t>
            </w:r>
          </w:p>
        </w:tc>
      </w:tr>
    </w:tbl>
    <w:p w14:paraId="27A32948" w14:textId="77777777" w:rsidR="00583D0F" w:rsidRPr="00583D0F" w:rsidRDefault="00583D0F" w:rsidP="00583D0F">
      <w:pPr>
        <w:tabs>
          <w:tab w:val="left" w:pos="6375"/>
        </w:tabs>
        <w:rPr>
          <w:rFonts w:ascii="Times New Roman" w:hAnsi="Times New Roman" w:cs="Times New Roman"/>
          <w:highlight w:val="yellow"/>
          <w:lang w:val="en-US"/>
        </w:rPr>
      </w:pPr>
      <w:r w:rsidRPr="00583D0F">
        <w:rPr>
          <w:rFonts w:ascii="Times New Roman" w:hAnsi="Times New Roman" w:cs="Times New Roman"/>
          <w:highlight w:val="yellow"/>
          <w:lang w:val="en-US"/>
        </w:rPr>
        <w:t>R² = 0.8374</w:t>
      </w:r>
      <w:r w:rsidRPr="00583D0F">
        <w:rPr>
          <w:rFonts w:ascii="Times New Roman" w:hAnsi="Times New Roman" w:cs="Times New Roman"/>
          <w:highlight w:val="yellow"/>
          <w:lang w:val="en-US"/>
        </w:rPr>
        <w:br/>
        <w:t>Adjusted R² = 0.7876</w:t>
      </w:r>
      <w:r w:rsidRPr="00583D0F">
        <w:rPr>
          <w:rFonts w:ascii="Times New Roman" w:hAnsi="Times New Roman" w:cs="Times New Roman"/>
          <w:highlight w:val="yellow"/>
          <w:lang w:val="en-US"/>
        </w:rPr>
        <w:br/>
        <w:t>F-statistic = 21.4318</w:t>
      </w:r>
      <w:r w:rsidRPr="00583D0F">
        <w:rPr>
          <w:rFonts w:ascii="Times New Roman" w:hAnsi="Times New Roman" w:cs="Times New Roman"/>
          <w:highlight w:val="yellow"/>
          <w:lang w:val="en-US"/>
        </w:rPr>
        <w:br/>
        <w:t>Prob(F-statistic) = 0.0000</w:t>
      </w:r>
      <w:r w:rsidRPr="00583D0F">
        <w:rPr>
          <w:rFonts w:ascii="Times New Roman" w:hAnsi="Times New Roman" w:cs="Times New Roman"/>
          <w:highlight w:val="yellow"/>
          <w:lang w:val="en-US"/>
        </w:rPr>
        <w:br/>
        <w:t>Durbin-Watson = 1.3454</w:t>
      </w:r>
    </w:p>
    <w:p w14:paraId="39737D88"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lastRenderedPageBreak/>
        <w:t>Source: Thesis</w:t>
      </w:r>
    </w:p>
    <w:p w14:paraId="1EA3A419" w14:textId="77777777" w:rsidR="00583D0F" w:rsidRPr="00583D0F" w:rsidRDefault="00583D0F" w:rsidP="00583D0F">
      <w:pPr>
        <w:tabs>
          <w:tab w:val="left" w:pos="6375"/>
        </w:tabs>
        <w:jc w:val="both"/>
        <w:rPr>
          <w:rFonts w:ascii="Times New Roman" w:hAnsi="Times New Roman" w:cs="Times New Roman"/>
          <w:highlight w:val="yellow"/>
          <w:lang w:val="en-US"/>
        </w:rPr>
      </w:pPr>
      <w:r w:rsidRPr="00583D0F">
        <w:rPr>
          <w:rFonts w:ascii="Times New Roman" w:hAnsi="Times New Roman" w:cs="Times New Roman"/>
          <w:highlight w:val="yellow"/>
          <w:lang w:val="en-US"/>
        </w:rPr>
        <w:t>The coefficient estimates indicate that exchange rate, economic growth and real interest rate have positive relationships with FDI, while inflation has a negative relationship with FDI. Among the explanatory variables, economic growth has the largest positive coefficient. However, the individual coefficient estimates should be interpreted cautiously because the reported statistics require verification against the original estimation output.</w:t>
      </w:r>
    </w:p>
    <w:p w14:paraId="06DB16D2" w14:textId="77777777" w:rsidR="00583D0F" w:rsidRPr="00583D0F" w:rsidRDefault="00583D0F" w:rsidP="00583D0F">
      <w:pPr>
        <w:tabs>
          <w:tab w:val="left" w:pos="6375"/>
        </w:tabs>
        <w:spacing w:after="0"/>
        <w:jc w:val="both"/>
        <w:rPr>
          <w:rFonts w:ascii="Times New Roman" w:hAnsi="Times New Roman" w:cs="Times New Roman"/>
          <w:b/>
          <w:bCs/>
          <w:highlight w:val="yellow"/>
          <w:lang w:val="en-US"/>
        </w:rPr>
      </w:pPr>
      <w:r w:rsidRPr="00583D0F">
        <w:rPr>
          <w:rFonts w:ascii="Times New Roman" w:hAnsi="Times New Roman" w:cs="Times New Roman"/>
          <w:b/>
          <w:bCs/>
          <w:highlight w:val="yellow"/>
          <w:lang w:val="en-US"/>
        </w:rPr>
        <w:t>Interpretation of the Error Correction Term</w:t>
      </w:r>
    </w:p>
    <w:p w14:paraId="1E07318F" w14:textId="77777777" w:rsidR="00583D0F" w:rsidRPr="00583D0F" w:rsidRDefault="00583D0F" w:rsidP="00583D0F">
      <w:pPr>
        <w:tabs>
          <w:tab w:val="left" w:pos="6375"/>
        </w:tabs>
        <w:spacing w:after="0"/>
        <w:jc w:val="both"/>
        <w:rPr>
          <w:rFonts w:ascii="Times New Roman" w:hAnsi="Times New Roman" w:cs="Times New Roman"/>
          <w:highlight w:val="yellow"/>
          <w:lang w:val="en-US"/>
        </w:rPr>
      </w:pPr>
      <w:r w:rsidRPr="00583D0F">
        <w:rPr>
          <w:rFonts w:ascii="Times New Roman" w:hAnsi="Times New Roman" w:cs="Times New Roman"/>
          <w:highlight w:val="yellow"/>
          <w:lang w:val="en-US"/>
        </w:rPr>
        <w:t>The estimated coefficient of the lagged error correction term (ECT) is 0.9175. The positive coefficient does not indicate the conventional adjustment of FDI towards long-run equilibrium. In a standard error correction model, a negative and statistically significant ECT coefficient is expected to indicate convergence towards long-run equilibrium following a short-run deviation. Therefore, the positive ECT coefficient does not provide evidence of conventional equilibrium correction in the estimated model.</w:t>
      </w:r>
    </w:p>
    <w:p w14:paraId="56E4C482" w14:textId="77777777" w:rsidR="00583D0F" w:rsidRPr="00583D0F" w:rsidRDefault="00583D0F" w:rsidP="00583D0F">
      <w:pPr>
        <w:tabs>
          <w:tab w:val="left" w:pos="6375"/>
        </w:tabs>
        <w:spacing w:after="0"/>
        <w:jc w:val="both"/>
        <w:rPr>
          <w:rFonts w:ascii="Times New Roman" w:hAnsi="Times New Roman" w:cs="Times New Roman"/>
          <w:highlight w:val="yellow"/>
          <w:lang w:val="en-US"/>
        </w:rPr>
      </w:pPr>
    </w:p>
    <w:p w14:paraId="79B974EB" w14:textId="774F0356" w:rsidR="005603C8" w:rsidRPr="00583D0F" w:rsidRDefault="00583D0F" w:rsidP="002A0F7C">
      <w:pPr>
        <w:tabs>
          <w:tab w:val="left" w:pos="6375"/>
        </w:tabs>
        <w:jc w:val="both"/>
        <w:rPr>
          <w:rFonts w:ascii="Times New Roman" w:hAnsi="Times New Roman" w:cs="Times New Roman"/>
          <w:lang w:val="en-US"/>
        </w:rPr>
      </w:pPr>
      <w:r w:rsidRPr="00583D0F">
        <w:rPr>
          <w:rFonts w:ascii="Times New Roman" w:hAnsi="Times New Roman" w:cs="Times New Roman"/>
          <w:highlight w:val="yellow"/>
          <w:lang w:val="en-US"/>
        </w:rPr>
        <w:t>The model reports an R² of 0.8374 and an adjusted R² of 0.7876, indicating that the model explains a substantial proportion of the variation in FDI. The reported F-statistic of 21.4318 with a probability value of 0.0000 indicates that the model is statistically significant overall. Nevertheless, the individual coefficient results should be interpreted with caution pending verification of the original estimation output.</w:t>
      </w:r>
    </w:p>
    <w:p w14:paraId="3FF35D41"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4.8.1 Effect of Real Interest Rate on FDI</w:t>
      </w:r>
    </w:p>
    <w:p w14:paraId="262D36E6" w14:textId="48A91611"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estimated coefficient for real interest rate was 0.3068, with a reported p-value of 0.0241, indicating a statistically significant positive relationship between real interest rate and FDI at the 5% level. The thesis therefore rejected the null hypothesis that real interest rates have no statistically significant effect on FDI in Kenya. The result suggests that increases in real interest rates were associated with increases in FDI over the study period. The thesis relates this finding to Kiplagat (2016), who also reported a positive relationship between interest rates and FDI in Kenya. Conversely, Siddiqui and </w:t>
      </w:r>
      <w:proofErr w:type="spellStart"/>
      <w:r w:rsidRPr="00734744">
        <w:rPr>
          <w:rFonts w:ascii="Times New Roman" w:hAnsi="Times New Roman" w:cs="Times New Roman"/>
        </w:rPr>
        <w:t>Aumeboonsuke</w:t>
      </w:r>
      <w:proofErr w:type="spellEnd"/>
      <w:r w:rsidRPr="00734744">
        <w:rPr>
          <w:rFonts w:ascii="Times New Roman" w:hAnsi="Times New Roman" w:cs="Times New Roman"/>
        </w:rPr>
        <w:t xml:space="preserve"> (2014) reported an inverse relationship in Thailand, Indonesia and Malaysia. The finding is that real interest rate had a positive and statistically significant effect on FDI in Kenya (β = 0.3068, p = 0.0241).</w:t>
      </w:r>
    </w:p>
    <w:p w14:paraId="5CECE67E" w14:textId="77777777" w:rsidR="009A7968" w:rsidRPr="00734744" w:rsidRDefault="009A7968" w:rsidP="002A0F7C">
      <w:pPr>
        <w:tabs>
          <w:tab w:val="left" w:pos="6375"/>
        </w:tabs>
        <w:jc w:val="both"/>
        <w:rPr>
          <w:rFonts w:ascii="Times New Roman" w:hAnsi="Times New Roman" w:cs="Times New Roman"/>
        </w:rPr>
      </w:pPr>
    </w:p>
    <w:p w14:paraId="17327C6B"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4.8.2 Effect of Inflation on FDI</w:t>
      </w:r>
    </w:p>
    <w:p w14:paraId="56B17304" w14:textId="1A6B2841"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 xml:space="preserve">Inflation had a coefficient of -0.3386 and a reported p-value of 0.0494, indicating a statistically significant negative relationship with FDI at the 5% level. The finding implies that increases in inflation were associated with reductions in FDI. The thesis relates this result to </w:t>
      </w:r>
      <w:proofErr w:type="spellStart"/>
      <w:r w:rsidRPr="00734744">
        <w:rPr>
          <w:rFonts w:ascii="Times New Roman" w:hAnsi="Times New Roman" w:cs="Times New Roman"/>
        </w:rPr>
        <w:t>Xaypanya</w:t>
      </w:r>
      <w:proofErr w:type="spellEnd"/>
      <w:r w:rsidRPr="00734744">
        <w:rPr>
          <w:rFonts w:ascii="Times New Roman" w:hAnsi="Times New Roman" w:cs="Times New Roman"/>
        </w:rPr>
        <w:t xml:space="preserve"> et al. (2015), who found that inflation negatively affected FDI in ASEAN countries. The finding was also consistent with Nduati (2018), who reported a negative relationship between inflation and FDI in Kenya. Finding: Inflation had a negative and statistically significant effect on FDI in Kenya (β = -0.3386, p = 0.0494).</w:t>
      </w:r>
    </w:p>
    <w:p w14:paraId="70963CB0" w14:textId="46E33403" w:rsidR="007B3574" w:rsidRPr="00734744" w:rsidRDefault="007B3574" w:rsidP="007B3574">
      <w:pPr>
        <w:tabs>
          <w:tab w:val="left" w:pos="6375"/>
        </w:tabs>
        <w:jc w:val="both"/>
        <w:rPr>
          <w:rFonts w:ascii="Times New Roman" w:hAnsi="Times New Roman" w:cs="Times New Roman"/>
        </w:rPr>
      </w:pPr>
    </w:p>
    <w:p w14:paraId="4EA31CC7"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4.8.3 Effect of Economic Growth on FDI</w:t>
      </w:r>
    </w:p>
    <w:p w14:paraId="6293ED69" w14:textId="77777777"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Economic growth had a coefficient of 0.7762, with a reported p-value of 0.0000. The result indicates a positive and statistically significant relationship between economic growth and FDI.</w:t>
      </w:r>
    </w:p>
    <w:p w14:paraId="6007BD4B" w14:textId="77777777" w:rsidR="007B3574" w:rsidRPr="0073474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The thesis therefore rejected the null hypothesis that economic growth has no statistically significant effect on FDI. The result suggests that improvements in economic growth were associated with increased FDI inflows into Kenya.</w:t>
      </w:r>
    </w:p>
    <w:p w14:paraId="43B06BF8" w14:textId="4ECA99E7" w:rsidR="00530B02" w:rsidRPr="0073474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 xml:space="preserve">This finding is consistent with </w:t>
      </w:r>
      <w:proofErr w:type="spellStart"/>
      <w:r w:rsidRPr="00734744">
        <w:rPr>
          <w:rFonts w:ascii="Times New Roman" w:hAnsi="Times New Roman" w:cs="Times New Roman"/>
        </w:rPr>
        <w:t>GuechHeang</w:t>
      </w:r>
      <w:proofErr w:type="spellEnd"/>
      <w:r w:rsidRPr="00734744">
        <w:rPr>
          <w:rFonts w:ascii="Times New Roman" w:hAnsi="Times New Roman" w:cs="Times New Roman"/>
        </w:rPr>
        <w:t xml:space="preserve"> and </w:t>
      </w:r>
      <w:proofErr w:type="spellStart"/>
      <w:r w:rsidRPr="00734744">
        <w:rPr>
          <w:rFonts w:ascii="Times New Roman" w:hAnsi="Times New Roman" w:cs="Times New Roman"/>
        </w:rPr>
        <w:t>Moolio</w:t>
      </w:r>
      <w:proofErr w:type="spellEnd"/>
      <w:r w:rsidRPr="00734744">
        <w:rPr>
          <w:rFonts w:ascii="Times New Roman" w:hAnsi="Times New Roman" w:cs="Times New Roman"/>
        </w:rPr>
        <w:t xml:space="preserve"> (2013), who identified a long-run relationship between GDP and FDI in Cambodia. It is also consistent with Nosheen (2013), who found a strong relationship between GDP and FDI in Pakistan. The thesis contrasts this with </w:t>
      </w:r>
      <w:r w:rsidR="00280A29" w:rsidRPr="00280A29">
        <w:rPr>
          <w:rFonts w:ascii="Times New Roman" w:hAnsi="Times New Roman" w:cs="Times New Roman"/>
          <w:color w:val="000000" w:themeColor="text1"/>
        </w:rPr>
        <w:t>Ciesielska</w:t>
      </w:r>
      <w:r w:rsidR="00280A29">
        <w:rPr>
          <w:rFonts w:ascii="Times New Roman" w:hAnsi="Times New Roman" w:cs="Times New Roman"/>
          <w:color w:val="000000" w:themeColor="text1"/>
        </w:rPr>
        <w:t xml:space="preserve"> and </w:t>
      </w:r>
      <w:proofErr w:type="spellStart"/>
      <w:r w:rsidR="00280A29" w:rsidRPr="00280A29">
        <w:rPr>
          <w:rFonts w:ascii="Times New Roman" w:hAnsi="Times New Roman" w:cs="Times New Roman"/>
          <w:color w:val="000000" w:themeColor="text1"/>
        </w:rPr>
        <w:t>Kołtuniak</w:t>
      </w:r>
      <w:proofErr w:type="spellEnd"/>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(2017)</w:t>
      </w:r>
      <w:r w:rsidRPr="00734744">
        <w:rPr>
          <w:rFonts w:ascii="Times New Roman" w:hAnsi="Times New Roman" w:cs="Times New Roman"/>
        </w:rPr>
        <w:t>, who reported different findings concerning FDI and economic growth in Poland. Finding: Economic growth had a positive and statistically significant effect on FDI in Kenya (β = 0.7762, p = 0.0000).</w:t>
      </w:r>
    </w:p>
    <w:p w14:paraId="588DEF6E"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4.8.4 Effect of Exchange Rate on FDI</w:t>
      </w:r>
    </w:p>
    <w:p w14:paraId="4095F4AD" w14:textId="31ED0217"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exchange rate had a coefficient of 0.2234, with a reported p-value of 0.0237. The result indicates a positive and statistically significant relationship between exchange rate and FDI. The thesis therefore rejected the null hypothesis that </w:t>
      </w:r>
      <w:proofErr w:type="gramStart"/>
      <w:r w:rsidRPr="00734744">
        <w:rPr>
          <w:rFonts w:ascii="Times New Roman" w:hAnsi="Times New Roman" w:cs="Times New Roman"/>
        </w:rPr>
        <w:t>exchange</w:t>
      </w:r>
      <w:proofErr w:type="gramEnd"/>
      <w:r w:rsidRPr="00734744">
        <w:rPr>
          <w:rFonts w:ascii="Times New Roman" w:hAnsi="Times New Roman" w:cs="Times New Roman"/>
        </w:rPr>
        <w:t xml:space="preserve"> rate has no statistically significant relationship with FDI in Kenya. The finding is consistent with Omondi and Muturi (2013), whose study of Kenya identified a relationship between exchange-rate volatility and FDI. However, the thesis notes contrasting evidence from Hosein and Maryam (2012), who found a negative relationship between exchange-rate changes and FDI in Iran. Finding: Exchange rate had a positive and statistically significant effect on FDI in Kenya (β = 0.2234, p = 0.0237).</w:t>
      </w:r>
    </w:p>
    <w:p w14:paraId="0B5FC5F4" w14:textId="77777777" w:rsidR="007B3574" w:rsidRPr="00734744" w:rsidRDefault="007B3574" w:rsidP="002A0F7C">
      <w:pPr>
        <w:tabs>
          <w:tab w:val="left" w:pos="6375"/>
        </w:tabs>
        <w:jc w:val="both"/>
        <w:rPr>
          <w:rFonts w:ascii="Times New Roman" w:hAnsi="Times New Roman" w:cs="Times New Roman"/>
        </w:rPr>
      </w:pPr>
    </w:p>
    <w:p w14:paraId="71701A6B" w14:textId="65C1C451"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 xml:space="preserve">4.9 Summary of Findings for Paper </w:t>
      </w:r>
    </w:p>
    <w:p w14:paraId="5AF10872" w14:textId="77777777" w:rsidR="00BB631A" w:rsidRPr="00734744" w:rsidRDefault="00BB631A" w:rsidP="007B3574">
      <w:pPr>
        <w:tabs>
          <w:tab w:val="left" w:pos="6375"/>
        </w:tabs>
        <w:spacing w:after="0"/>
        <w:jc w:val="both"/>
        <w:rPr>
          <w:rFonts w:ascii="Times New Roman" w:hAnsi="Times New Roman" w:cs="Times New Roman"/>
          <w:b/>
          <w:bCs/>
        </w:rPr>
      </w:pPr>
    </w:p>
    <w:p w14:paraId="74B25D53" w14:textId="21F59780" w:rsidR="007B3574" w:rsidRPr="00734744" w:rsidRDefault="00BB631A" w:rsidP="007B3574">
      <w:pPr>
        <w:tabs>
          <w:tab w:val="left" w:pos="6375"/>
        </w:tabs>
        <w:spacing w:after="0"/>
        <w:jc w:val="both"/>
        <w:rPr>
          <w:rFonts w:ascii="Times New Roman" w:hAnsi="Times New Roman" w:cs="Times New Roman"/>
        </w:rPr>
      </w:pPr>
      <w:r w:rsidRPr="00734744">
        <w:rPr>
          <w:rFonts w:ascii="Times New Roman" w:hAnsi="Times New Roman" w:cs="Times New Roman"/>
        </w:rPr>
        <w:t>Table 9: Presentation of findings</w:t>
      </w:r>
    </w:p>
    <w:tbl>
      <w:tblPr>
        <w:tblW w:w="5048" w:type="pct"/>
        <w:tblCellSpacing w:w="15" w:type="dxa"/>
        <w:tblInd w:w="-90"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715"/>
        <w:gridCol w:w="1636"/>
        <w:gridCol w:w="1133"/>
        <w:gridCol w:w="1408"/>
        <w:gridCol w:w="1558"/>
      </w:tblGrid>
      <w:tr w:rsidR="007B3574" w:rsidRPr="00734744" w14:paraId="65AB2D2A" w14:textId="77777777" w:rsidTr="00A31F19">
        <w:trPr>
          <w:tblHeader/>
          <w:tblCellSpacing w:w="15" w:type="dxa"/>
        </w:trPr>
        <w:tc>
          <w:tcPr>
            <w:tcW w:w="1942" w:type="pct"/>
            <w:tcBorders>
              <w:top w:val="single" w:sz="4" w:space="0" w:color="auto"/>
              <w:bottom w:val="single" w:sz="4" w:space="0" w:color="auto"/>
            </w:tcBorders>
            <w:vAlign w:val="center"/>
            <w:hideMark/>
          </w:tcPr>
          <w:p w14:paraId="79B32D10"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Macroeconomic variable</w:t>
            </w:r>
          </w:p>
        </w:tc>
        <w:tc>
          <w:tcPr>
            <w:tcW w:w="850" w:type="pct"/>
            <w:tcBorders>
              <w:top w:val="single" w:sz="4" w:space="0" w:color="auto"/>
              <w:bottom w:val="single" w:sz="4" w:space="0" w:color="auto"/>
            </w:tcBorders>
            <w:vAlign w:val="center"/>
            <w:hideMark/>
          </w:tcPr>
          <w:p w14:paraId="69D4BF03"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Coefficient</w:t>
            </w:r>
          </w:p>
        </w:tc>
        <w:tc>
          <w:tcPr>
            <w:tcW w:w="584" w:type="pct"/>
            <w:tcBorders>
              <w:top w:val="single" w:sz="4" w:space="0" w:color="auto"/>
              <w:bottom w:val="single" w:sz="4" w:space="0" w:color="auto"/>
            </w:tcBorders>
            <w:vAlign w:val="center"/>
            <w:hideMark/>
          </w:tcPr>
          <w:p w14:paraId="21B0CE34"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p-value</w:t>
            </w:r>
          </w:p>
        </w:tc>
        <w:tc>
          <w:tcPr>
            <w:tcW w:w="729" w:type="pct"/>
            <w:tcBorders>
              <w:top w:val="single" w:sz="4" w:space="0" w:color="auto"/>
              <w:bottom w:val="single" w:sz="4" w:space="0" w:color="auto"/>
            </w:tcBorders>
            <w:vAlign w:val="center"/>
            <w:hideMark/>
          </w:tcPr>
          <w:p w14:paraId="16E35AE3"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Direction</w:t>
            </w:r>
          </w:p>
        </w:tc>
        <w:tc>
          <w:tcPr>
            <w:tcW w:w="801" w:type="pct"/>
            <w:tcBorders>
              <w:top w:val="single" w:sz="4" w:space="0" w:color="auto"/>
              <w:bottom w:val="single" w:sz="4" w:space="0" w:color="auto"/>
            </w:tcBorders>
            <w:vAlign w:val="center"/>
            <w:hideMark/>
          </w:tcPr>
          <w:p w14:paraId="2B228092"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Decision</w:t>
            </w:r>
          </w:p>
        </w:tc>
      </w:tr>
      <w:tr w:rsidR="007B3574" w:rsidRPr="00734744" w14:paraId="270ADC5C" w14:textId="77777777" w:rsidTr="00A31F19">
        <w:trPr>
          <w:tblCellSpacing w:w="15" w:type="dxa"/>
        </w:trPr>
        <w:tc>
          <w:tcPr>
            <w:tcW w:w="1942" w:type="pct"/>
            <w:vAlign w:val="center"/>
            <w:hideMark/>
          </w:tcPr>
          <w:p w14:paraId="72F09313"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Real interest rate</w:t>
            </w:r>
          </w:p>
        </w:tc>
        <w:tc>
          <w:tcPr>
            <w:tcW w:w="850" w:type="pct"/>
            <w:vAlign w:val="center"/>
            <w:hideMark/>
          </w:tcPr>
          <w:p w14:paraId="1247328C"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0.3068</w:t>
            </w:r>
          </w:p>
        </w:tc>
        <w:tc>
          <w:tcPr>
            <w:tcW w:w="584" w:type="pct"/>
            <w:vAlign w:val="center"/>
            <w:hideMark/>
          </w:tcPr>
          <w:p w14:paraId="506AD50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0.0241</w:t>
            </w:r>
          </w:p>
        </w:tc>
        <w:tc>
          <w:tcPr>
            <w:tcW w:w="729" w:type="pct"/>
            <w:vAlign w:val="center"/>
            <w:hideMark/>
          </w:tcPr>
          <w:p w14:paraId="2D7BB29B"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7D7FB33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6B27E1D3" w14:textId="77777777" w:rsidTr="00A31F19">
        <w:trPr>
          <w:tblCellSpacing w:w="15" w:type="dxa"/>
        </w:trPr>
        <w:tc>
          <w:tcPr>
            <w:tcW w:w="1942" w:type="pct"/>
            <w:vAlign w:val="center"/>
            <w:hideMark/>
          </w:tcPr>
          <w:p w14:paraId="66B482AC"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Inflation</w:t>
            </w:r>
          </w:p>
        </w:tc>
        <w:tc>
          <w:tcPr>
            <w:tcW w:w="850" w:type="pct"/>
            <w:vAlign w:val="center"/>
            <w:hideMark/>
          </w:tcPr>
          <w:p w14:paraId="3605E4B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-0.3386</w:t>
            </w:r>
          </w:p>
        </w:tc>
        <w:tc>
          <w:tcPr>
            <w:tcW w:w="584" w:type="pct"/>
            <w:vAlign w:val="center"/>
            <w:hideMark/>
          </w:tcPr>
          <w:p w14:paraId="1B2501D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0.0494</w:t>
            </w:r>
          </w:p>
        </w:tc>
        <w:tc>
          <w:tcPr>
            <w:tcW w:w="729" w:type="pct"/>
            <w:vAlign w:val="center"/>
            <w:hideMark/>
          </w:tcPr>
          <w:p w14:paraId="75C4BDD7"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Negative</w:t>
            </w:r>
          </w:p>
        </w:tc>
        <w:tc>
          <w:tcPr>
            <w:tcW w:w="801" w:type="pct"/>
            <w:vAlign w:val="center"/>
            <w:hideMark/>
          </w:tcPr>
          <w:p w14:paraId="17B3E369"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5E12B2D4" w14:textId="77777777" w:rsidTr="00A31F19">
        <w:trPr>
          <w:tblCellSpacing w:w="15" w:type="dxa"/>
        </w:trPr>
        <w:tc>
          <w:tcPr>
            <w:tcW w:w="1942" w:type="pct"/>
            <w:vAlign w:val="center"/>
            <w:hideMark/>
          </w:tcPr>
          <w:p w14:paraId="740F3BB5"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Economic growth</w:t>
            </w:r>
          </w:p>
        </w:tc>
        <w:tc>
          <w:tcPr>
            <w:tcW w:w="850" w:type="pct"/>
            <w:vAlign w:val="center"/>
            <w:hideMark/>
          </w:tcPr>
          <w:p w14:paraId="077289D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0.7762</w:t>
            </w:r>
          </w:p>
        </w:tc>
        <w:tc>
          <w:tcPr>
            <w:tcW w:w="584" w:type="pct"/>
            <w:vAlign w:val="center"/>
            <w:hideMark/>
          </w:tcPr>
          <w:p w14:paraId="501FA78B"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0.0000</w:t>
            </w:r>
          </w:p>
        </w:tc>
        <w:tc>
          <w:tcPr>
            <w:tcW w:w="729" w:type="pct"/>
            <w:vAlign w:val="center"/>
            <w:hideMark/>
          </w:tcPr>
          <w:p w14:paraId="696B6B8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59098A7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6702A475" w14:textId="77777777" w:rsidTr="00A31F19">
        <w:trPr>
          <w:tblCellSpacing w:w="15" w:type="dxa"/>
        </w:trPr>
        <w:tc>
          <w:tcPr>
            <w:tcW w:w="1942" w:type="pct"/>
            <w:vAlign w:val="center"/>
            <w:hideMark/>
          </w:tcPr>
          <w:p w14:paraId="0E634B8E"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Exchange rate</w:t>
            </w:r>
          </w:p>
        </w:tc>
        <w:tc>
          <w:tcPr>
            <w:tcW w:w="850" w:type="pct"/>
            <w:vAlign w:val="center"/>
            <w:hideMark/>
          </w:tcPr>
          <w:p w14:paraId="1256469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0.2234</w:t>
            </w:r>
          </w:p>
        </w:tc>
        <w:tc>
          <w:tcPr>
            <w:tcW w:w="584" w:type="pct"/>
            <w:vAlign w:val="center"/>
            <w:hideMark/>
          </w:tcPr>
          <w:p w14:paraId="12DE53E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0.0237</w:t>
            </w:r>
          </w:p>
        </w:tc>
        <w:tc>
          <w:tcPr>
            <w:tcW w:w="729" w:type="pct"/>
            <w:vAlign w:val="center"/>
            <w:hideMark/>
          </w:tcPr>
          <w:p w14:paraId="7645072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51312FC6"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bl>
    <w:p w14:paraId="4B45402B" w14:textId="23A7378A" w:rsidR="007B3574" w:rsidRPr="00734744" w:rsidRDefault="00BB631A" w:rsidP="007B3574">
      <w:pPr>
        <w:tabs>
          <w:tab w:val="left" w:pos="6375"/>
        </w:tabs>
        <w:jc w:val="both"/>
        <w:rPr>
          <w:rFonts w:ascii="Times New Roman" w:hAnsi="Times New Roman" w:cs="Times New Roman"/>
        </w:rPr>
      </w:pPr>
      <w:r w:rsidRPr="00734744">
        <w:rPr>
          <w:rFonts w:ascii="Times New Roman" w:hAnsi="Times New Roman" w:cs="Times New Roman"/>
        </w:rPr>
        <w:t>Source: Author</w:t>
      </w:r>
    </w:p>
    <w:p w14:paraId="288B777F" w14:textId="3FBE5D20" w:rsidR="007B3574" w:rsidRPr="0073474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The thesis reports that all four selected macroeconomic variables had statistically significant effects on FDI in Kenya. Real interest rate, economic growth and exchange rate had positive effects, while inflation had a negative effect. The model as a whole was statistically significant (F = 21.4318, p &lt; 0.001) and the thesis reported an R² of 0.8374, indicating substantial explanatory power.</w:t>
      </w:r>
    </w:p>
    <w:p w14:paraId="24273C16" w14:textId="77777777" w:rsidR="009A7968" w:rsidRPr="00734744" w:rsidRDefault="009A7968" w:rsidP="00EB72D7">
      <w:pPr>
        <w:tabs>
          <w:tab w:val="left" w:pos="6375"/>
        </w:tabs>
        <w:jc w:val="both"/>
        <w:rPr>
          <w:rFonts w:ascii="Times New Roman" w:hAnsi="Times New Roman" w:cs="Times New Roman"/>
        </w:rPr>
      </w:pPr>
    </w:p>
    <w:p w14:paraId="45F77FFE" w14:textId="77777777" w:rsidR="00A46DDB" w:rsidRPr="00734744" w:rsidRDefault="00A46DDB" w:rsidP="00A46DDB">
      <w:pPr>
        <w:tabs>
          <w:tab w:val="left" w:pos="6375"/>
        </w:tabs>
        <w:jc w:val="both"/>
        <w:rPr>
          <w:rFonts w:ascii="Times New Roman" w:hAnsi="Times New Roman" w:cs="Times New Roman"/>
          <w:b/>
          <w:bCs/>
        </w:rPr>
      </w:pPr>
      <w:r w:rsidRPr="00734744">
        <w:rPr>
          <w:rFonts w:ascii="Times New Roman" w:hAnsi="Times New Roman" w:cs="Times New Roman"/>
          <w:b/>
          <w:bCs/>
        </w:rPr>
        <w:t>5. CONCLUSION AND POLICY IMPLICATIONS</w:t>
      </w:r>
    </w:p>
    <w:p w14:paraId="42F5FA88" w14:textId="77777777" w:rsidR="00A46DDB" w:rsidRPr="008045F3" w:rsidRDefault="00A46DDB" w:rsidP="00A46DDB">
      <w:pPr>
        <w:tabs>
          <w:tab w:val="left" w:pos="6375"/>
        </w:tabs>
        <w:spacing w:after="0"/>
        <w:jc w:val="both"/>
        <w:rPr>
          <w:rFonts w:ascii="Times New Roman" w:hAnsi="Times New Roman" w:cs="Times New Roman"/>
          <w:b/>
          <w:bCs/>
          <w:highlight w:val="yellow"/>
        </w:rPr>
      </w:pPr>
      <w:r w:rsidRPr="008045F3">
        <w:rPr>
          <w:rFonts w:ascii="Times New Roman" w:hAnsi="Times New Roman" w:cs="Times New Roman"/>
          <w:b/>
          <w:bCs/>
          <w:highlight w:val="yellow"/>
        </w:rPr>
        <w:t>5.1 Conclusion</w:t>
      </w:r>
    </w:p>
    <w:p w14:paraId="0D600AF9"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The study established that selected macroeconomic variables had statistically significant relationships with foreign direct investment (FDI) in Kenya over the study period. Specifically, real interest rate, inflation, economic growth and exchange rate were found to be significantly associated with FDI.</w:t>
      </w:r>
    </w:p>
    <w:p w14:paraId="38919F6A"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Real interest rate had a positive and statistically significant relationship with FDI, with a coefficient of 0.3068 and a reported p-value of 0.0241. This indicates that increases in the real interest rate were associated with increases in FDI, holding other factors constant. The study therefore rejected the null hypothesis that real interest rate has no statistically significant relationship with FDI.</w:t>
      </w:r>
    </w:p>
    <w:p w14:paraId="459D7EBF"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Inflation had a negative and statistically significant relationship with FDI, with a coefficient of -0.3386 and a reported p-value of approximately 0.049. This indicates that increases in inflation were associated with reductions in FDI, holding other factors constant. The finding led to rejection of the null hypothesis that inflation has no statistically significant relationship with FDI.</w:t>
      </w:r>
    </w:p>
    <w:p w14:paraId="46144C0A"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Economic growth had a positive and statistically significant relationship with FDI, with a coefficient of 0.7762 and a p-value of 0.0000. The result indicates that improvements in economic growth were associated with increased FDI inflows into Kenya. The null hypothesis that economic growth has no statistically significant relationship with FDI was therefore rejected.</w:t>
      </w:r>
    </w:p>
    <w:p w14:paraId="13B5EFA1"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 xml:space="preserve">Exchange rate also had a positive and statistically significant relationship with FDI, with a coefficient of 0.2234 and a p-value of 0.0237. The study consequently rejected the null hypothesis that </w:t>
      </w:r>
      <w:proofErr w:type="gramStart"/>
      <w:r w:rsidRPr="008045F3">
        <w:rPr>
          <w:rFonts w:ascii="Times New Roman" w:hAnsi="Times New Roman" w:cs="Times New Roman"/>
          <w:highlight w:val="yellow"/>
          <w:lang w:val="en-US"/>
        </w:rPr>
        <w:t>exchange</w:t>
      </w:r>
      <w:proofErr w:type="gramEnd"/>
      <w:r w:rsidRPr="008045F3">
        <w:rPr>
          <w:rFonts w:ascii="Times New Roman" w:hAnsi="Times New Roman" w:cs="Times New Roman"/>
          <w:highlight w:val="yellow"/>
          <w:lang w:val="en-US"/>
        </w:rPr>
        <w:t xml:space="preserve"> rate has no statistically significant relationship with FDI.</w:t>
      </w:r>
    </w:p>
    <w:p w14:paraId="45B6BEB7" w14:textId="77777777" w:rsidR="008045F3" w:rsidRPr="008045F3" w:rsidRDefault="008045F3" w:rsidP="008045F3">
      <w:pPr>
        <w:tabs>
          <w:tab w:val="left" w:pos="6375"/>
        </w:tabs>
        <w:jc w:val="both"/>
        <w:rPr>
          <w:rFonts w:ascii="Times New Roman" w:hAnsi="Times New Roman" w:cs="Times New Roman"/>
          <w:highlight w:val="yellow"/>
          <w:lang w:val="en-US"/>
        </w:rPr>
      </w:pPr>
      <w:r w:rsidRPr="008045F3">
        <w:rPr>
          <w:rFonts w:ascii="Times New Roman" w:hAnsi="Times New Roman" w:cs="Times New Roman"/>
          <w:highlight w:val="yellow"/>
          <w:lang w:val="en-US"/>
        </w:rPr>
        <w:t>Overall, the findings demonstrate that Kenya's FDI inflows are sensitive to the country's macroeconomic environment. Economic growth and real interest rates were positively associated with FDI, while inflation was negatively associated with FDI. Exchange rate was also found to have a significant positive relationship with FDI.</w:t>
      </w:r>
    </w:p>
    <w:p w14:paraId="0EBF5A69" w14:textId="77777777" w:rsidR="008045F3" w:rsidRPr="008045F3" w:rsidRDefault="008045F3" w:rsidP="008045F3">
      <w:pPr>
        <w:tabs>
          <w:tab w:val="left" w:pos="6375"/>
        </w:tabs>
        <w:jc w:val="both"/>
        <w:rPr>
          <w:rFonts w:ascii="Times New Roman" w:hAnsi="Times New Roman" w:cs="Times New Roman"/>
          <w:lang w:val="en-US"/>
        </w:rPr>
      </w:pPr>
      <w:r w:rsidRPr="008045F3">
        <w:rPr>
          <w:rFonts w:ascii="Times New Roman" w:hAnsi="Times New Roman" w:cs="Times New Roman"/>
          <w:highlight w:val="yellow"/>
          <w:lang w:val="en-US"/>
        </w:rPr>
        <w:t>The study further found that the structural-break dummy had a significant negative relationship with FDI, suggesting that major disruptions during the study period were associated with adverse effects on foreign investment. These structural disruptions occurred during periods characterized by major economic, political and social disturbances.</w:t>
      </w:r>
    </w:p>
    <w:p w14:paraId="665620B5" w14:textId="4A0E4CC0"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 </w:t>
      </w:r>
    </w:p>
    <w:p w14:paraId="11319E1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 Policy Implications and Recommendations</w:t>
      </w:r>
    </w:p>
    <w:p w14:paraId="378AA622"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Based on the findings, the study proposes the following policy implications for improving Kenya's capacity to attract and retain FDI.</w:t>
      </w:r>
    </w:p>
    <w:p w14:paraId="3CB5606F" w14:textId="77777777" w:rsidR="00A46DDB" w:rsidRPr="00734744" w:rsidRDefault="00A46DDB" w:rsidP="00A46DDB">
      <w:pPr>
        <w:tabs>
          <w:tab w:val="left" w:pos="6375"/>
        </w:tabs>
        <w:spacing w:after="0"/>
        <w:jc w:val="both"/>
        <w:rPr>
          <w:rFonts w:ascii="Times New Roman" w:hAnsi="Times New Roman" w:cs="Times New Roman"/>
        </w:rPr>
      </w:pPr>
    </w:p>
    <w:p w14:paraId="5D142EA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5.2.1 Promote Sustainable Economic Growth</w:t>
      </w:r>
    </w:p>
    <w:p w14:paraId="6A4EC7BC"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pursue policies and initiatives that encourage long-term and sustainable economic growth, given the positive and statistically significant relationship between economic growth and FDI. Sustained economic expansion can strengthen the investment environment and increase the attractiveness of Kenya to foreign investors. </w:t>
      </w:r>
    </w:p>
    <w:p w14:paraId="02ABC3F8" w14:textId="77777777" w:rsidR="00A46DDB" w:rsidRPr="00734744" w:rsidRDefault="00A46DDB" w:rsidP="00A46DDB">
      <w:pPr>
        <w:tabs>
          <w:tab w:val="left" w:pos="6375"/>
        </w:tabs>
        <w:spacing w:after="0"/>
        <w:jc w:val="both"/>
        <w:rPr>
          <w:rFonts w:ascii="Times New Roman" w:hAnsi="Times New Roman" w:cs="Times New Roman"/>
        </w:rPr>
      </w:pPr>
    </w:p>
    <w:p w14:paraId="6B5155EE"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5.2.2 Maintain Macroeconomic and Price Stability</w:t>
      </w:r>
    </w:p>
    <w:p w14:paraId="2A5A751D"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place greater emphasis on maintaining stable general price levels. The negative relationship between inflation and FDI indicates that persistent inflation can undermine the attractiveness of Kenya as an investment destination. Maintaining price stability can improve the competitiveness of domestic goods and services and provide greater predictability for foreign investors. </w:t>
      </w:r>
    </w:p>
    <w:p w14:paraId="7AEF1E40" w14:textId="77777777" w:rsidR="00A46DDB" w:rsidRPr="00734744" w:rsidRDefault="00A46DDB" w:rsidP="00A46DDB">
      <w:pPr>
        <w:tabs>
          <w:tab w:val="left" w:pos="6375"/>
        </w:tabs>
        <w:spacing w:after="0"/>
        <w:jc w:val="both"/>
        <w:rPr>
          <w:rFonts w:ascii="Times New Roman" w:hAnsi="Times New Roman" w:cs="Times New Roman"/>
        </w:rPr>
      </w:pPr>
    </w:p>
    <w:p w14:paraId="6B4B9181"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5.2.3 Strengthen Exchange-Rate Stability and the Investment Environment</w:t>
      </w:r>
    </w:p>
    <w:p w14:paraId="4D19F600" w14:textId="11FAAB9C"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Given the significant relationship between exchange rate and FDI, policies affecting the foreign-exchange environment should be carefully managed. The thesis concludes that </w:t>
      </w:r>
      <w:r w:rsidR="00A66E58" w:rsidRPr="00734744">
        <w:rPr>
          <w:rFonts w:ascii="Times New Roman" w:hAnsi="Times New Roman" w:cs="Times New Roman"/>
        </w:rPr>
        <w:t>favourable</w:t>
      </w:r>
      <w:r w:rsidRPr="00734744">
        <w:rPr>
          <w:rFonts w:ascii="Times New Roman" w:hAnsi="Times New Roman" w:cs="Times New Roman"/>
        </w:rPr>
        <w:t xml:space="preserve"> exchange-rate conditions can contribute to attracting greater levels of foreign investment. </w:t>
      </w:r>
    </w:p>
    <w:p w14:paraId="0D961EFA" w14:textId="77777777" w:rsidR="00A46DDB" w:rsidRPr="00734744" w:rsidRDefault="00A46DDB" w:rsidP="00A46DDB">
      <w:pPr>
        <w:tabs>
          <w:tab w:val="left" w:pos="6375"/>
        </w:tabs>
        <w:spacing w:after="0"/>
        <w:jc w:val="both"/>
        <w:rPr>
          <w:rFonts w:ascii="Times New Roman" w:hAnsi="Times New Roman" w:cs="Times New Roman"/>
        </w:rPr>
      </w:pPr>
    </w:p>
    <w:p w14:paraId="77FF4CD1"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5.2.4 Promote an Environment Conducive to Foreign Investment</w:t>
      </w:r>
    </w:p>
    <w:p w14:paraId="72DDF137" w14:textId="67E5AD1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broader findings indicate that macroeconomic stability is an important consideration in attracting FDI. Policy makers should therefore adopt a coordinated approach to economic management that considers economic growth, inflation, interest rates and exchange-rate conditions collectively, rather than addressing these variables in isolation.</w:t>
      </w:r>
      <w:r w:rsidR="005372DE" w:rsidRPr="00734744">
        <w:rPr>
          <w:rFonts w:ascii="Times New Roman" w:hAnsi="Times New Roman" w:cs="Times New Roman"/>
        </w:rPr>
        <w:t xml:space="preserve"> </w:t>
      </w:r>
      <w:r w:rsidRPr="00734744">
        <w:rPr>
          <w:rFonts w:ascii="Times New Roman" w:hAnsi="Times New Roman" w:cs="Times New Roman"/>
        </w:rPr>
        <w:t xml:space="preserve">The study's overall evidence suggests that strengthening the macroeconomic environment can improve Kenya's ability to attract foreign investment and support broader economic performance. </w:t>
      </w:r>
    </w:p>
    <w:p w14:paraId="477BC351" w14:textId="712E46FC" w:rsidR="00A46DDB" w:rsidRPr="00734744" w:rsidRDefault="00A46DDB" w:rsidP="00A46DDB">
      <w:pPr>
        <w:tabs>
          <w:tab w:val="left" w:pos="6375"/>
        </w:tabs>
        <w:jc w:val="both"/>
        <w:rPr>
          <w:rFonts w:ascii="Times New Roman" w:hAnsi="Times New Roman" w:cs="Times New Roman"/>
        </w:rPr>
      </w:pPr>
    </w:p>
    <w:p w14:paraId="7200C979"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5.3 Overall Policy Message</w:t>
      </w:r>
    </w:p>
    <w:p w14:paraId="233E1900" w14:textId="7777777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central policy implication emerging from Paper 1 is that Kenya's ability to attract FDI depends substantially on the quality and stability of its macroeconomic environment.</w:t>
      </w:r>
    </w:p>
    <w:p w14:paraId="2051DA29"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The evidence points in three broad directions:</w:t>
      </w:r>
    </w:p>
    <w:p w14:paraId="7F2B2378"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Economic growth ↑ → FDI ↑</w:t>
      </w:r>
    </w:p>
    <w:p w14:paraId="34FCA4DC"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Real interest rate ↑ → FDI ↑</w:t>
      </w:r>
    </w:p>
    <w:p w14:paraId="5B4D65E9"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Inflation ↑ → FDI ↓</w:t>
      </w:r>
    </w:p>
    <w:p w14:paraId="434B7B41"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while exchange-rate conditions were also significantly associated with FDI. </w:t>
      </w:r>
    </w:p>
    <w:p w14:paraId="41C43DC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Consequently, policies aimed at attracting FDI should not focus solely on investment incentives. They should also strengthen the underlying macroeconomic environment through sustainable </w:t>
      </w:r>
      <w:r w:rsidRPr="00734744">
        <w:rPr>
          <w:rFonts w:ascii="Times New Roman" w:hAnsi="Times New Roman" w:cs="Times New Roman"/>
        </w:rPr>
        <w:lastRenderedPageBreak/>
        <w:t>economic growth, price stability, appropriate monetary conditions and a supportive foreign-exchange environment.</w:t>
      </w:r>
    </w:p>
    <w:p w14:paraId="208230D1" w14:textId="6EB47F62" w:rsidR="00A46DDB" w:rsidRPr="00734744" w:rsidRDefault="00A46DDB" w:rsidP="00A46DDB">
      <w:pPr>
        <w:tabs>
          <w:tab w:val="left" w:pos="6375"/>
        </w:tabs>
        <w:jc w:val="both"/>
        <w:rPr>
          <w:rFonts w:ascii="Times New Roman" w:hAnsi="Times New Roman" w:cs="Times New Roman"/>
        </w:rPr>
      </w:pPr>
    </w:p>
    <w:p w14:paraId="3D9786A3"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5.4 Suggested Further Research</w:t>
      </w:r>
    </w:p>
    <w:p w14:paraId="6C500D52" w14:textId="307E62C5"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6E38C862" w14:textId="77777777" w:rsidR="009A7968" w:rsidRDefault="009A7968" w:rsidP="00EB72D7">
      <w:pPr>
        <w:tabs>
          <w:tab w:val="left" w:pos="6375"/>
        </w:tabs>
        <w:jc w:val="both"/>
        <w:rPr>
          <w:rFonts w:ascii="Times New Roman" w:hAnsi="Times New Roman" w:cs="Times New Roman"/>
        </w:rPr>
      </w:pPr>
    </w:p>
    <w:p w14:paraId="5D5135F5" w14:textId="77777777" w:rsidR="008045F3" w:rsidRPr="008045F3" w:rsidRDefault="008045F3" w:rsidP="008045F3">
      <w:pPr>
        <w:tabs>
          <w:tab w:val="left" w:pos="6375"/>
        </w:tabs>
        <w:jc w:val="both"/>
        <w:rPr>
          <w:rFonts w:ascii="Times New Roman" w:hAnsi="Times New Roman" w:cs="Times New Roman"/>
          <w:b/>
          <w:bCs/>
          <w:highlight w:val="yellow"/>
          <w:lang w:val="en-US"/>
        </w:rPr>
      </w:pPr>
      <w:r w:rsidRPr="008045F3">
        <w:rPr>
          <w:rFonts w:ascii="Times New Roman" w:hAnsi="Times New Roman" w:cs="Times New Roman"/>
          <w:b/>
          <w:bCs/>
          <w:highlight w:val="yellow"/>
          <w:lang w:val="en-US"/>
        </w:rPr>
        <w:t>5.5 Limitations of the Study</w:t>
      </w:r>
    </w:p>
    <w:p w14:paraId="0F8FEB06" w14:textId="77777777" w:rsidR="008045F3" w:rsidRPr="008045F3" w:rsidRDefault="008045F3" w:rsidP="008045F3">
      <w:pPr>
        <w:tabs>
          <w:tab w:val="left" w:pos="6375"/>
        </w:tabs>
        <w:jc w:val="both"/>
        <w:rPr>
          <w:rFonts w:ascii="Times New Roman" w:hAnsi="Times New Roman" w:cs="Times New Roman"/>
          <w:lang w:val="en-US"/>
        </w:rPr>
      </w:pPr>
      <w:r w:rsidRPr="008045F3">
        <w:rPr>
          <w:rFonts w:ascii="Times New Roman" w:hAnsi="Times New Roman" w:cs="Times New Roman"/>
          <w:highlight w:val="yellow"/>
          <w:lang w:val="en-US"/>
        </w:rPr>
        <w:t>The study has several limitations that should be considered when interpreting its findings. First, the analysis relied on annual time-series data covering the period 1966–2019. The availability and consistency of historical macroeconomic data may limit the extent to which the findings capture more recent changes in Kenya’s investment environment. Second, the study focused on selected macroeconomic variables, namely real interest rate, inflation, economic growth and exchange rate. Other factors that may influence FDI, including political stability, institutional quality, infrastructure, trade openness and market size, were not included in the estimated model. Third, the findings are specific to Kenya and the period examined; therefore, caution should be exercised when generalizing the results to other countries or to periods beyond the study horizon. Finally, the study identifies statistical relationships between the selected macroeconomic variables and FDI and should not be interpreted as establishing definitive causal effects. Future research incorporating additional determinants, more recent observations and alternative econometric approaches could provide further evidence on the dynamics of FDI in Kenya.</w:t>
      </w:r>
    </w:p>
    <w:p w14:paraId="34568A11" w14:textId="77777777" w:rsidR="008045F3" w:rsidRPr="00734744" w:rsidRDefault="008045F3" w:rsidP="00EB72D7">
      <w:pPr>
        <w:tabs>
          <w:tab w:val="left" w:pos="6375"/>
        </w:tabs>
        <w:jc w:val="both"/>
        <w:rPr>
          <w:rFonts w:ascii="Times New Roman" w:hAnsi="Times New Roman" w:cs="Times New Roman"/>
        </w:rPr>
      </w:pPr>
    </w:p>
    <w:p w14:paraId="093C9BDF" w14:textId="77777777" w:rsidR="007B3574" w:rsidRPr="00734744" w:rsidRDefault="007B3574" w:rsidP="00EB72D7">
      <w:pPr>
        <w:tabs>
          <w:tab w:val="left" w:pos="6375"/>
        </w:tabs>
        <w:jc w:val="both"/>
        <w:rPr>
          <w:rFonts w:ascii="Times New Roman" w:hAnsi="Times New Roman" w:cs="Times New Roman"/>
        </w:rPr>
      </w:pPr>
    </w:p>
    <w:p w14:paraId="7816DD8B" w14:textId="73F1FF87" w:rsidR="007B3574" w:rsidRPr="00734744" w:rsidRDefault="00BB631A" w:rsidP="00EB72D7">
      <w:pPr>
        <w:tabs>
          <w:tab w:val="left" w:pos="6375"/>
        </w:tabs>
        <w:jc w:val="both"/>
        <w:rPr>
          <w:rFonts w:ascii="Times New Roman" w:hAnsi="Times New Roman" w:cs="Times New Roman"/>
          <w:b/>
          <w:bCs/>
        </w:rPr>
      </w:pPr>
      <w:r w:rsidRPr="00734744">
        <w:rPr>
          <w:rFonts w:ascii="Times New Roman" w:hAnsi="Times New Roman" w:cs="Times New Roman"/>
          <w:b/>
          <w:bCs/>
        </w:rPr>
        <w:t>References</w:t>
      </w:r>
    </w:p>
    <w:p w14:paraId="1435599E"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Achieng, J. (2018). Critical Success Factors for Private and Public-Private Partnership Investments in Renewable Energy Development in Kenya.</w:t>
      </w:r>
    </w:p>
    <w:p w14:paraId="5DBBC65B"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Adegboye, F. B. A., Bosede, F., </w:t>
      </w:r>
      <w:proofErr w:type="spellStart"/>
      <w:r w:rsidRPr="00CD3D5D">
        <w:rPr>
          <w:rFonts w:ascii="Times New Roman" w:hAnsi="Times New Roman" w:cs="Times New Roman"/>
          <w:color w:val="000000" w:themeColor="text1"/>
          <w:highlight w:val="yellow"/>
        </w:rPr>
        <w:t>Gbebikan</w:t>
      </w:r>
      <w:proofErr w:type="spellEnd"/>
      <w:r w:rsidRPr="00CD3D5D">
        <w:rPr>
          <w:rFonts w:ascii="Times New Roman" w:hAnsi="Times New Roman" w:cs="Times New Roman"/>
          <w:color w:val="000000" w:themeColor="text1"/>
          <w:highlight w:val="yellow"/>
        </w:rPr>
        <w:t xml:space="preserve">, A. M. G., &amp; Motunrayo, A. (2026). Foreign Direct Investment, Macro Economic Variables and </w:t>
      </w:r>
      <w:proofErr w:type="spellStart"/>
      <w:r w:rsidRPr="00CD3D5D">
        <w:rPr>
          <w:rFonts w:ascii="Times New Roman" w:hAnsi="Times New Roman" w:cs="Times New Roman"/>
          <w:color w:val="000000" w:themeColor="text1"/>
          <w:highlight w:val="yellow"/>
        </w:rPr>
        <w:t>Nigerias</w:t>
      </w:r>
      <w:proofErr w:type="spellEnd"/>
      <w:r w:rsidRPr="00CD3D5D">
        <w:rPr>
          <w:rFonts w:ascii="Times New Roman" w:hAnsi="Times New Roman" w:cs="Times New Roman"/>
          <w:color w:val="000000" w:themeColor="text1"/>
          <w:highlight w:val="yellow"/>
        </w:rPr>
        <w:t xml:space="preserve"> Economic Development. </w:t>
      </w:r>
      <w:r w:rsidRPr="00CD3D5D">
        <w:rPr>
          <w:rFonts w:ascii="Times New Roman" w:hAnsi="Times New Roman" w:cs="Times New Roman"/>
          <w:i/>
          <w:iCs/>
          <w:color w:val="000000" w:themeColor="text1"/>
          <w:highlight w:val="yellow"/>
        </w:rPr>
        <w:t>Nigerian Journal of Banking and Financial Issues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w:t>
      </w:r>
    </w:p>
    <w:p w14:paraId="07B58799" w14:textId="77777777" w:rsidR="00CD3D5D" w:rsidRPr="00CD3D5D" w:rsidRDefault="00CD3D5D"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lastRenderedPageBreak/>
        <w:t>Adelakun, O. J., Ojo, O. O., &amp; Mpungose, S. (2025). Empirical re-investigation into the export-led growth hypothesis (ELGH): Evidence from EAC and SADC economies. </w:t>
      </w:r>
      <w:r w:rsidRPr="00CD3D5D">
        <w:rPr>
          <w:rFonts w:ascii="Times New Roman" w:hAnsi="Times New Roman" w:cs="Times New Roman"/>
          <w:i/>
          <w:iCs/>
          <w:color w:val="000000" w:themeColor="text1"/>
          <w:highlight w:val="yellow"/>
        </w:rPr>
        <w:t>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13</w:t>
      </w:r>
      <w:r w:rsidRPr="00CD3D5D">
        <w:rPr>
          <w:rFonts w:ascii="Times New Roman" w:hAnsi="Times New Roman" w:cs="Times New Roman"/>
          <w:color w:val="000000" w:themeColor="text1"/>
          <w:highlight w:val="yellow"/>
        </w:rPr>
        <w:t>(6), 175.</w:t>
      </w:r>
    </w:p>
    <w:p w14:paraId="5A1FB9B2" w14:textId="77777777" w:rsidR="00CD3D5D" w:rsidRPr="005C2006" w:rsidRDefault="00CD3D5D" w:rsidP="005C2006">
      <w:pPr>
        <w:ind w:left="720" w:hanging="720"/>
        <w:jc w:val="both"/>
        <w:rPr>
          <w:rFonts w:ascii="Times New Roman" w:hAnsi="Times New Roman" w:cs="Times New Roman"/>
          <w:highlight w:val="yellow"/>
          <w:lang w:val="en-US"/>
        </w:rPr>
      </w:pPr>
      <w:proofErr w:type="spellStart"/>
      <w:r w:rsidRPr="005C2006">
        <w:rPr>
          <w:rFonts w:ascii="Times New Roman" w:hAnsi="Times New Roman" w:cs="Times New Roman"/>
          <w:highlight w:val="yellow"/>
          <w:lang w:val="en-US"/>
        </w:rPr>
        <w:t>Ajide</w:t>
      </w:r>
      <w:proofErr w:type="spellEnd"/>
      <w:r w:rsidRPr="005C2006">
        <w:rPr>
          <w:rFonts w:ascii="Times New Roman" w:hAnsi="Times New Roman" w:cs="Times New Roman"/>
          <w:highlight w:val="yellow"/>
          <w:lang w:val="en-US"/>
        </w:rPr>
        <w:t xml:space="preserve">, K. B., Ridwan, I. A., &amp; Alimi, O. Y. (2023). Exchange rate volatility and foreign direct investment in frontier African economies: A non-linear panel evaluation. </w:t>
      </w:r>
      <w:r w:rsidRPr="005C2006">
        <w:rPr>
          <w:rFonts w:ascii="Times New Roman" w:hAnsi="Times New Roman" w:cs="Times New Roman"/>
          <w:i/>
          <w:iCs/>
          <w:highlight w:val="yellow"/>
          <w:lang w:val="en-US"/>
        </w:rPr>
        <w:t>Journal of African Business</w:t>
      </w:r>
      <w:r w:rsidRPr="005C2006">
        <w:rPr>
          <w:rFonts w:ascii="Times New Roman" w:hAnsi="Times New Roman" w:cs="Times New Roman"/>
          <w:highlight w:val="yellow"/>
          <w:lang w:val="en-US"/>
        </w:rPr>
        <w:t>, 24(3), 412–433.</w:t>
      </w:r>
    </w:p>
    <w:p w14:paraId="0E23B596"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Alam, M. R. (2025). The Impact of Inflation on Foreign Direct investment (FDI): Evidence from Bangladesh.</w:t>
      </w:r>
    </w:p>
    <w:p w14:paraId="0AF9FFC1" w14:textId="77777777" w:rsidR="00CD3D5D" w:rsidRPr="005C2006" w:rsidRDefault="00CD3D5D" w:rsidP="005C2006">
      <w:pPr>
        <w:ind w:left="720" w:hanging="720"/>
        <w:jc w:val="both"/>
        <w:rPr>
          <w:rFonts w:ascii="Times New Roman" w:hAnsi="Times New Roman" w:cs="Times New Roman"/>
          <w:color w:val="000000" w:themeColor="text1"/>
          <w:highlight w:val="yellow"/>
          <w:lang w:val="en-US"/>
        </w:rPr>
      </w:pPr>
      <w:r w:rsidRPr="00CD3D5D">
        <w:rPr>
          <w:rFonts w:ascii="Times New Roman" w:hAnsi="Times New Roman" w:cs="Times New Roman"/>
          <w:color w:val="000000" w:themeColor="text1"/>
          <w:highlight w:val="yellow"/>
        </w:rPr>
        <w:t>Alharthi, M., Islam, M. M., Alamoudi, H., &amp; Murad, M. W. (2024). Determinants that attract and discourage foreign direct investment in GCC countries: Do macroeconomic and environmental factors matter? </w:t>
      </w:r>
      <w:proofErr w:type="spellStart"/>
      <w:r w:rsidRPr="00CD3D5D">
        <w:rPr>
          <w:rFonts w:ascii="Times New Roman" w:hAnsi="Times New Roman" w:cs="Times New Roman"/>
          <w:i/>
          <w:iCs/>
          <w:color w:val="000000" w:themeColor="text1"/>
          <w:highlight w:val="yellow"/>
        </w:rPr>
        <w:t>Plos</w:t>
      </w:r>
      <w:proofErr w:type="spellEnd"/>
      <w:r w:rsidRPr="00CD3D5D">
        <w:rPr>
          <w:rFonts w:ascii="Times New Roman" w:hAnsi="Times New Roman" w:cs="Times New Roman"/>
          <w:i/>
          <w:iCs/>
          <w:color w:val="000000" w:themeColor="text1"/>
          <w:highlight w:val="yellow"/>
        </w:rPr>
        <w:t xml:space="preserve"> one</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19</w:t>
      </w:r>
      <w:r w:rsidRPr="00CD3D5D">
        <w:rPr>
          <w:rFonts w:ascii="Times New Roman" w:hAnsi="Times New Roman" w:cs="Times New Roman"/>
          <w:color w:val="000000" w:themeColor="text1"/>
          <w:highlight w:val="yellow"/>
        </w:rPr>
        <w:t>(2), e0298129.</w:t>
      </w:r>
    </w:p>
    <w:p w14:paraId="33D554CC" w14:textId="77777777" w:rsidR="00CD3D5D" w:rsidRPr="00CD3D5D" w:rsidRDefault="00CD3D5D" w:rsidP="00530B02">
      <w:pPr>
        <w:ind w:left="720" w:hanging="720"/>
        <w:jc w:val="both"/>
        <w:rPr>
          <w:rFonts w:ascii="Times New Roman" w:hAnsi="Times New Roman" w:cs="Times New Roman"/>
          <w:color w:val="000000" w:themeColor="text1"/>
          <w:highlight w:val="yellow"/>
        </w:rPr>
      </w:pPr>
      <w:proofErr w:type="spellStart"/>
      <w:r w:rsidRPr="00CD3D5D">
        <w:rPr>
          <w:rFonts w:ascii="Times New Roman" w:hAnsi="Times New Roman" w:cs="Times New Roman"/>
          <w:color w:val="000000" w:themeColor="text1"/>
          <w:highlight w:val="yellow"/>
        </w:rPr>
        <w:t>Alshubiri</w:t>
      </w:r>
      <w:proofErr w:type="spellEnd"/>
      <w:r w:rsidRPr="00CD3D5D">
        <w:rPr>
          <w:rFonts w:ascii="Times New Roman" w:hAnsi="Times New Roman" w:cs="Times New Roman"/>
          <w:color w:val="000000" w:themeColor="text1"/>
          <w:highlight w:val="yellow"/>
        </w:rPr>
        <w:t>, F., &amp; Hussein, M. (2026). Do interest rate, regulatory quality, and price level matter for FDI decisions in BRICS and GCC countries? </w:t>
      </w:r>
      <w:r w:rsidRPr="00CD3D5D">
        <w:rPr>
          <w:rFonts w:ascii="Times New Roman" w:hAnsi="Times New Roman" w:cs="Times New Roman"/>
          <w:i/>
          <w:iCs/>
          <w:color w:val="000000" w:themeColor="text1"/>
          <w:highlight w:val="yellow"/>
        </w:rPr>
        <w:t>Future Business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 196.</w:t>
      </w:r>
    </w:p>
    <w:p w14:paraId="1A22ED1B"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Barngetuny, J. (2026). Real Interest Rates, Inflation Dynamics, and Financial Stability in Kenya. </w:t>
      </w:r>
      <w:r w:rsidRPr="00CD3D5D">
        <w:rPr>
          <w:rFonts w:ascii="Times New Roman" w:hAnsi="Times New Roman" w:cs="Times New Roman"/>
          <w:i/>
          <w:iCs/>
          <w:color w:val="000000" w:themeColor="text1"/>
          <w:highlight w:val="yellow"/>
        </w:rPr>
        <w:t>IAHRW International Journal of Social Sciences Review</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14</w:t>
      </w:r>
      <w:r w:rsidRPr="00CD3D5D">
        <w:rPr>
          <w:rFonts w:ascii="Times New Roman" w:hAnsi="Times New Roman" w:cs="Times New Roman"/>
          <w:color w:val="000000" w:themeColor="text1"/>
          <w:highlight w:val="yellow"/>
        </w:rPr>
        <w:t>(4), 593.</w:t>
      </w:r>
    </w:p>
    <w:p w14:paraId="48EED3DD" w14:textId="77777777" w:rsidR="00CD3D5D" w:rsidRPr="00734744"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Beau, T. (2019). Normality of JSE returns: macro-outliers, micro-outliers: an empirical Evaluation. </w:t>
      </w:r>
      <w:proofErr w:type="spellStart"/>
      <w:r w:rsidRPr="00734744">
        <w:rPr>
          <w:rFonts w:ascii="Times New Roman" w:hAnsi="Times New Roman" w:cs="Times New Roman"/>
          <w:color w:val="000000" w:themeColor="text1"/>
        </w:rPr>
        <w:t>Alshamsi</w:t>
      </w:r>
      <w:proofErr w:type="spellEnd"/>
      <w:r w:rsidRPr="00734744">
        <w:rPr>
          <w:rFonts w:ascii="Times New Roman" w:hAnsi="Times New Roman" w:cs="Times New Roman"/>
          <w:color w:val="000000" w:themeColor="text1"/>
        </w:rPr>
        <w:t xml:space="preserve">, K., &amp; Azam, M. (2015). The impact of inflation and economic growth per capita on foreign direct investment: The case of United Arab Emirates. </w:t>
      </w:r>
      <w:r w:rsidRPr="00734744">
        <w:rPr>
          <w:rFonts w:ascii="Times New Roman" w:hAnsi="Times New Roman" w:cs="Times New Roman"/>
          <w:i/>
          <w:iCs/>
          <w:color w:val="000000" w:themeColor="text1"/>
        </w:rPr>
        <w:t>Investment Management and Financial Innovations, 12</w:t>
      </w:r>
      <w:r w:rsidRPr="00734744">
        <w:rPr>
          <w:rFonts w:ascii="Times New Roman" w:hAnsi="Times New Roman" w:cs="Times New Roman"/>
          <w:color w:val="000000" w:themeColor="text1"/>
        </w:rPr>
        <w:t xml:space="preserve">(3), 132–141. </w:t>
      </w:r>
    </w:p>
    <w:p w14:paraId="0D42A1D3"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Bendi, S., &amp; Pany, T. (2017). A Study on Economic Dimensions of India and China. </w:t>
      </w:r>
      <w:r w:rsidRPr="00734744">
        <w:rPr>
          <w:rFonts w:ascii="Times New Roman" w:hAnsi="Times New Roman" w:cs="Times New Roman"/>
          <w:i/>
          <w:iCs/>
          <w:color w:val="000000" w:themeColor="text1"/>
        </w:rPr>
        <w:t>Srusti Management Review, 10</w:t>
      </w:r>
      <w:r w:rsidRPr="00734744">
        <w:rPr>
          <w:rFonts w:ascii="Times New Roman" w:hAnsi="Times New Roman" w:cs="Times New Roman"/>
          <w:color w:val="000000" w:themeColor="text1"/>
        </w:rPr>
        <w:t xml:space="preserve">(1), 37–45. </w:t>
      </w:r>
    </w:p>
    <w:p w14:paraId="5046DBA4"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Bond, P. (2019). Blue Economy threats, contradictions and resistances seen from South Africa. </w:t>
      </w:r>
      <w:r w:rsidRPr="00280A29">
        <w:rPr>
          <w:rFonts w:ascii="Times New Roman" w:hAnsi="Times New Roman" w:cs="Times New Roman"/>
          <w:i/>
          <w:iCs/>
          <w:color w:val="000000" w:themeColor="text1"/>
        </w:rPr>
        <w:t>Journal of Political Ecology</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26</w:t>
      </w:r>
      <w:r w:rsidRPr="00280A29">
        <w:rPr>
          <w:rFonts w:ascii="Times New Roman" w:hAnsi="Times New Roman" w:cs="Times New Roman"/>
          <w:color w:val="000000" w:themeColor="text1"/>
        </w:rPr>
        <w:t>(1).</w:t>
      </w:r>
    </w:p>
    <w:p w14:paraId="49650110" w14:textId="77777777" w:rsidR="00CD3D5D" w:rsidRPr="00CD3D5D" w:rsidRDefault="00CD3D5D" w:rsidP="00F724EB">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Bryniuk, K. (2023). Is the Gross Domestic Product (GDP) a Reliable Indicator of the Economic Growth and Future Economy of the United States of </w:t>
      </w:r>
      <w:proofErr w:type="gramStart"/>
      <w:r w:rsidRPr="00CD3D5D">
        <w:rPr>
          <w:rFonts w:ascii="Times New Roman" w:hAnsi="Times New Roman" w:cs="Times New Roman"/>
          <w:color w:val="000000" w:themeColor="text1"/>
          <w:highlight w:val="yellow"/>
        </w:rPr>
        <w:t>America?.</w:t>
      </w:r>
      <w:proofErr w:type="gramEnd"/>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Open Access Library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10</w:t>
      </w:r>
      <w:r w:rsidRPr="00CD3D5D">
        <w:rPr>
          <w:rFonts w:ascii="Times New Roman" w:hAnsi="Times New Roman" w:cs="Times New Roman"/>
          <w:color w:val="000000" w:themeColor="text1"/>
          <w:highlight w:val="yellow"/>
        </w:rPr>
        <w:t>(4), 1-10.</w:t>
      </w:r>
    </w:p>
    <w:p w14:paraId="42E69E86"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Cheelo, C. (2018). </w:t>
      </w:r>
      <w:r w:rsidRPr="00280A29">
        <w:rPr>
          <w:rFonts w:ascii="Times New Roman" w:hAnsi="Times New Roman" w:cs="Times New Roman"/>
          <w:i/>
          <w:iCs/>
          <w:color w:val="000000" w:themeColor="text1"/>
        </w:rPr>
        <w:t>Financing the Economic Stabilization and Growth Programme (Zambia Plus) in the Shadow of the IMF</w:t>
      </w:r>
      <w:r w:rsidRPr="00280A29">
        <w:rPr>
          <w:rFonts w:ascii="Times New Roman" w:hAnsi="Times New Roman" w:cs="Times New Roman"/>
          <w:color w:val="000000" w:themeColor="text1"/>
        </w:rPr>
        <w:t>. Zambia Institute for Policy Analysis &amp; Research.</w:t>
      </w:r>
    </w:p>
    <w:p w14:paraId="245C611C"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Church, J. (2016). Comparing the Consumer Price Index with the gross domestic product price index and Gross Domestic Product Implicit Price Deflator. </w:t>
      </w:r>
      <w:r w:rsidRPr="00734744">
        <w:rPr>
          <w:rFonts w:ascii="Times New Roman" w:hAnsi="Times New Roman" w:cs="Times New Roman"/>
          <w:i/>
          <w:iCs/>
          <w:color w:val="000000" w:themeColor="text1"/>
        </w:rPr>
        <w:t>Monthly Labor Review</w:t>
      </w:r>
      <w:r w:rsidRPr="00734744">
        <w:rPr>
          <w:rFonts w:ascii="Times New Roman" w:hAnsi="Times New Roman" w:cs="Times New Roman"/>
          <w:color w:val="000000" w:themeColor="text1"/>
        </w:rPr>
        <w:t xml:space="preserve">. </w:t>
      </w:r>
    </w:p>
    <w:p w14:paraId="07062E44"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Ciesielska, D., &amp; </w:t>
      </w:r>
      <w:proofErr w:type="spellStart"/>
      <w:r w:rsidRPr="00280A29">
        <w:rPr>
          <w:rFonts w:ascii="Times New Roman" w:hAnsi="Times New Roman" w:cs="Times New Roman"/>
          <w:color w:val="000000" w:themeColor="text1"/>
        </w:rPr>
        <w:t>Kołtuniak</w:t>
      </w:r>
      <w:proofErr w:type="spellEnd"/>
      <w:r w:rsidRPr="00280A29">
        <w:rPr>
          <w:rFonts w:ascii="Times New Roman" w:hAnsi="Times New Roman" w:cs="Times New Roman"/>
          <w:color w:val="000000" w:themeColor="text1"/>
        </w:rPr>
        <w:t>, M. (2017). Outward foreign direct investments and home country’s economic growth. </w:t>
      </w:r>
      <w:r w:rsidRPr="00280A29">
        <w:rPr>
          <w:rFonts w:ascii="Times New Roman" w:hAnsi="Times New Roman" w:cs="Times New Roman"/>
          <w:i/>
          <w:iCs/>
          <w:color w:val="000000" w:themeColor="text1"/>
        </w:rPr>
        <w:t>Physica A: Statistical Mechanics and its Applications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482</w:t>
      </w:r>
      <w:r w:rsidRPr="00280A29">
        <w:rPr>
          <w:rFonts w:ascii="Times New Roman" w:hAnsi="Times New Roman" w:cs="Times New Roman"/>
          <w:color w:val="000000" w:themeColor="text1"/>
        </w:rPr>
        <w:t>, 127-146.</w:t>
      </w:r>
    </w:p>
    <w:p w14:paraId="132997EF"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lastRenderedPageBreak/>
        <w:t xml:space="preserve">Cushman, D., &amp; De Vita, G. (2017). Exchange rate regimes and FDI in developing countries: A propensity score matching approach. </w:t>
      </w:r>
      <w:r w:rsidRPr="00734744">
        <w:rPr>
          <w:rFonts w:ascii="Times New Roman" w:hAnsi="Times New Roman" w:cs="Times New Roman"/>
          <w:i/>
          <w:iCs/>
          <w:color w:val="000000" w:themeColor="text1"/>
        </w:rPr>
        <w:t>Journal of International Money and Finance, 77</w:t>
      </w:r>
      <w:r w:rsidRPr="00734744">
        <w:rPr>
          <w:rFonts w:ascii="Times New Roman" w:hAnsi="Times New Roman" w:cs="Times New Roman"/>
          <w:color w:val="000000" w:themeColor="text1"/>
        </w:rPr>
        <w:t xml:space="preserve">, 143–163. </w:t>
      </w:r>
    </w:p>
    <w:p w14:paraId="3DB66C43"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8C5C50">
        <w:rPr>
          <w:rFonts w:ascii="Times New Roman" w:hAnsi="Times New Roman" w:cs="Times New Roman"/>
          <w:color w:val="000000" w:themeColor="text1"/>
          <w:highlight w:val="yellow"/>
        </w:rPr>
        <w:t>Dondashe</w:t>
      </w:r>
      <w:proofErr w:type="spellEnd"/>
      <w:r w:rsidRPr="008C5C50">
        <w:rPr>
          <w:rFonts w:ascii="Times New Roman" w:hAnsi="Times New Roman" w:cs="Times New Roman"/>
          <w:color w:val="000000" w:themeColor="text1"/>
          <w:highlight w:val="yellow"/>
        </w:rPr>
        <w:t>, N., &amp; Phiri, A. (2018). </w:t>
      </w:r>
      <w:r w:rsidRPr="008C5C50">
        <w:rPr>
          <w:rFonts w:ascii="Times New Roman" w:hAnsi="Times New Roman" w:cs="Times New Roman"/>
          <w:i/>
          <w:iCs/>
          <w:color w:val="000000" w:themeColor="text1"/>
          <w:highlight w:val="yellow"/>
        </w:rPr>
        <w:t xml:space="preserve">Determinants of FDI in South Africa: Do macroeconomic variables matter? Munich Personal </w:t>
      </w:r>
      <w:proofErr w:type="spellStart"/>
      <w:r w:rsidRPr="008C5C50">
        <w:rPr>
          <w:rFonts w:ascii="Times New Roman" w:hAnsi="Times New Roman" w:cs="Times New Roman"/>
          <w:i/>
          <w:iCs/>
          <w:color w:val="000000" w:themeColor="text1"/>
          <w:highlight w:val="yellow"/>
        </w:rPr>
        <w:t>RePEc</w:t>
      </w:r>
      <w:proofErr w:type="spellEnd"/>
      <w:r w:rsidRPr="008C5C50">
        <w:rPr>
          <w:rFonts w:ascii="Times New Roman" w:hAnsi="Times New Roman" w:cs="Times New Roman"/>
          <w:i/>
          <w:iCs/>
          <w:color w:val="000000" w:themeColor="text1"/>
          <w:highlight w:val="yellow"/>
        </w:rPr>
        <w:t xml:space="preserve"> Archive (MPRA Paper No. 83636). Nelson Mandela University</w:t>
      </w:r>
      <w:r w:rsidRPr="008C5C50">
        <w:rPr>
          <w:rFonts w:ascii="Times New Roman" w:hAnsi="Times New Roman" w:cs="Times New Roman"/>
          <w:color w:val="000000" w:themeColor="text1"/>
          <w:highlight w:val="yellow"/>
        </w:rPr>
        <w:t>.</w:t>
      </w:r>
    </w:p>
    <w:p w14:paraId="1A642846"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Dornbusch, R. (2019). The theory of flexible exchange rate regimes and macroeconomic policy. In </w:t>
      </w:r>
      <w:r w:rsidRPr="00280A29">
        <w:rPr>
          <w:rFonts w:ascii="Times New Roman" w:hAnsi="Times New Roman" w:cs="Times New Roman"/>
          <w:i/>
          <w:iCs/>
          <w:color w:val="000000" w:themeColor="text1"/>
        </w:rPr>
        <w:t>Flexible exchange rates and stabilization policy</w:t>
      </w:r>
      <w:r w:rsidRPr="00280A29">
        <w:rPr>
          <w:rFonts w:ascii="Times New Roman" w:hAnsi="Times New Roman" w:cs="Times New Roman"/>
          <w:color w:val="000000" w:themeColor="text1"/>
        </w:rPr>
        <w:t xml:space="preserve"> (pp. 123-143). London: Palgrave Macmillan UK. </w:t>
      </w:r>
    </w:p>
    <w:p w14:paraId="0F69C86B"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(1988). The eclectic paradigm of international production: A restatement and some possible extensions. </w:t>
      </w:r>
      <w:r w:rsidRPr="00734744">
        <w:rPr>
          <w:rFonts w:ascii="Times New Roman" w:hAnsi="Times New Roman" w:cs="Times New Roman"/>
          <w:i/>
          <w:iCs/>
          <w:color w:val="000000" w:themeColor="text1"/>
        </w:rPr>
        <w:t>Journal of International Business Studies, 19</w:t>
      </w:r>
      <w:r w:rsidRPr="00734744">
        <w:rPr>
          <w:rFonts w:ascii="Times New Roman" w:hAnsi="Times New Roman" w:cs="Times New Roman"/>
          <w:color w:val="000000" w:themeColor="text1"/>
        </w:rPr>
        <w:t>(1), 1–31.</w:t>
      </w:r>
    </w:p>
    <w:p w14:paraId="683A732E"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(2001). The eclectic (OLI) paradigm of international production: Past, present and future. </w:t>
      </w:r>
      <w:r w:rsidRPr="00734744">
        <w:rPr>
          <w:rFonts w:ascii="Times New Roman" w:hAnsi="Times New Roman" w:cs="Times New Roman"/>
          <w:i/>
          <w:iCs/>
          <w:color w:val="000000" w:themeColor="text1"/>
        </w:rPr>
        <w:t>International Journal of the Economics of Business, 8</w:t>
      </w:r>
      <w:r w:rsidRPr="00734744">
        <w:rPr>
          <w:rFonts w:ascii="Times New Roman" w:hAnsi="Times New Roman" w:cs="Times New Roman"/>
          <w:color w:val="000000" w:themeColor="text1"/>
        </w:rPr>
        <w:t>(2), 173–190.</w:t>
      </w:r>
    </w:p>
    <w:p w14:paraId="2561A266"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Egilsson, J. H. (2020). How raising interest rates can cause inflation and currency depreciation. </w:t>
      </w:r>
      <w:r w:rsidRPr="00280A29">
        <w:rPr>
          <w:rFonts w:ascii="Times New Roman" w:hAnsi="Times New Roman" w:cs="Times New Roman"/>
          <w:i/>
          <w:iCs/>
          <w:color w:val="000000" w:themeColor="text1"/>
        </w:rPr>
        <w:t>Journal of Applied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23</w:t>
      </w:r>
      <w:r w:rsidRPr="00280A29">
        <w:rPr>
          <w:rFonts w:ascii="Times New Roman" w:hAnsi="Times New Roman" w:cs="Times New Roman"/>
          <w:color w:val="000000" w:themeColor="text1"/>
        </w:rPr>
        <w:t xml:space="preserve">(1), 450-468. </w:t>
      </w:r>
    </w:p>
    <w:p w14:paraId="2D9FF21B"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Engle, R. F., &amp; Granger, C. W. J. (1987). Co-integration and error correction: Representation, estimation, and testing.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55</w:t>
      </w:r>
      <w:r w:rsidRPr="00734744">
        <w:rPr>
          <w:rFonts w:ascii="Times New Roman" w:hAnsi="Times New Roman" w:cs="Times New Roman"/>
          <w:color w:val="000000" w:themeColor="text1"/>
        </w:rPr>
        <w:t xml:space="preserve">(2), 251–276. </w:t>
      </w:r>
    </w:p>
    <w:p w14:paraId="6C17C17C"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Faure, A. (2014). Interest Rates 7: An Optimal Rate of Interest (the Natural Rate).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254–2111. </w:t>
      </w:r>
    </w:p>
    <w:p w14:paraId="66669D6B"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Fazira, D., &amp; </w:t>
      </w:r>
      <w:proofErr w:type="spellStart"/>
      <w:r w:rsidRPr="00734744">
        <w:rPr>
          <w:rFonts w:ascii="Times New Roman" w:hAnsi="Times New Roman" w:cs="Times New Roman"/>
          <w:color w:val="000000" w:themeColor="text1"/>
        </w:rPr>
        <w:t>Cahyadin</w:t>
      </w:r>
      <w:proofErr w:type="spellEnd"/>
      <w:r w:rsidRPr="00734744">
        <w:rPr>
          <w:rFonts w:ascii="Times New Roman" w:hAnsi="Times New Roman" w:cs="Times New Roman"/>
          <w:color w:val="000000" w:themeColor="text1"/>
        </w:rPr>
        <w:t xml:space="preserve">, M. (2018). The Impact of Interest Rate, Corruption Perception Index, and Economic Growth on Foreign Direct Investment in ASEAN-6. </w:t>
      </w:r>
      <w:r w:rsidRPr="00734744">
        <w:rPr>
          <w:rFonts w:ascii="Times New Roman" w:hAnsi="Times New Roman" w:cs="Times New Roman"/>
          <w:i/>
          <w:iCs/>
          <w:color w:val="000000" w:themeColor="text1"/>
        </w:rPr>
        <w:t xml:space="preserve">Journal </w:t>
      </w:r>
      <w:proofErr w:type="spellStart"/>
      <w:r w:rsidRPr="00734744">
        <w:rPr>
          <w:rFonts w:ascii="Times New Roman" w:hAnsi="Times New Roman" w:cs="Times New Roman"/>
          <w:i/>
          <w:iCs/>
          <w:color w:val="000000" w:themeColor="text1"/>
        </w:rPr>
        <w:t>Keuangan</w:t>
      </w:r>
      <w:proofErr w:type="spellEnd"/>
      <w:r w:rsidRPr="00734744">
        <w:rPr>
          <w:rFonts w:ascii="Times New Roman" w:hAnsi="Times New Roman" w:cs="Times New Roman"/>
          <w:i/>
          <w:iCs/>
          <w:color w:val="000000" w:themeColor="text1"/>
        </w:rPr>
        <w:t xml:space="preserve"> Dan Perbankan, 22</w:t>
      </w:r>
      <w:r w:rsidRPr="00734744">
        <w:rPr>
          <w:rFonts w:ascii="Times New Roman" w:hAnsi="Times New Roman" w:cs="Times New Roman"/>
          <w:color w:val="000000" w:themeColor="text1"/>
        </w:rPr>
        <w:t xml:space="preserve">(4). </w:t>
      </w:r>
    </w:p>
    <w:p w14:paraId="09B1F6F4"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FoEh</w:t>
      </w:r>
      <w:proofErr w:type="spellEnd"/>
      <w:r w:rsidRPr="00734744">
        <w:rPr>
          <w:rFonts w:ascii="Times New Roman" w:hAnsi="Times New Roman" w:cs="Times New Roman"/>
          <w:color w:val="000000" w:themeColor="text1"/>
        </w:rPr>
        <w:t xml:space="preserve">, J., Suryani, N., &amp; </w:t>
      </w:r>
      <w:proofErr w:type="spellStart"/>
      <w:r w:rsidRPr="00734744">
        <w:rPr>
          <w:rFonts w:ascii="Times New Roman" w:hAnsi="Times New Roman" w:cs="Times New Roman"/>
          <w:color w:val="000000" w:themeColor="text1"/>
        </w:rPr>
        <w:t>Silpama</w:t>
      </w:r>
      <w:proofErr w:type="spellEnd"/>
      <w:r w:rsidRPr="00734744">
        <w:rPr>
          <w:rFonts w:ascii="Times New Roman" w:hAnsi="Times New Roman" w:cs="Times New Roman"/>
          <w:color w:val="000000" w:themeColor="text1"/>
        </w:rPr>
        <w:t xml:space="preserve">, S. (2020). The Influence of Inflation Level, Exchange Rate and Gross Domestic Product on Foreign Direct Investment in the ASEAN Countries on 2007–2018. </w:t>
      </w:r>
      <w:r w:rsidRPr="00734744">
        <w:rPr>
          <w:rFonts w:ascii="Times New Roman" w:hAnsi="Times New Roman" w:cs="Times New Roman"/>
          <w:i/>
          <w:iCs/>
          <w:color w:val="000000" w:themeColor="text1"/>
        </w:rPr>
        <w:t>European Journal of Business and Management Research, 5</w:t>
      </w:r>
      <w:r w:rsidRPr="00734744">
        <w:rPr>
          <w:rFonts w:ascii="Times New Roman" w:hAnsi="Times New Roman" w:cs="Times New Roman"/>
          <w:color w:val="000000" w:themeColor="text1"/>
        </w:rPr>
        <w:t xml:space="preserve">(3). </w:t>
      </w:r>
    </w:p>
    <w:p w14:paraId="0B5BA365"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Gnangnon</w:t>
      </w:r>
      <w:proofErr w:type="spellEnd"/>
      <w:r w:rsidRPr="00734744">
        <w:rPr>
          <w:rFonts w:ascii="Times New Roman" w:hAnsi="Times New Roman" w:cs="Times New Roman"/>
          <w:color w:val="000000" w:themeColor="text1"/>
        </w:rPr>
        <w:t xml:space="preserve">, S. (2017). Multilateral Trade Liberalisation and Foreign Direct Investment Inflows. </w:t>
      </w:r>
      <w:r w:rsidRPr="00734744">
        <w:rPr>
          <w:rFonts w:ascii="Times New Roman" w:hAnsi="Times New Roman" w:cs="Times New Roman"/>
          <w:i/>
          <w:iCs/>
          <w:color w:val="000000" w:themeColor="text1"/>
        </w:rPr>
        <w:t>Economic Affairs, 37</w:t>
      </w:r>
      <w:r w:rsidRPr="00734744">
        <w:rPr>
          <w:rFonts w:ascii="Times New Roman" w:hAnsi="Times New Roman" w:cs="Times New Roman"/>
          <w:color w:val="000000" w:themeColor="text1"/>
        </w:rPr>
        <w:t xml:space="preserve">(1), 66–84. </w:t>
      </w:r>
    </w:p>
    <w:p w14:paraId="5598085F"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Granger, C. W. J. (1969). Investigating causal relations by econometric models and cross-spectral methods.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37</w:t>
      </w:r>
      <w:r w:rsidRPr="00734744">
        <w:rPr>
          <w:rFonts w:ascii="Times New Roman" w:hAnsi="Times New Roman" w:cs="Times New Roman"/>
          <w:color w:val="000000" w:themeColor="text1"/>
        </w:rPr>
        <w:t xml:space="preserve">(3), 424–438. </w:t>
      </w:r>
      <w:hyperlink r:id="rId7" w:tgtFrame="_new" w:history="1">
        <w:r w:rsidRPr="00734744">
          <w:rPr>
            <w:rStyle w:val="Hyperlink"/>
            <w:rFonts w:ascii="Times New Roman" w:hAnsi="Times New Roman" w:cs="Times New Roman"/>
            <w:color w:val="000000" w:themeColor="text1"/>
            <w:u w:val="none"/>
          </w:rPr>
          <w:t>https://doi.org/10.2307/1912791</w:t>
        </w:r>
      </w:hyperlink>
      <w:r w:rsidRPr="00734744">
        <w:rPr>
          <w:rFonts w:ascii="Times New Roman" w:hAnsi="Times New Roman" w:cs="Times New Roman"/>
          <w:color w:val="000000" w:themeColor="text1"/>
        </w:rPr>
        <w:t xml:space="preserve"> </w:t>
      </w:r>
    </w:p>
    <w:p w14:paraId="44860492"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GuechHeang</w:t>
      </w:r>
      <w:proofErr w:type="spellEnd"/>
      <w:r w:rsidRPr="00734744">
        <w:rPr>
          <w:rFonts w:ascii="Times New Roman" w:hAnsi="Times New Roman" w:cs="Times New Roman"/>
          <w:color w:val="000000" w:themeColor="text1"/>
        </w:rPr>
        <w:t xml:space="preserve">, L., &amp; </w:t>
      </w:r>
      <w:proofErr w:type="spellStart"/>
      <w:r w:rsidRPr="00734744">
        <w:rPr>
          <w:rFonts w:ascii="Times New Roman" w:hAnsi="Times New Roman" w:cs="Times New Roman"/>
          <w:color w:val="000000" w:themeColor="text1"/>
        </w:rPr>
        <w:t>Moolio</w:t>
      </w:r>
      <w:proofErr w:type="spellEnd"/>
      <w:r w:rsidRPr="00734744">
        <w:rPr>
          <w:rFonts w:ascii="Times New Roman" w:hAnsi="Times New Roman" w:cs="Times New Roman"/>
          <w:color w:val="000000" w:themeColor="text1"/>
        </w:rPr>
        <w:t xml:space="preserve">, P. (2013). The relationship between gross domestic product and foreign direct investment: The case of Cambodia. </w:t>
      </w:r>
      <w:r w:rsidRPr="00734744">
        <w:rPr>
          <w:rFonts w:ascii="Times New Roman" w:hAnsi="Times New Roman" w:cs="Times New Roman"/>
          <w:i/>
          <w:iCs/>
          <w:color w:val="000000" w:themeColor="text1"/>
        </w:rPr>
        <w:t>KASBIT Business Journal, 6</w:t>
      </w:r>
      <w:r w:rsidRPr="00734744">
        <w:rPr>
          <w:rFonts w:ascii="Times New Roman" w:hAnsi="Times New Roman" w:cs="Times New Roman"/>
          <w:color w:val="000000" w:themeColor="text1"/>
        </w:rPr>
        <w:t xml:space="preserve">(1), 87–99. </w:t>
      </w:r>
    </w:p>
    <w:p w14:paraId="646A29A2"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Helkiah, L. (2025). Influence of Systematic Risk on Public Debt Levels in Kenya (Doctoral Dissertation, Masinde </w:t>
      </w:r>
      <w:proofErr w:type="spellStart"/>
      <w:r w:rsidRPr="00CD3D5D">
        <w:rPr>
          <w:rFonts w:ascii="Times New Roman" w:hAnsi="Times New Roman" w:cs="Times New Roman"/>
          <w:color w:val="000000" w:themeColor="text1"/>
          <w:highlight w:val="yellow"/>
        </w:rPr>
        <w:t>Muliro</w:t>
      </w:r>
      <w:proofErr w:type="spellEnd"/>
      <w:r w:rsidRPr="00CD3D5D">
        <w:rPr>
          <w:rFonts w:ascii="Times New Roman" w:hAnsi="Times New Roman" w:cs="Times New Roman"/>
          <w:color w:val="000000" w:themeColor="text1"/>
          <w:highlight w:val="yellow"/>
        </w:rPr>
        <w:t xml:space="preserve"> University of Science and Technology).</w:t>
      </w:r>
    </w:p>
    <w:p w14:paraId="57CC0876"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lastRenderedPageBreak/>
        <w:t>Hennart</w:t>
      </w:r>
      <w:proofErr w:type="spellEnd"/>
      <w:r w:rsidRPr="00734744">
        <w:rPr>
          <w:rFonts w:ascii="Times New Roman" w:hAnsi="Times New Roman" w:cs="Times New Roman"/>
          <w:color w:val="000000" w:themeColor="text1"/>
        </w:rPr>
        <w:t xml:space="preserve">, J.-F. (1982). </w:t>
      </w:r>
      <w:r w:rsidRPr="00734744">
        <w:rPr>
          <w:rFonts w:ascii="Times New Roman" w:hAnsi="Times New Roman" w:cs="Times New Roman"/>
          <w:i/>
          <w:iCs/>
          <w:color w:val="000000" w:themeColor="text1"/>
        </w:rPr>
        <w:t>A theory of multinational enterprise</w:t>
      </w:r>
      <w:r w:rsidRPr="00734744">
        <w:rPr>
          <w:rFonts w:ascii="Times New Roman" w:hAnsi="Times New Roman" w:cs="Times New Roman"/>
          <w:color w:val="000000" w:themeColor="text1"/>
        </w:rPr>
        <w:t xml:space="preserve">. University of Michigan Press. </w:t>
      </w:r>
    </w:p>
    <w:p w14:paraId="496D8430" w14:textId="77777777" w:rsidR="00CD3D5D" w:rsidRPr="00734744" w:rsidRDefault="00CD3D5D" w:rsidP="00530B02">
      <w:pPr>
        <w:ind w:left="720" w:hanging="720"/>
        <w:jc w:val="both"/>
        <w:rPr>
          <w:rFonts w:ascii="Times New Roman" w:hAnsi="Times New Roman" w:cs="Times New Roman"/>
          <w:color w:val="000000" w:themeColor="text1"/>
        </w:rPr>
      </w:pPr>
      <w:r w:rsidRPr="008C5C50">
        <w:rPr>
          <w:rFonts w:ascii="Times New Roman" w:hAnsi="Times New Roman" w:cs="Times New Roman"/>
          <w:color w:val="000000" w:themeColor="text1"/>
          <w:highlight w:val="yellow"/>
        </w:rPr>
        <w:t>Ho, F. H., Abdul-Rashid, S. H., Raja Ghazilla, R. A., &amp; Woo, Y. L. (2019). Resources sustainability through material efficiency strategies: An insight study of electrical and electronic companies. </w:t>
      </w:r>
      <w:r w:rsidRPr="008C5C50">
        <w:rPr>
          <w:rFonts w:ascii="Times New Roman" w:hAnsi="Times New Roman" w:cs="Times New Roman"/>
          <w:i/>
          <w:iCs/>
          <w:color w:val="000000" w:themeColor="text1"/>
          <w:highlight w:val="yellow"/>
        </w:rPr>
        <w:t>Resources</w:t>
      </w:r>
      <w:r w:rsidRPr="008C5C50">
        <w:rPr>
          <w:rFonts w:ascii="Times New Roman" w:hAnsi="Times New Roman" w:cs="Times New Roman"/>
          <w:color w:val="000000" w:themeColor="text1"/>
          <w:highlight w:val="yellow"/>
        </w:rPr>
        <w:t>, </w:t>
      </w:r>
      <w:r w:rsidRPr="008C5C50">
        <w:rPr>
          <w:rFonts w:ascii="Times New Roman" w:hAnsi="Times New Roman" w:cs="Times New Roman"/>
          <w:i/>
          <w:iCs/>
          <w:color w:val="000000" w:themeColor="text1"/>
          <w:highlight w:val="yellow"/>
        </w:rPr>
        <w:t>8</w:t>
      </w:r>
      <w:r w:rsidRPr="008C5C50">
        <w:rPr>
          <w:rFonts w:ascii="Times New Roman" w:hAnsi="Times New Roman" w:cs="Times New Roman"/>
          <w:color w:val="000000" w:themeColor="text1"/>
          <w:highlight w:val="yellow"/>
        </w:rPr>
        <w:t>(2), 117.</w:t>
      </w:r>
    </w:p>
    <w:p w14:paraId="0974FFCE"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Imana, D. K. (2017). </w:t>
      </w:r>
      <w:r w:rsidRPr="00CD3D5D">
        <w:rPr>
          <w:rFonts w:ascii="Times New Roman" w:hAnsi="Times New Roman" w:cs="Times New Roman"/>
          <w:i/>
          <w:iCs/>
          <w:color w:val="000000" w:themeColor="text1"/>
          <w:highlight w:val="yellow"/>
        </w:rPr>
        <w:t>Public Expenditure on Education in Kenya: Analysis of Recent Trends, Education Provision, and Income Distribution</w:t>
      </w:r>
      <w:r w:rsidRPr="00CD3D5D">
        <w:rPr>
          <w:rFonts w:ascii="Times New Roman" w:hAnsi="Times New Roman" w:cs="Times New Roman"/>
          <w:color w:val="000000" w:themeColor="text1"/>
          <w:highlight w:val="yellow"/>
        </w:rPr>
        <w:t> (Doctoral dissertation, Doctoral dissertation, National Institute of Development Administration).</w:t>
      </w:r>
    </w:p>
    <w:p w14:paraId="6886378F" w14:textId="77777777" w:rsidR="00CD3D5D" w:rsidRPr="00CD3D5D" w:rsidRDefault="00CD3D5D"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Izadi, J., &amp; </w:t>
      </w:r>
      <w:proofErr w:type="spellStart"/>
      <w:r w:rsidRPr="00CD3D5D">
        <w:rPr>
          <w:rFonts w:ascii="Times New Roman" w:hAnsi="Times New Roman" w:cs="Times New Roman"/>
          <w:color w:val="000000" w:themeColor="text1"/>
          <w:highlight w:val="yellow"/>
        </w:rPr>
        <w:t>Madirimov</w:t>
      </w:r>
      <w:proofErr w:type="spellEnd"/>
      <w:r w:rsidRPr="00CD3D5D">
        <w:rPr>
          <w:rFonts w:ascii="Times New Roman" w:hAnsi="Times New Roman" w:cs="Times New Roman"/>
          <w:color w:val="000000" w:themeColor="text1"/>
          <w:highlight w:val="yellow"/>
        </w:rPr>
        <w:t>, B. (2026). Effect of foreign direct investment on sustainable development goals? Evidence from Eurasian countries. </w:t>
      </w:r>
      <w:r w:rsidRPr="00CD3D5D">
        <w:rPr>
          <w:rFonts w:ascii="Times New Roman" w:hAnsi="Times New Roman" w:cs="Times New Roman"/>
          <w:i/>
          <w:iCs/>
          <w:color w:val="000000" w:themeColor="text1"/>
          <w:highlight w:val="yellow"/>
        </w:rPr>
        <w:t>Journal of Sustainable Finance &amp; Investment</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16</w:t>
      </w:r>
      <w:r w:rsidRPr="00CD3D5D">
        <w:rPr>
          <w:rFonts w:ascii="Times New Roman" w:hAnsi="Times New Roman" w:cs="Times New Roman"/>
          <w:color w:val="000000" w:themeColor="text1"/>
          <w:highlight w:val="yellow"/>
        </w:rPr>
        <w:t>(3), 784-803.</w:t>
      </w:r>
    </w:p>
    <w:p w14:paraId="000E4BDC"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Jin, H., Zhang, S., &amp; Zhang, J. (2016). Spurious regression due to neglected non-stationary volatility. </w:t>
      </w:r>
      <w:r w:rsidRPr="00734744">
        <w:rPr>
          <w:rFonts w:ascii="Times New Roman" w:hAnsi="Times New Roman" w:cs="Times New Roman"/>
          <w:i/>
          <w:iCs/>
          <w:color w:val="000000" w:themeColor="text1"/>
        </w:rPr>
        <w:t>Computational Statistics, 32</w:t>
      </w:r>
      <w:r w:rsidRPr="00734744">
        <w:rPr>
          <w:rFonts w:ascii="Times New Roman" w:hAnsi="Times New Roman" w:cs="Times New Roman"/>
          <w:color w:val="000000" w:themeColor="text1"/>
        </w:rPr>
        <w:t xml:space="preserve">(3), 1065–1081. </w:t>
      </w:r>
    </w:p>
    <w:p w14:paraId="3F80E168"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Karau, J., &amp; Ng’ang’a, P. (2019). </w:t>
      </w:r>
      <w:r w:rsidRPr="00734744">
        <w:rPr>
          <w:rFonts w:ascii="Times New Roman" w:hAnsi="Times New Roman" w:cs="Times New Roman"/>
          <w:i/>
          <w:iCs/>
          <w:color w:val="000000" w:themeColor="text1"/>
        </w:rPr>
        <w:t>Effects of macroeconomic factors on foreign direct investment in Kenya</w:t>
      </w:r>
      <w:r w:rsidRPr="00734744">
        <w:rPr>
          <w:rFonts w:ascii="Times New Roman" w:hAnsi="Times New Roman" w:cs="Times New Roman"/>
          <w:color w:val="000000" w:themeColor="text1"/>
        </w:rPr>
        <w:t xml:space="preserve">. </w:t>
      </w:r>
    </w:p>
    <w:p w14:paraId="4E542C3F"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Karvanen, J. (2014). Study design in causal models. </w:t>
      </w:r>
      <w:r w:rsidRPr="00734744">
        <w:rPr>
          <w:rFonts w:ascii="Times New Roman" w:hAnsi="Times New Roman" w:cs="Times New Roman"/>
          <w:i/>
          <w:iCs/>
          <w:color w:val="000000" w:themeColor="text1"/>
        </w:rPr>
        <w:t>Scandinavian Journal of Statistics, 42</w:t>
      </w:r>
      <w:r w:rsidRPr="00734744">
        <w:rPr>
          <w:rFonts w:ascii="Times New Roman" w:hAnsi="Times New Roman" w:cs="Times New Roman"/>
          <w:color w:val="000000" w:themeColor="text1"/>
        </w:rPr>
        <w:t xml:space="preserve">(2), 361–377. </w:t>
      </w:r>
    </w:p>
    <w:p w14:paraId="0E324FB8"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Kim, Z. (2018). The Correlation between Foreign Direct Investment and Trade: Foreign Direct Investment Outflows, Gross Exports and Exports in Value Added. </w:t>
      </w:r>
      <w:r w:rsidRPr="00734744">
        <w:rPr>
          <w:rFonts w:ascii="Times New Roman" w:hAnsi="Times New Roman" w:cs="Times New Roman"/>
          <w:i/>
          <w:iCs/>
          <w:color w:val="000000" w:themeColor="text1"/>
        </w:rPr>
        <w:t>East and West Studies, 30</w:t>
      </w:r>
      <w:r w:rsidRPr="00734744">
        <w:rPr>
          <w:rFonts w:ascii="Times New Roman" w:hAnsi="Times New Roman" w:cs="Times New Roman"/>
          <w:color w:val="000000" w:themeColor="text1"/>
        </w:rPr>
        <w:t xml:space="preserve">(4), 157–177. </w:t>
      </w:r>
    </w:p>
    <w:p w14:paraId="3B290FB9"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Kiplagat, B. (2016). </w:t>
      </w:r>
      <w:r w:rsidRPr="00734744">
        <w:rPr>
          <w:rFonts w:ascii="Times New Roman" w:hAnsi="Times New Roman" w:cs="Times New Roman"/>
          <w:i/>
          <w:iCs/>
          <w:color w:val="000000" w:themeColor="text1"/>
        </w:rPr>
        <w:t>The effects of interest rates on foreign direct investments in Kenya</w:t>
      </w:r>
      <w:r w:rsidRPr="00734744">
        <w:rPr>
          <w:rFonts w:ascii="Times New Roman" w:hAnsi="Times New Roman" w:cs="Times New Roman"/>
          <w:color w:val="000000" w:themeColor="text1"/>
        </w:rPr>
        <w:t xml:space="preserve"> [Research project, University of Nairobi]. University of Nairobi Repository. </w:t>
      </w:r>
    </w:p>
    <w:p w14:paraId="314D09CB" w14:textId="77777777" w:rsidR="00CD3D5D" w:rsidRPr="005C2006" w:rsidRDefault="00CD3D5D"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Kiprop, S., &amp; </w:t>
      </w:r>
      <w:proofErr w:type="spellStart"/>
      <w:r w:rsidRPr="005C2006">
        <w:rPr>
          <w:rFonts w:ascii="Times New Roman" w:hAnsi="Times New Roman" w:cs="Times New Roman"/>
          <w:highlight w:val="yellow"/>
          <w:lang w:val="en-US"/>
        </w:rPr>
        <w:t>Ndambiri</w:t>
      </w:r>
      <w:proofErr w:type="spellEnd"/>
      <w:r w:rsidRPr="005C2006">
        <w:rPr>
          <w:rFonts w:ascii="Times New Roman" w:hAnsi="Times New Roman" w:cs="Times New Roman"/>
          <w:highlight w:val="yellow"/>
          <w:lang w:val="en-US"/>
        </w:rPr>
        <w:t xml:space="preserve">, H. K. (2022). Macroeconomic instability and foreign capital flows in East African Community: Panel cointegration analysis. </w:t>
      </w:r>
      <w:r w:rsidRPr="005C2006">
        <w:rPr>
          <w:rFonts w:ascii="Times New Roman" w:hAnsi="Times New Roman" w:cs="Times New Roman"/>
          <w:i/>
          <w:iCs/>
          <w:highlight w:val="yellow"/>
          <w:lang w:val="en-US"/>
        </w:rPr>
        <w:t>African Development Review</w:t>
      </w:r>
      <w:r w:rsidRPr="005C2006">
        <w:rPr>
          <w:rFonts w:ascii="Times New Roman" w:hAnsi="Times New Roman" w:cs="Times New Roman"/>
          <w:highlight w:val="yellow"/>
          <w:lang w:val="en-US"/>
        </w:rPr>
        <w:t>, 34(2), 185–198.</w:t>
      </w:r>
    </w:p>
    <w:p w14:paraId="737D8590"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Koojaroenprasit</w:t>
      </w:r>
      <w:proofErr w:type="spellEnd"/>
      <w:r w:rsidRPr="00734744">
        <w:rPr>
          <w:rFonts w:ascii="Times New Roman" w:hAnsi="Times New Roman" w:cs="Times New Roman"/>
          <w:color w:val="000000" w:themeColor="text1"/>
        </w:rPr>
        <w:t xml:space="preserve">, S. (2012). The impact of foreign direct investment on economic growth: A case study of South Korea. </w:t>
      </w:r>
      <w:r w:rsidRPr="00734744">
        <w:rPr>
          <w:rFonts w:ascii="Times New Roman" w:hAnsi="Times New Roman" w:cs="Times New Roman"/>
          <w:i/>
          <w:iCs/>
          <w:color w:val="000000" w:themeColor="text1"/>
        </w:rPr>
        <w:t>International Journal of Business and Social Science, 3</w:t>
      </w:r>
      <w:r w:rsidRPr="00734744">
        <w:rPr>
          <w:rFonts w:ascii="Times New Roman" w:hAnsi="Times New Roman" w:cs="Times New Roman"/>
          <w:color w:val="000000" w:themeColor="text1"/>
        </w:rPr>
        <w:t>(21), 8–17.</w:t>
      </w:r>
    </w:p>
    <w:p w14:paraId="3179D6D5"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Latief, R., &amp; </w:t>
      </w:r>
      <w:proofErr w:type="spellStart"/>
      <w:r w:rsidRPr="00734744">
        <w:rPr>
          <w:rFonts w:ascii="Times New Roman" w:hAnsi="Times New Roman" w:cs="Times New Roman"/>
          <w:color w:val="000000" w:themeColor="text1"/>
        </w:rPr>
        <w:t>Lefen</w:t>
      </w:r>
      <w:proofErr w:type="spellEnd"/>
      <w:r w:rsidRPr="00734744">
        <w:rPr>
          <w:rFonts w:ascii="Times New Roman" w:hAnsi="Times New Roman" w:cs="Times New Roman"/>
          <w:color w:val="000000" w:themeColor="text1"/>
        </w:rPr>
        <w:t xml:space="preserve">, L. (2018). The effect of exchange rate volatility on international trade and foreign direct investment (FDI): A review of the literature. </w:t>
      </w:r>
      <w:r w:rsidRPr="00734744">
        <w:rPr>
          <w:rFonts w:ascii="Times New Roman" w:hAnsi="Times New Roman" w:cs="Times New Roman"/>
          <w:i/>
          <w:iCs/>
          <w:color w:val="000000" w:themeColor="text1"/>
        </w:rPr>
        <w:t>Journal of International Studies, 11</w:t>
      </w:r>
      <w:r w:rsidRPr="00734744">
        <w:rPr>
          <w:rFonts w:ascii="Times New Roman" w:hAnsi="Times New Roman" w:cs="Times New Roman"/>
          <w:color w:val="000000" w:themeColor="text1"/>
        </w:rPr>
        <w:t>(4), 85–100.</w:t>
      </w:r>
    </w:p>
    <w:p w14:paraId="2A33640D" w14:textId="77777777" w:rsidR="00CD3D5D" w:rsidRPr="0041222D" w:rsidRDefault="00CD3D5D" w:rsidP="0041222D">
      <w:pPr>
        <w:ind w:left="720" w:hanging="720"/>
        <w:rPr>
          <w:rFonts w:ascii="Times New Roman" w:hAnsi="Times New Roman" w:cs="Times New Roman"/>
          <w:color w:val="000000" w:themeColor="text1"/>
          <w:lang w:val="en-US"/>
        </w:rPr>
      </w:pPr>
      <w:proofErr w:type="spellStart"/>
      <w:r w:rsidRPr="00CD3D5D">
        <w:rPr>
          <w:rFonts w:ascii="Times New Roman" w:hAnsi="Times New Roman" w:cs="Times New Roman"/>
          <w:color w:val="000000" w:themeColor="text1"/>
          <w:highlight w:val="yellow"/>
        </w:rPr>
        <w:t>Mahdinezhad</w:t>
      </w:r>
      <w:proofErr w:type="spellEnd"/>
      <w:r w:rsidRPr="00CD3D5D">
        <w:rPr>
          <w:rFonts w:ascii="Times New Roman" w:hAnsi="Times New Roman" w:cs="Times New Roman"/>
          <w:color w:val="000000" w:themeColor="text1"/>
          <w:highlight w:val="yellow"/>
        </w:rPr>
        <w:t>, M. (2016). Impact of selected macro-economic variables on foreign direct investment in Kenya. </w:t>
      </w:r>
      <w:r w:rsidRPr="00CD3D5D">
        <w:rPr>
          <w:rFonts w:ascii="Times New Roman" w:hAnsi="Times New Roman" w:cs="Times New Roman"/>
          <w:i/>
          <w:iCs/>
          <w:color w:val="000000" w:themeColor="text1"/>
          <w:highlight w:val="yellow"/>
        </w:rPr>
        <w:t>International Journal of Economics, Finance and Management Sciences</w:t>
      </w:r>
      <w:r w:rsidRPr="00CD3D5D">
        <w:rPr>
          <w:rFonts w:ascii="Times New Roman" w:hAnsi="Times New Roman" w:cs="Times New Roman"/>
          <w:color w:val="000000" w:themeColor="text1"/>
          <w:highlight w:val="yellow"/>
        </w:rPr>
        <w:t>.</w:t>
      </w:r>
    </w:p>
    <w:p w14:paraId="109202D2" w14:textId="77777777" w:rsidR="00CD3D5D" w:rsidRPr="005C2006" w:rsidRDefault="00CD3D5D"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Maina, J. M., &amp; Kimani, E. W. (2022). Inflationary pressures and private capital formation in Kenya: Evidence from a Vector Error Correction Model. </w:t>
      </w:r>
      <w:r w:rsidRPr="005C2006">
        <w:rPr>
          <w:rFonts w:ascii="Times New Roman" w:hAnsi="Times New Roman" w:cs="Times New Roman"/>
          <w:i/>
          <w:iCs/>
          <w:highlight w:val="yellow"/>
          <w:lang w:val="en-US"/>
        </w:rPr>
        <w:t>East African Economic Journal</w:t>
      </w:r>
      <w:r w:rsidRPr="005C2006">
        <w:rPr>
          <w:rFonts w:ascii="Times New Roman" w:hAnsi="Times New Roman" w:cs="Times New Roman"/>
          <w:highlight w:val="yellow"/>
          <w:lang w:val="en-US"/>
        </w:rPr>
        <w:t>, 11(1), 45–62.</w:t>
      </w:r>
    </w:p>
    <w:p w14:paraId="4C82D954"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Mansoor, M., &amp; Bibi, S. (2018). Financial development, exchange rate and foreign direct investment: Evidence from Pakistan. </w:t>
      </w:r>
      <w:r w:rsidRPr="00734744">
        <w:rPr>
          <w:rFonts w:ascii="Times New Roman" w:hAnsi="Times New Roman" w:cs="Times New Roman"/>
          <w:i/>
          <w:iCs/>
          <w:color w:val="000000" w:themeColor="text1"/>
        </w:rPr>
        <w:t>Journal of Economics and Sustainable Development, 9</w:t>
      </w:r>
      <w:r w:rsidRPr="00734744">
        <w:rPr>
          <w:rFonts w:ascii="Times New Roman" w:hAnsi="Times New Roman" w:cs="Times New Roman"/>
          <w:color w:val="000000" w:themeColor="text1"/>
        </w:rPr>
        <w:t>(7).</w:t>
      </w:r>
    </w:p>
    <w:p w14:paraId="52D83758"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Medeiros, P., Marcuzzo, F., Youlton, C., &amp; Wendland, E. (2011). Error autocorrelation and linear regression for temperature-based evapotranspiration estimates improvement 1. </w:t>
      </w:r>
      <w:r w:rsidRPr="00734744">
        <w:rPr>
          <w:rFonts w:ascii="Times New Roman" w:hAnsi="Times New Roman" w:cs="Times New Roman"/>
          <w:i/>
          <w:iCs/>
          <w:color w:val="000000" w:themeColor="text1"/>
        </w:rPr>
        <w:t>JAWRA Journal of the American Water Resources Association, 48</w:t>
      </w:r>
      <w:r w:rsidRPr="00734744">
        <w:rPr>
          <w:rFonts w:ascii="Times New Roman" w:hAnsi="Times New Roman" w:cs="Times New Roman"/>
          <w:color w:val="000000" w:themeColor="text1"/>
        </w:rPr>
        <w:t xml:space="preserve">(2), 297–305. </w:t>
      </w:r>
    </w:p>
    <w:p w14:paraId="4BCFFDEA"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Meftah, S., &amp; Nassour, A. (2019). Macroeconomic variables and foreign direct investment inflows in Turkey. </w:t>
      </w:r>
      <w:proofErr w:type="spellStart"/>
      <w:r w:rsidRPr="00734744">
        <w:rPr>
          <w:rFonts w:ascii="Times New Roman" w:hAnsi="Times New Roman" w:cs="Times New Roman"/>
          <w:i/>
          <w:iCs/>
          <w:color w:val="000000" w:themeColor="text1"/>
        </w:rPr>
        <w:t>Signifikan</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Jurnal</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Ilmu</w:t>
      </w:r>
      <w:proofErr w:type="spellEnd"/>
      <w:r w:rsidRPr="00734744">
        <w:rPr>
          <w:rFonts w:ascii="Times New Roman" w:hAnsi="Times New Roman" w:cs="Times New Roman"/>
          <w:i/>
          <w:iCs/>
          <w:color w:val="000000" w:themeColor="text1"/>
        </w:rPr>
        <w:t xml:space="preserve"> Ekonomi, 8</w:t>
      </w:r>
      <w:r w:rsidRPr="00734744">
        <w:rPr>
          <w:rFonts w:ascii="Times New Roman" w:hAnsi="Times New Roman" w:cs="Times New Roman"/>
          <w:color w:val="000000" w:themeColor="text1"/>
        </w:rPr>
        <w:t xml:space="preserve">(2), 195–206. </w:t>
      </w:r>
    </w:p>
    <w:p w14:paraId="054CD6C6" w14:textId="77777777" w:rsidR="00CD3D5D" w:rsidRPr="005C2006" w:rsidRDefault="00CD3D5D"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Mensah, I. A., Sun, M., &amp; Gao, Y. (2022). Re-examining the FDI-economic growth nexus in Sub-Saharan Africa: New evidence from panel ARDL and causality approaches. </w:t>
      </w:r>
      <w:r w:rsidRPr="005C2006">
        <w:rPr>
          <w:rFonts w:ascii="Times New Roman" w:hAnsi="Times New Roman" w:cs="Times New Roman"/>
          <w:i/>
          <w:iCs/>
          <w:highlight w:val="yellow"/>
          <w:lang w:val="en-US"/>
        </w:rPr>
        <w:t>Environmental Science and Pollution Research</w:t>
      </w:r>
      <w:r w:rsidRPr="005C2006">
        <w:rPr>
          <w:rFonts w:ascii="Times New Roman" w:hAnsi="Times New Roman" w:cs="Times New Roman"/>
          <w:highlight w:val="yellow"/>
          <w:lang w:val="en-US"/>
        </w:rPr>
        <w:t>, 29(14), 21105–21121.</w:t>
      </w:r>
    </w:p>
    <w:p w14:paraId="6FD81875"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Mohamed, P. (2011). Effects of multicollinearity on the estimation of macroeconomic variables by using data from Sudan.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367. </w:t>
      </w:r>
    </w:p>
    <w:p w14:paraId="502F38FD"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Mueller, G., &amp; Rigdon, S. (2015). The constant shape parameter assumption in Weibull regression. </w:t>
      </w:r>
      <w:r w:rsidRPr="00734744">
        <w:rPr>
          <w:rFonts w:ascii="Times New Roman" w:hAnsi="Times New Roman" w:cs="Times New Roman"/>
          <w:i/>
          <w:iCs/>
          <w:color w:val="000000" w:themeColor="text1"/>
        </w:rPr>
        <w:t>Quality Engineering, 27</w:t>
      </w:r>
      <w:r w:rsidRPr="00734744">
        <w:rPr>
          <w:rFonts w:ascii="Times New Roman" w:hAnsi="Times New Roman" w:cs="Times New Roman"/>
          <w:color w:val="000000" w:themeColor="text1"/>
        </w:rPr>
        <w:t xml:space="preserve">(3), 374–392. </w:t>
      </w:r>
    </w:p>
    <w:p w14:paraId="3EAA1EBF"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Mugenda, O. M., &amp; Mugenda, A. G. (2013). </w:t>
      </w:r>
      <w:r w:rsidRPr="00734744">
        <w:rPr>
          <w:rFonts w:ascii="Times New Roman" w:hAnsi="Times New Roman" w:cs="Times New Roman"/>
          <w:i/>
          <w:iCs/>
          <w:color w:val="000000" w:themeColor="text1"/>
        </w:rPr>
        <w:t>Research methods: Quantitative and qualitative approaches</w:t>
      </w:r>
      <w:r w:rsidRPr="00734744">
        <w:rPr>
          <w:rFonts w:ascii="Times New Roman" w:hAnsi="Times New Roman" w:cs="Times New Roman"/>
          <w:color w:val="000000" w:themeColor="text1"/>
        </w:rPr>
        <w:t>. Acts Press.</w:t>
      </w:r>
    </w:p>
    <w:p w14:paraId="1F6A6140"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Musyoka, N., &amp; </w:t>
      </w:r>
      <w:proofErr w:type="spellStart"/>
      <w:r w:rsidRPr="00734744">
        <w:rPr>
          <w:rFonts w:ascii="Times New Roman" w:hAnsi="Times New Roman" w:cs="Times New Roman"/>
          <w:color w:val="000000" w:themeColor="text1"/>
        </w:rPr>
        <w:t>Ocharo</w:t>
      </w:r>
      <w:proofErr w:type="spellEnd"/>
      <w:r w:rsidRPr="00734744">
        <w:rPr>
          <w:rFonts w:ascii="Times New Roman" w:hAnsi="Times New Roman" w:cs="Times New Roman"/>
          <w:color w:val="000000" w:themeColor="text1"/>
        </w:rPr>
        <w:t xml:space="preserve">, K. (2018). Real interest rate, inflation, exchange rate, competitiveness and foreign direct investment in Kenya. </w:t>
      </w:r>
      <w:r w:rsidRPr="00734744">
        <w:rPr>
          <w:rFonts w:ascii="Times New Roman" w:hAnsi="Times New Roman" w:cs="Times New Roman"/>
          <w:i/>
          <w:iCs/>
          <w:color w:val="000000" w:themeColor="text1"/>
        </w:rPr>
        <w:t>American Journal of Economics, 3</w:t>
      </w:r>
      <w:r w:rsidRPr="00734744">
        <w:rPr>
          <w:rFonts w:ascii="Times New Roman" w:hAnsi="Times New Roman" w:cs="Times New Roman"/>
          <w:color w:val="000000" w:themeColor="text1"/>
        </w:rPr>
        <w:t xml:space="preserve">(1), 1–18. </w:t>
      </w:r>
    </w:p>
    <w:p w14:paraId="4F21A240" w14:textId="77777777" w:rsidR="00CD3D5D" w:rsidRPr="005C2006" w:rsidRDefault="00CD3D5D"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Mwangi, S. W., &amp; Kamau, R. N. (2022). Exchange rate volatility, currency depreciation, and foreign direct investment in Kenya. </w:t>
      </w:r>
      <w:r w:rsidRPr="005C2006">
        <w:rPr>
          <w:rFonts w:ascii="Times New Roman" w:hAnsi="Times New Roman" w:cs="Times New Roman"/>
          <w:i/>
          <w:iCs/>
          <w:highlight w:val="yellow"/>
          <w:lang w:val="en-US"/>
        </w:rPr>
        <w:t>Journal of Emerging Market Finance</w:t>
      </w:r>
      <w:r w:rsidRPr="005C2006">
        <w:rPr>
          <w:rFonts w:ascii="Times New Roman" w:hAnsi="Times New Roman" w:cs="Times New Roman"/>
          <w:highlight w:val="yellow"/>
          <w:lang w:val="en-US"/>
        </w:rPr>
        <w:t>, 21(4), 488–511.</w:t>
      </w:r>
    </w:p>
    <w:p w14:paraId="585A4E76" w14:textId="77777777" w:rsidR="00CD3D5D" w:rsidRPr="00CD3D5D" w:rsidRDefault="00CD3D5D"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 xml:space="preserve">Mwenda, S. N., &amp; </w:t>
      </w:r>
      <w:proofErr w:type="spellStart"/>
      <w:r w:rsidRPr="00CD3D5D">
        <w:rPr>
          <w:rFonts w:ascii="Times New Roman" w:hAnsi="Times New Roman" w:cs="Times New Roman"/>
          <w:highlight w:val="yellow"/>
        </w:rPr>
        <w:t>Wasseja</w:t>
      </w:r>
      <w:proofErr w:type="spellEnd"/>
      <w:r w:rsidRPr="00CD3D5D">
        <w:rPr>
          <w:rFonts w:ascii="Times New Roman" w:hAnsi="Times New Roman" w:cs="Times New Roman"/>
          <w:highlight w:val="yellow"/>
        </w:rPr>
        <w:t>, M. (2013). Analysis of the Determinants of Foreign Direct Investment in Kenya.</w:t>
      </w:r>
    </w:p>
    <w:p w14:paraId="1B80DD36"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Nduati, M. (2018). </w:t>
      </w:r>
      <w:r w:rsidRPr="00734744">
        <w:rPr>
          <w:rFonts w:ascii="Times New Roman" w:hAnsi="Times New Roman" w:cs="Times New Roman"/>
          <w:i/>
          <w:iCs/>
          <w:color w:val="000000" w:themeColor="text1"/>
        </w:rPr>
        <w:t>The effect of inflation rate on foreign direct investments in Kenya</w:t>
      </w:r>
      <w:r w:rsidRPr="00734744">
        <w:rPr>
          <w:rFonts w:ascii="Times New Roman" w:hAnsi="Times New Roman" w:cs="Times New Roman"/>
          <w:color w:val="000000" w:themeColor="text1"/>
        </w:rPr>
        <w:t xml:space="preserve"> (Doctoral dissertation). University of Nairobi. </w:t>
      </w:r>
    </w:p>
    <w:p w14:paraId="39B31A03"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Nikonenko, U., </w:t>
      </w:r>
      <w:proofErr w:type="spellStart"/>
      <w:r w:rsidRPr="00CD3D5D">
        <w:rPr>
          <w:rFonts w:ascii="Times New Roman" w:hAnsi="Times New Roman" w:cs="Times New Roman"/>
          <w:color w:val="000000" w:themeColor="text1"/>
          <w:highlight w:val="yellow"/>
        </w:rPr>
        <w:t>Shtets</w:t>
      </w:r>
      <w:proofErr w:type="spellEnd"/>
      <w:r w:rsidRPr="00CD3D5D">
        <w:rPr>
          <w:rFonts w:ascii="Times New Roman" w:hAnsi="Times New Roman" w:cs="Times New Roman"/>
          <w:color w:val="000000" w:themeColor="text1"/>
          <w:highlight w:val="yellow"/>
        </w:rPr>
        <w:t>, T., Kalinin, A., Dorosh, I., &amp; Sokolik, L. (2022). Assessing the Policy of Attracting Investments in the Main Sectors of the Economy in the Context of Introducing Aspects of Industry 4.0. </w:t>
      </w:r>
      <w:r w:rsidRPr="00CD3D5D">
        <w:rPr>
          <w:rFonts w:ascii="Times New Roman" w:hAnsi="Times New Roman" w:cs="Times New Roman"/>
          <w:i/>
          <w:iCs/>
          <w:color w:val="000000" w:themeColor="text1"/>
          <w:highlight w:val="yellow"/>
        </w:rPr>
        <w:t>International Journal of Sustainable Development &amp; Planning</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17</w:t>
      </w:r>
      <w:r w:rsidRPr="00CD3D5D">
        <w:rPr>
          <w:rFonts w:ascii="Times New Roman" w:hAnsi="Times New Roman" w:cs="Times New Roman"/>
          <w:color w:val="000000" w:themeColor="text1"/>
          <w:highlight w:val="yellow"/>
        </w:rPr>
        <w:t>(2), 497.</w:t>
      </w:r>
    </w:p>
    <w:p w14:paraId="26F9C42D"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Nosheen, M. (2013). Impact of foreign direct investment on gross domestic product. </w:t>
      </w:r>
      <w:r w:rsidRPr="00734744">
        <w:rPr>
          <w:rFonts w:ascii="Times New Roman" w:hAnsi="Times New Roman" w:cs="Times New Roman"/>
          <w:i/>
          <w:iCs/>
          <w:color w:val="000000" w:themeColor="text1"/>
        </w:rPr>
        <w:t>World Applied Sciences Journal, 24</w:t>
      </w:r>
      <w:r w:rsidRPr="00734744">
        <w:rPr>
          <w:rFonts w:ascii="Times New Roman" w:hAnsi="Times New Roman" w:cs="Times New Roman"/>
          <w:color w:val="000000" w:themeColor="text1"/>
        </w:rPr>
        <w:t xml:space="preserve">(10), 1358–1361. </w:t>
      </w:r>
    </w:p>
    <w:p w14:paraId="56E7B914" w14:textId="77777777" w:rsidR="00CD3D5D" w:rsidRPr="005C2006" w:rsidRDefault="00CD3D5D"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Nyongesa, D. O. (2023). Monetary policy rates, interest rate differentials, and foreign investment flows in Kenya. </w:t>
      </w:r>
      <w:r w:rsidRPr="005C2006">
        <w:rPr>
          <w:rFonts w:ascii="Times New Roman" w:hAnsi="Times New Roman" w:cs="Times New Roman"/>
          <w:i/>
          <w:iCs/>
          <w:highlight w:val="yellow"/>
          <w:lang w:val="en-US"/>
        </w:rPr>
        <w:t>Journal of Monetary and Economic Integration</w:t>
      </w:r>
      <w:r w:rsidRPr="005C2006">
        <w:rPr>
          <w:rFonts w:ascii="Times New Roman" w:hAnsi="Times New Roman" w:cs="Times New Roman"/>
          <w:highlight w:val="yellow"/>
          <w:lang w:val="en-US"/>
        </w:rPr>
        <w:t>, 15(2), 89–114.</w:t>
      </w:r>
    </w:p>
    <w:p w14:paraId="12B42017" w14:textId="77777777" w:rsidR="00CD3D5D" w:rsidRDefault="00CD3D5D" w:rsidP="005C2006">
      <w:pPr>
        <w:ind w:left="720" w:hanging="720"/>
        <w:jc w:val="both"/>
        <w:rPr>
          <w:rFonts w:ascii="Times New Roman" w:hAnsi="Times New Roman" w:cs="Times New Roman"/>
          <w:lang w:val="en-US"/>
        </w:rPr>
      </w:pPr>
      <w:r w:rsidRPr="005C2006">
        <w:rPr>
          <w:rFonts w:ascii="Times New Roman" w:hAnsi="Times New Roman" w:cs="Times New Roman"/>
          <w:highlight w:val="yellow"/>
          <w:lang w:val="en-US"/>
        </w:rPr>
        <w:t xml:space="preserve">Ochieng, P. A., &amp; Odhiambo, N. M. (2023). Market size, economic growth, and foreign direct investment inflows in Kenya: A dynamic econometric analysis. </w:t>
      </w:r>
      <w:r w:rsidRPr="005C2006">
        <w:rPr>
          <w:rFonts w:ascii="Times New Roman" w:hAnsi="Times New Roman" w:cs="Times New Roman"/>
          <w:i/>
          <w:iCs/>
          <w:highlight w:val="yellow"/>
          <w:lang w:val="en-US"/>
        </w:rPr>
        <w:t>Journal of Economic Studies</w:t>
      </w:r>
      <w:r w:rsidRPr="005C2006">
        <w:rPr>
          <w:rFonts w:ascii="Times New Roman" w:hAnsi="Times New Roman" w:cs="Times New Roman"/>
          <w:highlight w:val="yellow"/>
          <w:lang w:val="en-US"/>
        </w:rPr>
        <w:t>, 50(5), 1021–1038.</w:t>
      </w:r>
    </w:p>
    <w:p w14:paraId="233FD472"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Omondi, M., &amp; Muturi, W. (2013). Factors affecting the financial performance of listed companies at the Nairobi Securities Exchange in Kenya. </w:t>
      </w:r>
      <w:r w:rsidRPr="00734744">
        <w:rPr>
          <w:rFonts w:ascii="Times New Roman" w:hAnsi="Times New Roman" w:cs="Times New Roman"/>
          <w:i/>
          <w:iCs/>
          <w:color w:val="000000" w:themeColor="text1"/>
        </w:rPr>
        <w:t>Research Journal of Finance and Accounting, 4</w:t>
      </w:r>
      <w:r w:rsidRPr="00734744">
        <w:rPr>
          <w:rFonts w:ascii="Times New Roman" w:hAnsi="Times New Roman" w:cs="Times New Roman"/>
          <w:color w:val="000000" w:themeColor="text1"/>
        </w:rPr>
        <w:t xml:space="preserve">(15), 99–104. </w:t>
      </w:r>
    </w:p>
    <w:p w14:paraId="62C5D4D5" w14:textId="77777777" w:rsidR="00CD3D5D" w:rsidRPr="00734744"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Ouma, L. B. (2021). The question of regional integration in Africa: A critical analysis of Kenya's trade, infrastructure, and security in the context of the AFCFTA.</w:t>
      </w:r>
    </w:p>
    <w:p w14:paraId="5A82CACA"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Paul, M., &amp; Sharma, P. (2019). Inflation Rate and Poverty: Does Poor become Poorer with Inflation?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3328539. </w:t>
      </w:r>
    </w:p>
    <w:p w14:paraId="66AA984C"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Phillips, P. C. B., &amp; Perron, P. (1988). Testing for a unit root in time series regression. </w:t>
      </w:r>
      <w:proofErr w:type="spellStart"/>
      <w:r w:rsidRPr="00734744">
        <w:rPr>
          <w:rFonts w:ascii="Times New Roman" w:hAnsi="Times New Roman" w:cs="Times New Roman"/>
          <w:i/>
          <w:iCs/>
          <w:color w:val="000000" w:themeColor="text1"/>
        </w:rPr>
        <w:t>Biometrika</w:t>
      </w:r>
      <w:proofErr w:type="spellEnd"/>
      <w:r w:rsidRPr="00734744">
        <w:rPr>
          <w:rFonts w:ascii="Times New Roman" w:hAnsi="Times New Roman" w:cs="Times New Roman"/>
          <w:i/>
          <w:iCs/>
          <w:color w:val="000000" w:themeColor="text1"/>
        </w:rPr>
        <w:t>, 75</w:t>
      </w:r>
      <w:r w:rsidRPr="00734744">
        <w:rPr>
          <w:rFonts w:ascii="Times New Roman" w:hAnsi="Times New Roman" w:cs="Times New Roman"/>
          <w:color w:val="000000" w:themeColor="text1"/>
        </w:rPr>
        <w:t xml:space="preserve">(2), 335–346. </w:t>
      </w:r>
      <w:hyperlink r:id="rId8" w:tgtFrame="_new" w:history="1">
        <w:r w:rsidRPr="00734744">
          <w:rPr>
            <w:rStyle w:val="Hyperlink"/>
            <w:rFonts w:ascii="Times New Roman" w:hAnsi="Times New Roman" w:cs="Times New Roman"/>
            <w:color w:val="000000" w:themeColor="text1"/>
            <w:u w:val="none"/>
          </w:rPr>
          <w:t>https://doi.org/10.1093/biomet/75.2.335</w:t>
        </w:r>
      </w:hyperlink>
    </w:p>
    <w:p w14:paraId="39A1918C"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Pilarska, C. (2015). The Importance of Inward Foreign Direct Investment during the Transformation Process in Poland with a Focus on American Investment. </w:t>
      </w:r>
      <w:r w:rsidRPr="00734744">
        <w:rPr>
          <w:rFonts w:ascii="Times New Roman" w:hAnsi="Times New Roman" w:cs="Times New Roman"/>
          <w:i/>
          <w:iCs/>
          <w:color w:val="000000" w:themeColor="text1"/>
        </w:rPr>
        <w:t xml:space="preserve">Argumenta </w:t>
      </w:r>
      <w:proofErr w:type="spellStart"/>
      <w:r w:rsidRPr="00734744">
        <w:rPr>
          <w:rFonts w:ascii="Times New Roman" w:hAnsi="Times New Roman" w:cs="Times New Roman"/>
          <w:i/>
          <w:iCs/>
          <w:color w:val="000000" w:themeColor="text1"/>
        </w:rPr>
        <w:t>Oeconomica</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Cracoviensia</w:t>
      </w:r>
      <w:proofErr w:type="spellEnd"/>
      <w:r w:rsidRPr="00734744">
        <w:rPr>
          <w:rFonts w:ascii="Times New Roman" w:hAnsi="Times New Roman" w:cs="Times New Roman"/>
          <w:color w:val="000000" w:themeColor="text1"/>
        </w:rPr>
        <w:t xml:space="preserve">, (13), 103–125. </w:t>
      </w:r>
    </w:p>
    <w:p w14:paraId="06597DF5" w14:textId="77777777" w:rsidR="00CD3D5D" w:rsidRPr="00CD3D5D" w:rsidRDefault="00CD3D5D"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Shittu, S. A., Adewale, A. A., &amp; Agyemang, J. K. (2025). How Monetary Policy and Macroeconomic Instability Influence Foreign Direct </w:t>
      </w:r>
      <w:proofErr w:type="gramStart"/>
      <w:r w:rsidRPr="00CD3D5D">
        <w:rPr>
          <w:rFonts w:ascii="Times New Roman" w:hAnsi="Times New Roman" w:cs="Times New Roman"/>
          <w:color w:val="000000" w:themeColor="text1"/>
          <w:highlight w:val="yellow"/>
        </w:rPr>
        <w:t>Investment?.</w:t>
      </w:r>
      <w:proofErr w:type="gramEnd"/>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Journal of Accounting and Finance in Emerging 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11</w:t>
      </w:r>
      <w:r w:rsidRPr="00CD3D5D">
        <w:rPr>
          <w:rFonts w:ascii="Times New Roman" w:hAnsi="Times New Roman" w:cs="Times New Roman"/>
          <w:color w:val="000000" w:themeColor="text1"/>
          <w:highlight w:val="yellow"/>
        </w:rPr>
        <w:t>(4), 483-498.</w:t>
      </w:r>
    </w:p>
    <w:p w14:paraId="3241C82B"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Siddiqui, H. A., &amp; </w:t>
      </w:r>
      <w:proofErr w:type="spellStart"/>
      <w:r w:rsidRPr="00734744">
        <w:rPr>
          <w:rFonts w:ascii="Times New Roman" w:hAnsi="Times New Roman" w:cs="Times New Roman"/>
          <w:color w:val="000000" w:themeColor="text1"/>
        </w:rPr>
        <w:t>Aumeboonsuke</w:t>
      </w:r>
      <w:proofErr w:type="spellEnd"/>
      <w:r w:rsidRPr="00734744">
        <w:rPr>
          <w:rFonts w:ascii="Times New Roman" w:hAnsi="Times New Roman" w:cs="Times New Roman"/>
          <w:color w:val="000000" w:themeColor="text1"/>
        </w:rPr>
        <w:t xml:space="preserve">, V. (2014). The role of interest rate in attracting FDI: A study on the ASEAN 5 economy. </w:t>
      </w:r>
      <w:r w:rsidRPr="00734744">
        <w:rPr>
          <w:rFonts w:ascii="Times New Roman" w:hAnsi="Times New Roman" w:cs="Times New Roman"/>
          <w:i/>
          <w:iCs/>
          <w:color w:val="000000" w:themeColor="text1"/>
        </w:rPr>
        <w:t>International Journal of Technical Research and Applications, 2</w:t>
      </w:r>
      <w:r w:rsidRPr="00734744">
        <w:rPr>
          <w:rFonts w:ascii="Times New Roman" w:hAnsi="Times New Roman" w:cs="Times New Roman"/>
          <w:color w:val="000000" w:themeColor="text1"/>
        </w:rPr>
        <w:t xml:space="preserve">(Special Issue 3), 59–70. </w:t>
      </w:r>
    </w:p>
    <w:p w14:paraId="20A8DAE3"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Singh, S., &amp; Janor, H. (2019). Study on the causality nexus between macroeconomic variables using Vector Error Correction Modelling.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56. </w:t>
      </w:r>
    </w:p>
    <w:p w14:paraId="08E1F1F6" w14:textId="77777777" w:rsidR="00CD3D5D"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Ullah, I., &amp; Khan, M. A. (2017). Institutional quality and foreign direct investment inflows: evidence from Asian countries. </w:t>
      </w:r>
      <w:r w:rsidRPr="00280A29">
        <w:rPr>
          <w:rFonts w:ascii="Times New Roman" w:hAnsi="Times New Roman" w:cs="Times New Roman"/>
          <w:i/>
          <w:iCs/>
          <w:color w:val="000000" w:themeColor="text1"/>
        </w:rPr>
        <w:t>Journal of Economic Studies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44</w:t>
      </w:r>
      <w:r w:rsidRPr="00280A29">
        <w:rPr>
          <w:rFonts w:ascii="Times New Roman" w:hAnsi="Times New Roman" w:cs="Times New Roman"/>
          <w:color w:val="000000" w:themeColor="text1"/>
        </w:rPr>
        <w:t xml:space="preserve">(6), 1030-1050. </w:t>
      </w:r>
    </w:p>
    <w:p w14:paraId="5F0C2662"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Usman, M., &amp; Ahmad, M. (2018). Testing The Relationship Among Macroeconomic Variables and Foreign Direct Investment Inflows in Pakistan. </w:t>
      </w:r>
      <w:r w:rsidRPr="00734744">
        <w:rPr>
          <w:rFonts w:ascii="Times New Roman" w:hAnsi="Times New Roman" w:cs="Times New Roman"/>
          <w:i/>
          <w:iCs/>
          <w:color w:val="000000" w:themeColor="text1"/>
        </w:rPr>
        <w:t>Scientific Research Journal, VI</w:t>
      </w:r>
      <w:r w:rsidRPr="00734744">
        <w:rPr>
          <w:rFonts w:ascii="Times New Roman" w:hAnsi="Times New Roman" w:cs="Times New Roman"/>
          <w:color w:val="000000" w:themeColor="text1"/>
        </w:rPr>
        <w:t xml:space="preserve">(VIII). </w:t>
      </w:r>
    </w:p>
    <w:p w14:paraId="70296A65" w14:textId="77777777" w:rsidR="00CD3D5D" w:rsidRPr="00734744" w:rsidRDefault="00CD3D5D"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Vincent, A. E., </w:t>
      </w:r>
      <w:proofErr w:type="spellStart"/>
      <w:r w:rsidRPr="00280A29">
        <w:rPr>
          <w:rFonts w:ascii="Times New Roman" w:hAnsi="Times New Roman" w:cs="Times New Roman"/>
          <w:color w:val="000000" w:themeColor="text1"/>
        </w:rPr>
        <w:t>Salubi</w:t>
      </w:r>
      <w:proofErr w:type="spellEnd"/>
      <w:r w:rsidRPr="00280A29">
        <w:rPr>
          <w:rFonts w:ascii="Times New Roman" w:hAnsi="Times New Roman" w:cs="Times New Roman"/>
          <w:color w:val="000000" w:themeColor="text1"/>
        </w:rPr>
        <w:t xml:space="preserve">, I. L., &amp; Timothy, P. (2017). Evaluating The Effect </w:t>
      </w:r>
      <w:r>
        <w:rPr>
          <w:rFonts w:ascii="Times New Roman" w:hAnsi="Times New Roman" w:cs="Times New Roman"/>
          <w:color w:val="000000" w:themeColor="text1"/>
        </w:rPr>
        <w:t>o</w:t>
      </w:r>
      <w:r w:rsidRPr="00280A29">
        <w:rPr>
          <w:rFonts w:ascii="Times New Roman" w:hAnsi="Times New Roman" w:cs="Times New Roman"/>
          <w:color w:val="000000" w:themeColor="text1"/>
        </w:rPr>
        <w:t xml:space="preserve">f Exchange Rate </w:t>
      </w:r>
      <w:r>
        <w:rPr>
          <w:rFonts w:ascii="Times New Roman" w:hAnsi="Times New Roman" w:cs="Times New Roman"/>
          <w:color w:val="000000" w:themeColor="text1"/>
        </w:rPr>
        <w:t>o</w:t>
      </w:r>
      <w:r w:rsidRPr="00280A29">
        <w:rPr>
          <w:rFonts w:ascii="Times New Roman" w:hAnsi="Times New Roman" w:cs="Times New Roman"/>
          <w:color w:val="000000" w:themeColor="text1"/>
        </w:rPr>
        <w:t>n Foreign Direct Investment (F</w:t>
      </w:r>
      <w:r>
        <w:rPr>
          <w:rFonts w:ascii="Times New Roman" w:hAnsi="Times New Roman" w:cs="Times New Roman"/>
          <w:color w:val="000000" w:themeColor="text1"/>
        </w:rPr>
        <w:t>DI</w:t>
      </w:r>
      <w:r w:rsidRPr="00280A29">
        <w:rPr>
          <w:rFonts w:ascii="Times New Roman" w:hAnsi="Times New Roman" w:cs="Times New Roman"/>
          <w:color w:val="000000" w:themeColor="text1"/>
        </w:rPr>
        <w:t xml:space="preserve">) </w:t>
      </w:r>
      <w:r>
        <w:rPr>
          <w:rFonts w:ascii="Times New Roman" w:hAnsi="Times New Roman" w:cs="Times New Roman"/>
          <w:color w:val="000000" w:themeColor="text1"/>
        </w:rPr>
        <w:t>i</w:t>
      </w:r>
      <w:r w:rsidRPr="00280A29">
        <w:rPr>
          <w:rFonts w:ascii="Times New Roman" w:hAnsi="Times New Roman" w:cs="Times New Roman"/>
          <w:color w:val="000000" w:themeColor="text1"/>
        </w:rPr>
        <w:t>n Nigeria. </w:t>
      </w:r>
      <w:r w:rsidRPr="00280A29">
        <w:rPr>
          <w:rFonts w:ascii="Times New Roman" w:hAnsi="Times New Roman" w:cs="Times New Roman"/>
          <w:i/>
          <w:iCs/>
          <w:color w:val="000000" w:themeColor="text1"/>
        </w:rPr>
        <w:t xml:space="preserve">Journal </w:t>
      </w:r>
      <w:r>
        <w:rPr>
          <w:rFonts w:ascii="Times New Roman" w:hAnsi="Times New Roman" w:cs="Times New Roman"/>
          <w:i/>
          <w:iCs/>
          <w:color w:val="000000" w:themeColor="text1"/>
        </w:rPr>
        <w:t>o</w:t>
      </w:r>
      <w:r w:rsidRPr="00280A29">
        <w:rPr>
          <w:rFonts w:ascii="Times New Roman" w:hAnsi="Times New Roman" w:cs="Times New Roman"/>
          <w:i/>
          <w:iCs/>
          <w:color w:val="000000" w:themeColor="text1"/>
        </w:rPr>
        <w:t xml:space="preserve">f Academic Research </w:t>
      </w:r>
      <w:r>
        <w:rPr>
          <w:rFonts w:ascii="Times New Roman" w:hAnsi="Times New Roman" w:cs="Times New Roman"/>
          <w:i/>
          <w:iCs/>
          <w:color w:val="000000" w:themeColor="text1"/>
        </w:rPr>
        <w:t>i</w:t>
      </w:r>
      <w:r w:rsidRPr="00280A29">
        <w:rPr>
          <w:rFonts w:ascii="Times New Roman" w:hAnsi="Times New Roman" w:cs="Times New Roman"/>
          <w:i/>
          <w:iCs/>
          <w:color w:val="000000" w:themeColor="text1"/>
        </w:rPr>
        <w:t>n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9</w:t>
      </w:r>
      <w:r w:rsidRPr="00280A29">
        <w:rPr>
          <w:rFonts w:ascii="Times New Roman" w:hAnsi="Times New Roman" w:cs="Times New Roman"/>
          <w:color w:val="000000" w:themeColor="text1"/>
        </w:rPr>
        <w:t>(1), 34.</w:t>
      </w:r>
      <w:r w:rsidRPr="00734744">
        <w:rPr>
          <w:rFonts w:ascii="Times New Roman" w:hAnsi="Times New Roman" w:cs="Times New Roman"/>
          <w:color w:val="000000" w:themeColor="text1"/>
        </w:rPr>
        <w:t xml:space="preserve"> </w:t>
      </w:r>
    </w:p>
    <w:p w14:paraId="7FE39B00" w14:textId="77777777" w:rsidR="00CD3D5D" w:rsidRPr="00734744" w:rsidRDefault="00CD3D5D"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Wang, G., Wei, Y., Qiao, S., Lin, P., &amp; Chen, Y. (2018). </w:t>
      </w:r>
      <w:r w:rsidRPr="00734744">
        <w:rPr>
          <w:rFonts w:ascii="Times New Roman" w:hAnsi="Times New Roman" w:cs="Times New Roman"/>
          <w:i/>
          <w:iCs/>
          <w:color w:val="000000" w:themeColor="text1"/>
        </w:rPr>
        <w:t>Generalized inverses: Theory and computations</w:t>
      </w:r>
      <w:r w:rsidRPr="00734744">
        <w:rPr>
          <w:rFonts w:ascii="Times New Roman" w:hAnsi="Times New Roman" w:cs="Times New Roman"/>
          <w:color w:val="000000" w:themeColor="text1"/>
        </w:rPr>
        <w:t xml:space="preserve"> (Vol. 53). Singapore: Springer. </w:t>
      </w:r>
    </w:p>
    <w:p w14:paraId="59BE4802" w14:textId="77777777" w:rsidR="00CD3D5D" w:rsidRPr="00734744" w:rsidRDefault="00CD3D5D"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lastRenderedPageBreak/>
        <w:t>Wasseja</w:t>
      </w:r>
      <w:proofErr w:type="spellEnd"/>
      <w:r w:rsidRPr="00734744">
        <w:rPr>
          <w:rFonts w:ascii="Times New Roman" w:hAnsi="Times New Roman" w:cs="Times New Roman"/>
          <w:color w:val="000000" w:themeColor="text1"/>
        </w:rPr>
        <w:t xml:space="preserve">, M., &amp; Mwenda, S. (2015). Analysis of the determinants of foreign direct investment in Kenya. </w:t>
      </w:r>
      <w:r w:rsidRPr="00734744">
        <w:rPr>
          <w:rFonts w:ascii="Times New Roman" w:hAnsi="Times New Roman" w:cs="Times New Roman"/>
          <w:i/>
          <w:iCs/>
          <w:color w:val="000000" w:themeColor="text1"/>
        </w:rPr>
        <w:t>Journal of Multidisciplinary Scientific Research, 3</w:t>
      </w:r>
      <w:r w:rsidRPr="00734744">
        <w:rPr>
          <w:rFonts w:ascii="Times New Roman" w:hAnsi="Times New Roman" w:cs="Times New Roman"/>
          <w:color w:val="000000" w:themeColor="text1"/>
        </w:rPr>
        <w:t>(4), 16–26.</w:t>
      </w:r>
    </w:p>
    <w:p w14:paraId="73DD5C0D" w14:textId="77777777" w:rsidR="00CD3D5D" w:rsidRPr="00CD3D5D" w:rsidRDefault="00CD3D5D"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Wondimu, M. (2023). An empirical investigation of the impact of foreign direct investment on economic growth in Ethiopia. </w:t>
      </w:r>
      <w:r w:rsidRPr="00CD3D5D">
        <w:rPr>
          <w:rFonts w:ascii="Times New Roman" w:hAnsi="Times New Roman" w:cs="Times New Roman"/>
          <w:i/>
          <w:iCs/>
          <w:highlight w:val="yellow"/>
        </w:rPr>
        <w:t>Cogent Economics &amp; Finance</w:t>
      </w:r>
      <w:r w:rsidRPr="00CD3D5D">
        <w:rPr>
          <w:rFonts w:ascii="Times New Roman" w:hAnsi="Times New Roman" w:cs="Times New Roman"/>
          <w:highlight w:val="yellow"/>
        </w:rPr>
        <w:t>, </w:t>
      </w:r>
      <w:r w:rsidRPr="00CD3D5D">
        <w:rPr>
          <w:rFonts w:ascii="Times New Roman" w:hAnsi="Times New Roman" w:cs="Times New Roman"/>
          <w:i/>
          <w:iCs/>
          <w:highlight w:val="yellow"/>
        </w:rPr>
        <w:t>11</w:t>
      </w:r>
      <w:r w:rsidRPr="00CD3D5D">
        <w:rPr>
          <w:rFonts w:ascii="Times New Roman" w:hAnsi="Times New Roman" w:cs="Times New Roman"/>
          <w:highlight w:val="yellow"/>
        </w:rPr>
        <w:t>(2), 2281176.</w:t>
      </w:r>
    </w:p>
    <w:p w14:paraId="0E214B13" w14:textId="77777777" w:rsidR="00CD3D5D" w:rsidRPr="00CD3D5D" w:rsidRDefault="00CD3D5D" w:rsidP="0041222D">
      <w:pPr>
        <w:ind w:left="720" w:hanging="720"/>
        <w:rPr>
          <w:rFonts w:ascii="Times New Roman" w:hAnsi="Times New Roman" w:cs="Times New Roman"/>
          <w:color w:val="000000" w:themeColor="text1"/>
          <w:highlight w:val="yellow"/>
          <w:lang w:val="en-US"/>
        </w:rPr>
      </w:pPr>
      <w:r w:rsidRPr="0041222D">
        <w:rPr>
          <w:rFonts w:ascii="Times New Roman" w:hAnsi="Times New Roman" w:cs="Times New Roman"/>
          <w:color w:val="000000" w:themeColor="text1"/>
          <w:highlight w:val="yellow"/>
          <w:lang w:val="en-US"/>
        </w:rPr>
        <w:t xml:space="preserve">World Bank. (2013). </w:t>
      </w:r>
      <w:r w:rsidRPr="0041222D">
        <w:rPr>
          <w:rFonts w:ascii="Times New Roman" w:hAnsi="Times New Roman" w:cs="Times New Roman"/>
          <w:i/>
          <w:iCs/>
          <w:color w:val="000000" w:themeColor="text1"/>
          <w:highlight w:val="yellow"/>
          <w:lang w:val="en-US"/>
        </w:rPr>
        <w:t>World Development Indicators 2013</w:t>
      </w:r>
      <w:r w:rsidRPr="0041222D">
        <w:rPr>
          <w:rFonts w:ascii="Times New Roman" w:hAnsi="Times New Roman" w:cs="Times New Roman"/>
          <w:color w:val="000000" w:themeColor="text1"/>
          <w:highlight w:val="yellow"/>
          <w:lang w:val="en-US"/>
        </w:rPr>
        <w:t xml:space="preserve">. World Bank Group. Available at </w:t>
      </w:r>
      <w:hyperlink r:id="rId9" w:tgtFrame="_blank" w:history="1">
        <w:r w:rsidRPr="0041222D">
          <w:rPr>
            <w:rStyle w:val="Hyperlink"/>
            <w:rFonts w:ascii="Times New Roman" w:hAnsi="Times New Roman" w:cs="Times New Roman"/>
            <w:color w:val="000000" w:themeColor="text1"/>
            <w:highlight w:val="yellow"/>
            <w:u w:val="none"/>
            <w:lang w:val="en-US"/>
          </w:rPr>
          <w:t>World Bank Open Data Portal</w:t>
        </w:r>
      </w:hyperlink>
      <w:r w:rsidRPr="0041222D">
        <w:rPr>
          <w:rFonts w:ascii="Times New Roman" w:hAnsi="Times New Roman" w:cs="Times New Roman"/>
          <w:color w:val="000000" w:themeColor="text1"/>
          <w:highlight w:val="yellow"/>
          <w:lang w:val="en-US"/>
        </w:rPr>
        <w:t>. [</w:t>
      </w:r>
      <w:hyperlink r:id="rId10" w:history="1">
        <w:r w:rsidRPr="0041222D">
          <w:rPr>
            <w:rStyle w:val="Hyperlink"/>
            <w:rFonts w:ascii="Times New Roman" w:hAnsi="Times New Roman" w:cs="Times New Roman"/>
            <w:color w:val="000000" w:themeColor="text1"/>
            <w:highlight w:val="yellow"/>
            <w:u w:val="none"/>
            <w:lang w:val="en-US"/>
          </w:rPr>
          <w:t>1</w:t>
        </w:r>
      </w:hyperlink>
      <w:r w:rsidRPr="0041222D">
        <w:rPr>
          <w:rFonts w:ascii="Times New Roman" w:hAnsi="Times New Roman" w:cs="Times New Roman"/>
          <w:color w:val="000000" w:themeColor="text1"/>
          <w:highlight w:val="yellow"/>
          <w:lang w:val="en-US"/>
        </w:rPr>
        <w:t xml:space="preserve">, </w:t>
      </w:r>
      <w:hyperlink r:id="rId11" w:history="1">
        <w:r w:rsidRPr="0041222D">
          <w:rPr>
            <w:rStyle w:val="Hyperlink"/>
            <w:rFonts w:ascii="Times New Roman" w:hAnsi="Times New Roman" w:cs="Times New Roman"/>
            <w:color w:val="000000" w:themeColor="text1"/>
            <w:highlight w:val="yellow"/>
            <w:u w:val="none"/>
            <w:lang w:val="en-US"/>
          </w:rPr>
          <w:t>2</w:t>
        </w:r>
      </w:hyperlink>
      <w:r w:rsidRPr="0041222D">
        <w:rPr>
          <w:rFonts w:ascii="Times New Roman" w:hAnsi="Times New Roman" w:cs="Times New Roman"/>
          <w:color w:val="000000" w:themeColor="text1"/>
          <w:highlight w:val="yellow"/>
          <w:lang w:val="en-US"/>
        </w:rPr>
        <w:t>]</w:t>
      </w:r>
      <w:r w:rsidRPr="00CD3D5D">
        <w:rPr>
          <w:rFonts w:ascii="Times New Roman" w:hAnsi="Times New Roman" w:cs="Times New Roman"/>
          <w:color w:val="000000" w:themeColor="text1"/>
          <w:highlight w:val="yellow"/>
          <w:lang w:val="en-US"/>
        </w:rPr>
        <w:t>.</w:t>
      </w:r>
    </w:p>
    <w:p w14:paraId="2E49BE31" w14:textId="77777777" w:rsidR="00CD3D5D" w:rsidRPr="00CD3D5D" w:rsidRDefault="00CD3D5D" w:rsidP="00F724EB">
      <w:pPr>
        <w:ind w:left="720" w:hanging="720"/>
        <w:rPr>
          <w:rFonts w:ascii="Times New Roman" w:hAnsi="Times New Roman" w:cs="Times New Roman"/>
          <w:i/>
          <w:iCs/>
          <w:color w:val="000000" w:themeColor="text1"/>
          <w:highlight w:val="yellow"/>
        </w:rPr>
      </w:pPr>
      <w:r w:rsidRPr="00CD3D5D">
        <w:rPr>
          <w:rFonts w:ascii="Times New Roman" w:hAnsi="Times New Roman" w:cs="Times New Roman"/>
          <w:i/>
          <w:iCs/>
          <w:color w:val="000000" w:themeColor="text1"/>
          <w:highlight w:val="yellow"/>
        </w:rPr>
        <w:t>World Bank. (2019). Kenya Economic Update: Accelerating Kenya’s Growth Pulse (Edition No. 20). World Bank Group. https://openknowledge.worldbank.org/entities/publication/e565c435-4e21-59b1-a319-485f31eb5151 [</w:t>
      </w:r>
      <w:hyperlink r:id="rId12" w:history="1">
        <w:r w:rsidRPr="00CD3D5D">
          <w:rPr>
            <w:rStyle w:val="Hyperlink"/>
            <w:rFonts w:ascii="Times New Roman" w:hAnsi="Times New Roman" w:cs="Times New Roman"/>
            <w:i/>
            <w:iCs/>
            <w:highlight w:val="yellow"/>
          </w:rPr>
          <w:t>1</w:t>
        </w:r>
      </w:hyperlink>
      <w:r w:rsidRPr="00CD3D5D">
        <w:rPr>
          <w:rFonts w:ascii="Times New Roman" w:hAnsi="Times New Roman" w:cs="Times New Roman"/>
          <w:i/>
          <w:iCs/>
          <w:color w:val="000000" w:themeColor="text1"/>
          <w:highlight w:val="yellow"/>
        </w:rPr>
        <w:t>]</w:t>
      </w:r>
    </w:p>
    <w:p w14:paraId="5E1230AC" w14:textId="77777777" w:rsidR="00CD3D5D" w:rsidRDefault="00CD3D5D" w:rsidP="005C2006">
      <w:pPr>
        <w:ind w:left="720" w:hanging="720"/>
        <w:jc w:val="both"/>
        <w:rPr>
          <w:rFonts w:ascii="Times New Roman" w:hAnsi="Times New Roman" w:cs="Times New Roman"/>
          <w:color w:val="000000" w:themeColor="text1"/>
        </w:rPr>
      </w:pPr>
      <w:r w:rsidRPr="005C2006">
        <w:rPr>
          <w:rFonts w:ascii="Times New Roman" w:hAnsi="Times New Roman" w:cs="Times New Roman"/>
          <w:color w:val="000000" w:themeColor="text1"/>
          <w:highlight w:val="yellow"/>
        </w:rPr>
        <w:t xml:space="preserve">World Bank. (2023). </w:t>
      </w:r>
      <w:r w:rsidRPr="005C2006">
        <w:rPr>
          <w:rFonts w:ascii="Times New Roman" w:hAnsi="Times New Roman" w:cs="Times New Roman"/>
          <w:i/>
          <w:iCs/>
          <w:color w:val="000000" w:themeColor="text1"/>
          <w:highlight w:val="yellow"/>
        </w:rPr>
        <w:t>Kenya Economic Update: Navigating Global Headwinds and Accelerating Structural Reforms</w:t>
      </w:r>
      <w:r w:rsidRPr="005C2006">
        <w:rPr>
          <w:rFonts w:ascii="Times New Roman" w:hAnsi="Times New Roman" w:cs="Times New Roman"/>
          <w:color w:val="000000" w:themeColor="text1"/>
          <w:highlight w:val="yellow"/>
        </w:rPr>
        <w:t>. World Bank Group, Washington D.C.</w:t>
      </w:r>
    </w:p>
    <w:p w14:paraId="7AE20C46" w14:textId="77777777" w:rsidR="00CD3D5D" w:rsidRPr="005C2006" w:rsidRDefault="00CD3D5D" w:rsidP="005C2006">
      <w:pPr>
        <w:ind w:left="720" w:hanging="720"/>
        <w:jc w:val="both"/>
        <w:rPr>
          <w:rFonts w:ascii="Times New Roman" w:hAnsi="Times New Roman" w:cs="Times New Roman"/>
        </w:rPr>
      </w:pPr>
      <w:proofErr w:type="spellStart"/>
      <w:r w:rsidRPr="005C2006">
        <w:rPr>
          <w:rFonts w:ascii="Times New Roman" w:hAnsi="Times New Roman" w:cs="Times New Roman"/>
        </w:rPr>
        <w:t>Xaypanya</w:t>
      </w:r>
      <w:proofErr w:type="spellEnd"/>
      <w:r w:rsidRPr="005C2006">
        <w:rPr>
          <w:rFonts w:ascii="Times New Roman" w:hAnsi="Times New Roman" w:cs="Times New Roman"/>
        </w:rPr>
        <w:t xml:space="preserve">, P., </w:t>
      </w:r>
      <w:proofErr w:type="spellStart"/>
      <w:r w:rsidRPr="005C2006">
        <w:rPr>
          <w:rFonts w:ascii="Times New Roman" w:hAnsi="Times New Roman" w:cs="Times New Roman"/>
        </w:rPr>
        <w:t>Rangkakulnuwat</w:t>
      </w:r>
      <w:proofErr w:type="spellEnd"/>
      <w:r w:rsidRPr="005C2006">
        <w:rPr>
          <w:rFonts w:ascii="Times New Roman" w:hAnsi="Times New Roman" w:cs="Times New Roman"/>
        </w:rPr>
        <w:t xml:space="preserve">, P., &amp; </w:t>
      </w:r>
      <w:proofErr w:type="spellStart"/>
      <w:r w:rsidRPr="005C2006">
        <w:rPr>
          <w:rFonts w:ascii="Times New Roman" w:hAnsi="Times New Roman" w:cs="Times New Roman"/>
        </w:rPr>
        <w:t>Warunsiri</w:t>
      </w:r>
      <w:proofErr w:type="spellEnd"/>
      <w:r w:rsidRPr="005C2006">
        <w:rPr>
          <w:rFonts w:ascii="Times New Roman" w:hAnsi="Times New Roman" w:cs="Times New Roman"/>
        </w:rPr>
        <w:t xml:space="preserve"> </w:t>
      </w:r>
      <w:proofErr w:type="spellStart"/>
      <w:r w:rsidRPr="005C2006">
        <w:rPr>
          <w:rFonts w:ascii="Times New Roman" w:hAnsi="Times New Roman" w:cs="Times New Roman"/>
        </w:rPr>
        <w:t>Paweenawat</w:t>
      </w:r>
      <w:proofErr w:type="spellEnd"/>
      <w:r w:rsidRPr="005C2006">
        <w:rPr>
          <w:rFonts w:ascii="Times New Roman" w:hAnsi="Times New Roman" w:cs="Times New Roman"/>
        </w:rPr>
        <w:t xml:space="preserve">, S. (2015). The determinants of foreign direct investment in ASEAN: The first differencing panel data analysis. </w:t>
      </w:r>
      <w:r w:rsidRPr="005C2006">
        <w:rPr>
          <w:rFonts w:ascii="Times New Roman" w:hAnsi="Times New Roman" w:cs="Times New Roman"/>
          <w:i/>
          <w:iCs/>
        </w:rPr>
        <w:t>International Journal of Social Economics, 42</w:t>
      </w:r>
      <w:r w:rsidRPr="005C2006">
        <w:rPr>
          <w:rFonts w:ascii="Times New Roman" w:hAnsi="Times New Roman" w:cs="Times New Roman"/>
        </w:rPr>
        <w:t xml:space="preserve">(3), 239–250. </w:t>
      </w:r>
      <w:hyperlink r:id="rId13" w:history="1">
        <w:r w:rsidRPr="005C2006">
          <w:rPr>
            <w:rStyle w:val="Hyperlink"/>
            <w:rFonts w:ascii="Times New Roman" w:hAnsi="Times New Roman" w:cs="Times New Roman"/>
            <w:color w:val="auto"/>
            <w:u w:val="none"/>
          </w:rPr>
          <w:t>https://doi.org/10.1108/IJSE-10-2013-0238</w:t>
        </w:r>
      </w:hyperlink>
      <w:r w:rsidRPr="005C2006">
        <w:rPr>
          <w:rFonts w:ascii="Times New Roman" w:hAnsi="Times New Roman" w:cs="Times New Roman"/>
        </w:rPr>
        <w:t>.</w:t>
      </w:r>
    </w:p>
    <w:p w14:paraId="27988085" w14:textId="77777777" w:rsidR="0041222D" w:rsidRPr="00E20227" w:rsidRDefault="0041222D" w:rsidP="00F724EB">
      <w:pPr>
        <w:ind w:left="720" w:hanging="720"/>
        <w:rPr>
          <w:rFonts w:ascii="Times New Roman" w:hAnsi="Times New Roman" w:cs="Times New Roman"/>
        </w:rPr>
      </w:pPr>
    </w:p>
    <w:p w14:paraId="1A40778B" w14:textId="77777777" w:rsidR="00ED7308" w:rsidRPr="00734744" w:rsidRDefault="00ED7308" w:rsidP="00530B02">
      <w:pPr>
        <w:ind w:left="720"/>
        <w:jc w:val="both"/>
        <w:rPr>
          <w:rFonts w:ascii="Times New Roman" w:hAnsi="Times New Roman" w:cs="Times New Roman"/>
        </w:rPr>
      </w:pPr>
    </w:p>
    <w:sectPr w:rsidR="00ED7308" w:rsidRPr="00734744">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B3962" w14:textId="77777777" w:rsidR="004A5AE5" w:rsidRDefault="004A5AE5" w:rsidP="00FE798B">
      <w:pPr>
        <w:spacing w:after="0" w:line="240" w:lineRule="auto"/>
      </w:pPr>
      <w:r>
        <w:separator/>
      </w:r>
    </w:p>
  </w:endnote>
  <w:endnote w:type="continuationSeparator" w:id="0">
    <w:p w14:paraId="0802BFE3" w14:textId="77777777" w:rsidR="004A5AE5" w:rsidRDefault="004A5AE5"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7452E075" w14:textId="0D4827A1"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C24FB9" w14:textId="77777777" w:rsidR="00A059D0" w:rsidRDefault="00A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92C7" w14:textId="77777777" w:rsidR="004A5AE5" w:rsidRDefault="004A5AE5" w:rsidP="00FE798B">
      <w:pPr>
        <w:spacing w:after="0" w:line="240" w:lineRule="auto"/>
      </w:pPr>
      <w:r>
        <w:separator/>
      </w:r>
    </w:p>
  </w:footnote>
  <w:footnote w:type="continuationSeparator" w:id="0">
    <w:p w14:paraId="2E17C9E4" w14:textId="77777777" w:rsidR="004A5AE5" w:rsidRDefault="004A5AE5" w:rsidP="00FE7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8451C"/>
    <w:multiLevelType w:val="hybridMultilevel"/>
    <w:tmpl w:val="08DA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D70FA"/>
    <w:multiLevelType w:val="multilevel"/>
    <w:tmpl w:val="CAB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361D08"/>
    <w:multiLevelType w:val="multilevel"/>
    <w:tmpl w:val="DA1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 w:numId="2" w16cid:durableId="1917477917">
    <w:abstractNumId w:val="3"/>
  </w:num>
  <w:num w:numId="3" w16cid:durableId="511263442">
    <w:abstractNumId w:val="1"/>
  </w:num>
  <w:num w:numId="4" w16cid:durableId="784229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33"/>
    <w:rsid w:val="000710FB"/>
    <w:rsid w:val="0009038C"/>
    <w:rsid w:val="000C4F1F"/>
    <w:rsid w:val="0015143C"/>
    <w:rsid w:val="001678A6"/>
    <w:rsid w:val="00174021"/>
    <w:rsid w:val="00192EC5"/>
    <w:rsid w:val="001C311B"/>
    <w:rsid w:val="001D23C2"/>
    <w:rsid w:val="001E6DD8"/>
    <w:rsid w:val="001F0F12"/>
    <w:rsid w:val="001F6C41"/>
    <w:rsid w:val="002160A0"/>
    <w:rsid w:val="002206A6"/>
    <w:rsid w:val="00222835"/>
    <w:rsid w:val="00226E13"/>
    <w:rsid w:val="002705F6"/>
    <w:rsid w:val="00280A29"/>
    <w:rsid w:val="00283084"/>
    <w:rsid w:val="002A0F7C"/>
    <w:rsid w:val="002A5579"/>
    <w:rsid w:val="002F0DB7"/>
    <w:rsid w:val="00321BDE"/>
    <w:rsid w:val="00395FE8"/>
    <w:rsid w:val="0041222D"/>
    <w:rsid w:val="004456DF"/>
    <w:rsid w:val="004A5305"/>
    <w:rsid w:val="004A5AE5"/>
    <w:rsid w:val="004A7826"/>
    <w:rsid w:val="004C781B"/>
    <w:rsid w:val="004E181B"/>
    <w:rsid w:val="004F291E"/>
    <w:rsid w:val="004F393C"/>
    <w:rsid w:val="00530B02"/>
    <w:rsid w:val="005372DE"/>
    <w:rsid w:val="005603C8"/>
    <w:rsid w:val="0056547E"/>
    <w:rsid w:val="00583D0F"/>
    <w:rsid w:val="005C2006"/>
    <w:rsid w:val="006022E0"/>
    <w:rsid w:val="00607611"/>
    <w:rsid w:val="006B2893"/>
    <w:rsid w:val="006C6216"/>
    <w:rsid w:val="006F1BB6"/>
    <w:rsid w:val="00713DD5"/>
    <w:rsid w:val="00734744"/>
    <w:rsid w:val="007808F9"/>
    <w:rsid w:val="007A01FE"/>
    <w:rsid w:val="007A2CE1"/>
    <w:rsid w:val="007A4E79"/>
    <w:rsid w:val="007B3574"/>
    <w:rsid w:val="007F66C9"/>
    <w:rsid w:val="008045F3"/>
    <w:rsid w:val="0082707E"/>
    <w:rsid w:val="00844604"/>
    <w:rsid w:val="00852094"/>
    <w:rsid w:val="0087116B"/>
    <w:rsid w:val="008A22A8"/>
    <w:rsid w:val="008B72CC"/>
    <w:rsid w:val="008C5C50"/>
    <w:rsid w:val="00973BC2"/>
    <w:rsid w:val="009A21A4"/>
    <w:rsid w:val="009A7968"/>
    <w:rsid w:val="009D7207"/>
    <w:rsid w:val="00A059D0"/>
    <w:rsid w:val="00A31F19"/>
    <w:rsid w:val="00A46DDB"/>
    <w:rsid w:val="00A66E58"/>
    <w:rsid w:val="00A94437"/>
    <w:rsid w:val="00A9788C"/>
    <w:rsid w:val="00AA1AD7"/>
    <w:rsid w:val="00AA3A5D"/>
    <w:rsid w:val="00B24BA0"/>
    <w:rsid w:val="00B31FF1"/>
    <w:rsid w:val="00B37433"/>
    <w:rsid w:val="00B632F0"/>
    <w:rsid w:val="00B93497"/>
    <w:rsid w:val="00B956CE"/>
    <w:rsid w:val="00BB50C4"/>
    <w:rsid w:val="00BB631A"/>
    <w:rsid w:val="00BD2AEB"/>
    <w:rsid w:val="00BE7FFD"/>
    <w:rsid w:val="00BF4163"/>
    <w:rsid w:val="00C16010"/>
    <w:rsid w:val="00C27914"/>
    <w:rsid w:val="00C55068"/>
    <w:rsid w:val="00C62A1D"/>
    <w:rsid w:val="00C86082"/>
    <w:rsid w:val="00C96DAF"/>
    <w:rsid w:val="00CD3D5D"/>
    <w:rsid w:val="00D06B6A"/>
    <w:rsid w:val="00D96149"/>
    <w:rsid w:val="00DD7DC3"/>
    <w:rsid w:val="00E20227"/>
    <w:rsid w:val="00E72B28"/>
    <w:rsid w:val="00EB72D7"/>
    <w:rsid w:val="00ED7308"/>
    <w:rsid w:val="00F11C04"/>
    <w:rsid w:val="00F26047"/>
    <w:rsid w:val="00F642F1"/>
    <w:rsid w:val="00F64B45"/>
    <w:rsid w:val="00F654CE"/>
    <w:rsid w:val="00F724EB"/>
    <w:rsid w:val="00FC6B52"/>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3910"/>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 w:type="paragraph" w:customStyle="1" w:styleId="z1qcye">
    <w:name w:val="z1qcye"/>
    <w:basedOn w:val="Normal"/>
    <w:rsid w:val="007A4E79"/>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inqyif">
    <w:name w:val="inqyif"/>
    <w:basedOn w:val="DefaultParagraphFont"/>
    <w:rsid w:val="007A4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iomet/75.2.335" TargetMode="External"/><Relationship Id="rId13" Type="http://schemas.openxmlformats.org/officeDocument/2006/relationships/hyperlink" Target="https://doi.org/10.1108/IJSE-10-2013-0238" TargetMode="External"/><Relationship Id="rId3" Type="http://schemas.openxmlformats.org/officeDocument/2006/relationships/settings" Target="settings.xml"/><Relationship Id="rId7" Type="http://schemas.openxmlformats.org/officeDocument/2006/relationships/hyperlink" Target="https://doi.org/10.2307/1912791" TargetMode="External"/><Relationship Id="rId12" Type="http://schemas.openxmlformats.org/officeDocument/2006/relationships/hyperlink" Target="https://openknowledge.worldbank.org/entities/publication/e565c435-4e21-59b1-a319-485f31eb515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jern.com/journal/2017/September-2017/03.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ata.worldbank.org/indicator/BX.KLT.DINV.CD.WD?locations=KE" TargetMode="External"/><Relationship Id="rId4" Type="http://schemas.openxmlformats.org/officeDocument/2006/relationships/webSettings" Target="webSettings.xml"/><Relationship Id="rId9" Type="http://schemas.openxmlformats.org/officeDocument/2006/relationships/hyperlink" Target="https://data.worldbank.org/indicator/BX.KLT.DINV.CD.WD?locations=K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10499</Words>
  <Characters>59846</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SDI 1022</cp:lastModifiedBy>
  <cp:revision>3</cp:revision>
  <dcterms:created xsi:type="dcterms:W3CDTF">2026-08-31T14:33:00Z</dcterms:created>
  <dcterms:modified xsi:type="dcterms:W3CDTF">2026-09-01T07:14:00Z</dcterms:modified>
</cp:coreProperties>
</file>