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D2BE" w14:textId="77777777" w:rsidR="00D71021" w:rsidRDefault="00D71021" w:rsidP="001A4FC7">
      <w:pPr>
        <w:rPr>
          <w:rFonts w:ascii="Times New Roman" w:hAnsi="Times New Roman"/>
          <w:b/>
          <w:iCs/>
          <w:sz w:val="24"/>
          <w:szCs w:val="24"/>
        </w:rPr>
      </w:pPr>
      <w:r w:rsidRPr="00D71021">
        <w:rPr>
          <w:rFonts w:ascii="Times New Roman" w:hAnsi="Times New Roman"/>
          <w:b/>
          <w:iCs/>
          <w:sz w:val="24"/>
          <w:szCs w:val="24"/>
        </w:rPr>
        <w:t>Original Research Article</w:t>
      </w:r>
    </w:p>
    <w:p w14:paraId="14B2BA50" w14:textId="77777777" w:rsidR="003577DB" w:rsidRPr="00FF22DE" w:rsidRDefault="001F46C2" w:rsidP="001A4FC7">
      <w:pPr>
        <w:rPr>
          <w:rFonts w:ascii="Times New Roman" w:hAnsi="Times New Roman"/>
          <w:b/>
          <w:sz w:val="24"/>
          <w:szCs w:val="24"/>
        </w:rPr>
      </w:pPr>
      <w:r w:rsidRPr="00FF22DE">
        <w:rPr>
          <w:rFonts w:ascii="Times New Roman" w:hAnsi="Times New Roman"/>
          <w:b/>
          <w:iCs/>
          <w:sz w:val="24"/>
          <w:szCs w:val="24"/>
        </w:rPr>
        <w:t>Comparative</w:t>
      </w:r>
      <w:r w:rsidR="00EB1833">
        <w:rPr>
          <w:rFonts w:ascii="Times New Roman" w:hAnsi="Times New Roman"/>
          <w:b/>
          <w:iCs/>
          <w:sz w:val="24"/>
          <w:szCs w:val="24"/>
        </w:rPr>
        <w:t xml:space="preserve"> Study on the</w:t>
      </w:r>
      <w:r w:rsidRPr="00FF22DE">
        <w:rPr>
          <w:rFonts w:ascii="Times New Roman" w:hAnsi="Times New Roman"/>
          <w:b/>
          <w:iCs/>
          <w:sz w:val="24"/>
          <w:szCs w:val="24"/>
        </w:rPr>
        <w:t xml:space="preserve"> Phytochemical, Micr</w:t>
      </w:r>
      <w:r w:rsidR="00EB1833">
        <w:rPr>
          <w:rFonts w:ascii="Times New Roman" w:hAnsi="Times New Roman"/>
          <w:b/>
          <w:iCs/>
          <w:sz w:val="24"/>
          <w:szCs w:val="24"/>
        </w:rPr>
        <w:t>onutrient and Sensory Qualities</w:t>
      </w:r>
      <w:r w:rsidRPr="00FF22DE">
        <w:rPr>
          <w:rFonts w:ascii="Times New Roman" w:hAnsi="Times New Roman"/>
          <w:b/>
          <w:iCs/>
          <w:sz w:val="24"/>
          <w:szCs w:val="24"/>
        </w:rPr>
        <w:t xml:space="preserve"> of Green and Black</w:t>
      </w:r>
      <w:r w:rsidRPr="00FF22DE">
        <w:rPr>
          <w:rFonts w:ascii="Times New Roman" w:hAnsi="Times New Roman"/>
          <w:b/>
          <w:i/>
          <w:iCs/>
          <w:sz w:val="24"/>
          <w:szCs w:val="24"/>
        </w:rPr>
        <w:t xml:space="preserve"> </w:t>
      </w:r>
      <w:r w:rsidR="003577DB" w:rsidRPr="00FF22DE">
        <w:rPr>
          <w:rFonts w:ascii="Times New Roman" w:hAnsi="Times New Roman"/>
          <w:b/>
          <w:i/>
          <w:iCs/>
          <w:sz w:val="24"/>
          <w:szCs w:val="24"/>
        </w:rPr>
        <w:t xml:space="preserve">Jatropha </w:t>
      </w:r>
      <w:proofErr w:type="spellStart"/>
      <w:r w:rsidR="003577DB" w:rsidRPr="00FF22DE">
        <w:rPr>
          <w:rFonts w:ascii="Times New Roman" w:hAnsi="Times New Roman"/>
          <w:b/>
          <w:i/>
          <w:iCs/>
          <w:sz w:val="24"/>
          <w:szCs w:val="24"/>
        </w:rPr>
        <w:t>Tanjorensis</w:t>
      </w:r>
      <w:proofErr w:type="spellEnd"/>
      <w:r w:rsidRPr="00FF22DE">
        <w:rPr>
          <w:rFonts w:ascii="Times New Roman" w:hAnsi="Times New Roman"/>
          <w:b/>
          <w:sz w:val="24"/>
          <w:szCs w:val="24"/>
        </w:rPr>
        <w:t xml:space="preserve"> Herbal Teas.</w:t>
      </w:r>
    </w:p>
    <w:p w14:paraId="27A24922" w14:textId="77777777" w:rsidR="00BA7948" w:rsidRDefault="00BA7948" w:rsidP="00FF22DE">
      <w:pPr>
        <w:tabs>
          <w:tab w:val="left" w:pos="2361"/>
        </w:tabs>
        <w:jc w:val="both"/>
        <w:rPr>
          <w:rFonts w:ascii="Times New Roman" w:hAnsi="Times New Roman"/>
          <w:b/>
          <w:bCs/>
          <w:sz w:val="24"/>
          <w:szCs w:val="24"/>
        </w:rPr>
      </w:pPr>
    </w:p>
    <w:p w14:paraId="17DC6E6D" w14:textId="77777777" w:rsidR="00BA7948" w:rsidRDefault="00BA7948" w:rsidP="00FF22DE">
      <w:pPr>
        <w:tabs>
          <w:tab w:val="left" w:pos="2361"/>
        </w:tabs>
        <w:jc w:val="both"/>
        <w:rPr>
          <w:rFonts w:ascii="Times New Roman" w:hAnsi="Times New Roman"/>
          <w:b/>
          <w:bCs/>
          <w:sz w:val="24"/>
          <w:szCs w:val="24"/>
        </w:rPr>
      </w:pPr>
    </w:p>
    <w:p w14:paraId="7E85139A" w14:textId="77777777" w:rsidR="001F46C2" w:rsidRPr="00FF22DE" w:rsidRDefault="001F46C2" w:rsidP="00FF22DE">
      <w:pPr>
        <w:tabs>
          <w:tab w:val="left" w:pos="2361"/>
        </w:tabs>
        <w:jc w:val="both"/>
        <w:rPr>
          <w:rFonts w:ascii="Times New Roman" w:hAnsi="Times New Roman"/>
          <w:b/>
          <w:bCs/>
          <w:sz w:val="24"/>
          <w:szCs w:val="24"/>
        </w:rPr>
      </w:pPr>
      <w:r w:rsidRPr="00FF22DE">
        <w:rPr>
          <w:rFonts w:ascii="Times New Roman" w:hAnsi="Times New Roman"/>
          <w:b/>
          <w:bCs/>
          <w:sz w:val="24"/>
          <w:szCs w:val="24"/>
        </w:rPr>
        <w:t xml:space="preserve">Abstract </w:t>
      </w:r>
      <w:r w:rsidR="00FF22DE" w:rsidRPr="00FF22DE">
        <w:rPr>
          <w:rFonts w:ascii="Times New Roman" w:hAnsi="Times New Roman"/>
          <w:b/>
          <w:bCs/>
          <w:sz w:val="24"/>
          <w:szCs w:val="24"/>
        </w:rPr>
        <w:tab/>
      </w:r>
    </w:p>
    <w:p w14:paraId="524DEA23" w14:textId="77777777" w:rsidR="00297E92" w:rsidRPr="00FF22DE" w:rsidRDefault="001F46C2" w:rsidP="00A37ACD">
      <w:pPr>
        <w:spacing w:line="480" w:lineRule="auto"/>
        <w:jc w:val="both"/>
        <w:rPr>
          <w:sz w:val="24"/>
          <w:szCs w:val="24"/>
        </w:rPr>
      </w:pPr>
      <w:r>
        <w:rPr>
          <w:rFonts w:ascii="Times New Roman" w:hAnsi="Times New Roman"/>
          <w:i/>
          <w:iCs/>
          <w:sz w:val="24"/>
          <w:szCs w:val="24"/>
        </w:rPr>
        <w:t xml:space="preserve">Jatropha </w:t>
      </w:r>
      <w:r>
        <w:rPr>
          <w:rFonts w:ascii="Times New Roman" w:hAnsi="Times New Roman"/>
          <w:i/>
          <w:iCs/>
          <w:sz w:val="24"/>
          <w:szCs w:val="24"/>
          <w:highlight w:val="yellow"/>
        </w:rPr>
        <w:t>t</w:t>
      </w:r>
      <w:r>
        <w:rPr>
          <w:rFonts w:ascii="Times New Roman" w:hAnsi="Times New Roman"/>
          <w:i/>
          <w:iCs/>
          <w:sz w:val="24"/>
          <w:szCs w:val="24"/>
        </w:rPr>
        <w:t xml:space="preserve">anjorensis </w:t>
      </w:r>
      <w:r>
        <w:rPr>
          <w:rFonts w:ascii="Times New Roman" w:hAnsi="Times New Roman"/>
          <w:iCs/>
          <w:sz w:val="24"/>
          <w:szCs w:val="24"/>
        </w:rPr>
        <w:t xml:space="preserve">is traditionally used as a vegetable and medicinal plant, but its potential as a herbal tea remains relatively underexplored. In this study, </w:t>
      </w:r>
      <w:r>
        <w:rPr>
          <w:rFonts w:ascii="Times New Roman" w:hAnsi="Times New Roman"/>
          <w:i/>
          <w:iCs/>
          <w:sz w:val="24"/>
          <w:szCs w:val="24"/>
        </w:rPr>
        <w:t>Jatropha tanjorensis</w:t>
      </w:r>
      <w:r>
        <w:rPr>
          <w:rFonts w:ascii="Times New Roman" w:hAnsi="Times New Roman"/>
          <w:iCs/>
          <w:sz w:val="24"/>
          <w:szCs w:val="24"/>
        </w:rPr>
        <w:t xml:space="preserve"> leaves were processed into green and black teas using standard methods. The phytochemical composition (saponins, alkaloids, flavonoids, tannins and oxalates), selected micronutrients (vitamin C, iron and zinc) and sensory characteristics of these </w:t>
      </w:r>
      <w:r>
        <w:rPr>
          <w:rFonts w:ascii="Times New Roman" w:hAnsi="Times New Roman"/>
          <w:i/>
          <w:iCs/>
          <w:sz w:val="24"/>
          <w:szCs w:val="24"/>
        </w:rPr>
        <w:t>J. tanjorensis</w:t>
      </w:r>
      <w:r>
        <w:rPr>
          <w:rFonts w:ascii="Times New Roman" w:hAnsi="Times New Roman"/>
          <w:iCs/>
          <w:sz w:val="24"/>
          <w:szCs w:val="24"/>
        </w:rPr>
        <w:t xml:space="preserve"> herbal teas were determined. Sensory evaluation employed a 9-point </w:t>
      </w:r>
      <w:r>
        <w:rPr>
          <w:rFonts w:ascii="Times New Roman" w:hAnsi="Times New Roman"/>
          <w:iCs/>
          <w:sz w:val="24"/>
          <w:szCs w:val="24"/>
          <w:highlight w:val="yellow"/>
        </w:rPr>
        <w:t>h</w:t>
      </w:r>
      <w:r>
        <w:rPr>
          <w:rFonts w:ascii="Times New Roman" w:hAnsi="Times New Roman"/>
          <w:iCs/>
          <w:sz w:val="24"/>
          <w:szCs w:val="24"/>
        </w:rPr>
        <w:t xml:space="preserve">edonic scale </w:t>
      </w:r>
      <w:r>
        <w:rPr>
          <w:rFonts w:ascii="Times New Roman" w:hAnsi="Times New Roman"/>
          <w:iCs/>
          <w:sz w:val="24"/>
          <w:szCs w:val="24"/>
          <w:highlight w:val="yellow"/>
        </w:rPr>
        <w:t>w</w:t>
      </w:r>
      <w:r>
        <w:rPr>
          <w:rFonts w:ascii="Times New Roman" w:hAnsi="Times New Roman"/>
          <w:iCs/>
          <w:sz w:val="24"/>
          <w:szCs w:val="24"/>
        </w:rPr>
        <w:t>i</w:t>
      </w:r>
      <w:r>
        <w:rPr>
          <w:rFonts w:ascii="Times New Roman" w:hAnsi="Times New Roman"/>
          <w:iCs/>
          <w:sz w:val="24"/>
          <w:szCs w:val="24"/>
          <w:highlight w:val="yellow"/>
        </w:rPr>
        <w:t>th</w:t>
      </w:r>
      <w:r>
        <w:rPr>
          <w:rFonts w:ascii="Times New Roman" w:hAnsi="Times New Roman"/>
          <w:iCs/>
          <w:sz w:val="24"/>
          <w:szCs w:val="24"/>
        </w:rPr>
        <w:t xml:space="preserve"> 20 pane</w:t>
      </w:r>
      <w:r>
        <w:rPr>
          <w:rFonts w:ascii="Times New Roman" w:hAnsi="Times New Roman"/>
          <w:iCs/>
          <w:sz w:val="24"/>
          <w:szCs w:val="24"/>
          <w:highlight w:val="yellow"/>
        </w:rPr>
        <w:t>l</w:t>
      </w:r>
      <w:r>
        <w:rPr>
          <w:rFonts w:ascii="Times New Roman" w:hAnsi="Times New Roman"/>
          <w:iCs/>
          <w:sz w:val="24"/>
          <w:szCs w:val="24"/>
        </w:rPr>
        <w:t xml:space="preserve">lists, with commercial green and black teas included as reference samples. </w:t>
      </w:r>
      <w:r>
        <w:rPr>
          <w:rFonts w:ascii="Times New Roman" w:hAnsi="Times New Roman"/>
          <w:sz w:val="24"/>
          <w:szCs w:val="24"/>
          <w:highlight w:val="yellow"/>
        </w:rPr>
        <w:t>The r</w:t>
      </w:r>
      <w:r>
        <w:rPr>
          <w:rFonts w:ascii="Times New Roman" w:hAnsi="Times New Roman"/>
          <w:sz w:val="24"/>
          <w:szCs w:val="24"/>
        </w:rPr>
        <w:t xml:space="preserve">esults showed significant differences (p &lt; 0.05) between the green and black </w:t>
      </w:r>
      <w:r>
        <w:rPr>
          <w:rFonts w:ascii="Times New Roman" w:hAnsi="Times New Roman"/>
          <w:i/>
          <w:sz w:val="24"/>
          <w:szCs w:val="24"/>
        </w:rPr>
        <w:t>J. tanjorensis</w:t>
      </w:r>
      <w:r>
        <w:rPr>
          <w:rFonts w:ascii="Times New Roman" w:hAnsi="Times New Roman"/>
          <w:sz w:val="24"/>
          <w:szCs w:val="24"/>
        </w:rPr>
        <w:t xml:space="preserve"> teas in the measured phytochemical and micronutrient parameters. Black </w:t>
      </w:r>
      <w:r>
        <w:rPr>
          <w:rFonts w:ascii="Times New Roman" w:hAnsi="Times New Roman"/>
          <w:i/>
          <w:sz w:val="24"/>
          <w:szCs w:val="24"/>
        </w:rPr>
        <w:t>J. tanjorensis</w:t>
      </w:r>
      <w:r>
        <w:rPr>
          <w:rFonts w:ascii="Times New Roman" w:hAnsi="Times New Roman"/>
          <w:sz w:val="24"/>
          <w:szCs w:val="24"/>
        </w:rPr>
        <w:t xml:space="preserve"> tea contained higher levels of saponins (1.85%), flavonoids (12.15%), tannins (11.53%) and oxalates (3.05%), whereas green tea had a higher alkaloid content (3.85%). Green tea also recorded higher concentrations of vitamin C (19.07 mg/100 g), iron (1.72 mg/100 g) and zinc (0.17 mg/100 g) than black tea. Sensory evaluation showed significant differences in aroma and overall acceptability, while appearance and taste did not differ significantly. Black </w:t>
      </w:r>
      <w:r>
        <w:rPr>
          <w:rFonts w:ascii="Times New Roman" w:hAnsi="Times New Roman"/>
          <w:i/>
          <w:sz w:val="24"/>
          <w:szCs w:val="24"/>
        </w:rPr>
        <w:t>J. tanjorensis</w:t>
      </w:r>
      <w:r>
        <w:rPr>
          <w:rFonts w:ascii="Times New Roman" w:hAnsi="Times New Roman"/>
          <w:sz w:val="24"/>
          <w:szCs w:val="24"/>
        </w:rPr>
        <w:t xml:space="preserve"> tea generally received higher sensory scores than green </w:t>
      </w:r>
      <w:r>
        <w:rPr>
          <w:rFonts w:ascii="Times New Roman" w:hAnsi="Times New Roman"/>
          <w:i/>
          <w:sz w:val="24"/>
          <w:szCs w:val="24"/>
        </w:rPr>
        <w:t>J. tanjorensis</w:t>
      </w:r>
      <w:r>
        <w:rPr>
          <w:rFonts w:ascii="Times New Roman" w:hAnsi="Times New Roman"/>
          <w:sz w:val="24"/>
          <w:szCs w:val="24"/>
        </w:rPr>
        <w:t xml:space="preserve"> tea, particularly for aroma and overall acceptability. The findings indicate that the two processing approaches resulted in distinct compositional and sensory characteristics, supporting further development of </w:t>
      </w:r>
      <w:r>
        <w:rPr>
          <w:rFonts w:ascii="Times New Roman" w:hAnsi="Times New Roman"/>
          <w:i/>
          <w:sz w:val="24"/>
          <w:szCs w:val="24"/>
        </w:rPr>
        <w:t>J. tanjorensis</w:t>
      </w:r>
      <w:r>
        <w:rPr>
          <w:rFonts w:ascii="Times New Roman" w:hAnsi="Times New Roman"/>
          <w:sz w:val="24"/>
          <w:szCs w:val="24"/>
        </w:rPr>
        <w:t xml:space="preserve"> leaves as a herbal tea ingredient.</w:t>
      </w:r>
    </w:p>
    <w:p w14:paraId="121C2FD6" w14:textId="77777777" w:rsidR="00297E92" w:rsidRPr="00FF22DE" w:rsidRDefault="00297E92" w:rsidP="00A37ACD">
      <w:pPr>
        <w:spacing w:line="480" w:lineRule="auto"/>
        <w:jc w:val="both"/>
        <w:rPr>
          <w:rFonts w:ascii="Times New Roman" w:hAnsi="Times New Roman"/>
          <w:sz w:val="24"/>
          <w:szCs w:val="24"/>
        </w:rPr>
      </w:pPr>
      <w:r>
        <w:rPr>
          <w:rFonts w:ascii="Times New Roman" w:hAnsi="Times New Roman"/>
          <w:b/>
          <w:sz w:val="24"/>
          <w:szCs w:val="24"/>
        </w:rPr>
        <w:lastRenderedPageBreak/>
        <w:t xml:space="preserve">Keywords: </w:t>
      </w:r>
      <w:r>
        <w:rPr>
          <w:rFonts w:ascii="Times New Roman" w:hAnsi="Times New Roman"/>
          <w:i/>
          <w:sz w:val="24"/>
          <w:szCs w:val="24"/>
        </w:rPr>
        <w:t>Jatropha tanjorensis</w:t>
      </w:r>
      <w:r>
        <w:rPr>
          <w:rFonts w:ascii="Times New Roman" w:hAnsi="Times New Roman"/>
          <w:sz w:val="24"/>
          <w:szCs w:val="24"/>
        </w:rPr>
        <w:t>; herbal tea; phytochemicals; micronutrients; green tea; black tea; sensory evaluation.</w:t>
      </w:r>
    </w:p>
    <w:p w14:paraId="5E63E687" w14:textId="77777777" w:rsidR="00E129BC" w:rsidRPr="00FF22DE" w:rsidRDefault="00E129BC" w:rsidP="00A37ACD">
      <w:pPr>
        <w:pStyle w:val="ListParagraph"/>
        <w:numPr>
          <w:ilvl w:val="0"/>
          <w:numId w:val="1"/>
        </w:numPr>
        <w:spacing w:line="480" w:lineRule="auto"/>
        <w:jc w:val="both"/>
        <w:rPr>
          <w:rFonts w:ascii="Times New Roman" w:hAnsi="Times New Roman"/>
          <w:b/>
          <w:sz w:val="24"/>
          <w:szCs w:val="24"/>
        </w:rPr>
      </w:pPr>
      <w:r w:rsidRPr="00FF22DE">
        <w:rPr>
          <w:rFonts w:ascii="Times New Roman" w:hAnsi="Times New Roman"/>
          <w:b/>
          <w:sz w:val="24"/>
          <w:szCs w:val="24"/>
        </w:rPr>
        <w:t>Introduction</w:t>
      </w:r>
    </w:p>
    <w:p w14:paraId="7B240B6B" w14:textId="68FC2D97" w:rsidR="0049163B" w:rsidRPr="00AC30FB" w:rsidRDefault="00087F30">
      <w:pPr>
        <w:spacing w:line="480" w:lineRule="auto"/>
        <w:jc w:val="both"/>
        <w:rPr>
          <w:rFonts w:ascii="Times New Roman" w:hAnsi="Times New Roman"/>
          <w:sz w:val="24"/>
          <w:szCs w:val="24"/>
        </w:rPr>
      </w:pPr>
      <w:r>
        <w:rPr>
          <w:rFonts w:ascii="Times New Roman" w:hAnsi="Times New Roman"/>
          <w:sz w:val="24"/>
          <w:szCs w:val="24"/>
        </w:rPr>
        <w:t xml:space="preserve">Tea is widely consumed as a beverage, and the increasing interest in herbal and functional beverages has encouraged the use of plant materials other than </w:t>
      </w:r>
      <w:r>
        <w:rPr>
          <w:rFonts w:ascii="Times New Roman" w:hAnsi="Times New Roman"/>
          <w:i/>
          <w:sz w:val="24"/>
          <w:szCs w:val="24"/>
        </w:rPr>
        <w:t>Camellia sinensis</w:t>
      </w:r>
      <w:r>
        <w:rPr>
          <w:rFonts w:ascii="Times New Roman" w:hAnsi="Times New Roman"/>
          <w:sz w:val="24"/>
          <w:szCs w:val="24"/>
        </w:rPr>
        <w:t xml:space="preserve"> for tea development. Herbal teas may be prepared from leaves, flowers, stems, roots and other plant parts and are distinct from conventional teas derived from </w:t>
      </w:r>
      <w:r>
        <w:rPr>
          <w:rFonts w:ascii="Times New Roman" w:hAnsi="Times New Roman"/>
          <w:i/>
          <w:sz w:val="24"/>
          <w:szCs w:val="24"/>
        </w:rPr>
        <w:t>C. sinensis</w:t>
      </w:r>
      <w:r>
        <w:rPr>
          <w:rFonts w:ascii="Times New Roman" w:hAnsi="Times New Roman"/>
          <w:sz w:val="24"/>
          <w:szCs w:val="24"/>
        </w:rPr>
        <w:t>. The chemical characteristics of tea products are influenced by raw material</w:t>
      </w:r>
      <w:r>
        <w:rPr>
          <w:rFonts w:ascii="Times New Roman" w:hAnsi="Times New Roman"/>
          <w:sz w:val="24"/>
          <w:szCs w:val="24"/>
          <w:highlight w:val="yellow"/>
        </w:rPr>
        <w:t>s</w:t>
      </w:r>
      <w:r>
        <w:rPr>
          <w:rFonts w:ascii="Times New Roman" w:hAnsi="Times New Roman"/>
          <w:sz w:val="24"/>
          <w:szCs w:val="24"/>
        </w:rPr>
        <w:t xml:space="preserve"> and processing conditions, making processing an important </w:t>
      </w:r>
      <w:r w:rsidRPr="00AC30FB">
        <w:rPr>
          <w:rFonts w:ascii="Times New Roman" w:hAnsi="Times New Roman"/>
          <w:sz w:val="24"/>
          <w:szCs w:val="24"/>
        </w:rPr>
        <w:t>consideration in the development of alternative tea products (Aaqil et al., 2023; Wong et al., 2022).</w:t>
      </w:r>
      <w:r w:rsidR="00AC30FB" w:rsidRPr="00AC30FB">
        <w:rPr>
          <w:rFonts w:ascii="Times New Roman" w:hAnsi="Times New Roman"/>
          <w:sz w:val="24"/>
          <w:szCs w:val="24"/>
        </w:rPr>
        <w:t xml:space="preserve"> </w:t>
      </w:r>
      <w:r w:rsidRPr="00AC30FB">
        <w:rPr>
          <w:rFonts w:ascii="Times New Roman" w:eastAsia="Times New Roman" w:hAnsi="Times New Roman"/>
          <w:sz w:val="24"/>
          <w:highlight w:val="yellow"/>
        </w:rPr>
        <w:t>Recent reviews of herbal beverages likewise emphasise that botanical source, formulation, and processing conditions are important determinants of the chemical and sensory characteristics of the resulting products (Awlqadr et al., 2026; Huda et al., 2024).</w:t>
      </w:r>
      <w:r w:rsidR="00AC30FB" w:rsidRPr="00AC30FB">
        <w:rPr>
          <w:rFonts w:ascii="Times New Roman" w:hAnsi="Times New Roman"/>
          <w:sz w:val="24"/>
          <w:szCs w:val="24"/>
        </w:rPr>
        <w:t xml:space="preserve"> </w:t>
      </w:r>
      <w:r w:rsidRPr="00AC30FB">
        <w:rPr>
          <w:rFonts w:ascii="Times New Roman" w:eastAsia="Times New Roman" w:hAnsi="Times New Roman"/>
          <w:sz w:val="24"/>
          <w:highlight w:val="yellow"/>
        </w:rPr>
        <w:t>Recent plant-based beverage formulation work has similarly combined chemical quality measurements with sensory assessment when evaluating novel botanical beverages (Momin et al., 2026).</w:t>
      </w:r>
    </w:p>
    <w:p w14:paraId="30D70BE5" w14:textId="77777777" w:rsidR="00087F30" w:rsidRPr="00AC30FB" w:rsidRDefault="00087F30" w:rsidP="00A37ACD">
      <w:pPr>
        <w:spacing w:line="480" w:lineRule="auto"/>
        <w:jc w:val="both"/>
        <w:rPr>
          <w:rFonts w:ascii="Times New Roman" w:hAnsi="Times New Roman"/>
          <w:sz w:val="24"/>
          <w:szCs w:val="24"/>
        </w:rPr>
      </w:pPr>
      <w:r w:rsidRPr="00FF22DE">
        <w:rPr>
          <w:rFonts w:ascii="Times New Roman" w:hAnsi="Times New Roman"/>
          <w:sz w:val="24"/>
          <w:szCs w:val="24"/>
        </w:rPr>
        <w:t xml:space="preserve">Green and black tea processing differ mainly in the extent to which enzymatic oxidation is permitted. For green-tea manufacture, heat treatment is used to inactivate oxidative enzymes, whereas black-tea manufacture allows enzymatic oxidation after leaf disruption. These contrasting conditions can alter the phytochemical profile and sensory characteristics of the resulting tea (Aaqil et al., </w:t>
      </w:r>
      <w:r w:rsidRPr="00AC30FB">
        <w:rPr>
          <w:rFonts w:ascii="Times New Roman" w:hAnsi="Times New Roman"/>
          <w:sz w:val="24"/>
          <w:szCs w:val="24"/>
        </w:rPr>
        <w:t>2023; Wong et al., 2022). Such processing differences provide a useful basis for comparing alternative herbal tea products processed using green- and black-tea approaches</w:t>
      </w:r>
      <w:r w:rsidR="005D2609" w:rsidRPr="00AC30FB">
        <w:rPr>
          <w:rFonts w:ascii="Times New Roman" w:hAnsi="Times New Roman"/>
          <w:sz w:val="24"/>
          <w:szCs w:val="24"/>
        </w:rPr>
        <w:t>.</w:t>
      </w:r>
    </w:p>
    <w:p w14:paraId="59190A18" w14:textId="7CA6FFEB" w:rsidR="0049163B" w:rsidRPr="00AC30FB" w:rsidRDefault="00000000" w:rsidP="00AC30FB">
      <w:pPr>
        <w:spacing w:line="480" w:lineRule="auto"/>
        <w:jc w:val="both"/>
        <w:rPr>
          <w:rFonts w:ascii="Times New Roman" w:hAnsi="Times New Roman"/>
          <w:sz w:val="24"/>
          <w:szCs w:val="24"/>
        </w:rPr>
      </w:pPr>
      <w:r w:rsidRPr="00AC30FB">
        <w:rPr>
          <w:rFonts w:ascii="Times New Roman" w:eastAsia="Times New Roman" w:hAnsi="Times New Roman"/>
          <w:sz w:val="24"/>
          <w:highlight w:val="yellow"/>
        </w:rPr>
        <w:t xml:space="preserve">Recent metabolomic evidence from black tea confirms that processing stages can substantially modify volatile and non-volatile phytochemical profiles associated with beverage quality (Aaqil </w:t>
      </w:r>
      <w:r w:rsidRPr="00AC30FB">
        <w:rPr>
          <w:rFonts w:ascii="Times New Roman" w:eastAsia="Times New Roman" w:hAnsi="Times New Roman"/>
          <w:sz w:val="24"/>
          <w:highlight w:val="yellow"/>
        </w:rPr>
        <w:lastRenderedPageBreak/>
        <w:t>et al., 2024).</w:t>
      </w:r>
      <w:r w:rsidR="00AC30FB" w:rsidRPr="00AC30FB">
        <w:rPr>
          <w:rFonts w:ascii="Times New Roman" w:hAnsi="Times New Roman"/>
          <w:sz w:val="24"/>
          <w:szCs w:val="24"/>
        </w:rPr>
        <w:t xml:space="preserve"> </w:t>
      </w:r>
      <w:r w:rsidR="005D2609" w:rsidRPr="00AC30FB">
        <w:rPr>
          <w:rFonts w:ascii="Times New Roman" w:hAnsi="Times New Roman"/>
          <w:i/>
          <w:sz w:val="24"/>
          <w:szCs w:val="24"/>
        </w:rPr>
        <w:t xml:space="preserve">Jatropha </w:t>
      </w:r>
      <w:proofErr w:type="spellStart"/>
      <w:r w:rsidR="005D2609" w:rsidRPr="00AC30FB">
        <w:rPr>
          <w:rFonts w:ascii="Times New Roman" w:hAnsi="Times New Roman"/>
          <w:i/>
          <w:sz w:val="24"/>
          <w:szCs w:val="24"/>
        </w:rPr>
        <w:t>tanjorensis</w:t>
      </w:r>
      <w:proofErr w:type="spellEnd"/>
      <w:r w:rsidR="005D2609" w:rsidRPr="00AC30FB">
        <w:rPr>
          <w:rFonts w:ascii="Times New Roman" w:hAnsi="Times New Roman"/>
          <w:sz w:val="24"/>
          <w:szCs w:val="24"/>
        </w:rPr>
        <w:t xml:space="preserve"> is a leafy plant used as a vegetable and in traditional healing practices in Nigeria. It belongs to the family Euphorbiaceae and is known locally by names such as ‘hospital is too far’ and ‘Catholic vegetable’ (Akhigbe </w:t>
      </w:r>
      <w:r w:rsidR="005D2609" w:rsidRPr="00AC30FB">
        <w:rPr>
          <w:rFonts w:ascii="Times New Roman" w:hAnsi="Times New Roman"/>
          <w:sz w:val="24"/>
          <w:szCs w:val="24"/>
          <w:highlight w:val="yellow"/>
        </w:rPr>
        <w:t>et</w:t>
      </w:r>
      <w:r w:rsidR="005D2609" w:rsidRPr="00AC30FB">
        <w:rPr>
          <w:rFonts w:ascii="Times New Roman" w:hAnsi="Times New Roman"/>
          <w:sz w:val="24"/>
          <w:szCs w:val="24"/>
        </w:rPr>
        <w:t xml:space="preserve"> a</w:t>
      </w:r>
      <w:r w:rsidR="005D2609" w:rsidRPr="00AC30FB">
        <w:rPr>
          <w:rFonts w:ascii="Times New Roman" w:hAnsi="Times New Roman"/>
          <w:sz w:val="24"/>
          <w:szCs w:val="24"/>
          <w:highlight w:val="yellow"/>
        </w:rPr>
        <w:t>l.</w:t>
      </w:r>
      <w:r w:rsidR="005D2609" w:rsidRPr="00AC30FB">
        <w:rPr>
          <w:rFonts w:ascii="Times New Roman" w:hAnsi="Times New Roman"/>
          <w:sz w:val="24"/>
          <w:szCs w:val="24"/>
        </w:rPr>
        <w:t xml:space="preserve">, 2009). Previous research has reported phytochemicals and nutrients in its leaves, indicating that the plant has compositional characteristics of interest for food-product development (Anhwange et al., 2019). </w:t>
      </w:r>
      <w:r w:rsidR="005D2609" w:rsidRPr="00AC30FB">
        <w:rPr>
          <w:rFonts w:ascii="Times New Roman" w:hAnsi="Times New Roman"/>
          <w:i/>
          <w:sz w:val="24"/>
          <w:szCs w:val="24"/>
        </w:rPr>
        <w:t>Jatropha tanjorensis</w:t>
      </w:r>
      <w:r w:rsidR="005D2609" w:rsidRPr="00AC30FB">
        <w:rPr>
          <w:rFonts w:ascii="Times New Roman" w:hAnsi="Times New Roman"/>
          <w:sz w:val="24"/>
          <w:szCs w:val="24"/>
        </w:rPr>
        <w:t xml:space="preserve"> lea</w:t>
      </w:r>
      <w:r w:rsidR="005D2609" w:rsidRPr="00AC30FB">
        <w:rPr>
          <w:rFonts w:ascii="Times New Roman" w:hAnsi="Times New Roman"/>
          <w:sz w:val="24"/>
          <w:szCs w:val="24"/>
          <w:highlight w:val="yellow"/>
        </w:rPr>
        <w:t>ves</w:t>
      </w:r>
      <w:r w:rsidR="005D2609" w:rsidRPr="00AC30FB">
        <w:rPr>
          <w:rFonts w:ascii="Times New Roman" w:hAnsi="Times New Roman"/>
          <w:sz w:val="24"/>
          <w:szCs w:val="24"/>
        </w:rPr>
        <w:t xml:space="preserve"> possess abundant antioxidant properties that could effectively ameliorate the effects of oxidative stress caused by excess reactive oxygen species generated by the </w:t>
      </w:r>
      <w:proofErr w:type="gramStart"/>
      <w:r w:rsidR="005D2609" w:rsidRPr="00AC30FB">
        <w:rPr>
          <w:rFonts w:ascii="Times New Roman" w:hAnsi="Times New Roman"/>
          <w:sz w:val="24"/>
          <w:szCs w:val="24"/>
        </w:rPr>
        <w:t>CCl ,</w:t>
      </w:r>
      <w:proofErr w:type="gramEnd"/>
      <w:r w:rsidR="005D2609" w:rsidRPr="00AC30FB">
        <w:rPr>
          <w:rFonts w:ascii="Times New Roman" w:hAnsi="Times New Roman"/>
          <w:sz w:val="24"/>
          <w:szCs w:val="24"/>
        </w:rPr>
        <w:t xml:space="preserve"> and other free radicals from metabolic reactions and xenobiotics with similar mechanism</w:t>
      </w:r>
      <w:r w:rsidR="005D2609" w:rsidRPr="00AC30FB">
        <w:rPr>
          <w:rFonts w:ascii="Times New Roman" w:hAnsi="Times New Roman"/>
          <w:sz w:val="24"/>
          <w:szCs w:val="24"/>
          <w:highlight w:val="yellow"/>
        </w:rPr>
        <w:t>s</w:t>
      </w:r>
      <w:r w:rsidR="005D2609" w:rsidRPr="00AC30FB">
        <w:rPr>
          <w:rFonts w:ascii="Times New Roman" w:hAnsi="Times New Roman"/>
          <w:sz w:val="24"/>
          <w:szCs w:val="24"/>
        </w:rPr>
        <w:t xml:space="preserve"> of action (Ochulor </w:t>
      </w:r>
      <w:r w:rsidR="005D2609" w:rsidRPr="00AC30FB">
        <w:rPr>
          <w:rFonts w:ascii="Times New Roman" w:hAnsi="Times New Roman"/>
          <w:sz w:val="24"/>
          <w:szCs w:val="24"/>
          <w:highlight w:val="yellow"/>
        </w:rPr>
        <w:t>et</w:t>
      </w:r>
      <w:r w:rsidR="005D2609" w:rsidRPr="00AC30FB">
        <w:rPr>
          <w:rFonts w:ascii="Times New Roman" w:hAnsi="Times New Roman"/>
          <w:sz w:val="24"/>
          <w:szCs w:val="24"/>
        </w:rPr>
        <w:t xml:space="preserve"> a</w:t>
      </w:r>
      <w:r w:rsidR="005D2609" w:rsidRPr="00AC30FB">
        <w:rPr>
          <w:rFonts w:ascii="Times New Roman" w:hAnsi="Times New Roman"/>
          <w:sz w:val="24"/>
          <w:szCs w:val="24"/>
          <w:highlight w:val="yellow"/>
        </w:rPr>
        <w:t>l.</w:t>
      </w:r>
      <w:r w:rsidR="005D2609" w:rsidRPr="00AC30FB">
        <w:rPr>
          <w:rFonts w:ascii="Times New Roman" w:hAnsi="Times New Roman"/>
          <w:sz w:val="24"/>
          <w:szCs w:val="24"/>
        </w:rPr>
        <w:t>, 2018).</w:t>
      </w:r>
      <w:r w:rsidR="00AC30FB">
        <w:rPr>
          <w:rFonts w:ascii="Times New Roman" w:hAnsi="Times New Roman"/>
          <w:sz w:val="24"/>
          <w:szCs w:val="24"/>
        </w:rPr>
        <w:t xml:space="preserve"> </w:t>
      </w:r>
      <w:r w:rsidRPr="00AC30FB">
        <w:rPr>
          <w:rFonts w:ascii="Times New Roman" w:eastAsia="Times New Roman" w:hAnsi="Times New Roman"/>
          <w:sz w:val="24"/>
          <w:highlight w:val="yellow"/>
        </w:rPr>
        <w:t xml:space="preserve">A recent phytochemical investigation of </w:t>
      </w:r>
      <w:r w:rsidRPr="00AC30FB">
        <w:rPr>
          <w:rFonts w:ascii="Times New Roman" w:eastAsia="Times New Roman" w:hAnsi="Times New Roman"/>
          <w:i/>
          <w:sz w:val="24"/>
          <w:highlight w:val="yellow"/>
        </w:rPr>
        <w:t>J. tanjorensis</w:t>
      </w:r>
      <w:r w:rsidRPr="00AC30FB">
        <w:rPr>
          <w:rFonts w:ascii="Times New Roman" w:eastAsia="Times New Roman" w:hAnsi="Times New Roman"/>
          <w:sz w:val="24"/>
          <w:highlight w:val="yellow"/>
        </w:rPr>
        <w:t xml:space="preserve"> leaf extracts also reported the presence of saponins, alkaloids, flavonoids and tannins, further documenting the diversity of secondary metabolites in the leaves (Komolafe et al., 2024).</w:t>
      </w:r>
    </w:p>
    <w:p w14:paraId="30A5136F" w14:textId="77777777" w:rsidR="00E61068" w:rsidRPr="00FF22DE" w:rsidRDefault="005D2609" w:rsidP="00A37ACD">
      <w:pPr>
        <w:spacing w:line="480" w:lineRule="auto"/>
        <w:jc w:val="both"/>
        <w:rPr>
          <w:rFonts w:ascii="Times New Roman" w:hAnsi="Times New Roman"/>
          <w:sz w:val="24"/>
          <w:szCs w:val="24"/>
        </w:rPr>
      </w:pPr>
      <w:r w:rsidRPr="00AC30FB">
        <w:rPr>
          <w:rFonts w:ascii="Times New Roman" w:hAnsi="Times New Roman"/>
          <w:i/>
          <w:sz w:val="24"/>
          <w:szCs w:val="24"/>
        </w:rPr>
        <w:t>J. tanjorensis</w:t>
      </w:r>
      <w:r w:rsidRPr="00AC30FB">
        <w:rPr>
          <w:rFonts w:ascii="Times New Roman" w:hAnsi="Times New Roman"/>
          <w:sz w:val="24"/>
          <w:szCs w:val="24"/>
        </w:rPr>
        <w:t xml:space="preserve"> has also been included in herbal tea formulations rather than</w:t>
      </w:r>
      <w:r>
        <w:rPr>
          <w:rFonts w:ascii="Times New Roman" w:hAnsi="Times New Roman"/>
          <w:sz w:val="24"/>
          <w:szCs w:val="24"/>
        </w:rPr>
        <w:t xml:space="preserve"> </w:t>
      </w:r>
      <w:r>
        <w:rPr>
          <w:rFonts w:ascii="Times New Roman" w:hAnsi="Times New Roman"/>
          <w:sz w:val="24"/>
          <w:szCs w:val="24"/>
          <w:highlight w:val="yellow"/>
        </w:rPr>
        <w:t>be</w:t>
      </w:r>
      <w:r>
        <w:rPr>
          <w:rFonts w:ascii="Times New Roman" w:hAnsi="Times New Roman"/>
          <w:sz w:val="24"/>
          <w:szCs w:val="24"/>
        </w:rPr>
        <w:t xml:space="preserve">ing processed </w:t>
      </w:r>
      <w:r>
        <w:rPr>
          <w:rFonts w:ascii="Times New Roman" w:hAnsi="Times New Roman"/>
          <w:sz w:val="24"/>
          <w:szCs w:val="24"/>
          <w:highlight w:val="yellow"/>
        </w:rPr>
        <w:t>as a single-he</w:t>
      </w:r>
      <w:r>
        <w:rPr>
          <w:rFonts w:ascii="Times New Roman" w:hAnsi="Times New Roman"/>
          <w:sz w:val="24"/>
          <w:szCs w:val="24"/>
        </w:rPr>
        <w:t>r</w:t>
      </w:r>
      <w:r>
        <w:rPr>
          <w:rFonts w:ascii="Times New Roman" w:hAnsi="Times New Roman"/>
          <w:sz w:val="24"/>
          <w:szCs w:val="24"/>
          <w:highlight w:val="yellow"/>
        </w:rPr>
        <w:t>b</w:t>
      </w:r>
      <w:r>
        <w:rPr>
          <w:rFonts w:ascii="Times New Roman" w:hAnsi="Times New Roman"/>
          <w:sz w:val="24"/>
          <w:szCs w:val="24"/>
        </w:rPr>
        <w:t xml:space="preserve"> </w:t>
      </w:r>
      <w:r>
        <w:rPr>
          <w:rFonts w:ascii="Times New Roman" w:hAnsi="Times New Roman"/>
          <w:i/>
          <w:sz w:val="24"/>
          <w:szCs w:val="24"/>
        </w:rPr>
        <w:t>J. tanjorensis</w:t>
      </w:r>
      <w:r>
        <w:rPr>
          <w:rFonts w:ascii="Times New Roman" w:hAnsi="Times New Roman"/>
          <w:sz w:val="24"/>
          <w:szCs w:val="24"/>
        </w:rPr>
        <w:t xml:space="preserve"> tea (Ityo et al., 2023).</w:t>
      </w:r>
    </w:p>
    <w:p w14:paraId="47E76590" w14:textId="77777777" w:rsidR="00E61068" w:rsidRPr="00FF22DE" w:rsidRDefault="00E61068" w:rsidP="00A37ACD">
      <w:pPr>
        <w:spacing w:line="480" w:lineRule="auto"/>
        <w:jc w:val="both"/>
        <w:rPr>
          <w:rFonts w:ascii="Times New Roman" w:hAnsi="Times New Roman"/>
          <w:sz w:val="24"/>
          <w:szCs w:val="24"/>
        </w:rPr>
      </w:pPr>
      <w:r>
        <w:rPr>
          <w:rFonts w:ascii="Times New Roman" w:hAnsi="Times New Roman"/>
          <w:sz w:val="24"/>
          <w:szCs w:val="24"/>
        </w:rPr>
        <w:t xml:space="preserve">Despite its use as a vegetable and its reported phytochemical and nutritional composition, there is limited information on the effect of different tea-processing methods on </w:t>
      </w:r>
      <w:r>
        <w:rPr>
          <w:rFonts w:ascii="Times New Roman" w:hAnsi="Times New Roman"/>
          <w:i/>
          <w:sz w:val="24"/>
          <w:szCs w:val="24"/>
        </w:rPr>
        <w:t>J. tanjorensis</w:t>
      </w:r>
      <w:r>
        <w:rPr>
          <w:rFonts w:ascii="Times New Roman" w:hAnsi="Times New Roman"/>
          <w:sz w:val="24"/>
          <w:szCs w:val="24"/>
        </w:rPr>
        <w:t xml:space="preserve">. Therefore, this study compared the phytochemical composition, selected micronutrients and sensory characteristics of green and black </w:t>
      </w:r>
      <w:r>
        <w:rPr>
          <w:rFonts w:ascii="Times New Roman" w:hAnsi="Times New Roman"/>
          <w:i/>
          <w:sz w:val="24"/>
          <w:szCs w:val="24"/>
        </w:rPr>
        <w:t>J. tanjorensis</w:t>
      </w:r>
      <w:r>
        <w:rPr>
          <w:rFonts w:ascii="Times New Roman" w:hAnsi="Times New Roman"/>
          <w:sz w:val="24"/>
          <w:szCs w:val="24"/>
        </w:rPr>
        <w:t xml:space="preserve"> herbal teas.</w:t>
      </w:r>
    </w:p>
    <w:p w14:paraId="13300FCB" w14:textId="77777777" w:rsidR="00E61068" w:rsidRPr="00FF22DE" w:rsidRDefault="00E61068" w:rsidP="00A37ACD">
      <w:pPr>
        <w:pStyle w:val="ListParagraph"/>
        <w:numPr>
          <w:ilvl w:val="0"/>
          <w:numId w:val="1"/>
        </w:numPr>
        <w:spacing w:line="480" w:lineRule="auto"/>
        <w:jc w:val="both"/>
        <w:rPr>
          <w:rFonts w:ascii="Times New Roman" w:hAnsi="Times New Roman"/>
          <w:b/>
          <w:sz w:val="24"/>
          <w:szCs w:val="24"/>
        </w:rPr>
      </w:pPr>
      <w:r w:rsidRPr="00FF22DE">
        <w:rPr>
          <w:rFonts w:ascii="Times New Roman" w:hAnsi="Times New Roman"/>
          <w:b/>
          <w:sz w:val="24"/>
          <w:szCs w:val="24"/>
        </w:rPr>
        <w:t>Materials and methods</w:t>
      </w:r>
    </w:p>
    <w:p w14:paraId="35DAA75A" w14:textId="77777777" w:rsidR="00E61068" w:rsidRPr="00FF22DE" w:rsidRDefault="00E61068" w:rsidP="00A37ACD">
      <w:pPr>
        <w:pStyle w:val="Heading2"/>
        <w:spacing w:after="80"/>
        <w:jc w:val="both"/>
        <w:rPr>
          <w:color w:val="auto"/>
          <w:sz w:val="24"/>
          <w:szCs w:val="24"/>
        </w:rPr>
      </w:pPr>
      <w:r w:rsidRPr="00FF22DE">
        <w:rPr>
          <w:color w:val="auto"/>
          <w:sz w:val="24"/>
          <w:szCs w:val="24"/>
        </w:rPr>
        <w:t>2.1 Materials and Source of Raw Material</w:t>
      </w:r>
    </w:p>
    <w:p w14:paraId="205301E9" w14:textId="77777777" w:rsidR="00E61068" w:rsidRPr="00FF22DE" w:rsidRDefault="00E61068" w:rsidP="00A37ACD">
      <w:pPr>
        <w:spacing w:line="480" w:lineRule="auto"/>
        <w:jc w:val="both"/>
        <w:rPr>
          <w:rFonts w:ascii="Times New Roman" w:hAnsi="Times New Roman"/>
          <w:sz w:val="24"/>
          <w:szCs w:val="24"/>
        </w:rPr>
      </w:pPr>
      <w:r>
        <w:rPr>
          <w:rFonts w:ascii="Times New Roman" w:hAnsi="Times New Roman"/>
          <w:sz w:val="24"/>
          <w:szCs w:val="24"/>
        </w:rPr>
        <w:t xml:space="preserve">Fresh </w:t>
      </w:r>
      <w:r>
        <w:rPr>
          <w:rFonts w:ascii="Times New Roman" w:hAnsi="Times New Roman"/>
          <w:i/>
          <w:sz w:val="24"/>
          <w:szCs w:val="24"/>
        </w:rPr>
        <w:t>J. tanjorensis</w:t>
      </w:r>
      <w:r>
        <w:rPr>
          <w:rFonts w:ascii="Times New Roman" w:hAnsi="Times New Roman"/>
          <w:sz w:val="24"/>
          <w:szCs w:val="24"/>
        </w:rPr>
        <w:t xml:space="preserve"> leaves used in the study were harvested from a local farm in Owerri West Local Government Area of Imo State, Nigeria. Equipment used for processing included a sieve, wooden rolling pin, food dehydrator and electric blender. Chemicals and reagents used for </w:t>
      </w:r>
      <w:r>
        <w:rPr>
          <w:rFonts w:ascii="Times New Roman" w:hAnsi="Times New Roman"/>
          <w:sz w:val="24"/>
          <w:szCs w:val="24"/>
        </w:rPr>
        <w:lastRenderedPageBreak/>
        <w:t>chemical analyses were analytical grade and were obtained from the National Centre for Energy Research and Development, University of Nigeria, Nsukka, and the Department of Food Science and Technology, Federal University of Technology, Owerri.</w:t>
      </w:r>
    </w:p>
    <w:p w14:paraId="2B7D15CC" w14:textId="77777777" w:rsidR="008966FE" w:rsidRPr="00FF22DE" w:rsidRDefault="008966FE" w:rsidP="00A37ACD">
      <w:pPr>
        <w:pStyle w:val="Heading2"/>
        <w:spacing w:after="80"/>
        <w:jc w:val="both"/>
        <w:rPr>
          <w:color w:val="auto"/>
          <w:sz w:val="24"/>
          <w:szCs w:val="24"/>
        </w:rPr>
      </w:pPr>
      <w:r>
        <w:rPr>
          <w:color w:val="auto"/>
          <w:sz w:val="24"/>
          <w:szCs w:val="24"/>
        </w:rPr>
        <w:t xml:space="preserve">2.2 Processing of </w:t>
      </w:r>
      <w:r>
        <w:rPr>
          <w:i/>
          <w:color w:val="auto"/>
          <w:sz w:val="24"/>
          <w:szCs w:val="24"/>
        </w:rPr>
        <w:t>J. tanjorensis</w:t>
      </w:r>
      <w:r>
        <w:rPr>
          <w:color w:val="auto"/>
          <w:sz w:val="24"/>
          <w:szCs w:val="24"/>
        </w:rPr>
        <w:t xml:space="preserve"> Herbal Teas</w:t>
      </w:r>
    </w:p>
    <w:p w14:paraId="78B9F7E4" w14:textId="77777777" w:rsidR="008966FE" w:rsidRPr="00FF22DE" w:rsidRDefault="008966FE" w:rsidP="00A37ACD">
      <w:pPr>
        <w:spacing w:line="480" w:lineRule="auto"/>
        <w:jc w:val="both"/>
        <w:rPr>
          <w:sz w:val="24"/>
          <w:szCs w:val="24"/>
        </w:rPr>
      </w:pPr>
      <w:r>
        <w:rPr>
          <w:rFonts w:ascii="Times New Roman" w:hAnsi="Times New Roman"/>
          <w:sz w:val="24"/>
          <w:szCs w:val="24"/>
        </w:rPr>
        <w:t xml:space="preserve">Black </w:t>
      </w:r>
      <w:r>
        <w:rPr>
          <w:rFonts w:ascii="Times New Roman" w:hAnsi="Times New Roman"/>
          <w:i/>
          <w:sz w:val="24"/>
          <w:szCs w:val="24"/>
        </w:rPr>
        <w:t>J. tanjorensis</w:t>
      </w:r>
      <w:r>
        <w:rPr>
          <w:rFonts w:ascii="Times New Roman" w:hAnsi="Times New Roman"/>
          <w:sz w:val="24"/>
          <w:szCs w:val="24"/>
        </w:rPr>
        <w:t xml:space="preserve"> tea was produced using </w:t>
      </w:r>
      <w:r>
        <w:rPr>
          <w:rFonts w:ascii="Times New Roman" w:hAnsi="Times New Roman"/>
          <w:sz w:val="24"/>
          <w:szCs w:val="24"/>
          <w:highlight w:val="yellow"/>
        </w:rPr>
        <w:t>a</w:t>
      </w:r>
      <w:r>
        <w:rPr>
          <w:rFonts w:ascii="Times New Roman" w:hAnsi="Times New Roman"/>
          <w:sz w:val="24"/>
          <w:szCs w:val="24"/>
        </w:rPr>
        <w:t xml:space="preserve"> combination of </w:t>
      </w:r>
      <w:r>
        <w:rPr>
          <w:rFonts w:ascii="Times New Roman" w:hAnsi="Times New Roman"/>
          <w:sz w:val="24"/>
          <w:szCs w:val="24"/>
          <w:highlight w:val="yellow"/>
        </w:rPr>
        <w:t>the</w:t>
      </w:r>
      <w:r>
        <w:rPr>
          <w:rFonts w:ascii="Times New Roman" w:hAnsi="Times New Roman"/>
          <w:sz w:val="24"/>
          <w:szCs w:val="24"/>
        </w:rPr>
        <w:t xml:space="preserve"> method described by Aaqil et al. (2023) for processing black tea from </w:t>
      </w:r>
      <w:r>
        <w:rPr>
          <w:rFonts w:ascii="Times New Roman" w:hAnsi="Times New Roman"/>
          <w:i/>
          <w:sz w:val="24"/>
          <w:szCs w:val="24"/>
        </w:rPr>
        <w:t>Camel</w:t>
      </w:r>
      <w:r>
        <w:rPr>
          <w:rFonts w:ascii="Times New Roman" w:hAnsi="Times New Roman"/>
          <w:i/>
          <w:sz w:val="24"/>
          <w:szCs w:val="24"/>
          <w:highlight w:val="yellow"/>
        </w:rPr>
        <w:t>l</w:t>
      </w:r>
      <w:r>
        <w:rPr>
          <w:rFonts w:ascii="Times New Roman" w:hAnsi="Times New Roman"/>
          <w:i/>
          <w:sz w:val="24"/>
          <w:szCs w:val="24"/>
        </w:rPr>
        <w:t xml:space="preserve">ia </w:t>
      </w:r>
      <w:r>
        <w:rPr>
          <w:rFonts w:ascii="Times New Roman" w:hAnsi="Times New Roman"/>
          <w:i/>
          <w:sz w:val="24"/>
          <w:szCs w:val="24"/>
          <w:highlight w:val="yellow"/>
        </w:rPr>
        <w:t>s</w:t>
      </w:r>
      <w:r>
        <w:rPr>
          <w:rFonts w:ascii="Times New Roman" w:hAnsi="Times New Roman"/>
          <w:i/>
          <w:sz w:val="24"/>
          <w:szCs w:val="24"/>
        </w:rPr>
        <w:t>inensis</w:t>
      </w:r>
      <w:r>
        <w:rPr>
          <w:rFonts w:ascii="Times New Roman" w:hAnsi="Times New Roman"/>
          <w:sz w:val="24"/>
          <w:szCs w:val="24"/>
        </w:rPr>
        <w:t xml:space="preserve"> and </w:t>
      </w:r>
      <w:r>
        <w:rPr>
          <w:rFonts w:ascii="Times New Roman" w:hAnsi="Times New Roman"/>
          <w:sz w:val="24"/>
          <w:szCs w:val="24"/>
          <w:highlight w:val="yellow"/>
        </w:rPr>
        <w:t>the</w:t>
      </w:r>
      <w:r>
        <w:rPr>
          <w:rFonts w:ascii="Times New Roman" w:hAnsi="Times New Roman"/>
          <w:sz w:val="24"/>
          <w:szCs w:val="24"/>
        </w:rPr>
        <w:t xml:space="preserve"> method described by Ndife et al. (2019) for processing black tisane from scent leaves. Fresh leaves were harvested, sorted and washed with clean water. The leaves were drained on a sieve and spread on a tray at room temperature for 3 h to reduce moisture. They were then manually rolled with a wooden rolling pin to reduce leaf size and rupture the plant tissues. The rolled leaves were spread in a thin layer on clean sack bags placed on a hygienic floor surface and allowed to undergo enzymatic oxidation under ambient conditions for 6 h. Oxidation was terminated by dehydration at 70 °C for 4 h using a food dehydrator. The dried leaves were ground with an electric blender and packaged in tea bags.</w:t>
      </w:r>
    </w:p>
    <w:p w14:paraId="1167DC4B" w14:textId="77777777" w:rsidR="008966FE" w:rsidRPr="00FF22DE" w:rsidRDefault="008966FE" w:rsidP="00A37ACD">
      <w:pPr>
        <w:spacing w:line="480" w:lineRule="auto"/>
        <w:jc w:val="both"/>
        <w:rPr>
          <w:rFonts w:ascii="Times New Roman" w:hAnsi="Times New Roman"/>
          <w:sz w:val="24"/>
          <w:szCs w:val="24"/>
        </w:rPr>
      </w:pPr>
      <w:r>
        <w:rPr>
          <w:rFonts w:ascii="Times New Roman" w:hAnsi="Times New Roman"/>
          <w:sz w:val="24"/>
          <w:szCs w:val="24"/>
        </w:rPr>
        <w:t xml:space="preserve">Green </w:t>
      </w:r>
      <w:r>
        <w:rPr>
          <w:rFonts w:ascii="Times New Roman" w:hAnsi="Times New Roman"/>
          <w:i/>
          <w:sz w:val="24"/>
          <w:szCs w:val="24"/>
        </w:rPr>
        <w:t>J. tanjorensis</w:t>
      </w:r>
      <w:r>
        <w:rPr>
          <w:rFonts w:ascii="Times New Roman" w:hAnsi="Times New Roman"/>
          <w:sz w:val="24"/>
          <w:szCs w:val="24"/>
        </w:rPr>
        <w:t xml:space="preserve"> tea was processed following an approach adopted from green-tisane processing (Ndife et al., 2019). Fresh leaves were harvested, sorted and washed. The leaves were steam-blanched for 3 min to inactivate oxidative enzymes, drained and cooled to room temperature. They were manually roll-pressed with a wooden roller until sufficiently flattened and ruptured. The leaves were then dehydrated at 70 °C for 5 h, ground with an electric blender and packaged in tea bags.</w:t>
      </w:r>
    </w:p>
    <w:p w14:paraId="587AE377" w14:textId="77777777" w:rsidR="0021117B" w:rsidRPr="00535721" w:rsidRDefault="00FF22DE" w:rsidP="00A37ACD">
      <w:pPr>
        <w:spacing w:line="480" w:lineRule="auto"/>
        <w:jc w:val="both"/>
        <w:rPr>
          <w:sz w:val="28"/>
          <w:szCs w:val="28"/>
        </w:rPr>
      </w:pPr>
      <w:r w:rsidRPr="00FF22DE">
        <w:rPr>
          <w:rFonts w:ascii="Times New Roman" w:hAnsi="Times New Roman"/>
          <w:noProof/>
          <w:sz w:val="24"/>
          <w:szCs w:val="24"/>
          <w:lang w:eastAsia="en-US"/>
        </w:rPr>
        <w:lastRenderedPageBreak/>
        <w:drawing>
          <wp:anchor distT="0" distB="0" distL="114300" distR="114300" simplePos="0" relativeHeight="251659264" behindDoc="0" locked="0" layoutInCell="1" allowOverlap="1" wp14:anchorId="498AFC69" wp14:editId="740217A4">
            <wp:simplePos x="0" y="0"/>
            <wp:positionH relativeFrom="margin">
              <wp:posOffset>1083945</wp:posOffset>
            </wp:positionH>
            <wp:positionV relativeFrom="paragraph">
              <wp:posOffset>6350</wp:posOffset>
            </wp:positionV>
            <wp:extent cx="3762375" cy="2019935"/>
            <wp:effectExtent l="0" t="0" r="9525" b="0"/>
            <wp:wrapSquare wrapText="bothSides"/>
            <wp:docPr id="16"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3762375" cy="2019935"/>
                    </a:xfrm>
                    <a:prstGeom prst="rect">
                      <a:avLst/>
                    </a:prstGeom>
                  </pic:spPr>
                </pic:pic>
              </a:graphicData>
            </a:graphic>
            <wp14:sizeRelH relativeFrom="margin">
              <wp14:pctWidth>0</wp14:pctWidth>
            </wp14:sizeRelH>
            <wp14:sizeRelV relativeFrom="margin">
              <wp14:pctHeight>0</wp14:pctHeight>
            </wp14:sizeRelV>
          </wp:anchor>
        </w:drawing>
      </w:r>
    </w:p>
    <w:p w14:paraId="7D752B3C" w14:textId="77777777" w:rsidR="008966FE" w:rsidRPr="00535721" w:rsidRDefault="008966FE" w:rsidP="00A37ACD">
      <w:pPr>
        <w:spacing w:line="480" w:lineRule="auto"/>
        <w:jc w:val="both"/>
        <w:rPr>
          <w:sz w:val="28"/>
          <w:szCs w:val="28"/>
        </w:rPr>
      </w:pPr>
    </w:p>
    <w:p w14:paraId="1308A94A" w14:textId="77777777" w:rsidR="00FF22DE" w:rsidRDefault="00FF22DE" w:rsidP="00A37ACD">
      <w:pPr>
        <w:spacing w:line="480" w:lineRule="auto"/>
        <w:jc w:val="both"/>
        <w:rPr>
          <w:sz w:val="28"/>
          <w:szCs w:val="28"/>
        </w:rPr>
      </w:pPr>
    </w:p>
    <w:p w14:paraId="4E534589" w14:textId="77777777" w:rsidR="00FF22DE" w:rsidRPr="00535721" w:rsidRDefault="00FF22DE" w:rsidP="00A37ACD">
      <w:pPr>
        <w:spacing w:line="480" w:lineRule="auto"/>
        <w:jc w:val="both"/>
        <w:rPr>
          <w:sz w:val="28"/>
          <w:szCs w:val="28"/>
        </w:rPr>
      </w:pPr>
    </w:p>
    <w:p w14:paraId="6B9F87D0" w14:textId="49A4C533" w:rsidR="0021117B" w:rsidRPr="00FF22DE" w:rsidRDefault="0021117B" w:rsidP="00FF22DE">
      <w:pPr>
        <w:pStyle w:val="Caption"/>
        <w:jc w:val="center"/>
        <w:rPr>
          <w:rFonts w:ascii="Times New Roman" w:hAnsi="Times New Roman"/>
          <w:b/>
          <w:i w:val="0"/>
          <w:color w:val="auto"/>
          <w:sz w:val="24"/>
          <w:szCs w:val="24"/>
        </w:rPr>
      </w:pPr>
      <w:bookmarkStart w:id="0" w:name="_Toc225968772"/>
      <w:r w:rsidRPr="00FF22DE">
        <w:rPr>
          <w:rFonts w:ascii="Times New Roman" w:hAnsi="Times New Roman"/>
          <w:b/>
          <w:i w:val="0"/>
          <w:color w:val="auto"/>
          <w:sz w:val="24"/>
          <w:szCs w:val="24"/>
        </w:rPr>
        <w:t xml:space="preserve">Fig. </w:t>
      </w:r>
      <w:r w:rsidRPr="00FF22DE">
        <w:rPr>
          <w:rFonts w:ascii="Times New Roman" w:hAnsi="Times New Roman"/>
          <w:b/>
          <w:i w:val="0"/>
          <w:color w:val="auto"/>
          <w:sz w:val="24"/>
          <w:szCs w:val="24"/>
        </w:rPr>
        <w:fldChar w:fldCharType="begin"/>
      </w:r>
      <w:r w:rsidRPr="00FF22DE">
        <w:rPr>
          <w:rFonts w:ascii="Times New Roman" w:hAnsi="Times New Roman"/>
          <w:b/>
          <w:i w:val="0"/>
          <w:color w:val="auto"/>
          <w:sz w:val="24"/>
          <w:szCs w:val="24"/>
        </w:rPr>
        <w:instrText xml:space="preserve"> SEQ Figure \* ARABIC </w:instrText>
      </w:r>
      <w:r w:rsidRPr="00FF22DE">
        <w:rPr>
          <w:rFonts w:ascii="Times New Roman" w:hAnsi="Times New Roman"/>
          <w:b/>
          <w:i w:val="0"/>
          <w:color w:val="auto"/>
          <w:sz w:val="24"/>
          <w:szCs w:val="24"/>
        </w:rPr>
        <w:fldChar w:fldCharType="separate"/>
      </w:r>
      <w:r w:rsidRPr="00FF22DE">
        <w:rPr>
          <w:rFonts w:ascii="Times New Roman" w:hAnsi="Times New Roman"/>
          <w:b/>
          <w:i w:val="0"/>
          <w:noProof/>
          <w:color w:val="auto"/>
          <w:sz w:val="24"/>
          <w:szCs w:val="24"/>
        </w:rPr>
        <w:t>1</w:t>
      </w:r>
      <w:r w:rsidRPr="00FF22DE">
        <w:rPr>
          <w:rFonts w:ascii="Times New Roman" w:hAnsi="Times New Roman"/>
          <w:b/>
          <w:i w:val="0"/>
          <w:color w:val="auto"/>
          <w:sz w:val="24"/>
          <w:szCs w:val="24"/>
        </w:rPr>
        <w:fldChar w:fldCharType="end"/>
      </w:r>
      <w:r w:rsidRPr="00FF22DE">
        <w:rPr>
          <w:rFonts w:ascii="Times New Roman" w:hAnsi="Times New Roman"/>
          <w:b/>
          <w:i w:val="0"/>
          <w:color w:val="auto"/>
          <w:sz w:val="24"/>
          <w:szCs w:val="24"/>
        </w:rPr>
        <w:t xml:space="preserve">: Picture of </w:t>
      </w:r>
      <w:r w:rsidRPr="00FF22DE">
        <w:rPr>
          <w:rFonts w:ascii="Times New Roman" w:hAnsi="Times New Roman"/>
          <w:b/>
          <w:color w:val="auto"/>
          <w:sz w:val="24"/>
          <w:szCs w:val="24"/>
        </w:rPr>
        <w:t xml:space="preserve">Jatropha </w:t>
      </w:r>
      <w:proofErr w:type="spellStart"/>
      <w:r w:rsidRPr="00FF22DE">
        <w:rPr>
          <w:rFonts w:ascii="Times New Roman" w:hAnsi="Times New Roman"/>
          <w:b/>
          <w:color w:val="auto"/>
          <w:sz w:val="24"/>
          <w:szCs w:val="24"/>
        </w:rPr>
        <w:t>tanjorensis</w:t>
      </w:r>
      <w:proofErr w:type="spellEnd"/>
      <w:r w:rsidRPr="00FF22DE">
        <w:rPr>
          <w:rFonts w:ascii="Times New Roman" w:hAnsi="Times New Roman"/>
          <w:b/>
          <w:i w:val="0"/>
          <w:color w:val="auto"/>
          <w:sz w:val="24"/>
          <w:szCs w:val="24"/>
        </w:rPr>
        <w:t xml:space="preserve"> plant (Source: </w:t>
      </w:r>
      <w:proofErr w:type="spellStart"/>
      <w:r w:rsidR="003F0228" w:rsidRPr="003F0228">
        <w:rPr>
          <w:rFonts w:ascii="Times New Roman" w:hAnsi="Times New Roman"/>
          <w:b/>
          <w:i w:val="0"/>
          <w:color w:val="auto"/>
          <w:sz w:val="24"/>
          <w:szCs w:val="24"/>
        </w:rPr>
        <w:t>Imohiosen</w:t>
      </w:r>
      <w:proofErr w:type="spellEnd"/>
      <w:r w:rsidR="003F0228">
        <w:rPr>
          <w:rFonts w:ascii="Times New Roman" w:hAnsi="Times New Roman"/>
          <w:b/>
          <w:i w:val="0"/>
          <w:color w:val="auto"/>
          <w:sz w:val="24"/>
          <w:szCs w:val="24"/>
        </w:rPr>
        <w:t>,</w:t>
      </w:r>
      <w:r w:rsidRPr="00FF22DE">
        <w:rPr>
          <w:rFonts w:ascii="Times New Roman" w:hAnsi="Times New Roman"/>
          <w:b/>
          <w:i w:val="0"/>
          <w:color w:val="auto"/>
          <w:sz w:val="24"/>
          <w:szCs w:val="24"/>
        </w:rPr>
        <w:t xml:space="preserve"> 2023</w:t>
      </w:r>
      <w:bookmarkEnd w:id="0"/>
      <w:r w:rsidRPr="00FF22DE">
        <w:rPr>
          <w:rFonts w:ascii="Times New Roman" w:hAnsi="Times New Roman"/>
          <w:b/>
          <w:i w:val="0"/>
          <w:color w:val="auto"/>
          <w:sz w:val="24"/>
          <w:szCs w:val="24"/>
        </w:rPr>
        <w:t>)</w:t>
      </w:r>
    </w:p>
    <w:p w14:paraId="622A17BE" w14:textId="77777777" w:rsidR="00FF22DE" w:rsidRDefault="00FF22DE" w:rsidP="00FF22DE">
      <w:pPr>
        <w:jc w:val="center"/>
        <w:rPr>
          <w:sz w:val="28"/>
          <w:szCs w:val="28"/>
        </w:rPr>
      </w:pPr>
    </w:p>
    <w:p w14:paraId="03DDC47F" w14:textId="77777777" w:rsidR="00FF22DE" w:rsidRDefault="00FF22DE" w:rsidP="00A37ACD">
      <w:pPr>
        <w:jc w:val="both"/>
        <w:rPr>
          <w:sz w:val="28"/>
          <w:szCs w:val="28"/>
        </w:rPr>
      </w:pPr>
    </w:p>
    <w:p w14:paraId="6DC7E1E6" w14:textId="77777777" w:rsidR="00FF22DE" w:rsidRDefault="00FF22DE" w:rsidP="00A37ACD">
      <w:pPr>
        <w:jc w:val="both"/>
        <w:rPr>
          <w:sz w:val="28"/>
          <w:szCs w:val="28"/>
        </w:rPr>
      </w:pPr>
    </w:p>
    <w:p w14:paraId="28322360" w14:textId="77777777" w:rsidR="00CA5518" w:rsidRPr="00535721" w:rsidRDefault="00351418" w:rsidP="00A37ACD">
      <w:pPr>
        <w:jc w:val="both"/>
        <w:rPr>
          <w:sz w:val="28"/>
          <w:szCs w:val="28"/>
        </w:rPr>
      </w:pPr>
      <w:r w:rsidRPr="00535721">
        <w:rPr>
          <w:noProof/>
          <w:sz w:val="28"/>
          <w:szCs w:val="28"/>
          <w:lang w:eastAsia="en-US"/>
        </w:rPr>
        <mc:AlternateContent>
          <mc:Choice Requires="wps">
            <w:drawing>
              <wp:anchor distT="45720" distB="45720" distL="114300" distR="114300" simplePos="0" relativeHeight="251663360" behindDoc="0" locked="0" layoutInCell="1" allowOverlap="1" wp14:anchorId="114D6AD6" wp14:editId="62083E3A">
                <wp:simplePos x="0" y="0"/>
                <wp:positionH relativeFrom="margin">
                  <wp:align>center</wp:align>
                </wp:positionH>
                <wp:positionV relativeFrom="paragraph">
                  <wp:posOffset>219075</wp:posOffset>
                </wp:positionV>
                <wp:extent cx="2173605" cy="381000"/>
                <wp:effectExtent l="0" t="0" r="1714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3605" cy="381000"/>
                        </a:xfrm>
                        <a:prstGeom prst="rect">
                          <a:avLst/>
                        </a:prstGeom>
                        <a:solidFill>
                          <a:srgbClr val="FFFFFF"/>
                        </a:solidFill>
                        <a:ln w="9525">
                          <a:solidFill>
                            <a:srgbClr val="000000"/>
                          </a:solidFill>
                          <a:miter lim="800000"/>
                          <a:headEnd/>
                          <a:tailEnd/>
                        </a:ln>
                      </wps:spPr>
                      <wps:txbx>
                        <w:txbxContent>
                          <w:p w14:paraId="3B366A42" w14:textId="77777777" w:rsidR="00C23D7A" w:rsidRPr="00FF22DE" w:rsidRDefault="00C23D7A" w:rsidP="00351418">
                            <w:pPr>
                              <w:jc w:val="center"/>
                              <w:rPr>
                                <w:sz w:val="24"/>
                                <w:szCs w:val="24"/>
                              </w:rPr>
                            </w:pPr>
                            <w:r w:rsidRPr="00FF22DE">
                              <w:rPr>
                                <w:rFonts w:ascii="Times New Roman" w:hAnsi="Times New Roman"/>
                                <w:b/>
                                <w:sz w:val="24"/>
                                <w:szCs w:val="24"/>
                              </w:rPr>
                              <w:t>Fresh</w:t>
                            </w:r>
                            <w:r w:rsidRPr="00FF22DE">
                              <w:rPr>
                                <w:rFonts w:ascii="Times New Roman" w:hAnsi="Times New Roman"/>
                                <w:b/>
                                <w:i/>
                                <w:sz w:val="24"/>
                                <w:szCs w:val="24"/>
                              </w:rPr>
                              <w:t xml:space="preserve"> J</w:t>
                            </w:r>
                            <w:r w:rsidRPr="00FF22DE">
                              <w:rPr>
                                <w:rFonts w:ascii="Times New Roman" w:hAnsi="Times New Roman"/>
                                <w:b/>
                                <w:sz w:val="24"/>
                                <w:szCs w:val="24"/>
                              </w:rPr>
                              <w:t xml:space="preserve">. </w:t>
                            </w:r>
                            <w:proofErr w:type="spellStart"/>
                            <w:r w:rsidRPr="00FF22DE">
                              <w:rPr>
                                <w:rFonts w:ascii="Times New Roman" w:hAnsi="Times New Roman"/>
                                <w:b/>
                                <w:i/>
                                <w:sz w:val="24"/>
                                <w:szCs w:val="24"/>
                              </w:rPr>
                              <w:t>tanjorensis</w:t>
                            </w:r>
                            <w:proofErr w:type="spellEnd"/>
                            <w:r w:rsidRPr="00FF22DE">
                              <w:rPr>
                                <w:rFonts w:ascii="Times New Roman" w:hAnsi="Times New Roman"/>
                                <w:b/>
                                <w:i/>
                                <w:sz w:val="24"/>
                                <w:szCs w:val="24"/>
                              </w:rPr>
                              <w:t xml:space="preserve"> </w:t>
                            </w:r>
                            <w:r w:rsidRPr="00FF22DE">
                              <w:rPr>
                                <w:rFonts w:ascii="Times New Roman" w:hAnsi="Times New Roman"/>
                                <w:b/>
                                <w:sz w:val="24"/>
                                <w:szCs w:val="24"/>
                              </w:rPr>
                              <w:t>leaves</w:t>
                            </w:r>
                          </w:p>
                          <w:p w14:paraId="31974C8E" w14:textId="77777777" w:rsidR="00C23D7A" w:rsidRDefault="00C23D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4D6AD6" id="_x0000_t202" coordsize="21600,21600" o:spt="202" path="m,l,21600r21600,l21600,xe">
                <v:stroke joinstyle="miter"/>
                <v:path gradientshapeok="t" o:connecttype="rect"/>
              </v:shapetype>
              <v:shape id="Text Box 2" o:spid="_x0000_s1026" type="#_x0000_t202" style="position:absolute;left:0;text-align:left;margin-left:0;margin-top:17.25pt;width:171.15pt;height:30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">
                <v:textbox>
                  <w:txbxContent>
                    <w:p w14:paraId="3B366A42" w14:textId="77777777" w:rsidR="00C23D7A" w:rsidRPr="00FF22DE" w:rsidRDefault="00C23D7A" w:rsidP="00351418">
                      <w:pPr>
                        <w:jc w:val="center"/>
                        <w:rPr>
                          <w:sz w:val="24"/>
                          <w:szCs w:val="24"/>
                        </w:rPr>
                      </w:pPr>
                      <w:r w:rsidRPr="00FF22DE">
                        <w:rPr>
                          <w:rFonts w:ascii="Times New Roman" w:hAnsi="Times New Roman"/>
                          <w:b/>
                          <w:sz w:val="24"/>
                          <w:szCs w:val="24"/>
                        </w:rPr>
                        <w:t>Fresh</w:t>
                      </w:r>
                      <w:r w:rsidRPr="00FF22DE">
                        <w:rPr>
                          <w:rFonts w:ascii="Times New Roman" w:hAnsi="Times New Roman"/>
                          <w:b/>
                          <w:i/>
                          <w:sz w:val="24"/>
                          <w:szCs w:val="24"/>
                        </w:rPr>
                        <w:t xml:space="preserve"> J</w:t>
                      </w:r>
                      <w:r w:rsidRPr="00FF22DE">
                        <w:rPr>
                          <w:rFonts w:ascii="Times New Roman" w:hAnsi="Times New Roman"/>
                          <w:b/>
                          <w:sz w:val="24"/>
                          <w:szCs w:val="24"/>
                        </w:rPr>
                        <w:t xml:space="preserve">. </w:t>
                      </w:r>
                      <w:proofErr w:type="spellStart"/>
                      <w:r w:rsidRPr="00FF22DE">
                        <w:rPr>
                          <w:rFonts w:ascii="Times New Roman" w:hAnsi="Times New Roman"/>
                          <w:b/>
                          <w:i/>
                          <w:sz w:val="24"/>
                          <w:szCs w:val="24"/>
                        </w:rPr>
                        <w:t>tanjorensis</w:t>
                      </w:r>
                      <w:proofErr w:type="spellEnd"/>
                      <w:r w:rsidRPr="00FF22DE">
                        <w:rPr>
                          <w:rFonts w:ascii="Times New Roman" w:hAnsi="Times New Roman"/>
                          <w:b/>
                          <w:i/>
                          <w:sz w:val="24"/>
                          <w:szCs w:val="24"/>
                        </w:rPr>
                        <w:t xml:space="preserve"> </w:t>
                      </w:r>
                      <w:r w:rsidRPr="00FF22DE">
                        <w:rPr>
                          <w:rFonts w:ascii="Times New Roman" w:hAnsi="Times New Roman"/>
                          <w:b/>
                          <w:sz w:val="24"/>
                          <w:szCs w:val="24"/>
                        </w:rPr>
                        <w:t>leaves</w:t>
                      </w:r>
                    </w:p>
                    <w:p w14:paraId="31974C8E" w14:textId="77777777" w:rsidR="00C23D7A" w:rsidRDefault="00C23D7A"/>
                  </w:txbxContent>
                </v:textbox>
                <w10:wrap type="square" anchorx="margin"/>
              </v:shape>
            </w:pict>
          </mc:Fallback>
        </mc:AlternateContent>
      </w:r>
    </w:p>
    <w:p w14:paraId="2683E63B" w14:textId="77777777" w:rsidR="00351418" w:rsidRPr="00535721" w:rsidRDefault="00351418" w:rsidP="00A37ACD">
      <w:pPr>
        <w:jc w:val="both"/>
        <w:rPr>
          <w:rFonts w:ascii="Times New Roman" w:hAnsi="Times New Roman"/>
          <w:sz w:val="28"/>
          <w:szCs w:val="28"/>
        </w:rPr>
      </w:pPr>
    </w:p>
    <w:p w14:paraId="2D241C6F" w14:textId="77777777" w:rsidR="00351418" w:rsidRPr="00535721" w:rsidRDefault="00351418" w:rsidP="00915316">
      <w:pPr>
        <w:jc w:val="center"/>
        <w:rPr>
          <w:rFonts w:ascii="Times New Roman" w:hAnsi="Times New Roman"/>
          <w:sz w:val="28"/>
          <w:szCs w:val="28"/>
        </w:rPr>
      </w:pPr>
      <w:r w:rsidRPr="00535721">
        <w:rPr>
          <w:rFonts w:ascii="Times New Roman" w:hAnsi="Times New Roman"/>
          <w:sz w:val="28"/>
          <w:szCs w:val="28"/>
        </w:rPr>
        <w:t>↓</w:t>
      </w:r>
    </w:p>
    <w:p w14:paraId="5D638E3D"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Harvesting</w:t>
      </w:r>
    </w:p>
    <w:p w14:paraId="4F5491AD"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7A6579AD"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Sorting/washing</w:t>
      </w:r>
    </w:p>
    <w:p w14:paraId="21F9EE44" w14:textId="77777777" w:rsidR="00351418" w:rsidRPr="00FF22DE" w:rsidRDefault="00351418" w:rsidP="00915316">
      <w:pPr>
        <w:jc w:val="center"/>
        <w:rPr>
          <w:rFonts w:ascii="Times New Roman" w:hAnsi="Times New Roman"/>
          <w:sz w:val="24"/>
          <w:szCs w:val="24"/>
        </w:rPr>
      </w:pPr>
      <w:r w:rsidRPr="00FF22DE">
        <w:rPr>
          <w:rFonts w:ascii="Times New Roman" w:hAnsi="Times New Roman"/>
          <w:sz w:val="24"/>
          <w:szCs w:val="24"/>
        </w:rPr>
        <w:t>↓</w:t>
      </w:r>
    </w:p>
    <w:p w14:paraId="0C366978" w14:textId="77777777" w:rsidR="00CA5518" w:rsidRPr="00FF22DE" w:rsidRDefault="00351418" w:rsidP="00915316">
      <w:pPr>
        <w:jc w:val="center"/>
        <w:rPr>
          <w:rFonts w:ascii="Times New Roman" w:hAnsi="Times New Roman"/>
          <w:sz w:val="24"/>
          <w:szCs w:val="24"/>
        </w:rPr>
      </w:pPr>
      <w:r w:rsidRPr="00FF22DE">
        <w:rPr>
          <w:rFonts w:ascii="Times New Roman" w:hAnsi="Times New Roman"/>
          <w:sz w:val="24"/>
          <w:szCs w:val="24"/>
        </w:rPr>
        <w:t>Withering</w:t>
      </w:r>
    </w:p>
    <w:p w14:paraId="1E78CE01"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1B83B2B0"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Rolling</w:t>
      </w:r>
    </w:p>
    <w:p w14:paraId="266AD7DD"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6BE80F86"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Enzymatic oxidation (6 H)</w:t>
      </w:r>
    </w:p>
    <w:p w14:paraId="40A88A81"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1CD65666"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lastRenderedPageBreak/>
        <w:t xml:space="preserve">Dehydration (70 </w:t>
      </w:r>
      <w:r w:rsidRPr="00FF22DE">
        <w:rPr>
          <w:rFonts w:ascii="Times New Roman" w:hAnsi="Times New Roman"/>
          <w:sz w:val="24"/>
          <w:szCs w:val="24"/>
          <w:vertAlign w:val="superscript"/>
        </w:rPr>
        <w:t>0</w:t>
      </w:r>
      <w:r w:rsidRPr="00FF22DE">
        <w:rPr>
          <w:rFonts w:ascii="Times New Roman" w:hAnsi="Times New Roman"/>
          <w:sz w:val="24"/>
          <w:szCs w:val="24"/>
        </w:rPr>
        <w:t>C for 4 H)</w:t>
      </w:r>
    </w:p>
    <w:p w14:paraId="65BD513B"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2AE23DE5"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Grinding</w:t>
      </w:r>
    </w:p>
    <w:p w14:paraId="446D3E87"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2E048DB2"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Packaging</w:t>
      </w:r>
    </w:p>
    <w:p w14:paraId="7FBCB888" w14:textId="77777777" w:rsidR="00CA5518" w:rsidRPr="00FF22DE" w:rsidRDefault="00CA5518" w:rsidP="00915316">
      <w:pPr>
        <w:jc w:val="center"/>
        <w:rPr>
          <w:rFonts w:ascii="Times New Roman" w:hAnsi="Times New Roman"/>
          <w:sz w:val="24"/>
          <w:szCs w:val="24"/>
        </w:rPr>
      </w:pPr>
      <w:r w:rsidRPr="00FF22DE">
        <w:rPr>
          <w:rFonts w:ascii="Times New Roman" w:hAnsi="Times New Roman"/>
          <w:noProof/>
          <w:sz w:val="24"/>
          <w:szCs w:val="24"/>
          <w:lang w:eastAsia="en-US"/>
        </w:rPr>
        <mc:AlternateContent>
          <mc:Choice Requires="wps">
            <w:drawing>
              <wp:anchor distT="0" distB="0" distL="0" distR="0" simplePos="0" relativeHeight="251661312" behindDoc="0" locked="0" layoutInCell="1" allowOverlap="1" wp14:anchorId="352C92C2" wp14:editId="0A06E828">
                <wp:simplePos x="0" y="0"/>
                <wp:positionH relativeFrom="column">
                  <wp:posOffset>2475851</wp:posOffset>
                </wp:positionH>
                <wp:positionV relativeFrom="paragraph">
                  <wp:posOffset>239395</wp:posOffset>
                </wp:positionV>
                <wp:extent cx="1058238" cy="287676"/>
                <wp:effectExtent l="0" t="0" r="27940" b="17145"/>
                <wp:wrapNone/>
                <wp:docPr id="1053"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8238" cy="287676"/>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5C644662" w14:textId="77777777" w:rsidR="00C23D7A" w:rsidRDefault="00C23D7A" w:rsidP="00CA5518">
                            <w:pPr>
                              <w:jc w:val="center"/>
                              <w:rPr>
                                <w:rFonts w:ascii="Times New Roman" w:hAnsi="Times New Roman"/>
                                <w:b/>
                                <w:sz w:val="28"/>
                                <w:szCs w:val="28"/>
                              </w:rPr>
                            </w:pPr>
                            <w:r>
                              <w:rPr>
                                <w:rFonts w:ascii="Times New Roman" w:hAnsi="Times New Roman"/>
                                <w:b/>
                                <w:sz w:val="28"/>
                                <w:szCs w:val="28"/>
                              </w:rPr>
                              <w:t>Black Tea</w:t>
                            </w:r>
                          </w:p>
                          <w:p w14:paraId="0DED0528" w14:textId="77777777" w:rsidR="00C23D7A" w:rsidRDefault="00C23D7A" w:rsidP="00CA5518"/>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C92C2" id="Text Box 208" o:spid="_x0000_s1027" style="position:absolute;left:0;text-align:left;margin-left:194.95pt;margin-top:18.85pt;width:83.35pt;height:22.6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" strokeweight=".5pt">
                <v:stroke joinstyle="round"/>
                <v:path arrowok="t"/>
                <v:textbox>
                  <w:txbxContent>
                    <w:p w14:paraId="5C644662" w14:textId="77777777" w:rsidR="00C23D7A" w:rsidRDefault="00C23D7A" w:rsidP="00CA5518">
                      <w:pPr>
                        <w:jc w:val="center"/>
                        <w:rPr>
                          <w:rFonts w:ascii="Times New Roman" w:hAnsi="Times New Roman"/>
                          <w:b/>
                          <w:sz w:val="28"/>
                          <w:szCs w:val="28"/>
                        </w:rPr>
                      </w:pPr>
                      <w:r>
                        <w:rPr>
                          <w:rFonts w:ascii="Times New Roman" w:hAnsi="Times New Roman"/>
                          <w:b/>
                          <w:sz w:val="28"/>
                          <w:szCs w:val="28"/>
                        </w:rPr>
                        <w:t>Black Tea</w:t>
                      </w:r>
                    </w:p>
                    <w:p w14:paraId="0DED0528" w14:textId="77777777" w:rsidR="00C23D7A" w:rsidRDefault="00C23D7A" w:rsidP="00CA5518"/>
                  </w:txbxContent>
                </v:textbox>
              </v:rect>
            </w:pict>
          </mc:Fallback>
        </mc:AlternateContent>
      </w:r>
      <w:r w:rsidRPr="00FF22DE">
        <w:rPr>
          <w:rFonts w:ascii="Times New Roman" w:hAnsi="Times New Roman"/>
          <w:sz w:val="24"/>
          <w:szCs w:val="24"/>
        </w:rPr>
        <w:t>↓</w:t>
      </w:r>
    </w:p>
    <w:p w14:paraId="06003591" w14:textId="77777777" w:rsidR="00CA5518" w:rsidRPr="00FF22DE" w:rsidRDefault="00CA5518" w:rsidP="00915316">
      <w:pPr>
        <w:jc w:val="center"/>
        <w:rPr>
          <w:rFonts w:ascii="Times New Roman" w:hAnsi="Times New Roman"/>
          <w:sz w:val="24"/>
          <w:szCs w:val="24"/>
        </w:rPr>
      </w:pPr>
    </w:p>
    <w:p w14:paraId="5113AE67" w14:textId="77777777" w:rsidR="00CA5518" w:rsidRPr="00FF22DE" w:rsidRDefault="00CA5518" w:rsidP="00915316">
      <w:pPr>
        <w:spacing w:after="0" w:line="240" w:lineRule="auto"/>
        <w:jc w:val="center"/>
        <w:rPr>
          <w:rFonts w:ascii="Times New Roman" w:hAnsi="Times New Roman"/>
          <w:b/>
          <w:iCs/>
          <w:sz w:val="24"/>
          <w:szCs w:val="24"/>
        </w:rPr>
      </w:pPr>
    </w:p>
    <w:p w14:paraId="7B167E21" w14:textId="77777777" w:rsidR="00CA5518" w:rsidRPr="00FF22DE" w:rsidRDefault="00724F72" w:rsidP="00915316">
      <w:pPr>
        <w:pStyle w:val="Caption"/>
        <w:jc w:val="center"/>
        <w:rPr>
          <w:rFonts w:ascii="Times New Roman" w:hAnsi="Times New Roman"/>
          <w:b/>
          <w:i w:val="0"/>
          <w:color w:val="auto"/>
          <w:sz w:val="24"/>
          <w:szCs w:val="24"/>
        </w:rPr>
      </w:pPr>
      <w:bookmarkStart w:id="1" w:name="_Toc225968773"/>
      <w:r w:rsidRPr="00FF22DE">
        <w:rPr>
          <w:rFonts w:ascii="Times New Roman" w:hAnsi="Times New Roman"/>
          <w:b/>
          <w:i w:val="0"/>
          <w:color w:val="auto"/>
          <w:sz w:val="24"/>
          <w:szCs w:val="24"/>
        </w:rPr>
        <w:t xml:space="preserve">Fig. </w:t>
      </w:r>
      <w:r w:rsidR="00CA5518" w:rsidRPr="00FF22DE">
        <w:rPr>
          <w:rFonts w:ascii="Times New Roman" w:hAnsi="Times New Roman"/>
          <w:b/>
          <w:i w:val="0"/>
          <w:color w:val="auto"/>
          <w:sz w:val="24"/>
          <w:szCs w:val="24"/>
        </w:rPr>
        <w:fldChar w:fldCharType="begin"/>
      </w:r>
      <w:r w:rsidR="00CA5518" w:rsidRPr="00FF22DE">
        <w:rPr>
          <w:rFonts w:ascii="Times New Roman" w:hAnsi="Times New Roman"/>
          <w:b/>
          <w:i w:val="0"/>
          <w:color w:val="auto"/>
          <w:sz w:val="24"/>
          <w:szCs w:val="24"/>
        </w:rPr>
        <w:instrText xml:space="preserve"> SEQ Figure \* ARABIC </w:instrText>
      </w:r>
      <w:r w:rsidR="00CA5518" w:rsidRPr="00FF22DE">
        <w:rPr>
          <w:rFonts w:ascii="Times New Roman" w:hAnsi="Times New Roman"/>
          <w:b/>
          <w:i w:val="0"/>
          <w:color w:val="auto"/>
          <w:sz w:val="24"/>
          <w:szCs w:val="24"/>
        </w:rPr>
        <w:fldChar w:fldCharType="separate"/>
      </w:r>
      <w:r w:rsidR="00CA5518" w:rsidRPr="00FF22DE">
        <w:rPr>
          <w:rFonts w:ascii="Times New Roman" w:hAnsi="Times New Roman"/>
          <w:b/>
          <w:i w:val="0"/>
          <w:noProof/>
          <w:color w:val="auto"/>
          <w:sz w:val="24"/>
          <w:szCs w:val="24"/>
        </w:rPr>
        <w:t>2</w:t>
      </w:r>
      <w:r w:rsidR="00CA5518" w:rsidRPr="00FF22DE">
        <w:rPr>
          <w:rFonts w:ascii="Times New Roman" w:hAnsi="Times New Roman"/>
          <w:b/>
          <w:i w:val="0"/>
          <w:color w:val="auto"/>
          <w:sz w:val="24"/>
          <w:szCs w:val="24"/>
        </w:rPr>
        <w:fldChar w:fldCharType="end"/>
      </w:r>
      <w:r w:rsidR="00CA5518" w:rsidRPr="00FF22DE">
        <w:rPr>
          <w:rFonts w:ascii="Times New Roman" w:hAnsi="Times New Roman"/>
          <w:b/>
          <w:i w:val="0"/>
          <w:color w:val="auto"/>
          <w:sz w:val="24"/>
          <w:szCs w:val="24"/>
        </w:rPr>
        <w:t>: Black tea Processing</w:t>
      </w:r>
      <w:bookmarkEnd w:id="1"/>
    </w:p>
    <w:p w14:paraId="28F1BA97" w14:textId="77777777" w:rsidR="00CA5518" w:rsidRPr="00535721" w:rsidRDefault="00CA5518" w:rsidP="00915316">
      <w:pPr>
        <w:jc w:val="center"/>
        <w:rPr>
          <w:sz w:val="28"/>
          <w:szCs w:val="28"/>
        </w:rPr>
      </w:pPr>
    </w:p>
    <w:p w14:paraId="5C8FFD68" w14:textId="77777777" w:rsidR="00803512" w:rsidRPr="00535721" w:rsidRDefault="00803512" w:rsidP="00A37ACD">
      <w:pPr>
        <w:jc w:val="both"/>
        <w:rPr>
          <w:rFonts w:ascii="Times New Roman" w:hAnsi="Times New Roman"/>
          <w:sz w:val="28"/>
          <w:szCs w:val="28"/>
        </w:rPr>
      </w:pPr>
      <w:r w:rsidRPr="00535721">
        <w:rPr>
          <w:noProof/>
          <w:sz w:val="28"/>
          <w:szCs w:val="28"/>
          <w:lang w:eastAsia="en-US"/>
        </w:rPr>
        <mc:AlternateContent>
          <mc:Choice Requires="wps">
            <w:drawing>
              <wp:anchor distT="45720" distB="45720" distL="114300" distR="114300" simplePos="0" relativeHeight="251667456" behindDoc="0" locked="0" layoutInCell="1" allowOverlap="1" wp14:anchorId="769B73EA" wp14:editId="44BAE0FA">
                <wp:simplePos x="0" y="0"/>
                <wp:positionH relativeFrom="margin">
                  <wp:align>center</wp:align>
                </wp:positionH>
                <wp:positionV relativeFrom="paragraph">
                  <wp:posOffset>161925</wp:posOffset>
                </wp:positionV>
                <wp:extent cx="2162175" cy="3619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361950"/>
                        </a:xfrm>
                        <a:prstGeom prst="rect">
                          <a:avLst/>
                        </a:prstGeom>
                        <a:solidFill>
                          <a:srgbClr val="FFFFFF"/>
                        </a:solidFill>
                        <a:ln w="9525">
                          <a:solidFill>
                            <a:srgbClr val="000000"/>
                          </a:solidFill>
                          <a:miter lim="800000"/>
                          <a:headEnd/>
                          <a:tailEnd/>
                        </a:ln>
                      </wps:spPr>
                      <wps:txbx>
                        <w:txbxContent>
                          <w:p w14:paraId="5E35F396" w14:textId="77777777" w:rsidR="00C23D7A" w:rsidRPr="00FF22DE" w:rsidRDefault="00C23D7A" w:rsidP="00803512">
                            <w:pPr>
                              <w:rPr>
                                <w:sz w:val="24"/>
                                <w:szCs w:val="24"/>
                              </w:rPr>
                            </w:pPr>
                            <w:r w:rsidRPr="00FF22DE">
                              <w:rPr>
                                <w:rFonts w:ascii="Times New Roman" w:hAnsi="Times New Roman"/>
                                <w:b/>
                                <w:sz w:val="24"/>
                                <w:szCs w:val="24"/>
                              </w:rPr>
                              <w:t>Fresh</w:t>
                            </w:r>
                            <w:r w:rsidRPr="00FF22DE">
                              <w:rPr>
                                <w:rFonts w:ascii="Times New Roman" w:hAnsi="Times New Roman"/>
                                <w:b/>
                                <w:i/>
                                <w:sz w:val="24"/>
                                <w:szCs w:val="24"/>
                              </w:rPr>
                              <w:t xml:space="preserve"> J</w:t>
                            </w:r>
                            <w:r w:rsidRPr="00FF22DE">
                              <w:rPr>
                                <w:rFonts w:ascii="Times New Roman" w:hAnsi="Times New Roman"/>
                                <w:b/>
                                <w:sz w:val="24"/>
                                <w:szCs w:val="24"/>
                              </w:rPr>
                              <w:t xml:space="preserve">. </w:t>
                            </w:r>
                            <w:proofErr w:type="spellStart"/>
                            <w:r w:rsidRPr="00FF22DE">
                              <w:rPr>
                                <w:rFonts w:ascii="Times New Roman" w:hAnsi="Times New Roman"/>
                                <w:b/>
                                <w:i/>
                                <w:sz w:val="24"/>
                                <w:szCs w:val="24"/>
                              </w:rPr>
                              <w:t>tanjorensis</w:t>
                            </w:r>
                            <w:proofErr w:type="spellEnd"/>
                            <w:r w:rsidRPr="00FF22DE">
                              <w:rPr>
                                <w:rFonts w:ascii="Times New Roman" w:hAnsi="Times New Roman"/>
                                <w:b/>
                                <w:i/>
                                <w:sz w:val="24"/>
                                <w:szCs w:val="24"/>
                              </w:rPr>
                              <w:t xml:space="preserve"> </w:t>
                            </w:r>
                            <w:r w:rsidRPr="00FF22DE">
                              <w:rPr>
                                <w:rFonts w:ascii="Times New Roman" w:hAnsi="Times New Roman"/>
                                <w:b/>
                                <w:sz w:val="24"/>
                                <w:szCs w:val="24"/>
                              </w:rPr>
                              <w:t>leaves</w:t>
                            </w:r>
                          </w:p>
                          <w:p w14:paraId="56CEADEA" w14:textId="77777777" w:rsidR="00C23D7A" w:rsidRDefault="00C23D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B73EA" id="_x0000_s1028" type="#_x0000_t202" style="position:absolute;left:0;text-align:left;margin-left:0;margin-top:12.75pt;width:170.25pt;height:28.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">
                <v:textbox>
                  <w:txbxContent>
                    <w:p w14:paraId="5E35F396" w14:textId="77777777" w:rsidR="00C23D7A" w:rsidRPr="00FF22DE" w:rsidRDefault="00C23D7A" w:rsidP="00803512">
                      <w:pPr>
                        <w:rPr>
                          <w:sz w:val="24"/>
                          <w:szCs w:val="24"/>
                        </w:rPr>
                      </w:pPr>
                      <w:r w:rsidRPr="00FF22DE">
                        <w:rPr>
                          <w:rFonts w:ascii="Times New Roman" w:hAnsi="Times New Roman"/>
                          <w:b/>
                          <w:sz w:val="24"/>
                          <w:szCs w:val="24"/>
                        </w:rPr>
                        <w:t>Fresh</w:t>
                      </w:r>
                      <w:r w:rsidRPr="00FF22DE">
                        <w:rPr>
                          <w:rFonts w:ascii="Times New Roman" w:hAnsi="Times New Roman"/>
                          <w:b/>
                          <w:i/>
                          <w:sz w:val="24"/>
                          <w:szCs w:val="24"/>
                        </w:rPr>
                        <w:t xml:space="preserve"> J</w:t>
                      </w:r>
                      <w:r w:rsidRPr="00FF22DE">
                        <w:rPr>
                          <w:rFonts w:ascii="Times New Roman" w:hAnsi="Times New Roman"/>
                          <w:b/>
                          <w:sz w:val="24"/>
                          <w:szCs w:val="24"/>
                        </w:rPr>
                        <w:t xml:space="preserve">. </w:t>
                      </w:r>
                      <w:proofErr w:type="spellStart"/>
                      <w:r w:rsidRPr="00FF22DE">
                        <w:rPr>
                          <w:rFonts w:ascii="Times New Roman" w:hAnsi="Times New Roman"/>
                          <w:b/>
                          <w:i/>
                          <w:sz w:val="24"/>
                          <w:szCs w:val="24"/>
                        </w:rPr>
                        <w:t>tanjorensis</w:t>
                      </w:r>
                      <w:proofErr w:type="spellEnd"/>
                      <w:r w:rsidRPr="00FF22DE">
                        <w:rPr>
                          <w:rFonts w:ascii="Times New Roman" w:hAnsi="Times New Roman"/>
                          <w:b/>
                          <w:i/>
                          <w:sz w:val="24"/>
                          <w:szCs w:val="24"/>
                        </w:rPr>
                        <w:t xml:space="preserve"> </w:t>
                      </w:r>
                      <w:r w:rsidRPr="00FF22DE">
                        <w:rPr>
                          <w:rFonts w:ascii="Times New Roman" w:hAnsi="Times New Roman"/>
                          <w:b/>
                          <w:sz w:val="24"/>
                          <w:szCs w:val="24"/>
                        </w:rPr>
                        <w:t>leaves</w:t>
                      </w:r>
                    </w:p>
                    <w:p w14:paraId="56CEADEA" w14:textId="77777777" w:rsidR="00C23D7A" w:rsidRDefault="00C23D7A"/>
                  </w:txbxContent>
                </v:textbox>
                <w10:wrap type="square" anchorx="margin"/>
              </v:shape>
            </w:pict>
          </mc:Fallback>
        </mc:AlternateContent>
      </w:r>
    </w:p>
    <w:p w14:paraId="1AF974B9" w14:textId="77777777" w:rsidR="00803512" w:rsidRPr="00535721" w:rsidRDefault="00803512" w:rsidP="00A37ACD">
      <w:pPr>
        <w:jc w:val="both"/>
        <w:rPr>
          <w:rFonts w:ascii="Times New Roman" w:hAnsi="Times New Roman"/>
          <w:sz w:val="28"/>
          <w:szCs w:val="28"/>
        </w:rPr>
      </w:pPr>
    </w:p>
    <w:p w14:paraId="6EFF8CEF" w14:textId="77777777" w:rsidR="00803512" w:rsidRPr="00535721" w:rsidRDefault="00803512" w:rsidP="00915316">
      <w:pPr>
        <w:jc w:val="center"/>
        <w:rPr>
          <w:rFonts w:ascii="Times New Roman" w:hAnsi="Times New Roman"/>
          <w:sz w:val="28"/>
          <w:szCs w:val="28"/>
        </w:rPr>
      </w:pPr>
      <w:r w:rsidRPr="00535721">
        <w:rPr>
          <w:rFonts w:ascii="Times New Roman" w:hAnsi="Times New Roman"/>
          <w:sz w:val="28"/>
          <w:szCs w:val="28"/>
        </w:rPr>
        <w:t>↓</w:t>
      </w:r>
    </w:p>
    <w:p w14:paraId="5CCEA1B6"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Harvesting</w:t>
      </w:r>
    </w:p>
    <w:p w14:paraId="7E1EAABD"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79891CE0"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Sorting/washing</w:t>
      </w:r>
    </w:p>
    <w:p w14:paraId="1C25C646"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70341982"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Steam blanching (3 minutes)</w:t>
      </w:r>
    </w:p>
    <w:p w14:paraId="19C38544"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7CDC510C"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Cooling</w:t>
      </w:r>
    </w:p>
    <w:p w14:paraId="2B1E4746"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43A12378"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Rolling</w:t>
      </w:r>
    </w:p>
    <w:p w14:paraId="17DA80AC"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3487044D"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 xml:space="preserve">Dehydration (70 </w:t>
      </w:r>
      <w:r w:rsidRPr="00FF22DE">
        <w:rPr>
          <w:rFonts w:ascii="Times New Roman" w:hAnsi="Times New Roman"/>
          <w:sz w:val="24"/>
          <w:szCs w:val="24"/>
          <w:vertAlign w:val="superscript"/>
        </w:rPr>
        <w:t>0</w:t>
      </w:r>
      <w:r w:rsidRPr="00FF22DE">
        <w:rPr>
          <w:rFonts w:ascii="Times New Roman" w:hAnsi="Times New Roman"/>
          <w:sz w:val="24"/>
          <w:szCs w:val="24"/>
        </w:rPr>
        <w:t>C for 5 hours)</w:t>
      </w:r>
    </w:p>
    <w:p w14:paraId="3ABCD231"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78D881EE"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lastRenderedPageBreak/>
        <w:t>Grinding</w:t>
      </w:r>
    </w:p>
    <w:p w14:paraId="24FD8963"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2D8C739B"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Packaging</w:t>
      </w:r>
    </w:p>
    <w:p w14:paraId="003BD695" w14:textId="77777777" w:rsidR="00803512" w:rsidRPr="00FF22DE" w:rsidRDefault="00803512" w:rsidP="00915316">
      <w:pPr>
        <w:jc w:val="center"/>
        <w:rPr>
          <w:rFonts w:ascii="Times New Roman" w:hAnsi="Times New Roman"/>
          <w:sz w:val="24"/>
          <w:szCs w:val="24"/>
        </w:rPr>
      </w:pPr>
      <w:r w:rsidRPr="00FF22DE">
        <w:rPr>
          <w:rFonts w:ascii="Times New Roman" w:hAnsi="Times New Roman"/>
          <w:noProof/>
          <w:sz w:val="24"/>
          <w:szCs w:val="24"/>
          <w:lang w:eastAsia="en-US"/>
        </w:rPr>
        <mc:AlternateContent>
          <mc:Choice Requires="wps">
            <w:drawing>
              <wp:anchor distT="0" distB="0" distL="0" distR="0" simplePos="0" relativeHeight="251665408" behindDoc="0" locked="0" layoutInCell="1" allowOverlap="1" wp14:anchorId="38631D3F" wp14:editId="4D65D599">
                <wp:simplePos x="0" y="0"/>
                <wp:positionH relativeFrom="column">
                  <wp:posOffset>2475851</wp:posOffset>
                </wp:positionH>
                <wp:positionV relativeFrom="paragraph">
                  <wp:posOffset>239395</wp:posOffset>
                </wp:positionV>
                <wp:extent cx="1058238" cy="287676"/>
                <wp:effectExtent l="0" t="0" r="27940" b="17145"/>
                <wp:wrapNone/>
                <wp:docPr id="1055"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8238" cy="287676"/>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85BD87F" w14:textId="77777777" w:rsidR="00C23D7A" w:rsidRDefault="00C23D7A" w:rsidP="00803512">
                            <w:pPr>
                              <w:jc w:val="center"/>
                              <w:rPr>
                                <w:rFonts w:ascii="Times New Roman" w:hAnsi="Times New Roman"/>
                                <w:b/>
                                <w:sz w:val="28"/>
                                <w:szCs w:val="28"/>
                              </w:rPr>
                            </w:pPr>
                            <w:r>
                              <w:rPr>
                                <w:rFonts w:ascii="Times New Roman" w:hAnsi="Times New Roman"/>
                                <w:b/>
                                <w:sz w:val="28"/>
                                <w:szCs w:val="28"/>
                              </w:rPr>
                              <w:t>Green Tea</w:t>
                            </w:r>
                          </w:p>
                          <w:p w14:paraId="268D5E8C" w14:textId="77777777" w:rsidR="00C23D7A" w:rsidRDefault="00C23D7A" w:rsidP="00803512"/>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631D3F" id="Text Box 196" o:spid="_x0000_s1029" style="position:absolute;left:0;text-align:left;margin-left:194.95pt;margin-top:18.85pt;width:83.35pt;height:22.65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" strokeweight=".5pt">
                <v:stroke joinstyle="round"/>
                <v:path arrowok="t"/>
                <v:textbox>
                  <w:txbxContent>
                    <w:p w14:paraId="685BD87F" w14:textId="77777777" w:rsidR="00C23D7A" w:rsidRDefault="00C23D7A" w:rsidP="00803512">
                      <w:pPr>
                        <w:jc w:val="center"/>
                        <w:rPr>
                          <w:rFonts w:ascii="Times New Roman" w:hAnsi="Times New Roman"/>
                          <w:b/>
                          <w:sz w:val="28"/>
                          <w:szCs w:val="28"/>
                        </w:rPr>
                      </w:pPr>
                      <w:r>
                        <w:rPr>
                          <w:rFonts w:ascii="Times New Roman" w:hAnsi="Times New Roman"/>
                          <w:b/>
                          <w:sz w:val="28"/>
                          <w:szCs w:val="28"/>
                        </w:rPr>
                        <w:t>Green Tea</w:t>
                      </w:r>
                    </w:p>
                    <w:p w14:paraId="268D5E8C" w14:textId="77777777" w:rsidR="00C23D7A" w:rsidRDefault="00C23D7A" w:rsidP="00803512"/>
                  </w:txbxContent>
                </v:textbox>
              </v:rect>
            </w:pict>
          </mc:Fallback>
        </mc:AlternateContent>
      </w:r>
      <w:r w:rsidRPr="00FF22DE">
        <w:rPr>
          <w:rFonts w:ascii="Times New Roman" w:hAnsi="Times New Roman"/>
          <w:sz w:val="24"/>
          <w:szCs w:val="24"/>
        </w:rPr>
        <w:t>↓</w:t>
      </w:r>
    </w:p>
    <w:p w14:paraId="12A3BA5E" w14:textId="77777777" w:rsidR="00803512" w:rsidRPr="00FF22DE" w:rsidRDefault="00803512" w:rsidP="00915316">
      <w:pPr>
        <w:spacing w:after="0" w:line="240" w:lineRule="auto"/>
        <w:ind w:firstLine="720"/>
        <w:jc w:val="center"/>
        <w:rPr>
          <w:rFonts w:ascii="Times New Roman" w:hAnsi="Times New Roman"/>
          <w:b/>
          <w:iCs/>
          <w:sz w:val="24"/>
          <w:szCs w:val="24"/>
        </w:rPr>
      </w:pPr>
    </w:p>
    <w:p w14:paraId="2E317062" w14:textId="77777777" w:rsidR="00803512" w:rsidRPr="00FF22DE" w:rsidRDefault="00803512" w:rsidP="00915316">
      <w:pPr>
        <w:spacing w:after="0" w:line="240" w:lineRule="auto"/>
        <w:jc w:val="center"/>
        <w:rPr>
          <w:rFonts w:ascii="Times New Roman" w:hAnsi="Times New Roman"/>
          <w:b/>
          <w:iCs/>
          <w:sz w:val="24"/>
          <w:szCs w:val="24"/>
        </w:rPr>
      </w:pPr>
    </w:p>
    <w:p w14:paraId="39B12557" w14:textId="77777777" w:rsidR="00803512" w:rsidRPr="00FF22DE" w:rsidRDefault="00803512" w:rsidP="00915316">
      <w:pPr>
        <w:spacing w:after="0" w:line="240" w:lineRule="auto"/>
        <w:jc w:val="center"/>
        <w:rPr>
          <w:rFonts w:ascii="Times New Roman" w:hAnsi="Times New Roman"/>
          <w:b/>
          <w:iCs/>
          <w:sz w:val="24"/>
          <w:szCs w:val="24"/>
        </w:rPr>
      </w:pPr>
    </w:p>
    <w:p w14:paraId="5BF2606E" w14:textId="77777777" w:rsidR="008F7872" w:rsidRPr="00FF22DE" w:rsidRDefault="00803512" w:rsidP="00915316">
      <w:pPr>
        <w:pStyle w:val="Caption"/>
        <w:jc w:val="center"/>
        <w:rPr>
          <w:rStyle w:val="Heading2Char"/>
          <w:rFonts w:eastAsia="SimSun" w:cs="Times New Roman"/>
          <w:i w:val="0"/>
          <w:color w:val="auto"/>
          <w:sz w:val="24"/>
          <w:szCs w:val="24"/>
        </w:rPr>
      </w:pPr>
      <w:r w:rsidRPr="00FF22DE">
        <w:rPr>
          <w:rFonts w:ascii="Times New Roman" w:hAnsi="Times New Roman"/>
          <w:b/>
          <w:i w:val="0"/>
          <w:color w:val="auto"/>
          <w:sz w:val="24"/>
          <w:szCs w:val="24"/>
        </w:rPr>
        <w:t xml:space="preserve">Fig. </w:t>
      </w:r>
      <w:r w:rsidRPr="00FF22DE">
        <w:rPr>
          <w:rFonts w:ascii="Times New Roman" w:hAnsi="Times New Roman"/>
          <w:b/>
          <w:i w:val="0"/>
          <w:color w:val="auto"/>
          <w:sz w:val="24"/>
          <w:szCs w:val="24"/>
        </w:rPr>
        <w:fldChar w:fldCharType="begin"/>
      </w:r>
      <w:r w:rsidRPr="00FF22DE">
        <w:rPr>
          <w:rFonts w:ascii="Times New Roman" w:hAnsi="Times New Roman"/>
          <w:b/>
          <w:i w:val="0"/>
          <w:color w:val="auto"/>
          <w:sz w:val="24"/>
          <w:szCs w:val="24"/>
        </w:rPr>
        <w:instrText xml:space="preserve"> SEQ Figure \* ARABIC </w:instrText>
      </w:r>
      <w:r w:rsidRPr="00FF22DE">
        <w:rPr>
          <w:rFonts w:ascii="Times New Roman" w:hAnsi="Times New Roman"/>
          <w:b/>
          <w:i w:val="0"/>
          <w:color w:val="auto"/>
          <w:sz w:val="24"/>
          <w:szCs w:val="24"/>
        </w:rPr>
        <w:fldChar w:fldCharType="separate"/>
      </w:r>
      <w:r w:rsidRPr="00FF22DE">
        <w:rPr>
          <w:rFonts w:ascii="Times New Roman" w:hAnsi="Times New Roman"/>
          <w:b/>
          <w:i w:val="0"/>
          <w:noProof/>
          <w:color w:val="auto"/>
          <w:sz w:val="24"/>
          <w:szCs w:val="24"/>
        </w:rPr>
        <w:t>3</w:t>
      </w:r>
      <w:r w:rsidRPr="00FF22DE">
        <w:rPr>
          <w:rFonts w:ascii="Times New Roman" w:hAnsi="Times New Roman"/>
          <w:b/>
          <w:i w:val="0"/>
          <w:color w:val="auto"/>
          <w:sz w:val="24"/>
          <w:szCs w:val="24"/>
        </w:rPr>
        <w:fldChar w:fldCharType="end"/>
      </w:r>
      <w:r w:rsidRPr="00FF22DE">
        <w:rPr>
          <w:rFonts w:ascii="Times New Roman" w:hAnsi="Times New Roman"/>
          <w:b/>
          <w:i w:val="0"/>
          <w:color w:val="auto"/>
          <w:sz w:val="24"/>
          <w:szCs w:val="24"/>
        </w:rPr>
        <w:t>:  Green Tea Processing</w:t>
      </w:r>
    </w:p>
    <w:p w14:paraId="7C6A5664" w14:textId="77777777" w:rsidR="008F7872" w:rsidRPr="00FF22DE" w:rsidRDefault="008F7872" w:rsidP="00915316">
      <w:pPr>
        <w:spacing w:line="360" w:lineRule="auto"/>
        <w:jc w:val="center"/>
        <w:rPr>
          <w:rStyle w:val="Heading2Char"/>
          <w:b w:val="0"/>
          <w:color w:val="auto"/>
          <w:sz w:val="24"/>
          <w:szCs w:val="24"/>
        </w:rPr>
      </w:pPr>
      <w:bookmarkStart w:id="2" w:name="_Toc237253728"/>
    </w:p>
    <w:p w14:paraId="168132E4" w14:textId="77777777" w:rsidR="0092677E" w:rsidRDefault="0092677E" w:rsidP="00A37ACD">
      <w:pPr>
        <w:spacing w:line="360" w:lineRule="auto"/>
        <w:jc w:val="both"/>
        <w:rPr>
          <w:rStyle w:val="Heading2Char"/>
          <w:color w:val="auto"/>
          <w:sz w:val="24"/>
          <w:szCs w:val="24"/>
        </w:rPr>
      </w:pPr>
    </w:p>
    <w:p w14:paraId="758A1257" w14:textId="77777777" w:rsidR="0092677E" w:rsidRDefault="0092677E" w:rsidP="00A37ACD">
      <w:pPr>
        <w:spacing w:line="360" w:lineRule="auto"/>
        <w:jc w:val="both"/>
        <w:rPr>
          <w:rStyle w:val="Heading2Char"/>
          <w:color w:val="auto"/>
          <w:sz w:val="24"/>
          <w:szCs w:val="24"/>
        </w:rPr>
      </w:pPr>
    </w:p>
    <w:p w14:paraId="4CEE98AD" w14:textId="77777777" w:rsidR="008F7872" w:rsidRPr="00FF22DE" w:rsidRDefault="008F7872" w:rsidP="00A37ACD">
      <w:pPr>
        <w:spacing w:line="360" w:lineRule="auto"/>
        <w:jc w:val="both"/>
        <w:rPr>
          <w:rStyle w:val="Heading2Char"/>
          <w:color w:val="auto"/>
          <w:sz w:val="24"/>
          <w:szCs w:val="24"/>
        </w:rPr>
      </w:pPr>
      <w:r w:rsidRPr="00FF22DE">
        <w:rPr>
          <w:rStyle w:val="Heading2Char"/>
          <w:color w:val="auto"/>
          <w:sz w:val="24"/>
          <w:szCs w:val="24"/>
        </w:rPr>
        <w:t>2.3 Phytochemical Analysis</w:t>
      </w:r>
    </w:p>
    <w:p w14:paraId="78641576" w14:textId="77777777" w:rsidR="008F7872" w:rsidRPr="00FF22DE" w:rsidRDefault="008F7872" w:rsidP="00A37ACD">
      <w:pPr>
        <w:spacing w:line="360" w:lineRule="auto"/>
        <w:jc w:val="both"/>
        <w:rPr>
          <w:rFonts w:ascii="Times New Roman" w:hAnsi="Times New Roman"/>
          <w:sz w:val="24"/>
          <w:szCs w:val="24"/>
        </w:rPr>
      </w:pPr>
      <w:r w:rsidRPr="00FF22DE">
        <w:rPr>
          <w:rStyle w:val="Heading2Char"/>
          <w:color w:val="auto"/>
          <w:sz w:val="24"/>
          <w:szCs w:val="24"/>
        </w:rPr>
        <w:t>2.3.1 Determination of Alkaloid Content</w:t>
      </w:r>
      <w:bookmarkEnd w:id="2"/>
    </w:p>
    <w:p w14:paraId="3298504C" w14:textId="77777777" w:rsidR="008F7872" w:rsidRPr="00FF22DE" w:rsidRDefault="008F7872" w:rsidP="00A37ACD">
      <w:pPr>
        <w:spacing w:line="360" w:lineRule="auto"/>
        <w:jc w:val="both"/>
        <w:rPr>
          <w:rFonts w:ascii="Times New Roman" w:hAnsi="Times New Roman"/>
          <w:sz w:val="24"/>
          <w:szCs w:val="24"/>
        </w:rPr>
      </w:pPr>
      <w:r>
        <w:rPr>
          <w:rFonts w:ascii="Times New Roman" w:hAnsi="Times New Roman"/>
          <w:sz w:val="24"/>
          <w:szCs w:val="24"/>
        </w:rPr>
        <w:t xml:space="preserve">The alkaloid content of the tea samples was determined using the gravimetric method described by Onwuka (2005). Five grams (5 g) of the powdered sample were weighed and dispersed in 50 mL of 10% acetic acid in ethanol. The mixture was thoroughly shaken and allowed to stand at room temperature for 4 </w:t>
      </w:r>
      <w:r>
        <w:rPr>
          <w:rFonts w:ascii="Times New Roman" w:hAnsi="Times New Roman"/>
          <w:sz w:val="24"/>
          <w:szCs w:val="24"/>
          <w:highlight w:val="yellow"/>
        </w:rPr>
        <w:t>h</w:t>
      </w:r>
      <w:r>
        <w:rPr>
          <w:rFonts w:ascii="Times New Roman" w:hAnsi="Times New Roman"/>
          <w:sz w:val="24"/>
          <w:szCs w:val="24"/>
        </w:rPr>
        <w:t xml:space="preserve"> to facilitate extraction. After extraction, the mixture was filtered using Whatman filter paper. The resulting filtrate was concentrated by evaporation to approximately one-quarter of its original volume. Concentrated ammonium hydroxide (NH₄OH) was subsequently added dropwise to the concentrated extract until complete precipitation of the alkaloids was achieved. The precipitate was collected by filtration using a pre-weighed filter paper and washed with 1% NH₄OH solution.</w:t>
      </w:r>
    </w:p>
    <w:p w14:paraId="184D33FA" w14:textId="77777777" w:rsidR="008F7872" w:rsidRPr="00FF22DE" w:rsidRDefault="008F7872" w:rsidP="00A37ACD">
      <w:pPr>
        <w:spacing w:after="0" w:line="360" w:lineRule="auto"/>
        <w:jc w:val="both"/>
        <w:rPr>
          <w:rFonts w:ascii="Times New Roman" w:hAnsi="Times New Roman"/>
          <w:sz w:val="24"/>
          <w:szCs w:val="24"/>
        </w:rPr>
      </w:pPr>
      <w:r>
        <w:rPr>
          <w:rFonts w:ascii="Times New Roman" w:hAnsi="Times New Roman"/>
          <w:sz w:val="24"/>
          <w:szCs w:val="24"/>
        </w:rPr>
        <w:t>The filter paper containing the precipitated alkaloids was dried in an oven at approximately 60</w:t>
      </w:r>
      <w:r>
        <w:rPr>
          <w:rFonts w:ascii="Times New Roman" w:hAnsi="Times New Roman"/>
          <w:sz w:val="24"/>
          <w:szCs w:val="24"/>
          <w:highlight w:val="yellow"/>
        </w:rPr>
        <w:t xml:space="preserve"> </w:t>
      </w:r>
      <w:r>
        <w:rPr>
          <w:rFonts w:ascii="Times New Roman" w:hAnsi="Times New Roman"/>
          <w:sz w:val="24"/>
          <w:szCs w:val="24"/>
        </w:rPr>
        <w:t>°C until a constant weight was obtained. It was then cooled in a desiccator and reweighed. The alkaloid content was expressed as a percentage of the original sample weight. The percentage alkaloid content was calculated as:</w:t>
      </w:r>
    </w:p>
    <w:p w14:paraId="64CFB26B"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 Alkaloid = </w:t>
      </w:r>
      <m:oMath>
        <m:f>
          <m:fPr>
            <m:ctrlPr>
              <w:rPr>
                <w:rFonts w:ascii="Cambria Math" w:hAnsi="Cambria Math"/>
                <w:i/>
                <w:sz w:val="24"/>
                <w:szCs w:val="24"/>
              </w:rPr>
            </m:ctrlPr>
          </m:fPr>
          <m:num>
            <m:r>
              <w:rPr>
                <w:rFonts w:ascii="Cambria Math" w:hAnsi="Cambria Math"/>
                <w:sz w:val="24"/>
                <w:szCs w:val="24"/>
              </w:rPr>
              <m:t>W2-W1</m:t>
            </m:r>
          </m:num>
          <m:den>
            <m:r>
              <w:rPr>
                <w:rFonts w:ascii="Cambria Math" w:hAnsi="Cambria Math"/>
                <w:sz w:val="24"/>
                <w:szCs w:val="24"/>
              </w:rPr>
              <m:t>W</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1</m:t>
            </m:r>
          </m:den>
        </m:f>
      </m:oMath>
      <w:r w:rsidRPr="00FF22DE">
        <w:rPr>
          <w:rFonts w:ascii="Times New Roman" w:hAnsi="Times New Roman"/>
          <w:sz w:val="24"/>
          <w:szCs w:val="24"/>
        </w:rPr>
        <w:t xml:space="preserve">                 </w:t>
      </w:r>
      <w:r w:rsidR="00263F9B" w:rsidRPr="00FF22DE">
        <w:rPr>
          <w:rFonts w:ascii="Times New Roman" w:hAnsi="Times New Roman"/>
          <w:sz w:val="24"/>
          <w:szCs w:val="24"/>
        </w:rPr>
        <w:t xml:space="preserve">                               </w:t>
      </w:r>
    </w:p>
    <w:p w14:paraId="0EFCA058"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lastRenderedPageBreak/>
        <w:t xml:space="preserve">Where: </w:t>
      </w:r>
    </w:p>
    <w:p w14:paraId="0CA011E9"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W₁ = weight of empty filter paper (g)</w:t>
      </w:r>
    </w:p>
    <w:p w14:paraId="73DBC520"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W₂ = weight of filter paper + alkaloid precipitate (g)</w:t>
      </w:r>
    </w:p>
    <w:p w14:paraId="51264047"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W = weight of sample (g)</w:t>
      </w:r>
    </w:p>
    <w:p w14:paraId="437CD41C" w14:textId="77777777" w:rsidR="00B73B12" w:rsidRPr="00FF22DE" w:rsidRDefault="00B73B12" w:rsidP="00A37ACD">
      <w:pPr>
        <w:spacing w:line="360" w:lineRule="auto"/>
        <w:jc w:val="both"/>
        <w:rPr>
          <w:rStyle w:val="Heading2Char"/>
          <w:color w:val="auto"/>
          <w:sz w:val="24"/>
          <w:szCs w:val="24"/>
        </w:rPr>
      </w:pPr>
    </w:p>
    <w:p w14:paraId="26E21ABA" w14:textId="77777777" w:rsidR="00B73B12" w:rsidRPr="00FF22DE" w:rsidRDefault="00B73B12" w:rsidP="00A37ACD">
      <w:pPr>
        <w:spacing w:line="360" w:lineRule="auto"/>
        <w:jc w:val="both"/>
        <w:rPr>
          <w:rFonts w:ascii="Times New Roman" w:hAnsi="Times New Roman"/>
          <w:b/>
          <w:bCs/>
          <w:sz w:val="24"/>
          <w:szCs w:val="24"/>
        </w:rPr>
      </w:pPr>
      <w:r w:rsidRPr="00FF22DE">
        <w:rPr>
          <w:rStyle w:val="Heading2Char"/>
          <w:color w:val="auto"/>
          <w:sz w:val="24"/>
          <w:szCs w:val="24"/>
        </w:rPr>
        <w:t xml:space="preserve">2.3.2 </w:t>
      </w:r>
      <w:r w:rsidRPr="00FF22DE">
        <w:rPr>
          <w:rFonts w:ascii="Times New Roman" w:hAnsi="Times New Roman"/>
          <w:b/>
          <w:bCs/>
          <w:sz w:val="24"/>
          <w:szCs w:val="24"/>
        </w:rPr>
        <w:t>Determination of Saponin Content</w:t>
      </w:r>
    </w:p>
    <w:p w14:paraId="4B282245" w14:textId="77777777" w:rsidR="00B73B12" w:rsidRPr="00FF22DE" w:rsidRDefault="00B73B12" w:rsidP="00A37ACD">
      <w:pPr>
        <w:spacing w:line="360" w:lineRule="auto"/>
        <w:jc w:val="both"/>
        <w:rPr>
          <w:rFonts w:ascii="Times New Roman" w:hAnsi="Times New Roman"/>
          <w:sz w:val="24"/>
          <w:szCs w:val="24"/>
        </w:rPr>
      </w:pPr>
      <w:r>
        <w:rPr>
          <w:rFonts w:ascii="Times New Roman" w:hAnsi="Times New Roman"/>
          <w:sz w:val="24"/>
          <w:szCs w:val="24"/>
        </w:rPr>
        <w:t>Saponin content of the tea samples was determined using the gravimetric method described by Obadoni and Ochuko (200</w:t>
      </w:r>
      <w:r>
        <w:rPr>
          <w:rFonts w:ascii="Times New Roman" w:hAnsi="Times New Roman"/>
          <w:sz w:val="24"/>
          <w:szCs w:val="24"/>
          <w:highlight w:val="yellow"/>
        </w:rPr>
        <w:t>2</w:t>
      </w:r>
      <w:r>
        <w:rPr>
          <w:rFonts w:ascii="Times New Roman" w:hAnsi="Times New Roman"/>
          <w:sz w:val="24"/>
          <w:szCs w:val="24"/>
        </w:rPr>
        <w:t>). Twenty grams (20 g) of the sample were weighed into a conical flask, and 100 mL of 20% aqueous ethanol was added. The mixture was heated on a water bath at approximately 55</w:t>
      </w:r>
      <w:r>
        <w:rPr>
          <w:rFonts w:ascii="Times New Roman" w:hAnsi="Times New Roman"/>
          <w:sz w:val="24"/>
          <w:szCs w:val="24"/>
          <w:highlight w:val="yellow"/>
        </w:rPr>
        <w:t xml:space="preserve"> </w:t>
      </w:r>
      <w:r>
        <w:rPr>
          <w:rFonts w:ascii="Times New Roman" w:hAnsi="Times New Roman"/>
          <w:sz w:val="24"/>
          <w:szCs w:val="24"/>
        </w:rPr>
        <w:t xml:space="preserve">°C for 4 </w:t>
      </w:r>
      <w:r>
        <w:rPr>
          <w:rFonts w:ascii="Times New Roman" w:hAnsi="Times New Roman"/>
          <w:sz w:val="24"/>
          <w:szCs w:val="24"/>
          <w:highlight w:val="yellow"/>
        </w:rPr>
        <w:t>h</w:t>
      </w:r>
      <w:r>
        <w:rPr>
          <w:rFonts w:ascii="Times New Roman" w:hAnsi="Times New Roman"/>
          <w:sz w:val="24"/>
          <w:szCs w:val="24"/>
        </w:rPr>
        <w:t xml:space="preserve"> with continuous stirring. After extraction, the mixture was filtered, and the residue was re-extracted with a further 200 mL of 20% aqueous ethanol. The combined extracts were concentrated on a water bath maintained at 90</w:t>
      </w:r>
      <w:r>
        <w:rPr>
          <w:rFonts w:ascii="Times New Roman" w:hAnsi="Times New Roman"/>
          <w:sz w:val="24"/>
          <w:szCs w:val="24"/>
          <w:highlight w:val="yellow"/>
        </w:rPr>
        <w:t xml:space="preserve"> </w:t>
      </w:r>
      <w:r>
        <w:rPr>
          <w:rFonts w:ascii="Times New Roman" w:hAnsi="Times New Roman"/>
          <w:sz w:val="24"/>
          <w:szCs w:val="24"/>
        </w:rPr>
        <w:t>°C until the volume was reduced to approximately 40 mL.</w:t>
      </w:r>
    </w:p>
    <w:p w14:paraId="5DB77C98"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The concentrated extract was transferred into a separating funnel, after which 20 mL of diethyl ether was added and the mixture was shaken vigorously. The ether layer was discarded, while the aqueous layer was retained. Subsequently, 60 mL of n-butanol was added to the aqueous extract. The resulting n-butanol extract was washed twice with 10 mL portions of 5% aqueous sodium chloride solution. The remaining solution was heated in an oven until the solvent had evaporated completely. The dried residue obtained was weighed, and the saponin content was expressed as a percentage of the original sample weight. The percentage saponin content was calculated using:</w:t>
      </w:r>
    </w:p>
    <w:p w14:paraId="6333B0A7" w14:textId="77777777" w:rsidR="008F7872" w:rsidRPr="00FF22DE" w:rsidRDefault="00B73B12" w:rsidP="00A37ACD">
      <w:pPr>
        <w:spacing w:after="0" w:line="240" w:lineRule="auto"/>
        <w:jc w:val="both"/>
        <w:rPr>
          <w:rFonts w:ascii="Times New Roman" w:hAnsi="Times New Roman"/>
          <w:b/>
          <w:sz w:val="24"/>
          <w:szCs w:val="24"/>
        </w:rPr>
      </w:pPr>
      <w:r w:rsidRPr="00FF22DE">
        <w:rPr>
          <w:rFonts w:ascii="Times New Roman" w:hAnsi="Times New Roman"/>
          <w:sz w:val="24"/>
          <w:szCs w:val="24"/>
        </w:rPr>
        <w:t xml:space="preserve">% Saponin = </w:t>
      </w:r>
      <m:oMath>
        <m:f>
          <m:fPr>
            <m:ctrlPr>
              <w:rPr>
                <w:rFonts w:ascii="Cambria Math" w:hAnsi="Cambria Math"/>
                <w:i/>
                <w:sz w:val="24"/>
                <w:szCs w:val="24"/>
              </w:rPr>
            </m:ctrlPr>
          </m:fPr>
          <m:num>
            <m:r>
              <w:rPr>
                <w:rFonts w:ascii="Cambria Math" w:hAnsi="Cambria Math"/>
                <w:sz w:val="24"/>
                <w:szCs w:val="24"/>
              </w:rPr>
              <m:t>Weight of saponin residue</m:t>
            </m:r>
          </m:num>
          <m:den>
            <m:r>
              <w:rPr>
                <w:rFonts w:ascii="Cambria Math" w:hAnsi="Cambria Math"/>
                <w:sz w:val="24"/>
                <w:szCs w:val="24"/>
              </w:rPr>
              <m:t>Weight of sample</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1</m:t>
            </m:r>
          </m:den>
        </m:f>
      </m:oMath>
      <w:r w:rsidRPr="00FF22DE">
        <w:rPr>
          <w:rFonts w:ascii="Times New Roman" w:hAnsi="Times New Roman"/>
          <w:sz w:val="24"/>
          <w:szCs w:val="24"/>
        </w:rPr>
        <w:t xml:space="preserve">                             </w:t>
      </w:r>
    </w:p>
    <w:p w14:paraId="510CE3EA" w14:textId="77777777" w:rsidR="00B73B12" w:rsidRPr="00FF22DE" w:rsidRDefault="00B73B12" w:rsidP="00A37ACD">
      <w:pPr>
        <w:jc w:val="both"/>
        <w:rPr>
          <w:rStyle w:val="Heading2Char"/>
          <w:color w:val="auto"/>
          <w:sz w:val="24"/>
          <w:szCs w:val="24"/>
        </w:rPr>
      </w:pPr>
    </w:p>
    <w:p w14:paraId="76905B66" w14:textId="77777777" w:rsidR="00B73B12" w:rsidRPr="00FF22DE" w:rsidRDefault="00B73B12" w:rsidP="00A37ACD">
      <w:pPr>
        <w:jc w:val="both"/>
        <w:rPr>
          <w:rStyle w:val="Heading2Char"/>
          <w:color w:val="auto"/>
          <w:sz w:val="24"/>
          <w:szCs w:val="24"/>
        </w:rPr>
      </w:pPr>
    </w:p>
    <w:p w14:paraId="1B0F5EA1" w14:textId="77777777" w:rsidR="00B73B12" w:rsidRPr="00FF22DE" w:rsidRDefault="00B73B12" w:rsidP="00A37ACD">
      <w:pPr>
        <w:pStyle w:val="Heading2"/>
        <w:spacing w:before="0"/>
        <w:jc w:val="both"/>
        <w:rPr>
          <w:color w:val="auto"/>
          <w:sz w:val="24"/>
          <w:szCs w:val="24"/>
        </w:rPr>
      </w:pPr>
      <w:r w:rsidRPr="00FF22DE">
        <w:rPr>
          <w:color w:val="auto"/>
          <w:sz w:val="24"/>
          <w:szCs w:val="24"/>
        </w:rPr>
        <w:t>2.3.3 Determination of Tannin Content</w:t>
      </w:r>
    </w:p>
    <w:p w14:paraId="37AE02A8" w14:textId="77777777" w:rsidR="00B73B12" w:rsidRPr="00FF22DE" w:rsidRDefault="00B73B12" w:rsidP="00A37ACD">
      <w:pPr>
        <w:spacing w:line="360" w:lineRule="auto"/>
        <w:jc w:val="both"/>
        <w:rPr>
          <w:rFonts w:ascii="Times New Roman" w:hAnsi="Times New Roman"/>
          <w:sz w:val="24"/>
          <w:szCs w:val="24"/>
        </w:rPr>
      </w:pPr>
      <w:r>
        <w:rPr>
          <w:rFonts w:ascii="Times New Roman" w:hAnsi="Times New Roman"/>
          <w:sz w:val="24"/>
          <w:szCs w:val="24"/>
        </w:rPr>
        <w:t>The tannin content of the tea samples was determined using the Folin-Denis spectrophotometric method, a procedure that was employed in a recent study (Sobow</w:t>
      </w:r>
      <w:r>
        <w:rPr>
          <w:rFonts w:ascii="Times New Roman" w:hAnsi="Times New Roman"/>
          <w:sz w:val="24"/>
          <w:szCs w:val="24"/>
          <w:highlight w:val="yellow"/>
        </w:rPr>
        <w:t>a</w:t>
      </w:r>
      <w:r>
        <w:rPr>
          <w:rFonts w:ascii="Times New Roman" w:hAnsi="Times New Roman"/>
          <w:sz w:val="24"/>
          <w:szCs w:val="24"/>
        </w:rPr>
        <w:t xml:space="preserve">le et al., 2025). One gram (1.0 </w:t>
      </w:r>
      <w:r>
        <w:rPr>
          <w:rFonts w:ascii="Times New Roman" w:hAnsi="Times New Roman"/>
          <w:sz w:val="24"/>
          <w:szCs w:val="24"/>
        </w:rPr>
        <w:lastRenderedPageBreak/>
        <w:t>g) of the test sample was weighed, and 10.0 mL of distilled water was added. The mixture was shaken at 5-minute intervals for 30 minutes and subsequently centrifuged or filtered to obtain the extract. A 2.5 mL aliquot of the resulting supernatant was transferred into a test tube. Similarly, 2.5 mL of the standard tannic acid solution was transferred into a 50 mL volumetric flask. One millilitre (1.0 mL) of Folin–Denis reagent was added, followed by 2.5 mL of saturated sodium carbonate (Na₂CO₃) solution. The mixture was then diluted to the mark with distilled water and allowed to stand at room temperature for 90 minutes. The absorbance was subsequently measured against a reagent blank. The tannin content was calculated using the following expression:</w:t>
      </w:r>
    </w:p>
    <w:p w14:paraId="29A8BB67"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Tannin = </w:t>
      </w:r>
      <m:oMath>
        <m:f>
          <m:fPr>
            <m:ctrlPr>
              <w:rPr>
                <w:rFonts w:ascii="Cambria Math" w:hAnsi="Cambria Math"/>
                <w:i/>
                <w:sz w:val="24"/>
                <w:szCs w:val="24"/>
              </w:rPr>
            </m:ctrlPr>
          </m:fPr>
          <m:num>
            <m:r>
              <w:rPr>
                <w:rFonts w:ascii="Cambria Math" w:hAnsi="Cambria Math"/>
                <w:sz w:val="24"/>
                <w:szCs w:val="24"/>
              </w:rPr>
              <m:t>An</m:t>
            </m:r>
          </m:num>
          <m:den>
            <m:r>
              <w:rPr>
                <w:rFonts w:ascii="Cambria Math" w:hAnsi="Cambria Math"/>
                <w:sz w:val="24"/>
                <w:szCs w:val="24"/>
              </w:rPr>
              <m:t>As</m:t>
            </m:r>
          </m:den>
        </m:f>
        <m:r>
          <w:rPr>
            <w:rFonts w:ascii="Cambria Math" w:hAnsi="Cambria Math"/>
            <w:sz w:val="24"/>
            <w:szCs w:val="24"/>
          </w:rPr>
          <m:t>×C×</m:t>
        </m:r>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W</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vf</m:t>
            </m:r>
          </m:num>
          <m:den>
            <m:r>
              <w:rPr>
                <w:rFonts w:ascii="Cambria Math" w:hAnsi="Cambria Math"/>
                <w:sz w:val="24"/>
                <w:szCs w:val="24"/>
              </w:rPr>
              <m:t>va</m:t>
            </m:r>
          </m:den>
        </m:f>
      </m:oMath>
      <w:r w:rsidRPr="00FF22DE">
        <w:rPr>
          <w:rFonts w:ascii="Times New Roman" w:hAnsi="Times New Roman"/>
          <w:sz w:val="24"/>
          <w:szCs w:val="24"/>
        </w:rPr>
        <w:t xml:space="preserve">                  </w:t>
      </w:r>
      <w:r w:rsidR="00263F9B" w:rsidRPr="00FF22DE">
        <w:rPr>
          <w:rFonts w:ascii="Times New Roman" w:hAnsi="Times New Roman"/>
          <w:sz w:val="24"/>
          <w:szCs w:val="24"/>
        </w:rPr>
        <w:t xml:space="preserve">                               </w:t>
      </w:r>
    </w:p>
    <w:p w14:paraId="492A2620" w14:textId="77777777" w:rsidR="00B73B12" w:rsidRPr="00FF22DE" w:rsidRDefault="00B73B12" w:rsidP="00A37ACD">
      <w:pPr>
        <w:spacing w:after="0" w:line="240" w:lineRule="auto"/>
        <w:jc w:val="both"/>
        <w:rPr>
          <w:rFonts w:ascii="Times New Roman" w:hAnsi="Times New Roman"/>
          <w:sz w:val="24"/>
          <w:szCs w:val="24"/>
        </w:rPr>
      </w:pPr>
      <w:r w:rsidRPr="00FF22DE">
        <w:rPr>
          <w:rFonts w:ascii="Times New Roman" w:hAnsi="Times New Roman"/>
          <w:sz w:val="24"/>
          <w:szCs w:val="24"/>
        </w:rPr>
        <w:t>Where:</w:t>
      </w:r>
    </w:p>
    <w:p w14:paraId="71056CF1" w14:textId="77777777" w:rsidR="00B73B12" w:rsidRPr="00FF22DE" w:rsidRDefault="00B73B12" w:rsidP="00A37ACD">
      <w:pPr>
        <w:spacing w:after="0" w:line="240" w:lineRule="auto"/>
        <w:jc w:val="both"/>
        <w:rPr>
          <w:rFonts w:ascii="Times New Roman" w:hAnsi="Times New Roman"/>
          <w:sz w:val="24"/>
          <w:szCs w:val="24"/>
        </w:rPr>
      </w:pPr>
    </w:p>
    <w:p w14:paraId="78315927"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Aₙ = absorbance of the test sample</w:t>
      </w:r>
    </w:p>
    <w:p w14:paraId="183613E6"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Aₛ = absorbance of the standard solution</w:t>
      </w:r>
    </w:p>
    <w:p w14:paraId="6DA6133A"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C = concentration of the standard solution</w:t>
      </w:r>
    </w:p>
    <w:p w14:paraId="173C8C83" w14:textId="77777777" w:rsidR="00B73B12" w:rsidRPr="00FF22DE" w:rsidRDefault="00B73B12" w:rsidP="00A37ACD">
      <w:pPr>
        <w:spacing w:line="360" w:lineRule="auto"/>
        <w:jc w:val="both"/>
        <w:rPr>
          <w:rFonts w:ascii="Times New Roman" w:hAnsi="Times New Roman"/>
          <w:sz w:val="24"/>
          <w:szCs w:val="24"/>
        </w:rPr>
      </w:pPr>
      <w:proofErr w:type="spellStart"/>
      <w:r w:rsidRPr="00FF22DE">
        <w:rPr>
          <w:rFonts w:ascii="Times New Roman" w:hAnsi="Times New Roman"/>
          <w:sz w:val="24"/>
          <w:szCs w:val="24"/>
        </w:rPr>
        <w:t>Vf</w:t>
      </w:r>
      <w:proofErr w:type="spellEnd"/>
      <w:r w:rsidRPr="00FF22DE">
        <w:rPr>
          <w:rFonts w:ascii="Times New Roman" w:hAnsi="Times New Roman"/>
          <w:sz w:val="24"/>
          <w:szCs w:val="24"/>
        </w:rPr>
        <w:t xml:space="preserve"> = total volume of the extract</w:t>
      </w:r>
    </w:p>
    <w:p w14:paraId="08E73B8F"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Va = volume of the extract analyzed</w:t>
      </w:r>
    </w:p>
    <w:p w14:paraId="29E498BE" w14:textId="77777777" w:rsidR="00B73B12" w:rsidRPr="00FF22DE" w:rsidRDefault="00B73B12" w:rsidP="00A37ACD">
      <w:pPr>
        <w:spacing w:after="0" w:line="360" w:lineRule="auto"/>
        <w:jc w:val="both"/>
        <w:rPr>
          <w:rFonts w:ascii="Times New Roman" w:hAnsi="Times New Roman"/>
          <w:sz w:val="24"/>
          <w:szCs w:val="24"/>
        </w:rPr>
      </w:pPr>
      <w:r w:rsidRPr="00FF22DE">
        <w:rPr>
          <w:rFonts w:ascii="Times New Roman" w:hAnsi="Times New Roman"/>
          <w:sz w:val="24"/>
          <w:szCs w:val="24"/>
        </w:rPr>
        <w:t>W = weight of the sample used</w:t>
      </w:r>
    </w:p>
    <w:p w14:paraId="41C488EA" w14:textId="77777777" w:rsidR="00B73B12" w:rsidRPr="00FF22DE" w:rsidRDefault="00B73B12" w:rsidP="00A37ACD">
      <w:pPr>
        <w:spacing w:after="0" w:line="360" w:lineRule="auto"/>
        <w:jc w:val="both"/>
        <w:rPr>
          <w:rFonts w:ascii="Times New Roman" w:hAnsi="Times New Roman"/>
          <w:sz w:val="24"/>
          <w:szCs w:val="24"/>
        </w:rPr>
      </w:pPr>
    </w:p>
    <w:p w14:paraId="2BC55552" w14:textId="77777777" w:rsidR="00B73B12" w:rsidRPr="00FF22DE" w:rsidRDefault="00B73B12" w:rsidP="00A37ACD">
      <w:pPr>
        <w:pStyle w:val="Heading2"/>
        <w:spacing w:before="0"/>
        <w:jc w:val="both"/>
        <w:rPr>
          <w:color w:val="auto"/>
          <w:sz w:val="24"/>
          <w:szCs w:val="24"/>
        </w:rPr>
      </w:pPr>
      <w:bookmarkStart w:id="3" w:name="_Toc237253731"/>
      <w:r w:rsidRPr="00FF22DE">
        <w:rPr>
          <w:color w:val="auto"/>
          <w:sz w:val="24"/>
          <w:szCs w:val="24"/>
        </w:rPr>
        <w:t>2.3.4 Determination of Oxalate Content</w:t>
      </w:r>
      <w:bookmarkEnd w:id="3"/>
    </w:p>
    <w:p w14:paraId="4C66FC3C" w14:textId="34D6E239" w:rsidR="00B73B12" w:rsidRPr="00FF22DE" w:rsidRDefault="00B73B12" w:rsidP="00A37ACD">
      <w:pPr>
        <w:spacing w:line="360" w:lineRule="auto"/>
        <w:jc w:val="both"/>
        <w:rPr>
          <w:rFonts w:ascii="Times New Roman" w:hAnsi="Times New Roman"/>
          <w:sz w:val="24"/>
          <w:szCs w:val="24"/>
        </w:rPr>
      </w:pPr>
      <w:r>
        <w:rPr>
          <w:rFonts w:ascii="Times New Roman" w:hAnsi="Times New Roman"/>
          <w:sz w:val="24"/>
          <w:szCs w:val="24"/>
          <w:highlight w:val="yellow"/>
        </w:rPr>
        <w:t>The o</w:t>
      </w:r>
      <w:r>
        <w:rPr>
          <w:rFonts w:ascii="Times New Roman" w:hAnsi="Times New Roman"/>
          <w:sz w:val="24"/>
          <w:szCs w:val="24"/>
        </w:rPr>
        <w:t xml:space="preserve">xalate content was determined using the method described by </w:t>
      </w:r>
      <w:r w:rsidR="003F0228" w:rsidRPr="003F0228">
        <w:rPr>
          <w:rFonts w:ascii="Times New Roman" w:hAnsi="Times New Roman"/>
          <w:sz w:val="24"/>
          <w:szCs w:val="24"/>
        </w:rPr>
        <w:t>Latimer</w:t>
      </w:r>
      <w:r w:rsidR="003F0228">
        <w:rPr>
          <w:rFonts w:ascii="Times New Roman" w:hAnsi="Times New Roman"/>
          <w:sz w:val="24"/>
          <w:szCs w:val="24"/>
        </w:rPr>
        <w:t xml:space="preserve"> </w:t>
      </w:r>
      <w:r>
        <w:rPr>
          <w:rFonts w:ascii="Times New Roman" w:hAnsi="Times New Roman"/>
          <w:sz w:val="24"/>
          <w:szCs w:val="24"/>
        </w:rPr>
        <w:t xml:space="preserve">(2019), with minor modifications to suit the laboratory conditions. Two grams (2.0 g) of the ground tea sample were weighed into a 300 mL conical flask, and 20 mL of 3.0 M hydrochloric acid (HCl) were added. The mixture was allowed to stand for 20 minutes, with occasional swirling, after which 4.0 g of ammonium sulphate were added. The mixture was then allowed to stand for a further 30 minutes. Following extraction, the mixture was filtered, and the filtrate was made up to 50 mL with 3.0 M HCl. A 10 mL aliquot of the resulting filtrate was transferred into a 100 mL conical flask, and 30 mL of diethyl ether were added. The pH of the solution was adjusted to 7.0 using either ammonium </w:t>
      </w:r>
    </w:p>
    <w:p w14:paraId="25E774A6"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lastRenderedPageBreak/>
        <w:t>The prepared solution was titrated with 0.1 M potassium permanganate (</w:t>
      </w:r>
      <w:proofErr w:type="spellStart"/>
      <w:r w:rsidRPr="00FF22DE">
        <w:rPr>
          <w:rFonts w:ascii="Times New Roman" w:hAnsi="Times New Roman"/>
          <w:sz w:val="24"/>
          <w:szCs w:val="24"/>
        </w:rPr>
        <w:t>KMnO</w:t>
      </w:r>
      <w:proofErr w:type="spellEnd"/>
      <w:r w:rsidRPr="00FF22DE">
        <w:rPr>
          <w:rFonts w:ascii="Times New Roman" w:hAnsi="Times New Roman"/>
          <w:sz w:val="24"/>
          <w:szCs w:val="24"/>
        </w:rPr>
        <w:t xml:space="preserve">₄) until a faint pink </w:t>
      </w:r>
      <w:proofErr w:type="spellStart"/>
      <w:r w:rsidRPr="00FF22DE">
        <w:rPr>
          <w:rFonts w:ascii="Times New Roman" w:hAnsi="Times New Roman"/>
          <w:sz w:val="24"/>
          <w:szCs w:val="24"/>
        </w:rPr>
        <w:t>colour</w:t>
      </w:r>
      <w:proofErr w:type="spellEnd"/>
      <w:r w:rsidRPr="00FF22DE">
        <w:rPr>
          <w:rFonts w:ascii="Times New Roman" w:hAnsi="Times New Roman"/>
          <w:sz w:val="24"/>
          <w:szCs w:val="24"/>
        </w:rPr>
        <w:t xml:space="preserve"> persisted for 30 seconds. The oxalate content was calculated from the volume of potassium permanganate used and expressed as a percentage of the sample weight. The percentage oxalate was calculated using the following expression:</w:t>
      </w:r>
    </w:p>
    <w:p w14:paraId="3B72B888" w14:textId="77777777" w:rsidR="00B73B12" w:rsidRPr="00FF22DE" w:rsidRDefault="00B73B12" w:rsidP="00A37ACD">
      <w:pPr>
        <w:spacing w:after="0" w:line="360" w:lineRule="auto"/>
        <w:jc w:val="both"/>
        <w:rPr>
          <w:rFonts w:ascii="Times New Roman" w:hAnsi="Times New Roman"/>
          <w:sz w:val="24"/>
          <w:szCs w:val="24"/>
        </w:rPr>
      </w:pPr>
      <w:r w:rsidRPr="00FF22DE">
        <w:rPr>
          <w:rFonts w:ascii="Times New Roman" w:hAnsi="Times New Roman"/>
          <w:sz w:val="24"/>
          <w:szCs w:val="24"/>
        </w:rPr>
        <w:t xml:space="preserve">% Oxalate = </w:t>
      </w:r>
      <m:oMath>
        <m:f>
          <m:fPr>
            <m:ctrlPr>
              <w:rPr>
                <w:rFonts w:ascii="Cambria Math" w:hAnsi="Cambria Math"/>
                <w:i/>
                <w:sz w:val="24"/>
                <w:szCs w:val="24"/>
              </w:rPr>
            </m:ctrlPr>
          </m:fPr>
          <m:num>
            <m:r>
              <w:rPr>
                <w:rFonts w:ascii="Cambria Math" w:hAnsi="Cambria Math"/>
                <w:sz w:val="24"/>
                <w:szCs w:val="24"/>
              </w:rPr>
              <m:t>Titre ×Equivalent weight of oxalate</m:t>
            </m:r>
          </m:num>
          <m:den>
            <m:r>
              <w:rPr>
                <w:rFonts w:ascii="Cambria Math" w:hAnsi="Cambria Math"/>
                <w:sz w:val="24"/>
                <w:szCs w:val="24"/>
              </w:rPr>
              <m:t>Weight of sample (g)</m:t>
            </m:r>
          </m:den>
        </m:f>
        <m:r>
          <w:rPr>
            <w:rFonts w:ascii="Cambria Math" w:hAnsi="Cambria Math"/>
            <w:sz w:val="24"/>
            <w:szCs w:val="24"/>
          </w:rPr>
          <m:t xml:space="preserve"> ×100</m:t>
        </m:r>
      </m:oMath>
      <w:r w:rsidRPr="00FF22DE">
        <w:rPr>
          <w:rFonts w:ascii="Times New Roman" w:hAnsi="Times New Roman"/>
          <w:sz w:val="24"/>
          <w:szCs w:val="24"/>
        </w:rPr>
        <w:t xml:space="preserve">       </w:t>
      </w:r>
    </w:p>
    <w:p w14:paraId="3B1E0409" w14:textId="77777777" w:rsidR="00B73B12" w:rsidRPr="00FF22DE" w:rsidRDefault="00B73B12" w:rsidP="00A37ACD">
      <w:pPr>
        <w:spacing w:after="0" w:line="360" w:lineRule="auto"/>
        <w:jc w:val="both"/>
        <w:rPr>
          <w:rFonts w:ascii="Times New Roman" w:hAnsi="Times New Roman"/>
          <w:sz w:val="24"/>
          <w:szCs w:val="24"/>
        </w:rPr>
      </w:pPr>
    </w:p>
    <w:p w14:paraId="098DA3D1" w14:textId="77777777" w:rsidR="00B73B12" w:rsidRPr="00FF22DE" w:rsidRDefault="00B73B12" w:rsidP="00A37ACD">
      <w:pPr>
        <w:pStyle w:val="Heading2"/>
        <w:spacing w:before="0"/>
        <w:jc w:val="both"/>
        <w:rPr>
          <w:color w:val="auto"/>
          <w:sz w:val="24"/>
          <w:szCs w:val="24"/>
        </w:rPr>
      </w:pPr>
      <w:r w:rsidRPr="00FF22DE">
        <w:rPr>
          <w:color w:val="auto"/>
          <w:sz w:val="24"/>
          <w:szCs w:val="24"/>
        </w:rPr>
        <w:t>2.3.5 Determination of Flavonoid Content</w:t>
      </w:r>
    </w:p>
    <w:p w14:paraId="19D23489" w14:textId="77777777" w:rsidR="00B73B12" w:rsidRPr="00FF22DE" w:rsidRDefault="00B73B12" w:rsidP="00A37ACD">
      <w:pPr>
        <w:spacing w:line="360" w:lineRule="auto"/>
        <w:jc w:val="both"/>
        <w:rPr>
          <w:rFonts w:ascii="Times New Roman" w:hAnsi="Times New Roman"/>
          <w:sz w:val="24"/>
          <w:szCs w:val="24"/>
        </w:rPr>
      </w:pPr>
      <w:r>
        <w:rPr>
          <w:rFonts w:ascii="Times New Roman" w:hAnsi="Times New Roman"/>
          <w:sz w:val="24"/>
          <w:szCs w:val="24"/>
        </w:rPr>
        <w:t xml:space="preserve">The flavonoid content of the tea samples was determined by a gravimetric solvent-extraction method following the procedure described by Li </w:t>
      </w:r>
      <w:r>
        <w:rPr>
          <w:rFonts w:ascii="Times New Roman" w:hAnsi="Times New Roman"/>
          <w:sz w:val="24"/>
          <w:szCs w:val="24"/>
          <w:highlight w:val="yellow"/>
        </w:rPr>
        <w:t>et</w:t>
      </w:r>
      <w:r>
        <w:rPr>
          <w:rFonts w:ascii="Times New Roman" w:hAnsi="Times New Roman"/>
          <w:sz w:val="24"/>
          <w:szCs w:val="24"/>
        </w:rPr>
        <w:t xml:space="preserve"> a</w:t>
      </w:r>
      <w:r>
        <w:rPr>
          <w:rFonts w:ascii="Times New Roman" w:hAnsi="Times New Roman"/>
          <w:sz w:val="24"/>
          <w:szCs w:val="24"/>
          <w:highlight w:val="yellow"/>
        </w:rPr>
        <w:t>l.</w:t>
      </w:r>
      <w:r>
        <w:rPr>
          <w:rFonts w:ascii="Times New Roman" w:hAnsi="Times New Roman"/>
          <w:sz w:val="24"/>
          <w:szCs w:val="24"/>
        </w:rPr>
        <w:t xml:space="preserve"> (2024). Ten grams (10 g) of the powdered sample were extracted with 80% aqueous methanol at room temperature under continuous agitation. The resulting mixture was filtered using Whatman filter paper.</w:t>
      </w:r>
    </w:p>
    <w:p w14:paraId="30363AAC" w14:textId="77777777" w:rsidR="00B73B12" w:rsidRPr="00FF22DE" w:rsidRDefault="00B73B12" w:rsidP="00A37ACD">
      <w:pPr>
        <w:spacing w:line="360" w:lineRule="auto"/>
        <w:jc w:val="both"/>
        <w:rPr>
          <w:rStyle w:val="Heading2Char"/>
          <w:rFonts w:eastAsia="SimSun" w:cs="Times New Roman"/>
          <w:b w:val="0"/>
          <w:color w:val="auto"/>
          <w:sz w:val="24"/>
          <w:szCs w:val="24"/>
        </w:rPr>
      </w:pPr>
      <w:r w:rsidRPr="00FF22DE">
        <w:rPr>
          <w:rFonts w:ascii="Times New Roman" w:hAnsi="Times New Roman"/>
          <w:sz w:val="24"/>
          <w:szCs w:val="24"/>
        </w:rPr>
        <w:t>The filtrate was subsequently subjected to solvent partitioning with ethyl acetate to separate the flavonoid-containing fraction. The ethyl acetate fraction was collected in a previously weighed crucible and evaporated to dryness. The resulting residue was further dried in an oven to constant weight, cooled in a desiccator and weighed. The flavonoid content was expressed as a percentage of the initial sample weight. The percentage flavonoid content was calculated using the following equation:</w:t>
      </w:r>
    </w:p>
    <w:p w14:paraId="2B75963A"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 Flavonoid = </w:t>
      </w:r>
      <m:oMath>
        <m:f>
          <m:fPr>
            <m:ctrlPr>
              <w:rPr>
                <w:rFonts w:ascii="Cambria Math" w:hAnsi="Cambria Math"/>
                <w:i/>
                <w:sz w:val="24"/>
                <w:szCs w:val="24"/>
              </w:rPr>
            </m:ctrlPr>
          </m:fPr>
          <m:num>
            <m:r>
              <w:rPr>
                <w:rFonts w:ascii="Cambria Math" w:hAnsi="Cambria Math"/>
                <w:sz w:val="24"/>
                <w:szCs w:val="24"/>
              </w:rPr>
              <m:t>W2-W1</m:t>
            </m:r>
          </m:num>
          <m:den>
            <m:r>
              <w:rPr>
                <w:rFonts w:ascii="Cambria Math" w:hAnsi="Cambria Math"/>
                <w:sz w:val="24"/>
                <w:szCs w:val="24"/>
              </w:rPr>
              <m:t>W</m:t>
            </m:r>
          </m:den>
        </m:f>
        <m:r>
          <w:rPr>
            <w:rFonts w:ascii="Cambria Math" w:hAnsi="Cambria Math"/>
            <w:sz w:val="24"/>
            <w:szCs w:val="24"/>
          </w:rPr>
          <m:t xml:space="preserve"> ×100</m:t>
        </m:r>
      </m:oMath>
      <w:r w:rsidRPr="00FF22DE">
        <w:rPr>
          <w:rFonts w:ascii="Times New Roman" w:hAnsi="Times New Roman"/>
          <w:sz w:val="24"/>
          <w:szCs w:val="24"/>
        </w:rPr>
        <w:t xml:space="preserve">                                                   </w:t>
      </w:r>
    </w:p>
    <w:p w14:paraId="5910FC52"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Where:</w:t>
      </w:r>
    </w:p>
    <w:p w14:paraId="7BACBA0A"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W₁ = weight of empty crucible (g)</w:t>
      </w:r>
    </w:p>
    <w:p w14:paraId="2C6A132F"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W₂ = weight of crucible + flavonoid extract (g)</w:t>
      </w:r>
    </w:p>
    <w:p w14:paraId="7C6ECE28"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 = weight of sample (g)</w:t>
      </w:r>
    </w:p>
    <w:p w14:paraId="41E7DDCD" w14:textId="77777777" w:rsidR="00B73B12" w:rsidRPr="00FF22DE" w:rsidRDefault="00B73B12" w:rsidP="00A37ACD">
      <w:pPr>
        <w:spacing w:line="360" w:lineRule="auto"/>
        <w:jc w:val="both"/>
        <w:rPr>
          <w:rFonts w:ascii="Times New Roman" w:hAnsi="Times New Roman"/>
          <w:sz w:val="24"/>
          <w:szCs w:val="24"/>
        </w:rPr>
      </w:pPr>
    </w:p>
    <w:p w14:paraId="7734D251" w14:textId="77777777" w:rsidR="00B73B12" w:rsidRPr="00FF22DE" w:rsidRDefault="00B73B12" w:rsidP="00A37ACD">
      <w:pPr>
        <w:spacing w:line="360" w:lineRule="auto"/>
        <w:jc w:val="both"/>
        <w:rPr>
          <w:rFonts w:ascii="Times New Roman" w:hAnsi="Times New Roman"/>
          <w:b/>
          <w:sz w:val="24"/>
          <w:szCs w:val="24"/>
        </w:rPr>
      </w:pPr>
      <w:r w:rsidRPr="00FF22DE">
        <w:rPr>
          <w:rFonts w:ascii="Times New Roman" w:hAnsi="Times New Roman"/>
          <w:b/>
          <w:sz w:val="24"/>
          <w:szCs w:val="24"/>
        </w:rPr>
        <w:t>2.4 Selected Micronutrients</w:t>
      </w:r>
    </w:p>
    <w:p w14:paraId="40756D41" w14:textId="77777777" w:rsidR="00B73B12" w:rsidRPr="00FF22DE" w:rsidRDefault="00B73B12" w:rsidP="00A37ACD">
      <w:pPr>
        <w:pStyle w:val="Heading2"/>
        <w:spacing w:before="0"/>
        <w:jc w:val="both"/>
        <w:rPr>
          <w:color w:val="auto"/>
          <w:sz w:val="24"/>
          <w:szCs w:val="24"/>
        </w:rPr>
      </w:pPr>
      <w:r w:rsidRPr="00FF22DE">
        <w:rPr>
          <w:color w:val="auto"/>
          <w:sz w:val="24"/>
          <w:szCs w:val="24"/>
        </w:rPr>
        <w:lastRenderedPageBreak/>
        <w:t>2.4.1 Vitamin C</w:t>
      </w:r>
    </w:p>
    <w:p w14:paraId="73ED2BF4" w14:textId="472570A9" w:rsidR="00B73B12" w:rsidRPr="00FF22DE" w:rsidRDefault="00B73B12" w:rsidP="00A37ACD">
      <w:pPr>
        <w:spacing w:line="360" w:lineRule="auto"/>
        <w:jc w:val="both"/>
        <w:rPr>
          <w:rFonts w:ascii="Times New Roman" w:hAnsi="Times New Roman"/>
          <w:sz w:val="24"/>
          <w:szCs w:val="24"/>
        </w:rPr>
      </w:pPr>
      <w:r>
        <w:rPr>
          <w:rFonts w:ascii="Times New Roman" w:hAnsi="Times New Roman"/>
          <w:sz w:val="24"/>
          <w:szCs w:val="24"/>
        </w:rPr>
        <w:t xml:space="preserve">Vitamin C content was determined using the 2,6-dichlorophenolindophenol (DCPIP) titrimetric method as described by </w:t>
      </w:r>
      <w:r w:rsidR="003F0228" w:rsidRPr="003F0228">
        <w:rPr>
          <w:rFonts w:ascii="Times New Roman" w:hAnsi="Times New Roman"/>
          <w:sz w:val="24"/>
          <w:szCs w:val="24"/>
        </w:rPr>
        <w:t>Latimer</w:t>
      </w:r>
      <w:r w:rsidR="003F0228">
        <w:rPr>
          <w:rFonts w:ascii="Times New Roman" w:hAnsi="Times New Roman"/>
          <w:sz w:val="24"/>
          <w:szCs w:val="24"/>
        </w:rPr>
        <w:t xml:space="preserve"> </w:t>
      </w:r>
      <w:r>
        <w:rPr>
          <w:rFonts w:ascii="Times New Roman" w:hAnsi="Times New Roman"/>
          <w:sz w:val="24"/>
          <w:szCs w:val="24"/>
        </w:rPr>
        <w:t xml:space="preserve">(2019), with slight modifications to suit laboratory conditions. </w:t>
      </w:r>
      <w:r>
        <w:rPr>
          <w:rFonts w:ascii="Times New Roman" w:hAnsi="Times New Roman"/>
          <w:b/>
          <w:bCs/>
          <w:sz w:val="24"/>
          <w:szCs w:val="24"/>
          <w:highlight w:val="yellow"/>
        </w:rPr>
        <w:t>T</w:t>
      </w:r>
      <w:r>
        <w:rPr>
          <w:rFonts w:ascii="Times New Roman" w:hAnsi="Times New Roman"/>
          <w:sz w:val="24"/>
          <w:szCs w:val="24"/>
        </w:rPr>
        <w:t xml:space="preserve">he indophenol solution was first </w:t>
      </w:r>
      <w:r>
        <w:rPr>
          <w:rFonts w:ascii="Times New Roman" w:hAnsi="Times New Roman"/>
          <w:sz w:val="24"/>
          <w:szCs w:val="24"/>
          <w:highlight w:val="yellow"/>
        </w:rPr>
        <w:t>stand</w:t>
      </w:r>
      <w:r>
        <w:rPr>
          <w:rFonts w:ascii="Times New Roman" w:hAnsi="Times New Roman"/>
          <w:sz w:val="24"/>
          <w:szCs w:val="24"/>
        </w:rPr>
        <w:t>ar</w:t>
      </w:r>
      <w:r>
        <w:rPr>
          <w:rFonts w:ascii="Times New Roman" w:hAnsi="Times New Roman"/>
          <w:sz w:val="24"/>
          <w:szCs w:val="24"/>
          <w:highlight w:val="yellow"/>
        </w:rPr>
        <w:t>d</w:t>
      </w:r>
      <w:r>
        <w:rPr>
          <w:rFonts w:ascii="Times New Roman" w:hAnsi="Times New Roman"/>
          <w:sz w:val="24"/>
          <w:szCs w:val="24"/>
        </w:rPr>
        <w:t>i</w:t>
      </w:r>
      <w:r>
        <w:rPr>
          <w:rFonts w:ascii="Times New Roman" w:hAnsi="Times New Roman"/>
          <w:sz w:val="24"/>
          <w:szCs w:val="24"/>
          <w:highlight w:val="yellow"/>
        </w:rPr>
        <w:t>s</w:t>
      </w:r>
      <w:r>
        <w:rPr>
          <w:rFonts w:ascii="Times New Roman" w:hAnsi="Times New Roman"/>
          <w:sz w:val="24"/>
          <w:szCs w:val="24"/>
        </w:rPr>
        <w:t>ed</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sz w:val="24"/>
          <w:szCs w:val="24"/>
          <w:highlight w:val="yellow"/>
        </w:rPr>
        <w:t>A</w:t>
      </w:r>
      <w:r>
        <w:rPr>
          <w:rFonts w:ascii="Times New Roman" w:hAnsi="Times New Roman"/>
          <w:sz w:val="24"/>
          <w:szCs w:val="24"/>
        </w:rPr>
        <w:t xml:space="preserve"> 10 mL</w:t>
      </w:r>
      <w:r>
        <w:rPr>
          <w:rFonts w:ascii="Times New Roman" w:hAnsi="Times New Roman"/>
          <w:sz w:val="24"/>
          <w:szCs w:val="24"/>
          <w:highlight w:val="yellow"/>
        </w:rPr>
        <w:t xml:space="preserve"> portion</w:t>
      </w:r>
      <w:r>
        <w:rPr>
          <w:rFonts w:ascii="Times New Roman" w:hAnsi="Times New Roman"/>
          <w:sz w:val="24"/>
          <w:szCs w:val="24"/>
        </w:rPr>
        <w:t xml:space="preserve"> of standard ascorbic acid solution w</w:t>
      </w:r>
      <w:r>
        <w:rPr>
          <w:rFonts w:ascii="Times New Roman" w:hAnsi="Times New Roman"/>
          <w:sz w:val="24"/>
          <w:szCs w:val="24"/>
          <w:highlight w:val="yellow"/>
        </w:rPr>
        <w:t>as</w:t>
      </w:r>
      <w:r>
        <w:rPr>
          <w:rFonts w:ascii="Times New Roman" w:hAnsi="Times New Roman"/>
          <w:sz w:val="24"/>
          <w:szCs w:val="24"/>
        </w:rPr>
        <w:t xml:space="preserve"> pipetted into a conical flask and titrated against the indophenol solution until a faint pink colour persisted for 15 seconds. The dye factor was subsequently determined and expressed as the milligrams of ascorbic acid equivalent to 1 mL of the indophenol dye solution.</w:t>
      </w:r>
    </w:p>
    <w:p w14:paraId="6CBC2B92" w14:textId="77777777" w:rsidR="00B73B12" w:rsidRPr="00FF22DE" w:rsidRDefault="00263F9B" w:rsidP="00A37ACD">
      <w:pPr>
        <w:spacing w:line="360" w:lineRule="auto"/>
        <w:jc w:val="both"/>
        <w:rPr>
          <w:rFonts w:ascii="Times New Roman" w:hAnsi="Times New Roman"/>
          <w:sz w:val="24"/>
          <w:szCs w:val="24"/>
        </w:rPr>
      </w:pPr>
      <w:r>
        <w:rPr>
          <w:rFonts w:ascii="Times New Roman" w:hAnsi="Times New Roman"/>
          <w:sz w:val="24"/>
          <w:szCs w:val="24"/>
        </w:rPr>
        <w:t>After the standardi</w:t>
      </w:r>
      <w:r>
        <w:rPr>
          <w:rFonts w:ascii="Times New Roman" w:hAnsi="Times New Roman"/>
          <w:sz w:val="24"/>
          <w:szCs w:val="24"/>
          <w:highlight w:val="yellow"/>
        </w:rPr>
        <w:t>s</w:t>
      </w:r>
      <w:r>
        <w:rPr>
          <w:rFonts w:ascii="Times New Roman" w:hAnsi="Times New Roman"/>
          <w:sz w:val="24"/>
          <w:szCs w:val="24"/>
        </w:rPr>
        <w:t>ation, five grams (5 g) of the tea sample were weighed into a 100 mL volumetric flask. Then, 2.5 mL of 20% metaphosphoric acid were added to stabilise the ascorbic acid, and distilled water was used to make the solution up to the required volume. The mixture was filtered to obtain a clear extract. A 10 mL portion of the filtrate was transferred into a conical flask, followed by the addition of 2.5 mL of acetone. The resulting solution was titrated with the standardised indophenol solution until a faint pink colour persisted for 15 seconds.</w:t>
      </w:r>
    </w:p>
    <w:p w14:paraId="09E06AAA" w14:textId="77777777" w:rsidR="00B73B12" w:rsidRPr="0082064E" w:rsidRDefault="00B73B12" w:rsidP="00A37ACD">
      <w:pPr>
        <w:spacing w:line="360" w:lineRule="auto"/>
        <w:jc w:val="both"/>
        <w:rPr>
          <w:rFonts w:ascii="Times New Roman" w:hAnsi="Times New Roman"/>
          <w:b/>
          <w:sz w:val="24"/>
          <w:szCs w:val="24"/>
        </w:rPr>
      </w:pPr>
      <w:r w:rsidRPr="0082064E">
        <w:rPr>
          <w:rFonts w:ascii="Times New Roman" w:hAnsi="Times New Roman"/>
          <w:b/>
          <w:sz w:val="24"/>
          <w:szCs w:val="24"/>
        </w:rPr>
        <w:t>Calculation</w:t>
      </w:r>
    </w:p>
    <w:p w14:paraId="0168C185"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Vitamin C (mg/100g) = </w:t>
      </w:r>
      <m:oMath>
        <m:f>
          <m:fPr>
            <m:ctrlPr>
              <w:rPr>
                <w:rFonts w:ascii="Cambria Math" w:hAnsi="Cambria Math"/>
                <w:i/>
                <w:sz w:val="24"/>
                <w:szCs w:val="24"/>
              </w:rPr>
            </m:ctrlPr>
          </m:fPr>
          <m:num>
            <m:r>
              <w:rPr>
                <w:rFonts w:ascii="Cambria Math" w:hAnsi="Cambria Math"/>
                <w:sz w:val="24"/>
                <w:szCs w:val="24"/>
              </w:rPr>
              <m:t>T×F×Vf×100</m:t>
            </m:r>
          </m:num>
          <m:den>
            <m:r>
              <w:rPr>
                <w:rFonts w:ascii="Cambria Math" w:hAnsi="Cambria Math"/>
                <w:sz w:val="24"/>
                <w:szCs w:val="24"/>
              </w:rPr>
              <m:t>Va×W</m:t>
            </m:r>
          </m:den>
        </m:f>
      </m:oMath>
      <w:r w:rsidRPr="00FF22DE">
        <w:rPr>
          <w:rFonts w:ascii="Times New Roman" w:hAnsi="Times New Roman"/>
          <w:sz w:val="24"/>
          <w:szCs w:val="24"/>
        </w:rPr>
        <w:t xml:space="preserve">                                          </w:t>
      </w:r>
    </w:p>
    <w:p w14:paraId="2AD4C2EA"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Where:</w:t>
      </w:r>
    </w:p>
    <w:p w14:paraId="3F465C4E"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T = </w:t>
      </w:r>
      <w:proofErr w:type="spellStart"/>
      <w:r w:rsidRPr="00FF22DE">
        <w:rPr>
          <w:rFonts w:ascii="Times New Roman" w:hAnsi="Times New Roman"/>
          <w:sz w:val="24"/>
          <w:szCs w:val="24"/>
        </w:rPr>
        <w:t>titre</w:t>
      </w:r>
      <w:proofErr w:type="spellEnd"/>
      <w:r w:rsidRPr="00FF22DE">
        <w:rPr>
          <w:rFonts w:ascii="Times New Roman" w:hAnsi="Times New Roman"/>
          <w:sz w:val="24"/>
          <w:szCs w:val="24"/>
        </w:rPr>
        <w:t xml:space="preserve"> value (ml of dye used)</w:t>
      </w:r>
    </w:p>
    <w:p w14:paraId="095004C1"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F = dye factor (mg ascorbic acid per ml of dye)</w:t>
      </w:r>
    </w:p>
    <w:p w14:paraId="5DD304D4" w14:textId="77777777" w:rsidR="00B73B12" w:rsidRPr="00FF22DE" w:rsidRDefault="00B73B12" w:rsidP="00A37ACD">
      <w:pPr>
        <w:spacing w:line="360" w:lineRule="auto"/>
        <w:jc w:val="both"/>
        <w:rPr>
          <w:rFonts w:ascii="Times New Roman" w:hAnsi="Times New Roman"/>
          <w:sz w:val="24"/>
          <w:szCs w:val="24"/>
        </w:rPr>
      </w:pPr>
      <w:proofErr w:type="spellStart"/>
      <w:r w:rsidRPr="00FF22DE">
        <w:rPr>
          <w:rFonts w:ascii="Times New Roman" w:hAnsi="Times New Roman"/>
          <w:sz w:val="24"/>
          <w:szCs w:val="24"/>
        </w:rPr>
        <w:t>Vf</w:t>
      </w:r>
      <w:proofErr w:type="spellEnd"/>
      <w:r w:rsidRPr="00FF22DE">
        <w:rPr>
          <w:rFonts w:ascii="Times New Roman" w:hAnsi="Times New Roman"/>
          <w:sz w:val="24"/>
          <w:szCs w:val="24"/>
        </w:rPr>
        <w:t xml:space="preserve"> = total volume of extract (ml)</w:t>
      </w:r>
    </w:p>
    <w:p w14:paraId="036D1302"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Va = volume of extract titrated (ml)</w:t>
      </w:r>
    </w:p>
    <w:p w14:paraId="0A7EECFA"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 = weight of sample (g)</w:t>
      </w:r>
    </w:p>
    <w:p w14:paraId="4255DD9B" w14:textId="77777777" w:rsidR="00263F9B" w:rsidRPr="00FF22DE" w:rsidRDefault="00263F9B" w:rsidP="00A37ACD">
      <w:pPr>
        <w:pStyle w:val="Heading2"/>
        <w:jc w:val="both"/>
        <w:rPr>
          <w:color w:val="auto"/>
          <w:sz w:val="24"/>
          <w:szCs w:val="24"/>
        </w:rPr>
      </w:pPr>
      <w:r w:rsidRPr="00FF22DE">
        <w:rPr>
          <w:color w:val="auto"/>
          <w:sz w:val="24"/>
          <w:szCs w:val="24"/>
        </w:rPr>
        <w:t>2.4.2 Iron and Zinc</w:t>
      </w:r>
    </w:p>
    <w:p w14:paraId="73235248" w14:textId="77777777" w:rsidR="008F7872" w:rsidRPr="00FF22DE" w:rsidRDefault="008F2C2B" w:rsidP="00A37ACD">
      <w:pPr>
        <w:spacing w:line="480" w:lineRule="auto"/>
        <w:jc w:val="both"/>
        <w:rPr>
          <w:sz w:val="24"/>
          <w:szCs w:val="24"/>
        </w:rPr>
      </w:pPr>
      <w:r w:rsidRPr="00FF22DE">
        <w:rPr>
          <w:rFonts w:ascii="Times New Roman" w:hAnsi="Times New Roman"/>
          <w:sz w:val="24"/>
          <w:szCs w:val="24"/>
        </w:rPr>
        <w:t xml:space="preserve">Iron and zinc were determined using an Atomic Absorption Spectrophotometer (AA-7000, Shimadzu, Japan). Glassware was soaked overnight in 3 M nitric acid and rinsed with </w:t>
      </w:r>
      <w:proofErr w:type="spellStart"/>
      <w:r w:rsidRPr="00FF22DE">
        <w:rPr>
          <w:rFonts w:ascii="Times New Roman" w:hAnsi="Times New Roman"/>
          <w:sz w:val="24"/>
          <w:szCs w:val="24"/>
        </w:rPr>
        <w:t>deionised</w:t>
      </w:r>
      <w:proofErr w:type="spellEnd"/>
      <w:r w:rsidRPr="00FF22DE">
        <w:rPr>
          <w:rFonts w:ascii="Times New Roman" w:hAnsi="Times New Roman"/>
          <w:sz w:val="24"/>
          <w:szCs w:val="24"/>
        </w:rPr>
        <w:t xml:space="preserve"> water. Approximately 1 g of each sample was digested with 30 cm³ aqua regia, cooled and filtered, </w:t>
      </w:r>
      <w:r w:rsidRPr="00FF22DE">
        <w:rPr>
          <w:rFonts w:ascii="Times New Roman" w:hAnsi="Times New Roman"/>
          <w:sz w:val="24"/>
          <w:szCs w:val="24"/>
        </w:rPr>
        <w:lastRenderedPageBreak/>
        <w:t xml:space="preserve">and the filtrate was made up to 50 mL with </w:t>
      </w:r>
      <w:proofErr w:type="spellStart"/>
      <w:r w:rsidRPr="00FF22DE">
        <w:rPr>
          <w:rFonts w:ascii="Times New Roman" w:hAnsi="Times New Roman"/>
          <w:sz w:val="24"/>
          <w:szCs w:val="24"/>
        </w:rPr>
        <w:t>deionised</w:t>
      </w:r>
      <w:proofErr w:type="spellEnd"/>
      <w:r w:rsidRPr="00FF22DE">
        <w:rPr>
          <w:rFonts w:ascii="Times New Roman" w:hAnsi="Times New Roman"/>
          <w:sz w:val="24"/>
          <w:szCs w:val="24"/>
        </w:rPr>
        <w:t xml:space="preserve"> water. Standard solutions of iron and zinc at 2, 4 and 6 ppm were prepared from 1000 ppm stock solutions. A reagent blank was used to calibrate the instrument, followed by aspiration of the standards and samples. Concentrations were obtained from the respective calibration curves.</w:t>
      </w:r>
    </w:p>
    <w:p w14:paraId="2D187F3B" w14:textId="77777777" w:rsidR="00E15BAA" w:rsidRPr="00FF22DE" w:rsidRDefault="00167D4D" w:rsidP="00A37ACD">
      <w:pPr>
        <w:pStyle w:val="NoSpacing"/>
        <w:spacing w:line="360" w:lineRule="auto"/>
        <w:jc w:val="both"/>
        <w:rPr>
          <w:rFonts w:ascii="Times New Roman" w:hAnsi="Times New Roman"/>
          <w:b/>
          <w:sz w:val="24"/>
          <w:szCs w:val="24"/>
        </w:rPr>
      </w:pPr>
      <w:r w:rsidRPr="00FF22DE">
        <w:rPr>
          <w:rFonts w:ascii="Times New Roman" w:hAnsi="Times New Roman"/>
          <w:b/>
          <w:sz w:val="24"/>
          <w:szCs w:val="24"/>
        </w:rPr>
        <w:t xml:space="preserve">2.5 </w:t>
      </w:r>
      <w:r w:rsidR="00E15BAA" w:rsidRPr="00FF22DE">
        <w:rPr>
          <w:rFonts w:ascii="Times New Roman" w:hAnsi="Times New Roman"/>
          <w:b/>
          <w:sz w:val="24"/>
          <w:szCs w:val="24"/>
        </w:rPr>
        <w:t>Sensory Evaluation.</w:t>
      </w:r>
    </w:p>
    <w:p w14:paraId="1FD5C3A4" w14:textId="77777777" w:rsidR="00E15BAA" w:rsidRPr="00FF22DE" w:rsidRDefault="00E15BAA" w:rsidP="00A37ACD">
      <w:pPr>
        <w:spacing w:line="480" w:lineRule="auto"/>
        <w:jc w:val="both"/>
        <w:rPr>
          <w:sz w:val="24"/>
          <w:szCs w:val="24"/>
        </w:rPr>
      </w:pPr>
      <w:r>
        <w:rPr>
          <w:rFonts w:ascii="Times New Roman" w:hAnsi="Times New Roman"/>
          <w:sz w:val="24"/>
          <w:szCs w:val="24"/>
        </w:rPr>
        <w:t>Sensory evaluation was conducted using 20 semi-trained pane</w:t>
      </w:r>
      <w:r>
        <w:rPr>
          <w:rFonts w:ascii="Times New Roman" w:hAnsi="Times New Roman"/>
          <w:sz w:val="24"/>
          <w:szCs w:val="24"/>
          <w:highlight w:val="yellow"/>
        </w:rPr>
        <w:t>l</w:t>
      </w:r>
      <w:r>
        <w:rPr>
          <w:rFonts w:ascii="Times New Roman" w:hAnsi="Times New Roman"/>
          <w:sz w:val="24"/>
          <w:szCs w:val="24"/>
        </w:rPr>
        <w:t>lists comprising males and females from different age groups. The pane</w:t>
      </w:r>
      <w:r>
        <w:rPr>
          <w:rFonts w:ascii="Times New Roman" w:hAnsi="Times New Roman"/>
          <w:sz w:val="24"/>
          <w:szCs w:val="24"/>
          <w:highlight w:val="yellow"/>
        </w:rPr>
        <w:t>l</w:t>
      </w:r>
      <w:r>
        <w:rPr>
          <w:rFonts w:ascii="Times New Roman" w:hAnsi="Times New Roman"/>
          <w:sz w:val="24"/>
          <w:szCs w:val="24"/>
        </w:rPr>
        <w:t xml:space="preserve">lists were selected from the World Bank settlement in Owerri Municipal Local Government Area of Imo State. Green </w:t>
      </w:r>
      <w:r>
        <w:rPr>
          <w:rFonts w:ascii="Times New Roman" w:hAnsi="Times New Roman"/>
          <w:i/>
          <w:sz w:val="24"/>
          <w:szCs w:val="24"/>
        </w:rPr>
        <w:t>J. tanjorensis</w:t>
      </w:r>
      <w:r>
        <w:rPr>
          <w:rFonts w:ascii="Times New Roman" w:hAnsi="Times New Roman"/>
          <w:sz w:val="24"/>
          <w:szCs w:val="24"/>
        </w:rPr>
        <w:t xml:space="preserve"> tea (GJT), black </w:t>
      </w:r>
      <w:r>
        <w:rPr>
          <w:rFonts w:ascii="Times New Roman" w:hAnsi="Times New Roman"/>
          <w:i/>
          <w:sz w:val="24"/>
          <w:szCs w:val="24"/>
        </w:rPr>
        <w:t>J. tanjorensis</w:t>
      </w:r>
      <w:r>
        <w:rPr>
          <w:rFonts w:ascii="Times New Roman" w:hAnsi="Times New Roman"/>
          <w:sz w:val="24"/>
          <w:szCs w:val="24"/>
        </w:rPr>
        <w:t xml:space="preserve"> tea (BJT), commercial green tea (CGT) and commercial black tea (CBT) were evaluated for appearance, aroma, taste and overall acceptability. The panel</w:t>
      </w:r>
      <w:r>
        <w:rPr>
          <w:rFonts w:ascii="Times New Roman" w:hAnsi="Times New Roman"/>
          <w:sz w:val="24"/>
          <w:szCs w:val="24"/>
          <w:highlight w:val="yellow"/>
        </w:rPr>
        <w:t>l</w:t>
      </w:r>
      <w:r>
        <w:rPr>
          <w:rFonts w:ascii="Times New Roman" w:hAnsi="Times New Roman"/>
          <w:sz w:val="24"/>
          <w:szCs w:val="24"/>
        </w:rPr>
        <w:t>ists were instructed to rinse their mouth</w:t>
      </w:r>
      <w:r>
        <w:rPr>
          <w:rFonts w:ascii="Times New Roman" w:hAnsi="Times New Roman"/>
          <w:sz w:val="24"/>
          <w:szCs w:val="24"/>
          <w:highlight w:val="yellow"/>
        </w:rPr>
        <w:t>s</w:t>
      </w:r>
      <w:r>
        <w:rPr>
          <w:rFonts w:ascii="Times New Roman" w:hAnsi="Times New Roman"/>
          <w:sz w:val="24"/>
          <w:szCs w:val="24"/>
        </w:rPr>
        <w:t xml:space="preserve"> with water after testing each sample to ensure unbiased assessment. A 9-point hedonic scale was used, where 1 represented dislike extremely and 9 represented like extremely. </w:t>
      </w:r>
    </w:p>
    <w:p w14:paraId="66BF2FCF" w14:textId="77777777" w:rsidR="00803512" w:rsidRPr="00FF22DE" w:rsidRDefault="00167D4D" w:rsidP="00A37ACD">
      <w:pPr>
        <w:pStyle w:val="NoSpacing"/>
        <w:spacing w:line="360" w:lineRule="auto"/>
        <w:jc w:val="both"/>
        <w:rPr>
          <w:rFonts w:ascii="Times New Roman" w:hAnsi="Times New Roman"/>
          <w:b/>
          <w:sz w:val="24"/>
          <w:szCs w:val="24"/>
        </w:rPr>
      </w:pPr>
      <w:r w:rsidRPr="00FF22DE">
        <w:rPr>
          <w:rFonts w:ascii="Times New Roman" w:hAnsi="Times New Roman"/>
          <w:b/>
          <w:sz w:val="24"/>
          <w:szCs w:val="24"/>
        </w:rPr>
        <w:t>2.6 Statistical Analysis</w:t>
      </w:r>
    </w:p>
    <w:p w14:paraId="4F9A121B" w14:textId="77777777" w:rsidR="00167D4D" w:rsidRPr="00FF22DE" w:rsidRDefault="00167D4D" w:rsidP="00A37ACD">
      <w:pPr>
        <w:spacing w:line="480" w:lineRule="auto"/>
        <w:jc w:val="both"/>
        <w:rPr>
          <w:sz w:val="24"/>
          <w:szCs w:val="24"/>
        </w:rPr>
      </w:pPr>
      <w:r>
        <w:rPr>
          <w:rFonts w:ascii="Times New Roman" w:hAnsi="Times New Roman"/>
          <w:sz w:val="24"/>
          <w:szCs w:val="24"/>
        </w:rPr>
        <w:t xml:space="preserve">Results were expressed as mean ± standard deviation. Differences between green and black </w:t>
      </w:r>
      <w:r>
        <w:rPr>
          <w:rFonts w:ascii="Times New Roman" w:hAnsi="Times New Roman"/>
          <w:i/>
          <w:sz w:val="24"/>
          <w:szCs w:val="24"/>
        </w:rPr>
        <w:t>J. tanjorensis</w:t>
      </w:r>
      <w:r>
        <w:rPr>
          <w:rFonts w:ascii="Times New Roman" w:hAnsi="Times New Roman"/>
          <w:sz w:val="24"/>
          <w:szCs w:val="24"/>
        </w:rPr>
        <w:t xml:space="preserve"> teas for the phytochemical and micronutrient measurements were evaluated using the t-test. Sensory data were analysed using one-way analysis of variance, and means were separated using Fisher's least significant difference test. Differences were considered significant at p &lt; 0.05.</w:t>
      </w:r>
    </w:p>
    <w:p w14:paraId="64B583F4" w14:textId="77777777" w:rsidR="00CA5518" w:rsidRPr="00FF22DE" w:rsidRDefault="00235946" w:rsidP="00A37ACD">
      <w:pPr>
        <w:pStyle w:val="ListParagraph"/>
        <w:numPr>
          <w:ilvl w:val="0"/>
          <w:numId w:val="1"/>
        </w:numPr>
        <w:jc w:val="both"/>
        <w:rPr>
          <w:rFonts w:ascii="Times New Roman" w:hAnsi="Times New Roman"/>
          <w:b/>
          <w:sz w:val="24"/>
          <w:szCs w:val="24"/>
        </w:rPr>
      </w:pPr>
      <w:r w:rsidRPr="00FF22DE">
        <w:rPr>
          <w:rFonts w:ascii="Times New Roman" w:hAnsi="Times New Roman"/>
          <w:b/>
          <w:sz w:val="24"/>
          <w:szCs w:val="24"/>
        </w:rPr>
        <w:t>Results and Discussion</w:t>
      </w:r>
    </w:p>
    <w:p w14:paraId="229401EE" w14:textId="77777777" w:rsidR="00FF22DE" w:rsidRPr="00541747" w:rsidRDefault="00235946" w:rsidP="00541747">
      <w:pPr>
        <w:pStyle w:val="Heading3"/>
        <w:jc w:val="both"/>
        <w:rPr>
          <w:rFonts w:ascii="Times New Roman" w:hAnsi="Times New Roman" w:cs="Times New Roman"/>
          <w:b/>
          <w:color w:val="000000" w:themeColor="text1"/>
        </w:rPr>
      </w:pPr>
      <w:r>
        <w:rPr>
          <w:rFonts w:ascii="Times New Roman" w:hAnsi="Times New Roman" w:cs="Times New Roman"/>
          <w:b/>
          <w:color w:val="000000" w:themeColor="text1"/>
        </w:rPr>
        <w:t xml:space="preserve">3.1 Phytochemical composition (%) of green and black </w:t>
      </w:r>
      <w:r>
        <w:rPr>
          <w:rFonts w:ascii="Times New Roman" w:eastAsia="Arial" w:hAnsi="Times New Roman" w:cs="Times New Roman"/>
          <w:b/>
          <w:i/>
          <w:color w:val="000000" w:themeColor="text1"/>
        </w:rPr>
        <w:t>Jatropha tanjorensis</w:t>
      </w:r>
      <w:r>
        <w:rPr>
          <w:rFonts w:ascii="Times New Roman" w:hAnsi="Times New Roman" w:cs="Times New Roman"/>
          <w:b/>
          <w:color w:val="000000" w:themeColor="text1"/>
        </w:rPr>
        <w:t xml:space="preserve"> herbal teas.</w:t>
      </w:r>
    </w:p>
    <w:p w14:paraId="231ADC95" w14:textId="77777777" w:rsidR="00A55CB9" w:rsidRPr="00FF22DE" w:rsidRDefault="00143DEF" w:rsidP="00A37ACD">
      <w:pPr>
        <w:spacing w:after="83"/>
        <w:jc w:val="both"/>
        <w:rPr>
          <w:rFonts w:ascii="Times New Roman" w:hAnsi="Times New Roman"/>
          <w:sz w:val="24"/>
          <w:szCs w:val="24"/>
        </w:rPr>
      </w:pPr>
      <w:r>
        <w:rPr>
          <w:rFonts w:ascii="Times New Roman" w:hAnsi="Times New Roman"/>
          <w:sz w:val="24"/>
          <w:szCs w:val="24"/>
        </w:rPr>
        <w:t xml:space="preserve">The phytochemical composition of the green and black </w:t>
      </w:r>
      <w:r>
        <w:rPr>
          <w:rFonts w:ascii="Times New Roman" w:eastAsia="Arial" w:hAnsi="Times New Roman"/>
          <w:i/>
          <w:sz w:val="24"/>
          <w:szCs w:val="24"/>
        </w:rPr>
        <w:t>Jatropha tanjorensis</w:t>
      </w:r>
      <w:r>
        <w:rPr>
          <w:rFonts w:ascii="Times New Roman" w:hAnsi="Times New Roman"/>
          <w:sz w:val="24"/>
          <w:szCs w:val="24"/>
        </w:rPr>
        <w:t xml:space="preserve"> herbal teas is presented in Table 1. </w:t>
      </w:r>
    </w:p>
    <w:p w14:paraId="588D00CA" w14:textId="77777777" w:rsidR="006659E4" w:rsidRPr="00FF22DE" w:rsidRDefault="006659E4" w:rsidP="00A37ACD">
      <w:pPr>
        <w:spacing w:after="83"/>
        <w:jc w:val="both"/>
        <w:rPr>
          <w:rFonts w:ascii="Times New Roman" w:hAnsi="Times New Roman"/>
          <w:sz w:val="24"/>
          <w:szCs w:val="24"/>
        </w:rPr>
      </w:pPr>
    </w:p>
    <w:p w14:paraId="34643C38" w14:textId="77777777" w:rsidR="00143DEF" w:rsidRPr="00FF22DE" w:rsidRDefault="00143DEF" w:rsidP="00541747">
      <w:pPr>
        <w:spacing w:after="83"/>
        <w:jc w:val="both"/>
        <w:rPr>
          <w:rFonts w:ascii="Times New Roman" w:hAnsi="Times New Roman"/>
          <w:sz w:val="24"/>
          <w:szCs w:val="24"/>
        </w:rPr>
      </w:pPr>
      <w:r w:rsidRPr="00FF22DE">
        <w:rPr>
          <w:rFonts w:ascii="Times New Roman" w:hAnsi="Times New Roman"/>
          <w:b/>
          <w:color w:val="000000" w:themeColor="text1"/>
          <w:sz w:val="24"/>
          <w:szCs w:val="24"/>
        </w:rPr>
        <w:t xml:space="preserve">Table 1. Phytochemical composition (%) of green and black </w:t>
      </w:r>
      <w:r w:rsidRPr="00FF22DE">
        <w:rPr>
          <w:rFonts w:ascii="Times New Roman" w:eastAsia="Arial" w:hAnsi="Times New Roman"/>
          <w:b/>
          <w:i/>
          <w:color w:val="000000" w:themeColor="text1"/>
          <w:sz w:val="24"/>
          <w:szCs w:val="24"/>
        </w:rPr>
        <w:t xml:space="preserve">Jatropha </w:t>
      </w:r>
      <w:proofErr w:type="spellStart"/>
      <w:r w:rsidRPr="00FF22DE">
        <w:rPr>
          <w:rFonts w:ascii="Times New Roman" w:eastAsia="Arial" w:hAnsi="Times New Roman"/>
          <w:b/>
          <w:i/>
          <w:color w:val="000000" w:themeColor="text1"/>
          <w:sz w:val="24"/>
          <w:szCs w:val="24"/>
        </w:rPr>
        <w:t>tanjorensis</w:t>
      </w:r>
      <w:proofErr w:type="spellEnd"/>
      <w:r w:rsidRPr="00FF22DE">
        <w:rPr>
          <w:rFonts w:ascii="Times New Roman" w:hAnsi="Times New Roman"/>
          <w:b/>
          <w:color w:val="000000" w:themeColor="text1"/>
          <w:sz w:val="24"/>
          <w:szCs w:val="24"/>
        </w:rPr>
        <w:t xml:space="preserve"> herbal teas</w:t>
      </w:r>
    </w:p>
    <w:tbl>
      <w:tblPr>
        <w:tblW w:w="9016" w:type="dxa"/>
        <w:tblBorders>
          <w:top w:val="single" w:sz="4" w:space="0" w:color="auto"/>
          <w:bottom w:val="single" w:sz="4" w:space="0" w:color="auto"/>
        </w:tblBorders>
        <w:tblLook w:val="04A0" w:firstRow="1" w:lastRow="0" w:firstColumn="1" w:lastColumn="0" w:noHBand="0" w:noVBand="1"/>
      </w:tblPr>
      <w:tblGrid>
        <w:gridCol w:w="1129"/>
        <w:gridCol w:w="1418"/>
        <w:gridCol w:w="1417"/>
        <w:gridCol w:w="1843"/>
        <w:gridCol w:w="1701"/>
        <w:gridCol w:w="1508"/>
      </w:tblGrid>
      <w:tr w:rsidR="00143DEF" w:rsidRPr="00FF22DE" w14:paraId="1857707D" w14:textId="77777777" w:rsidTr="00C23D7A">
        <w:trPr>
          <w:trHeight w:val="530"/>
        </w:trPr>
        <w:tc>
          <w:tcPr>
            <w:tcW w:w="1129" w:type="dxa"/>
            <w:tcBorders>
              <w:top w:val="single" w:sz="4" w:space="0" w:color="auto"/>
              <w:bottom w:val="single" w:sz="4" w:space="0" w:color="auto"/>
            </w:tcBorders>
            <w:noWrap/>
            <w:vAlign w:val="center"/>
            <w:hideMark/>
          </w:tcPr>
          <w:p w14:paraId="04670D55"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Sample</w:t>
            </w:r>
          </w:p>
        </w:tc>
        <w:tc>
          <w:tcPr>
            <w:tcW w:w="1418" w:type="dxa"/>
            <w:tcBorders>
              <w:top w:val="single" w:sz="4" w:space="0" w:color="auto"/>
              <w:bottom w:val="single" w:sz="4" w:space="0" w:color="auto"/>
            </w:tcBorders>
            <w:noWrap/>
            <w:vAlign w:val="center"/>
            <w:hideMark/>
          </w:tcPr>
          <w:p w14:paraId="00773952"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Saponin</w:t>
            </w:r>
          </w:p>
        </w:tc>
        <w:tc>
          <w:tcPr>
            <w:tcW w:w="1417" w:type="dxa"/>
            <w:tcBorders>
              <w:top w:val="single" w:sz="4" w:space="0" w:color="auto"/>
              <w:bottom w:val="single" w:sz="4" w:space="0" w:color="auto"/>
            </w:tcBorders>
            <w:noWrap/>
            <w:vAlign w:val="center"/>
            <w:hideMark/>
          </w:tcPr>
          <w:p w14:paraId="78DE9E2E"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Alkaloids</w:t>
            </w:r>
          </w:p>
        </w:tc>
        <w:tc>
          <w:tcPr>
            <w:tcW w:w="1843" w:type="dxa"/>
            <w:tcBorders>
              <w:top w:val="single" w:sz="4" w:space="0" w:color="auto"/>
              <w:bottom w:val="single" w:sz="4" w:space="0" w:color="auto"/>
            </w:tcBorders>
            <w:noWrap/>
            <w:vAlign w:val="center"/>
            <w:hideMark/>
          </w:tcPr>
          <w:p w14:paraId="0F674F0A"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Flavonoids</w:t>
            </w:r>
          </w:p>
        </w:tc>
        <w:tc>
          <w:tcPr>
            <w:tcW w:w="1701" w:type="dxa"/>
            <w:tcBorders>
              <w:top w:val="single" w:sz="4" w:space="0" w:color="auto"/>
              <w:bottom w:val="single" w:sz="4" w:space="0" w:color="auto"/>
            </w:tcBorders>
            <w:noWrap/>
            <w:vAlign w:val="center"/>
            <w:hideMark/>
          </w:tcPr>
          <w:p w14:paraId="094FE91C"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Tannins</w:t>
            </w:r>
          </w:p>
        </w:tc>
        <w:tc>
          <w:tcPr>
            <w:tcW w:w="1508" w:type="dxa"/>
            <w:tcBorders>
              <w:top w:val="single" w:sz="4" w:space="0" w:color="auto"/>
              <w:bottom w:val="single" w:sz="4" w:space="0" w:color="auto"/>
            </w:tcBorders>
          </w:tcPr>
          <w:p w14:paraId="59AE8CAB"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Oxalates</w:t>
            </w:r>
          </w:p>
        </w:tc>
      </w:tr>
      <w:tr w:rsidR="00143DEF" w:rsidRPr="00FF22DE" w14:paraId="527D021F" w14:textId="77777777" w:rsidTr="00C23D7A">
        <w:trPr>
          <w:trHeight w:val="300"/>
        </w:trPr>
        <w:tc>
          <w:tcPr>
            <w:tcW w:w="1129" w:type="dxa"/>
            <w:tcBorders>
              <w:top w:val="single" w:sz="4" w:space="0" w:color="auto"/>
            </w:tcBorders>
            <w:noWrap/>
            <w:vAlign w:val="center"/>
            <w:hideMark/>
          </w:tcPr>
          <w:p w14:paraId="6D832241" w14:textId="77777777" w:rsidR="00143DEF" w:rsidRPr="00FF22DE" w:rsidRDefault="00143DEF" w:rsidP="00A37ACD">
            <w:pPr>
              <w:spacing w:line="360" w:lineRule="auto"/>
              <w:jc w:val="both"/>
              <w:rPr>
                <w:rFonts w:ascii="Times New Roman" w:hAnsi="Times New Roman"/>
                <w:sz w:val="24"/>
                <w:szCs w:val="24"/>
              </w:rPr>
            </w:pPr>
          </w:p>
          <w:p w14:paraId="5AC61651"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BJT</w:t>
            </w:r>
          </w:p>
        </w:tc>
        <w:tc>
          <w:tcPr>
            <w:tcW w:w="1418" w:type="dxa"/>
            <w:tcBorders>
              <w:top w:val="single" w:sz="4" w:space="0" w:color="auto"/>
            </w:tcBorders>
            <w:noWrap/>
            <w:hideMark/>
          </w:tcPr>
          <w:p w14:paraId="7C530141" w14:textId="77777777" w:rsidR="00143DEF" w:rsidRPr="00FF22DE" w:rsidRDefault="00143DEF" w:rsidP="00A37ACD">
            <w:pPr>
              <w:spacing w:line="360" w:lineRule="auto"/>
              <w:jc w:val="both"/>
              <w:rPr>
                <w:rFonts w:ascii="Times New Roman" w:hAnsi="Times New Roman"/>
                <w:sz w:val="24"/>
                <w:szCs w:val="24"/>
              </w:rPr>
            </w:pPr>
          </w:p>
          <w:p w14:paraId="17642708"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1.85 ±0.07</w:t>
            </w:r>
            <w:r w:rsidRPr="00FF22DE">
              <w:rPr>
                <w:rFonts w:ascii="Times New Roman" w:hAnsi="Times New Roman"/>
                <w:sz w:val="24"/>
                <w:szCs w:val="24"/>
                <w:vertAlign w:val="superscript"/>
              </w:rPr>
              <w:t xml:space="preserve"> a</w:t>
            </w:r>
          </w:p>
        </w:tc>
        <w:tc>
          <w:tcPr>
            <w:tcW w:w="1417" w:type="dxa"/>
            <w:tcBorders>
              <w:top w:val="single" w:sz="4" w:space="0" w:color="auto"/>
            </w:tcBorders>
            <w:noWrap/>
            <w:hideMark/>
          </w:tcPr>
          <w:p w14:paraId="783A20AA" w14:textId="77777777" w:rsidR="00143DEF" w:rsidRPr="00FF22DE" w:rsidRDefault="00143DEF" w:rsidP="00A37ACD">
            <w:pPr>
              <w:spacing w:line="360" w:lineRule="auto"/>
              <w:jc w:val="both"/>
              <w:rPr>
                <w:rFonts w:ascii="Times New Roman" w:hAnsi="Times New Roman"/>
                <w:sz w:val="24"/>
                <w:szCs w:val="24"/>
              </w:rPr>
            </w:pPr>
          </w:p>
          <w:p w14:paraId="690413E4"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2.40±0.0</w:t>
            </w:r>
            <w:r w:rsidRPr="00FF22DE">
              <w:rPr>
                <w:rFonts w:ascii="Times New Roman" w:hAnsi="Times New Roman"/>
                <w:sz w:val="24"/>
                <w:szCs w:val="24"/>
                <w:vertAlign w:val="superscript"/>
              </w:rPr>
              <w:t xml:space="preserve"> b</w:t>
            </w:r>
          </w:p>
        </w:tc>
        <w:tc>
          <w:tcPr>
            <w:tcW w:w="1843" w:type="dxa"/>
            <w:tcBorders>
              <w:top w:val="single" w:sz="4" w:space="0" w:color="auto"/>
            </w:tcBorders>
            <w:noWrap/>
            <w:hideMark/>
          </w:tcPr>
          <w:p w14:paraId="5C7BEEAA" w14:textId="77777777" w:rsidR="00143DEF" w:rsidRPr="00FF22DE" w:rsidRDefault="00143DEF" w:rsidP="00A37ACD">
            <w:pPr>
              <w:spacing w:line="360" w:lineRule="auto"/>
              <w:jc w:val="both"/>
              <w:rPr>
                <w:rFonts w:ascii="Times New Roman" w:hAnsi="Times New Roman"/>
                <w:sz w:val="24"/>
                <w:szCs w:val="24"/>
              </w:rPr>
            </w:pPr>
          </w:p>
          <w:p w14:paraId="197FCB9F"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12.15 ± 0.21</w:t>
            </w:r>
            <w:r w:rsidRPr="00FF22DE">
              <w:rPr>
                <w:rFonts w:ascii="Times New Roman" w:hAnsi="Times New Roman"/>
                <w:sz w:val="24"/>
                <w:szCs w:val="24"/>
                <w:vertAlign w:val="superscript"/>
              </w:rPr>
              <w:t xml:space="preserve"> a</w:t>
            </w:r>
          </w:p>
        </w:tc>
        <w:tc>
          <w:tcPr>
            <w:tcW w:w="1701" w:type="dxa"/>
            <w:tcBorders>
              <w:top w:val="single" w:sz="4" w:space="0" w:color="auto"/>
            </w:tcBorders>
            <w:noWrap/>
            <w:hideMark/>
          </w:tcPr>
          <w:p w14:paraId="56B360C3" w14:textId="77777777" w:rsidR="00143DEF" w:rsidRPr="00FF22DE" w:rsidRDefault="00143DEF" w:rsidP="00A37ACD">
            <w:pPr>
              <w:spacing w:line="360" w:lineRule="auto"/>
              <w:jc w:val="both"/>
              <w:rPr>
                <w:rFonts w:ascii="Times New Roman" w:hAnsi="Times New Roman"/>
                <w:sz w:val="24"/>
                <w:szCs w:val="24"/>
              </w:rPr>
            </w:pPr>
          </w:p>
          <w:p w14:paraId="3A93F60D"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11.53 ± 0.21</w:t>
            </w:r>
            <w:r w:rsidRPr="00FF22DE">
              <w:rPr>
                <w:rFonts w:ascii="Times New Roman" w:hAnsi="Times New Roman"/>
                <w:sz w:val="24"/>
                <w:szCs w:val="24"/>
                <w:vertAlign w:val="superscript"/>
              </w:rPr>
              <w:t xml:space="preserve"> a</w:t>
            </w:r>
          </w:p>
        </w:tc>
        <w:tc>
          <w:tcPr>
            <w:tcW w:w="1508" w:type="dxa"/>
            <w:tcBorders>
              <w:top w:val="single" w:sz="4" w:space="0" w:color="auto"/>
            </w:tcBorders>
          </w:tcPr>
          <w:p w14:paraId="59532910" w14:textId="77777777" w:rsidR="00143DEF" w:rsidRPr="00FF22DE" w:rsidRDefault="00143DEF" w:rsidP="00A37ACD">
            <w:pPr>
              <w:spacing w:line="360" w:lineRule="auto"/>
              <w:jc w:val="both"/>
              <w:rPr>
                <w:rFonts w:ascii="Times New Roman" w:hAnsi="Times New Roman"/>
                <w:sz w:val="24"/>
                <w:szCs w:val="24"/>
              </w:rPr>
            </w:pPr>
          </w:p>
          <w:p w14:paraId="665B2A92"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3.05 ± 0.07</w:t>
            </w:r>
            <w:r w:rsidRPr="00FF22DE">
              <w:rPr>
                <w:rFonts w:ascii="Times New Roman" w:hAnsi="Times New Roman"/>
                <w:sz w:val="24"/>
                <w:szCs w:val="24"/>
                <w:vertAlign w:val="superscript"/>
              </w:rPr>
              <w:t xml:space="preserve"> a</w:t>
            </w:r>
          </w:p>
        </w:tc>
      </w:tr>
      <w:tr w:rsidR="00143DEF" w:rsidRPr="00FF22DE" w14:paraId="0BD7408A" w14:textId="77777777" w:rsidTr="00C23D7A">
        <w:trPr>
          <w:trHeight w:val="300"/>
        </w:trPr>
        <w:tc>
          <w:tcPr>
            <w:tcW w:w="1129" w:type="dxa"/>
            <w:noWrap/>
            <w:vAlign w:val="center"/>
            <w:hideMark/>
          </w:tcPr>
          <w:p w14:paraId="20C74C5C" w14:textId="77777777" w:rsidR="00143DEF" w:rsidRPr="00FF22DE" w:rsidRDefault="00143DEF" w:rsidP="00A37ACD">
            <w:pPr>
              <w:spacing w:line="360" w:lineRule="auto"/>
              <w:jc w:val="both"/>
              <w:rPr>
                <w:rFonts w:ascii="Times New Roman" w:hAnsi="Times New Roman"/>
                <w:sz w:val="24"/>
                <w:szCs w:val="24"/>
              </w:rPr>
            </w:pPr>
          </w:p>
          <w:p w14:paraId="18C92AE2"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GJT</w:t>
            </w:r>
          </w:p>
        </w:tc>
        <w:tc>
          <w:tcPr>
            <w:tcW w:w="1418" w:type="dxa"/>
            <w:noWrap/>
            <w:hideMark/>
          </w:tcPr>
          <w:p w14:paraId="787EE22F" w14:textId="77777777" w:rsidR="00143DEF" w:rsidRPr="00FF22DE" w:rsidRDefault="00143DEF" w:rsidP="00A37ACD">
            <w:pPr>
              <w:spacing w:line="360" w:lineRule="auto"/>
              <w:jc w:val="both"/>
              <w:rPr>
                <w:rFonts w:ascii="Times New Roman" w:hAnsi="Times New Roman"/>
                <w:sz w:val="24"/>
                <w:szCs w:val="24"/>
              </w:rPr>
            </w:pPr>
          </w:p>
          <w:p w14:paraId="36B82D38"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0.80± 0.14</w:t>
            </w:r>
            <w:r w:rsidRPr="00FF22DE">
              <w:rPr>
                <w:rFonts w:ascii="Times New Roman" w:hAnsi="Times New Roman"/>
                <w:sz w:val="24"/>
                <w:szCs w:val="24"/>
                <w:vertAlign w:val="superscript"/>
              </w:rPr>
              <w:t xml:space="preserve"> b</w:t>
            </w:r>
          </w:p>
        </w:tc>
        <w:tc>
          <w:tcPr>
            <w:tcW w:w="1417" w:type="dxa"/>
            <w:noWrap/>
            <w:hideMark/>
          </w:tcPr>
          <w:p w14:paraId="52AB98D5" w14:textId="77777777" w:rsidR="00143DEF" w:rsidRPr="00FF22DE" w:rsidRDefault="00143DEF" w:rsidP="00A37ACD">
            <w:pPr>
              <w:spacing w:line="360" w:lineRule="auto"/>
              <w:jc w:val="both"/>
              <w:rPr>
                <w:rFonts w:ascii="Times New Roman" w:hAnsi="Times New Roman"/>
                <w:sz w:val="24"/>
                <w:szCs w:val="24"/>
              </w:rPr>
            </w:pPr>
          </w:p>
          <w:p w14:paraId="1C12F4E7"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3.85±0.07</w:t>
            </w:r>
            <w:r w:rsidRPr="00FF22DE">
              <w:rPr>
                <w:rFonts w:ascii="Times New Roman" w:hAnsi="Times New Roman"/>
                <w:sz w:val="24"/>
                <w:szCs w:val="24"/>
                <w:vertAlign w:val="superscript"/>
              </w:rPr>
              <w:t xml:space="preserve"> a</w:t>
            </w:r>
          </w:p>
        </w:tc>
        <w:tc>
          <w:tcPr>
            <w:tcW w:w="1843" w:type="dxa"/>
            <w:noWrap/>
            <w:hideMark/>
          </w:tcPr>
          <w:p w14:paraId="1E4A0D60" w14:textId="77777777" w:rsidR="00143DEF" w:rsidRPr="00FF22DE" w:rsidRDefault="00143DEF" w:rsidP="00A37ACD">
            <w:pPr>
              <w:spacing w:line="360" w:lineRule="auto"/>
              <w:jc w:val="both"/>
              <w:rPr>
                <w:rFonts w:ascii="Times New Roman" w:hAnsi="Times New Roman"/>
                <w:sz w:val="24"/>
                <w:szCs w:val="24"/>
              </w:rPr>
            </w:pPr>
          </w:p>
          <w:p w14:paraId="19EFCBFB"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9.55 ±0.07</w:t>
            </w:r>
            <w:r w:rsidRPr="00FF22DE">
              <w:rPr>
                <w:rFonts w:ascii="Times New Roman" w:hAnsi="Times New Roman"/>
                <w:sz w:val="24"/>
                <w:szCs w:val="24"/>
                <w:vertAlign w:val="superscript"/>
              </w:rPr>
              <w:t xml:space="preserve"> b</w:t>
            </w:r>
          </w:p>
        </w:tc>
        <w:tc>
          <w:tcPr>
            <w:tcW w:w="1701" w:type="dxa"/>
            <w:noWrap/>
            <w:hideMark/>
          </w:tcPr>
          <w:p w14:paraId="1F712730" w14:textId="77777777" w:rsidR="00143DEF" w:rsidRPr="00FF22DE" w:rsidRDefault="00143DEF" w:rsidP="00A37ACD">
            <w:pPr>
              <w:spacing w:line="360" w:lineRule="auto"/>
              <w:jc w:val="both"/>
              <w:rPr>
                <w:rFonts w:ascii="Times New Roman" w:hAnsi="Times New Roman"/>
                <w:sz w:val="24"/>
                <w:szCs w:val="24"/>
              </w:rPr>
            </w:pPr>
          </w:p>
          <w:p w14:paraId="52F92F75"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8.35 ± 0.21</w:t>
            </w:r>
            <w:r w:rsidRPr="00FF22DE">
              <w:rPr>
                <w:rFonts w:ascii="Times New Roman" w:hAnsi="Times New Roman"/>
                <w:sz w:val="24"/>
                <w:szCs w:val="24"/>
                <w:vertAlign w:val="superscript"/>
              </w:rPr>
              <w:t xml:space="preserve"> b</w:t>
            </w:r>
          </w:p>
        </w:tc>
        <w:tc>
          <w:tcPr>
            <w:tcW w:w="1508" w:type="dxa"/>
          </w:tcPr>
          <w:p w14:paraId="3C9E7F3C" w14:textId="77777777" w:rsidR="00143DEF" w:rsidRPr="00FF22DE" w:rsidRDefault="00143DEF" w:rsidP="00A37ACD">
            <w:pPr>
              <w:spacing w:line="360" w:lineRule="auto"/>
              <w:jc w:val="both"/>
              <w:rPr>
                <w:rFonts w:ascii="Times New Roman" w:hAnsi="Times New Roman"/>
                <w:sz w:val="24"/>
                <w:szCs w:val="24"/>
              </w:rPr>
            </w:pPr>
          </w:p>
          <w:p w14:paraId="2783F192"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0.50 ± 00</w:t>
            </w:r>
            <w:r w:rsidRPr="00FF22DE">
              <w:rPr>
                <w:rFonts w:ascii="Times New Roman" w:hAnsi="Times New Roman"/>
                <w:sz w:val="24"/>
                <w:szCs w:val="24"/>
                <w:vertAlign w:val="superscript"/>
              </w:rPr>
              <w:t xml:space="preserve"> b</w:t>
            </w:r>
          </w:p>
        </w:tc>
      </w:tr>
    </w:tbl>
    <w:p w14:paraId="5BD3A115" w14:textId="77777777" w:rsidR="00143DEF" w:rsidRPr="00FF22DE" w:rsidRDefault="00143DEF" w:rsidP="00A37ACD">
      <w:pPr>
        <w:spacing w:after="170" w:line="252" w:lineRule="auto"/>
        <w:jc w:val="both"/>
        <w:rPr>
          <w:rFonts w:ascii="Times New Roman" w:hAnsi="Times New Roman"/>
          <w:sz w:val="24"/>
          <w:szCs w:val="24"/>
        </w:rPr>
      </w:pPr>
      <w:r w:rsidRPr="00FF22DE">
        <w:rPr>
          <w:rFonts w:ascii="Times New Roman" w:hAnsi="Times New Roman"/>
          <w:sz w:val="24"/>
          <w:szCs w:val="24"/>
        </w:rPr>
        <w:t xml:space="preserve">Values are mean ± SD from duplicate readings. Different superscripts within a column indicate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w:t>
      </w:r>
      <w:r w:rsidR="00FE5836" w:rsidRPr="00FF22DE">
        <w:rPr>
          <w:rFonts w:ascii="Times New Roman" w:hAnsi="Times New Roman"/>
          <w:sz w:val="24"/>
          <w:szCs w:val="24"/>
        </w:rPr>
        <w:t>0</w:t>
      </w:r>
      <w:r w:rsidRPr="00FF22DE">
        <w:rPr>
          <w:rFonts w:ascii="Times New Roman" w:hAnsi="Times New Roman"/>
          <w:sz w:val="24"/>
          <w:szCs w:val="24"/>
        </w:rPr>
        <w:t>.05). BJT = black Jatropha tea; GJT = green Jatropha tea.</w:t>
      </w:r>
    </w:p>
    <w:p w14:paraId="60D7903F" w14:textId="77777777" w:rsidR="00143DEF" w:rsidRPr="00FF22DE" w:rsidRDefault="00143DEF" w:rsidP="00FF22DE">
      <w:pPr>
        <w:ind w:firstLine="720"/>
        <w:jc w:val="both"/>
        <w:rPr>
          <w:rFonts w:ascii="Times New Roman" w:hAnsi="Times New Roman"/>
          <w:b/>
          <w:sz w:val="24"/>
          <w:szCs w:val="24"/>
        </w:rPr>
      </w:pPr>
    </w:p>
    <w:p w14:paraId="48C5B720" w14:textId="77777777" w:rsidR="00235946" w:rsidRPr="00FF22DE" w:rsidRDefault="00A55CB9" w:rsidP="00A37ACD">
      <w:pPr>
        <w:jc w:val="both"/>
        <w:rPr>
          <w:rFonts w:ascii="Times New Roman" w:hAnsi="Times New Roman"/>
          <w:sz w:val="24"/>
          <w:szCs w:val="24"/>
        </w:rPr>
      </w:pPr>
      <w:r>
        <w:rPr>
          <w:rFonts w:ascii="Times New Roman" w:hAnsi="Times New Roman"/>
          <w:sz w:val="24"/>
          <w:szCs w:val="24"/>
        </w:rPr>
        <w:t xml:space="preserve">Saponins, alkaloids, flavonoids, tannins and oxalates were detected in both samples. Significant differences (P </w:t>
      </w:r>
      <w:r>
        <w:rPr>
          <w:rFonts w:ascii="Times New Roman" w:eastAsia="Segoe UI Symbol" w:hAnsi="Times New Roman"/>
          <w:sz w:val="24"/>
          <w:szCs w:val="24"/>
        </w:rPr>
        <w:t>≤</w:t>
      </w:r>
      <w:r>
        <w:rPr>
          <w:rFonts w:ascii="Times New Roman" w:hAnsi="Times New Roman"/>
          <w:sz w:val="24"/>
          <w:szCs w:val="24"/>
        </w:rPr>
        <w:t xml:space="preserve"> 0.05) occurred for all five measured groups. BJT had higher </w:t>
      </w:r>
      <w:r>
        <w:rPr>
          <w:rFonts w:ascii="Times New Roman" w:hAnsi="Times New Roman"/>
          <w:sz w:val="24"/>
          <w:szCs w:val="24"/>
          <w:highlight w:val="yellow"/>
        </w:rPr>
        <w:t xml:space="preserve">contents of </w:t>
      </w:r>
      <w:r>
        <w:rPr>
          <w:rFonts w:ascii="Times New Roman" w:hAnsi="Times New Roman"/>
          <w:sz w:val="24"/>
          <w:szCs w:val="24"/>
        </w:rPr>
        <w:t xml:space="preserve">saponins, flavonoids, tannins and oxalates, whereas GJT had </w:t>
      </w:r>
      <w:r>
        <w:rPr>
          <w:rFonts w:ascii="Times New Roman" w:hAnsi="Times New Roman"/>
          <w:sz w:val="24"/>
          <w:szCs w:val="24"/>
          <w:highlight w:val="yellow"/>
        </w:rPr>
        <w:t xml:space="preserve">a </w:t>
      </w:r>
      <w:r>
        <w:rPr>
          <w:rFonts w:ascii="Times New Roman" w:hAnsi="Times New Roman"/>
          <w:sz w:val="24"/>
          <w:szCs w:val="24"/>
        </w:rPr>
        <w:t>higher alkaloid</w:t>
      </w:r>
      <w:r>
        <w:rPr>
          <w:rFonts w:ascii="Times New Roman" w:hAnsi="Times New Roman"/>
          <w:sz w:val="24"/>
          <w:szCs w:val="24"/>
          <w:highlight w:val="yellow"/>
        </w:rPr>
        <w:t xml:space="preserve"> content</w:t>
      </w:r>
      <w:r>
        <w:rPr>
          <w:rFonts w:ascii="Times New Roman" w:hAnsi="Times New Roman"/>
          <w:sz w:val="24"/>
          <w:szCs w:val="24"/>
        </w:rPr>
        <w:t>.</w:t>
      </w:r>
    </w:p>
    <w:p w14:paraId="640F123A" w14:textId="535F0496" w:rsidR="00A77A18" w:rsidRPr="00FF22DE" w:rsidRDefault="00A55CB9" w:rsidP="00A37ACD">
      <w:pPr>
        <w:jc w:val="both"/>
        <w:rPr>
          <w:rFonts w:ascii="Times New Roman" w:hAnsi="Times New Roman"/>
          <w:sz w:val="24"/>
          <w:szCs w:val="24"/>
        </w:rPr>
      </w:pPr>
      <w:r>
        <w:rPr>
          <w:rFonts w:ascii="Times New Roman" w:hAnsi="Times New Roman"/>
          <w:sz w:val="24"/>
          <w:szCs w:val="24"/>
        </w:rPr>
        <w:t xml:space="preserve">The saponin content ranged from 0.80 ± 0.14% in GJT to 1.85 ± 0.07% in BJT, with BJT showing significantly higher values (p ≤ 0.05). These values are comparable to those reported for </w:t>
      </w:r>
      <w:r>
        <w:rPr>
          <w:rFonts w:ascii="Times New Roman" w:hAnsi="Times New Roman"/>
          <w:i/>
          <w:sz w:val="24"/>
          <w:szCs w:val="24"/>
        </w:rPr>
        <w:t>Jatropha tanjorensis</w:t>
      </w:r>
      <w:r>
        <w:rPr>
          <w:rFonts w:ascii="Times New Roman" w:hAnsi="Times New Roman"/>
          <w:sz w:val="24"/>
          <w:szCs w:val="24"/>
        </w:rPr>
        <w:t xml:space="preserve"> leaves by Nwachukwu (201</w:t>
      </w:r>
      <w:r w:rsidR="003F0228">
        <w:rPr>
          <w:rFonts w:ascii="Times New Roman" w:hAnsi="Times New Roman"/>
          <w:sz w:val="24"/>
          <w:szCs w:val="24"/>
        </w:rPr>
        <w:t>9</w:t>
      </w:r>
      <w:r>
        <w:rPr>
          <w:rFonts w:ascii="Times New Roman" w:hAnsi="Times New Roman"/>
          <w:sz w:val="24"/>
          <w:szCs w:val="24"/>
        </w:rPr>
        <w:t>), who reported a saponin content of 1.62%, and Ogunka-Nnoka and Nwabueze (2019), who reported 1.74% in the leaf stalk of the plant. Saponins are naturally occurring glycosides widely distributed in leafy vegetables and medicinal plants</w:t>
      </w:r>
      <w:r>
        <w:rPr>
          <w:rFonts w:ascii="Times New Roman" w:hAnsi="Times New Roman"/>
          <w:sz w:val="24"/>
          <w:szCs w:val="24"/>
          <w:highlight w:val="yellow"/>
        </w:rPr>
        <w:t>,</w:t>
      </w:r>
      <w:r>
        <w:rPr>
          <w:rFonts w:ascii="Times New Roman" w:hAnsi="Times New Roman"/>
          <w:sz w:val="24"/>
          <w:szCs w:val="24"/>
        </w:rPr>
        <w:t xml:space="preserve"> and their stability and measured concentration can be affected by processing (Timilsena et al., 2023). The higher final value in BJT therefore indicates a different saponin profile after processing. Because intermediate stages were not analysed, the result cannot establish whether oxidation caused </w:t>
      </w:r>
      <w:r>
        <w:rPr>
          <w:rFonts w:ascii="Times New Roman" w:hAnsi="Times New Roman"/>
          <w:sz w:val="24"/>
          <w:szCs w:val="24"/>
          <w:highlight w:val="yellow"/>
        </w:rPr>
        <w:t xml:space="preserve">the </w:t>
      </w:r>
      <w:r>
        <w:rPr>
          <w:rFonts w:ascii="Times New Roman" w:hAnsi="Times New Roman"/>
          <w:sz w:val="24"/>
          <w:szCs w:val="24"/>
        </w:rPr>
        <w:t>formation, degradation, concentration or altered extractability of saponins.</w:t>
      </w:r>
    </w:p>
    <w:p w14:paraId="313B1F7A" w14:textId="77777777" w:rsidR="00CF0028" w:rsidRPr="00FF22DE" w:rsidRDefault="00A77A18" w:rsidP="00A37ACD">
      <w:pPr>
        <w:jc w:val="both"/>
        <w:rPr>
          <w:rFonts w:ascii="Times New Roman" w:hAnsi="Times New Roman"/>
          <w:sz w:val="24"/>
          <w:szCs w:val="24"/>
        </w:rPr>
      </w:pPr>
      <w:r>
        <w:rPr>
          <w:rFonts w:ascii="Times New Roman" w:hAnsi="Times New Roman"/>
          <w:sz w:val="24"/>
          <w:szCs w:val="24"/>
        </w:rPr>
        <w:t>Alkaloids differed in the opposite direction: GJT contained 3.85 ± 0.07%, compared with 2.40 ± 0.00% in BJT. Alkaloids are chemically diverse nitrogen-containing secondary metabolites, and their food significance depends on the individual compound present (Akinboye et al., 2023). They are also known for their pharmacological activities</w:t>
      </w:r>
      <w:r>
        <w:rPr>
          <w:rFonts w:ascii="Times New Roman" w:hAnsi="Times New Roman"/>
          <w:sz w:val="24"/>
          <w:szCs w:val="24"/>
          <w:highlight w:val="yellow"/>
        </w:rPr>
        <w:t>,</w:t>
      </w:r>
      <w:r>
        <w:rPr>
          <w:rFonts w:ascii="Times New Roman" w:hAnsi="Times New Roman"/>
          <w:sz w:val="24"/>
          <w:szCs w:val="24"/>
        </w:rPr>
        <w:t xml:space="preserve"> including antimicrobial, analgesic, and anti-inflammatory effects. The higher GJT value shows that the processing treatments did not affect all phytochemical groups in the same direction. Since individual alkaloids were not identified, no conclusion can be made about the identity of the measured fraction.</w:t>
      </w:r>
    </w:p>
    <w:p w14:paraId="44334E15" w14:textId="77777777" w:rsidR="00CF0028" w:rsidRPr="00FF22DE" w:rsidRDefault="00CF0028" w:rsidP="00A37ACD">
      <w:pPr>
        <w:jc w:val="both"/>
        <w:rPr>
          <w:rFonts w:ascii="Times New Roman" w:hAnsi="Times New Roman"/>
          <w:sz w:val="24"/>
          <w:szCs w:val="24"/>
        </w:rPr>
      </w:pPr>
      <w:r>
        <w:rPr>
          <w:rFonts w:ascii="Times New Roman" w:hAnsi="Times New Roman"/>
          <w:sz w:val="24"/>
          <w:szCs w:val="24"/>
        </w:rPr>
        <w:t>BJT had significantly higher flavonoids (12.15 ± 0.21%) than GJT (9.55 ± 0.07%). Flavonoids comprise a broad family of polyphenolic compounds that occur in different chemical forms, including glycosides and aglycones</w:t>
      </w:r>
      <w:r>
        <w:rPr>
          <w:rFonts w:ascii="Times New Roman" w:hAnsi="Times New Roman"/>
          <w:sz w:val="24"/>
          <w:szCs w:val="24"/>
          <w:highlight w:val="yellow"/>
        </w:rPr>
        <w:t>,</w:t>
      </w:r>
      <w:r>
        <w:rPr>
          <w:rFonts w:ascii="Times New Roman" w:hAnsi="Times New Roman"/>
          <w:sz w:val="24"/>
          <w:szCs w:val="24"/>
        </w:rPr>
        <w:t xml:space="preserve"> and are widely recogni</w:t>
      </w:r>
      <w:r>
        <w:rPr>
          <w:rFonts w:ascii="Times New Roman" w:hAnsi="Times New Roman"/>
          <w:sz w:val="24"/>
          <w:szCs w:val="24"/>
          <w:highlight w:val="yellow"/>
        </w:rPr>
        <w:t>s</w:t>
      </w:r>
      <w:r>
        <w:rPr>
          <w:rFonts w:ascii="Times New Roman" w:hAnsi="Times New Roman"/>
          <w:sz w:val="24"/>
          <w:szCs w:val="24"/>
        </w:rPr>
        <w:t>ed for their strong antioxidant capacity and their ability to neutrali</w:t>
      </w:r>
      <w:r>
        <w:rPr>
          <w:rFonts w:ascii="Times New Roman" w:hAnsi="Times New Roman"/>
          <w:sz w:val="24"/>
          <w:szCs w:val="24"/>
          <w:highlight w:val="yellow"/>
        </w:rPr>
        <w:t>s</w:t>
      </w:r>
      <w:r>
        <w:rPr>
          <w:rFonts w:ascii="Times New Roman" w:hAnsi="Times New Roman"/>
          <w:sz w:val="24"/>
          <w:szCs w:val="24"/>
        </w:rPr>
        <w:t xml:space="preserve">e free radicals in biological systems (Li et al., 2024). These compounds are commonly associated with the health-promoting effects of tea beverages, including anti-inflammatory, cardioprotective, and anticancer properties (Panche </w:t>
      </w:r>
      <w:r>
        <w:rPr>
          <w:rFonts w:ascii="Times New Roman" w:hAnsi="Times New Roman"/>
          <w:sz w:val="24"/>
          <w:szCs w:val="24"/>
          <w:highlight w:val="yellow"/>
        </w:rPr>
        <w:t xml:space="preserve">et </w:t>
      </w:r>
      <w:r>
        <w:rPr>
          <w:rFonts w:ascii="Times New Roman" w:hAnsi="Times New Roman"/>
          <w:sz w:val="24"/>
          <w:szCs w:val="24"/>
        </w:rPr>
        <w:t>a</w:t>
      </w:r>
      <w:r>
        <w:rPr>
          <w:rFonts w:ascii="Times New Roman" w:hAnsi="Times New Roman"/>
          <w:sz w:val="24"/>
          <w:szCs w:val="24"/>
          <w:highlight w:val="yellow"/>
        </w:rPr>
        <w:t>l.</w:t>
      </w:r>
      <w:r>
        <w:rPr>
          <w:rFonts w:ascii="Times New Roman" w:hAnsi="Times New Roman"/>
          <w:sz w:val="24"/>
          <w:szCs w:val="24"/>
        </w:rPr>
        <w:t xml:space="preserve">, 2016). The relatively high flavonoid content observed in both tea samples suggests that </w:t>
      </w:r>
      <w:r>
        <w:rPr>
          <w:rFonts w:ascii="Times New Roman" w:hAnsi="Times New Roman"/>
          <w:i/>
          <w:sz w:val="24"/>
          <w:szCs w:val="24"/>
        </w:rPr>
        <w:t>Jatropha tanjorensis</w:t>
      </w:r>
      <w:r>
        <w:rPr>
          <w:rFonts w:ascii="Times New Roman" w:hAnsi="Times New Roman"/>
          <w:sz w:val="24"/>
          <w:szCs w:val="24"/>
        </w:rPr>
        <w:t xml:space="preserve"> leaf tea may serve as a good source of dietary antioxidants. Tea processing can alter phytochemical profiles in </w:t>
      </w:r>
      <w:r>
        <w:rPr>
          <w:rFonts w:ascii="Times New Roman" w:hAnsi="Times New Roman"/>
          <w:sz w:val="24"/>
          <w:szCs w:val="24"/>
        </w:rPr>
        <w:lastRenderedPageBreak/>
        <w:t>compound-specific ways (Aaqil et al., 2023</w:t>
      </w:r>
      <w:r>
        <w:rPr>
          <w:rFonts w:ascii="Times New Roman" w:hAnsi="Times New Roman"/>
          <w:sz w:val="24"/>
          <w:szCs w:val="24"/>
          <w:highlight w:val="yellow"/>
        </w:rPr>
        <w:t>; Wong et al., 2022</w:t>
      </w:r>
      <w:r>
        <w:rPr>
          <w:rFonts w:ascii="Times New Roman" w:hAnsi="Times New Roman"/>
          <w:sz w:val="24"/>
          <w:szCs w:val="24"/>
        </w:rPr>
        <w:t>); therefore, the higher BJT value indicates a difference in final composition but does not prove that oxidation generated a particular flavonoid.</w:t>
      </w:r>
    </w:p>
    <w:p w14:paraId="7F474F65" w14:textId="77777777" w:rsidR="00EC56D5" w:rsidRPr="00FF22DE" w:rsidRDefault="00EC56D5" w:rsidP="00A37ACD">
      <w:pPr>
        <w:jc w:val="both"/>
        <w:rPr>
          <w:rFonts w:ascii="Times New Roman" w:hAnsi="Times New Roman"/>
          <w:sz w:val="24"/>
          <w:szCs w:val="24"/>
        </w:rPr>
      </w:pPr>
      <w:r w:rsidRPr="00FF22DE">
        <w:rPr>
          <w:rFonts w:ascii="Times New Roman" w:hAnsi="Times New Roman"/>
          <w:sz w:val="24"/>
          <w:szCs w:val="24"/>
        </w:rPr>
        <w:t xml:space="preserve">Tannin content was significantly higher in BJT (11.53 ± 0.21%) than in GJT (8.35 ± 0.21%). </w:t>
      </w:r>
      <w:r w:rsidR="00FA032C" w:rsidRPr="00FF22DE">
        <w:rPr>
          <w:rFonts w:ascii="Times New Roman" w:hAnsi="Times New Roman"/>
          <w:sz w:val="24"/>
          <w:szCs w:val="24"/>
        </w:rPr>
        <w:t xml:space="preserve">The higher tannin content recorded in the black tea sample may be associated with enzymatic oxidation of polyphenolic compounds during processing, leading to the formation of more complex tannin structures (Deka &amp; Vita, 2011). </w:t>
      </w:r>
      <w:r w:rsidRPr="00FF22DE">
        <w:rPr>
          <w:rFonts w:ascii="Times New Roman" w:hAnsi="Times New Roman"/>
          <w:sz w:val="24"/>
          <w:szCs w:val="24"/>
        </w:rPr>
        <w:t>Tannins are plant polyphenols that can interact with proteins and other food constituents and are relevant to beverage astringency (Chung et al., 1998). The higher tannin value in BJT is therefore nutritionally and sensorially relevant, but the present study cannot attribute the sensory response directly to tannins because taste and astringency were not chemically partitioned. The finding simply establishes that the two processing treatments produced different final tannin concentrations.</w:t>
      </w:r>
    </w:p>
    <w:p w14:paraId="6DBDD8BD" w14:textId="4E3FC7AE" w:rsidR="00CF0028" w:rsidRPr="00FF22DE" w:rsidRDefault="00EC56D5" w:rsidP="00A37ACD">
      <w:pPr>
        <w:spacing w:line="360" w:lineRule="auto"/>
        <w:jc w:val="both"/>
        <w:rPr>
          <w:rFonts w:ascii="Times New Roman" w:hAnsi="Times New Roman"/>
          <w:sz w:val="24"/>
          <w:szCs w:val="24"/>
        </w:rPr>
      </w:pPr>
      <w:r>
        <w:rPr>
          <w:rFonts w:ascii="Times New Roman" w:hAnsi="Times New Roman"/>
          <w:sz w:val="24"/>
          <w:szCs w:val="24"/>
        </w:rPr>
        <w:t>Oxalate content showed the largest relative difference among the phytochemicals, increasing from 0.50 ± 0.00% in GJT to 3.05 ± 0.07% in BJT. These values are comparable to those reported by Nwachukwu (201</w:t>
      </w:r>
      <w:r w:rsidR="003F0228">
        <w:rPr>
          <w:rFonts w:ascii="Times New Roman" w:hAnsi="Times New Roman"/>
          <w:sz w:val="24"/>
          <w:szCs w:val="24"/>
        </w:rPr>
        <w:t>9</w:t>
      </w:r>
      <w:r>
        <w:rPr>
          <w:rFonts w:ascii="Times New Roman" w:hAnsi="Times New Roman"/>
          <w:sz w:val="24"/>
          <w:szCs w:val="24"/>
        </w:rPr>
        <w:t xml:space="preserve">), who reported an oxalate content of 2.80% in </w:t>
      </w:r>
      <w:r>
        <w:rPr>
          <w:rFonts w:ascii="Times New Roman" w:hAnsi="Times New Roman"/>
          <w:i/>
          <w:sz w:val="24"/>
          <w:szCs w:val="24"/>
        </w:rPr>
        <w:t>Jatropha tanjorensis</w:t>
      </w:r>
      <w:r>
        <w:rPr>
          <w:rFonts w:ascii="Times New Roman" w:hAnsi="Times New Roman"/>
          <w:sz w:val="24"/>
          <w:szCs w:val="24"/>
        </w:rPr>
        <w:t xml:space="preserve"> leaves. Oxalate is an antinutrient </w:t>
      </w:r>
      <w:r>
        <w:rPr>
          <w:rFonts w:ascii="Times New Roman" w:hAnsi="Times New Roman"/>
          <w:sz w:val="24"/>
          <w:szCs w:val="24"/>
          <w:highlight w:val="yellow"/>
        </w:rPr>
        <w:t xml:space="preserve">that </w:t>
      </w:r>
      <w:r>
        <w:rPr>
          <w:rFonts w:ascii="Times New Roman" w:hAnsi="Times New Roman"/>
          <w:sz w:val="24"/>
          <w:szCs w:val="24"/>
        </w:rPr>
        <w:t>occur</w:t>
      </w:r>
      <w:r>
        <w:rPr>
          <w:rFonts w:ascii="Times New Roman" w:hAnsi="Times New Roman"/>
          <w:sz w:val="24"/>
          <w:szCs w:val="24"/>
          <w:highlight w:val="yellow"/>
        </w:rPr>
        <w:t>s</w:t>
      </w:r>
      <w:r>
        <w:rPr>
          <w:rFonts w:ascii="Times New Roman" w:hAnsi="Times New Roman"/>
          <w:sz w:val="24"/>
          <w:szCs w:val="24"/>
        </w:rPr>
        <w:t xml:space="preserve"> particularly in leafy plant foods and can interact with minerals under some conditions (Salgado et al., 2023). The higher BJT value is therefore an important compositional distinction.</w:t>
      </w:r>
    </w:p>
    <w:p w14:paraId="2730BF07" w14:textId="77777777" w:rsidR="00A0671E" w:rsidRPr="00FF22DE" w:rsidRDefault="00FA032C" w:rsidP="00A37ACD">
      <w:pPr>
        <w:spacing w:after="0" w:line="360" w:lineRule="auto"/>
        <w:jc w:val="both"/>
        <w:rPr>
          <w:rFonts w:ascii="Times New Roman" w:hAnsi="Times New Roman"/>
          <w:sz w:val="24"/>
          <w:szCs w:val="24"/>
        </w:rPr>
      </w:pPr>
      <w:r>
        <w:rPr>
          <w:rFonts w:ascii="Times New Roman" w:hAnsi="Times New Roman"/>
          <w:sz w:val="24"/>
          <w:szCs w:val="24"/>
        </w:rPr>
        <w:t xml:space="preserve">Overall, the phytochemical profile of both green and black </w:t>
      </w:r>
      <w:r>
        <w:rPr>
          <w:rFonts w:ascii="Times New Roman" w:hAnsi="Times New Roman"/>
          <w:i/>
          <w:sz w:val="24"/>
          <w:szCs w:val="24"/>
        </w:rPr>
        <w:t>Jatropha tanjorensis</w:t>
      </w:r>
      <w:r>
        <w:rPr>
          <w:rFonts w:ascii="Times New Roman" w:hAnsi="Times New Roman"/>
          <w:sz w:val="24"/>
          <w:szCs w:val="24"/>
        </w:rPr>
        <w:t xml:space="preserve"> teas demonstrates the presence of beneficial bioactive compounds with potential health-promoting properties. Reviews of tea processing similarly show that processing can produce different responses among phytochemical classes (Aaqil et al., 2023</w:t>
      </w:r>
      <w:r>
        <w:rPr>
          <w:rFonts w:ascii="Times New Roman" w:hAnsi="Times New Roman"/>
          <w:sz w:val="24"/>
          <w:szCs w:val="24"/>
          <w:highlight w:val="yellow"/>
        </w:rPr>
        <w:t>; Wong et al., 2022</w:t>
      </w:r>
      <w:r>
        <w:rPr>
          <w:rFonts w:ascii="Times New Roman" w:hAnsi="Times New Roman"/>
          <w:sz w:val="24"/>
          <w:szCs w:val="24"/>
        </w:rPr>
        <w:t xml:space="preserve">). The present results therefore establish distinct final phytochemical profiles between the two </w:t>
      </w:r>
      <w:r>
        <w:rPr>
          <w:rFonts w:ascii="Times New Roman" w:eastAsia="Arial" w:hAnsi="Times New Roman"/>
          <w:i/>
          <w:sz w:val="24"/>
          <w:szCs w:val="24"/>
        </w:rPr>
        <w:t>J. tanjorensis</w:t>
      </w:r>
      <w:r>
        <w:rPr>
          <w:rFonts w:ascii="Times New Roman" w:hAnsi="Times New Roman"/>
          <w:sz w:val="24"/>
          <w:szCs w:val="24"/>
        </w:rPr>
        <w:t xml:space="preserve"> teas, without identifying the precise biochemical changes at each processing stage. These findings further support the potential of </w:t>
      </w:r>
      <w:r>
        <w:rPr>
          <w:rFonts w:ascii="Times New Roman" w:hAnsi="Times New Roman"/>
          <w:i/>
          <w:sz w:val="24"/>
          <w:szCs w:val="24"/>
        </w:rPr>
        <w:t>Jatropha tanjorensis</w:t>
      </w:r>
      <w:r>
        <w:rPr>
          <w:rFonts w:ascii="Times New Roman" w:hAnsi="Times New Roman"/>
          <w:sz w:val="24"/>
          <w:szCs w:val="24"/>
        </w:rPr>
        <w:t xml:space="preserve"> leaves as a valuable raw material for the production of functional herbal teas.</w:t>
      </w:r>
    </w:p>
    <w:p w14:paraId="141D2678" w14:textId="77777777" w:rsidR="0011154B" w:rsidRPr="00FF22DE" w:rsidRDefault="0011154B" w:rsidP="00A37ACD">
      <w:pPr>
        <w:spacing w:after="0" w:line="360" w:lineRule="auto"/>
        <w:jc w:val="both"/>
        <w:rPr>
          <w:rFonts w:ascii="Times New Roman" w:hAnsi="Times New Roman"/>
          <w:sz w:val="24"/>
          <w:szCs w:val="24"/>
        </w:rPr>
      </w:pPr>
    </w:p>
    <w:p w14:paraId="3D59828A" w14:textId="77777777" w:rsidR="0011154B" w:rsidRPr="00541747" w:rsidRDefault="0011154B" w:rsidP="00541747">
      <w:pPr>
        <w:pStyle w:val="Heading3"/>
        <w:jc w:val="both"/>
        <w:rPr>
          <w:rFonts w:ascii="Times New Roman" w:hAnsi="Times New Roman" w:cs="Times New Roman"/>
          <w:b/>
          <w:color w:val="000000" w:themeColor="text1"/>
        </w:rPr>
      </w:pPr>
      <w:r>
        <w:rPr>
          <w:rFonts w:ascii="Times New Roman" w:hAnsi="Times New Roman" w:cs="Times New Roman"/>
          <w:b/>
          <w:color w:val="000000" w:themeColor="text1"/>
        </w:rPr>
        <w:t xml:space="preserve">3.2 Selected micronutrient composition (%) of green and black </w:t>
      </w:r>
      <w:r>
        <w:rPr>
          <w:rFonts w:ascii="Times New Roman" w:eastAsia="Arial" w:hAnsi="Times New Roman" w:cs="Times New Roman"/>
          <w:b/>
          <w:i/>
          <w:color w:val="000000" w:themeColor="text1"/>
        </w:rPr>
        <w:t>Jatropha tanjorensis</w:t>
      </w:r>
      <w:r>
        <w:rPr>
          <w:rFonts w:ascii="Times New Roman" w:hAnsi="Times New Roman" w:cs="Times New Roman"/>
          <w:b/>
          <w:color w:val="000000" w:themeColor="text1"/>
        </w:rPr>
        <w:t xml:space="preserve"> herbal teas.</w:t>
      </w:r>
    </w:p>
    <w:p w14:paraId="2DF1C3C6" w14:textId="77777777" w:rsidR="00541747" w:rsidRDefault="0011154B" w:rsidP="00A37ACD">
      <w:pPr>
        <w:jc w:val="both"/>
        <w:rPr>
          <w:rFonts w:ascii="Times New Roman" w:hAnsi="Times New Roman"/>
          <w:sz w:val="24"/>
          <w:szCs w:val="24"/>
        </w:rPr>
      </w:pPr>
      <w:r w:rsidRPr="00541747">
        <w:rPr>
          <w:rFonts w:ascii="Times New Roman" w:hAnsi="Times New Roman"/>
          <w:sz w:val="24"/>
          <w:szCs w:val="24"/>
        </w:rPr>
        <w:t xml:space="preserve">The vitamin C, iron and zinc contents are presented in Table 2. GJT recorded significantly higher values of all three micronutrients than BJT (P </w:t>
      </w:r>
      <w:r w:rsidRPr="00541747">
        <w:rPr>
          <w:rFonts w:ascii="Times New Roman" w:eastAsia="Segoe UI Symbol" w:hAnsi="Times New Roman"/>
          <w:sz w:val="24"/>
          <w:szCs w:val="24"/>
        </w:rPr>
        <w:t>≤</w:t>
      </w:r>
      <w:r w:rsidRPr="00541747">
        <w:rPr>
          <w:rFonts w:ascii="Times New Roman" w:hAnsi="Times New Roman"/>
          <w:sz w:val="24"/>
          <w:szCs w:val="24"/>
        </w:rPr>
        <w:t xml:space="preserve"> </w:t>
      </w:r>
      <w:r w:rsidR="00B6008C" w:rsidRPr="00541747">
        <w:rPr>
          <w:rFonts w:ascii="Times New Roman" w:hAnsi="Times New Roman"/>
          <w:sz w:val="24"/>
          <w:szCs w:val="24"/>
        </w:rPr>
        <w:t>0</w:t>
      </w:r>
      <w:r w:rsidRPr="00541747">
        <w:rPr>
          <w:rFonts w:ascii="Times New Roman" w:hAnsi="Times New Roman"/>
          <w:sz w:val="24"/>
          <w:szCs w:val="24"/>
        </w:rPr>
        <w:t>.05).</w:t>
      </w:r>
    </w:p>
    <w:p w14:paraId="2EF03C07" w14:textId="77777777" w:rsidR="00541747" w:rsidRPr="00541747" w:rsidRDefault="00541747" w:rsidP="00A37ACD">
      <w:pPr>
        <w:jc w:val="both"/>
        <w:rPr>
          <w:rFonts w:ascii="Times New Roman" w:hAnsi="Times New Roman"/>
          <w:sz w:val="24"/>
          <w:szCs w:val="24"/>
        </w:rPr>
      </w:pPr>
    </w:p>
    <w:p w14:paraId="513B9BC1" w14:textId="77777777" w:rsidR="0011154B" w:rsidRPr="00541747" w:rsidRDefault="0011154B" w:rsidP="00541747">
      <w:pPr>
        <w:pStyle w:val="Heading3"/>
        <w:jc w:val="both"/>
        <w:rPr>
          <w:rFonts w:ascii="Times New Roman" w:hAnsi="Times New Roman" w:cs="Times New Roman"/>
          <w:b/>
          <w:color w:val="000000" w:themeColor="text1"/>
        </w:rPr>
      </w:pPr>
      <w:r w:rsidRPr="00FF22DE">
        <w:rPr>
          <w:rFonts w:ascii="Times New Roman" w:hAnsi="Times New Roman" w:cs="Times New Roman"/>
          <w:b/>
          <w:color w:val="000000" w:themeColor="text1"/>
        </w:rPr>
        <w:lastRenderedPageBreak/>
        <w:t xml:space="preserve">Table 2. Selected micronutrient composition of green and black </w:t>
      </w:r>
      <w:r w:rsidRPr="00FF22DE">
        <w:rPr>
          <w:rFonts w:ascii="Times New Roman" w:eastAsia="Arial" w:hAnsi="Times New Roman" w:cs="Times New Roman"/>
          <w:b/>
          <w:i/>
          <w:color w:val="000000" w:themeColor="text1"/>
        </w:rPr>
        <w:t xml:space="preserve">Jatropha </w:t>
      </w:r>
      <w:proofErr w:type="spellStart"/>
      <w:r w:rsidRPr="00FF22DE">
        <w:rPr>
          <w:rFonts w:ascii="Times New Roman" w:eastAsia="Arial" w:hAnsi="Times New Roman" w:cs="Times New Roman"/>
          <w:b/>
          <w:i/>
          <w:color w:val="000000" w:themeColor="text1"/>
        </w:rPr>
        <w:t>tanjorensis</w:t>
      </w:r>
      <w:proofErr w:type="spellEnd"/>
      <w:r w:rsidRPr="00FF22DE">
        <w:rPr>
          <w:rFonts w:ascii="Times New Roman" w:hAnsi="Times New Roman" w:cs="Times New Roman"/>
          <w:b/>
          <w:color w:val="000000" w:themeColor="text1"/>
        </w:rPr>
        <w:t xml:space="preserve"> herbal teas.</w:t>
      </w:r>
    </w:p>
    <w:tbl>
      <w:tblPr>
        <w:tblW w:w="6375" w:type="dxa"/>
        <w:tblBorders>
          <w:top w:val="single" w:sz="4" w:space="0" w:color="auto"/>
          <w:bottom w:val="single" w:sz="4" w:space="0" w:color="auto"/>
        </w:tblBorders>
        <w:tblLook w:val="04A0" w:firstRow="1" w:lastRow="0" w:firstColumn="1" w:lastColumn="0" w:noHBand="0" w:noVBand="1"/>
      </w:tblPr>
      <w:tblGrid>
        <w:gridCol w:w="1129"/>
        <w:gridCol w:w="1418"/>
        <w:gridCol w:w="1843"/>
        <w:gridCol w:w="1985"/>
      </w:tblGrid>
      <w:tr w:rsidR="0011154B" w:rsidRPr="00FF22DE" w14:paraId="0EDF8DE1" w14:textId="77777777" w:rsidTr="0011154B">
        <w:trPr>
          <w:trHeight w:val="300"/>
        </w:trPr>
        <w:tc>
          <w:tcPr>
            <w:tcW w:w="1129" w:type="dxa"/>
            <w:tcBorders>
              <w:top w:val="single" w:sz="4" w:space="0" w:color="auto"/>
              <w:bottom w:val="single" w:sz="4" w:space="0" w:color="auto"/>
            </w:tcBorders>
            <w:noWrap/>
            <w:vAlign w:val="center"/>
            <w:hideMark/>
          </w:tcPr>
          <w:p w14:paraId="76D31254" w14:textId="77777777" w:rsidR="0011154B" w:rsidRPr="00FF22DE" w:rsidRDefault="0011154B" w:rsidP="00A37ACD">
            <w:pPr>
              <w:spacing w:line="360" w:lineRule="auto"/>
              <w:jc w:val="both"/>
              <w:rPr>
                <w:rFonts w:ascii="Times New Roman" w:hAnsi="Times New Roman"/>
                <w:b/>
                <w:sz w:val="24"/>
                <w:szCs w:val="24"/>
              </w:rPr>
            </w:pPr>
            <w:bookmarkStart w:id="4" w:name="_Hlk223427819"/>
            <w:r w:rsidRPr="00FF22DE">
              <w:rPr>
                <w:rFonts w:ascii="Times New Roman" w:hAnsi="Times New Roman"/>
                <w:b/>
                <w:sz w:val="24"/>
                <w:szCs w:val="24"/>
              </w:rPr>
              <w:t>Sample</w:t>
            </w:r>
          </w:p>
        </w:tc>
        <w:tc>
          <w:tcPr>
            <w:tcW w:w="1418" w:type="dxa"/>
            <w:tcBorders>
              <w:top w:val="single" w:sz="4" w:space="0" w:color="auto"/>
              <w:bottom w:val="single" w:sz="4" w:space="0" w:color="auto"/>
            </w:tcBorders>
            <w:noWrap/>
            <w:vAlign w:val="center"/>
            <w:hideMark/>
          </w:tcPr>
          <w:p w14:paraId="1A730AD7" w14:textId="77777777" w:rsidR="0011154B" w:rsidRPr="00FF22DE" w:rsidRDefault="0011154B" w:rsidP="00A37ACD">
            <w:pPr>
              <w:spacing w:line="360" w:lineRule="auto"/>
              <w:jc w:val="both"/>
              <w:rPr>
                <w:rFonts w:ascii="Times New Roman" w:hAnsi="Times New Roman"/>
                <w:b/>
                <w:sz w:val="24"/>
                <w:szCs w:val="24"/>
              </w:rPr>
            </w:pPr>
            <w:r w:rsidRPr="00FF22DE">
              <w:rPr>
                <w:rFonts w:ascii="Times New Roman" w:hAnsi="Times New Roman"/>
                <w:b/>
                <w:sz w:val="24"/>
                <w:szCs w:val="24"/>
              </w:rPr>
              <w:t>Vit C (mg/100 g)</w:t>
            </w:r>
          </w:p>
        </w:tc>
        <w:tc>
          <w:tcPr>
            <w:tcW w:w="1843" w:type="dxa"/>
            <w:tcBorders>
              <w:top w:val="single" w:sz="4" w:space="0" w:color="auto"/>
              <w:bottom w:val="single" w:sz="4" w:space="0" w:color="auto"/>
            </w:tcBorders>
            <w:noWrap/>
            <w:vAlign w:val="center"/>
            <w:hideMark/>
          </w:tcPr>
          <w:p w14:paraId="4A73AA5A" w14:textId="77777777" w:rsidR="0011154B" w:rsidRPr="00FF22DE" w:rsidRDefault="0011154B" w:rsidP="00A37ACD">
            <w:pPr>
              <w:spacing w:line="360" w:lineRule="auto"/>
              <w:jc w:val="both"/>
              <w:rPr>
                <w:rFonts w:ascii="Times New Roman" w:hAnsi="Times New Roman"/>
                <w:b/>
                <w:sz w:val="24"/>
                <w:szCs w:val="24"/>
              </w:rPr>
            </w:pPr>
            <w:r w:rsidRPr="00FF22DE">
              <w:rPr>
                <w:rFonts w:ascii="Times New Roman" w:hAnsi="Times New Roman"/>
                <w:b/>
                <w:sz w:val="24"/>
                <w:szCs w:val="24"/>
              </w:rPr>
              <w:t>Zinc (mg/100 g)</w:t>
            </w:r>
          </w:p>
        </w:tc>
        <w:tc>
          <w:tcPr>
            <w:tcW w:w="1985" w:type="dxa"/>
            <w:tcBorders>
              <w:top w:val="single" w:sz="4" w:space="0" w:color="auto"/>
              <w:bottom w:val="single" w:sz="4" w:space="0" w:color="auto"/>
            </w:tcBorders>
            <w:noWrap/>
            <w:vAlign w:val="center"/>
            <w:hideMark/>
          </w:tcPr>
          <w:p w14:paraId="525B2D24" w14:textId="77777777" w:rsidR="0011154B" w:rsidRPr="00FF22DE" w:rsidRDefault="0011154B" w:rsidP="00A37ACD">
            <w:pPr>
              <w:spacing w:line="360" w:lineRule="auto"/>
              <w:jc w:val="both"/>
              <w:rPr>
                <w:rFonts w:ascii="Times New Roman" w:hAnsi="Times New Roman"/>
                <w:b/>
                <w:sz w:val="24"/>
                <w:szCs w:val="24"/>
              </w:rPr>
            </w:pPr>
            <w:r w:rsidRPr="00FF22DE">
              <w:rPr>
                <w:rFonts w:ascii="Times New Roman" w:hAnsi="Times New Roman"/>
                <w:b/>
                <w:sz w:val="24"/>
                <w:szCs w:val="24"/>
              </w:rPr>
              <w:t>Iron (mg/100 g)</w:t>
            </w:r>
          </w:p>
        </w:tc>
      </w:tr>
      <w:tr w:rsidR="0011154B" w:rsidRPr="00FF22DE" w14:paraId="38CB02B8" w14:textId="77777777" w:rsidTr="0011154B">
        <w:trPr>
          <w:trHeight w:val="300"/>
        </w:trPr>
        <w:tc>
          <w:tcPr>
            <w:tcW w:w="1129" w:type="dxa"/>
            <w:tcBorders>
              <w:top w:val="single" w:sz="4" w:space="0" w:color="auto"/>
            </w:tcBorders>
            <w:noWrap/>
            <w:vAlign w:val="center"/>
            <w:hideMark/>
          </w:tcPr>
          <w:p w14:paraId="3152B560" w14:textId="77777777" w:rsidR="0011154B" w:rsidRPr="00FF22DE" w:rsidRDefault="0011154B" w:rsidP="00A37ACD">
            <w:pPr>
              <w:spacing w:line="360" w:lineRule="auto"/>
              <w:jc w:val="both"/>
              <w:rPr>
                <w:rFonts w:ascii="Times New Roman" w:hAnsi="Times New Roman"/>
                <w:sz w:val="24"/>
                <w:szCs w:val="24"/>
              </w:rPr>
            </w:pPr>
          </w:p>
          <w:p w14:paraId="4D04E609"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BJT</w:t>
            </w:r>
          </w:p>
        </w:tc>
        <w:tc>
          <w:tcPr>
            <w:tcW w:w="1418" w:type="dxa"/>
            <w:tcBorders>
              <w:top w:val="single" w:sz="4" w:space="0" w:color="auto"/>
            </w:tcBorders>
            <w:noWrap/>
            <w:hideMark/>
          </w:tcPr>
          <w:p w14:paraId="4FF9D005" w14:textId="77777777" w:rsidR="0011154B" w:rsidRPr="00FF22DE" w:rsidRDefault="0011154B" w:rsidP="00A37ACD">
            <w:pPr>
              <w:spacing w:line="360" w:lineRule="auto"/>
              <w:jc w:val="both"/>
              <w:rPr>
                <w:rFonts w:ascii="Times New Roman" w:hAnsi="Times New Roman"/>
                <w:sz w:val="24"/>
                <w:szCs w:val="24"/>
              </w:rPr>
            </w:pPr>
          </w:p>
          <w:p w14:paraId="3DAE271C"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12.54 ±0.04</w:t>
            </w:r>
            <w:r w:rsidRPr="00FF22DE">
              <w:rPr>
                <w:rFonts w:ascii="Times New Roman" w:hAnsi="Times New Roman"/>
                <w:sz w:val="24"/>
                <w:szCs w:val="24"/>
                <w:vertAlign w:val="superscript"/>
              </w:rPr>
              <w:t xml:space="preserve"> b</w:t>
            </w:r>
          </w:p>
        </w:tc>
        <w:tc>
          <w:tcPr>
            <w:tcW w:w="1843" w:type="dxa"/>
            <w:tcBorders>
              <w:top w:val="single" w:sz="4" w:space="0" w:color="auto"/>
            </w:tcBorders>
            <w:noWrap/>
            <w:hideMark/>
          </w:tcPr>
          <w:p w14:paraId="5D1F2819" w14:textId="77777777" w:rsidR="0011154B" w:rsidRPr="00FF22DE" w:rsidRDefault="0011154B" w:rsidP="00A37ACD">
            <w:pPr>
              <w:spacing w:line="360" w:lineRule="auto"/>
              <w:jc w:val="both"/>
              <w:rPr>
                <w:rFonts w:ascii="Times New Roman" w:hAnsi="Times New Roman"/>
                <w:sz w:val="24"/>
                <w:szCs w:val="24"/>
              </w:rPr>
            </w:pPr>
          </w:p>
          <w:p w14:paraId="0F523980"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0.1169 ± 0.01</w:t>
            </w:r>
            <w:r w:rsidRPr="00FF22DE">
              <w:rPr>
                <w:rFonts w:ascii="Times New Roman" w:hAnsi="Times New Roman"/>
                <w:sz w:val="24"/>
                <w:szCs w:val="24"/>
                <w:vertAlign w:val="superscript"/>
              </w:rPr>
              <w:t xml:space="preserve"> b</w:t>
            </w:r>
          </w:p>
        </w:tc>
        <w:tc>
          <w:tcPr>
            <w:tcW w:w="1985" w:type="dxa"/>
            <w:tcBorders>
              <w:top w:val="single" w:sz="4" w:space="0" w:color="auto"/>
            </w:tcBorders>
            <w:noWrap/>
            <w:hideMark/>
          </w:tcPr>
          <w:p w14:paraId="6074A4FC" w14:textId="77777777" w:rsidR="0011154B" w:rsidRPr="00FF22DE" w:rsidRDefault="0011154B" w:rsidP="00A37ACD">
            <w:pPr>
              <w:spacing w:line="360" w:lineRule="auto"/>
              <w:jc w:val="both"/>
              <w:rPr>
                <w:rFonts w:ascii="Times New Roman" w:hAnsi="Times New Roman"/>
                <w:sz w:val="24"/>
                <w:szCs w:val="24"/>
              </w:rPr>
            </w:pPr>
          </w:p>
          <w:p w14:paraId="75EA4E4E"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1.2226 ± 0.01</w:t>
            </w:r>
            <w:r w:rsidRPr="00FF22DE">
              <w:rPr>
                <w:rFonts w:ascii="Times New Roman" w:hAnsi="Times New Roman"/>
                <w:sz w:val="24"/>
                <w:szCs w:val="24"/>
                <w:vertAlign w:val="superscript"/>
              </w:rPr>
              <w:t xml:space="preserve"> b</w:t>
            </w:r>
          </w:p>
        </w:tc>
      </w:tr>
      <w:tr w:rsidR="0011154B" w:rsidRPr="00FF22DE" w14:paraId="0232BC77" w14:textId="77777777" w:rsidTr="0011154B">
        <w:trPr>
          <w:trHeight w:val="300"/>
        </w:trPr>
        <w:tc>
          <w:tcPr>
            <w:tcW w:w="1129" w:type="dxa"/>
            <w:noWrap/>
            <w:vAlign w:val="center"/>
            <w:hideMark/>
          </w:tcPr>
          <w:p w14:paraId="5F341466" w14:textId="77777777" w:rsidR="0011154B" w:rsidRPr="00FF22DE" w:rsidRDefault="0011154B" w:rsidP="00A37ACD">
            <w:pPr>
              <w:spacing w:line="360" w:lineRule="auto"/>
              <w:jc w:val="both"/>
              <w:rPr>
                <w:rFonts w:ascii="Times New Roman" w:hAnsi="Times New Roman"/>
                <w:sz w:val="24"/>
                <w:szCs w:val="24"/>
              </w:rPr>
            </w:pPr>
          </w:p>
          <w:p w14:paraId="6BFF78CD"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GJT</w:t>
            </w:r>
          </w:p>
        </w:tc>
        <w:tc>
          <w:tcPr>
            <w:tcW w:w="1418" w:type="dxa"/>
            <w:noWrap/>
            <w:hideMark/>
          </w:tcPr>
          <w:p w14:paraId="42CA31F4" w14:textId="77777777" w:rsidR="0011154B" w:rsidRPr="00FF22DE" w:rsidRDefault="0011154B" w:rsidP="00A37ACD">
            <w:pPr>
              <w:spacing w:line="360" w:lineRule="auto"/>
              <w:jc w:val="both"/>
              <w:rPr>
                <w:rFonts w:ascii="Times New Roman" w:hAnsi="Times New Roman"/>
                <w:sz w:val="24"/>
                <w:szCs w:val="24"/>
              </w:rPr>
            </w:pPr>
          </w:p>
          <w:p w14:paraId="61EB439E"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19.07± 0.14</w:t>
            </w:r>
            <w:r w:rsidRPr="00FF22DE">
              <w:rPr>
                <w:rFonts w:ascii="Times New Roman" w:hAnsi="Times New Roman"/>
                <w:sz w:val="24"/>
                <w:szCs w:val="24"/>
                <w:vertAlign w:val="superscript"/>
              </w:rPr>
              <w:t>a</w:t>
            </w:r>
          </w:p>
        </w:tc>
        <w:tc>
          <w:tcPr>
            <w:tcW w:w="1843" w:type="dxa"/>
            <w:noWrap/>
            <w:hideMark/>
          </w:tcPr>
          <w:p w14:paraId="198DE668" w14:textId="77777777" w:rsidR="0011154B" w:rsidRPr="00FF22DE" w:rsidRDefault="0011154B" w:rsidP="00A37ACD">
            <w:pPr>
              <w:spacing w:line="360" w:lineRule="auto"/>
              <w:jc w:val="both"/>
              <w:rPr>
                <w:rFonts w:ascii="Times New Roman" w:hAnsi="Times New Roman"/>
                <w:sz w:val="24"/>
                <w:szCs w:val="24"/>
              </w:rPr>
            </w:pPr>
          </w:p>
          <w:p w14:paraId="73CCEDBC"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0.1689 ±0.01</w:t>
            </w:r>
            <w:r w:rsidRPr="00FF22DE">
              <w:rPr>
                <w:rFonts w:ascii="Times New Roman" w:hAnsi="Times New Roman"/>
                <w:sz w:val="24"/>
                <w:szCs w:val="24"/>
                <w:vertAlign w:val="superscript"/>
              </w:rPr>
              <w:t xml:space="preserve"> a</w:t>
            </w:r>
          </w:p>
        </w:tc>
        <w:tc>
          <w:tcPr>
            <w:tcW w:w="1985" w:type="dxa"/>
            <w:noWrap/>
            <w:hideMark/>
          </w:tcPr>
          <w:p w14:paraId="17C929DA" w14:textId="77777777" w:rsidR="0011154B" w:rsidRPr="00FF22DE" w:rsidRDefault="0011154B" w:rsidP="00A37ACD">
            <w:pPr>
              <w:spacing w:line="360" w:lineRule="auto"/>
              <w:jc w:val="both"/>
              <w:rPr>
                <w:rFonts w:ascii="Times New Roman" w:hAnsi="Times New Roman"/>
                <w:sz w:val="24"/>
                <w:szCs w:val="24"/>
              </w:rPr>
            </w:pPr>
          </w:p>
          <w:p w14:paraId="1B57610C"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1.723 ± 0.02</w:t>
            </w:r>
            <w:r w:rsidRPr="00FF22DE">
              <w:rPr>
                <w:rFonts w:ascii="Times New Roman" w:hAnsi="Times New Roman"/>
                <w:sz w:val="24"/>
                <w:szCs w:val="24"/>
                <w:vertAlign w:val="superscript"/>
              </w:rPr>
              <w:t xml:space="preserve"> a</w:t>
            </w:r>
          </w:p>
        </w:tc>
      </w:tr>
    </w:tbl>
    <w:bookmarkEnd w:id="4"/>
    <w:p w14:paraId="6F74D00F" w14:textId="77777777" w:rsidR="00B6008C" w:rsidRPr="00FF22DE" w:rsidRDefault="00B6008C" w:rsidP="00A37ACD">
      <w:pPr>
        <w:spacing w:after="170" w:line="252" w:lineRule="auto"/>
        <w:jc w:val="both"/>
        <w:rPr>
          <w:rFonts w:ascii="Times New Roman" w:hAnsi="Times New Roman"/>
          <w:sz w:val="24"/>
          <w:szCs w:val="24"/>
        </w:rPr>
      </w:pPr>
      <w:r w:rsidRPr="00FF22DE">
        <w:rPr>
          <w:rFonts w:ascii="Times New Roman" w:hAnsi="Times New Roman"/>
          <w:sz w:val="24"/>
          <w:szCs w:val="24"/>
        </w:rPr>
        <w:t xml:space="preserve">Values are mean ± SD. Different superscripts within a column indicate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0.05). BJT = black </w:t>
      </w:r>
      <w:r w:rsidRPr="00FF22DE">
        <w:rPr>
          <w:rFonts w:ascii="Times New Roman" w:hAnsi="Times New Roman"/>
          <w:i/>
          <w:sz w:val="24"/>
          <w:szCs w:val="24"/>
        </w:rPr>
        <w:t>Jatropha</w:t>
      </w:r>
      <w:r w:rsidRPr="00FF22DE">
        <w:rPr>
          <w:rFonts w:ascii="Times New Roman" w:hAnsi="Times New Roman"/>
          <w:sz w:val="24"/>
          <w:szCs w:val="24"/>
        </w:rPr>
        <w:t xml:space="preserve"> tea; GJT = green </w:t>
      </w:r>
      <w:r w:rsidRPr="00FF22DE">
        <w:rPr>
          <w:rFonts w:ascii="Times New Roman" w:hAnsi="Times New Roman"/>
          <w:i/>
          <w:sz w:val="24"/>
          <w:szCs w:val="24"/>
        </w:rPr>
        <w:t>Jatropha</w:t>
      </w:r>
      <w:r w:rsidRPr="00FF22DE">
        <w:rPr>
          <w:rFonts w:ascii="Times New Roman" w:hAnsi="Times New Roman"/>
          <w:sz w:val="24"/>
          <w:szCs w:val="24"/>
        </w:rPr>
        <w:t xml:space="preserve"> tea.</w:t>
      </w:r>
    </w:p>
    <w:p w14:paraId="6F5EBD72" w14:textId="77777777" w:rsidR="00FB1DE2" w:rsidRPr="00FF22DE" w:rsidRDefault="00FB1DE2" w:rsidP="00A37ACD">
      <w:pPr>
        <w:spacing w:after="170" w:line="252" w:lineRule="auto"/>
        <w:jc w:val="both"/>
        <w:rPr>
          <w:rFonts w:ascii="Times New Roman" w:hAnsi="Times New Roman"/>
          <w:sz w:val="24"/>
          <w:szCs w:val="24"/>
        </w:rPr>
      </w:pPr>
    </w:p>
    <w:p w14:paraId="2096A1D9" w14:textId="77777777" w:rsidR="00FB1DE2" w:rsidRPr="00FF22DE" w:rsidRDefault="00FB1DE2" w:rsidP="00A37ACD">
      <w:pPr>
        <w:spacing w:after="0" w:line="360" w:lineRule="auto"/>
        <w:jc w:val="both"/>
        <w:rPr>
          <w:rFonts w:ascii="Times New Roman" w:hAnsi="Times New Roman"/>
          <w:sz w:val="24"/>
          <w:szCs w:val="24"/>
        </w:rPr>
      </w:pPr>
      <w:r>
        <w:rPr>
          <w:rFonts w:ascii="Times New Roman" w:hAnsi="Times New Roman"/>
          <w:sz w:val="24"/>
          <w:szCs w:val="24"/>
        </w:rPr>
        <w:t xml:space="preserve">Vitamin C content was significantly higher in GJT (19.07 ± 0.14 mg/100 g) compared </w:t>
      </w:r>
      <w:r>
        <w:rPr>
          <w:rFonts w:ascii="Times New Roman" w:hAnsi="Times New Roman"/>
          <w:sz w:val="24"/>
          <w:szCs w:val="24"/>
          <w:highlight w:val="yellow"/>
        </w:rPr>
        <w:t>wi</w:t>
      </w:r>
      <w:r>
        <w:rPr>
          <w:rFonts w:ascii="Times New Roman" w:hAnsi="Times New Roman"/>
          <w:sz w:val="24"/>
          <w:szCs w:val="24"/>
        </w:rPr>
        <w:t>t</w:t>
      </w:r>
      <w:r>
        <w:rPr>
          <w:rFonts w:ascii="Times New Roman" w:hAnsi="Times New Roman"/>
          <w:sz w:val="24"/>
          <w:szCs w:val="24"/>
          <w:highlight w:val="yellow"/>
        </w:rPr>
        <w:t>h</w:t>
      </w:r>
      <w:r>
        <w:rPr>
          <w:rFonts w:ascii="Times New Roman" w:hAnsi="Times New Roman"/>
          <w:sz w:val="24"/>
          <w:szCs w:val="24"/>
        </w:rPr>
        <w:t xml:space="preserve"> BJT (12.54 ± 0.04 mg/100 g). The markedly higher vitamin C level in the green tea sample may be attributed to minimal processing, which helps preserve heat-labile nutrients such as ascorbic acid. Processing steps involved in black tea production often include oxidation, rolling, and drying, which can accelerate degradation of heat‑ and oxidation‑sensitive nutrients such as vitamin C and certain polyphenols, resulting in measurable losses compared with less processed teas (Aaqil et al., 2023). Vitamin C is an important antioxidant that plays a crucial role in immune function and also enhances the absorption of non-h</w:t>
      </w:r>
      <w:r>
        <w:rPr>
          <w:rFonts w:ascii="Times New Roman" w:hAnsi="Times New Roman"/>
          <w:sz w:val="24"/>
          <w:szCs w:val="24"/>
          <w:highlight w:val="yellow"/>
        </w:rPr>
        <w:t>a</w:t>
      </w:r>
      <w:r>
        <w:rPr>
          <w:rFonts w:ascii="Times New Roman" w:hAnsi="Times New Roman"/>
          <w:sz w:val="24"/>
          <w:szCs w:val="24"/>
        </w:rPr>
        <w:t>em iron in the human body (Carr &amp; Maggini, 2017). The high vitamin C content observed in GJT therefore suggests that the tea may contribute significantly to dietary antioxidant intake and improved mineral bioavailability.</w:t>
      </w:r>
    </w:p>
    <w:p w14:paraId="4DCBB6CE" w14:textId="77777777" w:rsidR="00FB1DE2" w:rsidRPr="00FF22DE" w:rsidRDefault="00FB1DE2" w:rsidP="00A37ACD">
      <w:pPr>
        <w:spacing w:after="0" w:line="360" w:lineRule="auto"/>
        <w:jc w:val="both"/>
        <w:rPr>
          <w:rFonts w:ascii="Times New Roman" w:hAnsi="Times New Roman"/>
          <w:sz w:val="24"/>
          <w:szCs w:val="24"/>
        </w:rPr>
      </w:pPr>
    </w:p>
    <w:p w14:paraId="1B30E6CA" w14:textId="77777777" w:rsidR="00FB1DE2" w:rsidRPr="00FF22DE" w:rsidRDefault="00FB1DE2" w:rsidP="00A37ACD">
      <w:pPr>
        <w:spacing w:line="360" w:lineRule="auto"/>
        <w:jc w:val="both"/>
        <w:rPr>
          <w:rFonts w:ascii="Times New Roman" w:hAnsi="Times New Roman"/>
          <w:sz w:val="24"/>
          <w:szCs w:val="24"/>
        </w:rPr>
      </w:pPr>
      <w:r>
        <w:rPr>
          <w:rFonts w:ascii="Times New Roman" w:hAnsi="Times New Roman"/>
          <w:sz w:val="24"/>
          <w:szCs w:val="24"/>
        </w:rPr>
        <w:t>Iron was significantly higher in GJT (1.72 ± 0.02 mg/100 g) than BJT (1.22 ± 0.01 mg/100 g). Because iron is a mineral element, the difference should not simply be described as thermal destruction. It may instead reflect differences in processed material composition, concentration or analytical extractability. The detection of iron is consistent with previous mineral characteri</w:t>
      </w:r>
      <w:r>
        <w:rPr>
          <w:rFonts w:ascii="Times New Roman" w:hAnsi="Times New Roman"/>
          <w:sz w:val="24"/>
          <w:szCs w:val="24"/>
          <w:highlight w:val="yellow"/>
        </w:rPr>
        <w:t>s</w:t>
      </w:r>
      <w:r>
        <w:rPr>
          <w:rFonts w:ascii="Times New Roman" w:hAnsi="Times New Roman"/>
          <w:sz w:val="24"/>
          <w:szCs w:val="24"/>
        </w:rPr>
        <w:t xml:space="preserve">ation of </w:t>
      </w:r>
      <w:r>
        <w:rPr>
          <w:rFonts w:ascii="Times New Roman" w:eastAsia="Arial" w:hAnsi="Times New Roman"/>
          <w:i/>
          <w:sz w:val="24"/>
          <w:szCs w:val="24"/>
        </w:rPr>
        <w:t>J. tanjorensis</w:t>
      </w:r>
      <w:r>
        <w:rPr>
          <w:rFonts w:ascii="Times New Roman" w:hAnsi="Times New Roman"/>
          <w:sz w:val="24"/>
          <w:szCs w:val="24"/>
        </w:rPr>
        <w:t xml:space="preserve"> leaves (Anhwange et al., 2019), although raw-leaf values cannot be directly </w:t>
      </w:r>
      <w:r>
        <w:rPr>
          <w:rFonts w:ascii="Times New Roman" w:hAnsi="Times New Roman"/>
          <w:sz w:val="24"/>
          <w:szCs w:val="24"/>
        </w:rPr>
        <w:lastRenderedPageBreak/>
        <w:t xml:space="preserve">equated with the present processed-tea values. Iron plays an essential role in haemoglobin formation and oxygen transport in the body (Abbaspour et al., 2014). The higher iron content observed in GJT therefore suggests that consumption of green </w:t>
      </w:r>
      <w:r>
        <w:rPr>
          <w:rFonts w:ascii="Times New Roman" w:hAnsi="Times New Roman"/>
          <w:i/>
          <w:sz w:val="24"/>
          <w:szCs w:val="24"/>
        </w:rPr>
        <w:t>Jatropha tanjorensis</w:t>
      </w:r>
      <w:r>
        <w:rPr>
          <w:rFonts w:ascii="Times New Roman" w:hAnsi="Times New Roman"/>
          <w:sz w:val="24"/>
          <w:szCs w:val="24"/>
        </w:rPr>
        <w:t xml:space="preserve"> tea may contribute more effectively to dietary iron intake.</w:t>
      </w:r>
    </w:p>
    <w:p w14:paraId="3E1280B7" w14:textId="77777777" w:rsidR="001820BE" w:rsidRPr="00FF22DE" w:rsidRDefault="001820BE" w:rsidP="00A37ACD">
      <w:pPr>
        <w:jc w:val="both"/>
        <w:rPr>
          <w:rFonts w:ascii="Times New Roman" w:hAnsi="Times New Roman"/>
          <w:sz w:val="24"/>
          <w:szCs w:val="24"/>
        </w:rPr>
      </w:pPr>
      <w:r>
        <w:rPr>
          <w:rFonts w:ascii="Times New Roman" w:hAnsi="Times New Roman"/>
          <w:sz w:val="24"/>
          <w:szCs w:val="24"/>
        </w:rPr>
        <w:t>Zinc followed the same pattern, with GJT (0.1689 ± 0.01 mg/100 g) exceeding BJT (0.1169 ± 0.01 mg/100 g). Zinc is an essential trace element involved in numerous biological processes</w:t>
      </w:r>
      <w:r>
        <w:rPr>
          <w:rFonts w:ascii="Times New Roman" w:hAnsi="Times New Roman"/>
          <w:sz w:val="24"/>
          <w:szCs w:val="24"/>
          <w:highlight w:val="yellow"/>
        </w:rPr>
        <w:t>,</w:t>
      </w:r>
      <w:r>
        <w:rPr>
          <w:rFonts w:ascii="Times New Roman" w:hAnsi="Times New Roman"/>
          <w:sz w:val="24"/>
          <w:szCs w:val="24"/>
        </w:rPr>
        <w:t xml:space="preserve"> including enzyme activity, immune function and cellular growth (Roohani et al., 2013). The parallel iron and zinc results indicate a consistent difference in final mineral composition between the two processing treatments. However, mineral losses at individual stages and mineral bioavailability were not measured; consequently, the mechanism responsible cannot be isolated. The higher zinc concentration observed in GJT suggests that the green tea sample may offer greater nutritional benefits in terms of micronutrient supply.</w:t>
      </w:r>
    </w:p>
    <w:p w14:paraId="66E0C232" w14:textId="77777777" w:rsidR="002D528D" w:rsidRPr="00FF22DE" w:rsidRDefault="002D528D" w:rsidP="00A37ACD">
      <w:pPr>
        <w:jc w:val="both"/>
        <w:rPr>
          <w:rFonts w:ascii="Times New Roman" w:hAnsi="Times New Roman"/>
          <w:sz w:val="24"/>
          <w:szCs w:val="24"/>
        </w:rPr>
      </w:pPr>
      <w:r>
        <w:rPr>
          <w:rFonts w:ascii="Times New Roman" w:hAnsi="Times New Roman"/>
          <w:sz w:val="24"/>
          <w:szCs w:val="24"/>
        </w:rPr>
        <w:t xml:space="preserve">Overall, the results indicate that </w:t>
      </w:r>
      <w:r>
        <w:rPr>
          <w:rFonts w:ascii="Times New Roman" w:hAnsi="Times New Roman"/>
          <w:i/>
          <w:sz w:val="24"/>
          <w:szCs w:val="24"/>
        </w:rPr>
        <w:t>Jatropha tanjorensis</w:t>
      </w:r>
      <w:r>
        <w:rPr>
          <w:rFonts w:ascii="Times New Roman" w:hAnsi="Times New Roman"/>
          <w:sz w:val="24"/>
          <w:szCs w:val="24"/>
        </w:rPr>
        <w:t xml:space="preserve"> leaf tea contains appreciable quantities of vitamin C, iron and zinc. However, the green tea sample exhibited significantly higher micronutrient levels compared </w:t>
      </w:r>
      <w:r>
        <w:rPr>
          <w:rFonts w:ascii="Times New Roman" w:hAnsi="Times New Roman"/>
          <w:sz w:val="24"/>
          <w:szCs w:val="24"/>
          <w:highlight w:val="yellow"/>
        </w:rPr>
        <w:t>wi</w:t>
      </w:r>
      <w:r>
        <w:rPr>
          <w:rFonts w:ascii="Times New Roman" w:hAnsi="Times New Roman"/>
          <w:sz w:val="24"/>
          <w:szCs w:val="24"/>
        </w:rPr>
        <w:t>t</w:t>
      </w:r>
      <w:r>
        <w:rPr>
          <w:rFonts w:ascii="Times New Roman" w:hAnsi="Times New Roman"/>
          <w:sz w:val="24"/>
          <w:szCs w:val="24"/>
          <w:highlight w:val="yellow"/>
        </w:rPr>
        <w:t>h</w:t>
      </w:r>
      <w:r>
        <w:rPr>
          <w:rFonts w:ascii="Times New Roman" w:hAnsi="Times New Roman"/>
          <w:sz w:val="24"/>
          <w:szCs w:val="24"/>
        </w:rPr>
        <w:t xml:space="preserve"> the black tea sample. This suggests that minimal processing may help preserve the nutritional quality of </w:t>
      </w:r>
      <w:r>
        <w:rPr>
          <w:rFonts w:ascii="Times New Roman" w:hAnsi="Times New Roman"/>
          <w:i/>
          <w:sz w:val="24"/>
          <w:szCs w:val="24"/>
        </w:rPr>
        <w:t>Jatropha tanjorensis</w:t>
      </w:r>
      <w:r>
        <w:rPr>
          <w:rFonts w:ascii="Times New Roman" w:hAnsi="Times New Roman"/>
          <w:sz w:val="24"/>
          <w:szCs w:val="24"/>
        </w:rPr>
        <w:t xml:space="preserve"> leaves and enhance their potential as a functional beverage with nutritional and health benefits.</w:t>
      </w:r>
    </w:p>
    <w:p w14:paraId="5786F093" w14:textId="77777777" w:rsidR="001820BE" w:rsidRPr="00FF22DE" w:rsidRDefault="001820BE" w:rsidP="00A37ACD">
      <w:pPr>
        <w:jc w:val="both"/>
        <w:rPr>
          <w:rFonts w:ascii="Times New Roman" w:hAnsi="Times New Roman"/>
          <w:sz w:val="24"/>
          <w:szCs w:val="24"/>
        </w:rPr>
      </w:pPr>
    </w:p>
    <w:p w14:paraId="6EC80D45" w14:textId="77777777" w:rsidR="008C7DF6" w:rsidRPr="00FF22DE" w:rsidRDefault="00885CD3" w:rsidP="00A37ACD">
      <w:pPr>
        <w:jc w:val="both"/>
        <w:rPr>
          <w:rFonts w:ascii="Times New Roman" w:hAnsi="Times New Roman"/>
          <w:sz w:val="24"/>
          <w:szCs w:val="24"/>
        </w:rPr>
      </w:pPr>
      <w:r w:rsidRPr="00FF22DE">
        <w:rPr>
          <w:rFonts w:ascii="Times New Roman" w:hAnsi="Times New Roman"/>
          <w:b/>
          <w:sz w:val="24"/>
          <w:szCs w:val="24"/>
        </w:rPr>
        <w:t>3.3 Sensory Evaluation</w:t>
      </w:r>
      <w:r w:rsidRPr="00FF22DE">
        <w:rPr>
          <w:rFonts w:ascii="Times New Roman" w:hAnsi="Times New Roman"/>
          <w:sz w:val="24"/>
          <w:szCs w:val="24"/>
        </w:rPr>
        <w:t>.</w:t>
      </w:r>
    </w:p>
    <w:p w14:paraId="0BB1F00E" w14:textId="77777777" w:rsidR="002F719D" w:rsidRPr="00FF22DE" w:rsidRDefault="00885CD3" w:rsidP="00A37ACD">
      <w:pPr>
        <w:jc w:val="both"/>
        <w:rPr>
          <w:rFonts w:ascii="Times New Roman" w:hAnsi="Times New Roman"/>
          <w:sz w:val="24"/>
          <w:szCs w:val="24"/>
        </w:rPr>
      </w:pPr>
      <w:r w:rsidRPr="00FF22DE">
        <w:rPr>
          <w:rFonts w:ascii="Times New Roman" w:hAnsi="Times New Roman"/>
          <w:sz w:val="24"/>
          <w:szCs w:val="24"/>
        </w:rPr>
        <w:t xml:space="preserve">The sensory characteristics of the two </w:t>
      </w:r>
      <w:r w:rsidRPr="00FF22DE">
        <w:rPr>
          <w:rFonts w:ascii="Times New Roman" w:eastAsia="Arial" w:hAnsi="Times New Roman"/>
          <w:i/>
          <w:sz w:val="24"/>
          <w:szCs w:val="24"/>
        </w:rPr>
        <w:t>Jatropha</w:t>
      </w:r>
      <w:r w:rsidRPr="00FF22DE">
        <w:rPr>
          <w:rFonts w:ascii="Times New Roman" w:hAnsi="Times New Roman"/>
          <w:sz w:val="24"/>
          <w:szCs w:val="24"/>
        </w:rPr>
        <w:t xml:space="preserve"> teas and commercial reference teas are presented in Table 3.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0.05) occurred in aroma and overall acceptability, whereas appearance and tas</w:t>
      </w:r>
      <w:r w:rsidR="00541747">
        <w:rPr>
          <w:rFonts w:ascii="Times New Roman" w:hAnsi="Times New Roman"/>
          <w:sz w:val="24"/>
          <w:szCs w:val="24"/>
        </w:rPr>
        <w:t>te did not differ significantly.</w:t>
      </w:r>
    </w:p>
    <w:p w14:paraId="4452F06C" w14:textId="77777777" w:rsidR="002F719D" w:rsidRPr="00541747" w:rsidRDefault="002F719D" w:rsidP="00541747">
      <w:pPr>
        <w:pStyle w:val="Heading3"/>
        <w:jc w:val="both"/>
        <w:rPr>
          <w:rFonts w:ascii="Times New Roman" w:hAnsi="Times New Roman" w:cs="Times New Roman"/>
          <w:b/>
          <w:color w:val="000000" w:themeColor="text1"/>
        </w:rPr>
      </w:pPr>
      <w:r w:rsidRPr="00FF22DE">
        <w:rPr>
          <w:rFonts w:ascii="Times New Roman" w:hAnsi="Times New Roman" w:cs="Times New Roman"/>
          <w:b/>
          <w:color w:val="000000" w:themeColor="text1"/>
        </w:rPr>
        <w:t xml:space="preserve">Table 3. Sensory characteristics of green and black </w:t>
      </w:r>
      <w:r w:rsidRPr="00FF22DE">
        <w:rPr>
          <w:rFonts w:ascii="Times New Roman" w:eastAsia="Arial" w:hAnsi="Times New Roman" w:cs="Times New Roman"/>
          <w:b/>
          <w:i/>
          <w:color w:val="000000" w:themeColor="text1"/>
        </w:rPr>
        <w:t xml:space="preserve">Jatropha </w:t>
      </w:r>
      <w:proofErr w:type="spellStart"/>
      <w:r w:rsidRPr="00FF22DE">
        <w:rPr>
          <w:rFonts w:ascii="Times New Roman" w:eastAsia="Arial" w:hAnsi="Times New Roman" w:cs="Times New Roman"/>
          <w:b/>
          <w:i/>
          <w:color w:val="000000" w:themeColor="text1"/>
        </w:rPr>
        <w:t>tanjorensis</w:t>
      </w:r>
      <w:proofErr w:type="spellEnd"/>
      <w:r w:rsidRPr="00FF22DE">
        <w:rPr>
          <w:rFonts w:ascii="Times New Roman" w:hAnsi="Times New Roman" w:cs="Times New Roman"/>
          <w:b/>
          <w:color w:val="000000" w:themeColor="text1"/>
        </w:rPr>
        <w:t xml:space="preserve"> herbal teas and commercial teas.</w:t>
      </w:r>
    </w:p>
    <w:tbl>
      <w:tblPr>
        <w:tblW w:w="0" w:type="auto"/>
        <w:jc w:val="center"/>
        <w:tblBorders>
          <w:bottom w:val="single" w:sz="4" w:space="0" w:color="auto"/>
        </w:tblBorders>
        <w:tblLook w:val="04A0" w:firstRow="1" w:lastRow="0" w:firstColumn="1" w:lastColumn="0" w:noHBand="0" w:noVBand="1"/>
      </w:tblPr>
      <w:tblGrid>
        <w:gridCol w:w="1779"/>
        <w:gridCol w:w="1830"/>
        <w:gridCol w:w="1778"/>
        <w:gridCol w:w="1803"/>
        <w:gridCol w:w="1836"/>
      </w:tblGrid>
      <w:tr w:rsidR="002F719D" w:rsidRPr="00FF22DE" w14:paraId="58D11949" w14:textId="77777777" w:rsidTr="00C23D7A">
        <w:trPr>
          <w:jc w:val="center"/>
        </w:trPr>
        <w:tc>
          <w:tcPr>
            <w:tcW w:w="1779" w:type="dxa"/>
            <w:tcBorders>
              <w:top w:val="single" w:sz="4" w:space="0" w:color="auto"/>
              <w:bottom w:val="single" w:sz="4" w:space="0" w:color="auto"/>
            </w:tcBorders>
          </w:tcPr>
          <w:p w14:paraId="3CDE46F0"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Samples</w:t>
            </w:r>
          </w:p>
        </w:tc>
        <w:tc>
          <w:tcPr>
            <w:tcW w:w="1830" w:type="dxa"/>
            <w:tcBorders>
              <w:top w:val="single" w:sz="4" w:space="0" w:color="auto"/>
              <w:bottom w:val="single" w:sz="4" w:space="0" w:color="auto"/>
            </w:tcBorders>
          </w:tcPr>
          <w:p w14:paraId="365427A6"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 xml:space="preserve">Appearance </w:t>
            </w:r>
          </w:p>
        </w:tc>
        <w:tc>
          <w:tcPr>
            <w:tcW w:w="1778" w:type="dxa"/>
            <w:tcBorders>
              <w:top w:val="single" w:sz="4" w:space="0" w:color="auto"/>
              <w:bottom w:val="single" w:sz="4" w:space="0" w:color="auto"/>
            </w:tcBorders>
          </w:tcPr>
          <w:p w14:paraId="5581E990"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Aroma</w:t>
            </w:r>
          </w:p>
        </w:tc>
        <w:tc>
          <w:tcPr>
            <w:tcW w:w="1803" w:type="dxa"/>
            <w:tcBorders>
              <w:top w:val="single" w:sz="4" w:space="0" w:color="auto"/>
              <w:bottom w:val="single" w:sz="4" w:space="0" w:color="auto"/>
            </w:tcBorders>
          </w:tcPr>
          <w:p w14:paraId="73EA267B"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Taste</w:t>
            </w:r>
          </w:p>
        </w:tc>
        <w:tc>
          <w:tcPr>
            <w:tcW w:w="1836" w:type="dxa"/>
            <w:tcBorders>
              <w:top w:val="single" w:sz="4" w:space="0" w:color="auto"/>
              <w:bottom w:val="single" w:sz="4" w:space="0" w:color="auto"/>
            </w:tcBorders>
          </w:tcPr>
          <w:p w14:paraId="78D32F78"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Overall acceptability</w:t>
            </w:r>
          </w:p>
        </w:tc>
      </w:tr>
      <w:tr w:rsidR="002F719D" w:rsidRPr="00FF22DE" w14:paraId="0BFE92B4" w14:textId="77777777" w:rsidTr="00C23D7A">
        <w:trPr>
          <w:jc w:val="center"/>
        </w:trPr>
        <w:tc>
          <w:tcPr>
            <w:tcW w:w="1779" w:type="dxa"/>
            <w:tcBorders>
              <w:top w:val="single" w:sz="4" w:space="0" w:color="auto"/>
            </w:tcBorders>
          </w:tcPr>
          <w:p w14:paraId="68C3E7C0"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BJT</w:t>
            </w:r>
          </w:p>
        </w:tc>
        <w:tc>
          <w:tcPr>
            <w:tcW w:w="1830" w:type="dxa"/>
            <w:tcBorders>
              <w:top w:val="single" w:sz="4" w:space="0" w:color="auto"/>
            </w:tcBorders>
          </w:tcPr>
          <w:p w14:paraId="3E9E8F9C"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7.14 ±1.45</w:t>
            </w:r>
            <w:r w:rsidRPr="00FF22DE">
              <w:rPr>
                <w:rFonts w:ascii="Times New Roman" w:hAnsi="Times New Roman"/>
                <w:sz w:val="24"/>
                <w:szCs w:val="24"/>
                <w:vertAlign w:val="superscript"/>
              </w:rPr>
              <w:t>a</w:t>
            </w:r>
          </w:p>
        </w:tc>
        <w:tc>
          <w:tcPr>
            <w:tcW w:w="1778" w:type="dxa"/>
            <w:tcBorders>
              <w:top w:val="single" w:sz="4" w:space="0" w:color="auto"/>
            </w:tcBorders>
          </w:tcPr>
          <w:p w14:paraId="63F82BDC"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6.62 ±2.01</w:t>
            </w:r>
            <w:r w:rsidRPr="00FF22DE">
              <w:rPr>
                <w:rFonts w:ascii="Times New Roman" w:hAnsi="Times New Roman"/>
                <w:sz w:val="24"/>
                <w:szCs w:val="24"/>
                <w:vertAlign w:val="superscript"/>
              </w:rPr>
              <w:t xml:space="preserve"> ab</w:t>
            </w:r>
          </w:p>
        </w:tc>
        <w:tc>
          <w:tcPr>
            <w:tcW w:w="1803" w:type="dxa"/>
            <w:tcBorders>
              <w:top w:val="single" w:sz="4" w:space="0" w:color="auto"/>
            </w:tcBorders>
          </w:tcPr>
          <w:p w14:paraId="42B78F1B"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6.48± 2.04</w:t>
            </w:r>
            <w:r w:rsidRPr="00FF22DE">
              <w:rPr>
                <w:rFonts w:ascii="Times New Roman" w:hAnsi="Times New Roman"/>
                <w:sz w:val="24"/>
                <w:szCs w:val="24"/>
                <w:vertAlign w:val="superscript"/>
              </w:rPr>
              <w:t xml:space="preserve"> a</w:t>
            </w:r>
          </w:p>
        </w:tc>
        <w:tc>
          <w:tcPr>
            <w:tcW w:w="1836" w:type="dxa"/>
            <w:tcBorders>
              <w:top w:val="single" w:sz="4" w:space="0" w:color="auto"/>
            </w:tcBorders>
          </w:tcPr>
          <w:p w14:paraId="16F9E623"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6.62± 1.88</w:t>
            </w:r>
            <w:r w:rsidRPr="00FF22DE">
              <w:rPr>
                <w:rFonts w:ascii="Times New Roman" w:hAnsi="Times New Roman"/>
                <w:sz w:val="24"/>
                <w:szCs w:val="24"/>
                <w:vertAlign w:val="superscript"/>
              </w:rPr>
              <w:t xml:space="preserve"> ab</w:t>
            </w:r>
          </w:p>
        </w:tc>
      </w:tr>
      <w:tr w:rsidR="002F719D" w:rsidRPr="00FF22DE" w14:paraId="064FC343" w14:textId="77777777" w:rsidTr="00C23D7A">
        <w:trPr>
          <w:jc w:val="center"/>
        </w:trPr>
        <w:tc>
          <w:tcPr>
            <w:tcW w:w="1779" w:type="dxa"/>
          </w:tcPr>
          <w:p w14:paraId="404EA988"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GJT</w:t>
            </w:r>
          </w:p>
        </w:tc>
        <w:tc>
          <w:tcPr>
            <w:tcW w:w="1830" w:type="dxa"/>
          </w:tcPr>
          <w:p w14:paraId="24CA8B58"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6.85 ±1.57</w:t>
            </w:r>
            <w:r w:rsidRPr="00FF22DE">
              <w:rPr>
                <w:rFonts w:ascii="Times New Roman" w:hAnsi="Times New Roman"/>
                <w:sz w:val="24"/>
                <w:szCs w:val="24"/>
                <w:vertAlign w:val="superscript"/>
              </w:rPr>
              <w:t xml:space="preserve"> a</w:t>
            </w:r>
          </w:p>
        </w:tc>
        <w:tc>
          <w:tcPr>
            <w:tcW w:w="1778" w:type="dxa"/>
          </w:tcPr>
          <w:p w14:paraId="095066A5"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6.25 ±1.55</w:t>
            </w:r>
            <w:r w:rsidRPr="00FF22DE">
              <w:rPr>
                <w:rFonts w:ascii="Times New Roman" w:hAnsi="Times New Roman"/>
                <w:sz w:val="24"/>
                <w:szCs w:val="24"/>
                <w:vertAlign w:val="superscript"/>
              </w:rPr>
              <w:t xml:space="preserve"> b</w:t>
            </w:r>
          </w:p>
        </w:tc>
        <w:tc>
          <w:tcPr>
            <w:tcW w:w="1803" w:type="dxa"/>
          </w:tcPr>
          <w:p w14:paraId="6C7E79D7"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5.60±1.67</w:t>
            </w:r>
            <w:r w:rsidRPr="00FF22DE">
              <w:rPr>
                <w:rFonts w:ascii="Times New Roman" w:hAnsi="Times New Roman"/>
                <w:sz w:val="24"/>
                <w:szCs w:val="24"/>
                <w:vertAlign w:val="superscript"/>
              </w:rPr>
              <w:t xml:space="preserve"> a</w:t>
            </w:r>
          </w:p>
        </w:tc>
        <w:tc>
          <w:tcPr>
            <w:tcW w:w="1836" w:type="dxa"/>
          </w:tcPr>
          <w:p w14:paraId="4B152C42"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6.10± 1.74</w:t>
            </w:r>
            <w:r w:rsidRPr="00FF22DE">
              <w:rPr>
                <w:rFonts w:ascii="Times New Roman" w:hAnsi="Times New Roman"/>
                <w:sz w:val="24"/>
                <w:szCs w:val="24"/>
                <w:vertAlign w:val="superscript"/>
              </w:rPr>
              <w:t xml:space="preserve"> b</w:t>
            </w:r>
          </w:p>
        </w:tc>
      </w:tr>
      <w:tr w:rsidR="002F719D" w:rsidRPr="00FF22DE" w14:paraId="3A61911E" w14:textId="77777777" w:rsidTr="00C23D7A">
        <w:trPr>
          <w:jc w:val="center"/>
        </w:trPr>
        <w:tc>
          <w:tcPr>
            <w:tcW w:w="1779" w:type="dxa"/>
          </w:tcPr>
          <w:p w14:paraId="3D02884E"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CBT</w:t>
            </w:r>
          </w:p>
        </w:tc>
        <w:tc>
          <w:tcPr>
            <w:tcW w:w="1830" w:type="dxa"/>
          </w:tcPr>
          <w:p w14:paraId="2533DD32"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7.75 ±1.12</w:t>
            </w:r>
            <w:r w:rsidRPr="00FF22DE">
              <w:rPr>
                <w:rFonts w:ascii="Times New Roman" w:hAnsi="Times New Roman"/>
                <w:sz w:val="24"/>
                <w:szCs w:val="24"/>
                <w:vertAlign w:val="superscript"/>
              </w:rPr>
              <w:t xml:space="preserve"> a</w:t>
            </w:r>
          </w:p>
        </w:tc>
        <w:tc>
          <w:tcPr>
            <w:tcW w:w="1778" w:type="dxa"/>
          </w:tcPr>
          <w:p w14:paraId="51B99E3B"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7.60 ±0.94</w:t>
            </w:r>
            <w:r w:rsidRPr="00FF22DE">
              <w:rPr>
                <w:rFonts w:ascii="Times New Roman" w:hAnsi="Times New Roman"/>
                <w:sz w:val="24"/>
                <w:szCs w:val="24"/>
                <w:vertAlign w:val="superscript"/>
              </w:rPr>
              <w:t xml:space="preserve"> a</w:t>
            </w:r>
          </w:p>
        </w:tc>
        <w:tc>
          <w:tcPr>
            <w:tcW w:w="1803" w:type="dxa"/>
          </w:tcPr>
          <w:p w14:paraId="58F819D2"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6.05±1.93</w:t>
            </w:r>
            <w:r w:rsidRPr="00FF22DE">
              <w:rPr>
                <w:rFonts w:ascii="Times New Roman" w:hAnsi="Times New Roman"/>
                <w:sz w:val="24"/>
                <w:szCs w:val="24"/>
                <w:vertAlign w:val="superscript"/>
              </w:rPr>
              <w:t xml:space="preserve"> a</w:t>
            </w:r>
          </w:p>
        </w:tc>
        <w:tc>
          <w:tcPr>
            <w:tcW w:w="1836" w:type="dxa"/>
          </w:tcPr>
          <w:p w14:paraId="410365B4"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7.40± 1.14</w:t>
            </w:r>
            <w:r w:rsidRPr="00FF22DE">
              <w:rPr>
                <w:rFonts w:ascii="Times New Roman" w:hAnsi="Times New Roman"/>
                <w:sz w:val="24"/>
                <w:szCs w:val="24"/>
                <w:vertAlign w:val="superscript"/>
              </w:rPr>
              <w:t xml:space="preserve"> a</w:t>
            </w:r>
          </w:p>
        </w:tc>
      </w:tr>
      <w:tr w:rsidR="002F719D" w:rsidRPr="00FF22DE" w14:paraId="0360FC94" w14:textId="77777777" w:rsidTr="00C23D7A">
        <w:trPr>
          <w:jc w:val="center"/>
        </w:trPr>
        <w:tc>
          <w:tcPr>
            <w:tcW w:w="1779" w:type="dxa"/>
          </w:tcPr>
          <w:p w14:paraId="4C0906DC"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CGT</w:t>
            </w:r>
          </w:p>
        </w:tc>
        <w:tc>
          <w:tcPr>
            <w:tcW w:w="1830" w:type="dxa"/>
          </w:tcPr>
          <w:p w14:paraId="11591365"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7.32 ±1.69</w:t>
            </w:r>
            <w:r w:rsidRPr="00FF22DE">
              <w:rPr>
                <w:rFonts w:ascii="Times New Roman" w:hAnsi="Times New Roman"/>
                <w:sz w:val="24"/>
                <w:szCs w:val="24"/>
                <w:vertAlign w:val="superscript"/>
              </w:rPr>
              <w:t xml:space="preserve"> a</w:t>
            </w:r>
          </w:p>
        </w:tc>
        <w:tc>
          <w:tcPr>
            <w:tcW w:w="1778" w:type="dxa"/>
          </w:tcPr>
          <w:p w14:paraId="2149CBA1"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6.68 ± 1.73</w:t>
            </w:r>
            <w:r w:rsidRPr="00FF22DE">
              <w:rPr>
                <w:rFonts w:ascii="Times New Roman" w:hAnsi="Times New Roman"/>
                <w:sz w:val="24"/>
                <w:szCs w:val="24"/>
                <w:vertAlign w:val="superscript"/>
              </w:rPr>
              <w:t xml:space="preserve"> ab</w:t>
            </w:r>
          </w:p>
        </w:tc>
        <w:tc>
          <w:tcPr>
            <w:tcW w:w="1803" w:type="dxa"/>
          </w:tcPr>
          <w:p w14:paraId="2715B356"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6.11±2.31</w:t>
            </w:r>
            <w:r w:rsidRPr="00FF22DE">
              <w:rPr>
                <w:rFonts w:ascii="Times New Roman" w:hAnsi="Times New Roman"/>
                <w:sz w:val="24"/>
                <w:szCs w:val="24"/>
                <w:vertAlign w:val="superscript"/>
              </w:rPr>
              <w:t xml:space="preserve"> a</w:t>
            </w:r>
          </w:p>
        </w:tc>
        <w:tc>
          <w:tcPr>
            <w:tcW w:w="1836" w:type="dxa"/>
          </w:tcPr>
          <w:p w14:paraId="068DA78A"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6.53±1.80</w:t>
            </w:r>
            <w:r w:rsidRPr="00FF22DE">
              <w:rPr>
                <w:rFonts w:ascii="Times New Roman" w:hAnsi="Times New Roman"/>
                <w:sz w:val="24"/>
                <w:szCs w:val="24"/>
                <w:vertAlign w:val="superscript"/>
              </w:rPr>
              <w:t xml:space="preserve"> ab</w:t>
            </w:r>
          </w:p>
        </w:tc>
      </w:tr>
    </w:tbl>
    <w:p w14:paraId="3AC66A05" w14:textId="77777777" w:rsidR="002F719D" w:rsidRPr="00FF22DE" w:rsidRDefault="002F719D" w:rsidP="00A37ACD">
      <w:pPr>
        <w:spacing w:after="170" w:line="252" w:lineRule="auto"/>
        <w:jc w:val="both"/>
        <w:rPr>
          <w:rFonts w:ascii="Times New Roman" w:hAnsi="Times New Roman"/>
          <w:sz w:val="24"/>
          <w:szCs w:val="24"/>
        </w:rPr>
      </w:pPr>
      <w:r w:rsidRPr="00FF22DE">
        <w:rPr>
          <w:rFonts w:ascii="Times New Roman" w:hAnsi="Times New Roman"/>
          <w:sz w:val="24"/>
          <w:szCs w:val="24"/>
        </w:rPr>
        <w:lastRenderedPageBreak/>
        <w:t xml:space="preserve">Values are mean ± SD from 20 panelists. Different superscripts within a column indicate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.05). BJT = black </w:t>
      </w:r>
      <w:r w:rsidRPr="00FF22DE">
        <w:rPr>
          <w:rFonts w:ascii="Times New Roman" w:hAnsi="Times New Roman"/>
          <w:i/>
          <w:sz w:val="24"/>
          <w:szCs w:val="24"/>
        </w:rPr>
        <w:t>Jatropha</w:t>
      </w:r>
      <w:r w:rsidRPr="00FF22DE">
        <w:rPr>
          <w:rFonts w:ascii="Times New Roman" w:hAnsi="Times New Roman"/>
          <w:sz w:val="24"/>
          <w:szCs w:val="24"/>
        </w:rPr>
        <w:t xml:space="preserve"> tea; GJT = green </w:t>
      </w:r>
      <w:r w:rsidRPr="00FF22DE">
        <w:rPr>
          <w:rFonts w:ascii="Times New Roman" w:hAnsi="Times New Roman"/>
          <w:i/>
          <w:sz w:val="24"/>
          <w:szCs w:val="24"/>
        </w:rPr>
        <w:t>Jatropha</w:t>
      </w:r>
      <w:r w:rsidRPr="00FF22DE">
        <w:rPr>
          <w:rFonts w:ascii="Times New Roman" w:hAnsi="Times New Roman"/>
          <w:sz w:val="24"/>
          <w:szCs w:val="24"/>
        </w:rPr>
        <w:t xml:space="preserve"> tea; CBT = commercial black tea; CGT = commercial green tea.</w:t>
      </w:r>
    </w:p>
    <w:p w14:paraId="68DE1AC1" w14:textId="77777777" w:rsidR="00EB261D" w:rsidRPr="00535721" w:rsidRDefault="00EB261D" w:rsidP="00A37ACD">
      <w:pPr>
        <w:spacing w:after="170" w:line="252" w:lineRule="auto"/>
        <w:jc w:val="both"/>
        <w:rPr>
          <w:rFonts w:ascii="Times New Roman" w:hAnsi="Times New Roman"/>
          <w:sz w:val="28"/>
          <w:szCs w:val="28"/>
        </w:rPr>
      </w:pPr>
    </w:p>
    <w:p w14:paraId="2BB54F42" w14:textId="77777777" w:rsidR="00EB261D" w:rsidRPr="00FF22DE" w:rsidRDefault="00EB261D" w:rsidP="00A37ACD">
      <w:pPr>
        <w:spacing w:after="0" w:line="360" w:lineRule="auto"/>
        <w:jc w:val="both"/>
        <w:rPr>
          <w:rFonts w:ascii="Times New Roman" w:hAnsi="Times New Roman"/>
          <w:sz w:val="24"/>
          <w:szCs w:val="24"/>
        </w:rPr>
      </w:pPr>
      <w:r>
        <w:rPr>
          <w:rFonts w:ascii="Times New Roman" w:hAnsi="Times New Roman"/>
          <w:sz w:val="24"/>
          <w:szCs w:val="24"/>
        </w:rPr>
        <w:t xml:space="preserve">The results showed no significant difference (p ≥ 0.05) among the samples in terms of appearance, indicating that the visual characteristics of the formulated </w:t>
      </w:r>
      <w:r>
        <w:rPr>
          <w:rFonts w:ascii="Times New Roman" w:hAnsi="Times New Roman"/>
          <w:i/>
          <w:sz w:val="24"/>
          <w:szCs w:val="24"/>
        </w:rPr>
        <w:t>Jatropha tanjorensis</w:t>
      </w:r>
      <w:r>
        <w:rPr>
          <w:rFonts w:ascii="Times New Roman" w:hAnsi="Times New Roman"/>
          <w:sz w:val="24"/>
          <w:szCs w:val="24"/>
        </w:rPr>
        <w:t xml:space="preserve"> teas were comparable to those of the commercial tea products. Among the samples, CBT recorded the highest mean appearance score (7.75 ± 1.12), followed by CGT (7.32 ± 1.69), BJT (7.14 ± 1.45), and GJT (6.85 ± 1.57). The relatively high appearance scores observed across all samples suggest that the tea infusions possessed acceptable colour and visual appeal to the panel</w:t>
      </w:r>
      <w:r>
        <w:rPr>
          <w:rFonts w:ascii="Times New Roman" w:hAnsi="Times New Roman"/>
          <w:sz w:val="24"/>
          <w:szCs w:val="24"/>
          <w:highlight w:val="yellow"/>
        </w:rPr>
        <w:t>l</w:t>
      </w:r>
      <w:r>
        <w:rPr>
          <w:rFonts w:ascii="Times New Roman" w:hAnsi="Times New Roman"/>
          <w:sz w:val="24"/>
          <w:szCs w:val="24"/>
        </w:rPr>
        <w:t>ists.</w:t>
      </w:r>
    </w:p>
    <w:p w14:paraId="65AE5517" w14:textId="77777777" w:rsidR="00EB261D" w:rsidRPr="00FF22DE" w:rsidRDefault="00FF22DE" w:rsidP="00FF22DE">
      <w:pPr>
        <w:tabs>
          <w:tab w:val="left" w:pos="1909"/>
        </w:tabs>
        <w:spacing w:after="0" w:line="360" w:lineRule="auto"/>
        <w:jc w:val="both"/>
        <w:rPr>
          <w:rFonts w:ascii="Times New Roman" w:hAnsi="Times New Roman"/>
          <w:sz w:val="24"/>
          <w:szCs w:val="24"/>
        </w:rPr>
      </w:pPr>
      <w:r w:rsidRPr="00FF22DE">
        <w:rPr>
          <w:rFonts w:ascii="Times New Roman" w:hAnsi="Times New Roman"/>
          <w:sz w:val="24"/>
          <w:szCs w:val="24"/>
        </w:rPr>
        <w:tab/>
      </w:r>
    </w:p>
    <w:p w14:paraId="6C034372" w14:textId="77777777" w:rsidR="00EB261D" w:rsidRPr="00FF22DE" w:rsidRDefault="00EB261D" w:rsidP="00A37ACD">
      <w:pPr>
        <w:spacing w:after="0" w:line="360" w:lineRule="auto"/>
        <w:jc w:val="both"/>
        <w:rPr>
          <w:rFonts w:ascii="Times New Roman" w:hAnsi="Times New Roman"/>
          <w:sz w:val="24"/>
          <w:szCs w:val="24"/>
        </w:rPr>
      </w:pPr>
      <w:r>
        <w:rPr>
          <w:rFonts w:ascii="Times New Roman" w:hAnsi="Times New Roman"/>
          <w:sz w:val="24"/>
          <w:szCs w:val="24"/>
        </w:rPr>
        <w:t xml:space="preserve">For aroma, significant differences (p ≤ 0.05) were observed among the samples. CBT recorded the highest aroma score (7.60 ± 0.94), while GJT had the lowest score (6.25 ± 1.55). The comparatively lower aroma score for GJT may be attributed to differences in processing methods, as fermentation and oxidation processes involved in black tea production are known to enhance the development of aromatic compounds in tea beverages (Zhang et al., 2019). Nonetheless, the aroma scores of the </w:t>
      </w:r>
      <w:r>
        <w:rPr>
          <w:rFonts w:ascii="Times New Roman" w:hAnsi="Times New Roman"/>
          <w:i/>
          <w:sz w:val="24"/>
          <w:szCs w:val="24"/>
        </w:rPr>
        <w:t>Jatropha tanjorensis</w:t>
      </w:r>
      <w:r>
        <w:rPr>
          <w:rFonts w:ascii="Times New Roman" w:hAnsi="Times New Roman"/>
          <w:sz w:val="24"/>
          <w:szCs w:val="24"/>
        </w:rPr>
        <w:t xml:space="preserve"> teas were still within acceptable sensory ranges.</w:t>
      </w:r>
    </w:p>
    <w:p w14:paraId="543F626D" w14:textId="77777777" w:rsidR="00EB261D" w:rsidRPr="00FF22DE" w:rsidRDefault="00EB261D" w:rsidP="00A37ACD">
      <w:pPr>
        <w:spacing w:after="0" w:line="360" w:lineRule="auto"/>
        <w:jc w:val="both"/>
        <w:rPr>
          <w:rFonts w:ascii="Times New Roman" w:hAnsi="Times New Roman"/>
          <w:sz w:val="24"/>
          <w:szCs w:val="24"/>
        </w:rPr>
      </w:pPr>
    </w:p>
    <w:p w14:paraId="1EAFCCBC" w14:textId="77777777" w:rsidR="00EB261D" w:rsidRPr="00FF22DE" w:rsidRDefault="00EB261D" w:rsidP="00A37ACD">
      <w:pPr>
        <w:spacing w:after="0" w:line="360" w:lineRule="auto"/>
        <w:jc w:val="both"/>
        <w:rPr>
          <w:rFonts w:ascii="Times New Roman" w:hAnsi="Times New Roman"/>
          <w:sz w:val="24"/>
          <w:szCs w:val="24"/>
        </w:rPr>
      </w:pPr>
      <w:r>
        <w:rPr>
          <w:rFonts w:ascii="Times New Roman" w:hAnsi="Times New Roman"/>
          <w:sz w:val="24"/>
          <w:szCs w:val="24"/>
        </w:rPr>
        <w:t>The taste scores of the tea samples showed no significant difference (p ≥ 0.05) among the treatments. BJT recorded the highest taste score (6.48 ± 2.04), while GJT recorded the lowest score (5.60 ± 1.67). The slight variation in taste may be linked to the phytochemical composition of the teas. Compounds such as tannins and flavonoids contribute to the characteristic bitterness and astringency of tea beverages (</w:t>
      </w:r>
      <w:r>
        <w:rPr>
          <w:rFonts w:ascii="Times New Roman" w:hAnsi="Times New Roman"/>
          <w:sz w:val="24"/>
          <w:szCs w:val="24"/>
          <w:highlight w:val="yellow"/>
        </w:rPr>
        <w:t>Z</w:t>
      </w:r>
      <w:r>
        <w:rPr>
          <w:rFonts w:ascii="Times New Roman" w:hAnsi="Times New Roman"/>
          <w:sz w:val="24"/>
          <w:szCs w:val="24"/>
        </w:rPr>
        <w:t>ha</w:t>
      </w:r>
      <w:r>
        <w:rPr>
          <w:rFonts w:ascii="Times New Roman" w:hAnsi="Times New Roman"/>
          <w:sz w:val="24"/>
          <w:szCs w:val="24"/>
          <w:highlight w:val="yellow"/>
        </w:rPr>
        <w:t>ng</w:t>
      </w:r>
      <w:r>
        <w:rPr>
          <w:rFonts w:ascii="Times New Roman" w:hAnsi="Times New Roman"/>
          <w:sz w:val="24"/>
          <w:szCs w:val="24"/>
        </w:rPr>
        <w:t xml:space="preserve"> et al., 2020). As observed in the phytochemical analysis, the black </w:t>
      </w:r>
      <w:r>
        <w:rPr>
          <w:rFonts w:ascii="Times New Roman" w:hAnsi="Times New Roman"/>
          <w:i/>
          <w:sz w:val="24"/>
          <w:szCs w:val="24"/>
        </w:rPr>
        <w:t>Jatropha tanjorensis</w:t>
      </w:r>
      <w:r>
        <w:rPr>
          <w:rFonts w:ascii="Times New Roman" w:hAnsi="Times New Roman"/>
          <w:sz w:val="24"/>
          <w:szCs w:val="24"/>
        </w:rPr>
        <w:t xml:space="preserve"> tea contained higher </w:t>
      </w:r>
      <w:r>
        <w:rPr>
          <w:rFonts w:ascii="Times New Roman" w:hAnsi="Times New Roman"/>
          <w:sz w:val="24"/>
          <w:szCs w:val="24"/>
          <w:highlight w:val="yellow"/>
        </w:rPr>
        <w:t xml:space="preserve">tannin </w:t>
      </w:r>
      <w:r>
        <w:rPr>
          <w:rFonts w:ascii="Times New Roman" w:hAnsi="Times New Roman"/>
          <w:sz w:val="24"/>
          <w:szCs w:val="24"/>
        </w:rPr>
        <w:t>levels t</w:t>
      </w:r>
      <w:r>
        <w:rPr>
          <w:rFonts w:ascii="Times New Roman" w:hAnsi="Times New Roman"/>
          <w:sz w:val="24"/>
          <w:szCs w:val="24"/>
          <w:highlight w:val="yellow"/>
        </w:rPr>
        <w:t>h</w:t>
      </w:r>
      <w:r>
        <w:rPr>
          <w:rFonts w:ascii="Times New Roman" w:hAnsi="Times New Roman"/>
          <w:sz w:val="24"/>
          <w:szCs w:val="24"/>
        </w:rPr>
        <w:t>an the green tea sample, which may have influenced the perceived taste profile.</w:t>
      </w:r>
    </w:p>
    <w:p w14:paraId="594E19AB" w14:textId="77777777" w:rsidR="00C30E5E" w:rsidRPr="00FF22DE" w:rsidRDefault="00C30E5E" w:rsidP="00A37ACD">
      <w:pPr>
        <w:spacing w:after="0" w:line="360" w:lineRule="auto"/>
        <w:jc w:val="both"/>
        <w:rPr>
          <w:rFonts w:ascii="Times New Roman" w:hAnsi="Times New Roman"/>
          <w:sz w:val="24"/>
          <w:szCs w:val="24"/>
        </w:rPr>
      </w:pPr>
    </w:p>
    <w:p w14:paraId="243B9901" w14:textId="77777777" w:rsidR="00C30E5E" w:rsidRPr="00FF22DE" w:rsidRDefault="00C30E5E" w:rsidP="00A37ACD">
      <w:pPr>
        <w:spacing w:line="360" w:lineRule="auto"/>
        <w:jc w:val="both"/>
        <w:rPr>
          <w:rFonts w:ascii="Times New Roman" w:hAnsi="Times New Roman"/>
          <w:sz w:val="24"/>
          <w:szCs w:val="24"/>
        </w:rPr>
      </w:pPr>
      <w:r>
        <w:rPr>
          <w:rFonts w:ascii="Times New Roman" w:hAnsi="Times New Roman"/>
          <w:sz w:val="24"/>
          <w:szCs w:val="24"/>
        </w:rPr>
        <w:t xml:space="preserve">In terms of overall acceptability, significant differences (p ≤ 0.05) were observed among the samples. The commercial black tea (CBT) recorded the highest acceptability score (7.40 ± 1.14), while GJT recorded the lowest score (6.10 ± 1.74). However, the overall acceptability scores of BJT (6.62 ± 1.88) and CGT (6.53 ± 1.80) indicate that the formulated </w:t>
      </w:r>
      <w:r>
        <w:rPr>
          <w:rFonts w:ascii="Times New Roman" w:hAnsi="Times New Roman"/>
          <w:i/>
          <w:sz w:val="24"/>
          <w:szCs w:val="24"/>
        </w:rPr>
        <w:t>Jatropha tanjorensis</w:t>
      </w:r>
      <w:r>
        <w:rPr>
          <w:rFonts w:ascii="Times New Roman" w:hAnsi="Times New Roman"/>
          <w:sz w:val="24"/>
          <w:szCs w:val="24"/>
        </w:rPr>
        <w:t xml:space="preserve"> teas were moderately acceptable to the panel</w:t>
      </w:r>
      <w:r>
        <w:rPr>
          <w:rFonts w:ascii="Times New Roman" w:hAnsi="Times New Roman"/>
          <w:sz w:val="24"/>
          <w:szCs w:val="24"/>
          <w:highlight w:val="yellow"/>
        </w:rPr>
        <w:t>l</w:t>
      </w:r>
      <w:r>
        <w:rPr>
          <w:rFonts w:ascii="Times New Roman" w:hAnsi="Times New Roman"/>
          <w:sz w:val="24"/>
          <w:szCs w:val="24"/>
        </w:rPr>
        <w:t>ists and comparable to some commercial products.</w:t>
      </w:r>
    </w:p>
    <w:p w14:paraId="1D6973B6" w14:textId="77777777" w:rsidR="00C30E5E" w:rsidRPr="00FF22DE" w:rsidRDefault="00C30E5E" w:rsidP="00A37ACD">
      <w:pPr>
        <w:spacing w:line="360" w:lineRule="auto"/>
        <w:jc w:val="both"/>
        <w:rPr>
          <w:rFonts w:ascii="Times New Roman" w:hAnsi="Times New Roman"/>
          <w:sz w:val="24"/>
          <w:szCs w:val="24"/>
        </w:rPr>
      </w:pPr>
      <w:r>
        <w:rPr>
          <w:rFonts w:ascii="Times New Roman" w:hAnsi="Times New Roman"/>
          <w:sz w:val="24"/>
          <w:szCs w:val="24"/>
        </w:rPr>
        <w:lastRenderedPageBreak/>
        <w:t xml:space="preserve">The sensory results show that the processing treatments were associated with differences in selected sensory attributes rather than all attributes and that </w:t>
      </w:r>
      <w:r>
        <w:rPr>
          <w:rFonts w:ascii="Times New Roman" w:hAnsi="Times New Roman"/>
          <w:i/>
          <w:sz w:val="24"/>
          <w:szCs w:val="24"/>
        </w:rPr>
        <w:t>Jatropha tanjorensis</w:t>
      </w:r>
      <w:r>
        <w:rPr>
          <w:rFonts w:ascii="Times New Roman" w:hAnsi="Times New Roman"/>
          <w:sz w:val="24"/>
          <w:szCs w:val="24"/>
        </w:rPr>
        <w:t xml:space="preserve"> leaf tea possesses acceptable sensory characteristics, although the commercial tea samples recorded higher ratings. Nevertheless, the relatively good acceptability scores obtained for the </w:t>
      </w:r>
      <w:r>
        <w:rPr>
          <w:rFonts w:ascii="Times New Roman" w:hAnsi="Times New Roman"/>
          <w:i/>
          <w:sz w:val="24"/>
          <w:szCs w:val="24"/>
        </w:rPr>
        <w:t>Jatropha tanjorensis</w:t>
      </w:r>
      <w:r>
        <w:rPr>
          <w:rFonts w:ascii="Times New Roman" w:hAnsi="Times New Roman"/>
          <w:sz w:val="24"/>
          <w:szCs w:val="24"/>
        </w:rPr>
        <w:t xml:space="preserve"> teas indicate that the product has potential for development as a functional herbal beverage.</w:t>
      </w:r>
    </w:p>
    <w:p w14:paraId="7188D75E" w14:textId="77777777" w:rsidR="0054386C" w:rsidRPr="00FF22DE" w:rsidRDefault="0054386C" w:rsidP="00A37ACD">
      <w:pPr>
        <w:spacing w:line="360" w:lineRule="auto"/>
        <w:jc w:val="both"/>
        <w:rPr>
          <w:rFonts w:ascii="Times New Roman" w:hAnsi="Times New Roman"/>
          <w:sz w:val="24"/>
          <w:szCs w:val="24"/>
        </w:rPr>
      </w:pPr>
    </w:p>
    <w:p w14:paraId="29BB3194" w14:textId="77777777" w:rsidR="0054386C" w:rsidRPr="00FF22DE" w:rsidRDefault="0054386C" w:rsidP="00A37ACD">
      <w:pPr>
        <w:pStyle w:val="ListParagraph"/>
        <w:numPr>
          <w:ilvl w:val="0"/>
          <w:numId w:val="1"/>
        </w:numPr>
        <w:spacing w:line="360" w:lineRule="auto"/>
        <w:jc w:val="both"/>
        <w:rPr>
          <w:rFonts w:ascii="Times New Roman" w:hAnsi="Times New Roman"/>
          <w:b/>
          <w:sz w:val="24"/>
          <w:szCs w:val="24"/>
        </w:rPr>
      </w:pPr>
      <w:r w:rsidRPr="00FF22DE">
        <w:rPr>
          <w:rFonts w:ascii="Times New Roman" w:hAnsi="Times New Roman"/>
          <w:b/>
          <w:sz w:val="24"/>
          <w:szCs w:val="24"/>
        </w:rPr>
        <w:t>Conclusion</w:t>
      </w:r>
    </w:p>
    <w:p w14:paraId="0D69BB22" w14:textId="77777777" w:rsidR="0054386C" w:rsidRPr="00FF22DE" w:rsidRDefault="0054386C" w:rsidP="00A37ACD">
      <w:pPr>
        <w:spacing w:line="480" w:lineRule="auto"/>
        <w:jc w:val="both"/>
        <w:rPr>
          <w:sz w:val="24"/>
          <w:szCs w:val="24"/>
        </w:rPr>
      </w:pPr>
      <w:r>
        <w:rPr>
          <w:rFonts w:ascii="Times New Roman" w:hAnsi="Times New Roman"/>
          <w:sz w:val="24"/>
          <w:szCs w:val="24"/>
        </w:rPr>
        <w:t xml:space="preserve">This study demonstrated that processing </w:t>
      </w:r>
      <w:r>
        <w:rPr>
          <w:rFonts w:ascii="Times New Roman" w:hAnsi="Times New Roman"/>
          <w:i/>
          <w:sz w:val="24"/>
          <w:szCs w:val="24"/>
        </w:rPr>
        <w:t>J. tanjorensis</w:t>
      </w:r>
      <w:r>
        <w:rPr>
          <w:rFonts w:ascii="Times New Roman" w:hAnsi="Times New Roman"/>
          <w:sz w:val="24"/>
          <w:szCs w:val="24"/>
        </w:rPr>
        <w:t xml:space="preserve"> leaves into green and black herbal teas resulted in differences in phytochemical composition, selected micronutrient content and sensory characteristics. Black </w:t>
      </w:r>
      <w:r>
        <w:rPr>
          <w:rFonts w:ascii="Times New Roman" w:hAnsi="Times New Roman"/>
          <w:i/>
          <w:sz w:val="24"/>
          <w:szCs w:val="24"/>
        </w:rPr>
        <w:t>J. tanjorensis</w:t>
      </w:r>
      <w:r>
        <w:rPr>
          <w:rFonts w:ascii="Times New Roman" w:hAnsi="Times New Roman"/>
          <w:sz w:val="24"/>
          <w:szCs w:val="24"/>
        </w:rPr>
        <w:t xml:space="preserve"> tea contained higher levels of saponins, flavonoids, tannins and oxalates, whereas green tea had a higher alkaloid content. Under the processing conditions used in this study, green tea had higher measured concentrations of vitamin C, iron and zinc than black tea.</w:t>
      </w:r>
    </w:p>
    <w:p w14:paraId="2C3CBBF4" w14:textId="77777777" w:rsidR="0054386C" w:rsidRPr="00FF22DE" w:rsidRDefault="0054386C" w:rsidP="00A37ACD">
      <w:pPr>
        <w:spacing w:line="480" w:lineRule="auto"/>
        <w:jc w:val="both"/>
        <w:rPr>
          <w:rFonts w:ascii="Times New Roman" w:hAnsi="Times New Roman"/>
          <w:sz w:val="24"/>
          <w:szCs w:val="24"/>
        </w:rPr>
      </w:pPr>
      <w:r>
        <w:rPr>
          <w:rFonts w:ascii="Times New Roman" w:hAnsi="Times New Roman"/>
          <w:sz w:val="24"/>
          <w:szCs w:val="24"/>
        </w:rPr>
        <w:t xml:space="preserve">Sensory evaluation showed that appearance and taste did not differ significantly among the four samples, whereas aroma and overall acceptability differed significantly. Black </w:t>
      </w:r>
      <w:r>
        <w:rPr>
          <w:rFonts w:ascii="Times New Roman" w:hAnsi="Times New Roman"/>
          <w:i/>
          <w:sz w:val="24"/>
          <w:szCs w:val="24"/>
        </w:rPr>
        <w:t>J. tanjorensis</w:t>
      </w:r>
      <w:r>
        <w:rPr>
          <w:rFonts w:ascii="Times New Roman" w:hAnsi="Times New Roman"/>
          <w:sz w:val="24"/>
          <w:szCs w:val="24"/>
        </w:rPr>
        <w:t xml:space="preserve"> tea generally received higher sensory ratings than green </w:t>
      </w:r>
      <w:r>
        <w:rPr>
          <w:rFonts w:ascii="Times New Roman" w:hAnsi="Times New Roman"/>
          <w:i/>
          <w:sz w:val="24"/>
          <w:szCs w:val="24"/>
        </w:rPr>
        <w:t>J. tanjorensis</w:t>
      </w:r>
      <w:r>
        <w:rPr>
          <w:rFonts w:ascii="Times New Roman" w:hAnsi="Times New Roman"/>
          <w:sz w:val="24"/>
          <w:szCs w:val="24"/>
        </w:rPr>
        <w:t xml:space="preserve"> tea, while commercial black tea recorded the highest aroma and overall acceptability scores. The findings support further development of </w:t>
      </w:r>
      <w:r>
        <w:rPr>
          <w:rFonts w:ascii="Times New Roman" w:hAnsi="Times New Roman"/>
          <w:i/>
          <w:sz w:val="24"/>
          <w:szCs w:val="24"/>
        </w:rPr>
        <w:t>J. tanjorensis</w:t>
      </w:r>
      <w:r>
        <w:rPr>
          <w:rFonts w:ascii="Times New Roman" w:hAnsi="Times New Roman"/>
          <w:sz w:val="24"/>
          <w:szCs w:val="24"/>
        </w:rPr>
        <w:t xml:space="preserve"> leaves as a herbal tea ingredient, with processing conditions requiring consideration because they influence the resulting compositional and sensory characteristics.</w:t>
      </w:r>
    </w:p>
    <w:p w14:paraId="310346C0" w14:textId="77777777" w:rsidR="000503E7" w:rsidRPr="00FF22DE" w:rsidRDefault="000503E7" w:rsidP="00A37ACD">
      <w:pPr>
        <w:spacing w:line="480" w:lineRule="auto"/>
        <w:jc w:val="both"/>
        <w:rPr>
          <w:rFonts w:ascii="Times New Roman" w:hAnsi="Times New Roman"/>
          <w:b/>
          <w:sz w:val="24"/>
          <w:szCs w:val="24"/>
        </w:rPr>
      </w:pPr>
      <w:r w:rsidRPr="00FF22DE">
        <w:rPr>
          <w:rFonts w:ascii="Times New Roman" w:hAnsi="Times New Roman"/>
          <w:b/>
          <w:sz w:val="24"/>
          <w:szCs w:val="24"/>
        </w:rPr>
        <w:t>Limitations.</w:t>
      </w:r>
    </w:p>
    <w:p w14:paraId="65BDF5AF" w14:textId="77777777" w:rsidR="00CA095E" w:rsidRPr="00FF22DE" w:rsidRDefault="00CA095E" w:rsidP="00A37ACD">
      <w:pPr>
        <w:spacing w:line="480" w:lineRule="auto"/>
        <w:jc w:val="both"/>
        <w:rPr>
          <w:rFonts w:ascii="Times New Roman" w:hAnsi="Times New Roman"/>
          <w:sz w:val="24"/>
          <w:szCs w:val="24"/>
        </w:rPr>
      </w:pPr>
      <w:r>
        <w:rPr>
          <w:rFonts w:ascii="Times New Roman" w:hAnsi="Times New Roman"/>
          <w:sz w:val="24"/>
          <w:szCs w:val="24"/>
        </w:rPr>
        <w:t>This study was limited to selected phytochemicals and micronutrients; therefore</w:t>
      </w:r>
      <w:r>
        <w:rPr>
          <w:rFonts w:ascii="Times New Roman" w:hAnsi="Times New Roman"/>
          <w:sz w:val="24"/>
          <w:szCs w:val="24"/>
          <w:highlight w:val="yellow"/>
        </w:rPr>
        <w:t>,</w:t>
      </w:r>
      <w:r>
        <w:rPr>
          <w:rFonts w:ascii="Times New Roman" w:hAnsi="Times New Roman"/>
          <w:sz w:val="24"/>
          <w:szCs w:val="24"/>
        </w:rPr>
        <w:t xml:space="preserve"> changes in other bioactive and nutritional constituents of </w:t>
      </w:r>
      <w:r>
        <w:rPr>
          <w:rFonts w:ascii="Times New Roman" w:hAnsi="Times New Roman"/>
          <w:i/>
          <w:sz w:val="24"/>
          <w:szCs w:val="24"/>
        </w:rPr>
        <w:t>J. tanjorensis</w:t>
      </w:r>
      <w:r>
        <w:rPr>
          <w:rFonts w:ascii="Times New Roman" w:hAnsi="Times New Roman"/>
          <w:sz w:val="24"/>
          <w:szCs w:val="24"/>
        </w:rPr>
        <w:t xml:space="preserve"> </w:t>
      </w:r>
      <w:r>
        <w:rPr>
          <w:rFonts w:ascii="Times New Roman" w:hAnsi="Times New Roman"/>
          <w:sz w:val="24"/>
          <w:szCs w:val="24"/>
          <w:highlight w:val="yellow"/>
        </w:rPr>
        <w:t>a</w:t>
      </w:r>
      <w:r>
        <w:rPr>
          <w:rFonts w:ascii="Times New Roman" w:hAnsi="Times New Roman"/>
          <w:sz w:val="24"/>
          <w:szCs w:val="24"/>
        </w:rPr>
        <w:t>nd</w:t>
      </w:r>
      <w:r>
        <w:rPr>
          <w:rFonts w:ascii="Times New Roman" w:hAnsi="Times New Roman"/>
          <w:sz w:val="24"/>
          <w:szCs w:val="24"/>
          <w:highlight w:val="yellow"/>
        </w:rPr>
        <w:t xml:space="preserve"> the</w:t>
      </w:r>
      <w:r>
        <w:rPr>
          <w:rFonts w:ascii="Times New Roman" w:hAnsi="Times New Roman"/>
          <w:sz w:val="24"/>
          <w:szCs w:val="24"/>
        </w:rPr>
        <w:t xml:space="preserve"> bioavailability of minerals </w:t>
      </w:r>
      <w:r>
        <w:rPr>
          <w:rFonts w:ascii="Times New Roman" w:hAnsi="Times New Roman"/>
          <w:sz w:val="24"/>
          <w:szCs w:val="24"/>
          <w:highlight w:val="yellow"/>
        </w:rPr>
        <w:t xml:space="preserve">in the </w:t>
      </w:r>
      <w:r>
        <w:rPr>
          <w:rFonts w:ascii="Times New Roman" w:hAnsi="Times New Roman"/>
          <w:sz w:val="24"/>
          <w:szCs w:val="24"/>
        </w:rPr>
        <w:lastRenderedPageBreak/>
        <w:t xml:space="preserve">teas were not assessed. </w:t>
      </w:r>
      <w:r>
        <w:rPr>
          <w:rFonts w:ascii="Times New Roman" w:hAnsi="Times New Roman"/>
          <w:sz w:val="24"/>
          <w:szCs w:val="24"/>
          <w:highlight w:val="yellow"/>
        </w:rPr>
        <w:t>In additi</w:t>
      </w:r>
      <w:r>
        <w:rPr>
          <w:rFonts w:ascii="Times New Roman" w:hAnsi="Times New Roman"/>
          <w:sz w:val="24"/>
          <w:szCs w:val="24"/>
        </w:rPr>
        <w:t>o</w:t>
      </w:r>
      <w:r>
        <w:rPr>
          <w:rFonts w:ascii="Times New Roman" w:hAnsi="Times New Roman"/>
          <w:sz w:val="24"/>
          <w:szCs w:val="24"/>
          <w:highlight w:val="yellow"/>
        </w:rPr>
        <w:t>n</w:t>
      </w:r>
      <w:r>
        <w:rPr>
          <w:rFonts w:ascii="Times New Roman" w:hAnsi="Times New Roman"/>
          <w:sz w:val="24"/>
          <w:szCs w:val="24"/>
        </w:rPr>
        <w:t>, sensory evaluation involved 20 pane</w:t>
      </w:r>
      <w:r>
        <w:rPr>
          <w:rFonts w:ascii="Times New Roman" w:hAnsi="Times New Roman"/>
          <w:sz w:val="24"/>
          <w:szCs w:val="24"/>
          <w:highlight w:val="yellow"/>
        </w:rPr>
        <w:t>l</w:t>
      </w:r>
      <w:r>
        <w:rPr>
          <w:rFonts w:ascii="Times New Roman" w:hAnsi="Times New Roman"/>
          <w:sz w:val="24"/>
          <w:szCs w:val="24"/>
        </w:rPr>
        <w:t xml:space="preserve">lists, and the responses may not fully represent the preferences of the wider consumer population. Furthermore, because the green and black teas differed in more than one processing condition, the individual contribution of specific processing steps to the observed differences in phytochemical and micronutrient composition could not be isolated. Further studies should therefore evaluate individual processing variables to determine their specific effects on the chemical composition of the teas. Future research should also include bioavailability studies and large-scale consumer acceptability studies to further validate the potential of </w:t>
      </w:r>
      <w:r>
        <w:rPr>
          <w:rFonts w:ascii="Times New Roman" w:hAnsi="Times New Roman"/>
          <w:i/>
          <w:sz w:val="24"/>
          <w:szCs w:val="24"/>
        </w:rPr>
        <w:t>J. tanjorensis</w:t>
      </w:r>
      <w:r>
        <w:rPr>
          <w:rFonts w:ascii="Times New Roman" w:hAnsi="Times New Roman"/>
          <w:sz w:val="24"/>
          <w:szCs w:val="24"/>
        </w:rPr>
        <w:t xml:space="preserve"> leaves as a functional tea.</w:t>
      </w:r>
    </w:p>
    <w:p w14:paraId="438734C8" w14:textId="77777777" w:rsidR="00014B5C" w:rsidRDefault="00014B5C" w:rsidP="00014B5C">
      <w:pPr>
        <w:spacing w:after="0" w:line="240" w:lineRule="auto"/>
        <w:rPr>
          <w:rFonts w:ascii="Times New Roman" w:hAnsi="Times New Roman"/>
          <w:b/>
        </w:rPr>
      </w:pPr>
      <w:r w:rsidRPr="000839CE">
        <w:rPr>
          <w:rFonts w:ascii="Times New Roman" w:hAnsi="Times New Roman"/>
          <w:b/>
        </w:rPr>
        <w:t>Declaration of AI Use</w:t>
      </w:r>
    </w:p>
    <w:p w14:paraId="3500C050" w14:textId="77777777" w:rsidR="00014B5C" w:rsidRDefault="00014B5C" w:rsidP="00014B5C">
      <w:pPr>
        <w:spacing w:after="0" w:line="240" w:lineRule="auto"/>
        <w:rPr>
          <w:rFonts w:ascii="Times New Roman" w:hAnsi="Times New Roman"/>
          <w:b/>
        </w:rPr>
      </w:pPr>
    </w:p>
    <w:p w14:paraId="78DE86DD" w14:textId="77777777" w:rsidR="00014B5C" w:rsidRDefault="00014B5C" w:rsidP="00014B5C">
      <w:pPr>
        <w:spacing w:after="0" w:line="240" w:lineRule="auto"/>
        <w:rPr>
          <w:rFonts w:ascii="Times New Roman" w:hAnsi="Times New Roman"/>
          <w:b/>
        </w:rPr>
      </w:pPr>
    </w:p>
    <w:p w14:paraId="0BE8C945" w14:textId="77777777" w:rsidR="00014B5C" w:rsidRDefault="00014B5C" w:rsidP="00014B5C">
      <w:pPr>
        <w:spacing w:after="0" w:line="240" w:lineRule="auto"/>
        <w:rPr>
          <w:rFonts w:ascii="Times New Roman" w:hAnsi="Times New Roman"/>
          <w:b/>
        </w:rPr>
      </w:pPr>
    </w:p>
    <w:p w14:paraId="7C7E0EA4" w14:textId="77777777" w:rsidR="00014B5C" w:rsidRPr="002D08AC" w:rsidRDefault="00014B5C" w:rsidP="00014B5C">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B049AB9" w14:textId="77777777" w:rsidR="000503E7" w:rsidRPr="00FF22DE" w:rsidRDefault="000503E7" w:rsidP="00A37ACD">
      <w:pPr>
        <w:spacing w:line="480" w:lineRule="auto"/>
        <w:jc w:val="both"/>
        <w:rPr>
          <w:rFonts w:ascii="Times New Roman" w:hAnsi="Times New Roman"/>
          <w:b/>
          <w:sz w:val="24"/>
          <w:szCs w:val="24"/>
        </w:rPr>
      </w:pPr>
      <w:r w:rsidRPr="00FF22DE">
        <w:rPr>
          <w:rFonts w:ascii="Times New Roman" w:hAnsi="Times New Roman"/>
          <w:b/>
          <w:sz w:val="24"/>
          <w:szCs w:val="24"/>
        </w:rPr>
        <w:t>Competing interests</w:t>
      </w:r>
    </w:p>
    <w:p w14:paraId="4AB06979" w14:textId="77777777" w:rsidR="000503E7" w:rsidRPr="00FF22DE" w:rsidRDefault="000503E7" w:rsidP="00A37ACD">
      <w:pPr>
        <w:spacing w:line="480" w:lineRule="auto"/>
        <w:jc w:val="both"/>
        <w:rPr>
          <w:rFonts w:ascii="Times New Roman" w:hAnsi="Times New Roman"/>
          <w:sz w:val="24"/>
          <w:szCs w:val="24"/>
        </w:rPr>
      </w:pPr>
      <w:r w:rsidRPr="00FF22DE">
        <w:rPr>
          <w:rFonts w:ascii="Times New Roman" w:hAnsi="Times New Roman"/>
          <w:sz w:val="24"/>
          <w:szCs w:val="24"/>
        </w:rPr>
        <w:t>Authors have declared that no competing interests exist.</w:t>
      </w:r>
    </w:p>
    <w:p w14:paraId="6CCB1E9F" w14:textId="77777777" w:rsidR="000503E7" w:rsidRDefault="000503E7" w:rsidP="00A37ACD">
      <w:pPr>
        <w:spacing w:line="480" w:lineRule="auto"/>
        <w:jc w:val="both"/>
        <w:rPr>
          <w:rFonts w:ascii="Times New Roman" w:hAnsi="Times New Roman"/>
          <w:b/>
          <w:sz w:val="24"/>
          <w:szCs w:val="24"/>
        </w:rPr>
      </w:pPr>
      <w:r w:rsidRPr="00FF22DE">
        <w:rPr>
          <w:rFonts w:ascii="Times New Roman" w:hAnsi="Times New Roman"/>
          <w:b/>
          <w:sz w:val="24"/>
          <w:szCs w:val="24"/>
        </w:rPr>
        <w:t xml:space="preserve">References </w:t>
      </w:r>
    </w:p>
    <w:p w14:paraId="22E1B1BA"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Aaqil, M., Kamil, M., Kamal, A., Nawaz, T., Peng, C., Alaraidh, I. A., Al-Amri, S. S., Okla, M. K., Hou, Y., Fahad, S., &amp; Gong, J. (2024). Metabolomics reveals a differential attitude in phytochemical profile of black tea (Camellia sinensis var. </w:t>
      </w:r>
      <w:proofErr w:type="spellStart"/>
      <w:r w:rsidRPr="003F0228">
        <w:rPr>
          <w:rFonts w:ascii="Times New Roman" w:eastAsia="Times New Roman" w:hAnsi="Times New Roman"/>
          <w:sz w:val="24"/>
          <w:szCs w:val="24"/>
          <w:lang w:eastAsia="en-US"/>
        </w:rPr>
        <w:t>assamica</w:t>
      </w:r>
      <w:proofErr w:type="spellEnd"/>
      <w:r w:rsidRPr="003F0228">
        <w:rPr>
          <w:rFonts w:ascii="Times New Roman" w:eastAsia="Times New Roman" w:hAnsi="Times New Roman"/>
          <w:sz w:val="24"/>
          <w:szCs w:val="24"/>
          <w:lang w:eastAsia="en-US"/>
        </w:rPr>
        <w:t xml:space="preserve">) during processing. Food Chemistry: X, 24, Article 101899. </w:t>
      </w:r>
      <w:hyperlink r:id="rId8" w:history="1">
        <w:r w:rsidRPr="003F0228">
          <w:rPr>
            <w:rFonts w:ascii="Times New Roman" w:eastAsia="Times New Roman" w:hAnsi="Times New Roman"/>
            <w:color w:val="0000FF"/>
            <w:sz w:val="24"/>
            <w:szCs w:val="24"/>
            <w:u w:val="single"/>
            <w:lang w:eastAsia="en-US"/>
          </w:rPr>
          <w:t>https://doi.org/10.1016/j.fochx.2024.101899</w:t>
        </w:r>
      </w:hyperlink>
    </w:p>
    <w:p w14:paraId="476BE0CC"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Aaqil, M., Peng, C., Kamal, A., Nawaz, T., Zhang, F., &amp; Gong, J. (2023). Tea harvesting and processing techniques and its effect on phytochemical profile and final quality of black tea: A review. Foods, 12(24), Article 4467. </w:t>
      </w:r>
      <w:hyperlink r:id="rId9" w:history="1">
        <w:r w:rsidRPr="003F0228">
          <w:rPr>
            <w:rFonts w:ascii="Times New Roman" w:eastAsia="Times New Roman" w:hAnsi="Times New Roman"/>
            <w:color w:val="0000FF"/>
            <w:sz w:val="24"/>
            <w:szCs w:val="24"/>
            <w:u w:val="single"/>
            <w:lang w:eastAsia="en-US"/>
          </w:rPr>
          <w:t>https://doi.org/10.3390/foods12244467</w:t>
        </w:r>
      </w:hyperlink>
    </w:p>
    <w:p w14:paraId="109BBCBE"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Abbaspour, N., Hurrell, R., &amp; </w:t>
      </w:r>
      <w:proofErr w:type="spellStart"/>
      <w:r w:rsidRPr="003F0228">
        <w:rPr>
          <w:rFonts w:ascii="Times New Roman" w:eastAsia="Times New Roman" w:hAnsi="Times New Roman"/>
          <w:sz w:val="24"/>
          <w:szCs w:val="24"/>
          <w:lang w:eastAsia="en-US"/>
        </w:rPr>
        <w:t>Kelishadi</w:t>
      </w:r>
      <w:proofErr w:type="spellEnd"/>
      <w:r w:rsidRPr="003F0228">
        <w:rPr>
          <w:rFonts w:ascii="Times New Roman" w:eastAsia="Times New Roman" w:hAnsi="Times New Roman"/>
          <w:sz w:val="24"/>
          <w:szCs w:val="24"/>
          <w:lang w:eastAsia="en-US"/>
        </w:rPr>
        <w:t xml:space="preserve">, R. (2014). Review on iron and its importance for human health. Journal of Research in Medical Sciences, 19(2), 164–174. </w:t>
      </w:r>
      <w:hyperlink r:id="rId10" w:history="1">
        <w:r w:rsidRPr="003F0228">
          <w:rPr>
            <w:rFonts w:ascii="Times New Roman" w:eastAsia="Times New Roman" w:hAnsi="Times New Roman"/>
            <w:color w:val="0000FF"/>
            <w:sz w:val="24"/>
            <w:szCs w:val="24"/>
            <w:u w:val="single"/>
            <w:lang w:eastAsia="en-US"/>
          </w:rPr>
          <w:t>https://jrms.mui.ac.ir/index.php/jrms/article/view/9860</w:t>
        </w:r>
      </w:hyperlink>
    </w:p>
    <w:p w14:paraId="41A47534"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lastRenderedPageBreak/>
        <w:t xml:space="preserve">Akhigbe, A. O., </w:t>
      </w:r>
      <w:proofErr w:type="spellStart"/>
      <w:r w:rsidRPr="003F0228">
        <w:rPr>
          <w:rFonts w:ascii="Times New Roman" w:eastAsia="Times New Roman" w:hAnsi="Times New Roman"/>
          <w:sz w:val="24"/>
          <w:szCs w:val="24"/>
          <w:lang w:eastAsia="en-US"/>
        </w:rPr>
        <w:t>Idu</w:t>
      </w:r>
      <w:proofErr w:type="spellEnd"/>
      <w:r w:rsidRPr="003F0228">
        <w:rPr>
          <w:rFonts w:ascii="Times New Roman" w:eastAsia="Times New Roman" w:hAnsi="Times New Roman"/>
          <w:sz w:val="24"/>
          <w:szCs w:val="24"/>
          <w:lang w:eastAsia="en-US"/>
        </w:rPr>
        <w:t xml:space="preserve">, M., </w:t>
      </w:r>
      <w:proofErr w:type="spellStart"/>
      <w:r w:rsidRPr="003F0228">
        <w:rPr>
          <w:rFonts w:ascii="Times New Roman" w:eastAsia="Times New Roman" w:hAnsi="Times New Roman"/>
          <w:sz w:val="24"/>
          <w:szCs w:val="24"/>
          <w:lang w:eastAsia="en-US"/>
        </w:rPr>
        <w:t>Orhue</w:t>
      </w:r>
      <w:proofErr w:type="spellEnd"/>
      <w:r w:rsidRPr="003F0228">
        <w:rPr>
          <w:rFonts w:ascii="Times New Roman" w:eastAsia="Times New Roman" w:hAnsi="Times New Roman"/>
          <w:sz w:val="24"/>
          <w:szCs w:val="24"/>
          <w:lang w:eastAsia="en-US"/>
        </w:rPr>
        <w:t xml:space="preserve">, E. S., Ataman, J. E., &amp; </w:t>
      </w:r>
      <w:proofErr w:type="spellStart"/>
      <w:r w:rsidRPr="003F0228">
        <w:rPr>
          <w:rFonts w:ascii="Times New Roman" w:eastAsia="Times New Roman" w:hAnsi="Times New Roman"/>
          <w:sz w:val="24"/>
          <w:szCs w:val="24"/>
          <w:lang w:eastAsia="en-US"/>
        </w:rPr>
        <w:t>Ehimwenman</w:t>
      </w:r>
      <w:proofErr w:type="spellEnd"/>
      <w:r w:rsidRPr="003F0228">
        <w:rPr>
          <w:rFonts w:ascii="Times New Roman" w:eastAsia="Times New Roman" w:hAnsi="Times New Roman"/>
          <w:sz w:val="24"/>
          <w:szCs w:val="24"/>
          <w:lang w:eastAsia="en-US"/>
        </w:rPr>
        <w:t xml:space="preserve">, S. O. (2009). Effect of Jatropha </w:t>
      </w:r>
      <w:proofErr w:type="spellStart"/>
      <w:r w:rsidRPr="003F0228">
        <w:rPr>
          <w:rFonts w:ascii="Times New Roman" w:eastAsia="Times New Roman" w:hAnsi="Times New Roman"/>
          <w:sz w:val="24"/>
          <w:szCs w:val="24"/>
          <w:lang w:eastAsia="en-US"/>
        </w:rPr>
        <w:t>tanjorensis</w:t>
      </w:r>
      <w:proofErr w:type="spellEnd"/>
      <w:r w:rsidRPr="003F0228">
        <w:rPr>
          <w:rFonts w:ascii="Times New Roman" w:eastAsia="Times New Roman" w:hAnsi="Times New Roman"/>
          <w:sz w:val="24"/>
          <w:szCs w:val="24"/>
          <w:lang w:eastAsia="en-US"/>
        </w:rPr>
        <w:t xml:space="preserve"> J. L. Ellis and </w:t>
      </w:r>
      <w:proofErr w:type="spellStart"/>
      <w:r w:rsidRPr="003F0228">
        <w:rPr>
          <w:rFonts w:ascii="Times New Roman" w:eastAsia="Times New Roman" w:hAnsi="Times New Roman"/>
          <w:sz w:val="24"/>
          <w:szCs w:val="24"/>
          <w:lang w:eastAsia="en-US"/>
        </w:rPr>
        <w:t>Soroja</w:t>
      </w:r>
      <w:proofErr w:type="spellEnd"/>
      <w:r w:rsidRPr="003F0228">
        <w:rPr>
          <w:rFonts w:ascii="Times New Roman" w:eastAsia="Times New Roman" w:hAnsi="Times New Roman"/>
          <w:sz w:val="24"/>
          <w:szCs w:val="24"/>
          <w:lang w:eastAsia="en-US"/>
        </w:rPr>
        <w:t xml:space="preserve"> leaves in rabbits: Biochemistry and ultrasonography. Research Journal of Medicinal Plants, 3(1), 29–33. </w:t>
      </w:r>
      <w:hyperlink r:id="rId11" w:history="1">
        <w:r w:rsidRPr="003F0228">
          <w:rPr>
            <w:rFonts w:ascii="Times New Roman" w:eastAsia="Times New Roman" w:hAnsi="Times New Roman"/>
            <w:color w:val="0000FF"/>
            <w:sz w:val="24"/>
            <w:szCs w:val="24"/>
            <w:u w:val="single"/>
            <w:lang w:eastAsia="en-US"/>
          </w:rPr>
          <w:t>https://doi.org/10.3923/rjmp.2009.29.33</w:t>
        </w:r>
      </w:hyperlink>
    </w:p>
    <w:p w14:paraId="5D311DDC"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Akinboye</w:t>
      </w:r>
      <w:proofErr w:type="spellEnd"/>
      <w:r w:rsidRPr="003F0228">
        <w:rPr>
          <w:rFonts w:ascii="Times New Roman" w:eastAsia="Times New Roman" w:hAnsi="Times New Roman"/>
          <w:sz w:val="24"/>
          <w:szCs w:val="24"/>
          <w:lang w:eastAsia="en-US"/>
        </w:rPr>
        <w:t xml:space="preserve">, A. J., Kim, K., Choi, S., Yang, I., &amp; Lee, J.-G. (2023). Alkaloids in food: A review of toxicity, analytical methods, occurrence and risk assessments. Food Science and Biotechnology, 32(9), 1133–1158. </w:t>
      </w:r>
      <w:hyperlink r:id="rId12" w:history="1">
        <w:r w:rsidRPr="003F0228">
          <w:rPr>
            <w:rFonts w:ascii="Times New Roman" w:eastAsia="Times New Roman" w:hAnsi="Times New Roman"/>
            <w:color w:val="0000FF"/>
            <w:sz w:val="24"/>
            <w:szCs w:val="24"/>
            <w:u w:val="single"/>
            <w:lang w:eastAsia="en-US"/>
          </w:rPr>
          <w:t>https://doi.org/10.1007/s10068-023-01295-0</w:t>
        </w:r>
      </w:hyperlink>
    </w:p>
    <w:p w14:paraId="4053762F"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Anhwange</w:t>
      </w:r>
      <w:proofErr w:type="spellEnd"/>
      <w:r w:rsidRPr="003F0228">
        <w:rPr>
          <w:rFonts w:ascii="Times New Roman" w:eastAsia="Times New Roman" w:hAnsi="Times New Roman"/>
          <w:sz w:val="24"/>
          <w:szCs w:val="24"/>
          <w:lang w:eastAsia="en-US"/>
        </w:rPr>
        <w:t xml:space="preserve">, B. A., </w:t>
      </w:r>
      <w:proofErr w:type="spellStart"/>
      <w:r w:rsidRPr="003F0228">
        <w:rPr>
          <w:rFonts w:ascii="Times New Roman" w:eastAsia="Times New Roman" w:hAnsi="Times New Roman"/>
          <w:sz w:val="24"/>
          <w:szCs w:val="24"/>
          <w:lang w:eastAsia="en-US"/>
        </w:rPr>
        <w:t>Agbidye</w:t>
      </w:r>
      <w:proofErr w:type="spellEnd"/>
      <w:r w:rsidRPr="003F0228">
        <w:rPr>
          <w:rFonts w:ascii="Times New Roman" w:eastAsia="Times New Roman" w:hAnsi="Times New Roman"/>
          <w:sz w:val="24"/>
          <w:szCs w:val="24"/>
          <w:lang w:eastAsia="en-US"/>
        </w:rPr>
        <w:t xml:space="preserve">, I. G., </w:t>
      </w:r>
      <w:proofErr w:type="spellStart"/>
      <w:r w:rsidRPr="003F0228">
        <w:rPr>
          <w:rFonts w:ascii="Times New Roman" w:eastAsia="Times New Roman" w:hAnsi="Times New Roman"/>
          <w:sz w:val="24"/>
          <w:szCs w:val="24"/>
          <w:lang w:eastAsia="en-US"/>
        </w:rPr>
        <w:t>Kyenge</w:t>
      </w:r>
      <w:proofErr w:type="spellEnd"/>
      <w:r w:rsidRPr="003F0228">
        <w:rPr>
          <w:rFonts w:ascii="Times New Roman" w:eastAsia="Times New Roman" w:hAnsi="Times New Roman"/>
          <w:sz w:val="24"/>
          <w:szCs w:val="24"/>
          <w:lang w:eastAsia="en-US"/>
        </w:rPr>
        <w:t xml:space="preserve">, B. A., &amp; </w:t>
      </w:r>
      <w:proofErr w:type="spellStart"/>
      <w:r w:rsidRPr="003F0228">
        <w:rPr>
          <w:rFonts w:ascii="Times New Roman" w:eastAsia="Times New Roman" w:hAnsi="Times New Roman"/>
          <w:sz w:val="24"/>
          <w:szCs w:val="24"/>
          <w:lang w:eastAsia="en-US"/>
        </w:rPr>
        <w:t>Ngbede</w:t>
      </w:r>
      <w:proofErr w:type="spellEnd"/>
      <w:r w:rsidRPr="003F0228">
        <w:rPr>
          <w:rFonts w:ascii="Times New Roman" w:eastAsia="Times New Roman" w:hAnsi="Times New Roman"/>
          <w:sz w:val="24"/>
          <w:szCs w:val="24"/>
          <w:lang w:eastAsia="en-US"/>
        </w:rPr>
        <w:t xml:space="preserve">, P. O. (2019). Phytochemical screening, antimicrobial activities and nutritional content of Jatropha </w:t>
      </w:r>
      <w:proofErr w:type="spellStart"/>
      <w:r w:rsidRPr="003F0228">
        <w:rPr>
          <w:rFonts w:ascii="Times New Roman" w:eastAsia="Times New Roman" w:hAnsi="Times New Roman"/>
          <w:sz w:val="24"/>
          <w:szCs w:val="24"/>
          <w:lang w:eastAsia="en-US"/>
        </w:rPr>
        <w:t>tanjorensis</w:t>
      </w:r>
      <w:proofErr w:type="spellEnd"/>
      <w:r w:rsidRPr="003F0228">
        <w:rPr>
          <w:rFonts w:ascii="Times New Roman" w:eastAsia="Times New Roman" w:hAnsi="Times New Roman"/>
          <w:sz w:val="24"/>
          <w:szCs w:val="24"/>
          <w:lang w:eastAsia="en-US"/>
        </w:rPr>
        <w:t xml:space="preserve"> leaves. Nigerian Annals of Pure and Applied Sciences, 2, 108–113. </w:t>
      </w:r>
      <w:hyperlink r:id="rId13" w:history="1">
        <w:r w:rsidRPr="003F0228">
          <w:rPr>
            <w:rFonts w:ascii="Times New Roman" w:eastAsia="Times New Roman" w:hAnsi="Times New Roman"/>
            <w:color w:val="0000FF"/>
            <w:sz w:val="24"/>
            <w:szCs w:val="24"/>
            <w:u w:val="single"/>
            <w:lang w:eastAsia="en-US"/>
          </w:rPr>
          <w:t>https://doi.org/10.46912/napas.114</w:t>
        </w:r>
      </w:hyperlink>
    </w:p>
    <w:p w14:paraId="5CE9CD2D"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Latimer, G. W., Jr. (Ed.). (2019). Official methods of analysis of AOAC International (21st ed.). AOAC International. </w:t>
      </w:r>
      <w:hyperlink r:id="rId14" w:history="1">
        <w:r w:rsidRPr="003F0228">
          <w:rPr>
            <w:rFonts w:ascii="Times New Roman" w:eastAsia="Times New Roman" w:hAnsi="Times New Roman"/>
            <w:color w:val="0000FF"/>
            <w:sz w:val="24"/>
            <w:szCs w:val="24"/>
            <w:u w:val="single"/>
            <w:lang w:eastAsia="en-US"/>
          </w:rPr>
          <w:t>https://members.aoac.org/AOAC/AOAC/Item_Detail.aspx?Category=OMA&amp;iProductCode=1121</w:t>
        </w:r>
      </w:hyperlink>
    </w:p>
    <w:p w14:paraId="608A039F"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Awlqadr, F. H., Qadir, S. A., </w:t>
      </w:r>
      <w:proofErr w:type="spellStart"/>
      <w:r w:rsidRPr="003F0228">
        <w:rPr>
          <w:rFonts w:ascii="Times New Roman" w:eastAsia="Times New Roman" w:hAnsi="Times New Roman"/>
          <w:sz w:val="24"/>
          <w:szCs w:val="24"/>
          <w:lang w:eastAsia="en-US"/>
        </w:rPr>
        <w:t>Altemimi</w:t>
      </w:r>
      <w:proofErr w:type="spellEnd"/>
      <w:r w:rsidRPr="003F0228">
        <w:rPr>
          <w:rFonts w:ascii="Times New Roman" w:eastAsia="Times New Roman" w:hAnsi="Times New Roman"/>
          <w:sz w:val="24"/>
          <w:szCs w:val="24"/>
          <w:lang w:eastAsia="en-US"/>
        </w:rPr>
        <w:t xml:space="preserve">, A. B., </w:t>
      </w:r>
      <w:proofErr w:type="spellStart"/>
      <w:r w:rsidRPr="003F0228">
        <w:rPr>
          <w:rFonts w:ascii="Times New Roman" w:eastAsia="Times New Roman" w:hAnsi="Times New Roman"/>
          <w:sz w:val="24"/>
          <w:szCs w:val="24"/>
          <w:lang w:eastAsia="en-US"/>
        </w:rPr>
        <w:t>Tlay</w:t>
      </w:r>
      <w:proofErr w:type="spellEnd"/>
      <w:r w:rsidRPr="003F0228">
        <w:rPr>
          <w:rFonts w:ascii="Times New Roman" w:eastAsia="Times New Roman" w:hAnsi="Times New Roman"/>
          <w:sz w:val="24"/>
          <w:szCs w:val="24"/>
          <w:lang w:eastAsia="en-US"/>
        </w:rPr>
        <w:t xml:space="preserve">, R. H., Saeed, M. N., Mohammed, O. A., &amp; </w:t>
      </w:r>
      <w:proofErr w:type="spellStart"/>
      <w:r w:rsidRPr="003F0228">
        <w:rPr>
          <w:rFonts w:ascii="Times New Roman" w:eastAsia="Times New Roman" w:hAnsi="Times New Roman"/>
          <w:sz w:val="24"/>
          <w:szCs w:val="24"/>
          <w:lang w:eastAsia="en-US"/>
        </w:rPr>
        <w:t>Abedelmaksoud</w:t>
      </w:r>
      <w:proofErr w:type="spellEnd"/>
      <w:r w:rsidRPr="003F0228">
        <w:rPr>
          <w:rFonts w:ascii="Times New Roman" w:eastAsia="Times New Roman" w:hAnsi="Times New Roman"/>
          <w:sz w:val="24"/>
          <w:szCs w:val="24"/>
          <w:lang w:eastAsia="en-US"/>
        </w:rPr>
        <w:t xml:space="preserve">, T. G. (2026). Innovations in herbal functional beverages: From green formulation and bioactivity preservation to sensory optimization and regulatory safety. Food Science &amp; Nutrition, 14(5), Article e71776. </w:t>
      </w:r>
      <w:hyperlink r:id="rId15" w:history="1">
        <w:r w:rsidRPr="003F0228">
          <w:rPr>
            <w:rFonts w:ascii="Times New Roman" w:eastAsia="Times New Roman" w:hAnsi="Times New Roman"/>
            <w:color w:val="0000FF"/>
            <w:sz w:val="24"/>
            <w:szCs w:val="24"/>
            <w:u w:val="single"/>
            <w:lang w:eastAsia="en-US"/>
          </w:rPr>
          <w:t>https://doi.org/10.1002/fsn3.71776</w:t>
        </w:r>
      </w:hyperlink>
    </w:p>
    <w:p w14:paraId="29B9C5F3"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Carr, A. C., &amp; Maggini, S. (2017). Vitamin C and immune function. Nutrients, 9(11), Article 1211. </w:t>
      </w:r>
      <w:hyperlink r:id="rId16" w:history="1">
        <w:r w:rsidRPr="003F0228">
          <w:rPr>
            <w:rFonts w:ascii="Times New Roman" w:eastAsia="Times New Roman" w:hAnsi="Times New Roman"/>
            <w:color w:val="0000FF"/>
            <w:sz w:val="24"/>
            <w:szCs w:val="24"/>
            <w:u w:val="single"/>
            <w:lang w:eastAsia="en-US"/>
          </w:rPr>
          <w:t>https://doi.org/10.3390/nu9111211</w:t>
        </w:r>
      </w:hyperlink>
    </w:p>
    <w:p w14:paraId="56EBD74A"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Chung, K. T., Wong, T. Y., Wei, C. I., Huang, Y. W., &amp; Lin, Y. (1998). Tannins and human health: A review. Critical Reviews in Food Science and Nutrition, 38(6), 421–464. </w:t>
      </w:r>
      <w:hyperlink r:id="rId17" w:history="1">
        <w:r w:rsidRPr="003F0228">
          <w:rPr>
            <w:rFonts w:ascii="Times New Roman" w:eastAsia="Times New Roman" w:hAnsi="Times New Roman"/>
            <w:color w:val="0000FF"/>
            <w:sz w:val="24"/>
            <w:szCs w:val="24"/>
            <w:u w:val="single"/>
            <w:lang w:eastAsia="en-US"/>
          </w:rPr>
          <w:t>https://doi.org/10.1080/10408699891274273</w:t>
        </w:r>
      </w:hyperlink>
    </w:p>
    <w:p w14:paraId="30AF0DD2"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Deka, A., &amp; Vita, J. A. (2011). Tea and cardiovascular disease. Pharmacological Research, 64(2), 136–145. </w:t>
      </w:r>
      <w:hyperlink r:id="rId18" w:history="1">
        <w:r w:rsidRPr="003F0228">
          <w:rPr>
            <w:rFonts w:ascii="Times New Roman" w:eastAsia="Times New Roman" w:hAnsi="Times New Roman"/>
            <w:color w:val="0000FF"/>
            <w:sz w:val="24"/>
            <w:szCs w:val="24"/>
            <w:u w:val="single"/>
            <w:lang w:eastAsia="en-US"/>
          </w:rPr>
          <w:t>https://doi.org/10.1016/j.phrs.2011.03.009</w:t>
        </w:r>
      </w:hyperlink>
    </w:p>
    <w:p w14:paraId="46B20642"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Huda, H.-S.-A., Majid, N. B. A., Chen, Y., Adnan, M., Ashraf, S. A., Roszko, M., </w:t>
      </w:r>
      <w:proofErr w:type="spellStart"/>
      <w:r w:rsidRPr="003F0228">
        <w:rPr>
          <w:rFonts w:ascii="Times New Roman" w:eastAsia="Times New Roman" w:hAnsi="Times New Roman"/>
          <w:sz w:val="24"/>
          <w:szCs w:val="24"/>
          <w:lang w:eastAsia="en-US"/>
        </w:rPr>
        <w:t>Bryła</w:t>
      </w:r>
      <w:proofErr w:type="spellEnd"/>
      <w:r w:rsidRPr="003F0228">
        <w:rPr>
          <w:rFonts w:ascii="Times New Roman" w:eastAsia="Times New Roman" w:hAnsi="Times New Roman"/>
          <w:sz w:val="24"/>
          <w:szCs w:val="24"/>
          <w:lang w:eastAsia="en-US"/>
        </w:rPr>
        <w:t xml:space="preserve">, M., Kieliszek, M., &amp; Sasidharan, S. (2024). Exploring the ancient roots and modern global brews of tea and herbal beverages: A comprehensive review of origins, types, health benefits, market dynamics, and future trends. Food Science &amp; Nutrition, 12(10), 6938–6955. </w:t>
      </w:r>
      <w:hyperlink r:id="rId19" w:history="1">
        <w:r w:rsidRPr="003F0228">
          <w:rPr>
            <w:rFonts w:ascii="Times New Roman" w:eastAsia="Times New Roman" w:hAnsi="Times New Roman"/>
            <w:color w:val="0000FF"/>
            <w:sz w:val="24"/>
            <w:szCs w:val="24"/>
            <w:u w:val="single"/>
            <w:lang w:eastAsia="en-US"/>
          </w:rPr>
          <w:t>https://doi.org/10.1002/fsn3.4346</w:t>
        </w:r>
      </w:hyperlink>
    </w:p>
    <w:p w14:paraId="3C94C3E4" w14:textId="70425A33"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Imohiosen, O. (2023). Phytochemical and biological screening of Catholic vegetable (Jatropha </w:t>
      </w:r>
      <w:proofErr w:type="spellStart"/>
      <w:r w:rsidRPr="003F0228">
        <w:rPr>
          <w:rFonts w:ascii="Times New Roman" w:eastAsia="Times New Roman" w:hAnsi="Times New Roman"/>
          <w:sz w:val="24"/>
          <w:szCs w:val="24"/>
          <w:lang w:eastAsia="en-US"/>
        </w:rPr>
        <w:t>tanjorensis</w:t>
      </w:r>
      <w:proofErr w:type="spellEnd"/>
      <w:r w:rsidRPr="003F0228">
        <w:rPr>
          <w:rFonts w:ascii="Times New Roman" w:eastAsia="Times New Roman" w:hAnsi="Times New Roman"/>
          <w:sz w:val="24"/>
          <w:szCs w:val="24"/>
          <w:lang w:eastAsia="en-US"/>
        </w:rPr>
        <w:t xml:space="preserve">) aqueous extract in Bali, Taraba State, Nigeria. American Journal of Chemistry and Pharmacy, 2(2), 37–40. </w:t>
      </w:r>
      <w:hyperlink r:id="rId20" w:history="1">
        <w:r w:rsidRPr="00A94068">
          <w:rPr>
            <w:rStyle w:val="Hyperlink"/>
            <w:rFonts w:ascii="Times New Roman" w:eastAsia="Times New Roman" w:hAnsi="Times New Roman"/>
            <w:sz w:val="24"/>
            <w:szCs w:val="24"/>
            <w:lang w:eastAsia="en-US"/>
          </w:rPr>
          <w:t>https://doi.org/10.54536/ajcp.v2i2.1602</w:t>
        </w:r>
      </w:hyperlink>
    </w:p>
    <w:p w14:paraId="322BDE11"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Ityo</w:t>
      </w:r>
      <w:proofErr w:type="spellEnd"/>
      <w:r w:rsidRPr="003F0228">
        <w:rPr>
          <w:rFonts w:ascii="Times New Roman" w:eastAsia="Times New Roman" w:hAnsi="Times New Roman"/>
          <w:sz w:val="24"/>
          <w:szCs w:val="24"/>
          <w:lang w:eastAsia="en-US"/>
        </w:rPr>
        <w:t xml:space="preserve">, S. D., </w:t>
      </w:r>
      <w:proofErr w:type="spellStart"/>
      <w:r w:rsidRPr="003F0228">
        <w:rPr>
          <w:rFonts w:ascii="Times New Roman" w:eastAsia="Times New Roman" w:hAnsi="Times New Roman"/>
          <w:sz w:val="24"/>
          <w:szCs w:val="24"/>
          <w:lang w:eastAsia="en-US"/>
        </w:rPr>
        <w:t>Anhwange</w:t>
      </w:r>
      <w:proofErr w:type="spellEnd"/>
      <w:r w:rsidRPr="003F0228">
        <w:rPr>
          <w:rFonts w:ascii="Times New Roman" w:eastAsia="Times New Roman" w:hAnsi="Times New Roman"/>
          <w:sz w:val="24"/>
          <w:szCs w:val="24"/>
          <w:lang w:eastAsia="en-US"/>
        </w:rPr>
        <w:t xml:space="preserve">, B. A., Adie, P. A., &amp; </w:t>
      </w:r>
      <w:proofErr w:type="spellStart"/>
      <w:r w:rsidRPr="003F0228">
        <w:rPr>
          <w:rFonts w:ascii="Times New Roman" w:eastAsia="Times New Roman" w:hAnsi="Times New Roman"/>
          <w:sz w:val="24"/>
          <w:szCs w:val="24"/>
          <w:lang w:eastAsia="en-US"/>
        </w:rPr>
        <w:t>Yande</w:t>
      </w:r>
      <w:proofErr w:type="spellEnd"/>
      <w:r w:rsidRPr="003F0228">
        <w:rPr>
          <w:rFonts w:ascii="Times New Roman" w:eastAsia="Times New Roman" w:hAnsi="Times New Roman"/>
          <w:sz w:val="24"/>
          <w:szCs w:val="24"/>
          <w:lang w:eastAsia="en-US"/>
        </w:rPr>
        <w:t xml:space="preserve">, J. T. (2023). Nutritional evaluation and microbial enumeration of herbal teas made from Vernonia amygdalina, Hibiscus sabdariffa, and Jatropha </w:t>
      </w:r>
      <w:proofErr w:type="spellStart"/>
      <w:r w:rsidRPr="003F0228">
        <w:rPr>
          <w:rFonts w:ascii="Times New Roman" w:eastAsia="Times New Roman" w:hAnsi="Times New Roman"/>
          <w:sz w:val="24"/>
          <w:szCs w:val="24"/>
          <w:lang w:eastAsia="en-US"/>
        </w:rPr>
        <w:t>tanjorensis</w:t>
      </w:r>
      <w:proofErr w:type="spellEnd"/>
      <w:r w:rsidRPr="003F0228">
        <w:rPr>
          <w:rFonts w:ascii="Times New Roman" w:eastAsia="Times New Roman" w:hAnsi="Times New Roman"/>
          <w:sz w:val="24"/>
          <w:szCs w:val="24"/>
          <w:lang w:eastAsia="en-US"/>
        </w:rPr>
        <w:t xml:space="preserve"> leaves blended with of lemon zest and ginger rhizomes. International </w:t>
      </w:r>
      <w:r w:rsidRPr="003F0228">
        <w:rPr>
          <w:rFonts w:ascii="Times New Roman" w:eastAsia="Times New Roman" w:hAnsi="Times New Roman"/>
          <w:sz w:val="24"/>
          <w:szCs w:val="24"/>
          <w:lang w:eastAsia="en-US"/>
        </w:rPr>
        <w:lastRenderedPageBreak/>
        <w:t xml:space="preserve">Journal of Research and Innovation in Applied Science, 8(9), 59–68. </w:t>
      </w:r>
      <w:hyperlink r:id="rId21" w:history="1">
        <w:r w:rsidRPr="003F0228">
          <w:rPr>
            <w:rFonts w:ascii="Times New Roman" w:eastAsia="Times New Roman" w:hAnsi="Times New Roman"/>
            <w:color w:val="0000FF"/>
            <w:sz w:val="24"/>
            <w:szCs w:val="24"/>
            <w:u w:val="single"/>
            <w:lang w:eastAsia="en-US"/>
          </w:rPr>
          <w:t>https://doi.org/10.51584/IJRIAS.2023.8908</w:t>
        </w:r>
      </w:hyperlink>
    </w:p>
    <w:p w14:paraId="57F2FCA7"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Komolafe, C. J., Adetoyinbo, I. I., Alao, F. O., &amp; Ogunsola, J. F. (2024). Phytochemical analyses and antibacterial activities of Jatropha </w:t>
      </w:r>
      <w:proofErr w:type="spellStart"/>
      <w:r w:rsidRPr="003F0228">
        <w:rPr>
          <w:rFonts w:ascii="Times New Roman" w:eastAsia="Times New Roman" w:hAnsi="Times New Roman"/>
          <w:sz w:val="24"/>
          <w:szCs w:val="24"/>
          <w:lang w:eastAsia="en-US"/>
        </w:rPr>
        <w:t>tanjorensis</w:t>
      </w:r>
      <w:proofErr w:type="spellEnd"/>
      <w:r w:rsidRPr="003F0228">
        <w:rPr>
          <w:rFonts w:ascii="Times New Roman" w:eastAsia="Times New Roman" w:hAnsi="Times New Roman"/>
          <w:sz w:val="24"/>
          <w:szCs w:val="24"/>
          <w:lang w:eastAsia="en-US"/>
        </w:rPr>
        <w:t xml:space="preserve"> J. L. Ellis and Saroja leaves extract against clinical pathogens. Asian Journal of Applied Chemistry Research, 15(4), 79–93. </w:t>
      </w:r>
      <w:hyperlink r:id="rId22" w:history="1">
        <w:r w:rsidRPr="003F0228">
          <w:rPr>
            <w:rFonts w:ascii="Times New Roman" w:eastAsia="Times New Roman" w:hAnsi="Times New Roman"/>
            <w:color w:val="0000FF"/>
            <w:sz w:val="24"/>
            <w:szCs w:val="24"/>
            <w:u w:val="single"/>
            <w:lang w:eastAsia="en-US"/>
          </w:rPr>
          <w:t>https://doi.org/10.9734/ajacr/2024/v15i5298</w:t>
        </w:r>
      </w:hyperlink>
    </w:p>
    <w:p w14:paraId="1FD381A4"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Li, W., Zhang, X., Wang, S., Gao, X., &amp; Zhang, X. (2024). Research progress on extraction and detection technologies of flavonoid compounds in foods. Foods, 13(4), Article 628. </w:t>
      </w:r>
      <w:hyperlink r:id="rId23" w:history="1">
        <w:r w:rsidRPr="003F0228">
          <w:rPr>
            <w:rFonts w:ascii="Times New Roman" w:eastAsia="Times New Roman" w:hAnsi="Times New Roman"/>
            <w:color w:val="0000FF"/>
            <w:sz w:val="24"/>
            <w:szCs w:val="24"/>
            <w:u w:val="single"/>
            <w:lang w:eastAsia="en-US"/>
          </w:rPr>
          <w:t>https://doi.org/10.3390/foods13040628</w:t>
        </w:r>
      </w:hyperlink>
    </w:p>
    <w:p w14:paraId="1021246F"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Momin, T. D. K., Momin, S. K., Shylla, L., </w:t>
      </w:r>
      <w:proofErr w:type="spellStart"/>
      <w:r w:rsidRPr="003F0228">
        <w:rPr>
          <w:rFonts w:ascii="Times New Roman" w:eastAsia="Times New Roman" w:hAnsi="Times New Roman"/>
          <w:sz w:val="24"/>
          <w:szCs w:val="24"/>
          <w:lang w:eastAsia="en-US"/>
        </w:rPr>
        <w:t>Syiemlieh</w:t>
      </w:r>
      <w:proofErr w:type="spellEnd"/>
      <w:r w:rsidRPr="003F0228">
        <w:rPr>
          <w:rFonts w:ascii="Times New Roman" w:eastAsia="Times New Roman" w:hAnsi="Times New Roman"/>
          <w:sz w:val="24"/>
          <w:szCs w:val="24"/>
          <w:lang w:eastAsia="en-US"/>
        </w:rPr>
        <w:t xml:space="preserve">, I. J., Chaurasiya, A. K., Marak, A. B., Yedi, N., Rai, T. M., &amp; Mohapatra, P. P. (2026). Formulation and quality assessment of herbal functional fermented beverage from rose (Rosa spp.) and </w:t>
      </w:r>
      <w:proofErr w:type="spellStart"/>
      <w:r w:rsidRPr="003F0228">
        <w:rPr>
          <w:rFonts w:ascii="Times New Roman" w:eastAsia="Times New Roman" w:hAnsi="Times New Roman"/>
          <w:sz w:val="24"/>
          <w:szCs w:val="24"/>
          <w:lang w:eastAsia="en-US"/>
        </w:rPr>
        <w:t>kalmegh</w:t>
      </w:r>
      <w:proofErr w:type="spellEnd"/>
      <w:r w:rsidRPr="003F0228">
        <w:rPr>
          <w:rFonts w:ascii="Times New Roman" w:eastAsia="Times New Roman" w:hAnsi="Times New Roman"/>
          <w:sz w:val="24"/>
          <w:szCs w:val="24"/>
          <w:lang w:eastAsia="en-US"/>
        </w:rPr>
        <w:t xml:space="preserve"> (Andrographis paniculata). BIONATURE, 46(1), 134–165. </w:t>
      </w:r>
      <w:hyperlink r:id="rId24" w:history="1">
        <w:r w:rsidRPr="003F0228">
          <w:rPr>
            <w:rFonts w:ascii="Times New Roman" w:eastAsia="Times New Roman" w:hAnsi="Times New Roman"/>
            <w:color w:val="0000FF"/>
            <w:sz w:val="24"/>
            <w:szCs w:val="24"/>
            <w:u w:val="single"/>
            <w:lang w:eastAsia="en-US"/>
          </w:rPr>
          <w:t>https://doi.org/10.56557/bn/2026/v46i12099</w:t>
        </w:r>
      </w:hyperlink>
    </w:p>
    <w:p w14:paraId="627F5E1C"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Ndife</w:t>
      </w:r>
      <w:proofErr w:type="spellEnd"/>
      <w:r w:rsidRPr="003F0228">
        <w:rPr>
          <w:rFonts w:ascii="Times New Roman" w:eastAsia="Times New Roman" w:hAnsi="Times New Roman"/>
          <w:sz w:val="24"/>
          <w:szCs w:val="24"/>
          <w:lang w:eastAsia="en-US"/>
        </w:rPr>
        <w:t xml:space="preserve">, J., Uka, N. C., &amp; </w:t>
      </w:r>
      <w:proofErr w:type="spellStart"/>
      <w:r w:rsidRPr="003F0228">
        <w:rPr>
          <w:rFonts w:ascii="Times New Roman" w:eastAsia="Times New Roman" w:hAnsi="Times New Roman"/>
          <w:sz w:val="24"/>
          <w:szCs w:val="24"/>
          <w:lang w:eastAsia="en-US"/>
        </w:rPr>
        <w:t>Ukom</w:t>
      </w:r>
      <w:proofErr w:type="spellEnd"/>
      <w:r w:rsidRPr="003F0228">
        <w:rPr>
          <w:rFonts w:ascii="Times New Roman" w:eastAsia="Times New Roman" w:hAnsi="Times New Roman"/>
          <w:sz w:val="24"/>
          <w:szCs w:val="24"/>
          <w:lang w:eastAsia="en-US"/>
        </w:rPr>
        <w:t>, N. A. (2019). Development and comparative evaluation of green and black tisanes using scent leaves (</w:t>
      </w:r>
      <w:proofErr w:type="spellStart"/>
      <w:r w:rsidRPr="003F0228">
        <w:rPr>
          <w:rFonts w:ascii="Times New Roman" w:eastAsia="Times New Roman" w:hAnsi="Times New Roman"/>
          <w:sz w:val="24"/>
          <w:szCs w:val="24"/>
          <w:lang w:eastAsia="en-US"/>
        </w:rPr>
        <w:t>Chromolaena</w:t>
      </w:r>
      <w:proofErr w:type="spellEnd"/>
      <w:r w:rsidRPr="003F0228">
        <w:rPr>
          <w:rFonts w:ascii="Times New Roman" w:eastAsia="Times New Roman" w:hAnsi="Times New Roman"/>
          <w:sz w:val="24"/>
          <w:szCs w:val="24"/>
          <w:lang w:eastAsia="en-US"/>
        </w:rPr>
        <w:t xml:space="preserve"> odorata). Food Research, 3(5), 448–455. </w:t>
      </w:r>
      <w:hyperlink r:id="rId25" w:history="1">
        <w:r w:rsidRPr="003F0228">
          <w:rPr>
            <w:rFonts w:ascii="Times New Roman" w:eastAsia="Times New Roman" w:hAnsi="Times New Roman"/>
            <w:color w:val="0000FF"/>
            <w:sz w:val="24"/>
            <w:szCs w:val="24"/>
            <w:u w:val="single"/>
            <w:lang w:eastAsia="en-US"/>
          </w:rPr>
          <w:t>https://doi.org/10.26656/fr.2017.3(5).040</w:t>
        </w:r>
      </w:hyperlink>
    </w:p>
    <w:p w14:paraId="4B4A4352"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Nwachukwu, C. N. (2019). Nutrient, phytochemical and anti-nutrient evaluation of Jatropha </w:t>
      </w:r>
      <w:proofErr w:type="spellStart"/>
      <w:r w:rsidRPr="003F0228">
        <w:rPr>
          <w:rFonts w:ascii="Times New Roman" w:eastAsia="Times New Roman" w:hAnsi="Times New Roman"/>
          <w:sz w:val="24"/>
          <w:szCs w:val="24"/>
          <w:lang w:eastAsia="en-US"/>
        </w:rPr>
        <w:t>tanjorensis</w:t>
      </w:r>
      <w:proofErr w:type="spellEnd"/>
      <w:r w:rsidRPr="003F0228">
        <w:rPr>
          <w:rFonts w:ascii="Times New Roman" w:eastAsia="Times New Roman" w:hAnsi="Times New Roman"/>
          <w:sz w:val="24"/>
          <w:szCs w:val="24"/>
          <w:lang w:eastAsia="en-US"/>
        </w:rPr>
        <w:t xml:space="preserve"> leaf (hospital too far). Journal of Agriculture and Food Sciences, 16(2), 36–46. </w:t>
      </w:r>
      <w:hyperlink r:id="rId26" w:history="1">
        <w:r w:rsidRPr="003F0228">
          <w:rPr>
            <w:rFonts w:ascii="Times New Roman" w:eastAsia="Times New Roman" w:hAnsi="Times New Roman"/>
            <w:color w:val="0000FF"/>
            <w:sz w:val="24"/>
            <w:szCs w:val="24"/>
            <w:u w:val="single"/>
            <w:lang w:eastAsia="en-US"/>
          </w:rPr>
          <w:t>https://doi.org/10.4314/jafs.v16i2.4</w:t>
        </w:r>
      </w:hyperlink>
    </w:p>
    <w:p w14:paraId="1AC894FA"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Obadoni, B. O., &amp; Ochuko, P. O. (2002). Phytochemical studies and comparative efficacy of the crude extracts of some </w:t>
      </w:r>
      <w:proofErr w:type="spellStart"/>
      <w:r w:rsidRPr="003F0228">
        <w:rPr>
          <w:rFonts w:ascii="Times New Roman" w:eastAsia="Times New Roman" w:hAnsi="Times New Roman"/>
          <w:sz w:val="24"/>
          <w:szCs w:val="24"/>
          <w:lang w:eastAsia="en-US"/>
        </w:rPr>
        <w:t>haemostatic</w:t>
      </w:r>
      <w:proofErr w:type="spellEnd"/>
      <w:r w:rsidRPr="003F0228">
        <w:rPr>
          <w:rFonts w:ascii="Times New Roman" w:eastAsia="Times New Roman" w:hAnsi="Times New Roman"/>
          <w:sz w:val="24"/>
          <w:szCs w:val="24"/>
          <w:lang w:eastAsia="en-US"/>
        </w:rPr>
        <w:t xml:space="preserve"> plants in Edo and Delta States of Nigeria. Global Journal of Pure and Applied Sciences, 8(2), 203–208. </w:t>
      </w:r>
      <w:hyperlink r:id="rId27" w:history="1">
        <w:r w:rsidRPr="003F0228">
          <w:rPr>
            <w:rFonts w:ascii="Times New Roman" w:eastAsia="Times New Roman" w:hAnsi="Times New Roman"/>
            <w:color w:val="0000FF"/>
            <w:sz w:val="24"/>
            <w:szCs w:val="24"/>
            <w:u w:val="single"/>
            <w:lang w:eastAsia="en-US"/>
          </w:rPr>
          <w:t>https://doi.org/10.4314/gjpas.v8i2.16033</w:t>
        </w:r>
      </w:hyperlink>
    </w:p>
    <w:p w14:paraId="1C07EC80"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Ochulor</w:t>
      </w:r>
      <w:proofErr w:type="spellEnd"/>
      <w:r w:rsidRPr="003F0228">
        <w:rPr>
          <w:rFonts w:ascii="Times New Roman" w:eastAsia="Times New Roman" w:hAnsi="Times New Roman"/>
          <w:sz w:val="24"/>
          <w:szCs w:val="24"/>
          <w:lang w:eastAsia="en-US"/>
        </w:rPr>
        <w:t xml:space="preserve">, O. C., Njoku, O. U., </w:t>
      </w:r>
      <w:proofErr w:type="spellStart"/>
      <w:r w:rsidRPr="003F0228">
        <w:rPr>
          <w:rFonts w:ascii="Times New Roman" w:eastAsia="Times New Roman" w:hAnsi="Times New Roman"/>
          <w:sz w:val="24"/>
          <w:szCs w:val="24"/>
          <w:lang w:eastAsia="en-US"/>
        </w:rPr>
        <w:t>Uroko</w:t>
      </w:r>
      <w:proofErr w:type="spellEnd"/>
      <w:r w:rsidRPr="003F0228">
        <w:rPr>
          <w:rFonts w:ascii="Times New Roman" w:eastAsia="Times New Roman" w:hAnsi="Times New Roman"/>
          <w:sz w:val="24"/>
          <w:szCs w:val="24"/>
          <w:lang w:eastAsia="en-US"/>
        </w:rPr>
        <w:t xml:space="preserve">, R. I., &amp; Egba, S. I. (2018). Nutritional composition of Jatropha </w:t>
      </w:r>
      <w:proofErr w:type="spellStart"/>
      <w:r w:rsidRPr="003F0228">
        <w:rPr>
          <w:rFonts w:ascii="Times New Roman" w:eastAsia="Times New Roman" w:hAnsi="Times New Roman"/>
          <w:sz w:val="24"/>
          <w:szCs w:val="24"/>
          <w:lang w:eastAsia="en-US"/>
        </w:rPr>
        <w:t>tanjorensis</w:t>
      </w:r>
      <w:proofErr w:type="spellEnd"/>
      <w:r w:rsidRPr="003F0228">
        <w:rPr>
          <w:rFonts w:ascii="Times New Roman" w:eastAsia="Times New Roman" w:hAnsi="Times New Roman"/>
          <w:sz w:val="24"/>
          <w:szCs w:val="24"/>
          <w:lang w:eastAsia="en-US"/>
        </w:rPr>
        <w:t xml:space="preserve"> leaves and effects of its aqueous extract on carbon tetrachloride-induced oxidative stress in male Wistar albino rats. Biomedical Research, 29(19), 3569–3576. </w:t>
      </w:r>
      <w:hyperlink r:id="rId28" w:history="1">
        <w:r w:rsidRPr="003F0228">
          <w:rPr>
            <w:rFonts w:ascii="Times New Roman" w:eastAsia="Times New Roman" w:hAnsi="Times New Roman"/>
            <w:color w:val="0000FF"/>
            <w:sz w:val="24"/>
            <w:szCs w:val="24"/>
            <w:u w:val="single"/>
            <w:lang w:eastAsia="en-US"/>
          </w:rPr>
          <w:t>https://doi.org/10.4066/biomedicalresearch.29-18-665</w:t>
        </w:r>
      </w:hyperlink>
    </w:p>
    <w:p w14:paraId="7708AE62"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Ogunka-Nnoka</w:t>
      </w:r>
      <w:proofErr w:type="spellEnd"/>
      <w:r w:rsidRPr="003F0228">
        <w:rPr>
          <w:rFonts w:ascii="Times New Roman" w:eastAsia="Times New Roman" w:hAnsi="Times New Roman"/>
          <w:sz w:val="24"/>
          <w:szCs w:val="24"/>
          <w:lang w:eastAsia="en-US"/>
        </w:rPr>
        <w:t xml:space="preserve">, C., &amp; Nwabueze, A. (2019). An assessment of nutrients and phytoconstituents in Jatropha </w:t>
      </w:r>
      <w:proofErr w:type="spellStart"/>
      <w:r w:rsidRPr="003F0228">
        <w:rPr>
          <w:rFonts w:ascii="Times New Roman" w:eastAsia="Times New Roman" w:hAnsi="Times New Roman"/>
          <w:sz w:val="24"/>
          <w:szCs w:val="24"/>
          <w:lang w:eastAsia="en-US"/>
        </w:rPr>
        <w:t>tanjorensis</w:t>
      </w:r>
      <w:proofErr w:type="spellEnd"/>
      <w:r w:rsidRPr="003F0228">
        <w:rPr>
          <w:rFonts w:ascii="Times New Roman" w:eastAsia="Times New Roman" w:hAnsi="Times New Roman"/>
          <w:sz w:val="24"/>
          <w:szCs w:val="24"/>
          <w:lang w:eastAsia="en-US"/>
        </w:rPr>
        <w:t xml:space="preserve"> leaf-stalk. Polish Journal of Applied Sciences, 5(1), 37–43. </w:t>
      </w:r>
      <w:hyperlink r:id="rId29" w:history="1">
        <w:r w:rsidRPr="003F0228">
          <w:rPr>
            <w:rFonts w:ascii="Times New Roman" w:eastAsia="Times New Roman" w:hAnsi="Times New Roman"/>
            <w:color w:val="0000FF"/>
            <w:sz w:val="24"/>
            <w:szCs w:val="24"/>
            <w:u w:val="single"/>
            <w:lang w:eastAsia="en-US"/>
          </w:rPr>
          <w:t>https://doi.org/10.19260/PJAS.2019.5.1.06</w:t>
        </w:r>
      </w:hyperlink>
    </w:p>
    <w:p w14:paraId="2316D52C"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Onwuka, G. I. (2005). Food analysis and instrumentation: Theory and practice. Napthali Prints. </w:t>
      </w:r>
      <w:hyperlink r:id="rId30" w:history="1">
        <w:r w:rsidRPr="003F0228">
          <w:rPr>
            <w:rFonts w:ascii="Times New Roman" w:eastAsia="Times New Roman" w:hAnsi="Times New Roman"/>
            <w:color w:val="0000FF"/>
            <w:sz w:val="24"/>
            <w:szCs w:val="24"/>
            <w:u w:val="single"/>
            <w:lang w:eastAsia="en-US"/>
          </w:rPr>
          <w:t>https://cafst.mouau.edu.ng/personnel/prof-onwuka-gregory-ikechukwu/</w:t>
        </w:r>
      </w:hyperlink>
    </w:p>
    <w:p w14:paraId="3DFCBE4B"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Panche</w:t>
      </w:r>
      <w:proofErr w:type="spellEnd"/>
      <w:r w:rsidRPr="003F0228">
        <w:rPr>
          <w:rFonts w:ascii="Times New Roman" w:eastAsia="Times New Roman" w:hAnsi="Times New Roman"/>
          <w:sz w:val="24"/>
          <w:szCs w:val="24"/>
          <w:lang w:eastAsia="en-US"/>
        </w:rPr>
        <w:t xml:space="preserve">, A. N., Diwan, A. D., &amp; Chandra, S. R. (2016). Flavonoids: An overview. Journal of Nutritional Science, 5, Article e47. </w:t>
      </w:r>
      <w:hyperlink r:id="rId31" w:history="1">
        <w:r w:rsidRPr="003F0228">
          <w:rPr>
            <w:rFonts w:ascii="Times New Roman" w:eastAsia="Times New Roman" w:hAnsi="Times New Roman"/>
            <w:color w:val="0000FF"/>
            <w:sz w:val="24"/>
            <w:szCs w:val="24"/>
            <w:u w:val="single"/>
            <w:lang w:eastAsia="en-US"/>
          </w:rPr>
          <w:t>https://doi.org/10.1017/jns.2016.41</w:t>
        </w:r>
      </w:hyperlink>
    </w:p>
    <w:p w14:paraId="241D1DC3"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lastRenderedPageBreak/>
        <w:t>Roohani</w:t>
      </w:r>
      <w:proofErr w:type="spellEnd"/>
      <w:r w:rsidRPr="003F0228">
        <w:rPr>
          <w:rFonts w:ascii="Times New Roman" w:eastAsia="Times New Roman" w:hAnsi="Times New Roman"/>
          <w:sz w:val="24"/>
          <w:szCs w:val="24"/>
          <w:lang w:eastAsia="en-US"/>
        </w:rPr>
        <w:t xml:space="preserve">, N., Hurrell, R., </w:t>
      </w:r>
      <w:proofErr w:type="spellStart"/>
      <w:r w:rsidRPr="003F0228">
        <w:rPr>
          <w:rFonts w:ascii="Times New Roman" w:eastAsia="Times New Roman" w:hAnsi="Times New Roman"/>
          <w:sz w:val="24"/>
          <w:szCs w:val="24"/>
          <w:lang w:eastAsia="en-US"/>
        </w:rPr>
        <w:t>Kelishadi</w:t>
      </w:r>
      <w:proofErr w:type="spellEnd"/>
      <w:r w:rsidRPr="003F0228">
        <w:rPr>
          <w:rFonts w:ascii="Times New Roman" w:eastAsia="Times New Roman" w:hAnsi="Times New Roman"/>
          <w:sz w:val="24"/>
          <w:szCs w:val="24"/>
          <w:lang w:eastAsia="en-US"/>
        </w:rPr>
        <w:t xml:space="preserve">, R., &amp; Schulin, R. (2013). Zinc and its importance for human health: An integrative review. Journal of Research in Medical Sciences, 18(2), 144–157. </w:t>
      </w:r>
      <w:hyperlink r:id="rId32" w:history="1">
        <w:r w:rsidRPr="003F0228">
          <w:rPr>
            <w:rFonts w:ascii="Times New Roman" w:eastAsia="Times New Roman" w:hAnsi="Times New Roman"/>
            <w:color w:val="0000FF"/>
            <w:sz w:val="24"/>
            <w:szCs w:val="24"/>
            <w:u w:val="single"/>
            <w:lang w:eastAsia="en-US"/>
          </w:rPr>
          <w:t>https://jrms.mui.ac.ir/index.php/jrms/article/view/8963</w:t>
        </w:r>
      </w:hyperlink>
    </w:p>
    <w:p w14:paraId="0C0B8581"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Salgado, N., Silva, M. A., Figueira, M. E., Costa, H. S., &amp; Albuquerque, T. G. (2023). Oxalate in foods: Extraction conditions, analytical methods, occurrence, and health implications. Foods, 12(17), Article 3201. </w:t>
      </w:r>
      <w:hyperlink r:id="rId33" w:history="1">
        <w:r w:rsidRPr="003F0228">
          <w:rPr>
            <w:rFonts w:ascii="Times New Roman" w:eastAsia="Times New Roman" w:hAnsi="Times New Roman"/>
            <w:color w:val="0000FF"/>
            <w:sz w:val="24"/>
            <w:szCs w:val="24"/>
            <w:u w:val="single"/>
            <w:lang w:eastAsia="en-US"/>
          </w:rPr>
          <w:t>https://doi.org/10.3390/foods12173201</w:t>
        </w:r>
      </w:hyperlink>
    </w:p>
    <w:p w14:paraId="310D5A2A"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Sobowale</w:t>
      </w:r>
      <w:proofErr w:type="spellEnd"/>
      <w:r w:rsidRPr="003F0228">
        <w:rPr>
          <w:rFonts w:ascii="Times New Roman" w:eastAsia="Times New Roman" w:hAnsi="Times New Roman"/>
          <w:sz w:val="24"/>
          <w:szCs w:val="24"/>
          <w:lang w:eastAsia="en-US"/>
        </w:rPr>
        <w:t xml:space="preserve">, S. S., Olatunji, B. F., &amp; Fayemi, O. E. (2025). Effect of germination and subsequent fermentation period on the functional, color, and antinutrients of pigeon pea (Cajanus </w:t>
      </w:r>
      <w:proofErr w:type="spellStart"/>
      <w:r w:rsidRPr="003F0228">
        <w:rPr>
          <w:rFonts w:ascii="Times New Roman" w:eastAsia="Times New Roman" w:hAnsi="Times New Roman"/>
          <w:sz w:val="24"/>
          <w:szCs w:val="24"/>
          <w:lang w:eastAsia="en-US"/>
        </w:rPr>
        <w:t>cajan</w:t>
      </w:r>
      <w:proofErr w:type="spellEnd"/>
      <w:r w:rsidRPr="003F0228">
        <w:rPr>
          <w:rFonts w:ascii="Times New Roman" w:eastAsia="Times New Roman" w:hAnsi="Times New Roman"/>
          <w:sz w:val="24"/>
          <w:szCs w:val="24"/>
          <w:lang w:eastAsia="en-US"/>
        </w:rPr>
        <w:t xml:space="preserve">) flour and its structural parts. Food Science &amp; Nutrition, 13(8), Article e70750. </w:t>
      </w:r>
      <w:hyperlink r:id="rId34" w:history="1">
        <w:r w:rsidRPr="003F0228">
          <w:rPr>
            <w:rFonts w:ascii="Times New Roman" w:eastAsia="Times New Roman" w:hAnsi="Times New Roman"/>
            <w:color w:val="0000FF"/>
            <w:sz w:val="24"/>
            <w:szCs w:val="24"/>
            <w:u w:val="single"/>
            <w:lang w:eastAsia="en-US"/>
          </w:rPr>
          <w:t>https://doi.org/10.1002/fsn3.70750</w:t>
        </w:r>
      </w:hyperlink>
    </w:p>
    <w:p w14:paraId="6848CEDA"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proofErr w:type="spellStart"/>
      <w:r w:rsidRPr="003F0228">
        <w:rPr>
          <w:rFonts w:ascii="Times New Roman" w:eastAsia="Times New Roman" w:hAnsi="Times New Roman"/>
          <w:sz w:val="24"/>
          <w:szCs w:val="24"/>
          <w:lang w:eastAsia="en-US"/>
        </w:rPr>
        <w:t>Timilsena</w:t>
      </w:r>
      <w:proofErr w:type="spellEnd"/>
      <w:r w:rsidRPr="003F0228">
        <w:rPr>
          <w:rFonts w:ascii="Times New Roman" w:eastAsia="Times New Roman" w:hAnsi="Times New Roman"/>
          <w:sz w:val="24"/>
          <w:szCs w:val="24"/>
          <w:lang w:eastAsia="en-US"/>
        </w:rPr>
        <w:t xml:space="preserve">, Y. P., </w:t>
      </w:r>
      <w:proofErr w:type="spellStart"/>
      <w:r w:rsidRPr="003F0228">
        <w:rPr>
          <w:rFonts w:ascii="Times New Roman" w:eastAsia="Times New Roman" w:hAnsi="Times New Roman"/>
          <w:sz w:val="24"/>
          <w:szCs w:val="24"/>
          <w:lang w:eastAsia="en-US"/>
        </w:rPr>
        <w:t>Phosanam</w:t>
      </w:r>
      <w:proofErr w:type="spellEnd"/>
      <w:r w:rsidRPr="003F0228">
        <w:rPr>
          <w:rFonts w:ascii="Times New Roman" w:eastAsia="Times New Roman" w:hAnsi="Times New Roman"/>
          <w:sz w:val="24"/>
          <w:szCs w:val="24"/>
          <w:lang w:eastAsia="en-US"/>
        </w:rPr>
        <w:t xml:space="preserve">, A., &amp; Stockmann, R. (2023). Perspectives on saponins: Food functionality and applications. International Journal of Molecular Sciences, 24(17), Article 13538. </w:t>
      </w:r>
      <w:hyperlink r:id="rId35" w:history="1">
        <w:r w:rsidRPr="003F0228">
          <w:rPr>
            <w:rFonts w:ascii="Times New Roman" w:eastAsia="Times New Roman" w:hAnsi="Times New Roman"/>
            <w:color w:val="0000FF"/>
            <w:sz w:val="24"/>
            <w:szCs w:val="24"/>
            <w:u w:val="single"/>
            <w:lang w:eastAsia="en-US"/>
          </w:rPr>
          <w:t>https://doi.org/10.3390/ijms241713538</w:t>
        </w:r>
      </w:hyperlink>
    </w:p>
    <w:p w14:paraId="4C3479FB"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Wong, M., Sirisena, S., &amp; Ng, K. (2022). Phytochemical profile of differently processed tea: A review. Journal of Food Science, 87(5), 1925–1942. </w:t>
      </w:r>
      <w:hyperlink r:id="rId36" w:history="1">
        <w:r w:rsidRPr="003F0228">
          <w:rPr>
            <w:rFonts w:ascii="Times New Roman" w:eastAsia="Times New Roman" w:hAnsi="Times New Roman"/>
            <w:color w:val="0000FF"/>
            <w:sz w:val="24"/>
            <w:szCs w:val="24"/>
            <w:u w:val="single"/>
            <w:lang w:eastAsia="en-US"/>
          </w:rPr>
          <w:t>https://doi.org/10.1111/1750-3841.16137</w:t>
        </w:r>
      </w:hyperlink>
    </w:p>
    <w:p w14:paraId="14386488"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Zhang, L., Cao, Q. Q., Granato, D., Xu, Y. Q., &amp; Ho, C.-T. (2020). Association between chemistry and taste of tea: A review. Trends in Food Science &amp; Technology, 101, 139–149. </w:t>
      </w:r>
      <w:hyperlink r:id="rId37" w:history="1">
        <w:r w:rsidRPr="003F0228">
          <w:rPr>
            <w:rFonts w:ascii="Times New Roman" w:eastAsia="Times New Roman" w:hAnsi="Times New Roman"/>
            <w:color w:val="0000FF"/>
            <w:sz w:val="24"/>
            <w:szCs w:val="24"/>
            <w:u w:val="single"/>
            <w:lang w:eastAsia="en-US"/>
          </w:rPr>
          <w:t>https://doi.org/10.1016/j.tifs.2020.05.015</w:t>
        </w:r>
      </w:hyperlink>
    </w:p>
    <w:p w14:paraId="527580C9" w14:textId="77777777" w:rsidR="003F0228" w:rsidRPr="003F0228" w:rsidRDefault="003F0228" w:rsidP="003F0228">
      <w:pPr>
        <w:spacing w:before="100" w:beforeAutospacing="1" w:after="100" w:afterAutospacing="1" w:line="240" w:lineRule="auto"/>
        <w:rPr>
          <w:rFonts w:ascii="Times New Roman" w:eastAsia="Times New Roman" w:hAnsi="Times New Roman"/>
          <w:sz w:val="24"/>
          <w:szCs w:val="24"/>
          <w:lang w:eastAsia="en-US"/>
        </w:rPr>
      </w:pPr>
      <w:r w:rsidRPr="003F0228">
        <w:rPr>
          <w:rFonts w:ascii="Times New Roman" w:eastAsia="Times New Roman" w:hAnsi="Times New Roman"/>
          <w:sz w:val="24"/>
          <w:szCs w:val="24"/>
          <w:lang w:eastAsia="en-US"/>
        </w:rPr>
        <w:t xml:space="preserve">Zhang, L., Ho, C.-T., Zhou, J., Santos, J. S., Armstrong, L., &amp; Granato, D. (2019). Chemistry and biological activities of processed Camellia sinensis teas: A comprehensive review. Comprehensive Reviews in Food Science and Food Safety, 18(5), 1474–1495. </w:t>
      </w:r>
      <w:hyperlink r:id="rId38" w:history="1">
        <w:r w:rsidRPr="003F0228">
          <w:rPr>
            <w:rFonts w:ascii="Times New Roman" w:eastAsia="Times New Roman" w:hAnsi="Times New Roman"/>
            <w:color w:val="0000FF"/>
            <w:sz w:val="24"/>
            <w:szCs w:val="24"/>
            <w:u w:val="single"/>
            <w:lang w:eastAsia="en-US"/>
          </w:rPr>
          <w:t>https://doi.org/10.1111/1541-4337.12479</w:t>
        </w:r>
      </w:hyperlink>
    </w:p>
    <w:p w14:paraId="747FB1F0" w14:textId="77777777" w:rsidR="003F0228" w:rsidRPr="00FF22DE" w:rsidRDefault="003F0228" w:rsidP="00A37ACD">
      <w:pPr>
        <w:spacing w:line="480" w:lineRule="auto"/>
        <w:jc w:val="both"/>
        <w:rPr>
          <w:rFonts w:ascii="Times New Roman" w:hAnsi="Times New Roman"/>
          <w:b/>
          <w:sz w:val="24"/>
          <w:szCs w:val="24"/>
        </w:rPr>
      </w:pPr>
    </w:p>
    <w:sectPr w:rsidR="003F0228" w:rsidRPr="00FF22DE">
      <w:headerReference w:type="even" r:id="rId39"/>
      <w:headerReference w:type="default" r:id="rId40"/>
      <w:footerReference w:type="even" r:id="rId41"/>
      <w:footerReference w:type="default" r:id="rId42"/>
      <w:headerReference w:type="first" r:id="rId43"/>
      <w:footerReference w:type="first" r:id="rId4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27AF7" w14:textId="77777777" w:rsidR="0080193D" w:rsidRDefault="0080193D" w:rsidP="00E45257">
      <w:pPr>
        <w:spacing w:after="0" w:line="240" w:lineRule="auto"/>
      </w:pPr>
      <w:r>
        <w:separator/>
      </w:r>
    </w:p>
  </w:endnote>
  <w:endnote w:type="continuationSeparator" w:id="0">
    <w:p w14:paraId="5DFFED53" w14:textId="77777777" w:rsidR="0080193D" w:rsidRDefault="0080193D" w:rsidP="00E45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C9320" w14:textId="77777777" w:rsidR="00BA7948" w:rsidRDefault="00BA7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926855"/>
      <w:docPartObj>
        <w:docPartGallery w:val="Page Numbers (Bottom of Page)"/>
        <w:docPartUnique/>
      </w:docPartObj>
    </w:sdtPr>
    <w:sdtEndPr>
      <w:rPr>
        <w:noProof/>
      </w:rPr>
    </w:sdtEndPr>
    <w:sdtContent>
      <w:p w14:paraId="1108D22A" w14:textId="77777777" w:rsidR="00E45257" w:rsidRDefault="00E45257">
        <w:pPr>
          <w:pStyle w:val="Footer"/>
          <w:jc w:val="center"/>
        </w:pPr>
        <w:r>
          <w:fldChar w:fldCharType="begin"/>
        </w:r>
        <w:r>
          <w:instrText xml:space="preserve"> PAGE   \* MERGEFORMAT </w:instrText>
        </w:r>
        <w:r>
          <w:fldChar w:fldCharType="separate"/>
        </w:r>
        <w:r w:rsidR="00A74B90">
          <w:rPr>
            <w:noProof/>
          </w:rPr>
          <w:t>21</w:t>
        </w:r>
        <w:r>
          <w:rPr>
            <w:noProof/>
          </w:rPr>
          <w:fldChar w:fldCharType="end"/>
        </w:r>
      </w:p>
    </w:sdtContent>
  </w:sdt>
  <w:p w14:paraId="1A736236" w14:textId="77777777" w:rsidR="00E45257" w:rsidRDefault="00E452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5DA3" w14:textId="77777777" w:rsidR="00BA7948" w:rsidRDefault="00BA7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B1B00" w14:textId="77777777" w:rsidR="0080193D" w:rsidRDefault="0080193D" w:rsidP="00E45257">
      <w:pPr>
        <w:spacing w:after="0" w:line="240" w:lineRule="auto"/>
      </w:pPr>
      <w:r>
        <w:separator/>
      </w:r>
    </w:p>
  </w:footnote>
  <w:footnote w:type="continuationSeparator" w:id="0">
    <w:p w14:paraId="47464073" w14:textId="77777777" w:rsidR="0080193D" w:rsidRDefault="0080193D" w:rsidP="00E45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E272" w14:textId="77777777" w:rsidR="00BA7948" w:rsidRDefault="00000000">
    <w:pPr>
      <w:pStyle w:val="Header"/>
    </w:pPr>
    <w:r>
      <w:rPr>
        <w:noProof/>
      </w:rPr>
      <w:pict w14:anchorId="3109A0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878804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E7F1" w14:textId="77777777" w:rsidR="00BA7948" w:rsidRDefault="00000000">
    <w:pPr>
      <w:pStyle w:val="Header"/>
    </w:pPr>
    <w:r>
      <w:rPr>
        <w:noProof/>
      </w:rPr>
      <w:pict w14:anchorId="449A8A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878804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41750" w14:textId="77777777" w:rsidR="00BA7948" w:rsidRDefault="00000000">
    <w:pPr>
      <w:pStyle w:val="Header"/>
    </w:pPr>
    <w:r>
      <w:rPr>
        <w:noProof/>
      </w:rPr>
      <w:pict w14:anchorId="7EB026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878804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54E9A"/>
    <w:multiLevelType w:val="multilevel"/>
    <w:tmpl w:val="41887D76"/>
    <w:lvl w:ilvl="0">
      <w:start w:val="1"/>
      <w:numFmt w:val="decimal"/>
      <w:lvlText w:val="%1."/>
      <w:lvlJc w:val="left"/>
      <w:pPr>
        <w:ind w:left="360" w:hanging="360"/>
      </w:pPr>
      <w:rPr>
        <w:rFonts w:ascii="Times New Roman" w:hAnsi="Times New Roman" w:hint="default"/>
      </w:rPr>
    </w:lvl>
    <w:lvl w:ilvl="1">
      <w:start w:val="3"/>
      <w:numFmt w:val="decimal"/>
      <w:isLgl/>
      <w:lvlText w:val="%1.%2"/>
      <w:lvlJc w:val="left"/>
      <w:pPr>
        <w:ind w:left="450" w:hanging="450"/>
      </w:pPr>
      <w:rPr>
        <w:rFonts w:eastAsia="SimSun" w:cs="Times New Roman" w:hint="default"/>
      </w:rPr>
    </w:lvl>
    <w:lvl w:ilvl="2">
      <w:start w:val="1"/>
      <w:numFmt w:val="decimal"/>
      <w:isLgl/>
      <w:lvlText w:val="%1.%2.%3"/>
      <w:lvlJc w:val="left"/>
      <w:pPr>
        <w:ind w:left="720" w:hanging="720"/>
      </w:pPr>
      <w:rPr>
        <w:rFonts w:eastAsia="SimSun" w:cs="Times New Roman" w:hint="default"/>
      </w:rPr>
    </w:lvl>
    <w:lvl w:ilvl="3">
      <w:start w:val="1"/>
      <w:numFmt w:val="decimal"/>
      <w:isLgl/>
      <w:lvlText w:val="%1.%2.%3.%4"/>
      <w:lvlJc w:val="left"/>
      <w:pPr>
        <w:ind w:left="1080" w:hanging="1080"/>
      </w:pPr>
      <w:rPr>
        <w:rFonts w:eastAsia="SimSun" w:cs="Times New Roman" w:hint="default"/>
      </w:rPr>
    </w:lvl>
    <w:lvl w:ilvl="4">
      <w:start w:val="1"/>
      <w:numFmt w:val="decimal"/>
      <w:isLgl/>
      <w:lvlText w:val="%1.%2.%3.%4.%5"/>
      <w:lvlJc w:val="left"/>
      <w:pPr>
        <w:ind w:left="1080" w:hanging="1080"/>
      </w:pPr>
      <w:rPr>
        <w:rFonts w:eastAsia="SimSun" w:cs="Times New Roman" w:hint="default"/>
      </w:rPr>
    </w:lvl>
    <w:lvl w:ilvl="5">
      <w:start w:val="1"/>
      <w:numFmt w:val="decimal"/>
      <w:isLgl/>
      <w:lvlText w:val="%1.%2.%3.%4.%5.%6"/>
      <w:lvlJc w:val="left"/>
      <w:pPr>
        <w:ind w:left="1440" w:hanging="1440"/>
      </w:pPr>
      <w:rPr>
        <w:rFonts w:eastAsia="SimSun" w:cs="Times New Roman" w:hint="default"/>
      </w:rPr>
    </w:lvl>
    <w:lvl w:ilvl="6">
      <w:start w:val="1"/>
      <w:numFmt w:val="decimal"/>
      <w:isLgl/>
      <w:lvlText w:val="%1.%2.%3.%4.%5.%6.%7"/>
      <w:lvlJc w:val="left"/>
      <w:pPr>
        <w:ind w:left="1440" w:hanging="1440"/>
      </w:pPr>
      <w:rPr>
        <w:rFonts w:eastAsia="SimSun" w:cs="Times New Roman" w:hint="default"/>
      </w:rPr>
    </w:lvl>
    <w:lvl w:ilvl="7">
      <w:start w:val="1"/>
      <w:numFmt w:val="decimal"/>
      <w:isLgl/>
      <w:lvlText w:val="%1.%2.%3.%4.%5.%6.%7.%8"/>
      <w:lvlJc w:val="left"/>
      <w:pPr>
        <w:ind w:left="1800" w:hanging="1800"/>
      </w:pPr>
      <w:rPr>
        <w:rFonts w:eastAsia="SimSun" w:cs="Times New Roman" w:hint="default"/>
      </w:rPr>
    </w:lvl>
    <w:lvl w:ilvl="8">
      <w:start w:val="1"/>
      <w:numFmt w:val="decimal"/>
      <w:isLgl/>
      <w:lvlText w:val="%1.%2.%3.%4.%5.%6.%7.%8.%9"/>
      <w:lvlJc w:val="left"/>
      <w:pPr>
        <w:ind w:left="2160" w:hanging="2160"/>
      </w:pPr>
      <w:rPr>
        <w:rFonts w:eastAsia="SimSun" w:cs="Times New Roman" w:hint="default"/>
      </w:rPr>
    </w:lvl>
  </w:abstractNum>
  <w:num w:numId="1" w16cid:durableId="15466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7DB"/>
    <w:rsid w:val="00014B5C"/>
    <w:rsid w:val="000379C1"/>
    <w:rsid w:val="000503E7"/>
    <w:rsid w:val="0006225C"/>
    <w:rsid w:val="00087F30"/>
    <w:rsid w:val="000F688F"/>
    <w:rsid w:val="000F754F"/>
    <w:rsid w:val="00110754"/>
    <w:rsid w:val="0011154B"/>
    <w:rsid w:val="001130CB"/>
    <w:rsid w:val="001132A4"/>
    <w:rsid w:val="001308F2"/>
    <w:rsid w:val="00143DEF"/>
    <w:rsid w:val="00163E23"/>
    <w:rsid w:val="00167D4D"/>
    <w:rsid w:val="001809C7"/>
    <w:rsid w:val="001820BE"/>
    <w:rsid w:val="001A4FC7"/>
    <w:rsid w:val="001F46C2"/>
    <w:rsid w:val="0021117B"/>
    <w:rsid w:val="00235946"/>
    <w:rsid w:val="00242316"/>
    <w:rsid w:val="00263F9B"/>
    <w:rsid w:val="00293752"/>
    <w:rsid w:val="00297E92"/>
    <w:rsid w:val="002D0474"/>
    <w:rsid w:val="002D528D"/>
    <w:rsid w:val="002F719D"/>
    <w:rsid w:val="00317769"/>
    <w:rsid w:val="00335473"/>
    <w:rsid w:val="00351418"/>
    <w:rsid w:val="003577DB"/>
    <w:rsid w:val="00394037"/>
    <w:rsid w:val="003B1FBD"/>
    <w:rsid w:val="003C4C09"/>
    <w:rsid w:val="003D077A"/>
    <w:rsid w:val="003F0228"/>
    <w:rsid w:val="0041754E"/>
    <w:rsid w:val="00434F5F"/>
    <w:rsid w:val="00455602"/>
    <w:rsid w:val="00490E8D"/>
    <w:rsid w:val="0049163B"/>
    <w:rsid w:val="004B0A62"/>
    <w:rsid w:val="004C2609"/>
    <w:rsid w:val="005200D4"/>
    <w:rsid w:val="00535721"/>
    <w:rsid w:val="00541747"/>
    <w:rsid w:val="0054386C"/>
    <w:rsid w:val="00590E9E"/>
    <w:rsid w:val="00597542"/>
    <w:rsid w:val="005D2609"/>
    <w:rsid w:val="006301AD"/>
    <w:rsid w:val="0066074C"/>
    <w:rsid w:val="006651A8"/>
    <w:rsid w:val="006659E4"/>
    <w:rsid w:val="00673F38"/>
    <w:rsid w:val="00712CE0"/>
    <w:rsid w:val="00717461"/>
    <w:rsid w:val="00724F72"/>
    <w:rsid w:val="00730047"/>
    <w:rsid w:val="007C68EA"/>
    <w:rsid w:val="007F1D69"/>
    <w:rsid w:val="0080193D"/>
    <w:rsid w:val="00803512"/>
    <w:rsid w:val="0081522C"/>
    <w:rsid w:val="0082064E"/>
    <w:rsid w:val="0083036D"/>
    <w:rsid w:val="00885CD3"/>
    <w:rsid w:val="008966FE"/>
    <w:rsid w:val="008C6DCE"/>
    <w:rsid w:val="008C7DF6"/>
    <w:rsid w:val="008F2C2B"/>
    <w:rsid w:val="008F7872"/>
    <w:rsid w:val="00915316"/>
    <w:rsid w:val="0092677E"/>
    <w:rsid w:val="00964760"/>
    <w:rsid w:val="00A0671E"/>
    <w:rsid w:val="00A251D7"/>
    <w:rsid w:val="00A37ACD"/>
    <w:rsid w:val="00A55CB9"/>
    <w:rsid w:val="00A74B90"/>
    <w:rsid w:val="00A77A18"/>
    <w:rsid w:val="00AC30FB"/>
    <w:rsid w:val="00AD7200"/>
    <w:rsid w:val="00B43776"/>
    <w:rsid w:val="00B6008C"/>
    <w:rsid w:val="00B73B12"/>
    <w:rsid w:val="00B97396"/>
    <w:rsid w:val="00BA7948"/>
    <w:rsid w:val="00BF4758"/>
    <w:rsid w:val="00C23D7A"/>
    <w:rsid w:val="00C23E05"/>
    <w:rsid w:val="00C30E5E"/>
    <w:rsid w:val="00C31266"/>
    <w:rsid w:val="00C3767B"/>
    <w:rsid w:val="00CA095E"/>
    <w:rsid w:val="00CA5518"/>
    <w:rsid w:val="00CB2798"/>
    <w:rsid w:val="00CD3C2C"/>
    <w:rsid w:val="00CF0028"/>
    <w:rsid w:val="00D71021"/>
    <w:rsid w:val="00DD6EFB"/>
    <w:rsid w:val="00DE61A3"/>
    <w:rsid w:val="00E129BC"/>
    <w:rsid w:val="00E15BAA"/>
    <w:rsid w:val="00E45257"/>
    <w:rsid w:val="00E61068"/>
    <w:rsid w:val="00E72564"/>
    <w:rsid w:val="00EA3292"/>
    <w:rsid w:val="00EB1833"/>
    <w:rsid w:val="00EB261D"/>
    <w:rsid w:val="00EC56D5"/>
    <w:rsid w:val="00F325CC"/>
    <w:rsid w:val="00F57FE0"/>
    <w:rsid w:val="00F80860"/>
    <w:rsid w:val="00FA032C"/>
    <w:rsid w:val="00FB1DE2"/>
    <w:rsid w:val="00FE5836"/>
    <w:rsid w:val="00FF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1AB4F"/>
  <w15:chartTrackingRefBased/>
  <w15:docId w15:val="{9443BA75-8035-4567-BBE3-BB60444CE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7DB"/>
    <w:pPr>
      <w:spacing w:after="200" w:line="276" w:lineRule="auto"/>
    </w:pPr>
    <w:rPr>
      <w:rFonts w:ascii="Calibri" w:eastAsia="SimSun" w:hAnsi="Calibri" w:cs="Times New Roman"/>
      <w:lang w:eastAsia="zh-CN"/>
    </w:rPr>
  </w:style>
  <w:style w:type="paragraph" w:styleId="Heading1">
    <w:name w:val="heading 1"/>
    <w:basedOn w:val="Normal"/>
    <w:next w:val="Normal"/>
    <w:link w:val="Heading1Char"/>
    <w:uiPriority w:val="9"/>
    <w:qFormat/>
    <w:rsid w:val="001132A4"/>
    <w:pPr>
      <w:keepNext/>
      <w:keepLines/>
      <w:spacing w:before="240" w:after="0"/>
      <w:outlineLvl w:val="0"/>
    </w:pPr>
    <w:rPr>
      <w:rFonts w:ascii="Times New Roman" w:eastAsiaTheme="majorEastAsia" w:hAnsi="Times New Roman"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1132A4"/>
    <w:pPr>
      <w:keepNext/>
      <w:keepLines/>
      <w:spacing w:before="160" w:after="120" w:line="360" w:lineRule="auto"/>
      <w:outlineLvl w:val="1"/>
    </w:pPr>
    <w:rPr>
      <w:rFonts w:ascii="Times New Roman" w:eastAsiaTheme="majorEastAsia" w:hAnsi="Times New Roman" w:cstheme="majorBidi"/>
      <w:b/>
      <w:color w:val="2E74B5" w:themeColor="accent1" w:themeShade="BF"/>
      <w:sz w:val="28"/>
      <w:szCs w:val="26"/>
    </w:rPr>
  </w:style>
  <w:style w:type="paragraph" w:styleId="Heading3">
    <w:name w:val="heading 3"/>
    <w:basedOn w:val="Normal"/>
    <w:next w:val="Normal"/>
    <w:link w:val="Heading3Char"/>
    <w:uiPriority w:val="9"/>
    <w:unhideWhenUsed/>
    <w:qFormat/>
    <w:rsid w:val="002359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2A4"/>
    <w:rPr>
      <w:rFonts w:ascii="Times New Roman" w:eastAsiaTheme="majorEastAsia" w:hAnsi="Times New Roman" w:cstheme="majorBidi"/>
      <w:b/>
      <w:color w:val="2E74B5" w:themeColor="accent1" w:themeShade="BF"/>
      <w:sz w:val="28"/>
      <w:szCs w:val="32"/>
      <w:lang w:eastAsia="zh-CN"/>
    </w:rPr>
  </w:style>
  <w:style w:type="character" w:customStyle="1" w:styleId="Heading2Char">
    <w:name w:val="Heading 2 Char"/>
    <w:basedOn w:val="DefaultParagraphFont"/>
    <w:link w:val="Heading2"/>
    <w:uiPriority w:val="9"/>
    <w:rsid w:val="001132A4"/>
    <w:rPr>
      <w:rFonts w:ascii="Times New Roman" w:eastAsiaTheme="majorEastAsia" w:hAnsi="Times New Roman" w:cstheme="majorBidi"/>
      <w:b/>
      <w:color w:val="2E74B5" w:themeColor="accent1" w:themeShade="BF"/>
      <w:sz w:val="28"/>
      <w:szCs w:val="26"/>
      <w:lang w:eastAsia="zh-CN"/>
    </w:rPr>
  </w:style>
  <w:style w:type="paragraph" w:styleId="ListParagraph">
    <w:name w:val="List Paragraph"/>
    <w:basedOn w:val="Normal"/>
    <w:uiPriority w:val="34"/>
    <w:qFormat/>
    <w:rsid w:val="00E129BC"/>
    <w:pPr>
      <w:ind w:left="720"/>
      <w:contextualSpacing/>
    </w:pPr>
  </w:style>
  <w:style w:type="paragraph" w:styleId="Caption">
    <w:name w:val="caption"/>
    <w:basedOn w:val="Normal"/>
    <w:next w:val="Normal"/>
    <w:uiPriority w:val="35"/>
    <w:unhideWhenUsed/>
    <w:qFormat/>
    <w:rsid w:val="0021117B"/>
    <w:pPr>
      <w:spacing w:line="240" w:lineRule="auto"/>
    </w:pPr>
    <w:rPr>
      <w:i/>
      <w:iCs/>
      <w:color w:val="44546A" w:themeColor="text2"/>
      <w:sz w:val="18"/>
      <w:szCs w:val="18"/>
    </w:rPr>
  </w:style>
  <w:style w:type="paragraph" w:styleId="NoSpacing">
    <w:name w:val="No Spacing"/>
    <w:uiPriority w:val="1"/>
    <w:qFormat/>
    <w:rsid w:val="00803512"/>
    <w:pPr>
      <w:spacing w:after="0" w:line="240" w:lineRule="auto"/>
    </w:pPr>
    <w:rPr>
      <w:rFonts w:ascii="Calibri" w:eastAsia="SimSun" w:hAnsi="Calibri" w:cs="Times New Roman"/>
      <w:lang w:eastAsia="zh-CN"/>
    </w:rPr>
  </w:style>
  <w:style w:type="character" w:customStyle="1" w:styleId="Heading3Char">
    <w:name w:val="Heading 3 Char"/>
    <w:basedOn w:val="DefaultParagraphFont"/>
    <w:link w:val="Heading3"/>
    <w:uiPriority w:val="9"/>
    <w:rsid w:val="00235946"/>
    <w:rPr>
      <w:rFonts w:asciiTheme="majorHAnsi" w:eastAsiaTheme="majorEastAsia" w:hAnsiTheme="majorHAnsi" w:cstheme="majorBidi"/>
      <w:color w:val="1F4D78" w:themeColor="accent1" w:themeShade="7F"/>
      <w:sz w:val="24"/>
      <w:szCs w:val="24"/>
      <w:lang w:eastAsia="zh-CN"/>
    </w:rPr>
  </w:style>
  <w:style w:type="character" w:styleId="Hyperlink">
    <w:name w:val="Hyperlink"/>
    <w:basedOn w:val="DefaultParagraphFont"/>
    <w:uiPriority w:val="99"/>
    <w:unhideWhenUsed/>
    <w:rsid w:val="005200D4"/>
    <w:rPr>
      <w:color w:val="0563C1" w:themeColor="hyperlink"/>
      <w:u w:val="single"/>
    </w:rPr>
  </w:style>
  <w:style w:type="paragraph" w:styleId="Header">
    <w:name w:val="header"/>
    <w:basedOn w:val="Normal"/>
    <w:link w:val="HeaderChar"/>
    <w:uiPriority w:val="99"/>
    <w:unhideWhenUsed/>
    <w:rsid w:val="00E45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257"/>
    <w:rPr>
      <w:rFonts w:ascii="Calibri" w:eastAsia="SimSun" w:hAnsi="Calibri" w:cs="Times New Roman"/>
      <w:lang w:eastAsia="zh-CN"/>
    </w:rPr>
  </w:style>
  <w:style w:type="paragraph" w:styleId="Footer">
    <w:name w:val="footer"/>
    <w:basedOn w:val="Normal"/>
    <w:link w:val="FooterChar"/>
    <w:uiPriority w:val="99"/>
    <w:unhideWhenUsed/>
    <w:rsid w:val="00E45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257"/>
    <w:rPr>
      <w:rFonts w:ascii="Calibri" w:eastAsia="SimSun" w:hAnsi="Calibri" w:cs="Times New Roman"/>
      <w:lang w:eastAsia="zh-CN"/>
    </w:rPr>
  </w:style>
  <w:style w:type="character" w:styleId="UnresolvedMention">
    <w:name w:val="Unresolved Mention"/>
    <w:basedOn w:val="DefaultParagraphFont"/>
    <w:uiPriority w:val="99"/>
    <w:semiHidden/>
    <w:unhideWhenUsed/>
    <w:rsid w:val="00E72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6912/napas.114" TargetMode="External"/><Relationship Id="rId18" Type="http://schemas.openxmlformats.org/officeDocument/2006/relationships/hyperlink" Target="https://doi.org/10.1016/j.phrs.2011.03.009" TargetMode="External"/><Relationship Id="rId26" Type="http://schemas.openxmlformats.org/officeDocument/2006/relationships/hyperlink" Target="https://doi.org/10.4314/jafs.v16i2.4" TargetMode="External"/><Relationship Id="rId39" Type="http://schemas.openxmlformats.org/officeDocument/2006/relationships/header" Target="header1.xml"/><Relationship Id="rId21" Type="http://schemas.openxmlformats.org/officeDocument/2006/relationships/hyperlink" Target="https://doi.org/10.51584/IJRIAS.2023.8908" TargetMode="External"/><Relationship Id="rId34" Type="http://schemas.openxmlformats.org/officeDocument/2006/relationships/hyperlink" Target="https://doi.org/10.1002/fsn3.70750" TargetMode="External"/><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3390/nu9111211" TargetMode="External"/><Relationship Id="rId29" Type="http://schemas.openxmlformats.org/officeDocument/2006/relationships/hyperlink" Target="https://doi.org/10.19260/PJAS.2019.5.1.0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923/rjmp.2009.29.33" TargetMode="External"/><Relationship Id="rId24" Type="http://schemas.openxmlformats.org/officeDocument/2006/relationships/hyperlink" Target="https://doi.org/10.56557/bn/2026/v46i12099" TargetMode="External"/><Relationship Id="rId32" Type="http://schemas.openxmlformats.org/officeDocument/2006/relationships/hyperlink" Target="https://jrms.mui.ac.ir/index.php/jrms/article/view/8963" TargetMode="External"/><Relationship Id="rId37" Type="http://schemas.openxmlformats.org/officeDocument/2006/relationships/hyperlink" Target="https://doi.org/10.1016/j.tifs.2020.05.015"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02/fsn3.71776" TargetMode="External"/><Relationship Id="rId23" Type="http://schemas.openxmlformats.org/officeDocument/2006/relationships/hyperlink" Target="https://doi.org/10.3390/foods13040628" TargetMode="External"/><Relationship Id="rId28" Type="http://schemas.openxmlformats.org/officeDocument/2006/relationships/hyperlink" Target="https://doi.org/10.4066/biomedicalresearch.29-18-665" TargetMode="External"/><Relationship Id="rId36" Type="http://schemas.openxmlformats.org/officeDocument/2006/relationships/hyperlink" Target="https://doi.org/10.1111/1750-3841.16137" TargetMode="External"/><Relationship Id="rId10" Type="http://schemas.openxmlformats.org/officeDocument/2006/relationships/hyperlink" Target="https://jrms.mui.ac.ir/index.php/jrms/article/view/9860" TargetMode="External"/><Relationship Id="rId19" Type="http://schemas.openxmlformats.org/officeDocument/2006/relationships/hyperlink" Target="https://doi.org/10.1002/fsn3.4346" TargetMode="External"/><Relationship Id="rId31" Type="http://schemas.openxmlformats.org/officeDocument/2006/relationships/hyperlink" Target="https://doi.org/10.1017/jns.2016.41"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3390/foods12244467" TargetMode="External"/><Relationship Id="rId14" Type="http://schemas.openxmlformats.org/officeDocument/2006/relationships/hyperlink" Target="https://members.aoac.org/AOAC/AOAC/Item_Detail.aspx?Category=OMA&amp;iProductCode=1121" TargetMode="External"/><Relationship Id="rId22" Type="http://schemas.openxmlformats.org/officeDocument/2006/relationships/hyperlink" Target="https://doi.org/10.9734/ajacr/2024/v15i5298" TargetMode="External"/><Relationship Id="rId27" Type="http://schemas.openxmlformats.org/officeDocument/2006/relationships/hyperlink" Target="https://doi.org/10.4314/gjpas.v8i2.16033" TargetMode="External"/><Relationship Id="rId30" Type="http://schemas.openxmlformats.org/officeDocument/2006/relationships/hyperlink" Target="https://cafst.mouau.edu.ng/personnel/prof-onwuka-gregory-ikechukwu/" TargetMode="External"/><Relationship Id="rId35" Type="http://schemas.openxmlformats.org/officeDocument/2006/relationships/hyperlink" Target="https://doi.org/10.3390/ijms241713538" TargetMode="External"/><Relationship Id="rId43" Type="http://schemas.openxmlformats.org/officeDocument/2006/relationships/header" Target="header3.xml"/><Relationship Id="rId8" Type="http://schemas.openxmlformats.org/officeDocument/2006/relationships/hyperlink" Target="https://doi.org/10.1016/j.fochx.2024.101899" TargetMode="External"/><Relationship Id="rId3" Type="http://schemas.openxmlformats.org/officeDocument/2006/relationships/settings" Target="settings.xml"/><Relationship Id="rId12" Type="http://schemas.openxmlformats.org/officeDocument/2006/relationships/hyperlink" Target="https://doi.org/10.1007/s10068-023-01295-0" TargetMode="External"/><Relationship Id="rId17" Type="http://schemas.openxmlformats.org/officeDocument/2006/relationships/hyperlink" Target="https://doi.org/10.1080/10408699891274273" TargetMode="External"/><Relationship Id="rId25" Type="http://schemas.openxmlformats.org/officeDocument/2006/relationships/hyperlink" Target="https://doi.org/10.26656/fr.2017.3%285%29.040" TargetMode="External"/><Relationship Id="rId33" Type="http://schemas.openxmlformats.org/officeDocument/2006/relationships/hyperlink" Target="https://doi.org/10.3390/foods12173201" TargetMode="External"/><Relationship Id="rId38" Type="http://schemas.openxmlformats.org/officeDocument/2006/relationships/hyperlink" Target="https://doi.org/10.1111/1541-4337.12479" TargetMode="External"/><Relationship Id="rId46" Type="http://schemas.openxmlformats.org/officeDocument/2006/relationships/theme" Target="theme/theme1.xml"/><Relationship Id="rId20" Type="http://schemas.openxmlformats.org/officeDocument/2006/relationships/hyperlink" Target="https://doi.org/10.54536/ajcp.v2i2.1602"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743</TotalTime>
  <Pages>22</Pages>
  <Words>6303</Words>
  <Characters>35928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1087</cp:lastModifiedBy>
  <cp:revision>56</cp:revision>
  <dcterms:created xsi:type="dcterms:W3CDTF">2026-09-08T22:35:00Z</dcterms:created>
  <dcterms:modified xsi:type="dcterms:W3CDTF">2026-10-10T05:17:00Z</dcterms:modified>
</cp:coreProperties>
</file>