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9ABFC" w14:textId="4E87512E" w:rsidR="001B68FA" w:rsidRPr="00D845DA" w:rsidRDefault="001B68FA" w:rsidP="00D845DA">
      <w:pPr>
        <w:jc w:val="center"/>
        <w:rPr>
          <w:rFonts w:ascii="Times New Roman" w:hAnsi="Times New Roman" w:cs="Times New Roman"/>
          <w:b/>
          <w:bCs/>
          <w:sz w:val="44"/>
          <w:szCs w:val="44"/>
        </w:rPr>
      </w:pPr>
      <w:r w:rsidRPr="001B68FA">
        <w:rPr>
          <w:rFonts w:ascii="Times New Roman" w:hAnsi="Times New Roman" w:cs="Times New Roman"/>
          <w:b/>
          <w:bCs/>
          <w:sz w:val="44"/>
          <w:szCs w:val="44"/>
          <w:highlight w:val="yellow"/>
        </w:rPr>
        <w:t>Preliminary Environmental Suitability Assessment for Low-Chilling Apple Cultivation in Adilabad District, Telangana, India</w:t>
      </w:r>
    </w:p>
    <w:p w14:paraId="590D1FC7" w14:textId="77777777" w:rsidR="00684AB3" w:rsidRDefault="00684AB3" w:rsidP="00D845DA">
      <w:pPr>
        <w:jc w:val="both"/>
        <w:rPr>
          <w:rFonts w:ascii="Times New Roman" w:hAnsi="Times New Roman" w:cs="Times New Roman"/>
          <w:b/>
          <w:bCs/>
          <w:sz w:val="24"/>
          <w:szCs w:val="24"/>
        </w:rPr>
      </w:pPr>
    </w:p>
    <w:p w14:paraId="0EAED5F8" w14:textId="77777777" w:rsidR="00684AB3" w:rsidRDefault="00684AB3" w:rsidP="00D845DA">
      <w:pPr>
        <w:jc w:val="both"/>
        <w:rPr>
          <w:rFonts w:ascii="Times New Roman" w:hAnsi="Times New Roman" w:cs="Times New Roman"/>
          <w:b/>
          <w:bCs/>
          <w:sz w:val="24"/>
          <w:szCs w:val="24"/>
        </w:rPr>
      </w:pPr>
    </w:p>
    <w:p w14:paraId="02872443" w14:textId="678905C2" w:rsidR="00D845DA" w:rsidRPr="00D845DA" w:rsidRDefault="00D845DA" w:rsidP="00D845DA">
      <w:pPr>
        <w:jc w:val="both"/>
        <w:rPr>
          <w:rFonts w:ascii="Times New Roman" w:hAnsi="Times New Roman" w:cs="Times New Roman"/>
          <w:b/>
          <w:bCs/>
          <w:sz w:val="24"/>
          <w:szCs w:val="24"/>
        </w:rPr>
      </w:pPr>
      <w:r w:rsidRPr="00D845DA">
        <w:rPr>
          <w:rFonts w:ascii="Times New Roman" w:hAnsi="Times New Roman" w:cs="Times New Roman"/>
          <w:b/>
          <w:bCs/>
          <w:sz w:val="24"/>
          <w:szCs w:val="24"/>
        </w:rPr>
        <w:t>ABSTRACT</w:t>
      </w:r>
    </w:p>
    <w:p w14:paraId="1586C096" w14:textId="6C83E454" w:rsidR="00D845DA" w:rsidRPr="00D845DA" w:rsidRDefault="00D845DA" w:rsidP="00D845DA">
      <w:pPr>
        <w:jc w:val="both"/>
        <w:rPr>
          <w:rFonts w:ascii="Times New Roman" w:hAnsi="Times New Roman" w:cs="Times New Roman"/>
          <w:sz w:val="24"/>
          <w:szCs w:val="24"/>
        </w:rPr>
      </w:pPr>
      <w:r w:rsidRPr="00D845DA">
        <w:rPr>
          <w:rFonts w:ascii="Times New Roman" w:hAnsi="Times New Roman" w:cs="Times New Roman"/>
          <w:sz w:val="24"/>
          <w:szCs w:val="24"/>
        </w:rPr>
        <w:t>Apple (</w:t>
      </w:r>
      <w:r w:rsidRPr="00D845DA">
        <w:rPr>
          <w:rFonts w:ascii="Times New Roman" w:hAnsi="Times New Roman" w:cs="Times New Roman"/>
          <w:i/>
          <w:iCs/>
          <w:sz w:val="24"/>
          <w:szCs w:val="24"/>
        </w:rPr>
        <w:t>Malus domestica</w:t>
      </w:r>
      <w:r w:rsidRPr="00D845DA">
        <w:rPr>
          <w:rFonts w:ascii="Times New Roman" w:hAnsi="Times New Roman" w:cs="Times New Roman"/>
          <w:sz w:val="24"/>
          <w:szCs w:val="24"/>
        </w:rPr>
        <w:t xml:space="preserve"> Borkh.) is traditionally cultivated in temperate regions where adequate winter chilling supports dormancy release, flowering, and fruit development. The development of low-chilling cultivars has created opportunities to investigate apple cultivation in warmer and subtropical environments. The present study assessed the preliminary potential of selected forest-fringe and agricultural environments of Adilabad District, Telangana, India, for low-chilling apple cultivation. The assessment considered climatic conditions, winter chilling, soil characteristics, water availability, and topographic factors. Five representative locations were considered for a preliminary environmental suitability assessment, with emphasis on temperature regime, estimated chilling accumulation, rainfall, soil pH, electrical conductivity, organic carbon, available nutrients, soil texture, and irrigation potential. Candidate cultivars included HRMN-99, Anna, Dorsett Golden, and Tropical Beauty. A weighted suitability framework integrating climatic, chilling, soil, water, and topographic parameters was used to identify comparatively favourable locations. The preliminary assessment indicated that higher-elevation sites may provide relatively favourable winter conditions and greater estimated chilling accumulation than lower-elevation locations, while seasonal water availability and summer heat remain important constraints. HRMN-99 was identified as a particularly relevant candidate for further investigation because of its reported adaptation to warm and subtropical Indian environments. </w:t>
      </w:r>
      <w:r w:rsidR="00166399" w:rsidRPr="00166399">
        <w:rPr>
          <w:rFonts w:ascii="Times New Roman" w:hAnsi="Times New Roman" w:cs="Times New Roman"/>
          <w:sz w:val="24"/>
          <w:szCs w:val="24"/>
          <w:highlight w:val="yellow"/>
        </w:rPr>
        <w:t xml:space="preserve">The assessment is preliminary because the site-level values used in the analysis are simulated within the documented environmental range of the region and therefore require validation through field </w:t>
      </w:r>
      <w:proofErr w:type="spellStart"/>
      <w:r w:rsidR="00166399" w:rsidRPr="00166399">
        <w:rPr>
          <w:rFonts w:ascii="Times New Roman" w:hAnsi="Times New Roman" w:cs="Times New Roman"/>
          <w:sz w:val="24"/>
          <w:szCs w:val="24"/>
          <w:highlight w:val="yellow"/>
        </w:rPr>
      </w:r>
      <w:r>
        <w:rPr>
          <w:rFonts w:ascii="Times New Roman" w:hAnsi="Times New Roman" w:cs="Times New Roman"/>
          <w:sz w:val="24"/>
          <w:szCs w:val="24"/>
          <w:highlight w:val="yellow"/>
        </w:rPr>
        <w:t>observations. However</w:t>
      </w:r>
      <w:r w:rsidRPr="00166399">
        <w:rPr>
          <w:rFonts w:ascii="Times New Roman" w:hAnsi="Times New Roman" w:cs="Times New Roman"/>
          <w:sz w:val="24"/>
          <w:szCs w:val="24"/>
          <w:highlight w:val="yellow"/>
        </w:rPr>
      </w:r>
      <w:proofErr w:type="spellEnd"/>
      <w:r w:rsidRPr="00166399">
        <w:rPr>
          <w:rFonts w:ascii="Times New Roman" w:hAnsi="Times New Roman" w:cs="Times New Roman"/>
          <w:sz w:val="24"/>
          <w:szCs w:val="24"/>
          <w:highlight w:val="yellow"/>
        </w:rPr>
        <w:t>, the assessment represents preliminary environmental suitability rather than demonstrated commercial production potential.</w:t>
      </w:r>
      <w:r w:rsidRPr="00D845DA">
        <w:rPr>
          <w:rFonts w:ascii="Times New Roman" w:hAnsi="Times New Roman" w:cs="Times New Roman"/>
          <w:sz w:val="24"/>
          <w:szCs w:val="24"/>
        </w:rPr>
        <w:t xml:space="preserve"> Multi-season field experiments are therefore required to validate bud break, flowering, fruit set, yield, fruit quality, plant survival, and pest and disease responses. Future studies should </w:t>
      </w:r>
      <w:r>
        <w:rPr>
          <w:rFonts w:ascii="Times New Roman" w:hAnsi="Times New Roman" w:cs="Times New Roman"/>
          <w:sz w:val="24"/>
          <w:szCs w:val="24"/>
          <w:highlight w:val="yellow"/>
        </w:rPr>
        <w:t>prioritise</w:t>
      </w:r>
      <w:r>
        <w:rPr>
          <w:rFonts w:ascii="Times New Roman" w:hAnsi="Times New Roman" w:cs="Times New Roman"/>
          <w:sz w:val="24"/>
          <w:szCs w:val="24"/>
        </w:rPr>
        <w:t xml:space="preserve"> legally available agricultural and non-forest lands while maintaining the ecological integrity of natural forest ecosystems.</w:t>
      </w:r>
    </w:p>
    <w:p w14:paraId="6D96EE58" w14:textId="77777777" w:rsidR="00D845DA" w:rsidRPr="00D845DA" w:rsidRDefault="00D845DA" w:rsidP="00D845DA">
      <w:pPr>
        <w:jc w:val="both"/>
        <w:rPr>
          <w:rFonts w:ascii="Times New Roman" w:hAnsi="Times New Roman" w:cs="Times New Roman"/>
          <w:sz w:val="24"/>
          <w:szCs w:val="24"/>
        </w:rPr>
      </w:pPr>
      <w:r w:rsidRPr="00D845DA">
        <w:rPr>
          <w:rFonts w:ascii="Times New Roman" w:hAnsi="Times New Roman" w:cs="Times New Roman"/>
          <w:b/>
          <w:bCs/>
          <w:sz w:val="24"/>
          <w:szCs w:val="24"/>
        </w:rPr>
        <w:t>Keywords:</w:t>
      </w:r>
      <w:r w:rsidRPr="00D845DA">
        <w:rPr>
          <w:rFonts w:ascii="Times New Roman" w:hAnsi="Times New Roman" w:cs="Times New Roman"/>
          <w:sz w:val="24"/>
          <w:szCs w:val="24"/>
        </w:rPr>
        <w:t xml:space="preserve"> </w:t>
      </w:r>
      <w:r w:rsidRPr="00D845DA">
        <w:rPr>
          <w:rFonts w:ascii="Times New Roman" w:hAnsi="Times New Roman" w:cs="Times New Roman"/>
          <w:i/>
          <w:iCs/>
          <w:sz w:val="24"/>
          <w:szCs w:val="24"/>
        </w:rPr>
        <w:t>Malus domestica</w:t>
      </w:r>
      <w:r w:rsidRPr="00D845DA">
        <w:rPr>
          <w:rFonts w:ascii="Times New Roman" w:hAnsi="Times New Roman" w:cs="Times New Roman"/>
          <w:sz w:val="24"/>
          <w:szCs w:val="24"/>
        </w:rPr>
        <w:t xml:space="preserve">; low-chilling apple; HRMN-99; subtropical horticulture; Adilabad; </w:t>
      </w:r>
      <w:proofErr w:type="spellStart"/>
      <w:r w:rsidRPr="00D845DA">
        <w:rPr>
          <w:rFonts w:ascii="Times New Roman" w:hAnsi="Times New Roman" w:cs="Times New Roman"/>
          <w:sz w:val="24"/>
          <w:szCs w:val="24"/>
        </w:rPr>
        <w:t>agro</w:t>
      </w:r>
      <w:proofErr w:type="spellEnd"/>
      <w:r w:rsidRPr="00D845DA">
        <w:rPr>
          <w:rFonts w:ascii="Times New Roman" w:hAnsi="Times New Roman" w:cs="Times New Roman"/>
          <w:sz w:val="24"/>
          <w:szCs w:val="24"/>
        </w:rPr>
        <w:t>-climatic suitability; chilling requirement; soil suitability; climate adaptation; Telangana</w:t>
      </w:r>
    </w:p>
    <w:p w14:paraId="0ADA29B1" w14:textId="53A5D0FD"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 INTRODUCTION</w:t>
      </w:r>
    </w:p>
    <w:p w14:paraId="6E7E2212"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1.1 Background of Apple Cultivation</w:t>
      </w:r>
    </w:p>
    <w:p w14:paraId="10580714" w14:textId="5D074EAD" w:rsidR="00252617"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Apple (</w:t>
      </w:r>
      <w:r w:rsidRPr="0002364D">
        <w:rPr>
          <w:rFonts w:ascii="Times New Roman" w:hAnsi="Times New Roman" w:cs="Times New Roman"/>
          <w:i/>
          <w:iCs/>
          <w:sz w:val="24"/>
          <w:szCs w:val="24"/>
        </w:rPr>
        <w:t>Malus domestica</w:t>
      </w:r>
      <w:r w:rsidRPr="0002364D">
        <w:rPr>
          <w:rFonts w:ascii="Times New Roman" w:hAnsi="Times New Roman" w:cs="Times New Roman"/>
          <w:sz w:val="24"/>
          <w:szCs w:val="24"/>
        </w:rPr>
        <w:t xml:space="preserve"> Borkh.) is one of the most important temperate fruit crops cultivated worldwide because of its nutritional value, economic importance, consumer demand, and diverse uses as a fresh and processed fruit</w:t>
      </w:r>
      <w:r w:rsidR="00AE5063" w:rsidRPr="00AE5063">
        <w:rPr>
          <w:rFonts w:ascii="Times New Roman" w:hAnsi="Times New Roman" w:cs="Times New Roman"/>
          <w:sz w:val="24"/>
          <w:szCs w:val="24"/>
        </w:rPr>
        <w:t xml:space="preserve"> (Cornille et al., 201</w:t>
      </w:r>
      <w:r w:rsidR="00AD5D82">
        <w:rPr>
          <w:rFonts w:ascii="Times New Roman" w:hAnsi="Times New Roman" w:cs="Times New Roman"/>
          <w:sz w:val="24"/>
          <w:szCs w:val="24"/>
        </w:rPr>
        <w:t>4</w:t>
      </w:r>
      <w:r w:rsidR="00AE5063" w:rsidRPr="00AE5063">
        <w:rPr>
          <w:rFonts w:ascii="Times New Roman" w:hAnsi="Times New Roman" w:cs="Times New Roman"/>
          <w:sz w:val="24"/>
          <w:szCs w:val="24"/>
        </w:rPr>
        <w:t>)</w:t>
      </w:r>
      <w:r w:rsidRPr="0002364D">
        <w:rPr>
          <w:rFonts w:ascii="Times New Roman" w:hAnsi="Times New Roman" w:cs="Times New Roman"/>
          <w:sz w:val="24"/>
          <w:szCs w:val="24"/>
        </w:rPr>
        <w:t xml:space="preserve">. Apple fruits contain carbohydrates, dietary fibre, organic acids, minerals, vitamins, and several bioactive </w:t>
      </w:r>
      <w:r w:rsidRPr="0002364D">
        <w:rPr>
          <w:rFonts w:ascii="Times New Roman" w:hAnsi="Times New Roman" w:cs="Times New Roman"/>
          <w:sz w:val="24"/>
          <w:szCs w:val="24"/>
        </w:rPr>
        <w:lastRenderedPageBreak/>
        <w:t>compounds, making them an important component of a healthy diet. Traditionally, commercial apple production has been concentrated in temperate and high-altitude regions where winter temperatures provide sufficient chilling during dormancy. Successful apple production depends on the interaction of several environmental factors, including temperature, winter chilling, soil characteristics, water availability, flowering behaviour, pollination, and fruit development.</w:t>
      </w:r>
      <w:r w:rsidR="00AE5063">
        <w:rPr>
          <w:rFonts w:ascii="Times New Roman" w:hAnsi="Times New Roman" w:cs="Times New Roman"/>
          <w:sz w:val="24"/>
          <w:szCs w:val="24"/>
        </w:rPr>
        <w:t xml:space="preserve"> </w:t>
      </w:r>
      <w:r w:rsidR="00AE5063" w:rsidRPr="00AE5063">
        <w:rPr>
          <w:rFonts w:ascii="Times New Roman" w:hAnsi="Times New Roman" w:cs="Times New Roman"/>
          <w:sz w:val="24"/>
          <w:szCs w:val="24"/>
        </w:rPr>
        <w:t xml:space="preserve">Winter and spring temperature conditions can influence apple phenology, including bud development, flowering, and other developmental stages </w:t>
      </w:r>
      <w:r w:rsidR="00AE5063" w:rsidRPr="00AE5063">
        <w:rPr>
          <w:rFonts w:ascii="Times New Roman" w:hAnsi="Times New Roman" w:cs="Times New Roman"/>
          <w:b/>
          <w:bCs/>
          <w:sz w:val="24"/>
          <w:szCs w:val="24"/>
        </w:rPr>
        <w:t>(Funes et al., 2016)</w:t>
      </w:r>
      <w:r w:rsidR="00AE5063" w:rsidRPr="00AE5063">
        <w:rPr>
          <w:rFonts w:ascii="Times New Roman" w:hAnsi="Times New Roman" w:cs="Times New Roman"/>
          <w:sz w:val="24"/>
          <w:szCs w:val="24"/>
        </w:rPr>
        <w:t>.</w:t>
      </w:r>
    </w:p>
    <w:p w14:paraId="0126D577" w14:textId="77777777"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Winter chilling is particularly important because adequate exposure to low temperatures is required for the release of dormancy and subsequent uniform bud break and flowering. Conventional apple cultivars generally have relatively high chilling requirements and therefore perform poorly when winter temperatures remain too warm. In warm environments, insufficient chilling can result in delayed or irregular bud break, prolonged flowering, poor fruit set, and reduced productivity. Consequently, the introduction of cultivars with lower chilling requirements has created opportunities for extending apple cultivation into subtropical and comparatively warmer regions.</w:t>
      </w:r>
    </w:p>
    <w:p w14:paraId="4EFEDA4A" w14:textId="0920720F"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Apple cultivars differ considerably in the duration of bud dormancy and their response to winter temperature conditions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Hauagge</w:t>
      </w:r>
      <w:proofErr w:type="spellEnd"/>
      <w:r w:rsidRPr="00252617">
        <w:rPr>
          <w:rFonts w:ascii="Times New Roman" w:hAnsi="Times New Roman" w:cs="Times New Roman"/>
          <w:b/>
          <w:bCs/>
          <w:sz w:val="24"/>
          <w:szCs w:val="24"/>
        </w:rPr>
        <w:t xml:space="preserve"> &amp; Cummins, 1991)</w:t>
      </w:r>
      <w:r w:rsidRPr="00252617">
        <w:rPr>
          <w:rFonts w:ascii="Times New Roman" w:hAnsi="Times New Roman" w:cs="Times New Roman"/>
          <w:sz w:val="24"/>
          <w:szCs w:val="24"/>
        </w:rPr>
        <w:t>.</w:t>
      </w:r>
    </w:p>
    <w:p w14:paraId="7B65BE0A" w14:textId="1C8BF472" w:rsidR="00AE5063" w:rsidRDefault="00AE5063" w:rsidP="00E73CA2">
      <w:pPr>
        <w:jc w:val="both"/>
        <w:rPr>
          <w:rFonts w:ascii="Times New Roman" w:hAnsi="Times New Roman" w:cs="Times New Roman"/>
          <w:sz w:val="24"/>
          <w:szCs w:val="24"/>
        </w:rPr>
      </w:pPr>
      <w:r w:rsidRPr="00AE5063">
        <w:rPr>
          <w:rFonts w:ascii="Times New Roman" w:hAnsi="Times New Roman" w:cs="Times New Roman"/>
          <w:sz w:val="24"/>
          <w:szCs w:val="24"/>
        </w:rPr>
        <w:t xml:space="preserve">Winter chilling is an important environmental requirement for the release of dormancy and subsequent reproductive development in temperate fruit crops </w:t>
      </w:r>
      <w:r w:rsidRPr="00AE5063">
        <w:rPr>
          <w:rFonts w:ascii="Times New Roman" w:hAnsi="Times New Roman" w:cs="Times New Roman"/>
          <w:b/>
          <w:bCs/>
          <w:sz w:val="24"/>
          <w:szCs w:val="24"/>
        </w:rPr>
        <w:t>(</w:t>
      </w:r>
      <w:proofErr w:type="spellStart"/>
      <w:r w:rsidRPr="00AE5063">
        <w:rPr>
          <w:rFonts w:ascii="Times New Roman" w:hAnsi="Times New Roman" w:cs="Times New Roman"/>
          <w:b/>
          <w:bCs/>
          <w:sz w:val="24"/>
          <w:szCs w:val="24"/>
        </w:rPr>
        <w:t>Fadón</w:t>
      </w:r>
      <w:proofErr w:type="spellEnd"/>
      <w:r w:rsidRPr="00AE5063">
        <w:rPr>
          <w:rFonts w:ascii="Times New Roman" w:hAnsi="Times New Roman" w:cs="Times New Roman"/>
          <w:b/>
          <w:bCs/>
          <w:sz w:val="24"/>
          <w:szCs w:val="24"/>
        </w:rPr>
        <w:t xml:space="preserve"> et al., 2020)</w:t>
      </w:r>
      <w:r w:rsidRPr="00AE5063">
        <w:rPr>
          <w:rFonts w:ascii="Times New Roman" w:hAnsi="Times New Roman" w:cs="Times New Roman"/>
          <w:sz w:val="24"/>
          <w:szCs w:val="24"/>
        </w:rPr>
        <w:t>.</w:t>
      </w:r>
    </w:p>
    <w:p w14:paraId="7E5E13DB" w14:textId="3CDC0382" w:rsidR="00252617" w:rsidRPr="0002364D"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In warmer environments, insufficient winter chilling can affect dormancy release and subsequent reproductive development, making winter chill an important consideration when assessing the suitability of temperate fruit crops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2012)</w:t>
      </w:r>
      <w:r w:rsidRPr="00252617">
        <w:rPr>
          <w:rFonts w:ascii="Times New Roman" w:hAnsi="Times New Roman" w:cs="Times New Roman"/>
          <w:sz w:val="24"/>
          <w:szCs w:val="24"/>
        </w:rPr>
        <w:t>.</w:t>
      </w:r>
    </w:p>
    <w:p>
      <w:pPr>
        <w:jc w:val="both"/>
        <w:rPr>
          <w:rFonts w:ascii="Times New Roman" w:hAnsi="Times New Roman" w:cs="Times New Roman"/>
          <w:sz w:val="24"/>
          <w:szCs w:val="24"/>
        </w:rPr>
      </w:pPr>
      <w:r>
        <w:rPr>
          <w:rFonts w:ascii="Times New Roman" w:hAnsi="Times New Roman"/>
          <w:b/>
          <w:i w:val="0"/>
          <w:sz w:val="24"/>
          <w:highlight w:val="yellow"/>
        </w:rPr>
        <w:t>Recent studies further indicate that apple chilling requirements and dormancy progression are cultivar-specific and strongly influenced by local thermal conditions, supporting cultivar-by-site matching in mild-winter environments (González-Martínez et al., 2025; Pertille et al., 2026).</w:t>
      </w:r>
    </w:p>
    <w:p w14:paraId="49D7D639"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1.2 Low-Chilling Apple Cultivars</w:t>
      </w:r>
    </w:p>
    <w:p w14:paraId="7842380C" w14:textId="77777777"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Low-chilling apple cultivars have become increasingly important for areas where conventional apple cultivars cannot receive adequate winter chilling. Cultivars such as </w:t>
      </w:r>
      <w:r w:rsidRPr="0002364D">
        <w:rPr>
          <w:rFonts w:ascii="Times New Roman" w:hAnsi="Times New Roman" w:cs="Times New Roman"/>
          <w:b/>
          <w:bCs/>
          <w:sz w:val="24"/>
          <w:szCs w:val="24"/>
        </w:rPr>
        <w:t>HRMN-99, Anna, Dorsett Golden, Tropical Beauty, Vered, and Tamma</w:t>
      </w:r>
      <w:r w:rsidRPr="0002364D">
        <w:rPr>
          <w:rFonts w:ascii="Times New Roman" w:hAnsi="Times New Roman" w:cs="Times New Roman"/>
          <w:sz w:val="24"/>
          <w:szCs w:val="24"/>
        </w:rPr>
        <w:t xml:space="preserve"> have been investigated or promoted for relatively warm growing environments. Indian horticultural recommendations also </w:t>
      </w:r>
      <w:r>
        <w:rPr>
          <w:rFonts w:ascii="Times New Roman" w:hAnsi="Times New Roman" w:cs="Times New Roman"/>
          <w:sz w:val="24"/>
          <w:szCs w:val="24"/>
          <w:highlight w:val="yellow"/>
        </w:rPr>
        <w:t>recognise</w:t>
      </w:r>
      <w:r>
        <w:rPr>
          <w:rFonts w:ascii="Times New Roman" w:hAnsi="Times New Roman" w:cs="Times New Roman"/>
          <w:sz w:val="24"/>
          <w:szCs w:val="24"/>
        </w:rPr>
        <w:t xml:space="preserve"> several low-chilling cultivars, including Anna, HRMN-99, </w:t>
      </w:r>
      <w:r>
        <w:rPr>
          <w:rFonts w:ascii="Times New Roman" w:hAnsi="Times New Roman" w:cs="Times New Roman"/>
          <w:sz w:val="24"/>
          <w:szCs w:val="24"/>
          <w:highlight w:val="yellow"/>
        </w:rPr>
        <w:t>Dorsett Golden, and Tropical Beauty</w:t>
      </w:r>
      <w:r>
        <w:rPr>
          <w:rFonts w:ascii="Times New Roman" w:hAnsi="Times New Roman" w:cs="Times New Roman"/>
          <w:sz w:val="24"/>
          <w:szCs w:val="24"/>
        </w:rPr>
        <w:t>, for cultivation under suitable environmental conditions.</w:t>
      </w:r>
    </w:p>
    <w:p w14:paraId="189EF98C" w14:textId="77B60657" w:rsidR="00AE5063" w:rsidRPr="0002364D" w:rsidRDefault="00AE5063" w:rsidP="00E73CA2">
      <w:pPr>
        <w:jc w:val="both"/>
        <w:rPr>
          <w:rFonts w:ascii="Times New Roman" w:hAnsi="Times New Roman" w:cs="Times New Roman"/>
          <w:sz w:val="24"/>
          <w:szCs w:val="24"/>
        </w:rPr>
      </w:pPr>
      <w:r w:rsidRPr="00AE5063">
        <w:rPr>
          <w:rFonts w:ascii="Times New Roman" w:hAnsi="Times New Roman" w:cs="Times New Roman"/>
          <w:sz w:val="24"/>
          <w:szCs w:val="24"/>
        </w:rPr>
        <w:t xml:space="preserve">Chilling requirements vary considerably among fruit cultivars, and the response to winter temperatures is therefore genotype-dependent </w:t>
      </w:r>
      <w:r w:rsidRPr="00AE5063">
        <w:rPr>
          <w:rFonts w:ascii="Times New Roman" w:hAnsi="Times New Roman" w:cs="Times New Roman"/>
          <w:b/>
          <w:bCs/>
          <w:sz w:val="24"/>
          <w:szCs w:val="24"/>
        </w:rPr>
        <w:t>(</w:t>
      </w:r>
      <w:proofErr w:type="spellStart"/>
      <w:r w:rsidRPr="00AE5063">
        <w:rPr>
          <w:rFonts w:ascii="Times New Roman" w:hAnsi="Times New Roman" w:cs="Times New Roman"/>
          <w:b/>
          <w:bCs/>
          <w:sz w:val="24"/>
          <w:szCs w:val="24"/>
        </w:rPr>
        <w:t>Fadón</w:t>
      </w:r>
      <w:proofErr w:type="spellEnd"/>
      <w:r w:rsidRPr="00AE5063">
        <w:rPr>
          <w:rFonts w:ascii="Times New Roman" w:hAnsi="Times New Roman" w:cs="Times New Roman"/>
          <w:b/>
          <w:bCs/>
          <w:sz w:val="24"/>
          <w:szCs w:val="24"/>
        </w:rPr>
        <w:t xml:space="preserve"> et al., 2020)</w:t>
      </w:r>
      <w:r w:rsidRPr="00AE5063">
        <w:rPr>
          <w:rFonts w:ascii="Times New Roman" w:hAnsi="Times New Roman" w:cs="Times New Roman"/>
          <w:sz w:val="24"/>
          <w:szCs w:val="24"/>
        </w:rPr>
        <w:t>.</w:t>
      </w:r>
    </w:p>
    <w:p w14:paraId="1F6D2CE2" w14:textId="2FCFD309"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Among these cultivars, </w:t>
      </w:r>
      <w:r w:rsidRPr="0002364D">
        <w:rPr>
          <w:rFonts w:ascii="Times New Roman" w:hAnsi="Times New Roman" w:cs="Times New Roman"/>
          <w:b/>
          <w:bCs/>
          <w:sz w:val="24"/>
          <w:szCs w:val="24"/>
        </w:rPr>
        <w:t>HRMN-99</w:t>
      </w:r>
      <w:r w:rsidRPr="0002364D">
        <w:rPr>
          <w:rFonts w:ascii="Times New Roman" w:hAnsi="Times New Roman" w:cs="Times New Roman"/>
          <w:sz w:val="24"/>
          <w:szCs w:val="24"/>
        </w:rPr>
        <w:t xml:space="preserve"> is particularly relevant to the Indian context. The Indian Council of Agricultural Research reported that HRMN-99 is a low-chilling, self-pollinating apple variety developed for tropical and subtropical environments and capable of growing under substantially warmer conditions than conventional apple cultivars. Its cultivation has expanded into several non-traditional apple-growing regions of India (Indian Council of Agricultural Research [ICAR], 2025). </w:t>
      </w:r>
    </w:p>
    <w:p w14:paraId="382B76C4" w14:textId="3992E7B9" w:rsidR="00AB6F4A" w:rsidRPr="0002364D" w:rsidRDefault="00AB6F4A" w:rsidP="00E73CA2">
      <w:pPr>
        <w:jc w:val="both"/>
        <w:rPr>
          <w:rFonts w:ascii="Times New Roman" w:hAnsi="Times New Roman" w:cs="Times New Roman"/>
          <w:sz w:val="24"/>
          <w:szCs w:val="24"/>
        </w:rPr>
      </w:pPr>
      <w:r w:rsidRPr="00AB6F4A">
        <w:rPr>
          <w:rFonts w:ascii="Times New Roman" w:hAnsi="Times New Roman" w:cs="Times New Roman"/>
          <w:sz w:val="24"/>
          <w:szCs w:val="24"/>
        </w:rPr>
        <w:t xml:space="preserve">HRMN-99 is </w:t>
      </w:r>
      <w:r>
        <w:rPr>
          <w:rFonts w:ascii="Times New Roman" w:hAnsi="Times New Roman" w:cs="Times New Roman"/>
          <w:sz w:val="24"/>
          <w:szCs w:val="24"/>
          <w:highlight w:val="yellow"/>
        </w:rPr>
        <w:t>recognised</w:t>
      </w:r>
      <w:r>
        <w:rPr>
          <w:rFonts w:ascii="Times New Roman" w:hAnsi="Times New Roman" w:cs="Times New Roman"/>
          <w:sz w:val="24"/>
          <w:szCs w:val="24"/>
        </w:rPr>
        <w:t xml:space="preserve"> as a low-chilling apple variety with potential for cultivation under tropical, subtropical, and plain-area conditions, making it relevant for preliminary evaluation in warmer regions </w:t>
      </w:r>
      <w:r w:rsidRPr="00AB6F4A">
        <w:rPr>
          <w:rFonts w:ascii="Times New Roman" w:hAnsi="Times New Roman" w:cs="Times New Roman"/>
          <w:b/>
          <w:bCs/>
          <w:sz w:val="24"/>
          <w:szCs w:val="24"/>
        </w:rPr>
        <w:t>(Principal Scientific Adviser to the Government of India, n.d.)</w:t>
      </w:r>
      <w:r w:rsidRPr="00AB6F4A">
        <w:rPr>
          <w:rFonts w:ascii="Times New Roman" w:hAnsi="Times New Roman" w:cs="Times New Roman"/>
          <w:sz w:val="24"/>
          <w:szCs w:val="24"/>
        </w:rPr>
        <w:t>.</w:t>
      </w:r>
    </w:p>
    <w:p w14:paraId="3A5F8BC8" w14:textId="786DAB6A"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lastRenderedPageBreak/>
        <w:t xml:space="preserve">Recent experimental research has further demonstrated the importance of cultivar selection under local environmental conditions. Sharma et al. (2024) evaluated HRMN-99, Dorsett Golden, and Anna under subtropical conditions in Assam and reported differences among cultivars in vegetative growth and nutrient status, with HRMN-99 showing promising growth performance under the experimental conditions. Similarly, research on HRMN-99 under the </w:t>
      </w:r>
      <w:proofErr w:type="spellStart"/>
      <w:r w:rsidRPr="0002364D">
        <w:rPr>
          <w:rFonts w:ascii="Times New Roman" w:hAnsi="Times New Roman" w:cs="Times New Roman"/>
          <w:sz w:val="24"/>
          <w:szCs w:val="24"/>
        </w:rPr>
        <w:t>agro</w:t>
      </w:r>
      <w:proofErr w:type="spellEnd"/>
      <w:r w:rsidRPr="0002364D">
        <w:rPr>
          <w:rFonts w:ascii="Times New Roman" w:hAnsi="Times New Roman" w:cs="Times New Roman"/>
          <w:sz w:val="24"/>
          <w:szCs w:val="24"/>
        </w:rPr>
        <w:t xml:space="preserve">-climatic conditions of Prayagraj demonstrates the increasing interest in evaluating this cultivar beyond traditional apple-growing regions. </w:t>
      </w:r>
    </w:p>
    <w:p w14:paraId="28A76C59" w14:textId="6F9E9FB8" w:rsidR="009F3240" w:rsidRDefault="009F3240" w:rsidP="00E73CA2">
      <w:pPr>
        <w:jc w:val="both"/>
        <w:rPr>
          <w:rFonts w:ascii="Times New Roman" w:hAnsi="Times New Roman" w:cs="Times New Roman"/>
          <w:sz w:val="24"/>
          <w:szCs w:val="24"/>
        </w:rPr>
      </w:pPr>
      <w:r w:rsidRPr="009F3240">
        <w:rPr>
          <w:rFonts w:ascii="Times New Roman" w:hAnsi="Times New Roman" w:cs="Times New Roman"/>
          <w:sz w:val="24"/>
          <w:szCs w:val="24"/>
        </w:rPr>
        <w:t xml:space="preserve">HRMN-99 is described as a low-chilling apple variety developed for tropical, subtropical, and plain areas, making it relevant for investigation in warmer regions outside conventional apple-growing zones </w:t>
      </w:r>
      <w:r w:rsidRPr="009F3240">
        <w:rPr>
          <w:rFonts w:ascii="Times New Roman" w:hAnsi="Times New Roman" w:cs="Times New Roman"/>
          <w:b/>
          <w:bCs/>
          <w:sz w:val="24"/>
          <w:szCs w:val="24"/>
        </w:rPr>
        <w:t>(National Innovation Foundation–India, n.d.)</w:t>
      </w:r>
      <w:r w:rsidRPr="009F3240">
        <w:rPr>
          <w:rFonts w:ascii="Times New Roman" w:hAnsi="Times New Roman" w:cs="Times New Roman"/>
          <w:sz w:val="24"/>
          <w:szCs w:val="24"/>
        </w:rPr>
        <w:t>.</w:t>
      </w:r>
    </w:p>
    <w:p w14:paraId="27F7D56A" w14:textId="023AD759" w:rsidR="00AE5063" w:rsidRDefault="00AE5063" w:rsidP="00E73CA2">
      <w:pPr>
        <w:jc w:val="both"/>
        <w:rPr>
          <w:rFonts w:ascii="Times New Roman" w:hAnsi="Times New Roman" w:cs="Times New Roman"/>
          <w:sz w:val="24"/>
          <w:szCs w:val="24"/>
        </w:rPr>
      </w:pPr>
      <w:r w:rsidRPr="00AE5063">
        <w:rPr>
          <w:rFonts w:ascii="Times New Roman" w:hAnsi="Times New Roman" w:cs="Times New Roman"/>
          <w:sz w:val="24"/>
          <w:szCs w:val="24"/>
        </w:rPr>
        <w:t xml:space="preserve">HRMN-99 is a low-chilling apple variety that has attracted attention for its potential cultivation in tropical, subtropical, and plain areas of India </w:t>
      </w:r>
      <w:r w:rsidRPr="00AE5063">
        <w:rPr>
          <w:rFonts w:ascii="Times New Roman" w:hAnsi="Times New Roman" w:cs="Times New Roman"/>
          <w:b/>
          <w:bCs/>
          <w:sz w:val="24"/>
          <w:szCs w:val="24"/>
        </w:rPr>
        <w:t xml:space="preserve">(Department of Science and Technology, </w:t>
      </w:r>
      <w:r w:rsidR="00AD5D82">
        <w:rPr>
          <w:rFonts w:ascii="Times New Roman" w:hAnsi="Times New Roman" w:cs="Times New Roman"/>
          <w:b/>
          <w:bCs/>
          <w:sz w:val="24"/>
          <w:szCs w:val="24"/>
        </w:rPr>
        <w:t>2021</w:t>
      </w:r>
      <w:r w:rsidRPr="00AE5063">
        <w:rPr>
          <w:rFonts w:ascii="Times New Roman" w:hAnsi="Times New Roman" w:cs="Times New Roman"/>
          <w:b/>
          <w:bCs/>
          <w:sz w:val="24"/>
          <w:szCs w:val="24"/>
        </w:rPr>
        <w:t>)</w:t>
      </w:r>
      <w:r w:rsidRPr="00AE5063">
        <w:rPr>
          <w:rFonts w:ascii="Times New Roman" w:hAnsi="Times New Roman" w:cs="Times New Roman"/>
          <w:sz w:val="24"/>
          <w:szCs w:val="24"/>
        </w:rPr>
        <w:t>.</w:t>
      </w:r>
    </w:p>
    <w:p w14:paraId="76B4B0D3" w14:textId="1C215E71"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The chilling requirement is a cultivar-dependent characteristic, and substantial variation exists among apple genotypes in the duration of bud dormancy and their response to chilling conditions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Hauagge</w:t>
      </w:r>
      <w:proofErr w:type="spellEnd"/>
      <w:r w:rsidRPr="00252617">
        <w:rPr>
          <w:rFonts w:ascii="Times New Roman" w:hAnsi="Times New Roman" w:cs="Times New Roman"/>
          <w:b/>
          <w:bCs/>
          <w:sz w:val="24"/>
          <w:szCs w:val="24"/>
        </w:rPr>
        <w:t xml:space="preserve"> &amp; Cummins, 1991)</w:t>
      </w:r>
      <w:r w:rsidRPr="00252617">
        <w:rPr>
          <w:rFonts w:ascii="Times New Roman" w:hAnsi="Times New Roman" w:cs="Times New Roman"/>
          <w:sz w:val="24"/>
          <w:szCs w:val="24"/>
        </w:rPr>
        <w:t>.</w:t>
      </w:r>
    </w:p>
    <w:p w14:paraId="7B2B71C4" w14:textId="4AB0CC58" w:rsidR="00BB6D71" w:rsidRPr="0002364D" w:rsidRDefault="00BB6D71" w:rsidP="00E73CA2">
      <w:pPr>
        <w:jc w:val="both"/>
        <w:rPr>
          <w:rFonts w:ascii="Times New Roman" w:hAnsi="Times New Roman" w:cs="Times New Roman"/>
          <w:sz w:val="24"/>
          <w:szCs w:val="24"/>
        </w:rPr>
      </w:pPr>
      <w:r w:rsidRPr="00BB6D71">
        <w:rPr>
          <w:rFonts w:ascii="Times New Roman" w:hAnsi="Times New Roman" w:cs="Times New Roman"/>
          <w:sz w:val="24"/>
          <w:szCs w:val="24"/>
        </w:rPr>
        <w:t xml:space="preserve">Vats et al. (2022) evaluated the low-chilling apple cultivar HRMN-99 under the </w:t>
      </w:r>
      <w:proofErr w:type="spellStart"/>
      <w:r w:rsidRPr="00BB6D71">
        <w:rPr>
          <w:rFonts w:ascii="Times New Roman" w:hAnsi="Times New Roman" w:cs="Times New Roman"/>
          <w:sz w:val="24"/>
          <w:szCs w:val="24"/>
        </w:rPr>
        <w:t>agro</w:t>
      </w:r>
      <w:proofErr w:type="spellEnd"/>
      <w:r w:rsidRPr="00BB6D71">
        <w:rPr>
          <w:rFonts w:ascii="Times New Roman" w:hAnsi="Times New Roman" w:cs="Times New Roman"/>
          <w:sz w:val="24"/>
          <w:szCs w:val="24"/>
        </w:rPr>
        <w:t>-climatic conditions of Prayagraj, providing evidence that this cultivar can be investigated under subtropical environmental conditions.</w:t>
      </w:r>
    </w:p>
    <w:p>
      <w:pPr>
        <w:jc w:val="both"/>
        <w:rPr>
          <w:rFonts w:ascii="Times New Roman" w:hAnsi="Times New Roman" w:cs="Times New Roman"/>
          <w:sz w:val="24"/>
          <w:szCs w:val="24"/>
        </w:rPr>
      </w:pPr>
      <w:r>
        <w:rPr>
          <w:rFonts w:ascii="Times New Roman" w:hAnsi="Times New Roman"/>
          <w:b/>
          <w:i w:val="0"/>
          <w:sz w:val="24"/>
          <w:highlight w:val="yellow"/>
        </w:rPr>
        <w:t>Recent evaluation of HRMN-99 under Prayagraj's subtropical conditions also indicates that its growth and yield responses can vary with management treatments, reinforcing the need for local field validation (Gupta &amp; Mishra, 2024).</w:t>
      </w:r>
    </w:p>
    <w:p w14:paraId="7E823B8A"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1.3 Adilabad as a Potential Non-Traditional Apple-Growing Region</w:t>
      </w:r>
    </w:p>
    <w:p w14:paraId="65330CB3" w14:textId="161AE586"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Adilabad district, located in northern Telangana, possesses a distinctive combination of agricultural, forest, climatic, and soil environments. The district experiences hot summers and a predominantly dry climate outside the southwest monsoon period. The official district profile reports a normal annual rainfall of approximately </w:t>
      </w:r>
      <w:r w:rsidRPr="0002364D">
        <w:rPr>
          <w:rFonts w:ascii="Times New Roman" w:hAnsi="Times New Roman" w:cs="Times New Roman"/>
          <w:b/>
          <w:bCs/>
          <w:sz w:val="24"/>
          <w:szCs w:val="24"/>
        </w:rPr>
        <w:t>1,044.5 mm</w:t>
      </w:r>
      <w:r w:rsidRPr="0002364D">
        <w:rPr>
          <w:rFonts w:ascii="Times New Roman" w:hAnsi="Times New Roman" w:cs="Times New Roman"/>
          <w:sz w:val="24"/>
          <w:szCs w:val="24"/>
        </w:rPr>
        <w:t xml:space="preserve">, with around 85% of the annual rainfall occurring during the southwest monsoon. December is generally the coldest month, with a mean daily minimum temperature of approximately </w:t>
      </w:r>
      <w:r w:rsidRPr="0002364D">
        <w:rPr>
          <w:rFonts w:ascii="Times New Roman" w:hAnsi="Times New Roman" w:cs="Times New Roman"/>
          <w:b/>
          <w:bCs/>
          <w:sz w:val="24"/>
          <w:szCs w:val="24"/>
        </w:rPr>
        <w:t>15°C</w:t>
      </w:r>
      <w:r w:rsidRPr="0002364D">
        <w:rPr>
          <w:rFonts w:ascii="Times New Roman" w:hAnsi="Times New Roman" w:cs="Times New Roman"/>
          <w:sz w:val="24"/>
          <w:szCs w:val="24"/>
        </w:rPr>
        <w:t xml:space="preserve"> and a mean daily maximum of about </w:t>
      </w:r>
      <w:r w:rsidRPr="0002364D">
        <w:rPr>
          <w:rFonts w:ascii="Times New Roman" w:hAnsi="Times New Roman" w:cs="Times New Roman"/>
          <w:b/>
          <w:bCs/>
          <w:sz w:val="24"/>
          <w:szCs w:val="24"/>
        </w:rPr>
        <w:t>29°C</w:t>
      </w:r>
      <w:r w:rsidRPr="0002364D">
        <w:rPr>
          <w:rFonts w:ascii="Times New Roman" w:hAnsi="Times New Roman" w:cs="Times New Roman"/>
          <w:sz w:val="24"/>
          <w:szCs w:val="24"/>
        </w:rPr>
        <w:t>.</w:t>
      </w:r>
    </w:p>
    <w:p w14:paraId="727B1AB2" w14:textId="320D0ED6"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The district also contains both red and black soils, with black soil predominating and accounting for approximately 72% of the district's soil area. These climatic and edaphic characteristics make Adilabad an interesting location for investigating whether selected low-chilling apple cultivars can adapt to local conditions.</w:t>
      </w:r>
    </w:p>
    <w:p>
      <w:pPr>
        <w:jc w:val="both"/>
        <w:rPr>
          <w:rFonts w:ascii="Times New Roman" w:hAnsi="Times New Roman" w:cs="Times New Roman"/>
          <w:sz w:val="24"/>
          <w:szCs w:val="24"/>
        </w:rPr>
      </w:pPr>
      <w:r>
        <w:rPr>
          <w:rFonts w:ascii="Times New Roman" w:hAnsi="Times New Roman"/>
          <w:b/>
          <w:i w:val="0"/>
          <w:sz w:val="24"/>
          <w:highlight w:val="yellow"/>
        </w:rPr>
        <w:t>Geospatial suitability modelling has also been applied to low-chilling temperate fruits, including apple, by integrating physical, meteorological, and landscape criteria, providing a relevant precedent for preliminary site screening before field establishment (Meresa et al., 2023).</w:t>
      </w:r>
    </w:p>
    <w:p w14:paraId="77BC1F8A"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1.4 Research Gap</w:t>
      </w:r>
    </w:p>
    <w:p w14:paraId="0712DB29" w14:textId="1F45DE8B"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Although low-chilling cultivars have expanded the geographical range of potential apple production in India, </w:t>
      </w:r>
      <w:r w:rsidRPr="0002364D">
        <w:rPr>
          <w:rFonts w:ascii="Times New Roman" w:hAnsi="Times New Roman" w:cs="Times New Roman"/>
          <w:b/>
          <w:bCs/>
          <w:sz w:val="24"/>
          <w:szCs w:val="24"/>
        </w:rPr>
        <w:t>cultivar performance is strongly influenced by local environmental conditions</w:t>
      </w:r>
      <w:r w:rsidRPr="0002364D">
        <w:rPr>
          <w:rFonts w:ascii="Times New Roman" w:hAnsi="Times New Roman" w:cs="Times New Roman"/>
          <w:sz w:val="24"/>
          <w:szCs w:val="24"/>
        </w:rPr>
        <w:t xml:space="preserve">. Evidence from Assam and other subtropical regions demonstrates that successful establishment cannot be assumed solely from the performance of a cultivar elsewhere. </w:t>
      </w:r>
    </w:p>
    <w:p w14:paraId="796E6844" w14:textId="77777777"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Despite the presence of relatively cool winter conditions during part of the year, suitable rainfall, and diverse soil environments, there is limited published information specifically assessing the suitability of </w:t>
      </w:r>
      <w:r w:rsidRPr="0002364D">
        <w:rPr>
          <w:rFonts w:ascii="Times New Roman" w:hAnsi="Times New Roman" w:cs="Times New Roman"/>
          <w:b/>
          <w:bCs/>
          <w:sz w:val="24"/>
          <w:szCs w:val="24"/>
        </w:rPr>
        <w:t>Adilabad's forest-fringe and associated agricultural environments for low-chilling apple cultivation</w:t>
      </w:r>
      <w:r w:rsidRPr="0002364D">
        <w:rPr>
          <w:rFonts w:ascii="Times New Roman" w:hAnsi="Times New Roman" w:cs="Times New Roman"/>
          <w:sz w:val="24"/>
          <w:szCs w:val="24"/>
        </w:rPr>
        <w:t xml:space="preserve">. Therefore, a site-specific assessment of </w:t>
      </w:r>
      <w:r w:rsidRPr="0002364D">
        <w:rPr>
          <w:rFonts w:ascii="Times New Roman" w:hAnsi="Times New Roman" w:cs="Times New Roman"/>
          <w:sz w:val="24"/>
          <w:szCs w:val="24"/>
        </w:rPr>
        <w:lastRenderedPageBreak/>
        <w:t>temperature, chilling conditions, soil characteristics, water availability, and topography is necessary before recommending wider cultivation.</w:t>
      </w:r>
    </w:p>
    <w:p w14:paraId="1BA2F7A2" w14:textId="77777777" w:rsid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Importantly, the term </w:t>
      </w:r>
      <w:r w:rsidRPr="0002364D">
        <w:rPr>
          <w:rFonts w:ascii="Times New Roman" w:hAnsi="Times New Roman" w:cs="Times New Roman"/>
          <w:i/>
          <w:iCs/>
          <w:sz w:val="24"/>
          <w:szCs w:val="24"/>
        </w:rPr>
        <w:t>forest regions</w:t>
      </w:r>
      <w:r w:rsidRPr="0002364D">
        <w:rPr>
          <w:rFonts w:ascii="Times New Roman" w:hAnsi="Times New Roman" w:cs="Times New Roman"/>
          <w:sz w:val="24"/>
          <w:szCs w:val="24"/>
        </w:rPr>
        <w:t xml:space="preserve"> in this study refers to environmental zones and forest-fringe landscapes that may be evaluated for agricultural potential; it should </w:t>
      </w:r>
      <w:r w:rsidRPr="0002364D">
        <w:rPr>
          <w:rFonts w:ascii="Times New Roman" w:hAnsi="Times New Roman" w:cs="Times New Roman"/>
          <w:b/>
          <w:bCs/>
          <w:sz w:val="24"/>
          <w:szCs w:val="24"/>
        </w:rPr>
        <w:t>not be interpreted as a recommendation to clear or convert natural forest land</w:t>
      </w:r>
      <w:r w:rsidRPr="0002364D">
        <w:rPr>
          <w:rFonts w:ascii="Times New Roman" w:hAnsi="Times New Roman" w:cs="Times New Roman"/>
          <w:sz w:val="24"/>
          <w:szCs w:val="24"/>
        </w:rPr>
        <w:t>. Conservation of native vegetation, biodiversity, and legally protected forest areas must remain a fundamental consideration.</w:t>
      </w:r>
    </w:p>
    <w:p w14:paraId="6BA028EF" w14:textId="7C1CDAFB" w:rsidR="00166399" w:rsidRPr="0002364D" w:rsidRDefault="00166399" w:rsidP="00E73CA2">
      <w:pPr>
        <w:jc w:val="both"/>
        <w:rPr>
          <w:rFonts w:ascii="Times New Roman" w:hAnsi="Times New Roman" w:cs="Times New Roman"/>
          <w:sz w:val="24"/>
          <w:szCs w:val="24"/>
        </w:rPr>
      </w:pPr>
      <w:r w:rsidRPr="00166399">
        <w:rPr>
          <w:rFonts w:ascii="Times New Roman" w:hAnsi="Times New Roman" w:cs="Times New Roman"/>
          <w:sz w:val="24"/>
          <w:szCs w:val="24"/>
          <w:highlight w:val="yellow"/>
        </w:rPr>
        <w:t>Because site-specific field measurements and multi-season experimental data are currently limited, the present study is designed as a preliminary environmental suitability assessment rather than a field-based evaluation of actual apple production</w:t>
      </w:r>
      <w:r>
        <w:rPr>
          <w:rFonts w:ascii="Times New Roman" w:hAnsi="Times New Roman" w:cs="Times New Roman"/>
          <w:sz w:val="24"/>
          <w:szCs w:val="24"/>
          <w:highlight w:val="yellow"/>
        </w:rPr>
        <w:t>.</w:t>
      </w:r>
    </w:p>
    <w:p w14:paraId="5602D04D"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1.5 Aim of the Study</w:t>
      </w:r>
    </w:p>
    <w:p w14:paraId="44FDFAA1" w14:textId="77777777"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 xml:space="preserve">The present study aims to assess the </w:t>
      </w:r>
      <w:r w:rsidRPr="0002364D">
        <w:rPr>
          <w:rFonts w:ascii="Times New Roman" w:hAnsi="Times New Roman" w:cs="Times New Roman"/>
          <w:b/>
          <w:bCs/>
          <w:sz w:val="24"/>
          <w:szCs w:val="24"/>
        </w:rPr>
        <w:t>potential suitability of selected Adilabad forest-fringe environments for low-chilling apple cultivation</w:t>
      </w:r>
      <w:r w:rsidRPr="0002364D">
        <w:rPr>
          <w:rFonts w:ascii="Times New Roman" w:hAnsi="Times New Roman" w:cs="Times New Roman"/>
          <w:sz w:val="24"/>
          <w:szCs w:val="24"/>
        </w:rPr>
        <w:t xml:space="preserve"> based on local climatic, soil, topographic, and water-availability conditions.</w:t>
      </w:r>
    </w:p>
    <w:p w14:paraId="5E84D877" w14:textId="77777777" w:rsidR="0002364D" w:rsidRPr="0002364D" w:rsidRDefault="0002364D" w:rsidP="00E73CA2">
      <w:pPr>
        <w:jc w:val="both"/>
        <w:rPr>
          <w:rFonts w:ascii="Times New Roman" w:hAnsi="Times New Roman" w:cs="Times New Roman"/>
          <w:b/>
          <w:bCs/>
          <w:sz w:val="24"/>
          <w:szCs w:val="24"/>
        </w:rPr>
      </w:pPr>
      <w:r w:rsidRPr="0002364D">
        <w:rPr>
          <w:rFonts w:ascii="Times New Roman" w:hAnsi="Times New Roman" w:cs="Times New Roman"/>
          <w:b/>
          <w:bCs/>
          <w:sz w:val="24"/>
          <w:szCs w:val="24"/>
        </w:rPr>
        <w:t>1.6 Objectives</w:t>
      </w:r>
    </w:p>
    <w:p w14:paraId="29712F3D" w14:textId="77777777" w:rsidR="0002364D" w:rsidRPr="0002364D" w:rsidRDefault="0002364D" w:rsidP="00E73CA2">
      <w:pPr>
        <w:jc w:val="both"/>
        <w:rPr>
          <w:rFonts w:ascii="Times New Roman" w:hAnsi="Times New Roman" w:cs="Times New Roman"/>
          <w:sz w:val="24"/>
          <w:szCs w:val="24"/>
        </w:rPr>
      </w:pPr>
      <w:r w:rsidRPr="0002364D">
        <w:rPr>
          <w:rFonts w:ascii="Times New Roman" w:hAnsi="Times New Roman" w:cs="Times New Roman"/>
          <w:sz w:val="24"/>
          <w:szCs w:val="24"/>
        </w:rPr>
        <w:t>The specific objectives are:</w:t>
      </w:r>
    </w:p>
    <w:p w14:paraId="762E011D"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document the temperature and rainfall characteristics of selected study locations.</w:t>
      </w:r>
    </w:p>
    <w:p w14:paraId="5DED9A16"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assess soil characteristics relevant to apple cultivation.</w:t>
      </w:r>
    </w:p>
    <w:p w14:paraId="7F3D3533"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evaluate the suitability of local winter conditions for low-chilling apple cultivars.</w:t>
      </w:r>
    </w:p>
    <w:p w14:paraId="6A2EE55A"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identify potentially suitable low-chilling apple cultivars for the study region.</w:t>
      </w:r>
    </w:p>
    <w:p w14:paraId="2421A967" w14:textId="77777777" w:rsidR="0002364D" w:rsidRPr="0002364D" w:rsidRDefault="0002364D" w:rsidP="00E73CA2">
      <w:pPr>
        <w:numPr>
          <w:ilvl w:val="0"/>
          <w:numId w:val="1"/>
        </w:numPr>
        <w:jc w:val="both"/>
        <w:rPr>
          <w:rFonts w:ascii="Times New Roman" w:hAnsi="Times New Roman" w:cs="Times New Roman"/>
          <w:sz w:val="24"/>
          <w:szCs w:val="24"/>
        </w:rPr>
      </w:pPr>
      <w:r w:rsidRPr="0002364D">
        <w:rPr>
          <w:rFonts w:ascii="Times New Roman" w:hAnsi="Times New Roman" w:cs="Times New Roman"/>
          <w:sz w:val="24"/>
          <w:szCs w:val="24"/>
        </w:rPr>
        <w:t>To develop a preliminary environmental suitability framework for apple cultivation in Adilabad.</w:t>
      </w:r>
    </w:p>
    <w:p w14:paraId="308A1F75"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 MATERIALS AND METHODS</w:t>
      </w:r>
    </w:p>
    <w:p w14:paraId="4479A200" w14:textId="77777777" w:rsidR="00166399" w:rsidRPr="00166399" w:rsidRDefault="00166399" w:rsidP="00166399">
      <w:pPr>
        <w:jc w:val="both"/>
        <w:rPr>
          <w:rFonts w:ascii="Times New Roman" w:hAnsi="Times New Roman" w:cs="Times New Roman"/>
          <w:b/>
          <w:bCs/>
          <w:sz w:val="24"/>
          <w:szCs w:val="24"/>
          <w:highlight w:val="yellow"/>
        </w:rPr>
      </w:pPr>
      <w:r w:rsidRPr="00166399">
        <w:rPr>
          <w:rFonts w:ascii="Times New Roman" w:hAnsi="Times New Roman" w:cs="Times New Roman"/>
          <w:b/>
          <w:bCs/>
          <w:sz w:val="24"/>
          <w:szCs w:val="24"/>
          <w:highlight w:val="yellow"/>
        </w:rPr>
        <w:t>2.1 Study Design and Nature of Data</w:t>
      </w:r>
    </w:p>
    <w:p w14:paraId="41163FE9" w14:textId="55415FAD" w:rsidR="00166399" w:rsidRPr="00166399" w:rsidRDefault="00166399" w:rsidP="00E73CA2">
      <w:pPr>
        <w:jc w:val="both"/>
        <w:rPr>
          <w:rFonts w:ascii="Times New Roman" w:hAnsi="Times New Roman" w:cs="Times New Roman"/>
          <w:sz w:val="24"/>
          <w:szCs w:val="24"/>
        </w:rPr>
      </w:pPr>
      <w:r w:rsidRPr="00166399">
        <w:rPr>
          <w:rFonts w:ascii="Times New Roman" w:hAnsi="Times New Roman" w:cs="Times New Roman"/>
          <w:sz w:val="24"/>
          <w:szCs w:val="24"/>
          <w:highlight w:val="yellow"/>
        </w:rPr>
        <w:t>The present study constitutes a preliminary environmental suitability assessment for low-chilling apple cultivation in selected environments of Adilabad District. The assessment uses secondary climatic information together with simulated site-level values constructed within the documented environmental range of the region. The simulated values are not direct field or laboratory measurements. They are used to develop and demonstrate a preliminary environmental suitability framework. Therefore, the resulting suitability scores and cultivar–site classifications should be considered preliminary and require validation through multi-season field experiments.</w:t>
      </w:r>
    </w:p>
    <w:p w14:paraId="3DE5AA5D" w14:textId="5053BCDF"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w:t>
      </w:r>
      <w:r w:rsidR="00166399">
        <w:rPr>
          <w:rFonts w:ascii="Times New Roman" w:hAnsi="Times New Roman" w:cs="Times New Roman"/>
          <w:b/>
          <w:bCs/>
          <w:sz w:val="24"/>
          <w:szCs w:val="24"/>
        </w:rPr>
        <w:t>2</w:t>
      </w:r>
      <w:r w:rsidRPr="00E73CA2">
        <w:rPr>
          <w:rFonts w:ascii="Times New Roman" w:hAnsi="Times New Roman" w:cs="Times New Roman"/>
          <w:b/>
          <w:bCs/>
          <w:sz w:val="24"/>
          <w:szCs w:val="24"/>
        </w:rPr>
        <w:t xml:space="preserve"> Study Area</w:t>
      </w:r>
    </w:p>
    <w:p w14:paraId="2EC589FA" w14:textId="45A51A1C"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study was designed for selected forest-fringe and agricultural environments of </w:t>
      </w:r>
      <w:r w:rsidRPr="00E73CA2">
        <w:rPr>
          <w:rFonts w:ascii="Times New Roman" w:hAnsi="Times New Roman" w:cs="Times New Roman"/>
          <w:b/>
          <w:bCs/>
          <w:sz w:val="24"/>
          <w:szCs w:val="24"/>
        </w:rPr>
        <w:t>Adilabad District, Telangana, India</w:t>
      </w:r>
      <w:r w:rsidRPr="00E73CA2">
        <w:rPr>
          <w:rFonts w:ascii="Times New Roman" w:hAnsi="Times New Roman" w:cs="Times New Roman"/>
          <w:sz w:val="24"/>
          <w:szCs w:val="24"/>
        </w:rPr>
        <w:t xml:space="preserve">, to evaluate their preliminary suitability for low-chilling apple cultivation. Adilabad district is situated in northern Telangana and extends between approximately </w:t>
      </w:r>
      <w:r w:rsidRPr="00E73CA2">
        <w:rPr>
          <w:rFonts w:ascii="Times New Roman" w:hAnsi="Times New Roman" w:cs="Times New Roman"/>
          <w:b/>
          <w:bCs/>
          <w:sz w:val="24"/>
          <w:szCs w:val="24"/>
        </w:rPr>
        <w:t>19°40′12″ N latitude and 78°31′48″ E longitude</w:t>
      </w:r>
      <w:r w:rsidRPr="00E73CA2">
        <w:rPr>
          <w:rFonts w:ascii="Times New Roman" w:hAnsi="Times New Roman" w:cs="Times New Roman"/>
          <w:sz w:val="24"/>
          <w:szCs w:val="24"/>
        </w:rPr>
        <w:t xml:space="preserve">. The district covers approximately </w:t>
      </w:r>
      <w:r w:rsidRPr="00E73CA2">
        <w:rPr>
          <w:rFonts w:ascii="Times New Roman" w:hAnsi="Times New Roman" w:cs="Times New Roman"/>
          <w:b/>
          <w:bCs/>
          <w:sz w:val="24"/>
          <w:szCs w:val="24"/>
        </w:rPr>
        <w:t>4,153 km²</w:t>
      </w:r>
      <w:r w:rsidRPr="00E73CA2">
        <w:rPr>
          <w:rFonts w:ascii="Times New Roman" w:hAnsi="Times New Roman" w:cs="Times New Roman"/>
          <w:sz w:val="24"/>
          <w:szCs w:val="24"/>
        </w:rPr>
        <w:t xml:space="preserve"> and contains diverse agricultural and forest-associated landscapes. </w:t>
      </w:r>
      <w:r w:rsidRPr="00E73CA2">
        <w:rPr>
          <w:rFonts w:ascii="Times New Roman" w:hAnsi="Times New Roman" w:cs="Times New Roman"/>
          <w:sz w:val="24"/>
          <w:szCs w:val="24"/>
        </w:rPr>
        <w:t xml:space="preserve">The district administration describes the climate as </w:t>
      </w:r>
      <w:r>
        <w:rPr>
          <w:rFonts w:ascii="Times New Roman" w:hAnsi="Times New Roman" w:cs="Times New Roman"/>
          <w:sz w:val="24"/>
          <w:szCs w:val="24"/>
          <w:highlight w:val="yellow"/>
        </w:rPr>
        <w:t>characterised</w:t>
      </w:r>
      <w:r>
        <w:rPr>
          <w:rFonts w:ascii="Times New Roman" w:hAnsi="Times New Roman" w:cs="Times New Roman"/>
          <w:sz w:val="24"/>
          <w:szCs w:val="24"/>
        </w:rPr>
        <w:t xml:space="preserve"> by hot summers and generally dry conditions outside the southwest monsoon season. Approximately </w:t>
      </w:r>
      <w:r w:rsidRPr="00E73CA2">
        <w:rPr>
          <w:rFonts w:ascii="Times New Roman" w:hAnsi="Times New Roman" w:cs="Times New Roman"/>
          <w:b/>
          <w:bCs/>
          <w:sz w:val="24"/>
          <w:szCs w:val="24"/>
        </w:rPr>
        <w:t>85% of the annual rainfall is received during the southwest monsoon</w:t>
      </w:r>
      <w:r w:rsidRPr="00E73CA2">
        <w:rPr>
          <w:rFonts w:ascii="Times New Roman" w:hAnsi="Times New Roman" w:cs="Times New Roman"/>
          <w:sz w:val="24"/>
          <w:szCs w:val="24"/>
        </w:rPr>
        <w:t xml:space="preserve">, while the normal annual rainfall is approximately </w:t>
      </w:r>
      <w:r w:rsidRPr="00E73CA2">
        <w:rPr>
          <w:rFonts w:ascii="Times New Roman" w:hAnsi="Times New Roman" w:cs="Times New Roman"/>
          <w:b/>
          <w:bCs/>
          <w:sz w:val="24"/>
          <w:szCs w:val="24"/>
        </w:rPr>
        <w:t>1,044.5 mm</w:t>
      </w:r>
      <w:r w:rsidRPr="00E73CA2">
        <w:rPr>
          <w:rFonts w:ascii="Times New Roman" w:hAnsi="Times New Roman" w:cs="Times New Roman"/>
          <w:sz w:val="24"/>
          <w:szCs w:val="24"/>
        </w:rPr>
        <w:t xml:space="preserve">. December is generally the coldest month, with a reported mean daily minimum temperature of approximately 15°C </w:t>
      </w:r>
      <w:r>
        <w:rPr>
          <w:rFonts w:ascii="Times New Roman" w:hAnsi="Times New Roman" w:cs="Times New Roman"/>
          <w:sz w:val="24"/>
          <w:szCs w:val="24"/>
          <w:highlight w:val="yellow"/>
        </w:rPr>
        <w:t>and a maximum temperature of approximately 29°C</w:t>
      </w:r>
      <w:r>
        <w:rPr>
          <w:rFonts w:ascii="Times New Roman" w:hAnsi="Times New Roman" w:cs="Times New Roman"/>
          <w:sz w:val="24"/>
          <w:szCs w:val="24"/>
        </w:rPr>
        <w:t xml:space="preserve"> (Adilabad District Administration, n.d.).</w:t>
      </w:r>
    </w:p>
    <w:p w14:paraId="6B4B0DA4" w14:textId="293AAE6E"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district contains both </w:t>
      </w:r>
      <w:r w:rsidRPr="00E73CA2">
        <w:rPr>
          <w:rFonts w:ascii="Times New Roman" w:hAnsi="Times New Roman" w:cs="Times New Roman"/>
          <w:b/>
          <w:bCs/>
          <w:sz w:val="24"/>
          <w:szCs w:val="24"/>
        </w:rPr>
        <w:t>red and black soils</w:t>
      </w:r>
      <w:r w:rsidRPr="00E73CA2">
        <w:rPr>
          <w:rFonts w:ascii="Times New Roman" w:hAnsi="Times New Roman" w:cs="Times New Roman"/>
          <w:sz w:val="24"/>
          <w:szCs w:val="24"/>
        </w:rPr>
        <w:t xml:space="preserve">, with black soils accounting for approximately 72% of the reported soil area. Agriculture is a major land-use activity in the district, and the district administration reports extensive cultivated area and soil-testing facilities. </w:t>
      </w:r>
    </w:p>
    <w:p w14:paraId="395733E8"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For the present investigation, the study area should include </w:t>
      </w:r>
      <w:r w:rsidRPr="00E73CA2">
        <w:rPr>
          <w:rFonts w:ascii="Times New Roman" w:hAnsi="Times New Roman" w:cs="Times New Roman"/>
          <w:b/>
          <w:bCs/>
          <w:sz w:val="24"/>
          <w:szCs w:val="24"/>
        </w:rPr>
        <w:t>forest-fringe agricultural locations, tribal-agricultural landscapes, and other legally available non-protected lands</w:t>
      </w:r>
      <w:r w:rsidRPr="00E73CA2">
        <w:rPr>
          <w:rFonts w:ascii="Times New Roman" w:hAnsi="Times New Roman" w:cs="Times New Roman"/>
          <w:sz w:val="24"/>
          <w:szCs w:val="24"/>
        </w:rPr>
        <w:t xml:space="preserve"> representing different environmental conditions. Natural forest interiors and protected forest land should not be considered for orchard establishment without the necessary statutory permissions. For each selected site, geographic coordinates, elevation, slope, aspect, approximate distance from the forest boundary, existing vegetation, land-use category, and accessibility should be recorded using a handheld GPS device, GIS data, or equivalent geospatial methods.</w:t>
      </w:r>
    </w:p>
    <w:p w14:paraId="0BD8DF88" w14:textId="2A7F65FD" w:rsidR="006A04DD" w:rsidRDefault="006A04DD"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787545" wp14:editId="5446D966">
            <wp:extent cx="5731510" cy="3506241"/>
            <wp:effectExtent l="0" t="0" r="2540" b="0"/>
            <wp:docPr id="834794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94250" name="Picture 834794250"/>
                    <pic:cNvPicPr/>
                  </pic:nvPicPr>
                  <pic:blipFill rotWithShape="1">
                    <a:blip r:embed="rId7" cstate="print">
                      <a:extLst>
                        <a:ext uri="{28A0092B-C50C-407E-A947-70E740481C1C}">
                          <a14:useLocalDpi xmlns:a14="http://schemas.microsoft.com/office/drawing/2010/main" val="0"/>
                        </a:ext>
                      </a:extLst>
                    </a:blip>
                    <a:srcRect t="8233"/>
                    <a:stretch>
                      <a:fillRect/>
                    </a:stretch>
                  </pic:blipFill>
                  <pic:spPr bwMode="auto">
                    <a:xfrm>
                      <a:off x="0" y="0"/>
                      <a:ext cx="5731510" cy="3506241"/>
                    </a:xfrm>
                    <a:prstGeom prst="rect">
                      <a:avLst/>
                    </a:prstGeom>
                    <a:ln>
                      <a:noFill/>
                    </a:ln>
                    <a:extLst>
                      <a:ext uri="{53640926-AAD7-44D8-BBD7-CCE9431645EC}">
                        <a14:shadowObscured xmlns:a14="http://schemas.microsoft.com/office/drawing/2010/main"/>
                      </a:ext>
                    </a:extLst>
                  </pic:spPr>
                </pic:pic>
              </a:graphicData>
            </a:graphic>
          </wp:inline>
        </w:drawing>
      </w:r>
    </w:p>
    <w:p w14:paraId="76648771" w14:textId="02208314"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Figure 1.</w:t>
      </w:r>
      <w:r w:rsidRPr="006A04DD">
        <w:rPr>
          <w:rFonts w:ascii="Times New Roman" w:hAnsi="Times New Roman" w:cs="Times New Roman"/>
          <w:sz w:val="24"/>
          <w:szCs w:val="24"/>
        </w:rPr>
        <w:t xml:space="preserve"> Location Map of the Study Area Showing Selected Forest-Fringe and Agricultural Sites in Adilabad District, Telangana, India</w:t>
      </w:r>
    </w:p>
    <w:p w14:paraId="44039B0D" w14:textId="694CBC56" w:rsidR="006A04DD" w:rsidRPr="00E73CA2" w:rsidRDefault="006A04DD" w:rsidP="006A04DD">
      <w:pPr>
        <w:jc w:val="both"/>
        <w:rPr>
          <w:rFonts w:ascii="Times New Roman" w:hAnsi="Times New Roman" w:cs="Times New Roman"/>
          <w:sz w:val="24"/>
          <w:szCs w:val="24"/>
        </w:rPr>
      </w:pPr>
      <w:r w:rsidRPr="006A04DD">
        <w:rPr>
          <w:rFonts w:ascii="Times New Roman" w:hAnsi="Times New Roman" w:cs="Times New Roman"/>
          <w:sz w:val="24"/>
          <w:szCs w:val="24"/>
        </w:rPr>
        <w:t>The map shows the geographical location of the study area and the distribution of the selected forest-fringe and agricultural environments considered for preliminary apple suitability assessment.</w:t>
      </w:r>
    </w:p>
    <w:p w14:paraId="616F1156" w14:textId="04228464"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w:t>
      </w:r>
      <w:r w:rsidR="00166399">
        <w:rPr>
          <w:rFonts w:ascii="Times New Roman" w:hAnsi="Times New Roman" w:cs="Times New Roman"/>
          <w:b/>
          <w:bCs/>
          <w:sz w:val="24"/>
          <w:szCs w:val="24"/>
        </w:rPr>
        <w:t>3</w:t>
      </w:r>
      <w:r w:rsidRPr="00E73CA2">
        <w:rPr>
          <w:rFonts w:ascii="Times New Roman" w:hAnsi="Times New Roman" w:cs="Times New Roman"/>
          <w:b/>
          <w:bCs/>
          <w:sz w:val="24"/>
          <w:szCs w:val="24"/>
        </w:rPr>
        <w:t xml:space="preserve"> Selection of Study Sites</w:t>
      </w:r>
    </w:p>
    <w:p w14:paraId="7E19E689" w14:textId="6321CD5A" w:rsidR="00166399" w:rsidRPr="00E73CA2" w:rsidRDefault="00166399" w:rsidP="00E73CA2">
      <w:pPr>
        <w:jc w:val="both"/>
        <w:rPr>
          <w:rFonts w:ascii="Times New Roman" w:hAnsi="Times New Roman" w:cs="Times New Roman"/>
          <w:sz w:val="24"/>
          <w:szCs w:val="24"/>
        </w:rPr>
      </w:pPr>
      <w:r w:rsidRPr="00166399">
        <w:rPr>
          <w:rFonts w:ascii="Times New Roman" w:hAnsi="Times New Roman" w:cs="Times New Roman"/>
          <w:sz w:val="24"/>
          <w:szCs w:val="24"/>
          <w:highlight w:val="yellow"/>
        </w:rPr>
        <w:lastRenderedPageBreak/>
        <w:t>Five representative forest-fringe/agricultural locations were considered for the preliminary assessment. The locations were selected to represent variation in elevation and environmental conditions within the Adilabad region. Because the present assessment uses simulated site-level values, the selected locations serve as representative assessment sites rather than sites with complete field measurements.</w:t>
      </w:r>
    </w:p>
    <w:p w14:paraId="79046213" w14:textId="48DB6F53"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w:t>
      </w:r>
      <w:r w:rsidR="00166399">
        <w:rPr>
          <w:rFonts w:ascii="Times New Roman" w:hAnsi="Times New Roman" w:cs="Times New Roman"/>
          <w:b/>
          <w:bCs/>
          <w:sz w:val="24"/>
          <w:szCs w:val="24"/>
        </w:rPr>
        <w:t>4</w:t>
      </w:r>
      <w:r w:rsidRPr="00E73CA2">
        <w:rPr>
          <w:rFonts w:ascii="Times New Roman" w:hAnsi="Times New Roman" w:cs="Times New Roman"/>
          <w:b/>
          <w:bCs/>
          <w:sz w:val="24"/>
          <w:szCs w:val="24"/>
        </w:rPr>
        <w:t xml:space="preserve"> Climatic Data Collection</w:t>
      </w:r>
    </w:p>
    <w:p w14:paraId="383377C0"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Climatic information should be obtained from available </w:t>
      </w:r>
      <w:r w:rsidRPr="00E73CA2">
        <w:rPr>
          <w:rFonts w:ascii="Times New Roman" w:hAnsi="Times New Roman" w:cs="Times New Roman"/>
          <w:b/>
          <w:bCs/>
          <w:sz w:val="24"/>
          <w:szCs w:val="24"/>
        </w:rPr>
        <w:t>India Meteorological Department records, government agricultural or horticultural departments, local meteorological stations, and site-level temperature loggers</w:t>
      </w:r>
      <w:r w:rsidRPr="00E73CA2">
        <w:rPr>
          <w:rFonts w:ascii="Times New Roman" w:hAnsi="Times New Roman" w:cs="Times New Roman"/>
          <w:sz w:val="24"/>
          <w:szCs w:val="24"/>
        </w:rPr>
        <w:t>, where available. The parameters should include minimum and maximum temperature, mean temperature, winter temperature, annual and monthly rainfall, relative humidity, and estimated chilling hours. Where field-level instruments are used, temperature and humidity should preferably be recorded at regular intervals throughout at least one complete annual cycle. Multi-year historical climate data should also be examined to reduce the influence of individual-year weather variation.</w:t>
      </w:r>
    </w:p>
    <w:p w14:paraId="6BED23AA" w14:textId="101B7A46" w:rsidR="009C654D" w:rsidRPr="00E73CA2" w:rsidRDefault="009C654D" w:rsidP="00E73CA2">
      <w:pPr>
        <w:jc w:val="both"/>
        <w:rPr>
          <w:rFonts w:ascii="Times New Roman" w:hAnsi="Times New Roman" w:cs="Times New Roman"/>
          <w:sz w:val="24"/>
          <w:szCs w:val="24"/>
        </w:rPr>
      </w:pPr>
      <w:r w:rsidRPr="009C654D">
        <w:rPr>
          <w:rFonts w:ascii="Times New Roman" w:hAnsi="Times New Roman" w:cs="Times New Roman"/>
          <w:sz w:val="24"/>
          <w:szCs w:val="24"/>
          <w:highlight w:val="yellow"/>
        </w:rPr>
        <w:t>For the present preliminary assessment, the site-level climatic values presented in the results were simulated within the documented climatic range of Adilabad. These values should not be interpreted as direct measurements from field weather stations. Actual site-level temperature and rainfall observations should be collected in future field studies.</w:t>
      </w:r>
    </w:p>
    <w:p w14:paraId="2985DC8A" w14:textId="006EC239"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w:t>
      </w:r>
      <w:r w:rsidR="00166399">
        <w:rPr>
          <w:rFonts w:ascii="Times New Roman" w:hAnsi="Times New Roman" w:cs="Times New Roman"/>
          <w:b/>
          <w:bCs/>
          <w:sz w:val="24"/>
          <w:szCs w:val="24"/>
        </w:rPr>
        <w:t xml:space="preserve">5 </w:t>
      </w:r>
      <w:r w:rsidRPr="00E73CA2">
        <w:rPr>
          <w:rFonts w:ascii="Times New Roman" w:hAnsi="Times New Roman" w:cs="Times New Roman"/>
          <w:b/>
          <w:bCs/>
          <w:sz w:val="24"/>
          <w:szCs w:val="24"/>
        </w:rPr>
        <w:t>Assessment of Chilling Conditions</w:t>
      </w:r>
    </w:p>
    <w:p w14:paraId="0F6A612B"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Winter chilling should be evaluated to determine whether the selected environments provide conditions potentially compatible with low-chilling apple cultivars. The analysis should record winter minimum temperature, winter maximum temperature, mean winter temperature, estimated chilling accumulation, heat-stress conditions, and rainfall. Because chilling requirements vary among cultivars and depend on the chilling model used, the study should avoid treating a single universal chilling-hour threshold as applicable to all apple cultivars.</w:t>
      </w:r>
    </w:p>
    <w:p w14:paraId="7F1E6996" w14:textId="78D70B94"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HRMN-99 is particularly relevant because government sources describe it as a low-chilling cultivar capable of growing under tropical and subtropical conditions and temperatures reaching approximately 40–45°C (Principal Scientific Adviser to the Government of India, n.d.). </w:t>
      </w:r>
    </w:p>
    <w:p w14:paraId="6337A3D6" w14:textId="10B6B41C"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Winter temperature conditions can subsequently influence the timing of phenological events such as bud break and flowering </w:t>
      </w:r>
      <w:r w:rsidRPr="00252617">
        <w:rPr>
          <w:rFonts w:ascii="Times New Roman" w:hAnsi="Times New Roman" w:cs="Times New Roman"/>
          <w:b/>
          <w:bCs/>
          <w:sz w:val="24"/>
          <w:szCs w:val="24"/>
        </w:rPr>
        <w:t>(Funes et al., 2016)</w:t>
      </w:r>
      <w:r w:rsidRPr="00252617">
        <w:rPr>
          <w:rFonts w:ascii="Times New Roman" w:hAnsi="Times New Roman" w:cs="Times New Roman"/>
          <w:sz w:val="24"/>
          <w:szCs w:val="24"/>
        </w:rPr>
        <w:t>.</w:t>
      </w:r>
    </w:p>
    <w:p w14:paraId="139CFFC6" w14:textId="26C8FFF0"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Winter chill accumulation is strongly influenced by the prevailing temperature regime, and changes in winter temperatures can alter the amount of chilling available to temperate fruit crops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2012)</w:t>
      </w:r>
      <w:r w:rsidRPr="00252617">
        <w:rPr>
          <w:rFonts w:ascii="Times New Roman" w:hAnsi="Times New Roman" w:cs="Times New Roman"/>
          <w:sz w:val="24"/>
          <w:szCs w:val="24"/>
        </w:rPr>
        <w:t>.</w:t>
      </w:r>
    </w:p>
    <w:p w14:paraId="0ACAA166" w14:textId="062A75BF"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Changes in winter temperature can alter the amount of chilling accumulated by temperate fruit crops and may consequently affect dormancy release and subsequent phenological development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xml:space="preserve"> et al., 2011)</w:t>
      </w:r>
      <w:r w:rsidRPr="00252617">
        <w:rPr>
          <w:rFonts w:ascii="Times New Roman" w:hAnsi="Times New Roman" w:cs="Times New Roman"/>
          <w:sz w:val="24"/>
          <w:szCs w:val="24"/>
        </w:rPr>
        <w:t>.</w:t>
      </w:r>
    </w:p>
    <w:p w14:paraId="5C2F1B4B" w14:textId="14B32B86" w:rsidR="0071625C" w:rsidRPr="00E73CA2" w:rsidRDefault="0071625C" w:rsidP="00E73CA2">
      <w:pPr>
        <w:jc w:val="both"/>
        <w:rPr>
          <w:rFonts w:ascii="Times New Roman" w:hAnsi="Times New Roman" w:cs="Times New Roman"/>
          <w:sz w:val="24"/>
          <w:szCs w:val="24"/>
        </w:rPr>
      </w:pPr>
      <w:r w:rsidRPr="0071625C">
        <w:rPr>
          <w:rFonts w:ascii="Times New Roman" w:hAnsi="Times New Roman" w:cs="Times New Roman"/>
          <w:sz w:val="24"/>
          <w:szCs w:val="24"/>
          <w:highlight w:val="yellow"/>
        </w:rPr>
        <w:t xml:space="preserve">In the present assessment, chilling values were simulated as preliminary estimates rather than calculated from continuous hourly field temperature records. Therefore, the estimated chilling values are used only for comparative assessment among the representative sites. Actual chilling </w:t>
      </w:r>
      <w:r w:rsidRPr="0071625C">
        <w:rPr>
          <w:rFonts w:ascii="Times New Roman" w:hAnsi="Times New Roman" w:cs="Times New Roman"/>
          <w:sz w:val="24"/>
          <w:szCs w:val="24"/>
          <w:highlight w:val="yellow"/>
        </w:rPr>
        <w:lastRenderedPageBreak/>
        <w:t>accumulation should be calculated from long-term hourly temperature observations using an appropriate cultivar-specific chilling model</w:t>
      </w:r>
      <w:r>
        <w:rPr>
          <w:rFonts w:ascii="Times New Roman" w:hAnsi="Times New Roman" w:cs="Times New Roman"/>
          <w:sz w:val="24"/>
          <w:szCs w:val="24"/>
          <w:highlight w:val="yellow"/>
        </w:rPr>
        <w:t>.</w:t>
      </w:r>
    </w:p>
    <w:p w14:paraId="4CC59DD2" w14:textId="74FE7FEC"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w:t>
      </w:r>
      <w:r w:rsidR="00166399">
        <w:rPr>
          <w:rFonts w:ascii="Times New Roman" w:hAnsi="Times New Roman" w:cs="Times New Roman"/>
          <w:b/>
          <w:bCs/>
          <w:sz w:val="24"/>
          <w:szCs w:val="24"/>
        </w:rPr>
        <w:t>6</w:t>
      </w:r>
      <w:r w:rsidRPr="00E73CA2">
        <w:rPr>
          <w:rFonts w:ascii="Times New Roman" w:hAnsi="Times New Roman" w:cs="Times New Roman"/>
          <w:b/>
          <w:bCs/>
          <w:sz w:val="24"/>
          <w:szCs w:val="24"/>
        </w:rPr>
        <w:t xml:space="preserve"> Soil Analysis</w:t>
      </w:r>
    </w:p>
    <w:p w14:paraId="544464B8" w14:textId="7493BF5C"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Soil samples should be collected systematically from each selected site, preferably from </w:t>
      </w:r>
      <w:r w:rsidRPr="00E73CA2">
        <w:rPr>
          <w:rFonts w:ascii="Times New Roman" w:hAnsi="Times New Roman" w:cs="Times New Roman"/>
          <w:b/>
          <w:bCs/>
          <w:sz w:val="24"/>
          <w:szCs w:val="24"/>
        </w:rPr>
        <w:t>0–30 cm and 30–60 cm depths</w:t>
      </w:r>
      <w:r w:rsidRPr="00E73CA2">
        <w:rPr>
          <w:rFonts w:ascii="Times New Roman" w:hAnsi="Times New Roman" w:cs="Times New Roman"/>
          <w:sz w:val="24"/>
          <w:szCs w:val="24"/>
        </w:rPr>
        <w:t xml:space="preserve">, following standard soil-sampling procedures. Samples should be </w:t>
      </w:r>
      <w:proofErr w:type="spellStart"/>
      <w:r w:rsidRPr="00E73CA2">
        <w:rPr>
          <w:rFonts w:ascii="Times New Roman" w:hAnsi="Times New Roman" w:cs="Times New Roman"/>
          <w:sz w:val="24"/>
          <w:szCs w:val="24"/>
        </w:rPr>
      </w:r>
      <w:r>
        <w:rPr>
          <w:rFonts w:ascii="Times New Roman" w:hAnsi="Times New Roman" w:cs="Times New Roman"/>
          <w:sz w:val="24"/>
          <w:szCs w:val="24"/>
          <w:highlight w:val="yellow"/>
        </w:rPr>
        <w:t>analysed</w:t>
      </w:r>
      <w:proofErr w:type="spellEnd"/>
      <w:r w:rsidRPr="00E73CA2">
        <w:rPr>
          <w:rFonts w:ascii="Times New Roman" w:hAnsi="Times New Roman" w:cs="Times New Roman"/>
          <w:sz w:val="24"/>
          <w:szCs w:val="24"/>
        </w:rPr>
        <w:t xml:space="preserve"> for pH, electrical conductivity, organic carbon, </w:t>
      </w:r>
      <w:r>
        <w:rPr>
          <w:rFonts w:ascii="Times New Roman" w:hAnsi="Times New Roman" w:cs="Times New Roman"/>
          <w:sz w:val="24"/>
          <w:szCs w:val="24"/>
          <w:highlight w:val="yellow"/>
        </w:rPr>
        <w:t>available nitrogen, phosphorus, and potassium</w:t>
      </w:r>
      <w:r>
        <w:rPr>
          <w:rFonts w:ascii="Times New Roman" w:hAnsi="Times New Roman" w:cs="Times New Roman"/>
          <w:sz w:val="24"/>
          <w:szCs w:val="24"/>
        </w:rPr>
        <w:t xml:space="preserve">, soil texture, soil depth, drainage, and moisture-holding capacity. The Indian plant-protection package for apple recommends well-drained loamy soils, approximately 45 cm or greater soil depth, and a pH range of </w:t>
      </w:r>
      <w:r w:rsidRPr="00E73CA2">
        <w:rPr>
          <w:rFonts w:ascii="Times New Roman" w:hAnsi="Times New Roman" w:cs="Times New Roman"/>
          <w:b/>
          <w:bCs/>
          <w:sz w:val="24"/>
          <w:szCs w:val="24"/>
        </w:rPr>
        <w:t>5.5–6.5</w:t>
      </w:r>
      <w:r w:rsidRPr="00E73CA2">
        <w:rPr>
          <w:rFonts w:ascii="Times New Roman" w:hAnsi="Times New Roman" w:cs="Times New Roman"/>
          <w:sz w:val="24"/>
          <w:szCs w:val="24"/>
        </w:rPr>
        <w:t xml:space="preserve">, while poorly drained, waterlogged, compact, or heavy soils may be unsuitable. </w:t>
      </w:r>
    </w:p>
    <w:p w14:paraId="58A080D7" w14:textId="07D692E5" w:rsidR="00AE5063" w:rsidRDefault="00AE5063" w:rsidP="00E73CA2">
      <w:pPr>
        <w:jc w:val="both"/>
        <w:rPr>
          <w:rFonts w:ascii="Times New Roman" w:hAnsi="Times New Roman" w:cs="Times New Roman"/>
          <w:b/>
          <w:bCs/>
          <w:sz w:val="24"/>
          <w:szCs w:val="24"/>
        </w:rPr>
      </w:pPr>
      <w:r w:rsidRPr="00AE5063">
        <w:rPr>
          <w:rFonts w:ascii="Times New Roman" w:hAnsi="Times New Roman" w:cs="Times New Roman"/>
          <w:sz w:val="24"/>
          <w:szCs w:val="24"/>
        </w:rPr>
        <w:t xml:space="preserve">Soil suitability was assessed with respect to pH, electrical conductivity, organic carbon, nutrient status, texture, soil depth, drainage, and moisture-holding capacity. Well-drained soils with suitable physical and chemical properties are considered important for successful apple cultivation, while waterlogged and highly compacted soils should be avoided </w:t>
      </w:r>
      <w:r w:rsidRPr="00AE5063">
        <w:rPr>
          <w:rFonts w:ascii="Times New Roman" w:hAnsi="Times New Roman" w:cs="Times New Roman"/>
          <w:b/>
          <w:bCs/>
          <w:sz w:val="24"/>
          <w:szCs w:val="24"/>
        </w:rPr>
        <w:t>(Directorate of Plant Protection, Quarantine &amp; Storage, 2022).</w:t>
      </w:r>
    </w:p>
    <w:p w14:paraId="544EC8D3" w14:textId="600BCA51" w:rsidR="00AB6F4A" w:rsidRDefault="00AB6F4A" w:rsidP="00E73CA2">
      <w:pPr>
        <w:jc w:val="both"/>
        <w:rPr>
          <w:rFonts w:ascii="Times New Roman" w:hAnsi="Times New Roman" w:cs="Times New Roman"/>
          <w:sz w:val="24"/>
          <w:szCs w:val="24"/>
        </w:rPr>
      </w:pPr>
      <w:r w:rsidRPr="00AB6F4A">
        <w:rPr>
          <w:rFonts w:ascii="Times New Roman" w:hAnsi="Times New Roman" w:cs="Times New Roman"/>
          <w:sz w:val="24"/>
          <w:szCs w:val="24"/>
        </w:rPr>
        <w:t xml:space="preserve">The interpretation of soil suitability was based on recommended fruit-production practices, with particular attention to soil depth, texture, drainage, soil reaction, and avoidance of prolonged waterlogging </w:t>
      </w:r>
      <w:r w:rsidRPr="00AB6F4A">
        <w:rPr>
          <w:rFonts w:ascii="Times New Roman" w:hAnsi="Times New Roman" w:cs="Times New Roman"/>
          <w:b/>
          <w:bCs/>
          <w:sz w:val="24"/>
          <w:szCs w:val="24"/>
        </w:rPr>
        <w:t xml:space="preserve">(Punjab Agricultural University, </w:t>
      </w:r>
      <w:r w:rsidR="00AD5D82">
        <w:rPr>
          <w:rFonts w:ascii="Times New Roman" w:hAnsi="Times New Roman" w:cs="Times New Roman"/>
          <w:b/>
          <w:bCs/>
          <w:sz w:val="24"/>
          <w:szCs w:val="24"/>
        </w:rPr>
        <w:t>2021</w:t>
      </w:r>
      <w:r w:rsidRPr="00AB6F4A">
        <w:rPr>
          <w:rFonts w:ascii="Times New Roman" w:hAnsi="Times New Roman" w:cs="Times New Roman"/>
          <w:b/>
          <w:bCs/>
          <w:sz w:val="24"/>
          <w:szCs w:val="24"/>
        </w:rPr>
        <w:t>)</w:t>
      </w:r>
      <w:r w:rsidRPr="00AB6F4A">
        <w:rPr>
          <w:rFonts w:ascii="Times New Roman" w:hAnsi="Times New Roman" w:cs="Times New Roman"/>
          <w:sz w:val="24"/>
          <w:szCs w:val="24"/>
        </w:rPr>
        <w:t>.</w:t>
      </w:r>
    </w:p>
    <w:p w14:paraId="0E12C582" w14:textId="44D1991A" w:rsidR="0071625C" w:rsidRPr="00E73CA2" w:rsidRDefault="0071625C" w:rsidP="00E73CA2">
      <w:pPr>
        <w:jc w:val="both"/>
        <w:rPr>
          <w:rFonts w:ascii="Times New Roman" w:hAnsi="Times New Roman" w:cs="Times New Roman"/>
          <w:sz w:val="24"/>
          <w:szCs w:val="24"/>
        </w:rPr>
      </w:pPr>
      <w:r w:rsidRPr="0071625C">
        <w:rPr>
          <w:rFonts w:ascii="Times New Roman" w:hAnsi="Times New Roman" w:cs="Times New Roman"/>
          <w:sz w:val="24"/>
          <w:szCs w:val="24"/>
          <w:highlight w:val="yellow"/>
        </w:rPr>
        <w:t>For the present preliminary assessment, the soil values reported in the results are simulated representative values and are not laboratory measurements. Actual soil sampling and laboratory analysis are required to validate the suitability assessment before orchard establishment</w:t>
      </w:r>
      <w:r>
        <w:rPr>
          <w:rFonts w:ascii="Times New Roman" w:hAnsi="Times New Roman" w:cs="Times New Roman"/>
          <w:sz w:val="24"/>
          <w:szCs w:val="24"/>
          <w:highlight w:val="yellow"/>
        </w:rPr>
        <w:t>.</w:t>
      </w:r>
    </w:p>
    <w:p w14:paraId="5ED8C21B" w14:textId="2A1B395A"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w:t>
      </w:r>
      <w:r w:rsidR="00166399">
        <w:rPr>
          <w:rFonts w:ascii="Times New Roman" w:hAnsi="Times New Roman" w:cs="Times New Roman"/>
          <w:b/>
          <w:bCs/>
          <w:sz w:val="24"/>
          <w:szCs w:val="24"/>
        </w:rPr>
        <w:t>7</w:t>
      </w:r>
      <w:r w:rsidRPr="00E73CA2">
        <w:rPr>
          <w:rFonts w:ascii="Times New Roman" w:hAnsi="Times New Roman" w:cs="Times New Roman"/>
          <w:b/>
          <w:bCs/>
          <w:sz w:val="24"/>
          <w:szCs w:val="24"/>
        </w:rPr>
        <w:t xml:space="preserve"> Water Availability</w:t>
      </w:r>
    </w:p>
    <w:p w14:paraId="3C9B68CA" w14:textId="53A25B8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Water availability should be assessed through field observation and farmer/landholder information, where appropriate. The assessment should include availability of borewells, open wells, surface-water sources, seasonal water availability, existing irrigation infrastructure, and the feasibility of </w:t>
      </w:r>
      <w:r w:rsidRPr="00E73CA2">
        <w:rPr>
          <w:rFonts w:ascii="Times New Roman" w:hAnsi="Times New Roman" w:cs="Times New Roman"/>
          <w:b/>
          <w:bCs/>
          <w:sz w:val="24"/>
          <w:szCs w:val="24"/>
        </w:rPr>
        <w:t>drip irrigation</w:t>
      </w:r>
      <w:r w:rsidRPr="00E73CA2">
        <w:rPr>
          <w:rFonts w:ascii="Times New Roman" w:hAnsi="Times New Roman" w:cs="Times New Roman"/>
          <w:sz w:val="24"/>
          <w:szCs w:val="24"/>
        </w:rPr>
        <w:t xml:space="preserve">. Particular attention should be given to water availability during dry periods because rainfall in Adilabad is strongly concentrated in the monsoon season. </w:t>
      </w:r>
    </w:p>
    <w:p w14:paraId="40553CB0" w14:textId="4FC557E8" w:rsidR="0071625C" w:rsidRPr="00E73CA2" w:rsidRDefault="0071625C" w:rsidP="00E73CA2">
      <w:pPr>
        <w:jc w:val="both"/>
        <w:rPr>
          <w:rFonts w:ascii="Times New Roman" w:hAnsi="Times New Roman" w:cs="Times New Roman"/>
          <w:sz w:val="24"/>
          <w:szCs w:val="24"/>
        </w:rPr>
      </w:pPr>
      <w:r w:rsidRPr="0071625C">
        <w:rPr>
          <w:rFonts w:ascii="Times New Roman" w:hAnsi="Times New Roman" w:cs="Times New Roman"/>
          <w:sz w:val="24"/>
          <w:szCs w:val="24"/>
          <w:highlight w:val="yellow"/>
        </w:rPr>
        <w:t>The water-availability categories used in the preliminary assessment are simulated representative conditions and should be verified through field-level assessment of groundwater, surface water, irrigation infrastructure, and seasonal water availability.</w:t>
      </w:r>
    </w:p>
    <w:p w14:paraId="310FE533" w14:textId="08C95C8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w:t>
      </w:r>
      <w:r w:rsidR="00166399">
        <w:rPr>
          <w:rFonts w:ascii="Times New Roman" w:hAnsi="Times New Roman" w:cs="Times New Roman"/>
          <w:b/>
          <w:bCs/>
          <w:sz w:val="24"/>
          <w:szCs w:val="24"/>
        </w:rPr>
        <w:t>8</w:t>
      </w:r>
      <w:r w:rsidRPr="00E73CA2">
        <w:rPr>
          <w:rFonts w:ascii="Times New Roman" w:hAnsi="Times New Roman" w:cs="Times New Roman"/>
          <w:b/>
          <w:bCs/>
          <w:sz w:val="24"/>
          <w:szCs w:val="24"/>
        </w:rPr>
        <w:t xml:space="preserve"> Selection of Candidate Cultivars</w:t>
      </w:r>
    </w:p>
    <w:p w14:paraId="49D8AADF" w14:textId="44C3C8CC"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preliminary assessment should consider low-chilling cultivars including </w:t>
      </w:r>
      <w:r w:rsidRPr="00E73CA2">
        <w:rPr>
          <w:rFonts w:ascii="Times New Roman" w:hAnsi="Times New Roman" w:cs="Times New Roman"/>
          <w:b/>
          <w:bCs/>
          <w:sz w:val="24"/>
          <w:szCs w:val="24"/>
        </w:rPr>
        <w:t>HRMN-99, Anna, Dorsett Golden, and Tropical Beauty</w:t>
      </w:r>
      <w:r w:rsidRPr="00E73CA2">
        <w:rPr>
          <w:rFonts w:ascii="Times New Roman" w:hAnsi="Times New Roman" w:cs="Times New Roman"/>
          <w:sz w:val="24"/>
          <w:szCs w:val="24"/>
        </w:rPr>
        <w:t xml:space="preserve">. HRMN-99 should receive particular attention because of documented cultivation in warm and subtropical environments in India. </w:t>
      </w:r>
    </w:p>
    <w:p w14:paraId="29148F8D" w14:textId="77777777" w:rsidR="00BB6D71" w:rsidRPr="00BB6D71" w:rsidRDefault="00BB6D71" w:rsidP="00BB6D71">
      <w:pPr>
        <w:jc w:val="both"/>
        <w:rPr>
          <w:rFonts w:ascii="Times New Roman" w:hAnsi="Times New Roman" w:cs="Times New Roman"/>
          <w:sz w:val="24"/>
          <w:szCs w:val="24"/>
        </w:rPr>
      </w:pPr>
      <w:r w:rsidRPr="00BB6D71">
        <w:rPr>
          <w:rFonts w:ascii="Times New Roman" w:hAnsi="Times New Roman" w:cs="Times New Roman"/>
          <w:sz w:val="24"/>
          <w:szCs w:val="24"/>
        </w:rPr>
        <w:t xml:space="preserve">HRMN-99 was included among the candidate cultivars because of its reported evaluation under subtropical </w:t>
      </w:r>
      <w:proofErr w:type="spellStart"/>
      <w:r w:rsidRPr="00BB6D71">
        <w:rPr>
          <w:rFonts w:ascii="Times New Roman" w:hAnsi="Times New Roman" w:cs="Times New Roman"/>
          <w:sz w:val="24"/>
          <w:szCs w:val="24"/>
        </w:rPr>
        <w:t>agro</w:t>
      </w:r>
      <w:proofErr w:type="spellEnd"/>
      <w:r w:rsidRPr="00BB6D71">
        <w:rPr>
          <w:rFonts w:ascii="Times New Roman" w:hAnsi="Times New Roman" w:cs="Times New Roman"/>
          <w:sz w:val="24"/>
          <w:szCs w:val="24"/>
        </w:rPr>
        <w:t xml:space="preserve">-climatic conditions in Prayagraj </w:t>
      </w:r>
      <w:r w:rsidRPr="00BB6D71">
        <w:rPr>
          <w:rFonts w:ascii="Times New Roman" w:hAnsi="Times New Roman" w:cs="Times New Roman"/>
          <w:b/>
          <w:bCs/>
          <w:sz w:val="24"/>
          <w:szCs w:val="24"/>
        </w:rPr>
        <w:t>(Vats et al., 2022)</w:t>
      </w:r>
      <w:r w:rsidRPr="00BB6D71">
        <w:rPr>
          <w:rFonts w:ascii="Times New Roman" w:hAnsi="Times New Roman" w:cs="Times New Roman"/>
          <w:sz w:val="24"/>
          <w:szCs w:val="24"/>
        </w:rPr>
        <w:t>.</w:t>
      </w:r>
    </w:p>
    <w:p w14:paraId="18200295" w14:textId="4116CBD4"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2.</w:t>
      </w:r>
      <w:r w:rsidR="00166399">
        <w:rPr>
          <w:rFonts w:ascii="Times New Roman" w:hAnsi="Times New Roman" w:cs="Times New Roman"/>
          <w:b/>
          <w:bCs/>
          <w:sz w:val="24"/>
          <w:szCs w:val="24"/>
        </w:rPr>
        <w:t>9</w:t>
      </w:r>
      <w:r w:rsidRPr="00E73CA2">
        <w:rPr>
          <w:rFonts w:ascii="Times New Roman" w:hAnsi="Times New Roman" w:cs="Times New Roman"/>
          <w:b/>
          <w:bCs/>
          <w:sz w:val="24"/>
          <w:szCs w:val="24"/>
        </w:rPr>
        <w:t xml:space="preserve"> Environmental Suitability Assessment</w:t>
      </w:r>
    </w:p>
    <w:p w14:paraId="1F0FD23E"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 preliminary suitability index should integrate </w:t>
      </w:r>
      <w:r w:rsidRPr="00E73CA2">
        <w:rPr>
          <w:rFonts w:ascii="Times New Roman" w:hAnsi="Times New Roman" w:cs="Times New Roman"/>
          <w:b/>
          <w:bCs/>
          <w:sz w:val="24"/>
          <w:szCs w:val="24"/>
        </w:rPr>
        <w:t>temperature, chilling conditions, soil, water availability, and topography</w:t>
      </w:r>
      <w:r w:rsidRPr="00E73CA2">
        <w:rPr>
          <w:rFonts w:ascii="Times New Roman" w:hAnsi="Times New Roman" w:cs="Times New Roman"/>
          <w:sz w:val="24"/>
          <w:szCs w:val="24"/>
        </w:rPr>
        <w:t>. An illustrative weighting framework is presented below.</w:t>
      </w:r>
    </w:p>
    <w:p w14:paraId="0DC46B8E" w14:textId="1B61C520" w:rsidR="005778F0" w:rsidRPr="00234464" w:rsidRDefault="005778F0" w:rsidP="00E73CA2">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highlight w:val="yellow"/>
        </w:rPr>
        <w:t>List 1:</w:t>
      </w:r>
      <w:r>
        <w:rPr>
          <w:rFonts w:ascii="Times New Roman" w:hAnsi="Times New Roman" w:cs="Times New Roman"/>
          <w:sz w:val="24"/>
          <w:szCs w:val="24"/>
        </w:rPr>
        <w:t xml:space="preserve"> I</w:t>
      </w:r>
      <w:r w:rsidRPr="00E73CA2">
        <w:rPr>
          <w:rFonts w:ascii="Times New Roman" w:hAnsi="Times New Roman" w:cs="Times New Roman"/>
          <w:sz w:val="24"/>
          <w:szCs w:val="24"/>
        </w:rPr>
        <w:t>llustrative weighting framework</w:t>
      </w:r>
    </w:p>
    <w:tbl>
      <w:tblPr>
        <w:tblStyle w:val="TableGrid"/>
        <w:tblW w:w="0" w:type="auto"/>
        <w:jc w:val="center"/>
        <w:tblLook w:val="0000" w:firstRow="0" w:lastRow="0" w:firstColumn="0" w:lastColumn="0" w:noHBand="0" w:noVBand="0"/>
      </w:tblPr>
      <w:tblGrid>
        <w:gridCol w:w="2922"/>
        <w:gridCol w:w="963"/>
      </w:tblGrid>
      <w:tr w:rsidR="00E73CA2" w:rsidRPr="00234464" w14:paraId="5D10A71F" w14:textId="77777777" w:rsidTr="00E73CA2">
        <w:trPr>
          <w:jc w:val="center"/>
        </w:trPr>
        <w:tc>
          <w:tcPr>
            <w:tcW w:w="0" w:type="auto"/>
            <w:vAlign w:val="center"/>
          </w:tcPr>
          <w:p w14:paraId="2F38B67E" w14:textId="2D144033"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Parameter</w:t>
            </w:r>
          </w:p>
        </w:tc>
        <w:tc>
          <w:tcPr>
            <w:tcW w:w="0" w:type="auto"/>
            <w:vAlign w:val="center"/>
          </w:tcPr>
          <w:p w14:paraId="2DBDD172" w14:textId="7CEFBE83"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Weight</w:t>
            </w:r>
          </w:p>
        </w:tc>
      </w:tr>
      <w:tr w:rsidR="00E73CA2" w:rsidRPr="00234464" w14:paraId="687926F6" w14:textId="77777777" w:rsidTr="00E73CA2">
        <w:trPr>
          <w:jc w:val="center"/>
        </w:trPr>
        <w:tc>
          <w:tcPr>
            <w:tcW w:w="0" w:type="auto"/>
            <w:vAlign w:val="center"/>
          </w:tcPr>
          <w:p w14:paraId="6DA83A2D" w14:textId="0AD8994A"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sz w:val="24"/>
                <w:szCs w:val="24"/>
              </w:rPr>
              <w:t>Temperature</w:t>
            </w:r>
          </w:p>
        </w:tc>
        <w:tc>
          <w:tcPr>
            <w:tcW w:w="0" w:type="auto"/>
            <w:vAlign w:val="center"/>
          </w:tcPr>
          <w:p w14:paraId="69CCBFD7" w14:textId="327D7144"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sz w:val="24"/>
                <w:szCs w:val="24"/>
              </w:rPr>
              <w:t>25%</w:t>
            </w:r>
          </w:p>
        </w:tc>
      </w:tr>
      <w:tr w:rsidR="00E73CA2" w:rsidRPr="00234464" w14:paraId="2F9524DA" w14:textId="77777777" w:rsidTr="00E73CA2">
        <w:trPr>
          <w:jc w:val="center"/>
        </w:trPr>
        <w:tc>
          <w:tcPr>
            <w:tcW w:w="0" w:type="auto"/>
            <w:vAlign w:val="center"/>
          </w:tcPr>
          <w:p w14:paraId="33B63E13" w14:textId="07B39E35"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Chilling conditions</w:t>
            </w:r>
          </w:p>
        </w:tc>
        <w:tc>
          <w:tcPr>
            <w:tcW w:w="0" w:type="auto"/>
            <w:vAlign w:val="center"/>
          </w:tcPr>
          <w:p w14:paraId="717823AF" w14:textId="10C91705"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25%</w:t>
            </w:r>
          </w:p>
        </w:tc>
      </w:tr>
      <w:tr w:rsidR="00E73CA2" w:rsidRPr="00234464" w14:paraId="198EF507" w14:textId="77777777" w:rsidTr="00E73CA2">
        <w:trPr>
          <w:jc w:val="center"/>
        </w:trPr>
        <w:tc>
          <w:tcPr>
            <w:tcW w:w="0" w:type="auto"/>
            <w:vAlign w:val="center"/>
          </w:tcPr>
          <w:p w14:paraId="33B146E2" w14:textId="1C5AD314"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Soil characteristics</w:t>
            </w:r>
          </w:p>
        </w:tc>
        <w:tc>
          <w:tcPr>
            <w:tcW w:w="0" w:type="auto"/>
            <w:vAlign w:val="center"/>
          </w:tcPr>
          <w:p w14:paraId="32F914DC" w14:textId="63606F52"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20%</w:t>
            </w:r>
          </w:p>
        </w:tc>
      </w:tr>
      <w:tr w:rsidR="00E73CA2" w:rsidRPr="00234464" w14:paraId="7B2BB5D8" w14:textId="77777777" w:rsidTr="00E73CA2">
        <w:trPr>
          <w:jc w:val="center"/>
        </w:trPr>
        <w:tc>
          <w:tcPr>
            <w:tcW w:w="0" w:type="auto"/>
            <w:vAlign w:val="center"/>
          </w:tcPr>
          <w:p w14:paraId="61CB4F16" w14:textId="56EC0AB1"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Water availability</w:t>
            </w:r>
          </w:p>
        </w:tc>
        <w:tc>
          <w:tcPr>
            <w:tcW w:w="0" w:type="auto"/>
            <w:vAlign w:val="center"/>
          </w:tcPr>
          <w:p w14:paraId="4FA5D6F5" w14:textId="3862FF71"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15%</w:t>
            </w:r>
          </w:p>
        </w:tc>
      </w:tr>
      <w:tr w:rsidR="00E73CA2" w:rsidRPr="00234464" w14:paraId="4F842520" w14:textId="77777777" w:rsidTr="00E73CA2">
        <w:trPr>
          <w:jc w:val="center"/>
        </w:trPr>
        <w:tc>
          <w:tcPr>
            <w:tcW w:w="0" w:type="auto"/>
            <w:vAlign w:val="center"/>
          </w:tcPr>
          <w:p w14:paraId="46E740CE" w14:textId="1B912C58"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Topography</w:t>
            </w:r>
          </w:p>
        </w:tc>
        <w:tc>
          <w:tcPr>
            <w:tcW w:w="0" w:type="auto"/>
            <w:vAlign w:val="center"/>
          </w:tcPr>
          <w:p w14:paraId="30ADF7B4" w14:textId="2B5EFF24"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10%</w:t>
            </w:r>
          </w:p>
        </w:tc>
      </w:tr>
      <w:tr w:rsidR="00E73CA2" w:rsidRPr="00234464" w14:paraId="31964A1A" w14:textId="77777777" w:rsidTr="00E73CA2">
        <w:trPr>
          <w:jc w:val="center"/>
        </w:trPr>
        <w:tc>
          <w:tcPr>
            <w:tcW w:w="0" w:type="auto"/>
            <w:vAlign w:val="center"/>
          </w:tcPr>
          <w:p w14:paraId="7FB375DA" w14:textId="6DA5997D"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Other environmental factors</w:t>
            </w:r>
          </w:p>
        </w:tc>
        <w:tc>
          <w:tcPr>
            <w:tcW w:w="0" w:type="auto"/>
            <w:vAlign w:val="center"/>
          </w:tcPr>
          <w:p w14:paraId="22BD16F8" w14:textId="04FE4CA5"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5%</w:t>
            </w:r>
          </w:p>
        </w:tc>
      </w:tr>
      <w:tr w:rsidR="00E73CA2" w:rsidRPr="00234464" w14:paraId="1D17F0D2" w14:textId="77777777" w:rsidTr="00E73CA2">
        <w:trPr>
          <w:jc w:val="center"/>
        </w:trPr>
        <w:tc>
          <w:tcPr>
            <w:tcW w:w="0" w:type="auto"/>
            <w:vAlign w:val="center"/>
          </w:tcPr>
          <w:p w14:paraId="47CF53B9" w14:textId="3A7E7577"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Total</w:t>
            </w:r>
          </w:p>
        </w:tc>
        <w:tc>
          <w:tcPr>
            <w:tcW w:w="0" w:type="auto"/>
            <w:vAlign w:val="center"/>
          </w:tcPr>
          <w:p w14:paraId="77CBB70C" w14:textId="206D3385"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100%</w:t>
            </w:r>
          </w:p>
        </w:tc>
      </w:tr>
    </w:tbl>
    <w:p w14:paraId="2B091D94" w14:textId="77777777" w:rsidR="00266CB1" w:rsidRDefault="00266CB1" w:rsidP="00E73CA2">
      <w:pPr>
        <w:jc w:val="both"/>
        <w:rPr>
          <w:rFonts w:ascii="Times New Roman" w:hAnsi="Times New Roman" w:cs="Times New Roman"/>
          <w:sz w:val="24"/>
          <w:szCs w:val="24"/>
        </w:rPr>
      </w:pPr>
    </w:p>
    <w:p w14:paraId="4EFD2410" w14:textId="77777777" w:rsidR="00266CB1" w:rsidRDefault="00266CB1" w:rsidP="00E73CA2">
      <w:pPr>
        <w:jc w:val="both"/>
        <w:rPr>
          <w:rFonts w:ascii="Times New Roman" w:hAnsi="Times New Roman" w:cs="Times New Roman"/>
          <w:sz w:val="24"/>
          <w:szCs w:val="24"/>
        </w:rPr>
      </w:pPr>
    </w:p>
    <w:p w14:paraId="60811629" w14:textId="6B131B74" w:rsidR="00266CB1" w:rsidRPr="00266CB1" w:rsidRDefault="00266CB1" w:rsidP="00266CB1">
      <w:pPr>
        <w:jc w:val="both"/>
        <w:rPr>
          <w:rFonts w:ascii="Times New Roman" w:hAnsi="Times New Roman" w:cs="Times New Roman"/>
          <w:sz w:val="24"/>
          <w:szCs w:val="24"/>
          <w:highlight w:val="yellow"/>
        </w:rPr>
      </w:pPr>
      <w:r w:rsidRPr="00266CB1">
        <w:rPr>
          <w:rFonts w:ascii="Times New Roman" w:hAnsi="Times New Roman" w:cs="Times New Roman"/>
          <w:sz w:val="24"/>
          <w:szCs w:val="24"/>
          <w:highlight w:val="yellow"/>
        </w:rPr>
        <w:t>For each parameter, a standardized suitability score was assigned to the representative site values, and the weighted scores were combined to obtain the composite suitability score. The composite score was calculated as:</w:t>
      </w:r>
    </w:p>
    <w:p w14:paraId="48401E7E" w14:textId="4D50971B" w:rsidR="00266CB1" w:rsidRPr="00266CB1" w:rsidRDefault="00266CB1" w:rsidP="00266CB1">
      <w:pPr>
        <w:jc w:val="both"/>
        <w:rPr>
          <w:rFonts w:ascii="Times New Roman" w:hAnsi="Times New Roman" w:cs="Times New Roman"/>
          <w:sz w:val="24"/>
          <w:szCs w:val="24"/>
          <w:highlight w:val="yellow"/>
        </w:rPr>
      </w:pPr>
      <m:oMathPara>
        <m:oMath>
          <m:r>
            <w:rPr>
              <w:rFonts w:ascii="Cambria Math" w:hAnsi="Cambria Math" w:cs="Times New Roman"/>
              <w:sz w:val="24"/>
              <w:szCs w:val="24"/>
              <w:highlight w:val="yellow"/>
            </w:rPr>
            <m:t>S=</m:t>
          </m:r>
          <m:nary>
            <m:naryPr>
              <m:chr m:val="∑"/>
              <m:limLoc m:val="undOvr"/>
              <m:ctrlPr>
                <w:rPr>
                  <w:rFonts w:ascii="Cambria Math" w:hAnsi="Cambria Math" w:cs="Times New Roman"/>
                  <w:i/>
                  <w:sz w:val="24"/>
                  <w:szCs w:val="24"/>
                  <w:highlight w:val="yellow"/>
                </w:rPr>
              </m:ctrlPr>
            </m:naryPr>
            <m:sub>
              <m:r>
                <w:rPr>
                  <w:rFonts w:ascii="Cambria Math" w:hAnsi="Cambria Math" w:cs="Times New Roman"/>
                  <w:sz w:val="24"/>
                  <w:szCs w:val="24"/>
                  <w:highlight w:val="yellow"/>
                </w:rPr>
                <m:t>i=1</m:t>
              </m:r>
            </m:sub>
            <m:sup>
              <m:r>
                <w:rPr>
                  <w:rFonts w:ascii="Cambria Math" w:hAnsi="Cambria Math" w:cs="Times New Roman"/>
                  <w:sz w:val="24"/>
                  <w:szCs w:val="24"/>
                  <w:highlight w:val="yellow"/>
                </w:rPr>
                <m:t>n</m:t>
              </m:r>
            </m:sup>
            <m:e>
              <m:sSub>
                <m:sSubPr>
                  <m:ctrlPr>
                    <w:rPr>
                      <w:rFonts w:ascii="Cambria Math" w:hAnsi="Cambria Math" w:cs="Times New Roman"/>
                      <w:i/>
                      <w:sz w:val="24"/>
                      <w:szCs w:val="24"/>
                      <w:highlight w:val="yellow"/>
                    </w:rPr>
                  </m:ctrlPr>
                </m:sSubPr>
                <m:e>
                  <m:r>
                    <w:rPr>
                      <w:rFonts w:ascii="Cambria Math" w:hAnsi="Cambria Math" w:cs="Times New Roman"/>
                      <w:sz w:val="24"/>
                      <w:szCs w:val="24"/>
                      <w:highlight w:val="yellow"/>
                    </w:rPr>
                    <m:t>W</m:t>
                  </m:r>
                </m:e>
                <m:sub>
                  <m:r>
                    <w:rPr>
                      <w:rFonts w:ascii="Cambria Math" w:hAnsi="Cambria Math" w:cs="Times New Roman"/>
                      <w:sz w:val="24"/>
                      <w:szCs w:val="24"/>
                      <w:highlight w:val="yellow"/>
                    </w:rPr>
                    <m:t>i</m:t>
                  </m:r>
                </m:sub>
              </m:sSub>
              <m:sSub>
                <m:sSubPr>
                  <m:ctrlPr>
                    <w:rPr>
                      <w:rFonts w:ascii="Cambria Math" w:hAnsi="Cambria Math" w:cs="Times New Roman"/>
                      <w:i/>
                      <w:sz w:val="24"/>
                      <w:szCs w:val="24"/>
                      <w:highlight w:val="yellow"/>
                    </w:rPr>
                  </m:ctrlPr>
                </m:sSubPr>
                <m:e>
                  <m:r>
                    <w:rPr>
                      <w:rFonts w:ascii="Cambria Math" w:hAnsi="Cambria Math" w:cs="Times New Roman"/>
                      <w:sz w:val="24"/>
                      <w:szCs w:val="24"/>
                      <w:highlight w:val="yellow"/>
                    </w:rPr>
                    <m:t>X</m:t>
                  </m:r>
                </m:e>
                <m:sub>
                  <m:r>
                    <w:rPr>
                      <w:rFonts w:ascii="Cambria Math" w:hAnsi="Cambria Math" w:cs="Times New Roman"/>
                      <w:sz w:val="24"/>
                      <w:szCs w:val="24"/>
                      <w:highlight w:val="yellow"/>
                    </w:rPr>
                    <m:t>i</m:t>
                  </m:r>
                </m:sub>
              </m:sSub>
            </m:e>
          </m:nary>
        </m:oMath>
      </m:oMathPara>
    </w:p>
    <w:p w14:paraId="3F390B85" w14:textId="67EC1D42" w:rsidR="00266CB1" w:rsidRDefault="00266CB1" w:rsidP="00266CB1">
      <w:pPr>
        <w:jc w:val="both"/>
        <w:rPr>
          <w:rFonts w:ascii="Times New Roman" w:hAnsi="Times New Roman" w:cs="Times New Roman"/>
          <w:sz w:val="24"/>
          <w:szCs w:val="24"/>
        </w:rPr>
      </w:pPr>
      <w:r w:rsidRPr="00266CB1">
        <w:rPr>
          <w:rFonts w:ascii="Times New Roman" w:hAnsi="Times New Roman" w:cs="Times New Roman"/>
          <w:sz w:val="24"/>
          <w:szCs w:val="24"/>
          <w:highlight w:val="yellow"/>
        </w:rPr>
        <w:t xml:space="preserve">where </w:t>
      </w:r>
      <w:r w:rsidRPr="00266CB1">
        <w:rPr>
          <w:rFonts w:ascii="Times New Roman" w:hAnsi="Times New Roman" w:cs="Times New Roman"/>
          <w:i/>
          <w:iCs/>
          <w:sz w:val="24"/>
          <w:szCs w:val="24"/>
          <w:highlight w:val="yellow"/>
        </w:rPr>
        <w:t>S</w:t>
      </w:r>
      <w:r w:rsidRPr="00266CB1">
        <w:rPr>
          <w:rFonts w:ascii="Times New Roman" w:hAnsi="Times New Roman" w:cs="Times New Roman"/>
          <w:sz w:val="24"/>
          <w:szCs w:val="24"/>
          <w:highlight w:val="yellow"/>
        </w:rPr>
        <w:t xml:space="preserve"> is the composite suitability score, </w:t>
      </w:r>
      <w:r w:rsidRPr="00266CB1">
        <w:rPr>
          <w:rFonts w:ascii="Times New Roman" w:hAnsi="Times New Roman" w:cs="Times New Roman"/>
          <w:i/>
          <w:iCs/>
          <w:sz w:val="24"/>
          <w:szCs w:val="24"/>
          <w:highlight w:val="yellow"/>
        </w:rPr>
        <w:t>W</w:t>
      </w:r>
      <w:r w:rsidRPr="00266CB1">
        <w:rPr>
          <w:rFonts w:ascii="Times New Roman" w:hAnsi="Times New Roman" w:cs="Times New Roman"/>
          <w:i/>
          <w:iCs/>
          <w:sz w:val="24"/>
          <w:szCs w:val="24"/>
          <w:highlight w:val="yellow"/>
          <w:vertAlign w:val="subscript"/>
        </w:rPr>
        <w:t>i</w:t>
      </w:r>
      <w:r w:rsidRPr="00266CB1">
        <w:rPr>
          <w:rFonts w:ascii="Times New Roman" w:hAnsi="Times New Roman" w:cs="Times New Roman"/>
          <w:sz w:val="24"/>
          <w:szCs w:val="24"/>
          <w:highlight w:val="yellow"/>
        </w:rPr>
        <w:t xml:space="preserve"> is the weight assigned to parameter </w:t>
      </w:r>
      <w:proofErr w:type="spellStart"/>
      <w:r w:rsidRPr="00266CB1">
        <w:rPr>
          <w:rFonts w:ascii="Times New Roman" w:hAnsi="Times New Roman" w:cs="Times New Roman"/>
          <w:i/>
          <w:iCs/>
          <w:sz w:val="24"/>
          <w:szCs w:val="24"/>
          <w:highlight w:val="yellow"/>
        </w:rPr>
        <w:t>i</w:t>
      </w:r>
      <w:proofErr w:type="spellEnd"/>
      <w:r w:rsidRPr="00266CB1">
        <w:rPr>
          <w:rFonts w:ascii="Times New Roman" w:hAnsi="Times New Roman" w:cs="Times New Roman"/>
          <w:sz w:val="24"/>
          <w:szCs w:val="24"/>
          <w:highlight w:val="yellow"/>
        </w:rPr>
        <w:t xml:space="preserve">, and </w:t>
      </w:r>
      <w:r w:rsidRPr="00266CB1">
        <w:rPr>
          <w:rFonts w:ascii="Times New Roman" w:hAnsi="Times New Roman" w:cs="Times New Roman"/>
          <w:i/>
          <w:iCs/>
          <w:sz w:val="24"/>
          <w:szCs w:val="24"/>
          <w:highlight w:val="yellow"/>
        </w:rPr>
        <w:t>X</w:t>
      </w:r>
      <w:r w:rsidRPr="00266CB1">
        <w:rPr>
          <w:rFonts w:ascii="Times New Roman" w:hAnsi="Times New Roman" w:cs="Times New Roman"/>
          <w:i/>
          <w:iCs/>
          <w:sz w:val="24"/>
          <w:szCs w:val="24"/>
          <w:highlight w:val="yellow"/>
          <w:vertAlign w:val="subscript"/>
        </w:rPr>
        <w:t>i</w:t>
      </w:r>
      <w:r w:rsidRPr="00266CB1">
        <w:rPr>
          <w:rFonts w:ascii="Times New Roman" w:hAnsi="Times New Roman" w:cs="Times New Roman"/>
          <w:sz w:val="24"/>
          <w:szCs w:val="24"/>
          <w:highlight w:val="yellow"/>
        </w:rPr>
        <w:t xml:space="preserve"> is the </w:t>
      </w:r>
      <w:r>
        <w:rPr>
          <w:rFonts w:ascii="Times New Roman" w:hAnsi="Times New Roman" w:cs="Times New Roman"/>
          <w:sz w:val="24"/>
          <w:szCs w:val="24"/>
          <w:highlight w:val="yellow"/>
        </w:rPr>
        <w:t>standardised</w:t>
      </w:r>
      <w:r>
        <w:rPr>
          <w:rFonts w:ascii="Times New Roman" w:hAnsi="Times New Roman" w:cs="Times New Roman"/>
          <w:sz w:val="24"/>
          <w:szCs w:val="24"/>
          <w:highlight w:val="yellow"/>
        </w:rPr>
        <w:t xml:space="preserve"> score of parameter </w:t>
      </w:r>
      <w:proofErr w:type="spellStart"/>
      <w:r w:rsidRPr="00266CB1">
        <w:rPr>
          <w:rFonts w:ascii="Times New Roman" w:hAnsi="Times New Roman" w:cs="Times New Roman"/>
          <w:i/>
          <w:iCs/>
          <w:sz w:val="24"/>
          <w:szCs w:val="24"/>
          <w:highlight w:val="yellow"/>
        </w:rPr>
        <w:t>i</w:t>
      </w:r>
      <w:proofErr w:type="spellEnd"/>
      <w:r w:rsidRPr="00266CB1">
        <w:rPr>
          <w:rFonts w:ascii="Times New Roman" w:hAnsi="Times New Roman" w:cs="Times New Roman"/>
          <w:sz w:val="24"/>
          <w:szCs w:val="24"/>
          <w:highlight w:val="yellow"/>
        </w:rPr>
        <w:t>. The resulting scores were used only for preliminary comparison among the representative sites.</w:t>
      </w:r>
    </w:p>
    <w:p w14:paraId="73A239C5" w14:textId="17BFEB6D" w:rsidR="00266CB1" w:rsidRPr="00266CB1" w:rsidRDefault="00266CB1" w:rsidP="00266CB1">
      <w:pPr>
        <w:jc w:val="both"/>
        <w:rPr>
          <w:rFonts w:ascii="Times New Roman" w:hAnsi="Times New Roman" w:cs="Times New Roman"/>
          <w:sz w:val="24"/>
          <w:szCs w:val="24"/>
        </w:rPr>
      </w:pPr>
      <w:r w:rsidRPr="00266CB1">
        <w:rPr>
          <w:rFonts w:ascii="Times New Roman" w:hAnsi="Times New Roman" w:cs="Times New Roman"/>
          <w:sz w:val="24"/>
          <w:szCs w:val="24"/>
          <w:highlight w:val="yellow"/>
        </w:rPr>
        <w:t>The weighting scheme is an illustrative framework for preliminary assessment and should be further validated using field observations and established horticultural criteria.</w:t>
      </w:r>
    </w:p>
    <w:p w14:paraId="3C5B0381" w14:textId="0EA161D9"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Chilling conditions were therefore included as a separate component of the suitability assessment because winter chill is an important determinant of temperate fruit crop adaptation</w:t>
      </w:r>
      <w:r>
        <w:rPr>
          <w:rFonts w:ascii="Times New Roman" w:hAnsi="Times New Roman" w:cs="Times New Roman"/>
          <w:sz w:val="24"/>
          <w:szCs w:val="24"/>
        </w:rPr>
        <w:t xml:space="preserve">. </w:t>
      </w:r>
      <w:r w:rsidRPr="00252617">
        <w:rPr>
          <w:rFonts w:ascii="Times New Roman" w:hAnsi="Times New Roman" w:cs="Times New Roman"/>
          <w:sz w:val="24"/>
          <w:szCs w:val="24"/>
        </w:rPr>
        <w:t xml:space="preserve">The availability of adequate winter chilling is a critical consideration when evaluating temperate fruit production in warmer environments. Differences in winter temperature can substantially influence chill accumulation and consequently affect cultivar suitability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2012)</w:t>
      </w:r>
      <w:r w:rsidRPr="00252617">
        <w:rPr>
          <w:rFonts w:ascii="Times New Roman" w:hAnsi="Times New Roman" w:cs="Times New Roman"/>
          <w:sz w:val="24"/>
          <w:szCs w:val="24"/>
        </w:rPr>
        <w:t>.</w:t>
      </w:r>
    </w:p>
    <w:p w14:paraId="5F14977D" w14:textId="2B5E4163" w:rsidR="006A04DD" w:rsidRDefault="006A04DD" w:rsidP="00E73CA2">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9FF3739" wp14:editId="310DB74D">
            <wp:extent cx="5728335" cy="548640"/>
            <wp:effectExtent l="0" t="0" r="5715" b="3810"/>
            <wp:docPr id="4003240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24046" name="Picture 400324046"/>
                    <pic:cNvPicPr/>
                  </pic:nvPicPr>
                  <pic:blipFill rotWithShape="1">
                    <a:blip r:embed="rId8" cstate="print">
                      <a:extLst>
                        <a:ext uri="{28A0092B-C50C-407E-A947-70E740481C1C}">
                          <a14:useLocalDpi xmlns:a14="http://schemas.microsoft.com/office/drawing/2010/main" val="0"/>
                        </a:ext>
                      </a:extLst>
                    </a:blip>
                    <a:srcRect t="43419" b="31711"/>
                    <a:stretch>
                      <a:fillRect/>
                    </a:stretch>
                  </pic:blipFill>
                  <pic:spPr bwMode="auto">
                    <a:xfrm>
                      <a:off x="0" y="0"/>
                      <a:ext cx="5731510" cy="548944"/>
                    </a:xfrm>
                    <a:prstGeom prst="rect">
                      <a:avLst/>
                    </a:prstGeom>
                    <a:ln>
                      <a:noFill/>
                    </a:ln>
                    <a:extLst>
                      <a:ext uri="{53640926-AAD7-44D8-BBD7-CCE9431645EC}">
                        <a14:shadowObscured xmlns:a14="http://schemas.microsoft.com/office/drawing/2010/main"/>
                      </a:ext>
                    </a:extLst>
                  </pic:spPr>
                </pic:pic>
              </a:graphicData>
            </a:graphic>
          </wp:inline>
        </w:drawing>
      </w:r>
    </w:p>
    <w:p w14:paraId="61F65C09" w14:textId="058E0C19" w:rsidR="006A04DD" w:rsidRDefault="006A04DD" w:rsidP="00E73CA2">
      <w:pPr>
        <w:jc w:val="both"/>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2</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Conceptual Framework for Preliminary Apple Cultivation Suitability Assessment</w:t>
      </w:r>
    </w:p>
    <w:p w14:paraId="7FCEB12B" w14:textId="68C8A203" w:rsidR="006A04DD" w:rsidRPr="00E73CA2" w:rsidRDefault="006A04DD" w:rsidP="00E73CA2">
      <w:pPr>
        <w:jc w:val="both"/>
        <w:rPr>
          <w:rFonts w:ascii="Times New Roman" w:hAnsi="Times New Roman" w:cs="Times New Roman"/>
          <w:sz w:val="24"/>
          <w:szCs w:val="24"/>
        </w:rPr>
      </w:pPr>
      <w:r w:rsidRPr="006A04DD">
        <w:rPr>
          <w:rFonts w:ascii="Times New Roman" w:hAnsi="Times New Roman" w:cs="Times New Roman"/>
          <w:sz w:val="24"/>
          <w:szCs w:val="24"/>
        </w:rPr>
        <w:t xml:space="preserve">The framework </w:t>
      </w:r>
      <w:r>
        <w:rPr>
          <w:rFonts w:ascii="Times New Roman" w:hAnsi="Times New Roman" w:cs="Times New Roman"/>
          <w:sz w:val="24"/>
          <w:szCs w:val="24"/>
          <w:highlight w:val="yellow"/>
        </w:rPr>
        <w:t>summarises</w:t>
      </w:r>
      <w:r>
        <w:rPr>
          <w:rFonts w:ascii="Times New Roman" w:hAnsi="Times New Roman" w:cs="Times New Roman"/>
          <w:sz w:val="24"/>
          <w:szCs w:val="24"/>
        </w:rPr>
        <w:t xml:space="preserve"> the assessment pathway from climate, chilling, soil, and water evaluation to preliminary suitability classification and subsequent field validation.</w:t>
      </w:r>
    </w:p>
    <w:p w14:paraId="7995B84A"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 RESULTS</w:t>
      </w:r>
    </w:p>
    <w:p w14:paraId="7FCBF753"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3.1 Climatic Characteristics of Selected Sites</w:t>
      </w:r>
    </w:p>
    <w:p w14:paraId="4EDC2283" w14:textId="1AC8E1EF" w:rsidR="00E73CA2" w:rsidRPr="00E73CA2" w:rsidRDefault="00266CB1" w:rsidP="00E73CA2">
      <w:pPr>
        <w:jc w:val="both"/>
        <w:rPr>
          <w:rFonts w:ascii="Times New Roman" w:hAnsi="Times New Roman" w:cs="Times New Roman"/>
          <w:sz w:val="24"/>
          <w:szCs w:val="24"/>
        </w:rPr>
      </w:pPr>
      <w:r w:rsidRPr="00266CB1">
        <w:rPr>
          <w:rFonts w:ascii="Times New Roman" w:hAnsi="Times New Roman" w:cs="Times New Roman"/>
          <w:sz w:val="24"/>
          <w:szCs w:val="24"/>
          <w:highlight w:val="yellow"/>
        </w:rPr>
        <w:t>Five representative forest-fringe/agricultural locations were considered for the preliminary environmental assessment. The site-level values presented below are simulated values constructed within the documented environmental range of Adilabad and are intended for comparative suitability assessment rather than as direct field measurements.</w:t>
      </w:r>
      <w:r w:rsidR="00E73CA2" w:rsidRPr="00E73CA2">
        <w:rPr>
          <w:rFonts w:ascii="Times New Roman" w:hAnsi="Times New Roman" w:cs="Times New Roman"/>
          <w:sz w:val="24"/>
          <w:szCs w:val="24"/>
        </w:rPr>
        <w:t xml:space="preserve"> The values were </w:t>
      </w:r>
      <w:r w:rsidR="00E73CA2" w:rsidRPr="00E73CA2">
        <w:rPr>
          <w:rFonts w:ascii="Times New Roman" w:hAnsi="Times New Roman" w:cs="Times New Roman"/>
          <w:sz w:val="24"/>
          <w:szCs w:val="24"/>
        </w:rPr>
        <w:lastRenderedPageBreak/>
        <w:t xml:space="preserve">constructed to remain broadly consistent with the documented district climate, including the relatively cool winter period and hot summer conditions. The district's official profile identifies December as the coldest month, with mean daily temperatures of approximately 15°C minimum and 29°C maximum, while annual rainfall is approximately 1,044.5 mm. </w:t>
      </w:r>
    </w:p>
    <w:p w14:paraId="6E24E310"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1. Climatic Characteristics of Selected Study Locations</w:t>
      </w:r>
    </w:p>
    <w:tbl>
      <w:tblPr>
        <w:tblStyle w:val="TableGrid"/>
        <w:tblW w:w="0" w:type="auto"/>
        <w:tblInd w:w="62" w:type="dxa"/>
        <w:tblLook w:val="0000" w:firstRow="0" w:lastRow="0" w:firstColumn="0" w:lastColumn="0" w:noHBand="0" w:noVBand="0"/>
      </w:tblPr>
      <w:tblGrid>
        <w:gridCol w:w="1924"/>
        <w:gridCol w:w="1340"/>
        <w:gridCol w:w="1319"/>
        <w:gridCol w:w="1334"/>
        <w:gridCol w:w="1480"/>
        <w:gridCol w:w="1557"/>
      </w:tblGrid>
      <w:tr w:rsidR="00514845" w:rsidRPr="00234464" w14:paraId="42C0E9EC" w14:textId="77777777" w:rsidTr="00175FFB">
        <w:tc>
          <w:tcPr>
            <w:tcW w:w="0" w:type="auto"/>
            <w:vAlign w:val="center"/>
          </w:tcPr>
          <w:p w14:paraId="0939EAC2" w14:textId="580876E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w:t>
            </w:r>
          </w:p>
        </w:tc>
        <w:tc>
          <w:tcPr>
            <w:tcW w:w="0" w:type="auto"/>
            <w:vAlign w:val="center"/>
          </w:tcPr>
          <w:p w14:paraId="0DEFCE4A" w14:textId="57C6861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Elevation (m)</w:t>
            </w:r>
          </w:p>
        </w:tc>
        <w:tc>
          <w:tcPr>
            <w:tcW w:w="0" w:type="auto"/>
            <w:vAlign w:val="center"/>
          </w:tcPr>
          <w:p w14:paraId="43C99262" w14:textId="7612D1B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Winter Min. (°C)</w:t>
            </w:r>
          </w:p>
        </w:tc>
        <w:tc>
          <w:tcPr>
            <w:tcW w:w="0" w:type="auto"/>
            <w:vAlign w:val="center"/>
          </w:tcPr>
          <w:p w14:paraId="2701A337" w14:textId="4B04E7A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Winter Max. (°C)</w:t>
            </w:r>
          </w:p>
        </w:tc>
        <w:tc>
          <w:tcPr>
            <w:tcW w:w="0" w:type="auto"/>
            <w:vAlign w:val="center"/>
          </w:tcPr>
          <w:p w14:paraId="04DF3C77" w14:textId="16388B5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Summer Max. (°C)</w:t>
            </w:r>
          </w:p>
        </w:tc>
        <w:tc>
          <w:tcPr>
            <w:tcW w:w="0" w:type="auto"/>
            <w:vAlign w:val="center"/>
          </w:tcPr>
          <w:p w14:paraId="031F5FA6" w14:textId="1245C0D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Annual Rainfall (mm)</w:t>
            </w:r>
          </w:p>
        </w:tc>
      </w:tr>
      <w:tr w:rsidR="00514845" w:rsidRPr="00234464" w14:paraId="2A3FE2B0" w14:textId="77777777" w:rsidTr="00175FFB">
        <w:tc>
          <w:tcPr>
            <w:tcW w:w="0" w:type="auto"/>
            <w:vAlign w:val="center"/>
          </w:tcPr>
          <w:p w14:paraId="1044A435" w14:textId="6FE84D7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 – Adilabad fringe</w:t>
            </w:r>
          </w:p>
        </w:tc>
        <w:tc>
          <w:tcPr>
            <w:tcW w:w="0" w:type="auto"/>
            <w:vAlign w:val="center"/>
          </w:tcPr>
          <w:p w14:paraId="345C38E1" w14:textId="3DF155D4"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264</w:t>
            </w:r>
          </w:p>
        </w:tc>
        <w:tc>
          <w:tcPr>
            <w:tcW w:w="0" w:type="auto"/>
            <w:vAlign w:val="center"/>
          </w:tcPr>
          <w:p w14:paraId="50FEEF59" w14:textId="6E768074"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14.8</w:t>
            </w:r>
          </w:p>
        </w:tc>
        <w:tc>
          <w:tcPr>
            <w:tcW w:w="0" w:type="auto"/>
            <w:vAlign w:val="center"/>
          </w:tcPr>
          <w:p w14:paraId="5F30FA7A" w14:textId="532AC53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28.7</w:t>
            </w:r>
          </w:p>
        </w:tc>
        <w:tc>
          <w:tcPr>
            <w:tcW w:w="0" w:type="auto"/>
            <w:vAlign w:val="center"/>
          </w:tcPr>
          <w:p w14:paraId="75060FA8" w14:textId="2ADBEE1A"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43.2</w:t>
            </w:r>
          </w:p>
        </w:tc>
        <w:tc>
          <w:tcPr>
            <w:tcW w:w="0" w:type="auto"/>
            <w:vAlign w:val="center"/>
          </w:tcPr>
          <w:p w14:paraId="04938B1C" w14:textId="524A143D"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1,038</w:t>
            </w:r>
          </w:p>
        </w:tc>
      </w:tr>
      <w:tr w:rsidR="00514845" w:rsidRPr="00234464" w14:paraId="2356F940" w14:textId="77777777" w:rsidTr="00175FFB">
        <w:tc>
          <w:tcPr>
            <w:tcW w:w="0" w:type="auto"/>
            <w:vAlign w:val="center"/>
          </w:tcPr>
          <w:p w14:paraId="37A5D9DD" w14:textId="5AA4D21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 – Bela fringe</w:t>
            </w:r>
          </w:p>
        </w:tc>
        <w:tc>
          <w:tcPr>
            <w:tcW w:w="0" w:type="auto"/>
            <w:vAlign w:val="center"/>
          </w:tcPr>
          <w:p w14:paraId="70A3B691" w14:textId="001C549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289</w:t>
            </w:r>
          </w:p>
        </w:tc>
        <w:tc>
          <w:tcPr>
            <w:tcW w:w="0" w:type="auto"/>
            <w:vAlign w:val="center"/>
          </w:tcPr>
          <w:p w14:paraId="539FDD39" w14:textId="59E4BF2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14.5</w:t>
            </w:r>
          </w:p>
        </w:tc>
        <w:tc>
          <w:tcPr>
            <w:tcW w:w="0" w:type="auto"/>
            <w:vAlign w:val="center"/>
          </w:tcPr>
          <w:p w14:paraId="36F6B9FC" w14:textId="37850BE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28.3</w:t>
            </w:r>
          </w:p>
        </w:tc>
        <w:tc>
          <w:tcPr>
            <w:tcW w:w="0" w:type="auto"/>
            <w:vAlign w:val="center"/>
          </w:tcPr>
          <w:p w14:paraId="3249D010" w14:textId="0626D75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42.6</w:t>
            </w:r>
          </w:p>
        </w:tc>
        <w:tc>
          <w:tcPr>
            <w:tcW w:w="0" w:type="auto"/>
            <w:vAlign w:val="center"/>
          </w:tcPr>
          <w:p w14:paraId="54BFD5A5" w14:textId="1B1FFB7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1,062</w:t>
            </w:r>
          </w:p>
        </w:tc>
      </w:tr>
      <w:tr w:rsidR="00514845" w:rsidRPr="00234464" w14:paraId="3D6D68E1" w14:textId="77777777" w:rsidTr="00175FFB">
        <w:tc>
          <w:tcPr>
            <w:tcW w:w="0" w:type="auto"/>
            <w:vAlign w:val="center"/>
          </w:tcPr>
          <w:p w14:paraId="70F81234" w14:textId="295D508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 xml:space="preserve">Site 3 – </w:t>
            </w:r>
            <w:proofErr w:type="spellStart"/>
            <w:r w:rsidRPr="00E73CA2">
              <w:rPr>
                <w:rFonts w:ascii="Times New Roman" w:hAnsi="Times New Roman" w:cs="Times New Roman"/>
                <w:sz w:val="24"/>
                <w:szCs w:val="24"/>
              </w:rPr>
              <w:t>Talamadugu</w:t>
            </w:r>
            <w:proofErr w:type="spellEnd"/>
            <w:r w:rsidRPr="00E73CA2">
              <w:rPr>
                <w:rFonts w:ascii="Times New Roman" w:hAnsi="Times New Roman" w:cs="Times New Roman"/>
                <w:sz w:val="24"/>
                <w:szCs w:val="24"/>
              </w:rPr>
              <w:t xml:space="preserve"> fringe</w:t>
            </w:r>
          </w:p>
        </w:tc>
        <w:tc>
          <w:tcPr>
            <w:tcW w:w="0" w:type="auto"/>
            <w:vAlign w:val="center"/>
          </w:tcPr>
          <w:p w14:paraId="77DF4F52" w14:textId="7BE6841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312</w:t>
            </w:r>
          </w:p>
        </w:tc>
        <w:tc>
          <w:tcPr>
            <w:tcW w:w="0" w:type="auto"/>
            <w:vAlign w:val="center"/>
          </w:tcPr>
          <w:p w14:paraId="4CF2F580" w14:textId="5566194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13.9</w:t>
            </w:r>
          </w:p>
        </w:tc>
        <w:tc>
          <w:tcPr>
            <w:tcW w:w="0" w:type="auto"/>
            <w:vAlign w:val="center"/>
          </w:tcPr>
          <w:p w14:paraId="1FC0FAF5" w14:textId="48E5B2F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27.6</w:t>
            </w:r>
          </w:p>
        </w:tc>
        <w:tc>
          <w:tcPr>
            <w:tcW w:w="0" w:type="auto"/>
            <w:vAlign w:val="center"/>
          </w:tcPr>
          <w:p w14:paraId="4968391C" w14:textId="2F0F30E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41.8</w:t>
            </w:r>
          </w:p>
        </w:tc>
        <w:tc>
          <w:tcPr>
            <w:tcW w:w="0" w:type="auto"/>
            <w:vAlign w:val="center"/>
          </w:tcPr>
          <w:p w14:paraId="3E63B22D" w14:textId="74D2F35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1,087</w:t>
            </w:r>
          </w:p>
        </w:tc>
      </w:tr>
      <w:tr w:rsidR="00514845" w:rsidRPr="00234464" w14:paraId="6410175A" w14:textId="77777777" w:rsidTr="00175FFB">
        <w:tc>
          <w:tcPr>
            <w:tcW w:w="0" w:type="auto"/>
            <w:vAlign w:val="center"/>
          </w:tcPr>
          <w:p w14:paraId="53951510" w14:textId="585CCFC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 xml:space="preserve">Site 4 – </w:t>
            </w:r>
            <w:proofErr w:type="spellStart"/>
            <w:r w:rsidRPr="00E73CA2">
              <w:rPr>
                <w:rFonts w:ascii="Times New Roman" w:hAnsi="Times New Roman" w:cs="Times New Roman"/>
                <w:sz w:val="24"/>
                <w:szCs w:val="24"/>
              </w:rPr>
              <w:t>Utnoor</w:t>
            </w:r>
            <w:proofErr w:type="spellEnd"/>
            <w:r w:rsidRPr="00E73CA2">
              <w:rPr>
                <w:rFonts w:ascii="Times New Roman" w:hAnsi="Times New Roman" w:cs="Times New Roman"/>
                <w:sz w:val="24"/>
                <w:szCs w:val="24"/>
              </w:rPr>
              <w:t xml:space="preserve"> fringe</w:t>
            </w:r>
          </w:p>
        </w:tc>
        <w:tc>
          <w:tcPr>
            <w:tcW w:w="0" w:type="auto"/>
            <w:vAlign w:val="center"/>
          </w:tcPr>
          <w:p w14:paraId="1955F75C" w14:textId="7B9CF23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355</w:t>
            </w:r>
          </w:p>
        </w:tc>
        <w:tc>
          <w:tcPr>
            <w:tcW w:w="0" w:type="auto"/>
            <w:vAlign w:val="center"/>
          </w:tcPr>
          <w:p w14:paraId="11FF3128" w14:textId="4F04324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13.4</w:t>
            </w:r>
          </w:p>
        </w:tc>
        <w:tc>
          <w:tcPr>
            <w:tcW w:w="0" w:type="auto"/>
            <w:vAlign w:val="center"/>
          </w:tcPr>
          <w:p w14:paraId="060D8FDF" w14:textId="6F094D4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27.1</w:t>
            </w:r>
          </w:p>
        </w:tc>
        <w:tc>
          <w:tcPr>
            <w:tcW w:w="0" w:type="auto"/>
            <w:vAlign w:val="center"/>
          </w:tcPr>
          <w:p w14:paraId="5155044D" w14:textId="52E61F7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41.2</w:t>
            </w:r>
          </w:p>
        </w:tc>
        <w:tc>
          <w:tcPr>
            <w:tcW w:w="0" w:type="auto"/>
            <w:vAlign w:val="center"/>
          </w:tcPr>
          <w:p w14:paraId="4592D0D8" w14:textId="6152ECE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1,116</w:t>
            </w:r>
          </w:p>
        </w:tc>
      </w:tr>
      <w:tr w:rsidR="00514845" w:rsidRPr="00234464" w14:paraId="49E74476" w14:textId="77777777" w:rsidTr="00175FFB">
        <w:tc>
          <w:tcPr>
            <w:tcW w:w="0" w:type="auto"/>
            <w:vAlign w:val="center"/>
          </w:tcPr>
          <w:p w14:paraId="3C0284E0" w14:textId="483A48F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 – Indervelli fringe</w:t>
            </w:r>
          </w:p>
        </w:tc>
        <w:tc>
          <w:tcPr>
            <w:tcW w:w="0" w:type="auto"/>
            <w:vAlign w:val="center"/>
          </w:tcPr>
          <w:p w14:paraId="47B05F24" w14:textId="7F0F283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428</w:t>
            </w:r>
          </w:p>
        </w:tc>
        <w:tc>
          <w:tcPr>
            <w:tcW w:w="0" w:type="auto"/>
            <w:vAlign w:val="center"/>
          </w:tcPr>
          <w:p w14:paraId="543EB2C8" w14:textId="0386AE0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12.7</w:t>
            </w:r>
          </w:p>
        </w:tc>
        <w:tc>
          <w:tcPr>
            <w:tcW w:w="0" w:type="auto"/>
            <w:vAlign w:val="center"/>
          </w:tcPr>
          <w:p w14:paraId="045D802C" w14:textId="60D0347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26.4</w:t>
            </w:r>
          </w:p>
        </w:tc>
        <w:tc>
          <w:tcPr>
            <w:tcW w:w="0" w:type="auto"/>
            <w:vAlign w:val="center"/>
          </w:tcPr>
          <w:p w14:paraId="120ABF7A" w14:textId="2E7989D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40.5</w:t>
            </w:r>
          </w:p>
        </w:tc>
        <w:tc>
          <w:tcPr>
            <w:tcW w:w="0" w:type="auto"/>
            <w:vAlign w:val="center"/>
          </w:tcPr>
          <w:p w14:paraId="4160543B" w14:textId="07AA5B1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1,145</w:t>
            </w:r>
          </w:p>
        </w:tc>
      </w:tr>
    </w:tbl>
    <w:p w14:paraId="239DD8CA"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simulated values indicate a gradual reduction in winter temperature with increasing elevation. Site 5 represents the coolest location, whereas Site 1 represents the </w:t>
      </w:r>
      <w:r>
        <w:rPr>
          <w:rFonts w:ascii="Times New Roman" w:hAnsi="Times New Roman" w:cs="Times New Roman"/>
          <w:sz w:val="24"/>
          <w:szCs w:val="24"/>
          <w:highlight w:val="yellow"/>
        </w:rPr>
        <w:t>warmer</w:t>
      </w:r>
      <w:r>
        <w:rPr>
          <w:rFonts w:ascii="Times New Roman" w:hAnsi="Times New Roman" w:cs="Times New Roman"/>
          <w:sz w:val="24"/>
          <w:szCs w:val="24"/>
        </w:rPr>
        <w:t xml:space="preserve"> low-elevation environment. Annual rainfall also shows a modest increasing trend with elevation in this illustrative dataset.</w:t>
      </w:r>
    </w:p>
    <w:p w14:paraId="3A3895AC" w14:textId="5AA2E695" w:rsidR="003A15FA" w:rsidRPr="00E73CA2" w:rsidRDefault="003A15FA"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74CC9A" wp14:editId="7B18C8F6">
            <wp:extent cx="5731510" cy="2990825"/>
            <wp:effectExtent l="0" t="0" r="2540" b="635"/>
            <wp:docPr id="5845170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17045" name="Picture 584517045"/>
                    <pic:cNvPicPr/>
                  </pic:nvPicPr>
                  <pic:blipFill rotWithShape="1">
                    <a:blip r:embed="rId9" cstate="print">
                      <a:extLst>
                        <a:ext uri="{28A0092B-C50C-407E-A947-70E740481C1C}">
                          <a14:useLocalDpi xmlns:a14="http://schemas.microsoft.com/office/drawing/2010/main" val="0"/>
                        </a:ext>
                      </a:extLst>
                    </a:blip>
                    <a:srcRect t="6195"/>
                    <a:stretch>
                      <a:fillRect/>
                    </a:stretch>
                  </pic:blipFill>
                  <pic:spPr bwMode="auto">
                    <a:xfrm>
                      <a:off x="0" y="0"/>
                      <a:ext cx="5731510" cy="2990825"/>
                    </a:xfrm>
                    <a:prstGeom prst="rect">
                      <a:avLst/>
                    </a:prstGeom>
                    <a:ln>
                      <a:noFill/>
                    </a:ln>
                    <a:extLst>
                      <a:ext uri="{53640926-AAD7-44D8-BBD7-CCE9431645EC}">
                        <a14:shadowObscured xmlns:a14="http://schemas.microsoft.com/office/drawing/2010/main"/>
                      </a:ext>
                    </a:extLst>
                  </pic:spPr>
                </pic:pic>
              </a:graphicData>
            </a:graphic>
          </wp:inline>
        </w:drawing>
      </w:r>
    </w:p>
    <w:p w14:paraId="2E9D469C" w14:textId="12735E37"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3</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Elevation and Selected Temperature Conditions Across the Study Sites</w:t>
      </w:r>
    </w:p>
    <w:p w14:paraId="2D27D266" w14:textId="5CA13763" w:rsidR="003A15FA" w:rsidRPr="006A04DD" w:rsidRDefault="003A15FA" w:rsidP="006A04DD">
      <w:pPr>
        <w:rPr>
          <w:rFonts w:ascii="Times New Roman" w:hAnsi="Times New Roman" w:cs="Times New Roman"/>
          <w:sz w:val="24"/>
          <w:szCs w:val="24"/>
        </w:rPr>
      </w:pPr>
      <w:r w:rsidRPr="003A15FA">
        <w:rPr>
          <w:rFonts w:ascii="Times New Roman" w:hAnsi="Times New Roman" w:cs="Times New Roman"/>
          <w:sz w:val="24"/>
          <w:szCs w:val="24"/>
        </w:rPr>
        <w:t>Figure 3 illustrates the variation in elevation and selected temperature conditions among the five study sites. The preliminary dataset indicates a gradual decrease in winter minimum and summer maximum temperatures with increasing elevation.</w:t>
      </w:r>
    </w:p>
    <w:p w14:paraId="042A49F7" w14:textId="099184B8"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3.2 Chilling Conditions</w:t>
      </w:r>
    </w:p>
    <w:p w14:paraId="656445B8"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lastRenderedPageBreak/>
        <w:t xml:space="preserve">Estimated chilling accumulation was considered an important criterion for evaluating low-chilling apple cultivars. For the simulated assessment, chilling was represented using a temperature-based approximation for the winter period. The estimated values ranged from approximately </w:t>
      </w:r>
      <w:r w:rsidRPr="00E73CA2">
        <w:rPr>
          <w:rFonts w:ascii="Times New Roman" w:hAnsi="Times New Roman" w:cs="Times New Roman"/>
          <w:b/>
          <w:bCs/>
          <w:sz w:val="24"/>
          <w:szCs w:val="24"/>
        </w:rPr>
        <w:t>180 to 285 chilling hours</w:t>
      </w:r>
      <w:r w:rsidRPr="00E73CA2">
        <w:rPr>
          <w:rFonts w:ascii="Times New Roman" w:hAnsi="Times New Roman" w:cs="Times New Roman"/>
          <w:sz w:val="24"/>
          <w:szCs w:val="24"/>
        </w:rPr>
        <w:t xml:space="preserve"> across the five sites.</w:t>
      </w:r>
    </w:p>
    <w:p w14:paraId="52D39E80"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2. Simulated Winter Chilling Conditions</w:t>
      </w:r>
    </w:p>
    <w:tbl>
      <w:tblPr>
        <w:tblStyle w:val="TableGrid"/>
        <w:tblW w:w="0" w:type="auto"/>
        <w:jc w:val="center"/>
        <w:tblLook w:val="0000" w:firstRow="0" w:lastRow="0" w:firstColumn="0" w:lastColumn="0" w:noHBand="0" w:noVBand="0"/>
      </w:tblPr>
      <w:tblGrid>
        <w:gridCol w:w="770"/>
        <w:gridCol w:w="2843"/>
        <w:gridCol w:w="3203"/>
      </w:tblGrid>
      <w:tr w:rsidR="00514845" w:rsidRPr="00234464" w14:paraId="53B5D2D7" w14:textId="77777777" w:rsidTr="00514845">
        <w:trPr>
          <w:jc w:val="center"/>
        </w:trPr>
        <w:tc>
          <w:tcPr>
            <w:tcW w:w="0" w:type="auto"/>
            <w:vAlign w:val="center"/>
          </w:tcPr>
          <w:p w14:paraId="7744FF87" w14:textId="2A3B359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w:t>
            </w:r>
          </w:p>
        </w:tc>
        <w:tc>
          <w:tcPr>
            <w:tcW w:w="0" w:type="auto"/>
            <w:vAlign w:val="center"/>
          </w:tcPr>
          <w:p w14:paraId="2D0BD4E1" w14:textId="3C8462D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Estimated Chilling Hours</w:t>
            </w:r>
          </w:p>
        </w:tc>
        <w:tc>
          <w:tcPr>
            <w:tcW w:w="0" w:type="auto"/>
            <w:vAlign w:val="center"/>
          </w:tcPr>
          <w:p w14:paraId="39F298E0" w14:textId="3DD16CC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Relative Chilling Availability</w:t>
            </w:r>
          </w:p>
        </w:tc>
      </w:tr>
      <w:tr w:rsidR="00514845" w:rsidRPr="00234464" w14:paraId="0A07A94B" w14:textId="77777777" w:rsidTr="00514845">
        <w:trPr>
          <w:jc w:val="center"/>
        </w:trPr>
        <w:tc>
          <w:tcPr>
            <w:tcW w:w="0" w:type="auto"/>
            <w:vAlign w:val="center"/>
          </w:tcPr>
          <w:p w14:paraId="1A81953A" w14:textId="62F648AF"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w:t>
            </w:r>
          </w:p>
        </w:tc>
        <w:tc>
          <w:tcPr>
            <w:tcW w:w="0" w:type="auto"/>
            <w:vAlign w:val="center"/>
          </w:tcPr>
          <w:p w14:paraId="78468073" w14:textId="1D4F426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182</w:t>
            </w:r>
          </w:p>
        </w:tc>
        <w:tc>
          <w:tcPr>
            <w:tcW w:w="0" w:type="auto"/>
            <w:vAlign w:val="center"/>
          </w:tcPr>
          <w:p w14:paraId="43BAA653" w14:textId="04B27728"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Low</w:t>
            </w:r>
          </w:p>
        </w:tc>
      </w:tr>
      <w:tr w:rsidR="00514845" w:rsidRPr="00234464" w14:paraId="506606C6" w14:textId="77777777" w:rsidTr="00514845">
        <w:trPr>
          <w:jc w:val="center"/>
        </w:trPr>
        <w:tc>
          <w:tcPr>
            <w:tcW w:w="0" w:type="auto"/>
            <w:vAlign w:val="center"/>
          </w:tcPr>
          <w:p w14:paraId="7571C3F5" w14:textId="751EC26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w:t>
            </w:r>
          </w:p>
        </w:tc>
        <w:tc>
          <w:tcPr>
            <w:tcW w:w="0" w:type="auto"/>
            <w:vAlign w:val="center"/>
          </w:tcPr>
          <w:p w14:paraId="287794F4" w14:textId="3813E50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201</w:t>
            </w:r>
          </w:p>
        </w:tc>
        <w:tc>
          <w:tcPr>
            <w:tcW w:w="0" w:type="auto"/>
            <w:vAlign w:val="center"/>
          </w:tcPr>
          <w:p w14:paraId="0E9A0D5D" w14:textId="6E45CC4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Low–Moderate</w:t>
            </w:r>
          </w:p>
        </w:tc>
      </w:tr>
      <w:tr w:rsidR="00514845" w:rsidRPr="00234464" w14:paraId="26A19B2B" w14:textId="77777777" w:rsidTr="00514845">
        <w:trPr>
          <w:jc w:val="center"/>
        </w:trPr>
        <w:tc>
          <w:tcPr>
            <w:tcW w:w="0" w:type="auto"/>
            <w:vAlign w:val="center"/>
          </w:tcPr>
          <w:p w14:paraId="53C5B27A" w14:textId="20CA87E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3</w:t>
            </w:r>
          </w:p>
        </w:tc>
        <w:tc>
          <w:tcPr>
            <w:tcW w:w="0" w:type="auto"/>
            <w:vAlign w:val="center"/>
          </w:tcPr>
          <w:p w14:paraId="625CD60C" w14:textId="14CB929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224</w:t>
            </w:r>
          </w:p>
        </w:tc>
        <w:tc>
          <w:tcPr>
            <w:tcW w:w="0" w:type="auto"/>
            <w:vAlign w:val="center"/>
          </w:tcPr>
          <w:p w14:paraId="1E8C817F" w14:textId="60C45CA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r>
      <w:tr w:rsidR="00514845" w:rsidRPr="00234464" w14:paraId="7E402B9C" w14:textId="77777777" w:rsidTr="00514845">
        <w:trPr>
          <w:jc w:val="center"/>
        </w:trPr>
        <w:tc>
          <w:tcPr>
            <w:tcW w:w="0" w:type="auto"/>
            <w:vAlign w:val="center"/>
          </w:tcPr>
          <w:p w14:paraId="7A09BE27" w14:textId="7ED60D3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4</w:t>
            </w:r>
          </w:p>
        </w:tc>
        <w:tc>
          <w:tcPr>
            <w:tcW w:w="0" w:type="auto"/>
            <w:vAlign w:val="center"/>
          </w:tcPr>
          <w:p w14:paraId="62D0DAC6" w14:textId="74C5AF1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253</w:t>
            </w:r>
          </w:p>
        </w:tc>
        <w:tc>
          <w:tcPr>
            <w:tcW w:w="0" w:type="auto"/>
            <w:vAlign w:val="center"/>
          </w:tcPr>
          <w:p w14:paraId="0165BA78" w14:textId="5EDB543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Moderate–High</w:t>
            </w:r>
          </w:p>
        </w:tc>
      </w:tr>
      <w:tr w:rsidR="00514845" w:rsidRPr="00234464" w14:paraId="75A3847A" w14:textId="77777777" w:rsidTr="00514845">
        <w:trPr>
          <w:jc w:val="center"/>
        </w:trPr>
        <w:tc>
          <w:tcPr>
            <w:tcW w:w="0" w:type="auto"/>
            <w:vAlign w:val="center"/>
          </w:tcPr>
          <w:p w14:paraId="16766187" w14:textId="1D1E2C6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w:t>
            </w:r>
          </w:p>
        </w:tc>
        <w:tc>
          <w:tcPr>
            <w:tcW w:w="0" w:type="auto"/>
            <w:vAlign w:val="center"/>
          </w:tcPr>
          <w:p w14:paraId="5688284C" w14:textId="299AAE2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281</w:t>
            </w:r>
          </w:p>
        </w:tc>
        <w:tc>
          <w:tcPr>
            <w:tcW w:w="0" w:type="auto"/>
            <w:vAlign w:val="center"/>
          </w:tcPr>
          <w:p w14:paraId="407EC48D" w14:textId="2E18119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bl>
    <w:p w14:paraId="3F8817D1" w14:textId="0DF269B6"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results indicate that higher-elevation locations may provide comparatively greater winter chilling. </w:t>
      </w:r>
      <w:r w:rsidRPr="00E73CA2">
        <w:rPr>
          <w:rFonts w:ascii="Times New Roman" w:hAnsi="Times New Roman" w:cs="Times New Roman"/>
          <w:b/>
          <w:bCs/>
          <w:sz w:val="24"/>
          <w:szCs w:val="24"/>
        </w:rPr>
        <w:t>Site 5</w:t>
      </w:r>
      <w:r w:rsidRPr="00E73CA2">
        <w:rPr>
          <w:rFonts w:ascii="Times New Roman" w:hAnsi="Times New Roman" w:cs="Times New Roman"/>
          <w:sz w:val="24"/>
          <w:szCs w:val="24"/>
        </w:rPr>
        <w:t xml:space="preserve"> showed the highest estimated chilling accumulation, followed by Sites 4 and 3. These locations may therefore warrant greater attention in subsequent field trials of low-chilling cultivars. However, chilling-hour estimates should be recalculated from actual hourly temperature records before making a scientific claim.</w:t>
      </w:r>
    </w:p>
    <w:p w14:paraId="0857052C" w14:textId="37A0955D" w:rsidR="006A04DD" w:rsidRDefault="006A04DD"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8EEF46" wp14:editId="57C354F3">
            <wp:extent cx="5730619" cy="3386938"/>
            <wp:effectExtent l="0" t="0" r="3810" b="4445"/>
            <wp:docPr id="1915244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44112" name="Picture 1915244112"/>
                    <pic:cNvPicPr/>
                  </pic:nvPicPr>
                  <pic:blipFill rotWithShape="1">
                    <a:blip r:embed="rId10" cstate="print">
                      <a:extLst>
                        <a:ext uri="{28A0092B-C50C-407E-A947-70E740481C1C}">
                          <a14:useLocalDpi xmlns:a14="http://schemas.microsoft.com/office/drawing/2010/main" val="0"/>
                        </a:ext>
                      </a:extLst>
                    </a:blip>
                    <a:srcRect t="5935" b="5405"/>
                    <a:stretch>
                      <a:fillRect/>
                    </a:stretch>
                  </pic:blipFill>
                  <pic:spPr bwMode="auto">
                    <a:xfrm>
                      <a:off x="0" y="0"/>
                      <a:ext cx="5731510" cy="3387465"/>
                    </a:xfrm>
                    <a:prstGeom prst="rect">
                      <a:avLst/>
                    </a:prstGeom>
                    <a:ln>
                      <a:noFill/>
                    </a:ln>
                    <a:extLst>
                      <a:ext uri="{53640926-AAD7-44D8-BBD7-CCE9431645EC}">
                        <a14:shadowObscured xmlns:a14="http://schemas.microsoft.com/office/drawing/2010/main"/>
                      </a:ext>
                    </a:extLst>
                  </pic:spPr>
                </pic:pic>
              </a:graphicData>
            </a:graphic>
          </wp:inline>
        </w:drawing>
      </w:r>
    </w:p>
    <w:p w14:paraId="551E42D7" w14:textId="0CD86155"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Selected Soil Characteristics Across the Study Sites</w:t>
      </w:r>
    </w:p>
    <w:p w14:paraId="6C7CAC34" w14:textId="6DFAD36B" w:rsidR="006A04DD" w:rsidRPr="00E73CA2" w:rsidRDefault="006A04DD" w:rsidP="006A04DD">
      <w:pPr>
        <w:rPr>
          <w:rFonts w:ascii="Times New Roman" w:hAnsi="Times New Roman" w:cs="Times New Roman"/>
          <w:sz w:val="24"/>
          <w:szCs w:val="24"/>
        </w:rPr>
      </w:pPr>
      <w:r w:rsidRPr="006A04DD">
        <w:rPr>
          <w:rFonts w:ascii="Times New Roman" w:hAnsi="Times New Roman" w:cs="Times New Roman"/>
          <w:sz w:val="24"/>
          <w:szCs w:val="24"/>
        </w:rPr>
      </w:r>
      <w:r>
        <w:rPr>
          <w:rFonts w:ascii="Times New Roman" w:hAnsi="Times New Roman" w:cs="Times New Roman"/>
          <w:sz w:val="24"/>
          <w:szCs w:val="24"/>
          <w:highlight w:val="yellow"/>
        </w:rPr>
        <w:t>Figure 4 summarises</w:t>
      </w:r>
      <w:r>
        <w:rPr>
          <w:rFonts w:ascii="Times New Roman" w:hAnsi="Times New Roman" w:cs="Times New Roman"/>
          <w:sz w:val="24"/>
          <w:szCs w:val="24"/>
        </w:rPr>
      </w:r>
      <w:r w:rsidRPr="006A04DD">
        <w:rPr>
          <w:rFonts w:ascii="Times New Roman" w:hAnsi="Times New Roman" w:cs="Times New Roman"/>
          <w:sz w:val="24"/>
          <w:szCs w:val="24"/>
        </w:rPr>
        <w:t xml:space="preserve"> variation in soil pH, electrical conductivity, organic carbon, and available nutrients across the selected study sites.</w:t>
      </w:r>
    </w:p>
    <w:p w14:paraId="63068EEE"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3.3 Soil Characteristics</w:t>
      </w:r>
    </w:p>
    <w:p w14:paraId="0DA630C8"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simulated soil analysis indicates variation in </w:t>
      </w:r>
      <w:r>
        <w:rPr>
          <w:rFonts w:ascii="Times New Roman" w:hAnsi="Times New Roman" w:cs="Times New Roman"/>
          <w:sz w:val="24"/>
          <w:szCs w:val="24"/>
          <w:highlight w:val="yellow"/>
        </w:rPr>
        <w:t>pH, nutrient status, and texture</w:t>
      </w:r>
      <w:r>
        <w:rPr>
          <w:rFonts w:ascii="Times New Roman" w:hAnsi="Times New Roman" w:cs="Times New Roman"/>
          <w:sz w:val="24"/>
          <w:szCs w:val="24"/>
        </w:rPr>
        <w:t xml:space="preserve"> among the study locations. The values were designed to represent commonly encountered agricultural soil conditions rather than to claim laboratory measurements.</w:t>
      </w:r>
    </w:p>
    <w:p w14:paraId="3BAA26D9"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3. Physicochemical Characteristics of Soil</w:t>
      </w:r>
    </w:p>
    <w:tbl>
      <w:tblPr>
        <w:tblStyle w:val="TableGrid"/>
        <w:tblW w:w="0" w:type="auto"/>
        <w:tblInd w:w="62" w:type="dxa"/>
        <w:tblLook w:val="0000" w:firstRow="0" w:lastRow="0" w:firstColumn="0" w:lastColumn="0" w:noHBand="0" w:noVBand="0"/>
      </w:tblPr>
      <w:tblGrid>
        <w:gridCol w:w="706"/>
        <w:gridCol w:w="537"/>
        <w:gridCol w:w="1129"/>
        <w:gridCol w:w="1853"/>
        <w:gridCol w:w="1076"/>
        <w:gridCol w:w="1060"/>
        <w:gridCol w:w="1084"/>
        <w:gridCol w:w="1509"/>
      </w:tblGrid>
      <w:tr w:rsidR="00514845" w:rsidRPr="00234464" w14:paraId="23A63CFC" w14:textId="77777777" w:rsidTr="002557A6">
        <w:tc>
          <w:tcPr>
            <w:tcW w:w="0" w:type="auto"/>
            <w:vAlign w:val="center"/>
          </w:tcPr>
          <w:p w14:paraId="2E0A2E3F" w14:textId="3F390EC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lastRenderedPageBreak/>
              <w:t>Site</w:t>
            </w:r>
          </w:p>
        </w:tc>
        <w:tc>
          <w:tcPr>
            <w:tcW w:w="0" w:type="auto"/>
            <w:vAlign w:val="center"/>
          </w:tcPr>
          <w:p w14:paraId="579CEF57" w14:textId="0AF7C68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pH</w:t>
            </w:r>
          </w:p>
        </w:tc>
        <w:tc>
          <w:tcPr>
            <w:tcW w:w="0" w:type="auto"/>
            <w:vAlign w:val="center"/>
          </w:tcPr>
          <w:p w14:paraId="3A96CF3F" w14:textId="5E87D64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EC (</w:t>
            </w:r>
            <w:proofErr w:type="spellStart"/>
            <w:r w:rsidRPr="00E73CA2">
              <w:rPr>
                <w:rFonts w:ascii="Times New Roman" w:hAnsi="Times New Roman" w:cs="Times New Roman"/>
                <w:b/>
                <w:bCs/>
                <w:sz w:val="24"/>
                <w:szCs w:val="24"/>
              </w:rPr>
              <w:t>dS</w:t>
            </w:r>
            <w:proofErr w:type="spellEnd"/>
            <w:r w:rsidRPr="00E73CA2">
              <w:rPr>
                <w:rFonts w:ascii="Times New Roman" w:hAnsi="Times New Roman" w:cs="Times New Roman"/>
                <w:b/>
                <w:bCs/>
                <w:sz w:val="24"/>
                <w:szCs w:val="24"/>
              </w:rPr>
              <w:t xml:space="preserve"> m⁻¹)</w:t>
            </w:r>
          </w:p>
        </w:tc>
        <w:tc>
          <w:tcPr>
            <w:tcW w:w="0" w:type="auto"/>
            <w:vAlign w:val="center"/>
          </w:tcPr>
          <w:p w14:paraId="46997A47" w14:textId="1C3516B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Organic Carbon (%)</w:t>
            </w:r>
          </w:p>
        </w:tc>
        <w:tc>
          <w:tcPr>
            <w:tcW w:w="0" w:type="auto"/>
            <w:vAlign w:val="center"/>
          </w:tcPr>
          <w:p w14:paraId="08F4E032" w14:textId="3BB58D6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N (kg ha⁻¹)</w:t>
            </w:r>
          </w:p>
        </w:tc>
        <w:tc>
          <w:tcPr>
            <w:tcW w:w="0" w:type="auto"/>
            <w:vAlign w:val="center"/>
          </w:tcPr>
          <w:p w14:paraId="35498EF2" w14:textId="3EFD715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P (kg ha⁻¹)</w:t>
            </w:r>
          </w:p>
        </w:tc>
        <w:tc>
          <w:tcPr>
            <w:tcW w:w="0" w:type="auto"/>
            <w:vAlign w:val="center"/>
          </w:tcPr>
          <w:p w14:paraId="61FD96E7" w14:textId="1BF306A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K (kg ha⁻¹)</w:t>
            </w:r>
          </w:p>
        </w:tc>
        <w:tc>
          <w:tcPr>
            <w:tcW w:w="0" w:type="auto"/>
            <w:vAlign w:val="center"/>
          </w:tcPr>
          <w:p w14:paraId="58931693" w14:textId="555316E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Texture</w:t>
            </w:r>
          </w:p>
        </w:tc>
      </w:tr>
      <w:tr w:rsidR="00514845" w:rsidRPr="00234464" w14:paraId="7C3AFAA3" w14:textId="77777777" w:rsidTr="002557A6">
        <w:tc>
          <w:tcPr>
            <w:tcW w:w="0" w:type="auto"/>
            <w:vAlign w:val="center"/>
          </w:tcPr>
          <w:p w14:paraId="1D798B88" w14:textId="7DAE4A94"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w:t>
            </w:r>
          </w:p>
        </w:tc>
        <w:tc>
          <w:tcPr>
            <w:tcW w:w="0" w:type="auto"/>
            <w:vAlign w:val="center"/>
          </w:tcPr>
          <w:p w14:paraId="5AEAA590" w14:textId="22700A47"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7.2</w:t>
            </w:r>
          </w:p>
        </w:tc>
        <w:tc>
          <w:tcPr>
            <w:tcW w:w="0" w:type="auto"/>
            <w:vAlign w:val="center"/>
          </w:tcPr>
          <w:p w14:paraId="76DE7840" w14:textId="3F46F8A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0.31</w:t>
            </w:r>
          </w:p>
        </w:tc>
        <w:tc>
          <w:tcPr>
            <w:tcW w:w="0" w:type="auto"/>
            <w:vAlign w:val="center"/>
          </w:tcPr>
          <w:p w14:paraId="4FB82184" w14:textId="20BE9EC6"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0.62</w:t>
            </w:r>
          </w:p>
        </w:tc>
        <w:tc>
          <w:tcPr>
            <w:tcW w:w="0" w:type="auto"/>
            <w:vAlign w:val="center"/>
          </w:tcPr>
          <w:p w14:paraId="65EA9EF1" w14:textId="4BDDE5ED"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278</w:t>
            </w:r>
          </w:p>
        </w:tc>
        <w:tc>
          <w:tcPr>
            <w:tcW w:w="0" w:type="auto"/>
            <w:vAlign w:val="center"/>
          </w:tcPr>
          <w:p w14:paraId="74E06328" w14:textId="1ACA8054"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18.4</w:t>
            </w:r>
          </w:p>
        </w:tc>
        <w:tc>
          <w:tcPr>
            <w:tcW w:w="0" w:type="auto"/>
            <w:vAlign w:val="center"/>
          </w:tcPr>
          <w:p w14:paraId="5F48ED0A" w14:textId="65A9D813"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342</w:t>
            </w:r>
          </w:p>
        </w:tc>
        <w:tc>
          <w:tcPr>
            <w:tcW w:w="0" w:type="auto"/>
            <w:vAlign w:val="center"/>
          </w:tcPr>
          <w:p w14:paraId="0BBA8E0D" w14:textId="3FD34EA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Clay loam</w:t>
            </w:r>
          </w:p>
        </w:tc>
      </w:tr>
      <w:tr w:rsidR="00514845" w:rsidRPr="00234464" w14:paraId="6C8FE470" w14:textId="77777777" w:rsidTr="002557A6">
        <w:tc>
          <w:tcPr>
            <w:tcW w:w="0" w:type="auto"/>
            <w:vAlign w:val="center"/>
          </w:tcPr>
          <w:p w14:paraId="07BB7674" w14:textId="673B9D5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w:t>
            </w:r>
          </w:p>
        </w:tc>
        <w:tc>
          <w:tcPr>
            <w:tcW w:w="0" w:type="auto"/>
            <w:vAlign w:val="center"/>
          </w:tcPr>
          <w:p w14:paraId="3DBBF591" w14:textId="750FE7C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7.0</w:t>
            </w:r>
          </w:p>
        </w:tc>
        <w:tc>
          <w:tcPr>
            <w:tcW w:w="0" w:type="auto"/>
            <w:vAlign w:val="center"/>
          </w:tcPr>
          <w:p w14:paraId="6EC882B5" w14:textId="7E3C6B1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0.28</w:t>
            </w:r>
          </w:p>
        </w:tc>
        <w:tc>
          <w:tcPr>
            <w:tcW w:w="0" w:type="auto"/>
            <w:vAlign w:val="center"/>
          </w:tcPr>
          <w:p w14:paraId="1D4B3B17" w14:textId="6EE5B72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0.68</w:t>
            </w:r>
          </w:p>
        </w:tc>
        <w:tc>
          <w:tcPr>
            <w:tcW w:w="0" w:type="auto"/>
            <w:vAlign w:val="center"/>
          </w:tcPr>
          <w:p w14:paraId="6A269308" w14:textId="7DB07D5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291</w:t>
            </w:r>
          </w:p>
        </w:tc>
        <w:tc>
          <w:tcPr>
            <w:tcW w:w="0" w:type="auto"/>
            <w:vAlign w:val="center"/>
          </w:tcPr>
          <w:p w14:paraId="64E38427" w14:textId="76C4ECD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21.2</w:t>
            </w:r>
          </w:p>
        </w:tc>
        <w:tc>
          <w:tcPr>
            <w:tcW w:w="0" w:type="auto"/>
            <w:vAlign w:val="center"/>
          </w:tcPr>
          <w:p w14:paraId="0751BBBD" w14:textId="7BBEA82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356</w:t>
            </w:r>
          </w:p>
        </w:tc>
        <w:tc>
          <w:tcPr>
            <w:tcW w:w="0" w:type="auto"/>
            <w:vAlign w:val="center"/>
          </w:tcPr>
          <w:p w14:paraId="659C06E4" w14:textId="5C46CFD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Loam</w:t>
            </w:r>
          </w:p>
        </w:tc>
      </w:tr>
      <w:tr w:rsidR="00514845" w:rsidRPr="00234464" w14:paraId="1A0BF8D2" w14:textId="77777777" w:rsidTr="002557A6">
        <w:tc>
          <w:tcPr>
            <w:tcW w:w="0" w:type="auto"/>
            <w:vAlign w:val="center"/>
          </w:tcPr>
          <w:p w14:paraId="3A393225" w14:textId="585553A2"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3</w:t>
            </w:r>
          </w:p>
        </w:tc>
        <w:tc>
          <w:tcPr>
            <w:tcW w:w="0" w:type="auto"/>
            <w:vAlign w:val="center"/>
          </w:tcPr>
          <w:p w14:paraId="3F4595E0" w14:textId="5C764B7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6.8</w:t>
            </w:r>
          </w:p>
        </w:tc>
        <w:tc>
          <w:tcPr>
            <w:tcW w:w="0" w:type="auto"/>
            <w:vAlign w:val="center"/>
          </w:tcPr>
          <w:p w14:paraId="6B938372" w14:textId="413B046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0.24</w:t>
            </w:r>
          </w:p>
        </w:tc>
        <w:tc>
          <w:tcPr>
            <w:tcW w:w="0" w:type="auto"/>
            <w:vAlign w:val="center"/>
          </w:tcPr>
          <w:p w14:paraId="15269AC9" w14:textId="1025B9C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0.74</w:t>
            </w:r>
          </w:p>
        </w:tc>
        <w:tc>
          <w:tcPr>
            <w:tcW w:w="0" w:type="auto"/>
            <w:vAlign w:val="center"/>
          </w:tcPr>
          <w:p w14:paraId="050CD9EE" w14:textId="12546AD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306</w:t>
            </w:r>
          </w:p>
        </w:tc>
        <w:tc>
          <w:tcPr>
            <w:tcW w:w="0" w:type="auto"/>
            <w:vAlign w:val="center"/>
          </w:tcPr>
          <w:p w14:paraId="591128D2" w14:textId="4B92D33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24.6</w:t>
            </w:r>
          </w:p>
        </w:tc>
        <w:tc>
          <w:tcPr>
            <w:tcW w:w="0" w:type="auto"/>
            <w:vAlign w:val="center"/>
          </w:tcPr>
          <w:p w14:paraId="0257E453" w14:textId="5ABE493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329</w:t>
            </w:r>
          </w:p>
        </w:tc>
        <w:tc>
          <w:tcPr>
            <w:tcW w:w="0" w:type="auto"/>
            <w:vAlign w:val="center"/>
          </w:tcPr>
          <w:p w14:paraId="00DEE413" w14:textId="510B811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Sandy loam</w:t>
            </w:r>
          </w:p>
        </w:tc>
      </w:tr>
      <w:tr w:rsidR="00514845" w:rsidRPr="00234464" w14:paraId="44B46239" w14:textId="77777777" w:rsidTr="002557A6">
        <w:tc>
          <w:tcPr>
            <w:tcW w:w="0" w:type="auto"/>
            <w:vAlign w:val="center"/>
          </w:tcPr>
          <w:p w14:paraId="0F4822A2" w14:textId="5728FB6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4</w:t>
            </w:r>
          </w:p>
        </w:tc>
        <w:tc>
          <w:tcPr>
            <w:tcW w:w="0" w:type="auto"/>
            <w:vAlign w:val="center"/>
          </w:tcPr>
          <w:p w14:paraId="5D654C89" w14:textId="5A4157F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6.6</w:t>
            </w:r>
          </w:p>
        </w:tc>
        <w:tc>
          <w:tcPr>
            <w:tcW w:w="0" w:type="auto"/>
            <w:vAlign w:val="center"/>
          </w:tcPr>
          <w:p w14:paraId="1235F9A4" w14:textId="17D8656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0.21</w:t>
            </w:r>
          </w:p>
        </w:tc>
        <w:tc>
          <w:tcPr>
            <w:tcW w:w="0" w:type="auto"/>
            <w:vAlign w:val="center"/>
          </w:tcPr>
          <w:p w14:paraId="3BB6C233" w14:textId="63B66BD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0.81</w:t>
            </w:r>
          </w:p>
        </w:tc>
        <w:tc>
          <w:tcPr>
            <w:tcW w:w="0" w:type="auto"/>
            <w:vAlign w:val="center"/>
          </w:tcPr>
          <w:p w14:paraId="6D44EC27" w14:textId="68531D7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321</w:t>
            </w:r>
          </w:p>
        </w:tc>
        <w:tc>
          <w:tcPr>
            <w:tcW w:w="0" w:type="auto"/>
            <w:vAlign w:val="center"/>
          </w:tcPr>
          <w:p w14:paraId="082474E7" w14:textId="579F728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27.1</w:t>
            </w:r>
          </w:p>
        </w:tc>
        <w:tc>
          <w:tcPr>
            <w:tcW w:w="0" w:type="auto"/>
            <w:vAlign w:val="center"/>
          </w:tcPr>
          <w:p w14:paraId="79A58892" w14:textId="1AFA1D6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318</w:t>
            </w:r>
          </w:p>
        </w:tc>
        <w:tc>
          <w:tcPr>
            <w:tcW w:w="0" w:type="auto"/>
            <w:vAlign w:val="center"/>
          </w:tcPr>
          <w:p w14:paraId="5E755441" w14:textId="0847E42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Loam</w:t>
            </w:r>
          </w:p>
        </w:tc>
      </w:tr>
      <w:tr w:rsidR="00514845" w:rsidRPr="00234464" w14:paraId="55F87EB7" w14:textId="77777777" w:rsidTr="002557A6">
        <w:tc>
          <w:tcPr>
            <w:tcW w:w="0" w:type="auto"/>
            <w:vAlign w:val="center"/>
          </w:tcPr>
          <w:p w14:paraId="2E8FF35B" w14:textId="392216B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w:t>
            </w:r>
          </w:p>
        </w:tc>
        <w:tc>
          <w:tcPr>
            <w:tcW w:w="0" w:type="auto"/>
            <w:vAlign w:val="center"/>
          </w:tcPr>
          <w:p w14:paraId="6377BB81" w14:textId="6BCF057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6.4</w:t>
            </w:r>
          </w:p>
        </w:tc>
        <w:tc>
          <w:tcPr>
            <w:tcW w:w="0" w:type="auto"/>
            <w:vAlign w:val="center"/>
          </w:tcPr>
          <w:p w14:paraId="03612EB7" w14:textId="0012421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0.19</w:t>
            </w:r>
          </w:p>
        </w:tc>
        <w:tc>
          <w:tcPr>
            <w:tcW w:w="0" w:type="auto"/>
            <w:vAlign w:val="center"/>
          </w:tcPr>
          <w:p w14:paraId="4249D6B5" w14:textId="577D156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0.88</w:t>
            </w:r>
          </w:p>
        </w:tc>
        <w:tc>
          <w:tcPr>
            <w:tcW w:w="0" w:type="auto"/>
            <w:vAlign w:val="center"/>
          </w:tcPr>
          <w:p w14:paraId="25BEA862" w14:textId="74AA4BE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337</w:t>
            </w:r>
          </w:p>
        </w:tc>
        <w:tc>
          <w:tcPr>
            <w:tcW w:w="0" w:type="auto"/>
            <w:vAlign w:val="center"/>
          </w:tcPr>
          <w:p w14:paraId="1E4E8E25" w14:textId="442FF68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29.3</w:t>
            </w:r>
          </w:p>
        </w:tc>
        <w:tc>
          <w:tcPr>
            <w:tcW w:w="0" w:type="auto"/>
            <w:vAlign w:val="center"/>
          </w:tcPr>
          <w:p w14:paraId="46AFF36A" w14:textId="7F125A42"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304</w:t>
            </w:r>
          </w:p>
        </w:tc>
        <w:tc>
          <w:tcPr>
            <w:tcW w:w="0" w:type="auto"/>
            <w:vAlign w:val="center"/>
          </w:tcPr>
          <w:p w14:paraId="6719F868" w14:textId="7E1D8A6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Sandy clay loam</w:t>
            </w:r>
          </w:p>
        </w:tc>
      </w:tr>
    </w:tbl>
    <w:p w14:paraId="74D4E272"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simulated results show that Sites 4 and 5 have relatively lower pH and higher organic-carbon content compared with the lower-elevation locations. Sites 2 and 4 exhibit loamy soil characteristics that may be favourable for preliminary apple establishment, subject to confirmation through actual soil analysis.</w:t>
      </w:r>
    </w:p>
    <w:p w14:paraId="6C30402F"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3.4 Water Availability</w:t>
      </w:r>
    </w:p>
    <w:p w14:paraId="121B34BA"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preliminary simulated assessment indicates that water availability differs among the selected locations. Sites 1 and 2 are assumed to have relatively reliable groundwater access, while Sites 3–5 have moderate seasonal water availability.</w:t>
      </w:r>
    </w:p>
    <w:p w14:paraId="38C27B8B"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4. Simulated Water-Availability Assessment</w:t>
      </w:r>
    </w:p>
    <w:tbl>
      <w:tblPr>
        <w:tblStyle w:val="TableGrid"/>
        <w:tblW w:w="0" w:type="auto"/>
        <w:tblInd w:w="62" w:type="dxa"/>
        <w:tblLook w:val="0000" w:firstRow="0" w:lastRow="0" w:firstColumn="0" w:lastColumn="0" w:noHBand="0" w:noVBand="0"/>
      </w:tblPr>
      <w:tblGrid>
        <w:gridCol w:w="770"/>
        <w:gridCol w:w="2562"/>
        <w:gridCol w:w="2370"/>
        <w:gridCol w:w="2750"/>
      </w:tblGrid>
      <w:tr w:rsidR="00514845" w:rsidRPr="00234464" w14:paraId="09C57EF7" w14:textId="77777777" w:rsidTr="00962C27">
        <w:tc>
          <w:tcPr>
            <w:tcW w:w="0" w:type="auto"/>
            <w:vAlign w:val="center"/>
          </w:tcPr>
          <w:p w14:paraId="476380FA" w14:textId="038F235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w:t>
            </w:r>
          </w:p>
        </w:tc>
        <w:tc>
          <w:tcPr>
            <w:tcW w:w="0" w:type="auto"/>
            <w:vAlign w:val="center"/>
          </w:tcPr>
          <w:p w14:paraId="4F57E437" w14:textId="254BBDF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Primary Water Source</w:t>
            </w:r>
          </w:p>
        </w:tc>
        <w:tc>
          <w:tcPr>
            <w:tcW w:w="0" w:type="auto"/>
            <w:vAlign w:val="center"/>
          </w:tcPr>
          <w:p w14:paraId="79DAF34F" w14:textId="65C35BC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Seasonal Availability</w:t>
            </w:r>
          </w:p>
        </w:tc>
        <w:tc>
          <w:tcPr>
            <w:tcW w:w="0" w:type="auto"/>
            <w:vAlign w:val="center"/>
          </w:tcPr>
          <w:p w14:paraId="5FB51C07" w14:textId="12A50A8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Drip Irrigation Potential</w:t>
            </w:r>
          </w:p>
        </w:tc>
      </w:tr>
      <w:tr w:rsidR="00514845" w:rsidRPr="00234464" w14:paraId="4E8CF992" w14:textId="77777777" w:rsidTr="00962C27">
        <w:tc>
          <w:tcPr>
            <w:tcW w:w="0" w:type="auto"/>
            <w:vAlign w:val="center"/>
          </w:tcPr>
          <w:p w14:paraId="488A924A" w14:textId="114F2517"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w:t>
            </w:r>
          </w:p>
        </w:tc>
        <w:tc>
          <w:tcPr>
            <w:tcW w:w="0" w:type="auto"/>
            <w:vAlign w:val="center"/>
          </w:tcPr>
          <w:p w14:paraId="071B07B0" w14:textId="244EAF0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Borewell</w:t>
            </w:r>
          </w:p>
        </w:tc>
        <w:tc>
          <w:tcPr>
            <w:tcW w:w="0" w:type="auto"/>
            <w:vAlign w:val="center"/>
          </w:tcPr>
          <w:p w14:paraId="3302A682" w14:textId="799DB146"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w:t>
            </w:r>
          </w:p>
        </w:tc>
        <w:tc>
          <w:tcPr>
            <w:tcW w:w="0" w:type="auto"/>
            <w:vAlign w:val="center"/>
          </w:tcPr>
          <w:p w14:paraId="07BA8C37" w14:textId="31A6D5CC"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w:t>
            </w:r>
          </w:p>
        </w:tc>
      </w:tr>
      <w:tr w:rsidR="00514845" w:rsidRPr="00234464" w14:paraId="7037E45D" w14:textId="77777777" w:rsidTr="00962C27">
        <w:tc>
          <w:tcPr>
            <w:tcW w:w="0" w:type="auto"/>
            <w:vAlign w:val="center"/>
          </w:tcPr>
          <w:p w14:paraId="7944B2F8" w14:textId="2B40BBE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w:t>
            </w:r>
          </w:p>
        </w:tc>
        <w:tc>
          <w:tcPr>
            <w:tcW w:w="0" w:type="auto"/>
            <w:vAlign w:val="center"/>
          </w:tcPr>
          <w:p w14:paraId="5B92C070" w14:textId="6D75209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Borewell/Open well</w:t>
            </w:r>
          </w:p>
        </w:tc>
        <w:tc>
          <w:tcPr>
            <w:tcW w:w="0" w:type="auto"/>
            <w:vAlign w:val="center"/>
          </w:tcPr>
          <w:p w14:paraId="27ED7BB4" w14:textId="41716B3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c>
          <w:tcPr>
            <w:tcW w:w="0" w:type="auto"/>
            <w:vAlign w:val="center"/>
          </w:tcPr>
          <w:p w14:paraId="5CAF7B43" w14:textId="372A4BA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r w:rsidR="00514845" w:rsidRPr="00234464" w14:paraId="5675AB10" w14:textId="77777777" w:rsidTr="00962C27">
        <w:tc>
          <w:tcPr>
            <w:tcW w:w="0" w:type="auto"/>
            <w:vAlign w:val="center"/>
          </w:tcPr>
          <w:p w14:paraId="70D3B22C" w14:textId="7B3058A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3</w:t>
            </w:r>
          </w:p>
        </w:tc>
        <w:tc>
          <w:tcPr>
            <w:tcW w:w="0" w:type="auto"/>
            <w:vAlign w:val="center"/>
          </w:tcPr>
          <w:p w14:paraId="046745A3" w14:textId="08C608B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Open well</w:t>
            </w:r>
          </w:p>
        </w:tc>
        <w:tc>
          <w:tcPr>
            <w:tcW w:w="0" w:type="auto"/>
            <w:vAlign w:val="center"/>
          </w:tcPr>
          <w:p w14:paraId="08E7373D" w14:textId="304811E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c>
          <w:tcPr>
            <w:tcW w:w="0" w:type="auto"/>
            <w:vAlign w:val="center"/>
          </w:tcPr>
          <w:p w14:paraId="293EDB67" w14:textId="57E33C6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r w:rsidR="00514845" w:rsidRPr="00234464" w14:paraId="67930E61" w14:textId="77777777" w:rsidTr="00962C27">
        <w:tc>
          <w:tcPr>
            <w:tcW w:w="0" w:type="auto"/>
            <w:vAlign w:val="center"/>
          </w:tcPr>
          <w:p w14:paraId="2BCC2809" w14:textId="0F9B88B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4</w:t>
            </w:r>
          </w:p>
        </w:tc>
        <w:tc>
          <w:tcPr>
            <w:tcW w:w="0" w:type="auto"/>
            <w:vAlign w:val="center"/>
          </w:tcPr>
          <w:p w14:paraId="52289D70" w14:textId="5CD98AE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Borewell</w:t>
            </w:r>
          </w:p>
        </w:tc>
        <w:tc>
          <w:tcPr>
            <w:tcW w:w="0" w:type="auto"/>
            <w:vAlign w:val="center"/>
          </w:tcPr>
          <w:p w14:paraId="7B2CA60E" w14:textId="20B2D4B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c>
          <w:tcPr>
            <w:tcW w:w="0" w:type="auto"/>
            <w:vAlign w:val="center"/>
          </w:tcPr>
          <w:p w14:paraId="7AEB5527" w14:textId="0797B35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r w:rsidR="00514845" w:rsidRPr="00234464" w14:paraId="62C8B7DB" w14:textId="77777777" w:rsidTr="00962C27">
        <w:tc>
          <w:tcPr>
            <w:tcW w:w="0" w:type="auto"/>
            <w:vAlign w:val="center"/>
          </w:tcPr>
          <w:p w14:paraId="36C71696" w14:textId="4942462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w:t>
            </w:r>
          </w:p>
        </w:tc>
        <w:tc>
          <w:tcPr>
            <w:tcW w:w="0" w:type="auto"/>
            <w:vAlign w:val="center"/>
          </w:tcPr>
          <w:p w14:paraId="0EBA3ABB" w14:textId="0E8AB1E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Seasonal well</w:t>
            </w:r>
          </w:p>
        </w:tc>
        <w:tc>
          <w:tcPr>
            <w:tcW w:w="0" w:type="auto"/>
            <w:vAlign w:val="center"/>
          </w:tcPr>
          <w:p w14:paraId="196BE14B" w14:textId="79D7629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Moderate–Low</w:t>
            </w:r>
          </w:p>
        </w:tc>
        <w:tc>
          <w:tcPr>
            <w:tcW w:w="0" w:type="auto"/>
            <w:vAlign w:val="center"/>
          </w:tcPr>
          <w:p w14:paraId="5AAEA70D" w14:textId="56EE819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r>
    </w:tbl>
    <w:p w14:paraId="30E995D1" w14:textId="080EEBC6"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Adilabad's agricultural department reports the use of soil testing and micro-irrigation-related agricultural </w:t>
      </w:r>
      <w:r>
        <w:rPr>
          <w:rFonts w:ascii="Times New Roman" w:hAnsi="Times New Roman" w:cs="Times New Roman"/>
          <w:sz w:val="24"/>
          <w:szCs w:val="24"/>
          <w:highlight w:val="yellow"/>
        </w:rPr>
        <w:t>programmes</w:t>
      </w:r>
      <w:r>
        <w:rPr>
          <w:rFonts w:ascii="Times New Roman" w:hAnsi="Times New Roman" w:cs="Times New Roman"/>
          <w:sz w:val="24"/>
          <w:szCs w:val="24"/>
        </w:rPr>
        <w:t xml:space="preserve">, supporting the relevance of irrigation assessment in crop-suitability studies. </w:t>
      </w:r>
    </w:p>
    <w:p w14:paraId="0DED8DA8"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3.5 Environmental Suitability Score</w:t>
      </w:r>
    </w:p>
    <w:p w14:paraId="6D600B6B"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Using the proposed weighting system—temperature (25%), chilling (25%), soil (20%), water (15%), and topography/other environmental factors (15%)—a preliminary illustrative suitability score was calculated.</w:t>
      </w:r>
    </w:p>
    <w:p w14:paraId="18A2FA37"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5. Preliminary Apple Cultivation Suitability</w:t>
      </w:r>
    </w:p>
    <w:tbl>
      <w:tblPr>
        <w:tblStyle w:val="TableGrid"/>
        <w:tblW w:w="0" w:type="auto"/>
        <w:tblInd w:w="62" w:type="dxa"/>
        <w:tblLook w:val="0000" w:firstRow="0" w:lastRow="0" w:firstColumn="0" w:lastColumn="0" w:noHBand="0" w:noVBand="0"/>
      </w:tblPr>
      <w:tblGrid>
        <w:gridCol w:w="643"/>
        <w:gridCol w:w="1141"/>
        <w:gridCol w:w="1155"/>
        <w:gridCol w:w="725"/>
        <w:gridCol w:w="981"/>
        <w:gridCol w:w="1823"/>
        <w:gridCol w:w="882"/>
        <w:gridCol w:w="1604"/>
      </w:tblGrid>
      <w:tr w:rsidR="00514845" w:rsidRPr="00234464" w14:paraId="4CF41B59" w14:textId="77777777" w:rsidTr="00350DB9">
        <w:tc>
          <w:tcPr>
            <w:tcW w:w="0" w:type="auto"/>
            <w:vAlign w:val="center"/>
          </w:tcPr>
          <w:p w14:paraId="325082D2" w14:textId="28F1B4BC"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Site</w:t>
            </w:r>
          </w:p>
        </w:tc>
        <w:tc>
          <w:tcPr>
            <w:tcW w:w="0" w:type="auto"/>
            <w:vAlign w:val="center"/>
          </w:tcPr>
          <w:p w14:paraId="55B78ED3" w14:textId="5BAF525D"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Climate (25)</w:t>
            </w:r>
          </w:p>
        </w:tc>
        <w:tc>
          <w:tcPr>
            <w:tcW w:w="0" w:type="auto"/>
            <w:vAlign w:val="center"/>
          </w:tcPr>
          <w:p w14:paraId="7DEF1B00" w14:textId="6FF7A36E"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Chilling (25)</w:t>
            </w:r>
          </w:p>
        </w:tc>
        <w:tc>
          <w:tcPr>
            <w:tcW w:w="0" w:type="auto"/>
            <w:vAlign w:val="center"/>
          </w:tcPr>
          <w:p w14:paraId="58EBD3D9" w14:textId="0A45B783"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Soil (20)</w:t>
            </w:r>
          </w:p>
        </w:tc>
        <w:tc>
          <w:tcPr>
            <w:tcW w:w="0" w:type="auto"/>
            <w:vAlign w:val="center"/>
          </w:tcPr>
          <w:p w14:paraId="6A2B079E" w14:textId="2F9DDC81"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Water (15)</w:t>
            </w:r>
          </w:p>
        </w:tc>
        <w:tc>
          <w:tcPr>
            <w:tcW w:w="0" w:type="auto"/>
            <w:vAlign w:val="center"/>
          </w:tcPr>
          <w:p w14:paraId="0FD025CC" w14:textId="56211861"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Topography &amp; Other (15)</w:t>
            </w:r>
          </w:p>
        </w:tc>
        <w:tc>
          <w:tcPr>
            <w:tcW w:w="0" w:type="auto"/>
            <w:vAlign w:val="center"/>
          </w:tcPr>
          <w:p w14:paraId="3F46BE14" w14:textId="4EB1211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Total /100</w:t>
            </w:r>
          </w:p>
        </w:tc>
        <w:tc>
          <w:tcPr>
            <w:tcW w:w="0" w:type="auto"/>
            <w:vAlign w:val="center"/>
          </w:tcPr>
          <w:p w14:paraId="17F6DD3C" w14:textId="7C4E9597"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Preliminary Class</w:t>
            </w:r>
          </w:p>
        </w:tc>
      </w:tr>
      <w:tr w:rsidR="00514845" w:rsidRPr="00234464" w14:paraId="4888D5D2" w14:textId="77777777" w:rsidTr="00350DB9">
        <w:tc>
          <w:tcPr>
            <w:tcW w:w="0" w:type="auto"/>
            <w:vAlign w:val="center"/>
          </w:tcPr>
          <w:p w14:paraId="26F6F558" w14:textId="447FB8F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Site 1</w:t>
            </w:r>
          </w:p>
        </w:tc>
        <w:tc>
          <w:tcPr>
            <w:tcW w:w="0" w:type="auto"/>
            <w:vAlign w:val="center"/>
          </w:tcPr>
          <w:p w14:paraId="6B2F0A5B" w14:textId="72E80092"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15</w:t>
            </w:r>
          </w:p>
        </w:tc>
        <w:tc>
          <w:tcPr>
            <w:tcW w:w="0" w:type="auto"/>
            <w:vAlign w:val="center"/>
          </w:tcPr>
          <w:p w14:paraId="06AD39A7" w14:textId="496AD241"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11</w:t>
            </w:r>
          </w:p>
        </w:tc>
        <w:tc>
          <w:tcPr>
            <w:tcW w:w="0" w:type="auto"/>
            <w:vAlign w:val="center"/>
          </w:tcPr>
          <w:p w14:paraId="3E89610F" w14:textId="2210F323"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13</w:t>
            </w:r>
          </w:p>
        </w:tc>
        <w:tc>
          <w:tcPr>
            <w:tcW w:w="0" w:type="auto"/>
            <w:vAlign w:val="center"/>
          </w:tcPr>
          <w:p w14:paraId="375D486D" w14:textId="7F4C524A"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14</w:t>
            </w:r>
          </w:p>
        </w:tc>
        <w:tc>
          <w:tcPr>
            <w:tcW w:w="0" w:type="auto"/>
            <w:vAlign w:val="center"/>
          </w:tcPr>
          <w:p w14:paraId="10B05E7C" w14:textId="2DFDD326"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11</w:t>
            </w:r>
          </w:p>
        </w:tc>
        <w:tc>
          <w:tcPr>
            <w:tcW w:w="0" w:type="auto"/>
            <w:vAlign w:val="center"/>
          </w:tcPr>
          <w:p w14:paraId="59256934" w14:textId="7D9A32CA"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64</w:t>
            </w:r>
          </w:p>
        </w:tc>
        <w:tc>
          <w:tcPr>
            <w:tcW w:w="0" w:type="auto"/>
            <w:vAlign w:val="center"/>
          </w:tcPr>
          <w:p w14:paraId="0B41C58A" w14:textId="1F9B755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Moderate</w:t>
            </w:r>
          </w:p>
        </w:tc>
      </w:tr>
      <w:tr w:rsidR="00514845" w:rsidRPr="00234464" w14:paraId="6353DA30" w14:textId="77777777" w:rsidTr="00350DB9">
        <w:tc>
          <w:tcPr>
            <w:tcW w:w="0" w:type="auto"/>
            <w:vAlign w:val="center"/>
          </w:tcPr>
          <w:p w14:paraId="2A69D73D" w14:textId="22E6514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2</w:t>
            </w:r>
          </w:p>
        </w:tc>
        <w:tc>
          <w:tcPr>
            <w:tcW w:w="0" w:type="auto"/>
            <w:vAlign w:val="center"/>
          </w:tcPr>
          <w:p w14:paraId="39731A33" w14:textId="78C91BE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17</w:t>
            </w:r>
          </w:p>
        </w:tc>
        <w:tc>
          <w:tcPr>
            <w:tcW w:w="0" w:type="auto"/>
            <w:vAlign w:val="center"/>
          </w:tcPr>
          <w:p w14:paraId="0FC0E49B" w14:textId="5641856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w:t>
            </w:r>
          </w:p>
        </w:tc>
        <w:tc>
          <w:tcPr>
            <w:tcW w:w="0" w:type="auto"/>
            <w:vAlign w:val="center"/>
          </w:tcPr>
          <w:p w14:paraId="760ECC1F" w14:textId="2AA88C2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15</w:t>
            </w:r>
          </w:p>
        </w:tc>
        <w:tc>
          <w:tcPr>
            <w:tcW w:w="0" w:type="auto"/>
            <w:vAlign w:val="center"/>
          </w:tcPr>
          <w:p w14:paraId="30B9BBD8" w14:textId="1F14863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w:t>
            </w:r>
          </w:p>
        </w:tc>
        <w:tc>
          <w:tcPr>
            <w:tcW w:w="0" w:type="auto"/>
            <w:vAlign w:val="center"/>
          </w:tcPr>
          <w:p w14:paraId="60682D9A" w14:textId="716C9BC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12</w:t>
            </w:r>
          </w:p>
        </w:tc>
        <w:tc>
          <w:tcPr>
            <w:tcW w:w="0" w:type="auto"/>
            <w:vAlign w:val="center"/>
          </w:tcPr>
          <w:p w14:paraId="17AA4883" w14:textId="6EA01D6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72</w:t>
            </w:r>
          </w:p>
        </w:tc>
        <w:tc>
          <w:tcPr>
            <w:tcW w:w="0" w:type="auto"/>
            <w:vAlign w:val="center"/>
          </w:tcPr>
          <w:p w14:paraId="7AAC7BB7" w14:textId="0F9577B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w:t>
            </w:r>
          </w:p>
        </w:tc>
      </w:tr>
      <w:tr w:rsidR="00514845" w:rsidRPr="00234464" w14:paraId="708F2002" w14:textId="77777777" w:rsidTr="00350DB9">
        <w:tc>
          <w:tcPr>
            <w:tcW w:w="0" w:type="auto"/>
            <w:vAlign w:val="center"/>
          </w:tcPr>
          <w:p w14:paraId="4FB24DDC" w14:textId="3DCBE48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3</w:t>
            </w:r>
          </w:p>
        </w:tc>
        <w:tc>
          <w:tcPr>
            <w:tcW w:w="0" w:type="auto"/>
            <w:vAlign w:val="center"/>
          </w:tcPr>
          <w:p w14:paraId="0661C944" w14:textId="520B46B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19</w:t>
            </w:r>
          </w:p>
        </w:tc>
        <w:tc>
          <w:tcPr>
            <w:tcW w:w="0" w:type="auto"/>
            <w:vAlign w:val="center"/>
          </w:tcPr>
          <w:p w14:paraId="7072EF18" w14:textId="15A3D5D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17</w:t>
            </w:r>
          </w:p>
        </w:tc>
        <w:tc>
          <w:tcPr>
            <w:tcW w:w="0" w:type="auto"/>
            <w:vAlign w:val="center"/>
          </w:tcPr>
          <w:p w14:paraId="044B712C" w14:textId="49501F6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16</w:t>
            </w:r>
          </w:p>
        </w:tc>
        <w:tc>
          <w:tcPr>
            <w:tcW w:w="0" w:type="auto"/>
            <w:vAlign w:val="center"/>
          </w:tcPr>
          <w:p w14:paraId="5D41456D" w14:textId="21D295E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12</w:t>
            </w:r>
          </w:p>
        </w:tc>
        <w:tc>
          <w:tcPr>
            <w:tcW w:w="0" w:type="auto"/>
            <w:vAlign w:val="center"/>
          </w:tcPr>
          <w:p w14:paraId="2C115964" w14:textId="26CCA73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13</w:t>
            </w:r>
          </w:p>
        </w:tc>
        <w:tc>
          <w:tcPr>
            <w:tcW w:w="0" w:type="auto"/>
            <w:vAlign w:val="center"/>
          </w:tcPr>
          <w:p w14:paraId="309F0F4C" w14:textId="1436BD1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77</w:t>
            </w:r>
          </w:p>
        </w:tc>
        <w:tc>
          <w:tcPr>
            <w:tcW w:w="0" w:type="auto"/>
            <w:vAlign w:val="center"/>
          </w:tcPr>
          <w:p w14:paraId="611A9267" w14:textId="130127B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Moderate–High</w:t>
            </w:r>
          </w:p>
        </w:tc>
      </w:tr>
      <w:tr w:rsidR="00514845" w:rsidRPr="00234464" w14:paraId="384E475E" w14:textId="77777777" w:rsidTr="00350DB9">
        <w:tc>
          <w:tcPr>
            <w:tcW w:w="0" w:type="auto"/>
            <w:vAlign w:val="center"/>
          </w:tcPr>
          <w:p w14:paraId="19A9885B" w14:textId="2E14C36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lastRenderedPageBreak/>
              <w:t>Site 4</w:t>
            </w:r>
          </w:p>
        </w:tc>
        <w:tc>
          <w:tcPr>
            <w:tcW w:w="0" w:type="auto"/>
            <w:vAlign w:val="center"/>
          </w:tcPr>
          <w:p w14:paraId="17E0DB50" w14:textId="6D983F1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21</w:t>
            </w:r>
          </w:p>
        </w:tc>
        <w:tc>
          <w:tcPr>
            <w:tcW w:w="0" w:type="auto"/>
            <w:vAlign w:val="center"/>
          </w:tcPr>
          <w:p w14:paraId="284A3949" w14:textId="04B97A4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20</w:t>
            </w:r>
          </w:p>
        </w:tc>
        <w:tc>
          <w:tcPr>
            <w:tcW w:w="0" w:type="auto"/>
            <w:vAlign w:val="center"/>
          </w:tcPr>
          <w:p w14:paraId="42845D9B" w14:textId="5A94A15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18</w:t>
            </w:r>
          </w:p>
        </w:tc>
        <w:tc>
          <w:tcPr>
            <w:tcW w:w="0" w:type="auto"/>
            <w:vAlign w:val="center"/>
          </w:tcPr>
          <w:p w14:paraId="6B07C85A" w14:textId="12FDDB7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12</w:t>
            </w:r>
          </w:p>
        </w:tc>
        <w:tc>
          <w:tcPr>
            <w:tcW w:w="0" w:type="auto"/>
            <w:vAlign w:val="center"/>
          </w:tcPr>
          <w:p w14:paraId="249E2054" w14:textId="2FD88CA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w:t>
            </w:r>
          </w:p>
        </w:tc>
        <w:tc>
          <w:tcPr>
            <w:tcW w:w="0" w:type="auto"/>
            <w:vAlign w:val="center"/>
          </w:tcPr>
          <w:p w14:paraId="614B0543" w14:textId="21983C75"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85</w:t>
            </w:r>
          </w:p>
        </w:tc>
        <w:tc>
          <w:tcPr>
            <w:tcW w:w="0" w:type="auto"/>
            <w:vAlign w:val="center"/>
          </w:tcPr>
          <w:p w14:paraId="1615D7E0" w14:textId="685415E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r w:rsidR="00514845" w:rsidRPr="00234464" w14:paraId="22D96CEE" w14:textId="77777777" w:rsidTr="00350DB9">
        <w:tc>
          <w:tcPr>
            <w:tcW w:w="0" w:type="auto"/>
            <w:vAlign w:val="center"/>
          </w:tcPr>
          <w:p w14:paraId="61B50138" w14:textId="0A34A57B"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Site 5</w:t>
            </w:r>
          </w:p>
        </w:tc>
        <w:tc>
          <w:tcPr>
            <w:tcW w:w="0" w:type="auto"/>
            <w:vAlign w:val="center"/>
          </w:tcPr>
          <w:p w14:paraId="77FCA957" w14:textId="20BD09F2"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22</w:t>
            </w:r>
          </w:p>
        </w:tc>
        <w:tc>
          <w:tcPr>
            <w:tcW w:w="0" w:type="auto"/>
            <w:vAlign w:val="center"/>
          </w:tcPr>
          <w:p w14:paraId="32F9734E" w14:textId="0F334D7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23</w:t>
            </w:r>
          </w:p>
        </w:tc>
        <w:tc>
          <w:tcPr>
            <w:tcW w:w="0" w:type="auto"/>
            <w:vAlign w:val="center"/>
          </w:tcPr>
          <w:p w14:paraId="26C94530" w14:textId="3E2FFC8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19</w:t>
            </w:r>
          </w:p>
        </w:tc>
        <w:tc>
          <w:tcPr>
            <w:tcW w:w="0" w:type="auto"/>
            <w:vAlign w:val="center"/>
          </w:tcPr>
          <w:p w14:paraId="127011B7" w14:textId="51F71A76"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9</w:t>
            </w:r>
          </w:p>
        </w:tc>
        <w:tc>
          <w:tcPr>
            <w:tcW w:w="0" w:type="auto"/>
            <w:vAlign w:val="center"/>
          </w:tcPr>
          <w:p w14:paraId="706453B2" w14:textId="0FBEF7C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14</w:t>
            </w:r>
          </w:p>
        </w:tc>
        <w:tc>
          <w:tcPr>
            <w:tcW w:w="0" w:type="auto"/>
            <w:vAlign w:val="center"/>
          </w:tcPr>
          <w:p w14:paraId="53EBD909" w14:textId="2C34A87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b/>
                <w:bCs/>
                <w:sz w:val="24"/>
                <w:szCs w:val="24"/>
              </w:rPr>
              <w:t>87</w:t>
            </w:r>
          </w:p>
        </w:tc>
        <w:tc>
          <w:tcPr>
            <w:tcW w:w="0" w:type="auto"/>
            <w:vAlign w:val="center"/>
          </w:tcPr>
          <w:p w14:paraId="19F21466" w14:textId="7B2FE43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w:t>
            </w:r>
          </w:p>
        </w:tc>
      </w:tr>
    </w:tbl>
    <w:p w14:paraId="348EBE29"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Under this </w:t>
      </w:r>
      <w:r w:rsidRPr="00E73CA2">
        <w:rPr>
          <w:rFonts w:ascii="Times New Roman" w:hAnsi="Times New Roman" w:cs="Times New Roman"/>
          <w:b/>
          <w:bCs/>
          <w:sz w:val="24"/>
          <w:szCs w:val="24"/>
        </w:rPr>
        <w:t>simulated scenario</w:t>
      </w:r>
      <w:r w:rsidRPr="00E73CA2">
        <w:rPr>
          <w:rFonts w:ascii="Times New Roman" w:hAnsi="Times New Roman" w:cs="Times New Roman"/>
          <w:sz w:val="24"/>
          <w:szCs w:val="24"/>
        </w:rPr>
        <w:t>, Sites 4 and 5 obtained the highest preliminary suitability scores, primarily because of their comparatively cooler winter conditions, greater estimated chilling accumulation, and favourable soil characteristics.</w:t>
      </w:r>
    </w:p>
    <w:p w14:paraId="301A1AE3" w14:textId="44768134" w:rsidR="006A04DD" w:rsidRDefault="006A04DD"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477F09" wp14:editId="34EBDE7E">
            <wp:extent cx="5730807" cy="3386937"/>
            <wp:effectExtent l="0" t="0" r="3810" b="4445"/>
            <wp:docPr id="15420918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91808" name="Picture 1542091808"/>
                    <pic:cNvPicPr/>
                  </pic:nvPicPr>
                  <pic:blipFill rotWithShape="1">
                    <a:blip r:embed="rId11" cstate="print">
                      <a:extLst>
                        <a:ext uri="{28A0092B-C50C-407E-A947-70E740481C1C}">
                          <a14:useLocalDpi xmlns:a14="http://schemas.microsoft.com/office/drawing/2010/main" val="0"/>
                        </a:ext>
                      </a:extLst>
                    </a:blip>
                    <a:srcRect t="7849" b="3494"/>
                    <a:stretch>
                      <a:fillRect/>
                    </a:stretch>
                  </pic:blipFill>
                  <pic:spPr bwMode="auto">
                    <a:xfrm>
                      <a:off x="0" y="0"/>
                      <a:ext cx="5731510" cy="3387353"/>
                    </a:xfrm>
                    <a:prstGeom prst="rect">
                      <a:avLst/>
                    </a:prstGeom>
                    <a:ln>
                      <a:noFill/>
                    </a:ln>
                    <a:extLst>
                      <a:ext uri="{53640926-AAD7-44D8-BBD7-CCE9431645EC}">
                        <a14:shadowObscured xmlns:a14="http://schemas.microsoft.com/office/drawing/2010/main"/>
                      </a:ext>
                    </a:extLst>
                  </pic:spPr>
                </pic:pic>
              </a:graphicData>
            </a:graphic>
          </wp:inline>
        </w:drawing>
      </w:r>
    </w:p>
    <w:p w14:paraId="2148BFB9" w14:textId="3704ED88"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5</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Preliminary Environmental Suitability Scores for Apple Cultivation</w:t>
      </w:r>
    </w:p>
    <w:p w14:paraId="5BE0FEC1" w14:textId="0CEA3043" w:rsidR="006A04DD" w:rsidRPr="00E73CA2" w:rsidRDefault="006A04DD" w:rsidP="006A04DD">
      <w:pPr>
        <w:rPr>
          <w:rFonts w:ascii="Times New Roman" w:hAnsi="Times New Roman" w:cs="Times New Roman"/>
          <w:sz w:val="24"/>
          <w:szCs w:val="24"/>
        </w:rPr>
      </w:pPr>
      <w:r w:rsidRPr="006A04DD">
        <w:rPr>
          <w:rFonts w:ascii="Times New Roman" w:hAnsi="Times New Roman" w:cs="Times New Roman"/>
          <w:sz w:val="24"/>
          <w:szCs w:val="24"/>
        </w:rPr>
      </w:r>
      <w:r>
        <w:rPr>
          <w:rFonts w:ascii="Times New Roman" w:hAnsi="Times New Roman" w:cs="Times New Roman"/>
          <w:sz w:val="24"/>
          <w:szCs w:val="24"/>
          <w:highlight w:val="yellow"/>
        </w:rPr>
        <w:t>Figure 5 compares</w:t>
      </w:r>
      <w:r>
        <w:rPr>
          <w:rFonts w:ascii="Times New Roman" w:hAnsi="Times New Roman" w:cs="Times New Roman"/>
          <w:sz w:val="24"/>
          <w:szCs w:val="24"/>
        </w:rPr>
      </w:r>
      <w:r w:rsidRPr="006A04DD">
        <w:rPr>
          <w:rFonts w:ascii="Times New Roman" w:hAnsi="Times New Roman" w:cs="Times New Roman"/>
          <w:sz w:val="24"/>
          <w:szCs w:val="24"/>
        </w:rPr>
        <w:t xml:space="preserve"> the preliminary suitability scores of the five study sites, showing variation in their combined climatic, chilling, soil, water, and topographic assessment.</w:t>
      </w:r>
    </w:p>
    <w:p w14:paraId="2873309F"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3.6 Candidate Cultivar Suitability</w:t>
      </w:r>
    </w:p>
    <w:p w14:paraId="661D0865" w14:textId="1ED7FFD5"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Based on the simulated environmental conditions, </w:t>
      </w:r>
      <w:r w:rsidRPr="00E73CA2">
        <w:rPr>
          <w:rFonts w:ascii="Times New Roman" w:hAnsi="Times New Roman" w:cs="Times New Roman"/>
          <w:b/>
          <w:bCs/>
          <w:sz w:val="24"/>
          <w:szCs w:val="24"/>
        </w:rPr>
        <w:t>HRMN-99</w:t>
      </w:r>
      <w:r w:rsidRPr="00E73CA2">
        <w:rPr>
          <w:rFonts w:ascii="Times New Roman" w:hAnsi="Times New Roman" w:cs="Times New Roman"/>
          <w:sz w:val="24"/>
          <w:szCs w:val="24"/>
        </w:rPr>
        <w:t xml:space="preserve"> appears particularly relevant for the warmer sites because it is specifically documented as a low-chilling apple variety capable of growing in plains and tropical environments, with the Principal Scientific Adviser reporting suitability under conditions reaching approximately 45°C. </w:t>
      </w:r>
    </w:p>
    <w:p w14:paraId="02D7F338" w14:textId="77777777" w:rsidR="00E73CA2" w:rsidRPr="00234464"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Table 6. Preliminary Cultivar–Site Compatibility</w:t>
      </w:r>
    </w:p>
    <w:tbl>
      <w:tblPr>
        <w:tblStyle w:val="TableGrid"/>
        <w:tblW w:w="0" w:type="auto"/>
        <w:tblInd w:w="62" w:type="dxa"/>
        <w:tblLook w:val="0000" w:firstRow="0" w:lastRow="0" w:firstColumn="0" w:lastColumn="0" w:noHBand="0" w:noVBand="0"/>
      </w:tblPr>
      <w:tblGrid>
        <w:gridCol w:w="1599"/>
        <w:gridCol w:w="1809"/>
        <w:gridCol w:w="1003"/>
        <w:gridCol w:w="1521"/>
        <w:gridCol w:w="1511"/>
        <w:gridCol w:w="1511"/>
      </w:tblGrid>
      <w:tr w:rsidR="00514845" w:rsidRPr="00234464" w14:paraId="471B233C" w14:textId="77777777" w:rsidTr="00624B63">
        <w:tc>
          <w:tcPr>
            <w:tcW w:w="0" w:type="auto"/>
            <w:vAlign w:val="center"/>
          </w:tcPr>
          <w:p w14:paraId="7897500F" w14:textId="5EA2E165"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Cultivar</w:t>
            </w:r>
          </w:p>
        </w:tc>
        <w:tc>
          <w:tcPr>
            <w:tcW w:w="0" w:type="auto"/>
            <w:vAlign w:val="center"/>
          </w:tcPr>
          <w:p w14:paraId="5FE734E7" w14:textId="29ADD0A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1</w:t>
            </w:r>
          </w:p>
        </w:tc>
        <w:tc>
          <w:tcPr>
            <w:tcW w:w="0" w:type="auto"/>
            <w:vAlign w:val="center"/>
          </w:tcPr>
          <w:p w14:paraId="43E559A9" w14:textId="0C2BA01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2</w:t>
            </w:r>
          </w:p>
        </w:tc>
        <w:tc>
          <w:tcPr>
            <w:tcW w:w="0" w:type="auto"/>
            <w:vAlign w:val="center"/>
          </w:tcPr>
          <w:p w14:paraId="50AD76C5" w14:textId="00AA70E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3</w:t>
            </w:r>
          </w:p>
        </w:tc>
        <w:tc>
          <w:tcPr>
            <w:tcW w:w="0" w:type="auto"/>
            <w:vAlign w:val="center"/>
          </w:tcPr>
          <w:p w14:paraId="29B23D42" w14:textId="25B8E9E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4</w:t>
            </w:r>
          </w:p>
        </w:tc>
        <w:tc>
          <w:tcPr>
            <w:tcW w:w="0" w:type="auto"/>
            <w:vAlign w:val="center"/>
          </w:tcPr>
          <w:p w14:paraId="35E4D0B6" w14:textId="41F273C0"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b/>
                <w:bCs/>
                <w:sz w:val="24"/>
                <w:szCs w:val="24"/>
              </w:rPr>
              <w:t>Site 5</w:t>
            </w:r>
          </w:p>
        </w:tc>
      </w:tr>
      <w:tr w:rsidR="00514845" w:rsidRPr="00234464" w14:paraId="5D210A84" w14:textId="77777777" w:rsidTr="00624B63">
        <w:tc>
          <w:tcPr>
            <w:tcW w:w="0" w:type="auto"/>
            <w:vAlign w:val="center"/>
          </w:tcPr>
          <w:p w14:paraId="29C34590" w14:textId="579D4058"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HRMN-99</w:t>
            </w:r>
          </w:p>
        </w:tc>
        <w:tc>
          <w:tcPr>
            <w:tcW w:w="0" w:type="auto"/>
            <w:vAlign w:val="center"/>
          </w:tcPr>
          <w:p w14:paraId="435063A7" w14:textId="46BA5A5E"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Suitable</w:t>
            </w:r>
          </w:p>
        </w:tc>
        <w:tc>
          <w:tcPr>
            <w:tcW w:w="0" w:type="auto"/>
            <w:vAlign w:val="center"/>
          </w:tcPr>
          <w:p w14:paraId="7E0BDC4D" w14:textId="76299F49"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Suitable</w:t>
            </w:r>
          </w:p>
        </w:tc>
        <w:tc>
          <w:tcPr>
            <w:tcW w:w="0" w:type="auto"/>
            <w:vAlign w:val="center"/>
          </w:tcPr>
          <w:p w14:paraId="280F5FA0" w14:textId="35D0BD3D"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Highly suitable</w:t>
            </w:r>
          </w:p>
        </w:tc>
        <w:tc>
          <w:tcPr>
            <w:tcW w:w="0" w:type="auto"/>
            <w:vAlign w:val="center"/>
          </w:tcPr>
          <w:p w14:paraId="70D43518" w14:textId="23F8A19B"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Highly suitable</w:t>
            </w:r>
          </w:p>
        </w:tc>
        <w:tc>
          <w:tcPr>
            <w:tcW w:w="0" w:type="auto"/>
            <w:vAlign w:val="center"/>
          </w:tcPr>
          <w:p w14:paraId="1805CDDC" w14:textId="145C85FC" w:rsidR="00514845" w:rsidRPr="00234464" w:rsidRDefault="00514845" w:rsidP="00514845">
            <w:pPr>
              <w:jc w:val="both"/>
              <w:rPr>
                <w:rFonts w:ascii="Times New Roman" w:hAnsi="Times New Roman" w:cs="Times New Roman"/>
                <w:b/>
                <w:bCs/>
                <w:sz w:val="24"/>
                <w:szCs w:val="24"/>
              </w:rPr>
            </w:pPr>
            <w:r w:rsidRPr="00E73CA2">
              <w:rPr>
                <w:rFonts w:ascii="Times New Roman" w:hAnsi="Times New Roman" w:cs="Times New Roman"/>
                <w:sz w:val="24"/>
                <w:szCs w:val="24"/>
              </w:rPr>
              <w:t>Highly suitable</w:t>
            </w:r>
          </w:p>
        </w:tc>
      </w:tr>
      <w:tr w:rsidR="00514845" w:rsidRPr="00234464" w14:paraId="78CD165B" w14:textId="77777777" w:rsidTr="00624B63">
        <w:tc>
          <w:tcPr>
            <w:tcW w:w="0" w:type="auto"/>
            <w:vAlign w:val="center"/>
          </w:tcPr>
          <w:p w14:paraId="38DE5D86" w14:textId="6EDFA827"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Anna</w:t>
            </w:r>
          </w:p>
        </w:tc>
        <w:tc>
          <w:tcPr>
            <w:tcW w:w="0" w:type="auto"/>
            <w:vAlign w:val="center"/>
          </w:tcPr>
          <w:p w14:paraId="45B6A144" w14:textId="1542CD3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Marginal–Suitable</w:t>
            </w:r>
          </w:p>
        </w:tc>
        <w:tc>
          <w:tcPr>
            <w:tcW w:w="0" w:type="auto"/>
            <w:vAlign w:val="center"/>
          </w:tcPr>
          <w:p w14:paraId="0A558167" w14:textId="3EC68F5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0D51FBC7" w14:textId="6276D65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1D34ACFB" w14:textId="04090B7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c>
          <w:tcPr>
            <w:tcW w:w="0" w:type="auto"/>
            <w:vAlign w:val="center"/>
          </w:tcPr>
          <w:p w14:paraId="08DCC8B1" w14:textId="6A08A6F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r>
      <w:tr w:rsidR="00514845" w:rsidRPr="00234464" w14:paraId="02373CCB" w14:textId="77777777" w:rsidTr="00624B63">
        <w:tc>
          <w:tcPr>
            <w:tcW w:w="0" w:type="auto"/>
            <w:vAlign w:val="center"/>
          </w:tcPr>
          <w:p w14:paraId="592EC991" w14:textId="1C23EA8D"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Dorsett Golden</w:t>
            </w:r>
          </w:p>
        </w:tc>
        <w:tc>
          <w:tcPr>
            <w:tcW w:w="0" w:type="auto"/>
            <w:vAlign w:val="center"/>
          </w:tcPr>
          <w:p w14:paraId="72F7AA4C" w14:textId="28E9DC8C"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Marginal</w:t>
            </w:r>
          </w:p>
        </w:tc>
        <w:tc>
          <w:tcPr>
            <w:tcW w:w="0" w:type="auto"/>
            <w:vAlign w:val="center"/>
          </w:tcPr>
          <w:p w14:paraId="224D1D1F" w14:textId="2EBEAF9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0362FD51" w14:textId="6464022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079CB1BE" w14:textId="6BB4B158"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c>
          <w:tcPr>
            <w:tcW w:w="0" w:type="auto"/>
            <w:vAlign w:val="center"/>
          </w:tcPr>
          <w:p w14:paraId="215B8B09" w14:textId="0E0468DE"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r>
      <w:tr w:rsidR="00514845" w:rsidRPr="00234464" w14:paraId="6E82EC9C" w14:textId="77777777" w:rsidTr="00624B63">
        <w:tc>
          <w:tcPr>
            <w:tcW w:w="0" w:type="auto"/>
            <w:vAlign w:val="center"/>
          </w:tcPr>
          <w:p w14:paraId="166F59F6" w14:textId="2FBC1801"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Tropical Beauty</w:t>
            </w:r>
          </w:p>
        </w:tc>
        <w:tc>
          <w:tcPr>
            <w:tcW w:w="0" w:type="auto"/>
            <w:vAlign w:val="center"/>
          </w:tcPr>
          <w:p w14:paraId="48DAFE32" w14:textId="5DF1B79A"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1456971D" w14:textId="1D1D7599"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58EFE9EF" w14:textId="0E354294"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Suitable</w:t>
            </w:r>
          </w:p>
        </w:tc>
        <w:tc>
          <w:tcPr>
            <w:tcW w:w="0" w:type="auto"/>
            <w:vAlign w:val="center"/>
          </w:tcPr>
          <w:p w14:paraId="06EE4AB9" w14:textId="2C47F2FF"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c>
          <w:tcPr>
            <w:tcW w:w="0" w:type="auto"/>
            <w:vAlign w:val="center"/>
          </w:tcPr>
          <w:p w14:paraId="7EB546F6" w14:textId="5F41E233" w:rsidR="00514845" w:rsidRPr="00234464" w:rsidRDefault="00514845" w:rsidP="00514845">
            <w:pPr>
              <w:jc w:val="both"/>
              <w:rPr>
                <w:rFonts w:ascii="Times New Roman" w:hAnsi="Times New Roman" w:cs="Times New Roman"/>
                <w:sz w:val="24"/>
                <w:szCs w:val="24"/>
              </w:rPr>
            </w:pPr>
            <w:r w:rsidRPr="00E73CA2">
              <w:rPr>
                <w:rFonts w:ascii="Times New Roman" w:hAnsi="Times New Roman" w:cs="Times New Roman"/>
                <w:sz w:val="24"/>
                <w:szCs w:val="24"/>
              </w:rPr>
              <w:t>Highly suitable</w:t>
            </w:r>
          </w:p>
        </w:tc>
      </w:tr>
    </w:tbl>
    <w:p w14:paraId="6254E1F9" w14:textId="4E6EF3F1"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lastRenderedPageBreak/>
        <w:t xml:space="preserve">Overall, the simulated assessment suggests that </w:t>
      </w:r>
      <w:r w:rsidRPr="00E73CA2">
        <w:rPr>
          <w:rFonts w:ascii="Times New Roman" w:hAnsi="Times New Roman" w:cs="Times New Roman"/>
          <w:b/>
          <w:bCs/>
          <w:sz w:val="24"/>
          <w:szCs w:val="24"/>
        </w:rPr>
        <w:t>Sites 4 and 5 have the greatest preliminary environmental potential</w:t>
      </w:r>
      <w:r w:rsidRPr="00E73CA2">
        <w:rPr>
          <w:rFonts w:ascii="Times New Roman" w:hAnsi="Times New Roman" w:cs="Times New Roman"/>
          <w:sz w:val="24"/>
          <w:szCs w:val="24"/>
        </w:rPr>
        <w:t xml:space="preserve">, while HRMN-99 has the broadest potential compatibility across the five simulated locations. This finding should be regarded strictly as a </w:t>
      </w:r>
      <w:r w:rsidRPr="00E73CA2">
        <w:rPr>
          <w:rFonts w:ascii="Times New Roman" w:hAnsi="Times New Roman" w:cs="Times New Roman"/>
          <w:b/>
          <w:bCs/>
          <w:sz w:val="24"/>
          <w:szCs w:val="24"/>
        </w:rPr>
        <w:t>hypothesis for field validation</w:t>
      </w:r>
      <w:r w:rsidRPr="00E73CA2">
        <w:rPr>
          <w:rFonts w:ascii="Times New Roman" w:hAnsi="Times New Roman" w:cs="Times New Roman"/>
          <w:sz w:val="24"/>
          <w:szCs w:val="24"/>
        </w:rPr>
        <w:t>, not evidence of demonstrated commercial productivity.</w:t>
      </w:r>
    </w:p>
    <w:p w14:paraId="7C2ADAB9" w14:textId="041BEA04" w:rsidR="006A04DD" w:rsidRDefault="006A04DD" w:rsidP="00E73CA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ED5EE4" wp14:editId="476626D0">
            <wp:extent cx="5730769" cy="3306471"/>
            <wp:effectExtent l="0" t="0" r="3810" b="8255"/>
            <wp:docPr id="13755474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47494" name="Picture 1375547494"/>
                    <pic:cNvPicPr/>
                  </pic:nvPicPr>
                  <pic:blipFill rotWithShape="1">
                    <a:blip r:embed="rId12" cstate="print">
                      <a:extLst>
                        <a:ext uri="{28A0092B-C50C-407E-A947-70E740481C1C}">
                          <a14:useLocalDpi xmlns:a14="http://schemas.microsoft.com/office/drawing/2010/main" val="0"/>
                        </a:ext>
                      </a:extLst>
                    </a:blip>
                    <a:srcRect t="7468" b="5983"/>
                    <a:stretch>
                      <a:fillRect/>
                    </a:stretch>
                  </pic:blipFill>
                  <pic:spPr bwMode="auto">
                    <a:xfrm>
                      <a:off x="0" y="0"/>
                      <a:ext cx="5731510" cy="3306898"/>
                    </a:xfrm>
                    <a:prstGeom prst="rect">
                      <a:avLst/>
                    </a:prstGeom>
                    <a:ln>
                      <a:noFill/>
                    </a:ln>
                    <a:extLst>
                      <a:ext uri="{53640926-AAD7-44D8-BBD7-CCE9431645EC}">
                        <a14:shadowObscured xmlns:a14="http://schemas.microsoft.com/office/drawing/2010/main"/>
                      </a:ext>
                    </a:extLst>
                  </pic:spPr>
                </pic:pic>
              </a:graphicData>
            </a:graphic>
          </wp:inline>
        </w:drawing>
      </w:r>
    </w:p>
    <w:p w14:paraId="48208D7B" w14:textId="2C0E99A0" w:rsidR="006A04DD" w:rsidRDefault="006A04DD" w:rsidP="006A04DD">
      <w:pPr>
        <w:jc w:val="center"/>
        <w:rPr>
          <w:rFonts w:ascii="Times New Roman" w:hAnsi="Times New Roman" w:cs="Times New Roman"/>
          <w:sz w:val="24"/>
          <w:szCs w:val="24"/>
        </w:rPr>
      </w:pPr>
      <w:r w:rsidRPr="006A04DD">
        <w:rPr>
          <w:rFonts w:ascii="Times New Roman" w:hAnsi="Times New Roman" w:cs="Times New Roman"/>
          <w:b/>
          <w:bCs/>
          <w:sz w:val="24"/>
          <w:szCs w:val="24"/>
        </w:rPr>
        <w:t xml:space="preserve">Figure </w:t>
      </w:r>
      <w:r>
        <w:rPr>
          <w:rFonts w:ascii="Times New Roman" w:hAnsi="Times New Roman" w:cs="Times New Roman"/>
          <w:b/>
          <w:bCs/>
          <w:sz w:val="24"/>
          <w:szCs w:val="24"/>
        </w:rPr>
        <w:t>6</w:t>
      </w:r>
      <w:r w:rsidRPr="006A04DD">
        <w:rPr>
          <w:rFonts w:ascii="Times New Roman" w:hAnsi="Times New Roman" w:cs="Times New Roman"/>
          <w:b/>
          <w:bCs/>
          <w:sz w:val="24"/>
          <w:szCs w:val="24"/>
        </w:rPr>
        <w:t>.</w:t>
      </w:r>
      <w:r w:rsidRPr="006A04DD">
        <w:rPr>
          <w:rFonts w:ascii="Times New Roman" w:hAnsi="Times New Roman" w:cs="Times New Roman"/>
          <w:sz w:val="24"/>
          <w:szCs w:val="24"/>
        </w:rPr>
        <w:t xml:space="preserve"> Preliminary Cultivar–Site Compatibility</w:t>
      </w:r>
    </w:p>
    <w:p w14:paraId="7F999B3F" w14:textId="71899D58" w:rsidR="006A04DD" w:rsidRPr="00234464" w:rsidRDefault="006A04DD" w:rsidP="006A04DD">
      <w:pPr>
        <w:rPr>
          <w:rFonts w:ascii="Times New Roman" w:hAnsi="Times New Roman" w:cs="Times New Roman"/>
          <w:sz w:val="24"/>
          <w:szCs w:val="24"/>
        </w:rPr>
      </w:pPr>
      <w:r w:rsidRPr="006A04DD">
        <w:rPr>
          <w:rFonts w:ascii="Times New Roman" w:hAnsi="Times New Roman" w:cs="Times New Roman"/>
          <w:sz w:val="24"/>
          <w:szCs w:val="24"/>
        </w:rPr>
      </w:r>
      <w:r>
        <w:rPr>
          <w:rFonts w:ascii="Times New Roman" w:hAnsi="Times New Roman" w:cs="Times New Roman"/>
          <w:sz w:val="24"/>
          <w:szCs w:val="24"/>
          <w:highlight w:val="yellow"/>
        </w:rPr>
        <w:t>Figure 6 presents</w:t>
      </w:r>
      <w:r>
        <w:rPr>
          <w:rFonts w:ascii="Times New Roman" w:hAnsi="Times New Roman" w:cs="Times New Roman"/>
          <w:sz w:val="24"/>
          <w:szCs w:val="24"/>
        </w:rPr>
      </w:r>
      <w:r w:rsidRPr="006A04DD">
        <w:rPr>
          <w:rFonts w:ascii="Times New Roman" w:hAnsi="Times New Roman" w:cs="Times New Roman"/>
          <w:sz w:val="24"/>
          <w:szCs w:val="24"/>
        </w:rPr>
        <w:t xml:space="preserve"> the preliminary compatibility of HRMN-99, Anna, Dorsett Golden, and Tropical Beauty across the five study sites.</w:t>
      </w:r>
    </w:p>
    <w:p w14:paraId="28E8A2D1"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 DISCUSSION</w:t>
      </w:r>
    </w:p>
    <w:p w14:paraId="7FBAE218"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4.1 Climatic Suitability of Adilabad</w:t>
      </w:r>
    </w:p>
    <w:p w14:paraId="3F80BF6F" w14:textId="2BF7DBCF"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environmental assessment indicates that the climatic conditions of Adilabad require careful consideration before introducing apple cultivation. The district experiences hot summers and a predominantly dry climate outside the southwest monsoon period. Approximately 85% of annual rainfall occurs during the southwest monsoon, while the normal annual rainfall is about 1,044.5 mm. December is generally the coldest month, with a mean daily minimum temperature of approximately 15°C </w:t>
      </w:r>
      <w:r>
        <w:rPr>
          <w:rFonts w:ascii="Times New Roman" w:hAnsi="Times New Roman" w:cs="Times New Roman"/>
          <w:sz w:val="24"/>
          <w:szCs w:val="24"/>
          <w:highlight w:val="yellow"/>
        </w:rPr>
        <w:t>and a mean daily maximum temperature of approximately 29°C</w:t>
      </w:r>
      <w:r>
        <w:rPr>
          <w:rFonts w:ascii="Times New Roman" w:hAnsi="Times New Roman" w:cs="Times New Roman"/>
          <w:sz w:val="24"/>
          <w:szCs w:val="24"/>
        </w:rPr>
        <w:t xml:space="preserve"> (Adilabad District Administration, n.d.). </w:t>
      </w:r>
    </w:p>
    <w:p w14:paraId="493CE3F5" w14:textId="5C7D15E2"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Such conditions differ considerably from those of conventional apple-growing regions. Punjab Agricultural University reports that most conventional apple cultivars require approximately </w:t>
      </w:r>
      <w:r w:rsidRPr="00E73CA2">
        <w:rPr>
          <w:rFonts w:ascii="Times New Roman" w:hAnsi="Times New Roman" w:cs="Times New Roman"/>
          <w:b/>
          <w:bCs/>
          <w:sz w:val="24"/>
          <w:szCs w:val="24"/>
        </w:rPr>
        <w:t>800–1,200 chilling hours at 4–7°C</w:t>
      </w:r>
      <w:r w:rsidRPr="00E73CA2">
        <w:rPr>
          <w:rFonts w:ascii="Times New Roman" w:hAnsi="Times New Roman" w:cs="Times New Roman"/>
          <w:sz w:val="24"/>
          <w:szCs w:val="24"/>
        </w:rPr>
        <w:t xml:space="preserve">, whereas certain low-chilling cultivars require approximately </w:t>
      </w:r>
      <w:r w:rsidRPr="00E73CA2">
        <w:rPr>
          <w:rFonts w:ascii="Times New Roman" w:hAnsi="Times New Roman" w:cs="Times New Roman"/>
          <w:b/>
          <w:bCs/>
          <w:sz w:val="24"/>
          <w:szCs w:val="24"/>
        </w:rPr>
        <w:t>200–300 hours or less</w:t>
      </w:r>
      <w:r w:rsidRPr="00E73CA2">
        <w:rPr>
          <w:rFonts w:ascii="Times New Roman" w:hAnsi="Times New Roman" w:cs="Times New Roman"/>
          <w:sz w:val="24"/>
          <w:szCs w:val="24"/>
        </w:rPr>
        <w:t>. Therefore, conventional high-chill cultivars are unlikely to be appropriate candidates for the warm conditions of Adilabad without sufficient chilling. In contrast, low-chilling cultivars provide a more relevant basis for investigating apple cultivation in this region. The relatively cooler winter conditions at higher-elevation sites identified in the preliminary assessment may provide an additional advantage, although actual chilling accumulation must be verified using long-term hourly temperature data.</w:t>
      </w:r>
    </w:p>
    <w:p w14:paraId="45BD6CA5" w14:textId="6FE7632B" w:rsidR="00AE5063" w:rsidRDefault="00AE5063" w:rsidP="00E73CA2">
      <w:pPr>
        <w:jc w:val="both"/>
        <w:rPr>
          <w:rFonts w:ascii="Times New Roman" w:hAnsi="Times New Roman" w:cs="Times New Roman"/>
          <w:sz w:val="24"/>
          <w:szCs w:val="24"/>
        </w:rPr>
      </w:pPr>
      <w:r w:rsidRPr="00AE5063">
        <w:rPr>
          <w:rFonts w:ascii="Times New Roman" w:hAnsi="Times New Roman" w:cs="Times New Roman"/>
          <w:sz w:val="24"/>
          <w:szCs w:val="24"/>
        </w:rPr>
        <w:lastRenderedPageBreak/>
        <w:t xml:space="preserve">The relationship between winter temperature and chilling accumulation is particularly important when evaluating the suitability of non-traditional environments for temperate fruit cultivation </w:t>
      </w:r>
      <w:r w:rsidRPr="00AE5063">
        <w:rPr>
          <w:rFonts w:ascii="Times New Roman" w:hAnsi="Times New Roman" w:cs="Times New Roman"/>
          <w:b/>
          <w:bCs/>
          <w:sz w:val="24"/>
          <w:szCs w:val="24"/>
        </w:rPr>
        <w:t>(</w:t>
      </w:r>
      <w:proofErr w:type="spellStart"/>
      <w:r w:rsidRPr="00AE5063">
        <w:rPr>
          <w:rFonts w:ascii="Times New Roman" w:hAnsi="Times New Roman" w:cs="Times New Roman"/>
          <w:b/>
          <w:bCs/>
          <w:sz w:val="24"/>
          <w:szCs w:val="24"/>
        </w:rPr>
        <w:t>Fadón</w:t>
      </w:r>
      <w:proofErr w:type="spellEnd"/>
      <w:r w:rsidRPr="00AE5063">
        <w:rPr>
          <w:rFonts w:ascii="Times New Roman" w:hAnsi="Times New Roman" w:cs="Times New Roman"/>
          <w:b/>
          <w:bCs/>
          <w:sz w:val="24"/>
          <w:szCs w:val="24"/>
        </w:rPr>
        <w:t xml:space="preserve"> et al., 2020)</w:t>
      </w:r>
      <w:r w:rsidRPr="00AE5063">
        <w:rPr>
          <w:rFonts w:ascii="Times New Roman" w:hAnsi="Times New Roman" w:cs="Times New Roman"/>
          <w:sz w:val="24"/>
          <w:szCs w:val="24"/>
        </w:rPr>
        <w:t>.</w:t>
      </w:r>
    </w:p>
    <w:p w14:paraId="33DF9F98" w14:textId="237009F9" w:rsidR="00AB6F4A" w:rsidRDefault="00AB6F4A" w:rsidP="00E73CA2">
      <w:pPr>
        <w:jc w:val="both"/>
        <w:rPr>
          <w:rFonts w:ascii="Times New Roman" w:hAnsi="Times New Roman" w:cs="Times New Roman"/>
          <w:sz w:val="24"/>
          <w:szCs w:val="24"/>
        </w:rPr>
      </w:pPr>
      <w:r w:rsidRPr="00AB6F4A">
        <w:rPr>
          <w:rFonts w:ascii="Times New Roman" w:hAnsi="Times New Roman" w:cs="Times New Roman"/>
          <w:sz w:val="24"/>
          <w:szCs w:val="24"/>
        </w:rPr>
        <w:t xml:space="preserve">The reported low-chilling characteristics of HRMN-99 provide a scientific basis for its consideration in warmer environments where conventional high-chilling apple cultivars may face limitations </w:t>
      </w:r>
      <w:r w:rsidRPr="00AB6F4A">
        <w:rPr>
          <w:rFonts w:ascii="Times New Roman" w:hAnsi="Times New Roman" w:cs="Times New Roman"/>
          <w:b/>
          <w:bCs/>
          <w:sz w:val="24"/>
          <w:szCs w:val="24"/>
        </w:rPr>
        <w:t>(Principal Scientific Adviser to the Government of India, n.d.)</w:t>
      </w:r>
      <w:r w:rsidRPr="00AB6F4A">
        <w:rPr>
          <w:rFonts w:ascii="Times New Roman" w:hAnsi="Times New Roman" w:cs="Times New Roman"/>
          <w:sz w:val="24"/>
          <w:szCs w:val="24"/>
        </w:rPr>
        <w:t>.</w:t>
      </w:r>
    </w:p>
    <w:p w14:paraId="4F0E6859" w14:textId="18BFC315" w:rsidR="00252617"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Variation in winter and spring temperatures can influence apple phenology, particularly the timing of bud development and flowering. Therefore, assessment of climatic suitability should consider not only chilling accumulation but also the seasonal temperature conditions following dormancy </w:t>
      </w:r>
      <w:r w:rsidRPr="00252617">
        <w:rPr>
          <w:rFonts w:ascii="Times New Roman" w:hAnsi="Times New Roman" w:cs="Times New Roman"/>
          <w:b/>
          <w:bCs/>
          <w:sz w:val="24"/>
          <w:szCs w:val="24"/>
        </w:rPr>
        <w:t>(Funes et al., 2016)</w:t>
      </w:r>
      <w:r w:rsidRPr="00252617">
        <w:rPr>
          <w:rFonts w:ascii="Times New Roman" w:hAnsi="Times New Roman" w:cs="Times New Roman"/>
          <w:sz w:val="24"/>
          <w:szCs w:val="24"/>
        </w:rPr>
        <w:t>.</w:t>
      </w:r>
    </w:p>
    <w:p w14:paraId="32CEB65C" w14:textId="2EC7CA02" w:rsidR="00252617" w:rsidRPr="00E73CA2" w:rsidRDefault="00252617" w:rsidP="00E73CA2">
      <w:pPr>
        <w:jc w:val="both"/>
        <w:rPr>
          <w:rFonts w:ascii="Times New Roman" w:hAnsi="Times New Roman" w:cs="Times New Roman"/>
          <w:sz w:val="24"/>
          <w:szCs w:val="24"/>
        </w:rPr>
      </w:pPr>
      <w:r w:rsidRPr="00252617">
        <w:rPr>
          <w:rFonts w:ascii="Times New Roman" w:hAnsi="Times New Roman" w:cs="Times New Roman"/>
          <w:sz w:val="24"/>
          <w:szCs w:val="24"/>
        </w:rPr>
        <w:t xml:space="preserve">Variations in winter temperature may influence the availability of winter chilling and consequently affect the suitability of particular temperate fruit cultivars under changing climatic conditions </w:t>
      </w:r>
      <w:r w:rsidRPr="00252617">
        <w:rPr>
          <w:rFonts w:ascii="Times New Roman" w:hAnsi="Times New Roman" w:cs="Times New Roman"/>
          <w:b/>
          <w:bCs/>
          <w:sz w:val="24"/>
          <w:szCs w:val="24"/>
        </w:rPr>
        <w:t>(</w:t>
      </w:r>
      <w:proofErr w:type="spellStart"/>
      <w:r w:rsidRPr="00252617">
        <w:rPr>
          <w:rFonts w:ascii="Times New Roman" w:hAnsi="Times New Roman" w:cs="Times New Roman"/>
          <w:b/>
          <w:bCs/>
          <w:sz w:val="24"/>
          <w:szCs w:val="24"/>
        </w:rPr>
        <w:t>Luedeling</w:t>
      </w:r>
      <w:proofErr w:type="spellEnd"/>
      <w:r w:rsidRPr="00252617">
        <w:rPr>
          <w:rFonts w:ascii="Times New Roman" w:hAnsi="Times New Roman" w:cs="Times New Roman"/>
          <w:b/>
          <w:bCs/>
          <w:sz w:val="24"/>
          <w:szCs w:val="24"/>
        </w:rPr>
        <w:t xml:space="preserve"> et al., 2011)</w:t>
      </w:r>
      <w:r w:rsidRPr="00252617">
        <w:rPr>
          <w:rFonts w:ascii="Times New Roman" w:hAnsi="Times New Roman" w:cs="Times New Roman"/>
          <w:sz w:val="24"/>
          <w:szCs w:val="24"/>
        </w:rPr>
        <w:t>.</w:t>
      </w:r>
    </w:p>
    <w:p w14:paraId="400217A7"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4.2 Significance of Low-Chilling Cultivars</w:t>
      </w:r>
    </w:p>
    <w:p w14:paraId="2B523FDB" w14:textId="2E17F7D5"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Low-chilling cultivars are central to the possibility of expanding apple cultivation into subtropical environments. Experimental research in Assam evaluated </w:t>
      </w:r>
      <w:r w:rsidRPr="00E73CA2">
        <w:rPr>
          <w:rFonts w:ascii="Times New Roman" w:hAnsi="Times New Roman" w:cs="Times New Roman"/>
          <w:b/>
          <w:bCs/>
          <w:sz w:val="24"/>
          <w:szCs w:val="24"/>
        </w:rPr>
        <w:t>HRMN-99, Dorsett Golden, and Anna</w:t>
      </w:r>
      <w:r w:rsidRPr="00E73CA2">
        <w:rPr>
          <w:rFonts w:ascii="Times New Roman" w:hAnsi="Times New Roman" w:cs="Times New Roman"/>
          <w:sz w:val="24"/>
          <w:szCs w:val="24"/>
        </w:rPr>
        <w:t xml:space="preserve"> and found differences in vegetative growth and leaf nutrient status among the cultivars; HRMN-99 showed particularly promising growth under the conditions of that experiment (Sharma et al., 2024). </w:t>
      </w:r>
    </w:p>
    <w:p w14:paraId="0D687467" w14:textId="0DC9BF76"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HRMN-99 is especially relevant to the present study because India's Department of Science and Technology reports that the cultivar has been grown in tropical, subtropical, and plain regions where summer temperatures can reach approximately 40–45°C. The same source reports that commercial cultivation had been initiated in several states, including </w:t>
      </w:r>
      <w:r w:rsidRPr="00E73CA2">
        <w:rPr>
          <w:rFonts w:ascii="Times New Roman" w:hAnsi="Times New Roman" w:cs="Times New Roman"/>
          <w:b/>
          <w:bCs/>
          <w:sz w:val="24"/>
          <w:szCs w:val="24"/>
        </w:rPr>
        <w:t>Telangana</w:t>
      </w:r>
      <w:r w:rsidRPr="00E73CA2">
        <w:rPr>
          <w:rFonts w:ascii="Times New Roman" w:hAnsi="Times New Roman" w:cs="Times New Roman"/>
          <w:sz w:val="24"/>
          <w:szCs w:val="24"/>
        </w:rPr>
        <w:t>, although such evidence should not be interpreted as proof of equivalent performance at every location within the state. Thus, HRMN-99 represents a strong candidate for experimental evaluation in Adilabad, while Anna, Dorsett Golden, and Tropical Beauty can provide useful comparative material.</w:t>
      </w:r>
    </w:p>
    <w:p w14:paraId="5E147D66" w14:textId="329082B7" w:rsidR="009F3240" w:rsidRDefault="009F3240" w:rsidP="00E73CA2">
      <w:pPr>
        <w:jc w:val="both"/>
        <w:rPr>
          <w:rFonts w:ascii="Times New Roman" w:hAnsi="Times New Roman" w:cs="Times New Roman"/>
          <w:sz w:val="24"/>
          <w:szCs w:val="24"/>
        </w:rPr>
      </w:pPr>
      <w:r w:rsidRPr="009F3240">
        <w:rPr>
          <w:rFonts w:ascii="Times New Roman" w:hAnsi="Times New Roman" w:cs="Times New Roman"/>
          <w:sz w:val="24"/>
          <w:szCs w:val="24"/>
        </w:rPr>
      </w:r>
      <w:r>
        <w:rPr>
          <w:rFonts w:ascii="Times New Roman" w:hAnsi="Times New Roman" w:cs="Times New Roman"/>
          <w:sz w:val="24"/>
          <w:szCs w:val="24"/>
          <w:highlight w:val="yellow"/>
        </w:rPr>
        <w:t>The reported adaptation</w:t>
      </w:r>
      <w:r>
        <w:rPr>
          <w:rFonts w:ascii="Times New Roman" w:hAnsi="Times New Roman" w:cs="Times New Roman"/>
          <w:sz w:val="24"/>
          <w:szCs w:val="24"/>
        </w:rPr>
        <w:t xml:space="preserve"> of HRMN-99 to tropical, subtropical, and plain areas provides a basis for considering the cultivar in preliminary suitability assessments of warmer regions; however, local field validation remains necessary </w:t>
      </w:r>
      <w:r w:rsidRPr="009F3240">
        <w:rPr>
          <w:rFonts w:ascii="Times New Roman" w:hAnsi="Times New Roman" w:cs="Times New Roman"/>
          <w:b/>
          <w:bCs/>
          <w:sz w:val="24"/>
          <w:szCs w:val="24"/>
        </w:rPr>
        <w:t>(National Innovation Foundation–India, n.d.)</w:t>
      </w:r>
      <w:r w:rsidRPr="009F3240">
        <w:rPr>
          <w:rFonts w:ascii="Times New Roman" w:hAnsi="Times New Roman" w:cs="Times New Roman"/>
          <w:sz w:val="24"/>
          <w:szCs w:val="24"/>
        </w:rPr>
        <w:t>.</w:t>
      </w:r>
    </w:p>
    <w:p w14:paraId="27DE8BD7" w14:textId="35FE0EE4" w:rsidR="00BB6D71" w:rsidRPr="00E73CA2" w:rsidRDefault="00BB6D71" w:rsidP="00E73CA2">
      <w:pPr>
        <w:jc w:val="both"/>
        <w:rPr>
          <w:rFonts w:ascii="Times New Roman" w:hAnsi="Times New Roman" w:cs="Times New Roman"/>
          <w:sz w:val="24"/>
          <w:szCs w:val="24"/>
        </w:rPr>
      </w:pPr>
      <w:r w:rsidRPr="00BB6D71">
        <w:rPr>
          <w:rFonts w:ascii="Times New Roman" w:hAnsi="Times New Roman" w:cs="Times New Roman"/>
          <w:sz w:val="24"/>
          <w:szCs w:val="24"/>
        </w:rPr>
        <w:t xml:space="preserve">Evidence from Prayagraj further supports the experimental evaluation of HRMN-99 under subtropical conditions, although cultivar performance remains dependent on local environmental and crop-management factors </w:t>
      </w:r>
      <w:r w:rsidRPr="00BB6D71">
        <w:rPr>
          <w:rFonts w:ascii="Times New Roman" w:hAnsi="Times New Roman" w:cs="Times New Roman"/>
          <w:b/>
          <w:bCs/>
          <w:sz w:val="24"/>
          <w:szCs w:val="24"/>
        </w:rPr>
        <w:t>(Vats et al., 2022)</w:t>
      </w:r>
      <w:r w:rsidRPr="00BB6D71">
        <w:rPr>
          <w:rFonts w:ascii="Times New Roman" w:hAnsi="Times New Roman" w:cs="Times New Roman"/>
          <w:sz w:val="24"/>
          <w:szCs w:val="24"/>
        </w:rPr>
        <w:t>.</w:t>
      </w:r>
    </w:p>
    <w:p w14:paraId="7B463D99"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4.3 Soil Suitability</w:t>
      </w:r>
    </w:p>
    <w:p w14:paraId="50B620E6"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Soil characteristics represent another important determinant of potential apple establishment. The preliminary assessment indicates variation in soil pH, electrical conductivity, organic carbon, available nutrients, and texture among the selected locations. The relatively favourable sites should be interpreted in relation to established apple soil requirements </w:t>
      </w:r>
      <w:r>
        <w:rPr>
          <w:rFonts w:ascii="Times New Roman" w:hAnsi="Times New Roman" w:cs="Times New Roman"/>
          <w:sz w:val="24"/>
          <w:szCs w:val="24"/>
          <w:highlight w:val="yellow"/>
        </w:rPr>
        <w:t>rather than nutrient status alone</w:t>
      </w:r>
      <w:r>
        <w:rPr>
          <w:rFonts w:ascii="Times New Roman" w:hAnsi="Times New Roman" w:cs="Times New Roman"/>
          <w:sz w:val="24"/>
          <w:szCs w:val="24"/>
        </w:rPr>
        <w:t>.</w:t>
      </w:r>
    </w:p>
    <w:p w14:paraId="7618FD61" w14:textId="46E19B0B"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Punjab Agricultural University recommends well-drained soil and indicates that low-chill apple cultivars can tolerate soils with pH below 8.0, provided other physical and chemical </w:t>
      </w:r>
      <w:r w:rsidRPr="00E73CA2">
        <w:rPr>
          <w:rFonts w:ascii="Times New Roman" w:hAnsi="Times New Roman" w:cs="Times New Roman"/>
          <w:sz w:val="24"/>
          <w:szCs w:val="24"/>
        </w:rPr>
        <w:t xml:space="preserve">conditions are appropriate. It also </w:t>
      </w:r>
      <w:r>
        <w:rPr>
          <w:rFonts w:ascii="Times New Roman" w:hAnsi="Times New Roman" w:cs="Times New Roman"/>
          <w:sz w:val="24"/>
          <w:szCs w:val="24"/>
          <w:highlight w:val="yellow"/>
        </w:rPr>
        <w:t>emphasises</w:t>
      </w:r>
      <w:r>
        <w:rPr>
          <w:rFonts w:ascii="Times New Roman" w:hAnsi="Times New Roman" w:cs="Times New Roman"/>
          <w:sz w:val="24"/>
          <w:szCs w:val="24"/>
        </w:rPr>
        <w:t xml:space="preserve"> adequate soil depth and avoidance of hardpan and waterlogged conditions. Therefore, the relatively favourable scores assigned to some Adilabad sites should be attributed to the combined effects of soil texture, drainage, pH, organic matter, and nutrient status rather than to a single soil parameter. Actual soil laboratory analysis and profile examination would be necessary before orchard establishment.</w:t>
      </w:r>
    </w:p>
    <w:p w14:paraId="7C6FB874" w14:textId="78AD5A21" w:rsidR="00AE5063" w:rsidRDefault="00AE5063" w:rsidP="00E73CA2">
      <w:pPr>
        <w:jc w:val="both"/>
        <w:rPr>
          <w:rFonts w:ascii="Times New Roman" w:hAnsi="Times New Roman" w:cs="Times New Roman"/>
          <w:b/>
          <w:bCs/>
          <w:sz w:val="24"/>
          <w:szCs w:val="24"/>
        </w:rPr>
      </w:pPr>
      <w:r w:rsidRPr="00AE5063">
        <w:rPr>
          <w:rFonts w:ascii="Times New Roman" w:hAnsi="Times New Roman" w:cs="Times New Roman"/>
          <w:sz w:val="24"/>
          <w:szCs w:val="24"/>
        </w:rPr>
        <w:t xml:space="preserve">The observed variation in soil pH, electrical conductivity, organic carbon, nutrient status, and texture indicates that site-specific soil assessment is necessary before establishing apple orchards. Appropriate soil drainage and physical conditions are particularly important for apple production </w:t>
      </w:r>
      <w:r w:rsidRPr="00AE5063">
        <w:rPr>
          <w:rFonts w:ascii="Times New Roman" w:hAnsi="Times New Roman" w:cs="Times New Roman"/>
          <w:b/>
          <w:bCs/>
          <w:sz w:val="24"/>
          <w:szCs w:val="24"/>
        </w:rPr>
        <w:t>(Directorate of Plant Protection, Quarantine &amp; Storage, 2022).</w:t>
      </w:r>
    </w:p>
    <w:p w14:paraId="20467BA7" w14:textId="767A81F0" w:rsidR="00AB6F4A" w:rsidRPr="00E73CA2" w:rsidRDefault="00AB6F4A" w:rsidP="00E73CA2">
      <w:pPr>
        <w:jc w:val="both"/>
        <w:rPr>
          <w:rFonts w:ascii="Times New Roman" w:hAnsi="Times New Roman" w:cs="Times New Roman"/>
          <w:sz w:val="24"/>
          <w:szCs w:val="24"/>
        </w:rPr>
      </w:pPr>
      <w:r w:rsidRPr="00AB6F4A">
        <w:rPr>
          <w:rFonts w:ascii="Times New Roman" w:hAnsi="Times New Roman" w:cs="Times New Roman"/>
          <w:sz w:val="24"/>
          <w:szCs w:val="24"/>
        </w:rPr>
        <w:t xml:space="preserve">The variation in soil characteristics among the selected sites highlights the importance of site-specific soil assessment before orchard establishment. Suitable soil physical conditions, adequate drainage, and appropriate soil reaction are important considerations for successful apple cultivation </w:t>
      </w:r>
      <w:r w:rsidRPr="00AB6F4A">
        <w:rPr>
          <w:rFonts w:ascii="Times New Roman" w:hAnsi="Times New Roman" w:cs="Times New Roman"/>
          <w:b/>
          <w:bCs/>
          <w:sz w:val="24"/>
          <w:szCs w:val="24"/>
        </w:rPr>
        <w:t xml:space="preserve">(Punjab Agricultural University, </w:t>
      </w:r>
      <w:r w:rsidR="00AD5D82">
        <w:rPr>
          <w:rFonts w:ascii="Times New Roman" w:hAnsi="Times New Roman" w:cs="Times New Roman"/>
          <w:b/>
          <w:bCs/>
          <w:sz w:val="24"/>
          <w:szCs w:val="24"/>
        </w:rPr>
        <w:t>2021</w:t>
      </w:r>
      <w:r w:rsidRPr="00AB6F4A">
        <w:rPr>
          <w:rFonts w:ascii="Times New Roman" w:hAnsi="Times New Roman" w:cs="Times New Roman"/>
          <w:b/>
          <w:bCs/>
          <w:sz w:val="24"/>
          <w:szCs w:val="24"/>
        </w:rPr>
        <w:t>)</w:t>
      </w:r>
      <w:r w:rsidRPr="00AB6F4A">
        <w:rPr>
          <w:rFonts w:ascii="Times New Roman" w:hAnsi="Times New Roman" w:cs="Times New Roman"/>
          <w:sz w:val="24"/>
          <w:szCs w:val="24"/>
        </w:rPr>
        <w:t>.</w:t>
      </w:r>
    </w:p>
    <w:p w14:paraId="37BD6CAC"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4.4 Water Requirements and Irrigation</w:t>
      </w:r>
    </w:p>
    <w:p w14:paraId="78FED4D4" w14:textId="17D25041"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Although Adilabad receives substantial annual rainfall, its rainfall is strongly seasonal, with most precipitation concentrated during the southwest monsoon. Consequently, annual rainfall alone cannot be considered sufficient evidence of year-round water availability. Apple trees require adequate moisture during establishment, vegetative growth, flowering, fruit development, and fruit enlargement.</w:t>
      </w:r>
    </w:p>
    <w:p w14:paraId="6337BAC1"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Supplementary irrigation may therefore be necessary during prolonged dry periods. Drip irrigation could provide an efficient approach for experimental orchards where reliable water sources are available. However, water quality, groundwater sustainability, and seasonal availability should be assessed before establishing plantations.</w:t>
      </w:r>
    </w:p>
    <w:p w14:paraId="6C04741F"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4.5 Forest-Region Environmental Considerations</w:t>
      </w:r>
    </w:p>
    <w:p w14:paraId="01E7CCB1"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ecological context of the study is particularly important because the proposed study area includes forest-fringe environments. Potential apple cultivation should </w:t>
      </w:r>
      <w:r w:rsidRPr="00E73CA2">
        <w:rPr>
          <w:rFonts w:ascii="Times New Roman" w:hAnsi="Times New Roman" w:cs="Times New Roman"/>
          <w:b/>
          <w:bCs/>
          <w:sz w:val="24"/>
          <w:szCs w:val="24"/>
        </w:rPr>
        <w:t>not involve clearing natural forest vegetation or converting protected forest land into orchards</w:t>
      </w:r>
      <w:r w:rsidRPr="00E73CA2">
        <w:rPr>
          <w:rFonts w:ascii="Times New Roman" w:hAnsi="Times New Roman" w:cs="Times New Roman"/>
          <w:sz w:val="24"/>
          <w:szCs w:val="24"/>
        </w:rPr>
        <w:t>. Natural vegetation contributes to biodiversity conservation, soil protection, watershed functions, and habitat connectivity.</w:t>
      </w:r>
    </w:p>
    <w:p w14:paraId="34A4467E"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Accordingly, the potential cultivation sites should be restricted to </w:t>
      </w:r>
      <w:r w:rsidRPr="00E73CA2">
        <w:rPr>
          <w:rFonts w:ascii="Times New Roman" w:hAnsi="Times New Roman" w:cs="Times New Roman"/>
          <w:b/>
          <w:bCs/>
          <w:sz w:val="24"/>
          <w:szCs w:val="24"/>
        </w:rPr>
        <w:t>legally available agricultural land, private land, previously cultivated land, or appropriate non-forest forest-fringe areas</w:t>
      </w:r>
      <w:r w:rsidRPr="00E73CA2">
        <w:rPr>
          <w:rFonts w:ascii="Times New Roman" w:hAnsi="Times New Roman" w:cs="Times New Roman"/>
          <w:sz w:val="24"/>
          <w:szCs w:val="24"/>
        </w:rPr>
        <w:t>. Soil erosion, habitat fragmentation, pesticide impacts, and interactions with surrounding forest ecosystems should also be considered. This approach allows agricultural potential to be investigated without treating natural forest ecosystems as unused agricultural land.</w:t>
      </w:r>
    </w:p>
    <w:p w14:paraId="1D311F5A"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4.6 Comparison with Other Non-Traditional Apple Regions</w:t>
      </w:r>
    </w:p>
    <w:p w14:paraId="008C866F" w14:textId="2EF4E565"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Evidence from other Indian subtropical regions supports the principle of evaluating low-chilling cultivars under local conditions. The Assam study demonstrated measurable differences among HRMN-99, Dorsett Golden, and Anna under subtropical conditions (Sharma et al., 2024). Similarly, government documentation of HRMN-99 indicates successful adoption or fruit setting across several non-traditional regions, including Telangana. </w:t>
      </w:r>
    </w:p>
    <w:p w14:paraId="2A0DEF6C" w14:textId="77777777" w:rsid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lastRenderedPageBreak/>
        <w:t xml:space="preserve">However, these examples should not be interpreted as evidence that the same yield or fruit quality will occur in Adilabad. Differences in winter chilling, summer heat, soil, water availability, elevation, pests, and orchard management can substantially influence cultivar performance. Therefore, </w:t>
      </w:r>
      <w:r w:rsidRPr="00E73CA2">
        <w:rPr>
          <w:rFonts w:ascii="Times New Roman" w:hAnsi="Times New Roman" w:cs="Times New Roman"/>
          <w:b/>
          <w:bCs/>
          <w:sz w:val="24"/>
          <w:szCs w:val="24"/>
        </w:rPr>
        <w:t>cultivar × environment interaction</w:t>
      </w:r>
      <w:r w:rsidRPr="00E73CA2">
        <w:rPr>
          <w:rFonts w:ascii="Times New Roman" w:hAnsi="Times New Roman" w:cs="Times New Roman"/>
          <w:sz w:val="24"/>
          <w:szCs w:val="24"/>
        </w:rPr>
        <w:t xml:space="preserve"> is a central consideration in assessing the feasibility of apple cultivation in Adilabad.</w:t>
      </w:r>
    </w:p>
    <w:p w14:paraId="481517F6" w14:textId="0467809C" w:rsidR="00BB6D71" w:rsidRPr="00E73CA2" w:rsidRDefault="00BB6D71" w:rsidP="00E73CA2">
      <w:pPr>
        <w:jc w:val="both"/>
        <w:rPr>
          <w:rFonts w:ascii="Times New Roman" w:hAnsi="Times New Roman" w:cs="Times New Roman"/>
          <w:sz w:val="24"/>
          <w:szCs w:val="24"/>
        </w:rPr>
      </w:pPr>
      <w:r w:rsidRPr="00BB6D71">
        <w:rPr>
          <w:rFonts w:ascii="Times New Roman" w:hAnsi="Times New Roman" w:cs="Times New Roman"/>
          <w:sz w:val="24"/>
          <w:szCs w:val="24"/>
        </w:rPr>
        <w:t xml:space="preserve">In Prayagraj, HRMN-99 has been investigated under subtropical </w:t>
      </w:r>
      <w:proofErr w:type="spellStart"/>
      <w:r w:rsidRPr="00BB6D71">
        <w:rPr>
          <w:rFonts w:ascii="Times New Roman" w:hAnsi="Times New Roman" w:cs="Times New Roman"/>
          <w:sz w:val="24"/>
          <w:szCs w:val="24"/>
        </w:rPr>
        <w:t>agro</w:t>
      </w:r>
      <w:proofErr w:type="spellEnd"/>
      <w:r w:rsidRPr="00BB6D71">
        <w:rPr>
          <w:rFonts w:ascii="Times New Roman" w:hAnsi="Times New Roman" w:cs="Times New Roman"/>
          <w:sz w:val="24"/>
          <w:szCs w:val="24"/>
        </w:rPr>
        <w:t xml:space="preserve">-climatic conditions, providing a useful comparison for evaluating the potential of low-chilling apple cultivation in other warmer regions of India </w:t>
      </w:r>
      <w:r w:rsidRPr="00BB6D71">
        <w:rPr>
          <w:rFonts w:ascii="Times New Roman" w:hAnsi="Times New Roman" w:cs="Times New Roman"/>
          <w:b/>
          <w:bCs/>
          <w:sz w:val="24"/>
          <w:szCs w:val="24"/>
        </w:rPr>
        <w:t>(Vats et al., 2022)</w:t>
      </w:r>
      <w:r w:rsidRPr="00BB6D71">
        <w:rPr>
          <w:rFonts w:ascii="Times New Roman" w:hAnsi="Times New Roman" w:cs="Times New Roman"/>
          <w:sz w:val="24"/>
          <w:szCs w:val="24"/>
        </w:rPr>
        <w:t>.</w:t>
      </w:r>
    </w:p>
    <w:p w14:paraId="73A6C452"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4.7 Limitations</w:t>
      </w:r>
    </w:p>
    <w:p w14:paraId="0AB72517" w14:textId="0C5FCA1E" w:rsidR="00266CB1" w:rsidRDefault="00266CB1" w:rsidP="00E73CA2">
      <w:pPr>
        <w:jc w:val="both"/>
        <w:rPr>
          <w:rFonts w:ascii="Times New Roman" w:hAnsi="Times New Roman" w:cs="Times New Roman"/>
          <w:sz w:val="24"/>
          <w:szCs w:val="24"/>
        </w:rPr>
      </w:pPr>
      <w:r w:rsidRPr="00266CB1">
        <w:rPr>
          <w:rFonts w:ascii="Times New Roman" w:hAnsi="Times New Roman" w:cs="Times New Roman"/>
          <w:sz w:val="24"/>
          <w:szCs w:val="24"/>
          <w:highlight w:val="yellow"/>
        </w:rPr>
        <w:t>An important limitation of the present study is that the site-level climatic, soil, water, and chilling values used in the preliminary assessment are simulated rather than directly measured through field and laboratory observations</w:t>
      </w:r>
      <w:r>
        <w:rPr>
          <w:rFonts w:ascii="Times New Roman" w:hAnsi="Times New Roman" w:cs="Times New Roman"/>
          <w:sz w:val="24"/>
          <w:szCs w:val="24"/>
          <w:highlight w:val="yellow"/>
        </w:rPr>
        <w:t>.</w:t>
      </w:r>
    </w:p>
    <w:p w14:paraId="5FC66B12" w14:textId="0B10486D"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present assessment has several limitations. The number of locations considered is limited, and the preliminary climatic and chilling assessment requires validation using long-term site-specific observations. Chilling accumulation may vary substantially depending on the calculation model and hourly temperature data used. Furthermore, the assessment does not yet provide multi-year measurements of bud break, flowering, fruit set, fruit quality, or yield.</w:t>
      </w:r>
    </w:p>
    <w:p w14:paraId="5A067BB6"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Additional uncertainties include cultivar-specific responses to heat stress, pest and disease incidence, irrigation requirements, post-harvest handling, market access, and economic viability. Therefore, the environmental suitability scores should be regarded as </w:t>
      </w:r>
      <w:r w:rsidRPr="00E73CA2">
        <w:rPr>
          <w:rFonts w:ascii="Times New Roman" w:hAnsi="Times New Roman" w:cs="Times New Roman"/>
          <w:b/>
          <w:bCs/>
          <w:sz w:val="24"/>
          <w:szCs w:val="24"/>
        </w:rPr>
        <w:t>preliminary rather than definitive evidence of commercial feasibility</w:t>
      </w:r>
      <w:r w:rsidRPr="00E73CA2">
        <w:rPr>
          <w:rFonts w:ascii="Times New Roman" w:hAnsi="Times New Roman" w:cs="Times New Roman"/>
          <w:sz w:val="24"/>
          <w:szCs w:val="24"/>
        </w:rPr>
        <w:t>.</w:t>
      </w:r>
    </w:p>
    <w:p w14:paraId="45C4DDB8"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4.8 Future Experimental Validation</w:t>
      </w:r>
    </w:p>
    <w:p w14:paraId="2C7AA533"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 </w:t>
      </w:r>
      <w:r w:rsidRPr="00E73CA2">
        <w:rPr>
          <w:rFonts w:ascii="Times New Roman" w:hAnsi="Times New Roman" w:cs="Times New Roman"/>
          <w:b/>
          <w:bCs/>
          <w:sz w:val="24"/>
          <w:szCs w:val="24"/>
        </w:rPr>
        <w:t>2–3-year pilot orchard experiment</w:t>
      </w:r>
      <w:r w:rsidRPr="00E73CA2">
        <w:rPr>
          <w:rFonts w:ascii="Times New Roman" w:hAnsi="Times New Roman" w:cs="Times New Roman"/>
          <w:sz w:val="24"/>
          <w:szCs w:val="24"/>
        </w:rPr>
        <w:t xml:space="preserve"> should be established at selected legally suitable sites to validate the preliminary assessment. HRMN-99, Anna, Dorsett Golden, and Tropical Beauty could be evaluated using a replicated experimental design. Observations should include </w:t>
      </w:r>
      <w:r w:rsidRPr="00E73CA2">
        <w:rPr>
          <w:rFonts w:ascii="Times New Roman" w:hAnsi="Times New Roman" w:cs="Times New Roman"/>
          <w:b/>
          <w:bCs/>
          <w:sz w:val="24"/>
          <w:szCs w:val="24"/>
        </w:rPr>
        <w:t>bud-break date, flowering date, flowering duration, fruit set percentage, number of fruits per tree, individual fruit weight, total yield per tree, total soluble solids (TSS), titratable acidity, fruit colour, pest and disease incidence, and annual plant survival</w:t>
      </w:r>
      <w:r w:rsidRPr="00E73CA2">
        <w:rPr>
          <w:rFonts w:ascii="Times New Roman" w:hAnsi="Times New Roman" w:cs="Times New Roman"/>
          <w:sz w:val="24"/>
          <w:szCs w:val="24"/>
        </w:rPr>
        <w:t>.</w:t>
      </w:r>
    </w:p>
    <w:p w14:paraId="782068B2"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Repeated observations over multiple seasons would allow the effects of year-to-year climatic variation to be distinguished from cultivar effects. Such an experiment would provide stronger evidence for determining whether selected Adilabad environments can support sustainable low-chilling apple production.</w:t>
      </w:r>
    </w:p>
    <w:p w14:paraId="0E5D6655" w14:textId="77777777" w:rsidR="00E73CA2" w:rsidRPr="00234464" w:rsidRDefault="00E73CA2" w:rsidP="00E73CA2">
      <w:pPr>
        <w:jc w:val="both"/>
        <w:rPr>
          <w:rFonts w:ascii="Times New Roman" w:hAnsi="Times New Roman" w:cs="Times New Roman"/>
          <w:sz w:val="24"/>
          <w:szCs w:val="24"/>
        </w:rPr>
      </w:pPr>
      <w:r w:rsidRPr="00E73CA2">
        <w:rPr>
          <w:rFonts w:ascii="Times New Roman" w:hAnsi="Times New Roman" w:cs="Times New Roman"/>
          <w:b/>
          <w:bCs/>
          <w:sz w:val="24"/>
          <w:szCs w:val="24"/>
        </w:rPr>
        <w:t>Overall interpretation:</w:t>
      </w:r>
      <w:r w:rsidRPr="00E73CA2">
        <w:rPr>
          <w:rFonts w:ascii="Times New Roman" w:hAnsi="Times New Roman" w:cs="Times New Roman"/>
          <w:sz w:val="24"/>
          <w:szCs w:val="24"/>
        </w:rPr>
        <w:t xml:space="preserve"> the preliminary evidence supports </w:t>
      </w:r>
      <w:r w:rsidRPr="00E73CA2">
        <w:rPr>
          <w:rFonts w:ascii="Times New Roman" w:hAnsi="Times New Roman" w:cs="Times New Roman"/>
          <w:b/>
          <w:bCs/>
          <w:sz w:val="24"/>
          <w:szCs w:val="24"/>
        </w:rPr>
        <w:t>further experimental investigation</w:t>
      </w:r>
      <w:r w:rsidRPr="00E73CA2">
        <w:rPr>
          <w:rFonts w:ascii="Times New Roman" w:hAnsi="Times New Roman" w:cs="Times New Roman"/>
          <w:sz w:val="24"/>
          <w:szCs w:val="24"/>
        </w:rPr>
        <w:t>, particularly with low-chilling cultivars, but it does not by itself establish that commercial apple production is currently feasible throughout Adilabad. The most important next step is multi-season field validation under controlled and legally appropriate land-use conditions.</w:t>
      </w:r>
    </w:p>
    <w:p w14:paraId="04992826"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5. CONCLUSION</w:t>
      </w:r>
    </w:p>
    <w:p w14:paraId="02A5FCB8"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The present study indicates that selected environmental locations in Adilabad District, Telangana, may have potential for the experimental cultivation of low-chilling apple cultivars under local environmental conditions. The climatic characteristics of the region differ </w:t>
      </w:r>
      <w:r w:rsidRPr="00E73CA2">
        <w:rPr>
          <w:rFonts w:ascii="Times New Roman" w:hAnsi="Times New Roman" w:cs="Times New Roman"/>
          <w:sz w:val="24"/>
          <w:szCs w:val="24"/>
        </w:rPr>
        <w:lastRenderedPageBreak/>
        <w:t>considerably from those of conventional temperate apple-growing areas, particularly because of high summer temperatures and comparatively limited winter chilling. These conditions may restrict the performance of conventional high-chilling apple cultivars. However, the availability of low-chilling cultivars provides an opportunity to investigate apple cultivation in selected subtropical environments.</w:t>
      </w:r>
    </w:p>
    <w:p w14:paraId="34DCDA30"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Among the cultivars considered in the present assessment, HRMN-99, Anna, Dorsett Golden, and Tropical Beauty represent promising candidates for further evaluation. HRMN-99 is of particular interest because it has been reported as a low-chilling cultivar capable of growing and producing fruit under relatively warm Indian conditions. However, successful performance of these cultivars in other regions cannot be assumed to occur at the same level in Adilabad because differences in temperature, chilling accumulation, soil properties, water availability, elevation, and management practices can influence plant growth, flowering, fruit set, and yield.</w:t>
      </w:r>
    </w:p>
    <w:p w14:paraId="17AB37E3"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major environmental constraints identified include high summer heat, uncertain winter chilling accumulation, seasonal water availability, variation in soil properties, and potential pest and disease pressure. Therefore, the preliminary environmental suitability assessment should not be interpreted as evidence of established commercial apple production in the district.</w:t>
      </w:r>
    </w:p>
    <w:p w14:paraId="55329E55" w14:textId="77777777" w:rsidR="00BB6D71"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 xml:space="preserve">A replicated </w:t>
      </w:r>
      <w:r w:rsidRPr="00E73CA2">
        <w:rPr>
          <w:rFonts w:ascii="Times New Roman" w:hAnsi="Times New Roman" w:cs="Times New Roman"/>
          <w:b/>
          <w:bCs/>
          <w:sz w:val="24"/>
          <w:szCs w:val="24"/>
        </w:rPr>
        <w:t>2–3-year pilot-scale field experiment</w:t>
      </w:r>
      <w:r w:rsidRPr="00E73CA2">
        <w:rPr>
          <w:rFonts w:ascii="Times New Roman" w:hAnsi="Times New Roman" w:cs="Times New Roman"/>
          <w:sz w:val="24"/>
          <w:szCs w:val="24"/>
        </w:rPr>
        <w:t xml:space="preserve"> is recommended at selected suitable sites to validate the preliminary findings. The experiment should evaluate bud break, flowering, fruit set, fruit yield, fruit quality, plant survival, and pest and disease incidence over multiple seasons. Importantly, experimental orchards should be established only on legally available agricultural or appropriate non-forest land. Natural forest vegetation should not be cleared or converted for apple cultivation. Thus, Adilabad represents a region worthy of further scientific investigation for low-chilling apple cultivation, with future recommendations based on verified multi-season field evidence rather than preliminary suitability assessment alone.</w:t>
      </w:r>
    </w:p>
    <w:p w14:paraId="67AB5307" w14:textId="6ADE97F3" w:rsidR="00BB6D71" w:rsidRDefault="00BB6D71" w:rsidP="00E73CA2">
      <w:pPr>
        <w:jc w:val="both"/>
        <w:rPr>
          <w:rFonts w:ascii="Times New Roman" w:hAnsi="Times New Roman" w:cs="Times New Roman"/>
          <w:sz w:val="24"/>
          <w:szCs w:val="24"/>
        </w:rPr>
      </w:pPr>
      <w:r w:rsidRPr="00BB6D71">
        <w:rPr>
          <w:rFonts w:ascii="Times New Roman" w:hAnsi="Times New Roman" w:cs="Times New Roman"/>
          <w:sz w:val="24"/>
          <w:szCs w:val="24"/>
        </w:rPr>
        <w:t xml:space="preserve">Previous studies from Assam and Prayagraj provide supporting evidence for continued evaluation of low-chilling apple cultivars under warm Indian </w:t>
      </w:r>
      <w:proofErr w:type="spellStart"/>
      <w:r w:rsidRPr="00BB6D71">
        <w:rPr>
          <w:rFonts w:ascii="Times New Roman" w:hAnsi="Times New Roman" w:cs="Times New Roman"/>
          <w:sz w:val="24"/>
          <w:szCs w:val="24"/>
        </w:rPr>
        <w:t>agro</w:t>
      </w:r>
      <w:proofErr w:type="spellEnd"/>
      <w:r w:rsidRPr="00BB6D71">
        <w:rPr>
          <w:rFonts w:ascii="Times New Roman" w:hAnsi="Times New Roman" w:cs="Times New Roman"/>
          <w:sz w:val="24"/>
          <w:szCs w:val="24"/>
        </w:rPr>
        <w:t>-climatic conditions (Sharma et al., 2024; Vats et al., 2022).</w:t>
      </w:r>
    </w:p>
    <w:p w14:paraId="670C6D3F" w14:textId="77777777" w:rsidR="002119BA" w:rsidRDefault="002119BA" w:rsidP="002119BA">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2C7FED9" w14:textId="77777777" w:rsidR="002119BA" w:rsidRDefault="002119BA" w:rsidP="002119BA">
      <w:pPr>
        <w:spacing w:after="0" w:line="240" w:lineRule="auto"/>
        <w:rPr>
          <w:rFonts w:ascii="Times New Roman" w:hAnsi="Times New Roman" w:cs="Times New Roman"/>
          <w:b/>
        </w:rPr>
      </w:pPr>
    </w:p>
    <w:p w14:paraId="2D88B96D" w14:textId="77777777" w:rsidR="002119BA" w:rsidRDefault="002119BA" w:rsidP="002119BA">
      <w:pPr>
        <w:spacing w:after="0" w:line="240" w:lineRule="auto"/>
        <w:rPr>
          <w:rFonts w:ascii="Times New Roman" w:hAnsi="Times New Roman" w:cs="Times New Roman"/>
          <w:b/>
        </w:rPr>
      </w:pPr>
    </w:p>
    <w:p w14:paraId="713E6855" w14:textId="77777777" w:rsidR="002119BA" w:rsidRDefault="002119BA" w:rsidP="002119BA">
      <w:pPr>
        <w:spacing w:after="0" w:line="240" w:lineRule="auto"/>
        <w:rPr>
          <w:rFonts w:ascii="Times New Roman" w:hAnsi="Times New Roman" w:cs="Times New Roman"/>
          <w:b/>
        </w:rPr>
      </w:pPr>
    </w:p>
    <w:p w14:paraId="023567A3" w14:textId="77777777" w:rsidR="002119BA" w:rsidRPr="002D08AC" w:rsidRDefault="002119BA" w:rsidP="002119B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62B3A64"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Competing Interests</w:t>
      </w:r>
    </w:p>
    <w:p w14:paraId="636BCB65"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authors declare that they have no competing interests.</w:t>
      </w:r>
    </w:p>
    <w:p w14:paraId="45971CBE" w14:textId="77777777" w:rsidR="00E73CA2" w:rsidRPr="00E73CA2" w:rsidRDefault="00E73CA2" w:rsidP="00E73CA2">
      <w:pPr>
        <w:jc w:val="both"/>
        <w:rPr>
          <w:rFonts w:ascii="Times New Roman" w:hAnsi="Times New Roman" w:cs="Times New Roman"/>
          <w:b/>
          <w:bCs/>
          <w:sz w:val="24"/>
          <w:szCs w:val="24"/>
        </w:rPr>
      </w:pPr>
      <w:r w:rsidRPr="00E73CA2">
        <w:rPr>
          <w:rFonts w:ascii="Times New Roman" w:hAnsi="Times New Roman" w:cs="Times New Roman"/>
          <w:b/>
          <w:bCs/>
          <w:sz w:val="24"/>
          <w:szCs w:val="24"/>
        </w:rPr>
        <w:t>Data Availability</w:t>
      </w:r>
    </w:p>
    <w:p w14:paraId="51367499" w14:textId="77777777" w:rsidR="00E73CA2" w:rsidRPr="00E73CA2" w:rsidRDefault="00E73CA2" w:rsidP="00E73CA2">
      <w:pPr>
        <w:jc w:val="both"/>
        <w:rPr>
          <w:rFonts w:ascii="Times New Roman" w:hAnsi="Times New Roman" w:cs="Times New Roman"/>
          <w:sz w:val="24"/>
          <w:szCs w:val="24"/>
        </w:rPr>
      </w:pPr>
      <w:r w:rsidRPr="00E73CA2">
        <w:rPr>
          <w:rFonts w:ascii="Times New Roman" w:hAnsi="Times New Roman" w:cs="Times New Roman"/>
          <w:sz w:val="24"/>
          <w:szCs w:val="24"/>
        </w:rPr>
        <w:t>The data supporting the findings of this study should be made available by the corresponding author upon reasonable request, subject to applicable institutional and ethical requirements.</w:t>
      </w:r>
    </w:p>
    <w:p w14:paraId="2A83E98E" w14:textId="77777777" w:rsidR="00514845" w:rsidRPr="00514845" w:rsidRDefault="00514845" w:rsidP="00514845">
      <w:pPr>
        <w:jc w:val="both"/>
        <w:rPr>
          <w:rFonts w:ascii="Times New Roman" w:hAnsi="Times New Roman" w:cs="Times New Roman"/>
          <w:b/>
          <w:bCs/>
          <w:sz w:val="24"/>
          <w:szCs w:val="24"/>
        </w:rPr>
      </w:pPr>
      <w:r w:rsidRPr="00514845">
        <w:rPr>
          <w:rFonts w:ascii="Times New Roman" w:hAnsi="Times New Roman" w:cs="Times New Roman"/>
          <w:b/>
          <w:bCs/>
          <w:sz w:val="24"/>
          <w:szCs w:val="24"/>
        </w:rPr>
        <w:t>REFERENCES</w:t>
      </w:r>
    </w:p>
    <w:p w14:paraId="13B3DA40" w14:textId="7D4CB509"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lastRenderedPageBreak/>
        <w:t xml:space="preserve">Adilabad District Administration. (n.d.). </w:t>
      </w:r>
      <w:r w:rsidRPr="00AD5D82">
        <w:rPr>
          <w:rFonts w:ascii="Times New Roman" w:eastAsia="Times New Roman" w:hAnsi="Times New Roman" w:cs="Times New Roman"/>
          <w:i/>
          <w:iCs/>
          <w:sz w:val="24"/>
          <w:szCs w:val="24"/>
          <w:lang w:val="en-US" w:bidi="ar-SA"/>
        </w:rPr>
        <w:t>About district</w:t>
      </w:r>
      <w:r w:rsidRPr="00AD5D82">
        <w:rPr>
          <w:rFonts w:ascii="Times New Roman" w:eastAsia="Times New Roman" w:hAnsi="Times New Roman" w:cs="Times New Roman"/>
          <w:sz w:val="24"/>
          <w:szCs w:val="24"/>
          <w:lang w:val="en-US" w:bidi="ar-SA"/>
        </w:rPr>
        <w:t xml:space="preserve">. Government of Telangana. </w:t>
      </w:r>
      <w:hyperlink r:id="rId13" w:history="1">
        <w:r w:rsidRPr="00AD5D82">
          <w:rPr>
            <w:rFonts w:ascii="Times New Roman" w:eastAsia="Times New Roman" w:hAnsi="Times New Roman" w:cs="Times New Roman"/>
            <w:color w:val="0000FF"/>
            <w:sz w:val="24"/>
            <w:szCs w:val="24"/>
            <w:u w:val="single"/>
            <w:lang w:val="en-US" w:bidi="ar-SA"/>
          </w:rPr>
          <w:t>https://adilabad.telangana.gov.in/about-district/</w:t>
        </w:r>
      </w:hyperlink>
    </w:p>
    <w:p w14:paraId="75C889C3" w14:textId="5D1B44C7"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t xml:space="preserve">Cornille, A., Giraud, T., Smulders, M. J. M., Roldán-Ruiz, I., &amp; Gladieux, P. (2014). The domestication and evolutionary ecology of apples. </w:t>
      </w:r>
      <w:r w:rsidRPr="00AD5D82">
        <w:rPr>
          <w:rFonts w:ascii="Times New Roman" w:eastAsia="Times New Roman" w:hAnsi="Times New Roman" w:cs="Times New Roman"/>
          <w:i/>
          <w:iCs/>
          <w:sz w:val="24"/>
          <w:szCs w:val="24"/>
          <w:lang w:val="en-US" w:bidi="ar-SA"/>
        </w:rPr>
        <w:t>Trends in Genetics, 30</w:t>
      </w:r>
      <w:r w:rsidRPr="00AD5D82">
        <w:rPr>
          <w:rFonts w:ascii="Times New Roman" w:eastAsia="Times New Roman" w:hAnsi="Times New Roman" w:cs="Times New Roman"/>
          <w:sz w:val="24"/>
          <w:szCs w:val="24"/>
          <w:lang w:val="en-US" w:bidi="ar-SA"/>
        </w:rPr>
        <w:t xml:space="preserve">(2), 57–65. </w:t>
      </w:r>
      <w:hyperlink r:id="rId14" w:history="1">
        <w:r w:rsidRPr="00AD5D82">
          <w:rPr>
            <w:rFonts w:ascii="Times New Roman" w:eastAsia="Times New Roman" w:hAnsi="Times New Roman" w:cs="Times New Roman"/>
            <w:color w:val="0000FF"/>
            <w:sz w:val="24"/>
            <w:szCs w:val="24"/>
            <w:u w:val="single"/>
            <w:lang w:val="en-US" w:bidi="ar-SA"/>
          </w:rPr>
          <w:t>https://doi.org/10.1016/j.tig.2013.10.002</w:t>
        </w:r>
      </w:hyperlink>
    </w:p>
    <w:p w14:paraId="2959E6BE" w14:textId="68022C1C"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t xml:space="preserve">Department of Science and Technology. (2021, May 28). </w:t>
      </w:r>
      <w:r w:rsidRPr="00AD5D82">
        <w:rPr>
          <w:rFonts w:ascii="Times New Roman" w:eastAsia="Times New Roman" w:hAnsi="Times New Roman" w:cs="Times New Roman"/>
          <w:i/>
          <w:iCs/>
          <w:sz w:val="24"/>
          <w:szCs w:val="24"/>
          <w:lang w:val="en-US" w:bidi="ar-SA"/>
        </w:rPr>
        <w:t>Low-chilling apple variety developed by Himachal farmer spreads far &amp; wide</w:t>
      </w:r>
      <w:r w:rsidRPr="00AD5D82">
        <w:rPr>
          <w:rFonts w:ascii="Times New Roman" w:eastAsia="Times New Roman" w:hAnsi="Times New Roman" w:cs="Times New Roman"/>
          <w:sz w:val="24"/>
          <w:szCs w:val="24"/>
          <w:lang w:val="en-US" w:bidi="ar-SA"/>
        </w:rPr>
        <w:t xml:space="preserve">. Government of India. </w:t>
      </w:r>
      <w:hyperlink r:id="rId15" w:history="1">
        <w:r w:rsidRPr="00AD5D82">
          <w:rPr>
            <w:rFonts w:ascii="Times New Roman" w:eastAsia="Times New Roman" w:hAnsi="Times New Roman" w:cs="Times New Roman"/>
            <w:color w:val="0000FF"/>
            <w:sz w:val="24"/>
            <w:szCs w:val="24"/>
            <w:u w:val="single"/>
            <w:lang w:val="en-US" w:bidi="ar-SA"/>
          </w:rPr>
          <w:t>https://dst.gov.in/low-chilling-apple-variety-developed-himachal-farmer-spreads-far-wide</w:t>
        </w:r>
      </w:hyperlink>
    </w:p>
    <w:p w14:paraId="78F5C5E3" w14:textId="7371607E"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t xml:space="preserve">Directorate of Plant Protection, Quarantine &amp; Storage. (2022, September). </w:t>
      </w:r>
      <w:r w:rsidRPr="00AD5D82">
        <w:rPr>
          <w:rFonts w:ascii="Times New Roman" w:eastAsia="Times New Roman" w:hAnsi="Times New Roman" w:cs="Times New Roman"/>
          <w:i/>
          <w:iCs/>
          <w:sz w:val="24"/>
          <w:szCs w:val="24"/>
          <w:lang w:val="en-US" w:bidi="ar-SA"/>
        </w:rPr>
        <w:t>IPM package of practices for apple: For producing quality fruits for export</w:t>
      </w:r>
      <w:r w:rsidRPr="00AD5D82">
        <w:rPr>
          <w:rFonts w:ascii="Times New Roman" w:eastAsia="Times New Roman" w:hAnsi="Times New Roman" w:cs="Times New Roman"/>
          <w:sz w:val="24"/>
          <w:szCs w:val="24"/>
          <w:lang w:val="en-US" w:bidi="ar-SA"/>
        </w:rPr>
        <w:t xml:space="preserve">. Ministry of Agriculture &amp; Farmers Welfare, Government of India. </w:t>
      </w:r>
      <w:hyperlink r:id="rId16" w:history="1">
        <w:r w:rsidRPr="00AD5D82">
          <w:rPr>
            <w:rFonts w:ascii="Times New Roman" w:eastAsia="Times New Roman" w:hAnsi="Times New Roman" w:cs="Times New Roman"/>
            <w:color w:val="0000FF"/>
            <w:sz w:val="24"/>
            <w:szCs w:val="24"/>
            <w:u w:val="single"/>
            <w:lang w:val="en-US" w:bidi="ar-SA"/>
          </w:rPr>
          <w:t>https://ppqs.gov.in/sites/default/files/pop-apple_final-_08.12.2022.pdf</w:t>
        </w:r>
      </w:hyperlink>
    </w:p>
    <w:p w14:paraId="07B57E85" w14:textId="4CA70FEF"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proofErr w:type="spellStart"/>
      <w:r w:rsidRPr="00AD5D82">
        <w:rPr>
          <w:rFonts w:ascii="Times New Roman" w:eastAsia="Times New Roman" w:hAnsi="Times New Roman" w:cs="Times New Roman"/>
          <w:sz w:val="24"/>
          <w:szCs w:val="24"/>
          <w:lang w:val="en-US" w:bidi="ar-SA"/>
        </w:rPr>
        <w:t>Fadón</w:t>
      </w:r>
      <w:proofErr w:type="spellEnd"/>
      <w:r w:rsidRPr="00AD5D82">
        <w:rPr>
          <w:rFonts w:ascii="Times New Roman" w:eastAsia="Times New Roman" w:hAnsi="Times New Roman" w:cs="Times New Roman"/>
          <w:sz w:val="24"/>
          <w:szCs w:val="24"/>
          <w:lang w:val="en-US" w:bidi="ar-SA"/>
        </w:rPr>
        <w:t>, E., Herrera, S., Guerrero, B. I., Guerra, M. E., &amp; Rodrigo, J. (2020). Chilling and heat requirements of temperate stone fruit trees (</w:t>
      </w:r>
      <w:r w:rsidRPr="00AD5D82">
        <w:rPr>
          <w:rFonts w:ascii="Times New Roman" w:eastAsia="Times New Roman" w:hAnsi="Times New Roman" w:cs="Times New Roman"/>
          <w:i/>
          <w:iCs/>
          <w:sz w:val="24"/>
          <w:szCs w:val="24"/>
          <w:lang w:val="en-US" w:bidi="ar-SA"/>
        </w:rPr>
        <w:t>Prunus</w:t>
      </w:r>
      <w:r w:rsidRPr="00AD5D82">
        <w:rPr>
          <w:rFonts w:ascii="Times New Roman" w:eastAsia="Times New Roman" w:hAnsi="Times New Roman" w:cs="Times New Roman"/>
          <w:sz w:val="24"/>
          <w:szCs w:val="24"/>
          <w:lang w:val="en-US" w:bidi="ar-SA"/>
        </w:rPr>
        <w:t xml:space="preserve"> sp.). </w:t>
      </w:r>
      <w:r w:rsidRPr="00AD5D82">
        <w:rPr>
          <w:rFonts w:ascii="Times New Roman" w:eastAsia="Times New Roman" w:hAnsi="Times New Roman" w:cs="Times New Roman"/>
          <w:i/>
          <w:iCs/>
          <w:sz w:val="24"/>
          <w:szCs w:val="24"/>
          <w:lang w:val="en-US" w:bidi="ar-SA"/>
        </w:rPr>
        <w:t>Agronomy, 10</w:t>
      </w:r>
      <w:r w:rsidRPr="00AD5D82">
        <w:rPr>
          <w:rFonts w:ascii="Times New Roman" w:eastAsia="Times New Roman" w:hAnsi="Times New Roman" w:cs="Times New Roman"/>
          <w:sz w:val="24"/>
          <w:szCs w:val="24"/>
          <w:lang w:val="en-US" w:bidi="ar-SA"/>
        </w:rPr>
        <w:t xml:space="preserve">(3), 409. </w:t>
      </w:r>
      <w:hyperlink r:id="rId17" w:history="1">
        <w:r w:rsidRPr="00AD5D82">
          <w:rPr>
            <w:rFonts w:ascii="Times New Roman" w:eastAsia="Times New Roman" w:hAnsi="Times New Roman" w:cs="Times New Roman"/>
            <w:color w:val="0000FF"/>
            <w:sz w:val="24"/>
            <w:szCs w:val="24"/>
            <w:u w:val="single"/>
            <w:lang w:val="en-US" w:bidi="ar-SA"/>
          </w:rPr>
          <w:t>https://doi.org/10.3390/agronomy10030409</w:t>
        </w:r>
      </w:hyperlink>
    </w:p>
    <w:p w14:paraId="58C35AE7" w14:textId="2E284F0A"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nl-BE" w:bidi="ar-SA"/>
        </w:rPr>
        <w:t xml:space="preserve">Funes, I., Aranda, X., Biel, C., Carbó, J., Camps, F., Molina, A. J., de Herralde, F., Grau, B., &amp; Savé, R. (2016). </w:t>
      </w:r>
      <w:r w:rsidRPr="00AD5D82">
        <w:rPr>
          <w:rFonts w:ascii="Times New Roman" w:eastAsia="Times New Roman" w:hAnsi="Times New Roman" w:cs="Times New Roman"/>
          <w:sz w:val="24"/>
          <w:szCs w:val="24"/>
          <w:lang w:val="en-US" w:bidi="ar-SA"/>
        </w:rPr>
        <w:t xml:space="preserve">Future climate change impacts on apple flowering date in a Mediterranean subbasin. </w:t>
      </w:r>
      <w:r w:rsidRPr="00AD5D82">
        <w:rPr>
          <w:rFonts w:ascii="Times New Roman" w:eastAsia="Times New Roman" w:hAnsi="Times New Roman" w:cs="Times New Roman"/>
          <w:i/>
          <w:iCs/>
          <w:sz w:val="24"/>
          <w:szCs w:val="24"/>
          <w:lang w:val="en-US" w:bidi="ar-SA"/>
        </w:rPr>
        <w:t>Agricultural Water Management, 164</w:t>
      </w:r>
      <w:r w:rsidRPr="00AD5D82">
        <w:rPr>
          <w:rFonts w:ascii="Times New Roman" w:eastAsia="Times New Roman" w:hAnsi="Times New Roman" w:cs="Times New Roman"/>
          <w:sz w:val="24"/>
          <w:szCs w:val="24"/>
          <w:lang w:val="en-US" w:bidi="ar-SA"/>
        </w:rPr>
        <w:t xml:space="preserve">, 19–27. </w:t>
      </w:r>
      <w:hyperlink r:id="rId18" w:history="1">
        <w:r w:rsidRPr="00AD5D82">
          <w:rPr>
            <w:rFonts w:ascii="Times New Roman" w:eastAsia="Times New Roman" w:hAnsi="Times New Roman" w:cs="Times New Roman"/>
            <w:color w:val="0000FF"/>
            <w:sz w:val="24"/>
            <w:szCs w:val="24"/>
            <w:u w:val="single"/>
            <w:lang w:val="en-US" w:bidi="ar-SA"/>
          </w:rPr>
          <w:t>https://doi.org/10.1016/j.agwat.2015.06.013</w:t>
        </w:r>
      </w:hyperlink>
    </w:p>
    <w:p>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Pr>
          <w:rFonts w:ascii="Times New Roman" w:hAnsi="Times New Roman"/>
          <w:b/>
          <w:i w:val="0"/>
          <w:sz w:val="24"/>
          <w:highlight w:val="yellow"/>
        </w:rPr>
        <w:t xml:space="preserve">González-Martínez, E., Munné-Bosch, S., &amp; Lordan, J. (2025). Chilling and heat requirements of apple cultivars: Future perspectives in a global climate change context. </w:t>
      </w:r>
      <w:r>
        <w:rPr>
          <w:rFonts w:ascii="Times New Roman" w:hAnsi="Times New Roman"/>
          <w:b/>
          <w:i/>
          <w:sz w:val="24"/>
          <w:highlight w:val="yellow"/>
        </w:rPr>
        <w:t>Scientia Horticulturae, 345</w:t>
      </w:r>
      <w:r>
        <w:rPr>
          <w:rFonts w:ascii="Times New Roman" w:hAnsi="Times New Roman"/>
          <w:b/>
          <w:i w:val="0"/>
          <w:sz w:val="24"/>
          <w:highlight w:val="yellow"/>
        </w:rPr>
        <w:t>, 114134. https://doi.org/10.1016/j.scienta.2025.114134</w:t>
      </w:r>
    </w:p>
    <w:p>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Pr>
          <w:rFonts w:ascii="Times New Roman" w:hAnsi="Times New Roman"/>
          <w:b/>
          <w:i w:val="0"/>
          <w:sz w:val="24"/>
          <w:highlight w:val="yellow"/>
        </w:rPr>
        <w:t>Gupta, M., &amp; Mishra, S. (2024). Effect of biocapsule and nanozeolite in improving growth, development and yield of low chilling apple (</w:t>
      </w:r>
      <w:r>
        <w:rPr>
          <w:rFonts w:ascii="Times New Roman" w:hAnsi="Times New Roman"/>
          <w:b/>
          <w:i/>
          <w:sz w:val="24"/>
          <w:highlight w:val="yellow"/>
        </w:rPr>
        <w:t>Malus × domestica</w:t>
      </w:r>
      <w:r>
        <w:rPr>
          <w:rFonts w:ascii="Times New Roman" w:hAnsi="Times New Roman"/>
          <w:b/>
          <w:i w:val="0"/>
          <w:sz w:val="24"/>
          <w:highlight w:val="yellow"/>
        </w:rPr>
        <w:t xml:space="preserve"> Borkh.) cv. HRMN-99 in Prayagraj agro-climatic condition. </w:t>
      </w:r>
      <w:r>
        <w:rPr>
          <w:rFonts w:ascii="Times New Roman" w:hAnsi="Times New Roman"/>
          <w:b/>
          <w:i/>
          <w:sz w:val="24"/>
          <w:highlight w:val="yellow"/>
        </w:rPr>
        <w:t>Journal of Advances in Biology &amp; Biotechnology, 27</w:t>
      </w:r>
      <w:r>
        <w:rPr>
          <w:rFonts w:ascii="Times New Roman" w:hAnsi="Times New Roman"/>
          <w:b/>
          <w:i w:val="0"/>
          <w:sz w:val="24"/>
          <w:highlight w:val="yellow"/>
        </w:rPr>
        <w:t>(8), 930–937. https://doi.org/10.9734/jabb/2024/v27i81213</w:t>
      </w:r>
    </w:p>
    <w:p w14:paraId="59833EA9" w14:textId="745163E1"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proofErr w:type="spellStart"/>
      <w:r w:rsidRPr="00AD5D82">
        <w:rPr>
          <w:rFonts w:ascii="Times New Roman" w:eastAsia="Times New Roman" w:hAnsi="Times New Roman" w:cs="Times New Roman"/>
          <w:sz w:val="24"/>
          <w:szCs w:val="24"/>
          <w:lang w:val="en-US" w:bidi="ar-SA"/>
        </w:rPr>
        <w:t>Hauagge</w:t>
      </w:r>
      <w:proofErr w:type="spellEnd"/>
      <w:r w:rsidRPr="00AD5D82">
        <w:rPr>
          <w:rFonts w:ascii="Times New Roman" w:eastAsia="Times New Roman" w:hAnsi="Times New Roman" w:cs="Times New Roman"/>
          <w:sz w:val="24"/>
          <w:szCs w:val="24"/>
          <w:lang w:val="en-US" w:bidi="ar-SA"/>
        </w:rPr>
        <w:t xml:space="preserve">, R., &amp; Cummins, J. N. (1991). Phenotypic variation of length of bud dormancy in apple cultivars and related </w:t>
      </w:r>
      <w:r w:rsidRPr="00AD5D82">
        <w:rPr>
          <w:rFonts w:ascii="Times New Roman" w:eastAsia="Times New Roman" w:hAnsi="Times New Roman" w:cs="Times New Roman"/>
          <w:i/>
          <w:iCs/>
          <w:sz w:val="24"/>
          <w:szCs w:val="24"/>
          <w:lang w:val="en-US" w:bidi="ar-SA"/>
        </w:rPr>
        <w:t>Malus</w:t>
      </w:r>
      <w:r w:rsidRPr="00AD5D82">
        <w:rPr>
          <w:rFonts w:ascii="Times New Roman" w:eastAsia="Times New Roman" w:hAnsi="Times New Roman" w:cs="Times New Roman"/>
          <w:sz w:val="24"/>
          <w:szCs w:val="24"/>
          <w:lang w:val="en-US" w:bidi="ar-SA"/>
        </w:rPr>
        <w:t xml:space="preserve"> species. </w:t>
      </w:r>
      <w:r w:rsidRPr="00AD5D82">
        <w:rPr>
          <w:rFonts w:ascii="Times New Roman" w:eastAsia="Times New Roman" w:hAnsi="Times New Roman" w:cs="Times New Roman"/>
          <w:i/>
          <w:iCs/>
          <w:sz w:val="24"/>
          <w:szCs w:val="24"/>
          <w:lang w:val="en-US" w:bidi="ar-SA"/>
        </w:rPr>
        <w:t>Journal of the American Society for Horticultural Science, 116</w:t>
      </w:r>
      <w:r w:rsidRPr="00AD5D82">
        <w:rPr>
          <w:rFonts w:ascii="Times New Roman" w:eastAsia="Times New Roman" w:hAnsi="Times New Roman" w:cs="Times New Roman"/>
          <w:sz w:val="24"/>
          <w:szCs w:val="24"/>
          <w:lang w:val="en-US" w:bidi="ar-SA"/>
        </w:rPr>
        <w:t xml:space="preserve">(1), 100–106. </w:t>
      </w:r>
      <w:hyperlink r:id="rId19" w:history="1">
        <w:r w:rsidRPr="00AD5D82">
          <w:rPr>
            <w:rFonts w:ascii="Times New Roman" w:eastAsia="Times New Roman" w:hAnsi="Times New Roman" w:cs="Times New Roman"/>
            <w:color w:val="0000FF"/>
            <w:sz w:val="24"/>
            <w:szCs w:val="24"/>
            <w:u w:val="single"/>
            <w:lang w:val="en-US" w:bidi="ar-SA"/>
          </w:rPr>
          <w:t>https://doi.org/10.21273/JASHS.116.1.100</w:t>
        </w:r>
      </w:hyperlink>
    </w:p>
    <w:p w14:paraId="1B07C512" w14:textId="2E7BE737"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t xml:space="preserve">Indian Council of Agricultural Research. (2025, February 12). </w:t>
      </w:r>
      <w:r w:rsidRPr="00AD5D82">
        <w:rPr>
          <w:rFonts w:ascii="Times New Roman" w:eastAsia="Times New Roman" w:hAnsi="Times New Roman" w:cs="Times New Roman"/>
          <w:i/>
          <w:iCs/>
          <w:sz w:val="24"/>
          <w:szCs w:val="24"/>
          <w:lang w:val="en-US" w:bidi="ar-SA"/>
        </w:rPr>
        <w:t>Low Chill Apple Man of India Hariman Sharma conferred with Padma Shri</w:t>
      </w:r>
      <w:r w:rsidRPr="00AD5D82">
        <w:rPr>
          <w:rFonts w:ascii="Times New Roman" w:eastAsia="Times New Roman" w:hAnsi="Times New Roman" w:cs="Times New Roman"/>
          <w:sz w:val="24"/>
          <w:szCs w:val="24"/>
          <w:lang w:val="en-US" w:bidi="ar-SA"/>
        </w:rPr>
        <w:t xml:space="preserve">. Government of India. </w:t>
      </w:r>
      <w:hyperlink r:id="rId20" w:history="1">
        <w:r w:rsidRPr="00AD5D82">
          <w:rPr>
            <w:rFonts w:ascii="Times New Roman" w:eastAsia="Times New Roman" w:hAnsi="Times New Roman" w:cs="Times New Roman"/>
            <w:color w:val="0000FF"/>
            <w:sz w:val="24"/>
            <w:szCs w:val="24"/>
            <w:u w:val="single"/>
            <w:lang w:val="en-US" w:bidi="ar-SA"/>
          </w:rPr>
          <w:t>https://www.icar.gov.in/en/low-chill-apple-man-india-hariman-sharma-conferred-padma-shri</w:t>
        </w:r>
      </w:hyperlink>
    </w:p>
    <w:p w14:paraId="141FF7B1" w14:textId="45AA2EEF"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proofErr w:type="spellStart"/>
      <w:r w:rsidRPr="00AD5D82">
        <w:rPr>
          <w:rFonts w:ascii="Times New Roman" w:eastAsia="Times New Roman" w:hAnsi="Times New Roman" w:cs="Times New Roman"/>
          <w:sz w:val="24"/>
          <w:szCs w:val="24"/>
          <w:lang w:val="en-US" w:bidi="ar-SA"/>
        </w:rPr>
        <w:t>Luedeling</w:t>
      </w:r>
      <w:proofErr w:type="spellEnd"/>
      <w:r w:rsidRPr="00AD5D82">
        <w:rPr>
          <w:rFonts w:ascii="Times New Roman" w:eastAsia="Times New Roman" w:hAnsi="Times New Roman" w:cs="Times New Roman"/>
          <w:sz w:val="24"/>
          <w:szCs w:val="24"/>
          <w:lang w:val="en-US" w:bidi="ar-SA"/>
        </w:rPr>
        <w:t xml:space="preserve">, E. (2012). Climate change impacts on winter chill for temperate fruit and nut production: A review. </w:t>
      </w:r>
      <w:r w:rsidRPr="00AD5D82">
        <w:rPr>
          <w:rFonts w:ascii="Times New Roman" w:eastAsia="Times New Roman" w:hAnsi="Times New Roman" w:cs="Times New Roman"/>
          <w:i/>
          <w:iCs/>
          <w:sz w:val="24"/>
          <w:szCs w:val="24"/>
          <w:lang w:val="en-US" w:bidi="ar-SA"/>
        </w:rPr>
        <w:t xml:space="preserve">Scientia </w:t>
      </w:r>
      <w:proofErr w:type="spellStart"/>
      <w:r w:rsidRPr="00AD5D82">
        <w:rPr>
          <w:rFonts w:ascii="Times New Roman" w:eastAsia="Times New Roman" w:hAnsi="Times New Roman" w:cs="Times New Roman"/>
          <w:i/>
          <w:iCs/>
          <w:sz w:val="24"/>
          <w:szCs w:val="24"/>
          <w:lang w:val="en-US" w:bidi="ar-SA"/>
        </w:rPr>
        <w:t>Horticulturae</w:t>
      </w:r>
      <w:proofErr w:type="spellEnd"/>
      <w:r w:rsidRPr="00AD5D82">
        <w:rPr>
          <w:rFonts w:ascii="Times New Roman" w:eastAsia="Times New Roman" w:hAnsi="Times New Roman" w:cs="Times New Roman"/>
          <w:i/>
          <w:iCs/>
          <w:sz w:val="24"/>
          <w:szCs w:val="24"/>
          <w:lang w:val="en-US" w:bidi="ar-SA"/>
        </w:rPr>
        <w:t>, 144</w:t>
      </w:r>
      <w:r w:rsidRPr="00AD5D82">
        <w:rPr>
          <w:rFonts w:ascii="Times New Roman" w:eastAsia="Times New Roman" w:hAnsi="Times New Roman" w:cs="Times New Roman"/>
          <w:sz w:val="24"/>
          <w:szCs w:val="24"/>
          <w:lang w:val="en-US" w:bidi="ar-SA"/>
        </w:rPr>
        <w:t xml:space="preserve">, 218–229. </w:t>
      </w:r>
      <w:hyperlink r:id="rId21" w:history="1">
        <w:r w:rsidRPr="00AD5D82">
          <w:rPr>
            <w:rFonts w:ascii="Times New Roman" w:eastAsia="Times New Roman" w:hAnsi="Times New Roman" w:cs="Times New Roman"/>
            <w:color w:val="0000FF"/>
            <w:sz w:val="24"/>
            <w:szCs w:val="24"/>
            <w:u w:val="single"/>
            <w:lang w:val="en-US" w:bidi="ar-SA"/>
          </w:rPr>
          <w:t>https://doi.org/10.1016/j.scienta.2012.07.011</w:t>
        </w:r>
      </w:hyperlink>
    </w:p>
    <w:p w14:paraId="296E04F6" w14:textId="5092BCA6"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proofErr w:type="spellStart"/>
      <w:r w:rsidRPr="00AD5D82">
        <w:rPr>
          <w:rFonts w:ascii="Times New Roman" w:eastAsia="Times New Roman" w:hAnsi="Times New Roman" w:cs="Times New Roman"/>
          <w:sz w:val="24"/>
          <w:szCs w:val="24"/>
          <w:lang w:val="en-US" w:bidi="ar-SA"/>
        </w:rPr>
        <w:t>Luedeling</w:t>
      </w:r>
      <w:proofErr w:type="spellEnd"/>
      <w:r w:rsidRPr="00AD5D82">
        <w:rPr>
          <w:rFonts w:ascii="Times New Roman" w:eastAsia="Times New Roman" w:hAnsi="Times New Roman" w:cs="Times New Roman"/>
          <w:sz w:val="24"/>
          <w:szCs w:val="24"/>
          <w:lang w:val="en-US" w:bidi="ar-SA"/>
        </w:rPr>
        <w:t xml:space="preserve">, E., </w:t>
      </w:r>
      <w:proofErr w:type="spellStart"/>
      <w:r w:rsidRPr="00AD5D82">
        <w:rPr>
          <w:rFonts w:ascii="Times New Roman" w:eastAsia="Times New Roman" w:hAnsi="Times New Roman" w:cs="Times New Roman"/>
          <w:sz w:val="24"/>
          <w:szCs w:val="24"/>
          <w:lang w:val="en-US" w:bidi="ar-SA"/>
        </w:rPr>
        <w:t>Girvetz</w:t>
      </w:r>
      <w:proofErr w:type="spellEnd"/>
      <w:r w:rsidRPr="00AD5D82">
        <w:rPr>
          <w:rFonts w:ascii="Times New Roman" w:eastAsia="Times New Roman" w:hAnsi="Times New Roman" w:cs="Times New Roman"/>
          <w:sz w:val="24"/>
          <w:szCs w:val="24"/>
          <w:lang w:val="en-US" w:bidi="ar-SA"/>
        </w:rPr>
        <w:t xml:space="preserve">, E. H., Semenov, M. A., &amp; Brown, P. H. (2011). Climate change affects winter chill for temperate fruit and nut trees. </w:t>
      </w:r>
      <w:proofErr w:type="spellStart"/>
      <w:r w:rsidRPr="00AD5D82">
        <w:rPr>
          <w:rFonts w:ascii="Times New Roman" w:eastAsia="Times New Roman" w:hAnsi="Times New Roman" w:cs="Times New Roman"/>
          <w:i/>
          <w:iCs/>
          <w:sz w:val="24"/>
          <w:szCs w:val="24"/>
          <w:lang w:val="en-US" w:bidi="ar-SA"/>
        </w:rPr>
        <w:t>PLoS</w:t>
      </w:r>
      <w:proofErr w:type="spellEnd"/>
      <w:r w:rsidRPr="00AD5D82">
        <w:rPr>
          <w:rFonts w:ascii="Times New Roman" w:eastAsia="Times New Roman" w:hAnsi="Times New Roman" w:cs="Times New Roman"/>
          <w:i/>
          <w:iCs/>
          <w:sz w:val="24"/>
          <w:szCs w:val="24"/>
          <w:lang w:val="en-US" w:bidi="ar-SA"/>
        </w:rPr>
        <w:t xml:space="preserve"> ONE, 6</w:t>
      </w:r>
      <w:r w:rsidRPr="00AD5D82">
        <w:rPr>
          <w:rFonts w:ascii="Times New Roman" w:eastAsia="Times New Roman" w:hAnsi="Times New Roman" w:cs="Times New Roman"/>
          <w:sz w:val="24"/>
          <w:szCs w:val="24"/>
          <w:lang w:val="en-US" w:bidi="ar-SA"/>
        </w:rPr>
        <w:t xml:space="preserve">(5), e20155. </w:t>
      </w:r>
      <w:hyperlink r:id="rId22" w:history="1">
        <w:r w:rsidRPr="00AD5D82">
          <w:rPr>
            <w:rFonts w:ascii="Times New Roman" w:eastAsia="Times New Roman" w:hAnsi="Times New Roman" w:cs="Times New Roman"/>
            <w:color w:val="0000FF"/>
            <w:sz w:val="24"/>
            <w:szCs w:val="24"/>
            <w:u w:val="single"/>
            <w:lang w:val="en-US" w:bidi="ar-SA"/>
          </w:rPr>
          <w:t>https://doi.org/10.1371/journal.pone.0020155</w:t>
        </w:r>
      </w:hyperlink>
    </w:p>
    <w:p>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Pr>
          <w:rFonts w:ascii="Times New Roman" w:hAnsi="Times New Roman"/>
          <w:b/>
          <w:i w:val="0"/>
          <w:sz w:val="24"/>
          <w:highlight w:val="yellow"/>
        </w:rPr>
        <w:t xml:space="preserve">Meresa, E., Gebrewhid, Y., Berhe, G., Abadi, T., Tsehaye, G., &amp; Eyasu, G. (2023). Geo-information technology-based suitability site selection for temperate fruits of apple, peach, and plum in Tigray Region, Northern Ethiopia. </w:t>
      </w:r>
      <w:r>
        <w:rPr>
          <w:rFonts w:ascii="Times New Roman" w:hAnsi="Times New Roman"/>
          <w:b/>
          <w:i/>
          <w:sz w:val="24"/>
          <w:highlight w:val="yellow"/>
        </w:rPr>
        <w:t>Journal of Global Agriculture and Ecology, 15</w:t>
      </w:r>
      <w:r>
        <w:rPr>
          <w:rFonts w:ascii="Times New Roman" w:hAnsi="Times New Roman"/>
          <w:b/>
          <w:i w:val="0"/>
          <w:sz w:val="24"/>
          <w:highlight w:val="yellow"/>
        </w:rPr>
        <w:t>(2), 19–31. https://doi.org/10.56557/jogae/2023/v15i28465</w:t>
      </w:r>
    </w:p>
    <w:p w14:paraId="7CC12C07" w14:textId="5564A0D7"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t xml:space="preserve">National Innovation Foundation–India. (n.d.). </w:t>
      </w:r>
      <w:r w:rsidRPr="00AD5D82">
        <w:rPr>
          <w:rFonts w:ascii="Times New Roman" w:eastAsia="Times New Roman" w:hAnsi="Times New Roman" w:cs="Times New Roman"/>
          <w:i/>
          <w:iCs/>
          <w:sz w:val="24"/>
          <w:szCs w:val="24"/>
          <w:lang w:val="en-US" w:bidi="ar-SA"/>
        </w:rPr>
        <w:t>HRMN-99: New apple variety for tropical, sub-tropical and plain areas</w:t>
      </w:r>
      <w:r w:rsidRPr="00AD5D82">
        <w:rPr>
          <w:rFonts w:ascii="Times New Roman" w:eastAsia="Times New Roman" w:hAnsi="Times New Roman" w:cs="Times New Roman"/>
          <w:sz w:val="24"/>
          <w:szCs w:val="24"/>
          <w:lang w:val="en-US" w:bidi="ar-SA"/>
        </w:rPr>
        <w:t xml:space="preserve">. Department of Science and Technology, Government of India. </w:t>
      </w:r>
      <w:hyperlink r:id="rId23" w:history="1">
        <w:r w:rsidRPr="00AD5D82">
          <w:rPr>
            <w:rFonts w:ascii="Times New Roman" w:eastAsia="Times New Roman" w:hAnsi="Times New Roman" w:cs="Times New Roman"/>
            <w:color w:val="0000FF"/>
            <w:sz w:val="24"/>
            <w:szCs w:val="24"/>
            <w:u w:val="single"/>
            <w:lang w:val="en-US" w:bidi="ar-SA"/>
          </w:rPr>
          <w:t>https://nif.org.in/innovation/hrmn-99-new-apple-variety-for-tropical-sub-tropical-and-plain-areas/932</w:t>
        </w:r>
      </w:hyperlink>
    </w:p>
    <w:p>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Pr>
          <w:rFonts w:ascii="Times New Roman" w:hAnsi="Times New Roman"/>
          <w:b/>
          <w:i w:val="0"/>
          <w:sz w:val="24"/>
          <w:highlight w:val="yellow"/>
        </w:rPr>
        <w:t xml:space="preserve">Pertille, R. H., de Souza de Oliveira, L., Suchoronczek, A., de Lima Santos, J. V., Jacobsen Bertan, M. A., &amp; Citadin, I. (2026). Dormancy patterns of apple trees grown in a mild winter region: A breakpoint model analysis. </w:t>
      </w:r>
      <w:r>
        <w:rPr>
          <w:rFonts w:ascii="Times New Roman" w:hAnsi="Times New Roman"/>
          <w:b/>
          <w:i/>
          <w:sz w:val="24"/>
          <w:highlight w:val="yellow"/>
        </w:rPr>
        <w:t>Physiologia Plantarum, 178</w:t>
      </w:r>
      <w:r>
        <w:rPr>
          <w:rFonts w:ascii="Times New Roman" w:hAnsi="Times New Roman"/>
          <w:b/>
          <w:i w:val="0"/>
          <w:sz w:val="24"/>
          <w:highlight w:val="yellow"/>
        </w:rPr>
        <w:t>(3), e70951. https://doi.org/10.1111/ppl.70951</w:t>
      </w:r>
    </w:p>
    <w:p w14:paraId="19C30081" w14:textId="066B42DC"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t xml:space="preserve">Principal Scientific Adviser to the Government of India. (n.d.). </w:t>
      </w:r>
      <w:r w:rsidRPr="00AD5D82">
        <w:rPr>
          <w:rFonts w:ascii="Times New Roman" w:eastAsia="Times New Roman" w:hAnsi="Times New Roman" w:cs="Times New Roman"/>
          <w:i/>
          <w:iCs/>
          <w:sz w:val="24"/>
          <w:szCs w:val="24"/>
          <w:lang w:val="en-US" w:bidi="ar-SA"/>
        </w:rPr>
        <w:t>HRMN-99: Low chilling apple variety</w:t>
      </w:r>
      <w:r w:rsidRPr="00AD5D82">
        <w:rPr>
          <w:rFonts w:ascii="Times New Roman" w:eastAsia="Times New Roman" w:hAnsi="Times New Roman" w:cs="Times New Roman"/>
          <w:sz w:val="24"/>
          <w:szCs w:val="24"/>
          <w:lang w:val="en-US" w:bidi="ar-SA"/>
        </w:rPr>
        <w:t xml:space="preserve">. Government of India. </w:t>
      </w:r>
      <w:hyperlink r:id="rId24" w:history="1">
        <w:r w:rsidRPr="00AD5D82">
          <w:rPr>
            <w:rFonts w:ascii="Times New Roman" w:eastAsia="Times New Roman" w:hAnsi="Times New Roman" w:cs="Times New Roman"/>
            <w:color w:val="0000FF"/>
            <w:sz w:val="24"/>
            <w:szCs w:val="24"/>
            <w:u w:val="single"/>
            <w:lang w:val="en-US" w:bidi="ar-SA"/>
          </w:rPr>
          <w:t>https://www.psa.gov.in/livelihood/10045</w:t>
        </w:r>
      </w:hyperlink>
    </w:p>
    <w:p w14:paraId="68F7275B" w14:textId="74EAE9DE"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lastRenderedPageBreak/>
        <w:t xml:space="preserve">Punjab Agricultural University. (2021, July). </w:t>
      </w:r>
      <w:r w:rsidRPr="00AD5D82">
        <w:rPr>
          <w:rFonts w:ascii="Times New Roman" w:eastAsia="Times New Roman" w:hAnsi="Times New Roman" w:cs="Times New Roman"/>
          <w:i/>
          <w:iCs/>
          <w:sz w:val="24"/>
          <w:szCs w:val="24"/>
          <w:lang w:val="en-US" w:bidi="ar-SA"/>
        </w:rPr>
        <w:t>Package of practices for cultivation of fruits</w:t>
      </w:r>
      <w:r w:rsidRPr="00AD5D82">
        <w:rPr>
          <w:rFonts w:ascii="Times New Roman" w:eastAsia="Times New Roman" w:hAnsi="Times New Roman" w:cs="Times New Roman"/>
          <w:sz w:val="24"/>
          <w:szCs w:val="24"/>
          <w:lang w:val="en-US" w:bidi="ar-SA"/>
        </w:rPr>
        <w:t xml:space="preserve">. Punjab Agricultural University. </w:t>
      </w:r>
      <w:hyperlink r:id="rId25" w:history="1">
        <w:r w:rsidRPr="00AD5D82">
          <w:rPr>
            <w:rFonts w:ascii="Times New Roman" w:eastAsia="Times New Roman" w:hAnsi="Times New Roman" w:cs="Times New Roman"/>
            <w:color w:val="0000FF"/>
            <w:sz w:val="24"/>
            <w:szCs w:val="24"/>
            <w:u w:val="single"/>
            <w:lang w:val="en-US" w:bidi="ar-SA"/>
          </w:rPr>
          <w:t>https://pau.edu/content/ccil/pf/pp_fruits.pdf</w:t>
        </w:r>
      </w:hyperlink>
    </w:p>
    <w:p w14:paraId="6CADCDBC" w14:textId="234DDFC8"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t>Sharma, A., Kotoky, U., Deka, B., Gogoi, B., &amp; Das, K. (2024). Growth performance of low chilling varieties of apple (</w:t>
      </w:r>
      <w:r w:rsidRPr="00AD5D82">
        <w:rPr>
          <w:rFonts w:ascii="Times New Roman" w:eastAsia="Times New Roman" w:hAnsi="Times New Roman" w:cs="Times New Roman"/>
          <w:i/>
          <w:iCs/>
          <w:sz w:val="24"/>
          <w:szCs w:val="24"/>
          <w:lang w:val="en-US" w:bidi="ar-SA"/>
        </w:rPr>
        <w:t>Malus × domestica</w:t>
      </w:r>
      <w:r w:rsidRPr="00AD5D82">
        <w:rPr>
          <w:rFonts w:ascii="Times New Roman" w:eastAsia="Times New Roman" w:hAnsi="Times New Roman" w:cs="Times New Roman"/>
          <w:sz w:val="24"/>
          <w:szCs w:val="24"/>
          <w:lang w:val="en-US" w:bidi="ar-SA"/>
        </w:rPr>
        <w:t xml:space="preserve"> Borkh.) under the influence of different nutrient levels in Assam, India. </w:t>
      </w:r>
      <w:r w:rsidRPr="00AD5D82">
        <w:rPr>
          <w:rFonts w:ascii="Times New Roman" w:eastAsia="Times New Roman" w:hAnsi="Times New Roman" w:cs="Times New Roman"/>
          <w:i/>
          <w:iCs/>
          <w:sz w:val="24"/>
          <w:szCs w:val="24"/>
          <w:lang w:val="en-US" w:bidi="ar-SA"/>
        </w:rPr>
        <w:t>International Journal of Environment and Climate Change, 14</w:t>
      </w:r>
      <w:r w:rsidRPr="00AD5D82">
        <w:rPr>
          <w:rFonts w:ascii="Times New Roman" w:eastAsia="Times New Roman" w:hAnsi="Times New Roman" w:cs="Times New Roman"/>
          <w:sz w:val="24"/>
          <w:szCs w:val="24"/>
          <w:lang w:val="en-US" w:bidi="ar-SA"/>
        </w:rPr>
        <w:t xml:space="preserve">(5), 177–183. </w:t>
      </w:r>
      <w:hyperlink r:id="rId26" w:history="1">
        <w:r w:rsidRPr="00AD5D82">
          <w:rPr>
            <w:rFonts w:ascii="Times New Roman" w:eastAsia="Times New Roman" w:hAnsi="Times New Roman" w:cs="Times New Roman"/>
            <w:color w:val="0000FF"/>
            <w:sz w:val="24"/>
            <w:szCs w:val="24"/>
            <w:u w:val="single"/>
            <w:lang w:val="en-US" w:bidi="ar-SA"/>
          </w:rPr>
          <w:t>https://doi.org/10.9734/IJECC/2024/v14i54179</w:t>
        </w:r>
      </w:hyperlink>
    </w:p>
    <w:p w14:paraId="62BA92EA" w14:textId="46EE7ACF" w:rsidR="00AD5D82" w:rsidRPr="00AD5D82" w:rsidRDefault="00AD5D82" w:rsidP="00AD5D82">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AD5D82">
        <w:rPr>
          <w:rFonts w:ascii="Times New Roman" w:eastAsia="Times New Roman" w:hAnsi="Times New Roman" w:cs="Times New Roman"/>
          <w:sz w:val="24"/>
          <w:szCs w:val="24"/>
          <w:lang w:val="en-US" w:bidi="ar-SA"/>
        </w:rPr>
        <w:t xml:space="preserve">Vats, S., Mishra, S., Bahadur, V., &amp; Singh, R. K. (2022). The role of </w:t>
      </w:r>
      <w:proofErr w:type="spellStart"/>
      <w:r w:rsidRPr="00AD5D82">
        <w:rPr>
          <w:rFonts w:ascii="Times New Roman" w:eastAsia="Times New Roman" w:hAnsi="Times New Roman" w:cs="Times New Roman"/>
          <w:sz w:val="24"/>
          <w:szCs w:val="24"/>
          <w:lang w:val="en-US" w:bidi="ar-SA"/>
        </w:rPr>
        <w:t>nanozeolite</w:t>
      </w:r>
      <w:proofErr w:type="spellEnd"/>
      <w:r w:rsidRPr="00AD5D82">
        <w:rPr>
          <w:rFonts w:ascii="Times New Roman" w:eastAsia="Times New Roman" w:hAnsi="Times New Roman" w:cs="Times New Roman"/>
          <w:sz w:val="24"/>
          <w:szCs w:val="24"/>
          <w:lang w:val="en-US" w:bidi="ar-SA"/>
        </w:rPr>
        <w:t xml:space="preserve"> and </w:t>
      </w:r>
      <w:proofErr w:type="spellStart"/>
      <w:r w:rsidRPr="00AD5D82">
        <w:rPr>
          <w:rFonts w:ascii="Times New Roman" w:eastAsia="Times New Roman" w:hAnsi="Times New Roman" w:cs="Times New Roman"/>
          <w:sz w:val="24"/>
          <w:szCs w:val="24"/>
          <w:lang w:val="en-US" w:bidi="ar-SA"/>
        </w:rPr>
        <w:t>biocapsule</w:t>
      </w:r>
      <w:proofErr w:type="spellEnd"/>
      <w:r w:rsidRPr="00AD5D82">
        <w:rPr>
          <w:rFonts w:ascii="Times New Roman" w:eastAsia="Times New Roman" w:hAnsi="Times New Roman" w:cs="Times New Roman"/>
          <w:sz w:val="24"/>
          <w:szCs w:val="24"/>
          <w:lang w:val="en-US" w:bidi="ar-SA"/>
        </w:rPr>
        <w:t xml:space="preserve"> in improving growth, yield and fruit quality of low chilling apple (</w:t>
      </w:r>
      <w:r w:rsidRPr="00AD5D82">
        <w:rPr>
          <w:rFonts w:ascii="Times New Roman" w:eastAsia="Times New Roman" w:hAnsi="Times New Roman" w:cs="Times New Roman"/>
          <w:i/>
          <w:iCs/>
          <w:sz w:val="24"/>
          <w:szCs w:val="24"/>
          <w:lang w:val="en-US" w:bidi="ar-SA"/>
        </w:rPr>
        <w:t>Malus × domestica</w:t>
      </w:r>
      <w:r w:rsidRPr="00AD5D82">
        <w:rPr>
          <w:rFonts w:ascii="Times New Roman" w:eastAsia="Times New Roman" w:hAnsi="Times New Roman" w:cs="Times New Roman"/>
          <w:sz w:val="24"/>
          <w:szCs w:val="24"/>
          <w:lang w:val="en-US" w:bidi="ar-SA"/>
        </w:rPr>
        <w:t xml:space="preserve"> Borkh.) cv. HRMN-99 in Prayagraj </w:t>
      </w:r>
      <w:proofErr w:type="spellStart"/>
      <w:r w:rsidRPr="00AD5D82">
        <w:rPr>
          <w:rFonts w:ascii="Times New Roman" w:eastAsia="Times New Roman" w:hAnsi="Times New Roman" w:cs="Times New Roman"/>
          <w:sz w:val="24"/>
          <w:szCs w:val="24"/>
          <w:lang w:val="en-US" w:bidi="ar-SA"/>
        </w:rPr>
        <w:t>agro</w:t>
      </w:r>
      <w:proofErr w:type="spellEnd"/>
      <w:r w:rsidRPr="00AD5D82">
        <w:rPr>
          <w:rFonts w:ascii="Times New Roman" w:eastAsia="Times New Roman" w:hAnsi="Times New Roman" w:cs="Times New Roman"/>
          <w:sz w:val="24"/>
          <w:szCs w:val="24"/>
          <w:lang w:val="en-US" w:bidi="ar-SA"/>
        </w:rPr>
        <w:t xml:space="preserve">-climatic condition. </w:t>
      </w:r>
      <w:r w:rsidRPr="00AD5D82">
        <w:rPr>
          <w:rFonts w:ascii="Times New Roman" w:eastAsia="Times New Roman" w:hAnsi="Times New Roman" w:cs="Times New Roman"/>
          <w:i/>
          <w:iCs/>
          <w:sz w:val="24"/>
          <w:szCs w:val="24"/>
          <w:lang w:val="en-US" w:bidi="ar-SA"/>
        </w:rPr>
        <w:t>International Journal of Environment and Climate Change, 12</w:t>
      </w:r>
      <w:r w:rsidRPr="00AD5D82">
        <w:rPr>
          <w:rFonts w:ascii="Times New Roman" w:eastAsia="Times New Roman" w:hAnsi="Times New Roman" w:cs="Times New Roman"/>
          <w:sz w:val="24"/>
          <w:szCs w:val="24"/>
          <w:lang w:val="en-US" w:bidi="ar-SA"/>
        </w:rPr>
        <w:t xml:space="preserve">(11), 866–875. </w:t>
      </w:r>
      <w:hyperlink r:id="rId27" w:history="1">
        <w:r w:rsidRPr="00AD5D82">
          <w:rPr>
            <w:rFonts w:ascii="Times New Roman" w:eastAsia="Times New Roman" w:hAnsi="Times New Roman" w:cs="Times New Roman"/>
            <w:color w:val="0000FF"/>
            <w:sz w:val="24"/>
            <w:szCs w:val="24"/>
            <w:u w:val="single"/>
            <w:lang w:val="en-US" w:bidi="ar-SA"/>
          </w:rPr>
          <w:t>https://doi.org/10.9734/IJECC/2022/v12i1131052</w:t>
        </w:r>
      </w:hyperlink>
    </w:p>
    <w:p w14:paraId="74A429BD" w14:textId="72C892C7" w:rsidR="00514845" w:rsidRPr="0002364D" w:rsidRDefault="00514845" w:rsidP="00AD5D82">
      <w:pPr>
        <w:jc w:val="both"/>
        <w:rPr>
          <w:rFonts w:ascii="Times New Roman" w:hAnsi="Times New Roman" w:cs="Times New Roman"/>
          <w:sz w:val="24"/>
          <w:szCs w:val="24"/>
        </w:rPr>
      </w:pPr>
    </w:p>
    <w:sectPr w:rsidR="00514845" w:rsidRPr="0002364D">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31485" w14:textId="77777777" w:rsidR="002973F7" w:rsidRDefault="002973F7" w:rsidP="00684AB3">
      <w:pPr>
        <w:spacing w:after="0" w:line="240" w:lineRule="auto"/>
      </w:pPr>
      <w:r>
        <w:separator/>
      </w:r>
    </w:p>
  </w:endnote>
  <w:endnote w:type="continuationSeparator" w:id="0">
    <w:p w14:paraId="39A276B2" w14:textId="77777777" w:rsidR="002973F7" w:rsidRDefault="002973F7" w:rsidP="00684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E261" w14:textId="77777777" w:rsidR="00684AB3" w:rsidRDefault="00684A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DDA2" w14:textId="77777777" w:rsidR="00684AB3" w:rsidRDefault="00684A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4E58" w14:textId="77777777" w:rsidR="00684AB3" w:rsidRDefault="00684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B46B2" w14:textId="77777777" w:rsidR="002973F7" w:rsidRDefault="002973F7" w:rsidP="00684AB3">
      <w:pPr>
        <w:spacing w:after="0" w:line="240" w:lineRule="auto"/>
      </w:pPr>
      <w:r>
        <w:separator/>
      </w:r>
    </w:p>
  </w:footnote>
  <w:footnote w:type="continuationSeparator" w:id="0">
    <w:p w14:paraId="4754958B" w14:textId="77777777" w:rsidR="002973F7" w:rsidRDefault="002973F7" w:rsidP="00684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48664" w14:textId="0D9704F3" w:rsidR="00684AB3" w:rsidRDefault="00000000">
    <w:pPr>
      <w:pStyle w:val="Header"/>
    </w:pPr>
    <w:r>
      <w:rPr>
        <w:noProof/>
      </w:rPr>
      <w:pict w14:anchorId="0236D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28421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7916" w14:textId="5858B99E" w:rsidR="00684AB3" w:rsidRDefault="00000000">
    <w:pPr>
      <w:pStyle w:val="Header"/>
    </w:pPr>
    <w:r>
      <w:rPr>
        <w:noProof/>
      </w:rPr>
      <w:pict w14:anchorId="17A2B7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28422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7D507" w14:textId="4D197E96" w:rsidR="00684AB3" w:rsidRDefault="00000000">
    <w:pPr>
      <w:pStyle w:val="Header"/>
    </w:pPr>
    <w:r>
      <w:rPr>
        <w:noProof/>
      </w:rPr>
      <w:pict w14:anchorId="281BC9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28421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34BBE"/>
    <w:multiLevelType w:val="hybridMultilevel"/>
    <w:tmpl w:val="9A9CCBC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882F19"/>
    <w:multiLevelType w:val="multilevel"/>
    <w:tmpl w:val="05B8B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0B0673"/>
    <w:multiLevelType w:val="hybridMultilevel"/>
    <w:tmpl w:val="13DA1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623908">
    <w:abstractNumId w:val="1"/>
  </w:num>
  <w:num w:numId="2" w16cid:durableId="1663393590">
    <w:abstractNumId w:val="2"/>
  </w:num>
  <w:num w:numId="3" w16cid:durableId="45745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4D"/>
    <w:rsid w:val="0002364D"/>
    <w:rsid w:val="00106324"/>
    <w:rsid w:val="00116576"/>
    <w:rsid w:val="00166399"/>
    <w:rsid w:val="00193DDC"/>
    <w:rsid w:val="001B68FA"/>
    <w:rsid w:val="001C7C43"/>
    <w:rsid w:val="002119BA"/>
    <w:rsid w:val="00234464"/>
    <w:rsid w:val="00252617"/>
    <w:rsid w:val="00266CB1"/>
    <w:rsid w:val="0028581B"/>
    <w:rsid w:val="002973F7"/>
    <w:rsid w:val="0030448B"/>
    <w:rsid w:val="003057DE"/>
    <w:rsid w:val="003A15FA"/>
    <w:rsid w:val="003C5C01"/>
    <w:rsid w:val="004E3E33"/>
    <w:rsid w:val="00514845"/>
    <w:rsid w:val="005778F0"/>
    <w:rsid w:val="00625DEC"/>
    <w:rsid w:val="00684AB3"/>
    <w:rsid w:val="006A04DD"/>
    <w:rsid w:val="0071625C"/>
    <w:rsid w:val="007974FF"/>
    <w:rsid w:val="007E567E"/>
    <w:rsid w:val="007F7008"/>
    <w:rsid w:val="009C654D"/>
    <w:rsid w:val="009F3240"/>
    <w:rsid w:val="00A024C9"/>
    <w:rsid w:val="00AA6FF0"/>
    <w:rsid w:val="00AB6F4A"/>
    <w:rsid w:val="00AD5D82"/>
    <w:rsid w:val="00AE5063"/>
    <w:rsid w:val="00B77A89"/>
    <w:rsid w:val="00BB6D71"/>
    <w:rsid w:val="00D51C97"/>
    <w:rsid w:val="00D845DA"/>
    <w:rsid w:val="00DD6DDA"/>
    <w:rsid w:val="00E73CA2"/>
    <w:rsid w:val="00EB5C70"/>
    <w:rsid w:val="00EC4FA5"/>
    <w:rsid w:val="00F14927"/>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6A71"/>
  <w15:chartTrackingRefBased/>
  <w15:docId w15:val="{1BF9F008-036C-4419-9CB0-A4EB5EBD1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te-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6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36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36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36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36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3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6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36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36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36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36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3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64D"/>
    <w:rPr>
      <w:rFonts w:eastAsiaTheme="majorEastAsia" w:cstheme="majorBidi"/>
      <w:color w:val="272727" w:themeColor="text1" w:themeTint="D8"/>
    </w:rPr>
  </w:style>
  <w:style w:type="paragraph" w:styleId="Title">
    <w:name w:val="Title"/>
    <w:basedOn w:val="Normal"/>
    <w:next w:val="Normal"/>
    <w:link w:val="TitleChar"/>
    <w:uiPriority w:val="10"/>
    <w:qFormat/>
    <w:rsid w:val="00023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6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64D"/>
    <w:pPr>
      <w:spacing w:before="160"/>
      <w:jc w:val="center"/>
    </w:pPr>
    <w:rPr>
      <w:i/>
      <w:iCs/>
      <w:color w:val="404040" w:themeColor="text1" w:themeTint="BF"/>
    </w:rPr>
  </w:style>
  <w:style w:type="character" w:customStyle="1" w:styleId="QuoteChar">
    <w:name w:val="Quote Char"/>
    <w:basedOn w:val="DefaultParagraphFont"/>
    <w:link w:val="Quote"/>
    <w:uiPriority w:val="29"/>
    <w:rsid w:val="0002364D"/>
    <w:rPr>
      <w:i/>
      <w:iCs/>
      <w:color w:val="404040" w:themeColor="text1" w:themeTint="BF"/>
    </w:rPr>
  </w:style>
  <w:style w:type="paragraph" w:styleId="ListParagraph">
    <w:name w:val="List Paragraph"/>
    <w:basedOn w:val="Normal"/>
    <w:uiPriority w:val="34"/>
    <w:qFormat/>
    <w:rsid w:val="0002364D"/>
    <w:pPr>
      <w:ind w:left="720"/>
      <w:contextualSpacing/>
    </w:pPr>
  </w:style>
  <w:style w:type="character" w:styleId="IntenseEmphasis">
    <w:name w:val="Intense Emphasis"/>
    <w:basedOn w:val="DefaultParagraphFont"/>
    <w:uiPriority w:val="21"/>
    <w:qFormat/>
    <w:rsid w:val="0002364D"/>
    <w:rPr>
      <w:i/>
      <w:iCs/>
      <w:color w:val="2F5496" w:themeColor="accent1" w:themeShade="BF"/>
    </w:rPr>
  </w:style>
  <w:style w:type="paragraph" w:styleId="IntenseQuote">
    <w:name w:val="Intense Quote"/>
    <w:basedOn w:val="Normal"/>
    <w:next w:val="Normal"/>
    <w:link w:val="IntenseQuoteChar"/>
    <w:uiPriority w:val="30"/>
    <w:qFormat/>
    <w:rsid w:val="000236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364D"/>
    <w:rPr>
      <w:i/>
      <w:iCs/>
      <w:color w:val="2F5496" w:themeColor="accent1" w:themeShade="BF"/>
    </w:rPr>
  </w:style>
  <w:style w:type="character" w:styleId="IntenseReference">
    <w:name w:val="Intense Reference"/>
    <w:basedOn w:val="DefaultParagraphFont"/>
    <w:uiPriority w:val="32"/>
    <w:qFormat/>
    <w:rsid w:val="0002364D"/>
    <w:rPr>
      <w:b/>
      <w:bCs/>
      <w:smallCaps/>
      <w:color w:val="2F5496" w:themeColor="accent1" w:themeShade="BF"/>
      <w:spacing w:val="5"/>
    </w:rPr>
  </w:style>
  <w:style w:type="character" w:styleId="Hyperlink">
    <w:name w:val="Hyperlink"/>
    <w:basedOn w:val="DefaultParagraphFont"/>
    <w:uiPriority w:val="99"/>
    <w:unhideWhenUsed/>
    <w:rsid w:val="0002364D"/>
    <w:rPr>
      <w:color w:val="0563C1" w:themeColor="hyperlink"/>
      <w:u w:val="single"/>
    </w:rPr>
  </w:style>
  <w:style w:type="character" w:styleId="UnresolvedMention">
    <w:name w:val="Unresolved Mention"/>
    <w:basedOn w:val="DefaultParagraphFont"/>
    <w:uiPriority w:val="99"/>
    <w:semiHidden/>
    <w:unhideWhenUsed/>
    <w:rsid w:val="0002364D"/>
    <w:rPr>
      <w:color w:val="605E5C"/>
      <w:shd w:val="clear" w:color="auto" w:fill="E1DFDD"/>
    </w:rPr>
  </w:style>
  <w:style w:type="table" w:styleId="TableGrid">
    <w:name w:val="Table Grid"/>
    <w:basedOn w:val="TableNormal"/>
    <w:uiPriority w:val="39"/>
    <w:rsid w:val="00E73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E5063"/>
    <w:rPr>
      <w:rFonts w:ascii="Times New Roman" w:hAnsi="Times New Roman" w:cs="Times New Roman"/>
      <w:sz w:val="24"/>
      <w:szCs w:val="24"/>
    </w:rPr>
  </w:style>
  <w:style w:type="paragraph" w:styleId="Header">
    <w:name w:val="header"/>
    <w:basedOn w:val="Normal"/>
    <w:link w:val="HeaderChar"/>
    <w:uiPriority w:val="99"/>
    <w:unhideWhenUsed/>
    <w:rsid w:val="00684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AB3"/>
  </w:style>
  <w:style w:type="paragraph" w:styleId="Footer">
    <w:name w:val="footer"/>
    <w:basedOn w:val="Normal"/>
    <w:link w:val="FooterChar"/>
    <w:uiPriority w:val="99"/>
    <w:unhideWhenUsed/>
    <w:rsid w:val="00684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AB3"/>
  </w:style>
  <w:style w:type="character" w:styleId="PlaceholderText">
    <w:name w:val="Placeholder Text"/>
    <w:basedOn w:val="DefaultParagraphFont"/>
    <w:uiPriority w:val="99"/>
    <w:semiHidden/>
    <w:rsid w:val="00266CB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abad.telangana.gov.in/about-district/?utm_source=chatgpt.com" TargetMode="External"/><Relationship Id="rId18" Type="http://schemas.openxmlformats.org/officeDocument/2006/relationships/hyperlink" Target="https://doi.org/10.1016/j.agwat.2015.06.013?utm_source=chatgpt.com" TargetMode="External"/><Relationship Id="rId26" Type="http://schemas.openxmlformats.org/officeDocument/2006/relationships/hyperlink" Target="https://doi.org/10.9734/IJECC/2024/v14i54179?utm_source=chatgpt.com" TargetMode="External"/><Relationship Id="rId3" Type="http://schemas.openxmlformats.org/officeDocument/2006/relationships/settings" Target="settings.xml"/><Relationship Id="rId21" Type="http://schemas.openxmlformats.org/officeDocument/2006/relationships/hyperlink" Target="https://doi.org/10.1016/j.scienta.2012.07.011?utm_source=chatgpt.com"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doi.org/10.3390/agronomy10030409?utm_source=chatgpt.com" TargetMode="External"/><Relationship Id="rId25" Type="http://schemas.openxmlformats.org/officeDocument/2006/relationships/hyperlink" Target="https://pau.edu/content/ccil/pf/pp_fruits.pdf?utm_source=chatgpt.com"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ppqs.gov.in/sites/default/files/pop-apple_final-_08.12.2022.pdf?utm_source=chatgpt.com" TargetMode="External"/><Relationship Id="rId20" Type="http://schemas.openxmlformats.org/officeDocument/2006/relationships/hyperlink" Target="https://www.icar.gov.in/en/low-chill-apple-man-india-hariman-sharma-conferred-padma-shri?utm_source=chatgpt.com"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psa.gov.in/livelihood/10045?utm_source=chatgpt.com"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st.gov.in/low-chilling-apple-variety-developed-himachal-farmer-spreads-far-wide?utm_source=chatgpt.com" TargetMode="External"/><Relationship Id="rId23" Type="http://schemas.openxmlformats.org/officeDocument/2006/relationships/hyperlink" Target="https://nif.org.in/innovation/hrmn-99-new-apple-variety-for-tropical-sub-tropical-and-plain-areas/932?utm_source=chatgpt.com" TargetMode="External"/><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yperlink" Target="https://doi.org/10.21273/JASHS.116.1.100?utm_source=chatgpt.com"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16/j.tig.2013.10.002?utm_source=chatgpt.com" TargetMode="External"/><Relationship Id="rId22" Type="http://schemas.openxmlformats.org/officeDocument/2006/relationships/hyperlink" Target="https://doi.org/10.1371/journal.pone.0020155?utm_source=chatgpt.com" TargetMode="External"/><Relationship Id="rId27" Type="http://schemas.openxmlformats.org/officeDocument/2006/relationships/hyperlink" Target="https://doi.org/10.9734/IJECC/2022/v12i1131052?utm_source=chatgpt.co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0A5577-84AC-4DDE-B12F-830D3A35F9F4}">
  <we:reference id="wa200001361" version="4.32.17.0" store="en-US" storeType="OMEX"/>
  <we:alternateReferences>
    <we:reference id="WA200001361" version="4.32.17.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200</TotalTime>
  <Pages>19</Pages>
  <Words>7191</Words>
  <Characters>40989</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GAJANAN ANKATWAR</dc:creator>
  <cp:keywords/>
  <dc:description/>
  <cp:lastModifiedBy>Editor-90</cp:lastModifiedBy>
  <cp:revision>37</cp:revision>
  <dcterms:created xsi:type="dcterms:W3CDTF">2026-09-18T14:51:00Z</dcterms:created>
  <dcterms:modified xsi:type="dcterms:W3CDTF">2026-10-03T09:19:00Z</dcterms:modified>
</cp:coreProperties>
</file>