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4B9AD" w14:textId="77777777" w:rsidR="00AA70DA" w:rsidRDefault="00000000">
      <w:pPr>
        <w:pStyle w:val="Title"/>
        <w:spacing w:line="269" w:lineRule="auto"/>
        <w:jc w:val="center"/>
      </w:pPr>
      <w:r>
        <w:t>Reliability and Condition Monitoring of DC-Link Capacitors in Power Electronic Converters</w:t>
      </w:r>
    </w:p>
    <w:p w14:paraId="5C03D9D1" w14:textId="77777777" w:rsidR="00AA70DA" w:rsidRDefault="00000000">
      <w:pPr>
        <w:pStyle w:val="Heading1"/>
        <w:spacing w:line="264" w:lineRule="auto"/>
      </w:pPr>
      <w:r>
        <w:t>ABSTRACT</w:t>
      </w:r>
    </w:p>
    <w:p w14:paraId="362FB322" w14:textId="40547D06" w:rsidR="00803E5E" w:rsidRDefault="00803E5E">
      <w:pPr>
        <w:pStyle w:val="Body"/>
      </w:pPr>
      <w:r>
        <w:rPr>
          <w:b/>
        </w:rPr>
        <w:t xml:space="preserve">Background: </w:t>
      </w:r>
      <w:r>
        <w:t>DC-link capacitors play a central role in buffering energy, limiting voltage ripple and supporting reliable operation of power electronic converters.</w:t>
      </w:r>
    </w:p>
    <w:p w14:paraId="66540A2F" w14:textId="77777777" w:rsidR="00803E5E" w:rsidRDefault="00803E5E">
      <w:pPr>
        <w:pStyle w:val="Body"/>
      </w:pPr>
    </w:p>
    <w:p w14:paraId="1AC81B11" w14:textId="4117924D" w:rsidR="00AA70DA" w:rsidRDefault="00000000">
      <w:pPr>
        <w:pStyle w:val="Body"/>
      </w:pPr>
      <w:r>
        <w:rPr>
          <w:b/>
        </w:rPr>
        <w:t>Aim:</w:t>
      </w:r>
      <w:r>
        <w:t xml:space="preserve"> To </w:t>
      </w:r>
      <w:r>
        <w:rPr>
          <w:highlight w:val="yellow"/>
        </w:rPr>
        <w:t>organise</w:t>
      </w:r>
      <w:r>
        <w:t xml:space="preserve"> the reliability and condition-monitoring problem for DC-link capacitors used in power electronic converters.</w:t>
      </w:r>
    </w:p>
    <w:p w14:paraId="09C3237C" w14:textId="77777777" w:rsidR="00AA70DA" w:rsidRDefault="00000000">
      <w:pPr>
        <w:pStyle w:val="Body"/>
      </w:pPr>
      <w:r>
        <w:rPr>
          <w:b/>
        </w:rPr>
        <w:t>Study design:</w:t>
      </w:r>
      <w:r>
        <w:t xml:space="preserve"> </w:t>
      </w:r>
      <w:r>
        <w:rPr>
          <w:highlight w:val="yellow"/>
        </w:rPr>
        <w:t>A focused narrative review</w:t>
      </w:r>
      <w:r>
        <w:t xml:space="preserve"> covering electrolytic, film and ceramic capacitor technologies, ageing mechanisms and online monitoring.</w:t>
      </w:r>
    </w:p>
    <w:p w14:paraId="1E350A64" w14:textId="77777777" w:rsidR="00AA70DA" w:rsidRDefault="00000000">
      <w:pPr>
        <w:pStyle w:val="Body"/>
      </w:pPr>
      <w:r>
        <w:t xml:space="preserve">Methodology: Seventeen journal articles were </w:t>
      </w:r>
      <w:r>
        <w:rPr>
          <w:highlight w:val="yellow"/>
        </w:rPr>
        <w:t>compared according to capacitor technology</w:t>
      </w:r>
      <w:r>
        <w:t>, converter topology, measured parameter, uncertainty and deployment limits. Targeted searches were updated on 8 October 2026; no new ageing experiments were performed.</w:t>
      </w:r>
    </w:p>
    <w:p w14:paraId="73DC5699" w14:textId="77777777" w:rsidR="00AA70DA" w:rsidRDefault="00000000">
      <w:pPr>
        <w:pStyle w:val="Body"/>
      </w:pPr>
      <w:r>
        <w:rPr>
          <w:b/>
        </w:rPr>
        <w:t>Findings:</w:t>
      </w:r>
      <w:r>
        <w:t xml:space="preserve"> Temperature, ripple current, voltage stress and humidity drive different degradation processes. Capacitance and equivalent series resistance are useful indicators, but either parameter alone can </w:t>
      </w:r>
      <w:r>
        <w:rPr>
          <w:highlight w:val="yellow"/>
        </w:rPr>
        <w:t>misclassify capacitor health</w:t>
      </w:r>
      <w:r>
        <w:t>. Online methods based on ripple, transient response or controlled signal injection can reduce maintenance uncertainty when assumptions are stated.</w:t>
      </w:r>
    </w:p>
    <w:p w14:paraId="66F3153B" w14:textId="77777777" w:rsidR="00AA70DA" w:rsidRDefault="00000000">
      <w:pPr>
        <w:pStyle w:val="Body"/>
      </w:pPr>
      <w:r>
        <w:rPr>
          <w:b/>
        </w:rPr>
        <w:t>Conclusion:</w:t>
      </w:r>
      <w:r>
        <w:t xml:space="preserve"> Capacitor health monitoring should be designed with converter control and measurement boundaries in mind. A useful indicator must be observable during normal operation and linked to a defined end-of-life criterion.</w:t>
      </w:r>
    </w:p>
    <w:p w14:paraId="168256C5" w14:textId="77777777" w:rsidR="00AA70DA" w:rsidRDefault="00000000">
      <w:pPr>
        <w:pStyle w:val="Body"/>
      </w:pPr>
      <w:r>
        <w:t>Keywords: DC-link capacitors; condition monitoring; reliability; equivalent series resistance; electrolytic capacitors; film capacitors</w:t>
      </w:r>
    </w:p>
    <w:p w14:paraId="21479158" w14:textId="77777777" w:rsidR="00AA70DA" w:rsidRDefault="00000000">
      <w:pPr>
        <w:pStyle w:val="Heading1"/>
        <w:spacing w:line="264" w:lineRule="auto"/>
      </w:pPr>
      <w:r>
        <w:t>1. INTRODUCTION</w:t>
      </w:r>
    </w:p>
    <w:p w14:paraId="519FA546" w14:textId="77777777" w:rsidR="00AA70DA" w:rsidRDefault="00000000">
      <w:pPr>
        <w:pStyle w:val="Body"/>
      </w:pPr>
      <w:r>
        <w:t xml:space="preserve">DC-link capacitors buffer pulsating energy, reduce bus ripple and provide a low-impedance switching path. Their failure </w:t>
      </w:r>
      <w:r>
        <w:rPr>
          <w:highlight w:val="yellow"/>
        </w:rPr>
        <w:t>can cause overvoltage</w:t>
      </w:r>
      <w:r>
        <w:t>, increased ripple and converter shutdown. Wang and Blaabjerg (2014) identify capacitors as a major reliability concern.</w:t>
      </w:r>
    </w:p>
    <w:p w14:paraId="79461DFC" w14:textId="1FC48C32" w:rsidR="00D056E6" w:rsidRPr="00803E5E" w:rsidRDefault="00000000">
      <w:pPr>
        <w:pStyle w:val="Body"/>
      </w:pPr>
      <w:r>
        <w:t>The DC-link capacitor is an energy-buffering element that connects the source-side and load-side dynamics of a converter. It absorbs switching-frequency current, limits bus-voltage ripple and provides a low-impedance path during rapid power changes. Its health therefore influences semiconductor voltage stress, control stability, conducted emissions and the ability of the converter to ride through disturbances.</w:t>
      </w:r>
      <w:r w:rsidR="00803E5E">
        <w:t xml:space="preserve"> </w:t>
      </w:r>
      <w:r w:rsidRPr="00803E5E">
        <w:rPr>
          <w:bCs/>
          <w:highlight w:val="yellow"/>
        </w:rPr>
        <w:t>A photovoltaic-inverter model described by Yusuf et al. (2022) represented the DC link using two parallel capacitors; this circuit-specific example illustrates why the configuration must be identified when interpreting DC-link measurements.</w:t>
      </w:r>
    </w:p>
    <w:p w14:paraId="20A3DA4C" w14:textId="7343A92B" w:rsidR="00D056E6" w:rsidRPr="00803E5E" w:rsidRDefault="00000000">
      <w:pPr>
        <w:pStyle w:val="Body"/>
      </w:pPr>
      <w:r>
        <w:t xml:space="preserve">Failure is rarely represented by a single abrupt event. Capacitance may decline gradually, ESR may increase, leakage may rise, and local heating may accelerate the same degradation process. A monitoring method that observes only one parameter can miss an important failure mode or generate a false alarm when the selected parameter is affected by </w:t>
      </w:r>
      <w:r>
        <w:lastRenderedPageBreak/>
        <w:t>modulation, ambient temperature or sensor drift.</w:t>
      </w:r>
      <w:r w:rsidR="00803E5E">
        <w:t xml:space="preserve"> </w:t>
      </w:r>
      <w:r w:rsidRPr="00803E5E">
        <w:rPr>
          <w:bCs/>
          <w:highlight w:val="yellow"/>
        </w:rPr>
        <w:t>In a distinct electrical-fault diagnosis application, Geku (2025) examined fault classification using supply-side measurements and harmonic features; such findings do not, by themselves, establish the identification of DC-link capacitor ageing in power converters.</w:t>
      </w:r>
    </w:p>
    <w:p w14:paraId="518D24F3" w14:textId="46089F95" w:rsidR="00D056E6" w:rsidRPr="00803E5E" w:rsidRDefault="00000000">
      <w:pPr>
        <w:pStyle w:val="Body"/>
      </w:pPr>
      <w:r>
        <w:t>The monitoring boundary is also a design choice. A laboratory impedance analyser can estimate capacitor parameters accurately after shutdown, whereas an online estimator must work with limited voltage and current measurements during normal switching. The latter is more useful for predictive maintenance but requires an explicit model of the converter and its operating conditions.</w:t>
      </w:r>
      <w:r w:rsidR="00803E5E">
        <w:t xml:space="preserve"> </w:t>
      </w:r>
      <w:r w:rsidRPr="00803E5E">
        <w:rPr>
          <w:bCs/>
          <w:highlight w:val="yellow"/>
        </w:rPr>
        <w:t>Wei et al. (2026) investigated DC-link capacitor-bank health assessment using the voltage profile recorded during post-landing discharge in aerospace motor drives.</w:t>
      </w:r>
      <w:r w:rsidR="00803E5E">
        <w:t xml:space="preserve"> </w:t>
      </w:r>
      <w:r w:rsidRPr="00803E5E">
        <w:rPr>
          <w:bCs/>
          <w:highlight w:val="yellow"/>
        </w:rPr>
        <w:t>Fassi et al. (2026) examined physics-informed simulation-to-hardware alignment using measurements from standard shutdown events in a traction inverter, providing further topology- and measurement-specific evidence rather than a universal remaining-life model.</w:t>
      </w:r>
    </w:p>
    <w:p w14:paraId="2ECF7231" w14:textId="77777777" w:rsidR="00425C84" w:rsidRDefault="00000000">
      <w:pPr>
        <w:pStyle w:val="Body"/>
      </w:pPr>
      <w:r>
        <w:t>Broad surveys by Nathan et al. (2023) and Ramees and Ahmad (2023) complement the earlier reviews cited here. Saravanakumar et al. (2025) focus specifically on MMC submodule capacitors. This review uses these perspectives to connect the measurement boundary with the physical failure mechanism and the intended maintenance action, rather than treating all monitoring accuracy figures as equivalent.</w:t>
      </w:r>
    </w:p>
    <w:p w14:paraId="675C9B90" w14:textId="77777777" w:rsidR="00D056E6" w:rsidRPr="00803E5E" w:rsidRDefault="00000000">
      <w:pPr>
        <w:pStyle w:val="Body"/>
        <w:rPr>
          <w:bCs/>
        </w:rPr>
      </w:pPr>
      <w:r w:rsidRPr="00803E5E">
        <w:rPr>
          <w:bCs/>
          <w:highlight w:val="yellow"/>
        </w:rPr>
        <w:t>A research gap remains in relating topology-dependent electrical parameter estimates to the physical mechanisms of capacitor degradation and to maintenance decisions under varying operating conditions. Separating estimation accuracy from the evidence needed for diagnosis and remaining-life prediction is therefore important for a meaningful comparison of monitoring methods.</w:t>
      </w:r>
    </w:p>
    <w:p w14:paraId="66C8D461" w14:textId="77777777" w:rsidR="00D056E6" w:rsidRDefault="00000000">
      <w:pPr>
        <w:pStyle w:val="Body"/>
      </w:pPr>
      <w:r>
        <w:t>The objectives are to distinguish electrical parameter estimation from diagnosis and remaining-life prediction, compare topology-specific monitoring evidence and identify the assumptions needed for maintenance decisions.</w:t>
      </w:r>
    </w:p>
    <w:p w14:paraId="41886AC0" w14:textId="77777777" w:rsidR="00AA70DA" w:rsidRDefault="00000000">
      <w:pPr>
        <w:pStyle w:val="Heading1"/>
        <w:spacing w:line="264" w:lineRule="auto"/>
      </w:pPr>
      <w:r>
        <w:t>2. REVIEW APPROACH AND EVIDENCE BOUNDARIES</w:t>
      </w:r>
    </w:p>
    <w:p w14:paraId="2974159A" w14:textId="77777777" w:rsidR="00AA70DA" w:rsidRDefault="00000000">
      <w:pPr>
        <w:pStyle w:val="Body"/>
      </w:pPr>
      <w:r>
        <w:t>This focused narrative review was updated on 8 October 2026 through targeted web searches of publisher records and institutional repositories, with bibliographic checks against Crossref. Publisher sources included IEEE, Wiley, Elsevier and MDPI; source availability varied, and no exhaustive search of Scopus or Web of Science is claimed. Search combinations included: DC link capacitor AND condition monitoring; ESR capacitance AND estimation; NPC inherent signals; MMC capacitor monitoring; discharge recursive least squares; capacitor soft sensor AND uncertainty. Reference follow-up was used to locate related studies. The search was purposive rather than a prospectively registered systematic review.</w:t>
      </w:r>
    </w:p>
    <w:p w14:paraId="656D8438" w14:textId="77777777" w:rsidR="00AA70DA" w:rsidRDefault="00000000">
      <w:pPr>
        <w:pStyle w:val="Body"/>
      </w:pPr>
      <w:r>
        <w:t xml:space="preserve">The retained set contains 17 published journal articles. Inclusion required direct relevance to the stated review question, an identifiable publication record and sufficient accessible information to support the claim extracted. The update prioritised 2024–2026 publications, retaining older studies for foundational mechanisms or methods. Duplicate records, unrelated applications without a transferable mechanism, conference-only reports and </w:t>
      </w:r>
      <w:r>
        <w:lastRenderedPageBreak/>
        <w:t>unverified claims were excluded. Source selection did not use a numerical quality score; inaccessible details were not inferred from article titles.</w:t>
      </w:r>
    </w:p>
    <w:p w14:paraId="357638ED" w14:textId="77777777" w:rsidR="00AA70DA" w:rsidRDefault="00000000">
      <w:pPr>
        <w:pStyle w:val="Body"/>
      </w:pPr>
      <w:r>
        <w:t>For each study, the synthesis records the device or converter structure, measurement or modelling approach, reported operating conditions, principal result and transfer limitation. Quantitative claims are retained only with an attributable source and a clear evidence level. Full text, publisher abstracts and institutional records were consulted according to availability; abstract-only evidence supports only the explicitly reported findings. Heterogeneous hardware, sampling windows and performance definitions prevent a pooled numerical ranking. Bibliographic metadata were checked separately from scientific claims.</w:t>
      </w:r>
    </w:p>
    <w:p w14:paraId="1372BB1C" w14:textId="77777777" w:rsidR="00AA70DA" w:rsidRDefault="00000000">
      <w:pPr>
        <w:pStyle w:val="Body"/>
      </w:pPr>
      <w:r>
        <w:t>No exhaustive screening counts, formal risk-of-bias assessment or meta-analysis are claimed. Selection and access limitations can leave relevant or conflicting studies unrepresented. The tables distinguish reported measurements from simulations and the authors’ engineering interpretation. Explanatory equations and proposed assessment workflows are not new experimental results. No unpublished converter data or new device experiments are included.</w:t>
      </w:r>
    </w:p>
    <w:p w14:paraId="3380E0F0" w14:textId="77777777" w:rsidR="00AA70DA" w:rsidRDefault="00000000">
      <w:pPr>
        <w:pStyle w:val="Heading1"/>
        <w:spacing w:line="264" w:lineRule="auto"/>
      </w:pPr>
      <w:r>
        <w:t>3. TECHNOLOGIES AND FAILURE MECHANISMS</w:t>
      </w:r>
    </w:p>
    <w:p w14:paraId="724220C4" w14:textId="77777777" w:rsidR="00AA70DA" w:rsidRDefault="00000000">
      <w:pPr>
        <w:pStyle w:val="Body"/>
      </w:pPr>
      <w:r>
        <w:t xml:space="preserve">Aluminium electrolytic capacitors provide high capacitance and </w:t>
      </w:r>
      <w:r>
        <w:rPr>
          <w:highlight w:val="yellow"/>
        </w:rPr>
        <w:t>a favourable</w:t>
      </w:r>
      <w:r>
        <w:t xml:space="preserve"> cost, but electrolyte evaporation, seal degradation and ripple-current heating can shorten life. Temperature at the hot spot is more informative than ambient temperature alone because the internal core may experience a higher thermal stress than the enclosure suggests.</w:t>
      </w:r>
    </w:p>
    <w:p w14:paraId="6DEFE747" w14:textId="77777777" w:rsidR="00AA70DA" w:rsidRDefault="00000000">
      <w:pPr>
        <w:pStyle w:val="Body"/>
      </w:pPr>
      <w:r>
        <w:rPr>
          <w:highlight w:val="yellow"/>
        </w:rPr>
        <w:t>Metallised</w:t>
      </w:r>
      <w:r>
        <w:t xml:space="preserve"> polypropylene film capacitors have low loss and self-healing behaviour, which makes them attractive in high-power DC links. Self-healing is not free: repeated clearing events remove metallisation, increase local loss and may reduce effective capacitance. Humidity, partial discharge, winding stress and thermal gradients can also change the ageing path.</w:t>
      </w:r>
    </w:p>
    <w:p w14:paraId="2788742C" w14:textId="77777777" w:rsidR="00AA70DA" w:rsidRDefault="00000000">
      <w:pPr>
        <w:pStyle w:val="Body"/>
      </w:pPr>
      <w:r>
        <w:t xml:space="preserve">Ceramic capacitors can provide low impedance at high frequency, but effective capacitance may fall </w:t>
      </w:r>
      <w:r>
        <w:rPr>
          <w:highlight w:val="yellow"/>
        </w:rPr>
        <w:t>under DC bias</w:t>
      </w:r>
      <w:r>
        <w:t xml:space="preserve"> and change with temperature or mechanical stress. A bank that appears adequate from its zero-bias nominal value may therefore offer less energy storage during operation. Technology comparison should use the capacitance under the actual electrical bias and frequency range.</w:t>
      </w:r>
    </w:p>
    <w:p w14:paraId="38DD8CAF" w14:textId="77777777" w:rsidR="00AA70DA" w:rsidRDefault="00000000">
      <w:pPr>
        <w:pStyle w:val="Body"/>
      </w:pPr>
      <w:r>
        <w:t xml:space="preserve">For any technology, the relevant loss is tied to the ripple-current spectrum rather than only its RMS total. A compact estimate is Ploss = </w:t>
      </w:r>
      <w:proofErr w:type="gramStart"/>
      <w:r>
        <w:t>Iripple,rms</w:t>
      </w:r>
      <w:proofErr w:type="gramEnd"/>
      <w:r>
        <w:t>² ESR, but ESR is frequency- and temperature-dependent and the current may contain multiple dominant harmonics. A thermal model should use the waveform or a spectrum that preserves the heating contribution of the important components.</w:t>
      </w:r>
    </w:p>
    <w:p w14:paraId="266AE11B" w14:textId="77777777" w:rsidR="00AA70DA" w:rsidRDefault="00000000">
      <w:pPr>
        <w:pStyle w:val="Heading21"/>
        <w:spacing w:line="264" w:lineRule="auto"/>
      </w:pPr>
      <w:r>
        <w:t>3.1 Linking construction to the observable failure mechanism</w:t>
      </w:r>
    </w:p>
    <w:p w14:paraId="6D4A7FE1" w14:textId="77777777" w:rsidR="00AA70DA" w:rsidRDefault="00000000">
      <w:pPr>
        <w:pStyle w:val="Body"/>
      </w:pPr>
      <w:r>
        <w:rPr>
          <w:highlight w:val="yellow"/>
        </w:rPr>
        <w:t>Capacitor technology determines</w:t>
      </w:r>
      <w:r>
        <w:t xml:space="preserve"> which physical changes are plausible and which measurements are informative. In an aluminium electrolytic capacitor, changes in electrolyte and internal contacts can affect resistive loss as well as capacitance. In a metallised film capacitor, local dielectric clearing can remove active electrode area while permitting continued operation. In a ceramic component, bias dependence, cracking and termination stress can dominate different parts of the response. These mechanisms should not be </w:t>
      </w:r>
      <w:r>
        <w:lastRenderedPageBreak/>
        <w:t>compressed into one generic ageing curve. Wang and Blaabjerg (2014) provide a foundational comparison of capacitor technologies for DC-link applications. Their framework remains useful when interpreting newer monitoring methods because an estimator cannot diagnose a mechanism that its underlying component model excludes.</w:t>
      </w:r>
    </w:p>
    <w:p w14:paraId="5E18C7FB" w14:textId="77777777" w:rsidR="00AA70DA" w:rsidRDefault="00000000">
      <w:pPr>
        <w:pStyle w:val="Body"/>
      </w:pPr>
      <w:r>
        <w:t xml:space="preserve">The electrical construction also determines how damage appears at the terminals. A large capacitor bank can contain parallel units, internal series sections and interconnections whose resistances are comparable to a small change in </w:t>
      </w:r>
      <w:r>
        <w:rPr>
          <w:highlight w:val="yellow"/>
        </w:rPr>
        <w:t>the capacitor’s ESR</w:t>
      </w:r>
      <w:r>
        <w:t>. The measured bank impedance therefore includes more than the dielectric and electrode system. A loose connection or unequal current sharing can increase local temperature without a proportional change in the aggregate capacitance. Conversely, one degraded unit in a large parallel bank may produce only a small terminal change. The monitoring boundary must state whether the objective is the complete bank, a module or an individual capacitor. Detection capability at one boundary does not imply localisation at another.</w:t>
      </w:r>
    </w:p>
    <w:p w14:paraId="77BCE217" w14:textId="77777777" w:rsidR="00AA70DA" w:rsidRDefault="00000000">
      <w:pPr>
        <w:pStyle w:val="Body"/>
      </w:pPr>
      <w:r>
        <w:t>An application-oriented failure definition is consequently more useful than a universal percentage. A capacitor can remain electrically functional while the bank no longer satisfies allowable ripple, transient energy or temperature limits. Another application may tolerate the same parameter drift without loss of function. A component procurement threshold and a converter maintenance threshold serve different purposes. The former supports consistent acceptance testing; the latter must account for the actual operating margin. This review therefore interprets parameter changes through their converter consequence rather than treating every published capacitance or ESR threshold as interchangeable.</w:t>
      </w:r>
    </w:p>
    <w:p w14:paraId="243A7A81" w14:textId="77777777" w:rsidR="00AA70DA" w:rsidRDefault="00000000">
      <w:pPr>
        <w:pStyle w:val="Heading21"/>
        <w:spacing w:line="264" w:lineRule="auto"/>
      </w:pPr>
      <w:r>
        <w:t>3.2 Frequency-dependent heating and the thermal feedback loop</w:t>
      </w:r>
    </w:p>
    <w:p w14:paraId="727A5AF0" w14:textId="77777777" w:rsidR="00AA70DA" w:rsidRDefault="00000000">
      <w:pPr>
        <w:pStyle w:val="Body"/>
      </w:pPr>
      <w:r>
        <w:t>For a ripple current decomposed into orthogonal harmonic components, a useful loss model is P_loss ≈ Σ I_</w:t>
      </w:r>
      <w:proofErr w:type="gramStart"/>
      <w:r>
        <w:t>k,rms</w:t>
      </w:r>
      <w:proofErr w:type="gramEnd"/>
      <w:r>
        <w:t>² ESR(f_</w:t>
      </w:r>
      <w:proofErr w:type="gramStart"/>
      <w:r>
        <w:t>k,T</w:t>
      </w:r>
      <w:proofErr w:type="gramEnd"/>
      <w:r>
        <w:t>), where f_k</w:t>
      </w:r>
      <w:r>
        <w:rPr>
          <w:highlight w:val="yellow"/>
        </w:rPr>
        <w:t xml:space="preserve"> is the harmonic frequency</w:t>
      </w:r>
      <w:r>
        <w:t xml:space="preserve"> and T is the relevant capacitor temperature. The familiar single-frequency expression is a special case. The spectral form explains why two current waveforms with the same total RMS value can produce different heating when ESR varies with frequency. It also explains why switching-frequency changes cannot be evaluated solely from a reduction in ripple amplitude. A design calculation should retain the frequency components that contribute materially to loss and state how ESR was measured or modelled over that range.</w:t>
      </w:r>
    </w:p>
    <w:p w14:paraId="5AFF8C3E" w14:textId="77777777" w:rsidR="00AA70DA" w:rsidRDefault="00000000">
      <w:pPr>
        <w:pStyle w:val="Body"/>
      </w:pPr>
      <w:r>
        <w:t>Heating and degradation form a feedback loop. Greater resistive loss raises internal temperature, which can accelerate a temperature-sensitive degradation process and further alter the electrical parameters. The direction and strength of the immediate temperature dependence must still be distinguished from irreversible ageing. For example, an ESR measurement made at a different temperature can shift even if the capacitor has not aged. A condition monitor should therefore compare values at a common reference condition or apply a justified correction. Without this step, seasonal ambient changes or a modified cooling arrangement may be misinterpreted as degradation.</w:t>
      </w:r>
    </w:p>
    <w:p w14:paraId="18B40576" w14:textId="77777777" w:rsidR="00AA70DA" w:rsidRDefault="00000000">
      <w:pPr>
        <w:pStyle w:val="Body"/>
      </w:pPr>
      <w:r>
        <w:rPr>
          <w:highlight w:val="yellow"/>
        </w:rPr>
        <w:t>The case temperature is</w:t>
      </w:r>
      <w:r>
        <w:t xml:space="preserve"> an accessible but imperfect proxy for internal hot-spot temperature. The thermal path from the active winding to the case depends on construction, mounting and airflow. During a transient, the case may lag the interior, so an apparently acceptable surface value does not establish that the internal temperature remains low. Conversely, a high case temperature can result from neighbouring components. A useful thermal model should distinguish heat generated internally from heat entering through the environment. </w:t>
      </w:r>
      <w:r>
        <w:lastRenderedPageBreak/>
        <w:t>This becomes especially relevant in compact converters, where semiconductor losses and shared enclosures can couple the capacitor’s temperature to operating changes elsewhere in the system.</w:t>
      </w:r>
    </w:p>
    <w:p w14:paraId="4D4238AA" w14:textId="77777777" w:rsidR="00AA70DA" w:rsidRDefault="00000000">
      <w:pPr>
        <w:pStyle w:val="Heading21"/>
        <w:spacing w:line="264" w:lineRule="auto"/>
      </w:pPr>
      <w:r>
        <w:t>3.3 Lifetime models and mission-profile transfer</w:t>
      </w:r>
    </w:p>
    <w:p w14:paraId="00849F76" w14:textId="77777777" w:rsidR="00AA70DA" w:rsidRDefault="00000000">
      <w:pPr>
        <w:pStyle w:val="Body"/>
      </w:pPr>
      <w:r>
        <w:t>A lifetime model converts a stress history into an estimate of accumulated degradation or survival. Its validity depends on the mechanism and stress range used for calibration. A simple temperature acceleration law may be helpful when one thermally activated process dominates, but it should not be extended automatically to humidity-driven corrosion, mechanical cracking or dielectric breakdown. Likewise, a voltage acceleration exponent identified for one dielectric and construction may not apply to another. The distinction is not merely statistical: changing stress can change the dominant physical mechanism. An accelerated test is useful only when the accelerated mechanism remains relevant to the intended application.</w:t>
      </w:r>
    </w:p>
    <w:p w14:paraId="7AE63334" w14:textId="77777777" w:rsidR="00AA70DA" w:rsidRDefault="00000000">
      <w:pPr>
        <w:pStyle w:val="Body"/>
      </w:pPr>
      <w:r>
        <w:t>A mission profile should therefore include more than operating hours. Bus-voltage dwell, ripple spectrum, ambient temperature, cooling state, start-stop cycles and exposure to humidity can change the accumulated stress. A converter that spends most of its time at partial load can have a different ageing trajectory from one tested continuously at rated power. A maintenance model should also account for future duty, since remaining life is conditional on what happens next. Reporting one lifetime number without a mission assumption gives a misleading impression of certainty. The appropriate output may instead be a range under several plausible future operating scenarios.</w:t>
      </w:r>
    </w:p>
    <w:p w14:paraId="6C473AB7" w14:textId="77777777" w:rsidR="00AA70DA" w:rsidRDefault="00000000">
      <w:pPr>
        <w:pStyle w:val="Heading1"/>
        <w:spacing w:line="264" w:lineRule="auto"/>
      </w:pPr>
      <w:r>
        <w:t>4. HEALTH INDICATORS</w:t>
      </w:r>
    </w:p>
    <w:p w14:paraId="03A4685C" w14:textId="77777777" w:rsidR="00AA70DA" w:rsidRDefault="00000000">
      <w:pPr>
        <w:pStyle w:val="Body"/>
      </w:pPr>
      <w:r>
        <w:t xml:space="preserve">Capacitance reduction, ESR increase, dissipation factor, leakage current and temperature are common indicators. Zhao et al. (2021) show that monitoring methods differ in whether they estimate a parameter directly or infer it from </w:t>
      </w:r>
      <w:r>
        <w:rPr>
          <w:highlight w:val="yellow"/>
        </w:rPr>
        <w:t>converter behaviour</w:t>
      </w:r>
      <w:r>
        <w:t xml:space="preserve">. Dang and Kwak (2020) review methods across capacitor types and </w:t>
      </w:r>
      <w:r>
        <w:rPr>
          <w:highlight w:val="yellow"/>
        </w:rPr>
        <w:t>emphasise operating conditions</w:t>
      </w:r>
      <w:r>
        <w:t>.</w:t>
      </w:r>
    </w:p>
    <w:p w14:paraId="554437DC" w14:textId="77777777" w:rsidR="00AA70DA" w:rsidRDefault="00000000">
      <w:pPr>
        <w:pStyle w:val="Body"/>
      </w:pPr>
      <w:r>
        <w:t xml:space="preserve">A monitoring system should </w:t>
      </w:r>
      <w:r>
        <w:rPr>
          <w:highlight w:val="yellow"/>
        </w:rPr>
        <w:t>report the excitation source</w:t>
      </w:r>
      <w:r>
        <w:t>, frequency band, parameter model, estimator uncertainty and end-of-life threshold.</w:t>
      </w:r>
    </w:p>
    <w:p w14:paraId="351FD3BB" w14:textId="77777777" w:rsidR="00AA70DA" w:rsidRDefault="00000000">
      <w:pPr>
        <w:pStyle w:val="Body"/>
      </w:pPr>
      <w:r>
        <w:t>Capacitance reduction often reflects loss of active dielectric area, electrolyte depletion or metallisation loss, whereas ESR increase is more directly connected to resistive heating. The two parameters may not drift at the same rate. A condition monitor should therefore track their joint trajectory and identify whether the application has a capacitance-driven voltage-ripple limit or an ESR-driven thermal limit.</w:t>
      </w:r>
    </w:p>
    <w:p w14:paraId="210A7A7D" w14:textId="77777777" w:rsidR="00AA70DA" w:rsidRDefault="00000000">
      <w:pPr>
        <w:pStyle w:val="Body"/>
      </w:pPr>
      <w:r>
        <w:t>Temperature can be used as both a stress variable and a health indicator. If ripple current and ambient conditions are known, a rising internal temperature at comparable load may indicate increasing ESR or deteriorating thermal contact. Temperature alone is not sufficient, however, because a change in cooling or airflow can produce the same observation.</w:t>
      </w:r>
    </w:p>
    <w:p w14:paraId="2A09C0D0" w14:textId="77777777" w:rsidR="00AA70DA" w:rsidRDefault="00000000">
      <w:pPr>
        <w:pStyle w:val="Body"/>
      </w:pPr>
      <w:r>
        <w:t>Leakage current, dissipation factor, dielectric loss, ripple-voltage amplitude and transient response provide additional evidence. Their usefulness depends on sensor placement and bandwidth. For example, a voltage-ripple estimate can be dominated by converter control or wiring inductance unless the measurement location and spectral window are fixed.</w:t>
      </w:r>
    </w:p>
    <w:p w14:paraId="5336B644" w14:textId="77777777" w:rsidR="00AA70DA" w:rsidRDefault="00000000">
      <w:pPr>
        <w:pStyle w:val="Body"/>
      </w:pPr>
      <w:r>
        <w:lastRenderedPageBreak/>
        <w:t>End-of-life thresholds should be linked to the converter requirement. A manufacturer percentage may be appropriate for procurement screening, while a system may reach an unacceptable bus-ripple or semiconductor-voltage limit earlier. The threshold should state whether it is based on capacitance, ESR, temperature, ripple or a combined rule.</w:t>
      </w:r>
    </w:p>
    <w:p w14:paraId="74FB2C36" w14:textId="77777777" w:rsidR="00AA70DA" w:rsidRDefault="00000000">
      <w:pPr>
        <w:pStyle w:val="Heading21"/>
        <w:spacing w:line="264" w:lineRule="auto"/>
      </w:pPr>
      <w:r>
        <w:t>4.1 Parameter estimation is not the same as health diagnosis</w:t>
      </w:r>
    </w:p>
    <w:p w14:paraId="62DC07D4" w14:textId="77777777" w:rsidR="00AA70DA" w:rsidRDefault="00000000">
      <w:pPr>
        <w:pStyle w:val="Body"/>
      </w:pPr>
      <w:r>
        <w:t>An estimator answers a question such as what capacitance or ESR best explains the measured waveform under a specified circuit model. Diagnosis asks what physical condition that estimate implies. Prognosis asks how the condition is likely to evolve toward an end-of-life criterion. These are successive inference steps with different evidence requirements. Zhao et al. (2021) compare monitoring techniques across DC-link applications, while Dang and Kwak (2020) review their use across converter contexts. The present synthesis builds on that distinction by requiring the diagnostic and prognostic assumptions to be stated separately from the parameter-estimation algorithm.</w:t>
      </w:r>
    </w:p>
    <w:p w14:paraId="2E2545BB" w14:textId="77777777" w:rsidR="00AA70DA" w:rsidRDefault="00000000">
      <w:pPr>
        <w:pStyle w:val="Body"/>
      </w:pPr>
      <w:r>
        <w:t>Consider a measured increase in bus ripple. It may indicate reduced capacitance, but it can also result from increased load pulsation, a change in source impedance, altered modulation or a control disturbance. Even when capacitance is accurately estimated, the cause of its change still depends on technology and operating condition. A health monitor should therefore use contextual variables rather than mapping a single waveform amplitude directly to a failure label. If those variables are unavailable, its claim should remain limited to anomaly detection. An anomaly can justify inspection without proving a particular ageing mechanism or remaining service life.</w:t>
      </w:r>
    </w:p>
    <w:p w14:paraId="66F0D81F" w14:textId="77777777" w:rsidR="00AA70DA" w:rsidRDefault="00000000">
      <w:pPr>
        <w:pStyle w:val="Body"/>
      </w:pPr>
      <w:r>
        <w:t>The same caution applies to a stable estimate. An unchanged aggregate capacitance does not exclude increasing ESR, insulation deterioration or a local interconnection problem. Monitoring two parameters is often more informative, but more outputs do not automatically improve diagnosis if they are extracted from the same poorly conditioned data. The key question is whether the observations contain independent information about the proposed failure mechanisms. A combined electrical and thermal measurement can help when the thermal boundary is characterised, but it can also introduce a new ambiguity if cooling changes are ignored. Fig. 2 separates these inference stages explicitly.</w:t>
      </w:r>
    </w:p>
    <w:p w14:paraId="409FF826" w14:textId="77777777" w:rsidR="00AA70DA" w:rsidRDefault="00000000">
      <w:pPr>
        <w:pStyle w:val="Heading21"/>
        <w:spacing w:line="264" w:lineRule="auto"/>
      </w:pPr>
      <w:r>
        <w:t>4.2 Observability and the choice of excitation</w:t>
      </w:r>
    </w:p>
    <w:p w14:paraId="53FFB04E" w14:textId="77777777" w:rsidR="00AA70DA" w:rsidRDefault="00000000">
      <w:pPr>
        <w:pStyle w:val="Body"/>
      </w:pPr>
      <w:r>
        <w:t>The simplest small-signal series model is Z(jω) = ESR + jωESL + 1/(jωC), where ESL is equivalent series inductance. At frequencies dominated by the capacitive term, the response is sensitive to C but may be weakly sensitive to ESR. At higher frequencies, ESR or inductance can dominate. Estimating both C and ESR from a single narrow band can therefore be ill-conditioned. The useful frequency range depends on the component and interconnection. A monitoring method should identify the band in which each parameter is observable and show that other circuit terms do not explain the same measured response equally well.</w:t>
      </w:r>
    </w:p>
    <w:p w14:paraId="131B8CC3" w14:textId="77777777" w:rsidR="00AA70DA" w:rsidRDefault="00000000">
      <w:pPr>
        <w:pStyle w:val="Body"/>
      </w:pPr>
      <w:r>
        <w:t xml:space="preserve">The concept of observability also applies in the time domain. A nearly constant bus voltage with very little capacitor current carries little information for estimating capacitance from charge balance. An algorithm can still return a smooth numerical value, but that smoothness may reflect its previous estimate or regularisation rather than new evidence. Confidence should decrease when excitation is insufficient. A practical estimator can hold the last </w:t>
      </w:r>
      <w:r>
        <w:lastRenderedPageBreak/>
        <w:t>trustworthy estimate and record that no informative update occurred. This is preferable to presenting every control cycle as an independent measurement of ageing, especially when the true degradation process is much slower than the converter dynamics.</w:t>
      </w:r>
    </w:p>
    <w:p w14:paraId="22F3C1F3" w14:textId="77777777" w:rsidR="00AA70DA" w:rsidRDefault="00000000">
      <w:pPr>
        <w:pStyle w:val="Heading21"/>
        <w:spacing w:line="264" w:lineRule="auto"/>
      </w:pPr>
      <w:r>
        <w:t>4.3 Bias and uncertainty in charge-balance methods</w:t>
      </w:r>
    </w:p>
    <w:p w14:paraId="7C644816" w14:textId="77777777" w:rsidR="00AA70DA" w:rsidRDefault="00000000">
      <w:pPr>
        <w:pStyle w:val="Body"/>
      </w:pPr>
      <w:r>
        <w:t>For a selected interval, an idealised capacitance estimate is C_hat = ∫i_C(t)dt/Δv_C. The expression assumes that i_C is the current entering the capacitor and that the measured voltage change represents its capacitive component. Leakage, an unmeasured parallel path, ESR-related steps or sensor offset can violate those assumptions. The estimate also becomes sensitive to noise when Δv_C is small. Increasing the observation interval can improve the voltage change but allows more opportunity for offset accumulation and changing operating conditions. The interval length is therefore a design choice that balances signal strength against model validity.</w:t>
      </w:r>
    </w:p>
    <w:p w14:paraId="2E2E78C4" w14:textId="77777777" w:rsidR="00AA70DA" w:rsidRDefault="00000000">
      <w:pPr>
        <w:pStyle w:val="Body"/>
      </w:pPr>
      <w:r>
        <w:t>If a constant current-sensor offset b is integrated over an interval Δt, it introduces a charge error bΔt. This direct algebraic result explains why a longer record does not necessarily improve accuracy. A voltage offset that is constant at both endpoints may cancel in the difference, but drift or unequal filtering can remain. Reconstructing capacitor current from other converter currents introduces their gain, offset and timing errors as well as uncertainty in switching-state identification. These errors should be propagated into the capacitance estimate. Reporting an average percentage error alone can conceal operating regions where the measurement has too little sensitivity to support a reliable health decision.</w:t>
      </w:r>
    </w:p>
    <w:p w14:paraId="47DBCBF2" w14:textId="77777777" w:rsidR="00AA70DA" w:rsidRDefault="00000000">
      <w:pPr>
        <w:pStyle w:val="Body"/>
      </w:pPr>
      <w:r>
        <w:t>Fig. 1 summarises the physical and measurement relationships discussed in this section.</w:t>
      </w:r>
    </w:p>
    <w:p w14:paraId="562BED76" w14:textId="77777777" w:rsidR="00AA70DA" w:rsidRDefault="00000000">
      <w:pPr>
        <w:keepNext/>
        <w:jc w:val="center"/>
      </w:pPr>
      <w:r>
        <w:rPr>
          <w:noProof/>
        </w:rPr>
        <w:drawing>
          <wp:inline distT="0" distB="0" distL="0" distR="0" wp14:anchorId="470D1AEB" wp14:editId="5CCE8C6D">
            <wp:extent cx="5212080" cy="17897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acitor_1.png"/>
                    <pic:cNvPicPr/>
                  </pic:nvPicPr>
                  <pic:blipFill>
                    <a:blip r:embed="rId8"/>
                    <a:stretch>
                      <a:fillRect/>
                    </a:stretch>
                  </pic:blipFill>
                  <pic:spPr>
                    <a:xfrm>
                      <a:off x="0" y="0"/>
                      <a:ext cx="5212080" cy="1789751"/>
                    </a:xfrm>
                    <a:prstGeom prst="rect">
                      <a:avLst/>
                    </a:prstGeom>
                  </pic:spPr>
                </pic:pic>
              </a:graphicData>
            </a:graphic>
          </wp:inline>
        </w:drawing>
      </w:r>
    </w:p>
    <w:p w14:paraId="6E41ACF1" w14:textId="77777777" w:rsidR="00AA70DA" w:rsidRDefault="00000000">
      <w:pPr>
        <w:pStyle w:val="Caption1"/>
        <w:spacing w:line="264" w:lineRule="auto"/>
      </w:pPr>
      <w:r>
        <w:t>Fig. 1. Measurement and interpretation pathway for capacitor condition monitoring. C is capacitance, ESR is equivalent series resistance and T is temperature. Original conceptual schematic; no experimental or simulated performance data are plotted.</w:t>
      </w:r>
    </w:p>
    <w:p w14:paraId="68949B06" w14:textId="77777777" w:rsidR="00AA70DA" w:rsidRDefault="00000000">
      <w:pPr>
        <w:pStyle w:val="Heading1"/>
        <w:spacing w:line="264" w:lineRule="auto"/>
      </w:pPr>
      <w:r>
        <w:t>5. ONLINE MONITORING</w:t>
      </w:r>
    </w:p>
    <w:p w14:paraId="280C3097" w14:textId="77777777" w:rsidR="00AA70DA" w:rsidRDefault="00000000">
      <w:pPr>
        <w:pStyle w:val="Body"/>
      </w:pPr>
      <w:r>
        <w:t>Non-invasive signal injection can estimate capacitor parameters without stopping a converter. Ribeiro et al. (2024) demonstrate signal injection for a three-level NPC converter and report simultaneous ESR and capacitance estimation. Other approaches use natural ripple, charge-discharge trajectories, dissipation factor or reconstructed capacitor current.</w:t>
      </w:r>
    </w:p>
    <w:p w14:paraId="76B0CA8C" w14:textId="77777777" w:rsidR="00AA70DA" w:rsidRDefault="00000000">
      <w:pPr>
        <w:pStyle w:val="Body"/>
      </w:pPr>
      <w:r>
        <w:t>The intervention must be small enough not to disturb power quality or control stability. Observability depends on topology, modulation, sensor bandwidth and separation from switching harmonics.</w:t>
      </w:r>
    </w:p>
    <w:p w14:paraId="775757D0" w14:textId="77777777" w:rsidR="00AA70DA" w:rsidRDefault="00000000">
      <w:pPr>
        <w:pStyle w:val="Body"/>
      </w:pPr>
      <w:r>
        <w:lastRenderedPageBreak/>
        <w:t>Natural-ripple methods use the converter’s own voltage and current waveforms. They avoid deliberate excitation, but their observability changes with duty cycle, load, modulation and operating point. The estimator should reject intervals in which the converter is not sufficiently excited or should report a confidence measure alongside the estimated parameter.</w:t>
      </w:r>
    </w:p>
    <w:p w14:paraId="6CD0C99C" w14:textId="77777777" w:rsidR="00AA70DA" w:rsidRDefault="00000000">
      <w:pPr>
        <w:pStyle w:val="Body"/>
      </w:pPr>
      <w:r>
        <w:t>Signal injection provides a controlled frequency component that can be separated from the switching waveform. The injected amplitude must remain small enough to preserve power quality and control stability, and the chosen frequency must distinguish the capacitor from inductors, wiring and sensor dynamics. A calibration step with a known impedance is useful for identifying the combined measurement path.</w:t>
      </w:r>
    </w:p>
    <w:p w14:paraId="20D35A0A" w14:textId="77777777" w:rsidR="00AA70DA" w:rsidRDefault="00000000">
      <w:pPr>
        <w:pStyle w:val="Body"/>
      </w:pPr>
      <w:r>
        <w:t>Charge-discharge and transient-trajectory methods infer capacitance from the relationship between current and bus-voltage change. They can be effective during controlled operating events, but the estimate is sensitive to current-sensor offset, parasitic capacitance, control action and the duration of the selected interval. These assumptions should be stated explicitly.</w:t>
      </w:r>
    </w:p>
    <w:p w14:paraId="6731E88E" w14:textId="77777777" w:rsidR="00AA70DA" w:rsidRDefault="00000000">
      <w:pPr>
        <w:pStyle w:val="Body"/>
      </w:pPr>
      <w:r>
        <w:t>Online estimators become more reliable when they combine a parameter model with thermal and mission-profile information. Recursive least squares, Kalman filtering and impedance-based estimators can track slow changes, but they should not be presented as failure predictors unless their uncertainty and end-of-life decision rule have been validated on representative ageing data.</w:t>
      </w:r>
    </w:p>
    <w:p w14:paraId="00B36EE6" w14:textId="77777777" w:rsidR="00AA70DA" w:rsidRDefault="00000000">
      <w:pPr>
        <w:pStyle w:val="Heading21"/>
        <w:spacing w:line="264" w:lineRule="auto"/>
      </w:pPr>
      <w:r>
        <w:t>5.1 Natural ripple and switching transients</w:t>
      </w:r>
    </w:p>
    <w:p w14:paraId="7EB222D3" w14:textId="77777777" w:rsidR="00AA70DA" w:rsidRDefault="00000000">
      <w:pPr>
        <w:pStyle w:val="Body"/>
      </w:pPr>
      <w:r>
        <w:t>Natural-ripple methods are attractive because they use excitation already present in the converter. Their practical limitation is that the available information changes with load, topology and control. A useful operating point for ESR estimation may be a poor one for capacitance estimation. Signal processing can isolate a frequency band, but it cannot create information absent from the waveform. The reported accuracy should therefore be mapped over the operating range rather than demonstrated only at one favourable point. The method should also state whether an informative measurement remains available during light load, idle periods or abnormal source conditions.</w:t>
      </w:r>
    </w:p>
    <w:p w14:paraId="12EEFE7B" w14:textId="77777777" w:rsidR="00AA70DA" w:rsidRDefault="00000000">
      <w:pPr>
        <w:pStyle w:val="Body"/>
      </w:pPr>
      <w:r>
        <w:t>Xiang et al. (2021) proposed using the damping of switching ringing to monitor ESR in a voltage-source converter. This represents a different observation route from directly dividing ripple voltage by ripple current. The appeal is that a transient often treated as unwanted noise can contain impedance information. The limitation is that ringing also depends on parasitic inductance, capacitance and the surrounding circuit. Transfer to another layout therefore requires reassessing the equivalent circuit and measurement bandwidth. A damping-based indicator should not be interpreted as a capacitor-only property unless the contributions from the rest of the resonant path are sufficiently controlled.</w:t>
      </w:r>
    </w:p>
    <w:p w14:paraId="75A55D11" w14:textId="77777777" w:rsidR="00AA70DA" w:rsidRDefault="00000000">
      <w:pPr>
        <w:pStyle w:val="Body"/>
      </w:pPr>
      <w:r>
        <w:t xml:space="preserve">Laadjal et al. (2021) studied short-time Fourier-transform-based diagnosis of DC-link electrolytic capacitors in boost converters. Time-frequency analysis can make changing waveform features easier to follow, but a classification feature remains conditional on the converter that generates it. Changes in operating mode or disturbance spectrum can resemble changes associated with a degraded component. For this reason, diagnostic demonstrations should distinguish capacitor variation from load and control variation in the evaluation data. A method that recognises deliberately substituted components under one </w:t>
      </w:r>
      <w:r>
        <w:lastRenderedPageBreak/>
        <w:t>operating condition may still require additional evidence before it can distinguish gradual field ageing from normal operational changes.</w:t>
      </w:r>
    </w:p>
    <w:p w14:paraId="63F051B4" w14:textId="77777777" w:rsidR="00AA70DA" w:rsidRDefault="00000000">
      <w:pPr>
        <w:pStyle w:val="Heading21"/>
        <w:spacing w:line="264" w:lineRule="auto"/>
      </w:pPr>
      <w:r>
        <w:t>5.2 Controlled injection in a multilevel converter</w:t>
      </w:r>
    </w:p>
    <w:p w14:paraId="157B6266" w14:textId="77777777" w:rsidR="00AA70DA" w:rsidRDefault="00000000">
      <w:pPr>
        <w:pStyle w:val="Body"/>
      </w:pPr>
      <w:r>
        <w:t>Ribeiro et al. (2024) reported an online method for three-level neutral-point-clamped converters using signal injection and wavelet decomposition to estimate capacitance and ESR in their relevant frequency regions. The combination is valuable because it addresses the different sensitivity requirements of the two parameters. However, the evidence belongs to the studied converter and injection arrangement. A method described as noninvasive in hardware can still alter a control waveform or impose a small electrical disturbance. Its implementation burden should therefore be reported in terms of sensors, software changes, injected signal and effect on normal conversion, rather than with one undifferentiated label.</w:t>
      </w:r>
    </w:p>
    <w:p w14:paraId="397AAE22" w14:textId="77777777" w:rsidR="00AA70DA" w:rsidRDefault="00000000">
      <w:pPr>
        <w:pStyle w:val="Body"/>
      </w:pPr>
      <w:r>
        <w:t>A controlled disturbance is useful when natural excitation is weak or inconsistent. Its frequency must be chosen to provide parameter sensitivity without producing unacceptable bus ripple, current distortion or interaction with a control loop. Its amplitude must exceed measurement noise while preserving the operating constraints. These requirements can conflict. Increasing injection amplitude may improve estimation but worsen power quality; reducing amplitude can make the result dominated by sensor error. The useful outcome is a stated operating envelope in which both estimation and converter performance are acceptable. An accuracy number reported without the associated disturbance is insufficient for comparing methods.</w:t>
      </w:r>
    </w:p>
    <w:p w14:paraId="32772857" w14:textId="77777777" w:rsidR="00AA70DA" w:rsidRDefault="00000000">
      <w:pPr>
        <w:pStyle w:val="Body"/>
      </w:pPr>
      <w:r>
        <w:t>Lin and Pan (2025) used recognition of inserted windows and time slicing to estimate submodule capacitance in an MMC with nearest-level modulation. The publication reports simulation and experimental support for the method. Its relevance is the use of identifiable switching intervals to create a meaningful charge-balance observation without adding dedicated sensors. The limitation is equally instructive: the informative interval arises from the topology and modulation. A two-level converter does not necessarily provide the same window. This study therefore exemplifies topology-aware estimation, rather than a universal algorithm that can be transferred by retaining only its numerical update equation.</w:t>
      </w:r>
    </w:p>
    <w:p w14:paraId="20537137" w14:textId="77777777" w:rsidR="00AA70DA" w:rsidRDefault="00000000">
      <w:pPr>
        <w:pStyle w:val="Heading21"/>
        <w:spacing w:line="264" w:lineRule="auto"/>
      </w:pPr>
      <w:r>
        <w:t>5.3 Discharge events and deliberately created measurement intervals</w:t>
      </w:r>
    </w:p>
    <w:p w14:paraId="3C2B1C21" w14:textId="77777777" w:rsidR="00AA70DA" w:rsidRDefault="00000000">
      <w:pPr>
        <w:pStyle w:val="Body"/>
      </w:pPr>
      <w:r>
        <w:t>Oliszewski et al. (2025) examined discharge-based repetitive recursive least squares for a hybrid-electric aircraft DC link. They report an effective capacitance range of 881–1044 µF with estimation error below 5% under the evaluated conditions, within a wider investigated range. Reporting the effective range is important: it shows that an algorithm’s useful domain may be narrower than the parameter range explored. Repeatedly processing a short data package can improve convergence of an estimator, but it does not create independent new measurements. The quality of that package and the suitability of the discharge model remain decisive.</w:t>
      </w:r>
    </w:p>
    <w:p w14:paraId="5CE2ECF6" w14:textId="77777777" w:rsidR="00AA70DA" w:rsidRDefault="00000000">
      <w:pPr>
        <w:pStyle w:val="Body"/>
      </w:pPr>
      <w:r>
        <w:t xml:space="preserve">Qian et al. (2025) introduced a DC-link series-switch arrangement for monitoring capacitance in a brushless-DC motor-drive context. The controlled charging interval and current reconstruction illustrate how circuit architecture can be changed to improve observability. This is a meaningful trade-off rather than a free diagnostic addition: extra components and control states must be assessed for loss, cost, reliability and disturbance. Moreover, a capacitance estimate is still an input to a lifetime assessment. The mapping </w:t>
      </w:r>
      <w:r>
        <w:lastRenderedPageBreak/>
        <w:t>from that estimate to remaining life requires a degradation relationship and a justified end-of-life criterion for the chosen capacitor family.</w:t>
      </w:r>
    </w:p>
    <w:p w14:paraId="08A98472" w14:textId="77777777" w:rsidR="00AA70DA" w:rsidRDefault="00000000">
      <w:pPr>
        <w:pStyle w:val="Body"/>
      </w:pPr>
      <w:r>
        <w:t>A useful comparison between event-based and continuous monitoring therefore begins with the required update rate. Slow ageing may permit measurements during planned shutdown, discharge or a favourable operating window. Rapid protection decisions require different signals and response times. Continuously running a sophisticated estimator is not necessarily better if the parameter changes slowly and the normal waveform provides weak excitation. Conversely, a shutdown-only method can miss a fault developing between maintenance events. The chosen architecture should state the fastest relevant degradation or failure process and explain how its measurement schedule can detect that process in time to act.</w:t>
      </w:r>
    </w:p>
    <w:p w14:paraId="6A4AAC2E" w14:textId="77777777" w:rsidR="00AA70DA" w:rsidRDefault="00000000">
      <w:pPr>
        <w:pStyle w:val="Heading21"/>
        <w:spacing w:line="264" w:lineRule="auto"/>
      </w:pPr>
      <w:r>
        <w:t>5.4 Recursive estimators and data-driven methods</w:t>
      </w:r>
    </w:p>
    <w:p w14:paraId="4DBC4557" w14:textId="77777777" w:rsidR="00AA70DA" w:rsidRDefault="00000000">
      <w:pPr>
        <w:pStyle w:val="Body"/>
      </w:pPr>
      <w:r>
        <w:t>Recursive least squares and Kalman-family estimators offer practical ways to update parameters as data arrive. Their tuning controls how strongly new data influence the estimate and how much variation is attributed to noise or parameter drift. A rapid adaptation setting can follow operational changes but may mistake them for ageing. A slow setting can stabilise the trend but delay detection. The estimator should therefore be evaluated against both slow parameter changes and abrupt disturbances. Its internal covariance or confidence output should not be accepted as a complete uncertainty bound unless model mismatch and sensor bias have been represented adequately.</w:t>
      </w:r>
    </w:p>
    <w:p w14:paraId="4ABCF245" w14:textId="77777777" w:rsidR="00AA70DA" w:rsidRDefault="00000000">
      <w:pPr>
        <w:pStyle w:val="Body"/>
      </w:pPr>
      <w:r>
        <w:t>Data-driven models introduce a related transfer problem. Training and evaluation data must be separated at the level that matters for deployment, such as distinct capacitors, operating missions or converters. Randomly separating adjacent samples from one ageing trajectory can make performance appear stronger than it is because the samples share almost the same underlying state. A useful benchmark tests new specimens and changed operating conditions. Physics-informed constraints can prevent impossible outputs, but they do not compensate for a training set that lacks relevant failure mechanisms. The evidence should therefore distinguish interpolation within known conditions from prediction under a new mission.</w:t>
      </w:r>
    </w:p>
    <w:p w14:paraId="4DA72ED6" w14:textId="77777777" w:rsidR="00425C84" w:rsidRDefault="00000000">
      <w:pPr>
        <w:pStyle w:val="Heading21"/>
        <w:spacing w:line="264" w:lineRule="auto"/>
      </w:pPr>
      <w:r>
        <w:t>5.5 Recent evidence on inherent signals and comparative monitoring</w:t>
      </w:r>
    </w:p>
    <w:p w14:paraId="21BCA58E" w14:textId="77777777" w:rsidR="00425C84" w:rsidRDefault="00000000">
      <w:pPr>
        <w:pStyle w:val="Body"/>
      </w:pPr>
      <w:r>
        <w:t>Ribeiro et al. (2025) use inherent modulation-related signals in a three-level NPC grid-connected inverter, combining recursive spectral analysis with an RLS observer to estimate capacitance and ESR. Unlike their 2024 injection-based work, the later method draws its excitation from the topology and PWM interaction. This reduces deliberate intervention, but the required spectral information and installed sensor quality remain application-specific. The comparison is therefore between two observability strategies, not proof that injection is always unnecessary.</w:t>
      </w:r>
    </w:p>
    <w:p w14:paraId="5D27FBF2" w14:textId="77777777" w:rsidR="00425C84" w:rsidRDefault="00000000">
      <w:pPr>
        <w:pStyle w:val="Body"/>
      </w:pPr>
      <w:r>
        <w:t xml:space="preserve">Asoodar et al. (2024) compare submodule capacitances in an MMC and </w:t>
      </w:r>
      <w:r>
        <w:rPr>
          <w:highlight w:val="yellow"/>
        </w:rPr>
        <w:t>report an overall estimation error</w:t>
      </w:r>
      <w:r>
        <w:t xml:space="preserve"> below 1% in their simulation and experimental evaluation. Relative comparison can help distinguish one changing capacitor from a common temperature effect. Its limitation follows from the same reference choice: if many units age together, their average may also drift. A comparative anomaly therefore needs an absolute reference or mission context before it becomes a complete bank-health assessment. The reported </w:t>
      </w:r>
      <w:r>
        <w:lastRenderedPageBreak/>
        <w:t>percentage should not be compared directly with a discharge estimator unless the denominator, component population and operating conditions are matched.</w:t>
      </w:r>
    </w:p>
    <w:p w14:paraId="61F95811" w14:textId="77777777" w:rsidR="00425C84" w:rsidRDefault="00000000">
      <w:pPr>
        <w:pStyle w:val="Heading21"/>
        <w:spacing w:line="264" w:lineRule="auto"/>
      </w:pPr>
      <w:r>
        <w:t>5.6 Uncertainty and data-driven monitoring</w:t>
      </w:r>
    </w:p>
    <w:p w14:paraId="35B46642" w14:textId="77777777" w:rsidR="00425C84" w:rsidRDefault="00000000">
      <w:pPr>
        <w:pStyle w:val="Body"/>
      </w:pPr>
      <w:r>
        <w:t>Claudino et al. (2026) combine Monte Carlo uncertainty propagation and bootstrapping in capacitance soft sensing, evaluated on a brushless-DC drive. Their reported confidence-interval widths range from 12 to 61 µF across evaluated conditions, with wider intervals at higher power setpoints. These are interval widths, not mean absolute errors or relative percentages. The finding illustrates why an apparently accurate mean estimate may still be inadequate near a replacement threshold: the measurement and model uncertainty must be judged against the available capacitance margin.</w:t>
      </w:r>
    </w:p>
    <w:p w14:paraId="64C3C2E6" w14:textId="77777777" w:rsidR="00425C84" w:rsidRDefault="00000000">
      <w:pPr>
        <w:pStyle w:val="Body"/>
      </w:pPr>
      <w:r>
        <w:t xml:space="preserve">Nathan et al. (2026) investigate hierarchical temporal memory for detecting DC-link capacitor ageing from unlabelled data without extra sensors or offline retraining. The reported scope is algorithmic condition monitoring, </w:t>
      </w:r>
      <w:r>
        <w:rPr>
          <w:highlight w:val="yellow"/>
        </w:rPr>
        <w:t>with simulation-based evaluation reported in the study</w:t>
      </w:r>
      <w:r>
        <w:t>; it is not treated here as field-validated remaining-life prediction. An anomaly detector must distinguish degradation from legitimate changes in operating state. Its practical assessment should report false alarms, missed changes, drift handling and behaviour on an unseen mission, alongside any parameter-estimation accuracy.</w:t>
      </w:r>
    </w:p>
    <w:p w14:paraId="4518D1FD" w14:textId="77777777" w:rsidR="00AA70DA" w:rsidRDefault="00000000">
      <w:pPr>
        <w:pStyle w:val="Heading1"/>
        <w:spacing w:line="264" w:lineRule="auto"/>
      </w:pPr>
      <w:r>
        <w:t>6. DESIGN COMPARISON</w:t>
      </w:r>
    </w:p>
    <w:p w14:paraId="643CA7FB" w14:textId="77777777" w:rsidR="00AA70DA" w:rsidRDefault="00000000">
      <w:pPr>
        <w:pStyle w:val="Body"/>
      </w:pPr>
      <w:r>
        <w:t>The choice of monitoring family should follow the required decision. A maintenance alarm can tolerate a slower trend estimate, whereas protection against a rapid thermal excursion requires a fast and conservative signal. Table 2 relates monitoring choice to converter context and the main validation burden.</w:t>
      </w:r>
    </w:p>
    <w:p w14:paraId="0605368F" w14:textId="77777777" w:rsidR="00AA70DA" w:rsidRDefault="00000000">
      <w:pPr>
        <w:pStyle w:val="Heading21"/>
        <w:spacing w:line="264" w:lineRule="auto"/>
      </w:pPr>
      <w:r>
        <w:t>6.1 Selecting a monitor from the maintenance decision backward</w:t>
      </w:r>
    </w:p>
    <w:p w14:paraId="110AAE6B" w14:textId="77777777" w:rsidR="00AA70DA" w:rsidRDefault="00000000">
      <w:pPr>
        <w:pStyle w:val="Body"/>
      </w:pPr>
      <w:r>
        <w:t>The monitoring problem becomes clearer when the desired action is specified first. A maintenance planner may need an indication that remaining margin is declining over weeks. A controller may need to derate current during a thermal excursion. A protection system may need to respond to a rapidly developing fault. These actions require different bandwidths, confidence levels and acceptable false-alarm rates. A slow but accurate capacitance estimator may be well suited to maintenance and unsuitable for short-circuit protection. Table 2 therefore compares the type of decision supported by each monitoring family, rather than treating estimation accuracy as the only performance metric.</w:t>
      </w:r>
    </w:p>
    <w:p w14:paraId="61D207A0" w14:textId="77777777" w:rsidR="00AA70DA" w:rsidRDefault="00000000">
      <w:pPr>
        <w:pStyle w:val="Body"/>
      </w:pPr>
      <w:r>
        <w:t>An alarm threshold should include measurement uncertainty and operational variability. If the confidence interval overlaps the nominal region, a repeated measurement under better excitation may be more informative than an immediate replacement decision. If a physically plausible trend persists across comparable operating points, the evidence for degradation becomes stronger. Hysteresis and persistence requirements can reduce repeated alarm toggling, but their delay must remain acceptable for the failure process. The monitoring logic should also distinguish unavailable information from a healthy state. A failed sensor or unobservable operating interval should not be silently converted into a reassuring health estimate.</w:t>
      </w:r>
    </w:p>
    <w:p w14:paraId="517B6D46" w14:textId="77777777" w:rsidR="00AA70DA" w:rsidRDefault="00000000">
      <w:pPr>
        <w:pStyle w:val="Heading21"/>
        <w:spacing w:line="264" w:lineRule="auto"/>
      </w:pPr>
      <w:r>
        <w:lastRenderedPageBreak/>
        <w:t>6.2 Functional limits and an illustrative energy calculation</w:t>
      </w:r>
    </w:p>
    <w:p w14:paraId="071C02B4" w14:textId="77777777" w:rsidR="00AA70DA" w:rsidRDefault="00000000">
      <w:pPr>
        <w:pStyle w:val="Body"/>
      </w:pPr>
      <w:r>
        <w:t>The capacitor’s stored energy is E = CV²/2 under the ideal capacitance model. If a DC link must support a power deficit P for a short time while voltage falls from V_high to V_low, the ideal energy balance gives C_required = 2PΔt</w:t>
      </w:r>
      <w:proofErr w:type="gramStart"/>
      <w:r>
        <w:t>/(</w:t>
      </w:r>
      <w:proofErr w:type="gramEnd"/>
      <w:r>
        <w:t>V_high² − V_low²). This is a screening relation that neglects loss, controller dynamics and other energy stores. It demonstrates how a capacitance threshold can be derived from a converter requirement rather than selected solely from a generic percentage. The result must be supplemented by ripple-current, temperature and voltage constraints before it becomes a component specification.</w:t>
      </w:r>
    </w:p>
    <w:p w14:paraId="58A078EC" w14:textId="77777777" w:rsidR="00AA70DA" w:rsidRDefault="00000000">
      <w:pPr>
        <w:pStyle w:val="Body"/>
      </w:pPr>
      <w:r>
        <w:t xml:space="preserve">The same reasoning shows why capacitance and ESR thresholds can lead to different decisions. A capacitor may retain adequate energy storage while its loss creates an unacceptable internal temperature. Conversely, a relatively low-loss bank may no longer supply the required ride-through energy after capacitance loss. A combined health assessment </w:t>
      </w:r>
      <w:r>
        <w:rPr>
          <w:highlight w:val="yellow"/>
        </w:rPr>
        <w:t>should track the limiting margin rather than average</w:t>
      </w:r>
      <w:r>
        <w:t xml:space="preserve"> the two indicators into a score without physical meaning. If a composite index is used, its relationship to each functional limit should be explicit. </w:t>
      </w:r>
      <w:proofErr w:type="gramStart"/>
      <w:r>
        <w:t>Otherwise</w:t>
      </w:r>
      <w:proofErr w:type="gramEnd"/>
      <w:r>
        <w:t xml:space="preserve"> a good value in one parameter can numerically conceal a dangerous value in another.</w:t>
      </w:r>
    </w:p>
    <w:p w14:paraId="1F4BE528" w14:textId="77777777" w:rsidR="00AA70DA" w:rsidRDefault="00000000">
      <w:pPr>
        <w:pStyle w:val="Body"/>
      </w:pPr>
      <w:r>
        <w:t>Table 1 compares study-specific monitoring evidence. Errors and interval widths use different definitions and cannot form an unconditional ranking.</w:t>
      </w:r>
    </w:p>
    <w:p w14:paraId="3DA2E6D4" w14:textId="77777777" w:rsidR="00AA70DA" w:rsidRDefault="00000000">
      <w:pPr>
        <w:pStyle w:val="Caption1"/>
        <w:keepNext/>
        <w:spacing w:line="264" w:lineRule="auto"/>
      </w:pPr>
      <w:r>
        <w:t>Table 1. Selected capacitor-monitoring studies and deployment limits</w:t>
      </w:r>
    </w:p>
    <w:tbl>
      <w:tblPr>
        <w:tblW w:w="0" w:type="auto"/>
        <w:tblLayout w:type="fixed"/>
        <w:tblLook w:val="04A0" w:firstRow="1" w:lastRow="0" w:firstColumn="1" w:lastColumn="0" w:noHBand="0" w:noVBand="1"/>
      </w:tblPr>
      <w:tblGrid>
        <w:gridCol w:w="1888"/>
        <w:gridCol w:w="3119"/>
        <w:gridCol w:w="3201"/>
      </w:tblGrid>
      <w:tr w:rsidR="00425C84" w14:paraId="5EF05926" w14:textId="77777777">
        <w:trPr>
          <w:cantSplit/>
          <w:tblHeader/>
        </w:trPr>
        <w:tc>
          <w:tcPr>
            <w:tcW w:w="1888" w:type="dxa"/>
            <w:tcBorders>
              <w:top w:val="single" w:sz="4" w:space="0" w:color="D9D9D9"/>
              <w:left w:val="single" w:sz="4" w:space="0" w:color="D9D9D9"/>
              <w:bottom w:val="single" w:sz="4" w:space="0" w:color="D9D9D9"/>
              <w:right w:val="single" w:sz="4" w:space="0" w:color="D9D9D9"/>
            </w:tcBorders>
            <w:shd w:val="clear" w:color="auto" w:fill="EAEAEA"/>
          </w:tcPr>
          <w:p w14:paraId="2D7E2ECE" w14:textId="77777777" w:rsidR="00425C84" w:rsidRDefault="00000000">
            <w:pPr>
              <w:spacing w:before="60" w:after="60" w:line="264" w:lineRule="auto"/>
            </w:pPr>
            <w:r>
              <w:rPr>
                <w:b/>
                <w:sz w:val="18"/>
              </w:rPr>
              <w:t>Study and converter context</w:t>
            </w:r>
          </w:p>
        </w:tc>
        <w:tc>
          <w:tcPr>
            <w:tcW w:w="3119" w:type="dxa"/>
            <w:tcBorders>
              <w:top w:val="single" w:sz="4" w:space="0" w:color="D9D9D9"/>
              <w:left w:val="single" w:sz="4" w:space="0" w:color="D9D9D9"/>
              <w:bottom w:val="single" w:sz="4" w:space="0" w:color="D9D9D9"/>
              <w:right w:val="single" w:sz="4" w:space="0" w:color="D9D9D9"/>
            </w:tcBorders>
            <w:shd w:val="clear" w:color="auto" w:fill="EAEAEA"/>
          </w:tcPr>
          <w:p w14:paraId="5CD65BDE" w14:textId="77777777" w:rsidR="00425C84" w:rsidRDefault="00000000">
            <w:pPr>
              <w:spacing w:before="60" w:after="60" w:line="264" w:lineRule="auto"/>
            </w:pPr>
            <w:r>
              <w:rPr>
                <w:b/>
                <w:sz w:val="18"/>
              </w:rPr>
              <w:t>Reported result or observable</w:t>
            </w:r>
          </w:p>
        </w:tc>
        <w:tc>
          <w:tcPr>
            <w:tcW w:w="3201" w:type="dxa"/>
            <w:tcBorders>
              <w:top w:val="single" w:sz="4" w:space="0" w:color="D9D9D9"/>
              <w:left w:val="single" w:sz="4" w:space="0" w:color="D9D9D9"/>
              <w:bottom w:val="single" w:sz="4" w:space="0" w:color="D9D9D9"/>
              <w:right w:val="single" w:sz="4" w:space="0" w:color="D9D9D9"/>
            </w:tcBorders>
            <w:shd w:val="clear" w:color="auto" w:fill="EAEAEA"/>
          </w:tcPr>
          <w:p w14:paraId="268F34FB" w14:textId="77777777" w:rsidR="00425C84" w:rsidRDefault="00000000">
            <w:pPr>
              <w:spacing w:before="60" w:after="60" w:line="264" w:lineRule="auto"/>
            </w:pPr>
            <w:r>
              <w:rPr>
                <w:b/>
                <w:sz w:val="18"/>
              </w:rPr>
              <w:t>Interpretation limit</w:t>
            </w:r>
          </w:p>
        </w:tc>
      </w:tr>
      <w:tr w:rsidR="00425C84" w14:paraId="25390060"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4598EA16" w14:textId="77777777" w:rsidR="00425C84" w:rsidRDefault="00000000">
            <w:pPr>
              <w:spacing w:before="60" w:after="60" w:line="264" w:lineRule="auto"/>
            </w:pPr>
            <w:r>
              <w:rPr>
                <w:sz w:val="18"/>
              </w:rPr>
              <w:t>Ribeiro et al. (2024); three-level NPC</w:t>
            </w:r>
          </w:p>
        </w:tc>
        <w:tc>
          <w:tcPr>
            <w:tcW w:w="3119" w:type="dxa"/>
            <w:tcBorders>
              <w:top w:val="single" w:sz="4" w:space="0" w:color="D9D9D9"/>
              <w:left w:val="single" w:sz="4" w:space="0" w:color="D9D9D9"/>
              <w:bottom w:val="single" w:sz="4" w:space="0" w:color="D9D9D9"/>
              <w:right w:val="single" w:sz="4" w:space="0" w:color="D9D9D9"/>
            </w:tcBorders>
          </w:tcPr>
          <w:p w14:paraId="16591B52" w14:textId="77777777" w:rsidR="00425C84" w:rsidRDefault="00000000">
            <w:pPr>
              <w:spacing w:before="60" w:after="60" w:line="264" w:lineRule="auto"/>
            </w:pPr>
            <w:r>
              <w:rPr>
                <w:sz w:val="18"/>
              </w:rPr>
              <w:t>Injected-signal estimation of C and ESR</w:t>
            </w:r>
          </w:p>
        </w:tc>
        <w:tc>
          <w:tcPr>
            <w:tcW w:w="3201" w:type="dxa"/>
            <w:tcBorders>
              <w:top w:val="single" w:sz="4" w:space="0" w:color="D9D9D9"/>
              <w:left w:val="single" w:sz="4" w:space="0" w:color="D9D9D9"/>
              <w:bottom w:val="single" w:sz="4" w:space="0" w:color="D9D9D9"/>
              <w:right w:val="single" w:sz="4" w:space="0" w:color="D9D9D9"/>
            </w:tcBorders>
          </w:tcPr>
          <w:p w14:paraId="7379DDA5" w14:textId="77777777" w:rsidR="00425C84" w:rsidRDefault="00000000">
            <w:pPr>
              <w:spacing w:before="60" w:after="60" w:line="264" w:lineRule="auto"/>
            </w:pPr>
            <w:r>
              <w:rPr>
                <w:sz w:val="18"/>
              </w:rPr>
              <w:t>Disturbance and controller interaction require assessment</w:t>
            </w:r>
          </w:p>
        </w:tc>
      </w:tr>
      <w:tr w:rsidR="00425C84" w14:paraId="749D42A8"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16D0190D" w14:textId="77777777" w:rsidR="00425C84" w:rsidRDefault="00000000">
            <w:pPr>
              <w:spacing w:before="60" w:after="60" w:line="264" w:lineRule="auto"/>
            </w:pPr>
            <w:r>
              <w:rPr>
                <w:sz w:val="18"/>
              </w:rPr>
              <w:t>Ribeiro et al. (2025); three-level NPC</w:t>
            </w:r>
          </w:p>
        </w:tc>
        <w:tc>
          <w:tcPr>
            <w:tcW w:w="3119" w:type="dxa"/>
            <w:tcBorders>
              <w:top w:val="single" w:sz="4" w:space="0" w:color="D9D9D9"/>
              <w:left w:val="single" w:sz="4" w:space="0" w:color="D9D9D9"/>
              <w:bottom w:val="single" w:sz="4" w:space="0" w:color="D9D9D9"/>
              <w:right w:val="single" w:sz="4" w:space="0" w:color="D9D9D9"/>
            </w:tcBorders>
          </w:tcPr>
          <w:p w14:paraId="485DC7B6" w14:textId="77777777" w:rsidR="00425C84" w:rsidRDefault="00000000">
            <w:pPr>
              <w:spacing w:before="60" w:after="60" w:line="264" w:lineRule="auto"/>
            </w:pPr>
            <w:r>
              <w:rPr>
                <w:sz w:val="18"/>
              </w:rPr>
              <w:t>Inherent-signal spectral observer and RLS for C and ESR</w:t>
            </w:r>
          </w:p>
        </w:tc>
        <w:tc>
          <w:tcPr>
            <w:tcW w:w="3201" w:type="dxa"/>
            <w:tcBorders>
              <w:top w:val="single" w:sz="4" w:space="0" w:color="D9D9D9"/>
              <w:left w:val="single" w:sz="4" w:space="0" w:color="D9D9D9"/>
              <w:bottom w:val="single" w:sz="4" w:space="0" w:color="D9D9D9"/>
              <w:right w:val="single" w:sz="4" w:space="0" w:color="D9D9D9"/>
            </w:tcBorders>
          </w:tcPr>
          <w:p w14:paraId="50C36F9A" w14:textId="77777777" w:rsidR="00425C84" w:rsidRDefault="00000000">
            <w:pPr>
              <w:spacing w:before="60" w:after="60" w:line="264" w:lineRule="auto"/>
            </w:pPr>
            <w:r>
              <w:rPr>
                <w:sz w:val="18"/>
              </w:rPr>
              <w:t>Depends on topology, PWM and installed sensor information</w:t>
            </w:r>
          </w:p>
        </w:tc>
      </w:tr>
      <w:tr w:rsidR="00425C84" w14:paraId="036283EA"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50130D75" w14:textId="77777777" w:rsidR="00425C84" w:rsidRDefault="00000000">
            <w:pPr>
              <w:spacing w:before="60" w:after="60" w:line="264" w:lineRule="auto"/>
            </w:pPr>
            <w:r>
              <w:rPr>
                <w:sz w:val="18"/>
              </w:rPr>
              <w:t>Asoodar et al. (2024); MMC submodules</w:t>
            </w:r>
          </w:p>
        </w:tc>
        <w:tc>
          <w:tcPr>
            <w:tcW w:w="3119" w:type="dxa"/>
            <w:tcBorders>
              <w:top w:val="single" w:sz="4" w:space="0" w:color="D9D9D9"/>
              <w:left w:val="single" w:sz="4" w:space="0" w:color="D9D9D9"/>
              <w:bottom w:val="single" w:sz="4" w:space="0" w:color="D9D9D9"/>
              <w:right w:val="single" w:sz="4" w:space="0" w:color="D9D9D9"/>
            </w:tcBorders>
          </w:tcPr>
          <w:p w14:paraId="05F82709" w14:textId="77777777" w:rsidR="00425C84" w:rsidRDefault="00000000">
            <w:pPr>
              <w:spacing w:before="60" w:after="60" w:line="264" w:lineRule="auto"/>
            </w:pPr>
            <w:r>
              <w:rPr>
                <w:sz w:val="18"/>
              </w:rPr>
              <w:t>Below 1% overall estimation error in reported comparison</w:t>
            </w:r>
          </w:p>
        </w:tc>
        <w:tc>
          <w:tcPr>
            <w:tcW w:w="3201" w:type="dxa"/>
            <w:tcBorders>
              <w:top w:val="single" w:sz="4" w:space="0" w:color="D9D9D9"/>
              <w:left w:val="single" w:sz="4" w:space="0" w:color="D9D9D9"/>
              <w:bottom w:val="single" w:sz="4" w:space="0" w:color="D9D9D9"/>
              <w:right w:val="single" w:sz="4" w:space="0" w:color="D9D9D9"/>
            </w:tcBorders>
          </w:tcPr>
          <w:p w14:paraId="1BFE3C78" w14:textId="77777777" w:rsidR="00425C84" w:rsidRDefault="00000000">
            <w:pPr>
              <w:spacing w:before="60" w:after="60" w:line="264" w:lineRule="auto"/>
            </w:pPr>
            <w:r>
              <w:rPr>
                <w:sz w:val="18"/>
              </w:rPr>
              <w:t>Relative bank reference can hide common drift</w:t>
            </w:r>
          </w:p>
        </w:tc>
      </w:tr>
      <w:tr w:rsidR="00425C84" w14:paraId="2CA52BCF"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756B63F3" w14:textId="77777777" w:rsidR="00425C84" w:rsidRDefault="00000000">
            <w:pPr>
              <w:spacing w:before="60" w:after="60" w:line="264" w:lineRule="auto"/>
            </w:pPr>
            <w:r>
              <w:rPr>
                <w:sz w:val="18"/>
              </w:rPr>
              <w:t>Lin and Pan (2025); MMC nearest-level modulation</w:t>
            </w:r>
          </w:p>
        </w:tc>
        <w:tc>
          <w:tcPr>
            <w:tcW w:w="3119" w:type="dxa"/>
            <w:tcBorders>
              <w:top w:val="single" w:sz="4" w:space="0" w:color="D9D9D9"/>
              <w:left w:val="single" w:sz="4" w:space="0" w:color="D9D9D9"/>
              <w:bottom w:val="single" w:sz="4" w:space="0" w:color="D9D9D9"/>
              <w:right w:val="single" w:sz="4" w:space="0" w:color="D9D9D9"/>
            </w:tcBorders>
          </w:tcPr>
          <w:p w14:paraId="33E6471B" w14:textId="77777777" w:rsidR="00425C84" w:rsidRDefault="00000000">
            <w:pPr>
              <w:spacing w:before="60" w:after="60" w:line="264" w:lineRule="auto"/>
            </w:pPr>
            <w:r>
              <w:rPr>
                <w:sz w:val="18"/>
              </w:rPr>
              <w:t>Inserted-window capacitance estimation</w:t>
            </w:r>
          </w:p>
        </w:tc>
        <w:tc>
          <w:tcPr>
            <w:tcW w:w="3201" w:type="dxa"/>
            <w:tcBorders>
              <w:top w:val="single" w:sz="4" w:space="0" w:color="D9D9D9"/>
              <w:left w:val="single" w:sz="4" w:space="0" w:color="D9D9D9"/>
              <w:bottom w:val="single" w:sz="4" w:space="0" w:color="D9D9D9"/>
              <w:right w:val="single" w:sz="4" w:space="0" w:color="D9D9D9"/>
            </w:tcBorders>
          </w:tcPr>
          <w:p w14:paraId="2442AAF5" w14:textId="77777777" w:rsidR="00425C84" w:rsidRDefault="00000000">
            <w:pPr>
              <w:spacing w:before="60" w:after="60" w:line="264" w:lineRule="auto"/>
            </w:pPr>
            <w:r>
              <w:rPr>
                <w:sz w:val="18"/>
              </w:rPr>
              <w:t>Informative intervals are topology and modulation specific</w:t>
            </w:r>
          </w:p>
        </w:tc>
      </w:tr>
      <w:tr w:rsidR="00425C84" w14:paraId="214B89CC"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578E5D85" w14:textId="77777777" w:rsidR="00425C84" w:rsidRDefault="00000000">
            <w:pPr>
              <w:spacing w:before="60" w:after="60" w:line="264" w:lineRule="auto"/>
            </w:pPr>
            <w:r>
              <w:rPr>
                <w:sz w:val="18"/>
              </w:rPr>
              <w:t>Oliszewski et al. (2025); aircraft DC bus</w:t>
            </w:r>
          </w:p>
        </w:tc>
        <w:tc>
          <w:tcPr>
            <w:tcW w:w="3119" w:type="dxa"/>
            <w:tcBorders>
              <w:top w:val="single" w:sz="4" w:space="0" w:color="D9D9D9"/>
              <w:left w:val="single" w:sz="4" w:space="0" w:color="D9D9D9"/>
              <w:bottom w:val="single" w:sz="4" w:space="0" w:color="D9D9D9"/>
              <w:right w:val="single" w:sz="4" w:space="0" w:color="D9D9D9"/>
            </w:tcBorders>
          </w:tcPr>
          <w:p w14:paraId="0BA68F70" w14:textId="77777777" w:rsidR="00425C84" w:rsidRDefault="00000000">
            <w:pPr>
              <w:spacing w:before="60" w:after="60" w:line="264" w:lineRule="auto"/>
            </w:pPr>
            <w:r>
              <w:rPr>
                <w:sz w:val="18"/>
              </w:rPr>
              <w:t>Below 5% error over effective 881–1044 µF range</w:t>
            </w:r>
          </w:p>
        </w:tc>
        <w:tc>
          <w:tcPr>
            <w:tcW w:w="3201" w:type="dxa"/>
            <w:tcBorders>
              <w:top w:val="single" w:sz="4" w:space="0" w:color="D9D9D9"/>
              <w:left w:val="single" w:sz="4" w:space="0" w:color="D9D9D9"/>
              <w:bottom w:val="single" w:sz="4" w:space="0" w:color="D9D9D9"/>
              <w:right w:val="single" w:sz="4" w:space="0" w:color="D9D9D9"/>
            </w:tcBorders>
          </w:tcPr>
          <w:p w14:paraId="0FD9602E" w14:textId="77777777" w:rsidR="00425C84" w:rsidRDefault="00000000">
            <w:pPr>
              <w:spacing w:before="60" w:after="60" w:line="264" w:lineRule="auto"/>
            </w:pPr>
            <w:r>
              <w:rPr>
                <w:sz w:val="18"/>
              </w:rPr>
              <w:t>Discharge event and model define the valid range</w:t>
            </w:r>
          </w:p>
        </w:tc>
      </w:tr>
      <w:tr w:rsidR="00425C84" w14:paraId="5FF27199"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69F21CB7" w14:textId="77777777" w:rsidR="00425C84" w:rsidRDefault="00000000">
            <w:pPr>
              <w:spacing w:before="60" w:after="60" w:line="264" w:lineRule="auto"/>
            </w:pPr>
            <w:r>
              <w:rPr>
                <w:sz w:val="18"/>
              </w:rPr>
              <w:t>Claudino et al. (2026); BLDC frequency converter</w:t>
            </w:r>
          </w:p>
        </w:tc>
        <w:tc>
          <w:tcPr>
            <w:tcW w:w="3119" w:type="dxa"/>
            <w:tcBorders>
              <w:top w:val="single" w:sz="4" w:space="0" w:color="D9D9D9"/>
              <w:left w:val="single" w:sz="4" w:space="0" w:color="D9D9D9"/>
              <w:bottom w:val="single" w:sz="4" w:space="0" w:color="D9D9D9"/>
              <w:right w:val="single" w:sz="4" w:space="0" w:color="D9D9D9"/>
            </w:tcBorders>
          </w:tcPr>
          <w:p w14:paraId="08448EDF" w14:textId="77777777" w:rsidR="00425C84" w:rsidRDefault="00000000">
            <w:pPr>
              <w:spacing w:before="60" w:after="60" w:line="264" w:lineRule="auto"/>
            </w:pPr>
            <w:r>
              <w:rPr>
                <w:sz w:val="18"/>
              </w:rPr>
              <w:t>12–61 µF confidence-interval widths</w:t>
            </w:r>
          </w:p>
        </w:tc>
        <w:tc>
          <w:tcPr>
            <w:tcW w:w="3201" w:type="dxa"/>
            <w:tcBorders>
              <w:top w:val="single" w:sz="4" w:space="0" w:color="D9D9D9"/>
              <w:left w:val="single" w:sz="4" w:space="0" w:color="D9D9D9"/>
              <w:bottom w:val="single" w:sz="4" w:space="0" w:color="D9D9D9"/>
              <w:right w:val="single" w:sz="4" w:space="0" w:color="D9D9D9"/>
            </w:tcBorders>
          </w:tcPr>
          <w:p w14:paraId="4929B430" w14:textId="77777777" w:rsidR="00425C84" w:rsidRDefault="00000000">
            <w:pPr>
              <w:spacing w:before="60" w:after="60" w:line="264" w:lineRule="auto"/>
            </w:pPr>
            <w:r>
              <w:rPr>
                <w:sz w:val="18"/>
              </w:rPr>
              <w:t>Absolute uncertainty width, not a percentage error</w:t>
            </w:r>
          </w:p>
        </w:tc>
      </w:tr>
      <w:tr w:rsidR="00425C84" w14:paraId="01E0CD2E"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72FCE474" w14:textId="77777777" w:rsidR="00425C84" w:rsidRDefault="00000000">
            <w:pPr>
              <w:spacing w:before="60" w:after="60" w:line="264" w:lineRule="auto"/>
            </w:pPr>
            <w:r>
              <w:rPr>
                <w:sz w:val="18"/>
              </w:rPr>
              <w:t>Xiang et al. (2021); voltage-source converter</w:t>
            </w:r>
          </w:p>
        </w:tc>
        <w:tc>
          <w:tcPr>
            <w:tcW w:w="3119" w:type="dxa"/>
            <w:tcBorders>
              <w:top w:val="single" w:sz="4" w:space="0" w:color="D9D9D9"/>
              <w:left w:val="single" w:sz="4" w:space="0" w:color="D9D9D9"/>
              <w:bottom w:val="single" w:sz="4" w:space="0" w:color="D9D9D9"/>
              <w:right w:val="single" w:sz="4" w:space="0" w:color="D9D9D9"/>
            </w:tcBorders>
          </w:tcPr>
          <w:p w14:paraId="6AD5293A" w14:textId="77777777" w:rsidR="00425C84" w:rsidRDefault="00000000">
            <w:pPr>
              <w:spacing w:before="60" w:after="60" w:line="264" w:lineRule="auto"/>
            </w:pPr>
            <w:r>
              <w:rPr>
                <w:sz w:val="18"/>
              </w:rPr>
              <w:t>ESR inferred from switching-ring damping</w:t>
            </w:r>
          </w:p>
        </w:tc>
        <w:tc>
          <w:tcPr>
            <w:tcW w:w="3201" w:type="dxa"/>
            <w:tcBorders>
              <w:top w:val="single" w:sz="4" w:space="0" w:color="D9D9D9"/>
              <w:left w:val="single" w:sz="4" w:space="0" w:color="D9D9D9"/>
              <w:bottom w:val="single" w:sz="4" w:space="0" w:color="D9D9D9"/>
              <w:right w:val="single" w:sz="4" w:space="0" w:color="D9D9D9"/>
            </w:tcBorders>
          </w:tcPr>
          <w:p w14:paraId="0E9B9647" w14:textId="77777777" w:rsidR="00425C84" w:rsidRDefault="00000000">
            <w:pPr>
              <w:spacing w:before="60" w:after="60" w:line="264" w:lineRule="auto"/>
            </w:pPr>
            <w:r>
              <w:rPr>
                <w:sz w:val="18"/>
              </w:rPr>
              <w:t>Parasitic network and bandwidth affect the observation</w:t>
            </w:r>
          </w:p>
        </w:tc>
      </w:tr>
      <w:tr w:rsidR="00425C84" w14:paraId="1968CB7A"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282C17B5" w14:textId="77777777" w:rsidR="00425C84" w:rsidRDefault="00000000">
            <w:pPr>
              <w:spacing w:before="60" w:after="60" w:line="264" w:lineRule="auto"/>
            </w:pPr>
            <w:r>
              <w:rPr>
                <w:sz w:val="18"/>
              </w:rPr>
              <w:t>Nathan et al. (2026); data-driven monitoring</w:t>
            </w:r>
          </w:p>
        </w:tc>
        <w:tc>
          <w:tcPr>
            <w:tcW w:w="3119" w:type="dxa"/>
            <w:tcBorders>
              <w:top w:val="single" w:sz="4" w:space="0" w:color="D9D9D9"/>
              <w:left w:val="single" w:sz="4" w:space="0" w:color="D9D9D9"/>
              <w:bottom w:val="single" w:sz="4" w:space="0" w:color="D9D9D9"/>
              <w:right w:val="single" w:sz="4" w:space="0" w:color="D9D9D9"/>
            </w:tcBorders>
          </w:tcPr>
          <w:p w14:paraId="3E9644DC" w14:textId="77777777" w:rsidR="00425C84" w:rsidRDefault="00000000">
            <w:pPr>
              <w:spacing w:before="60" w:after="60" w:line="264" w:lineRule="auto"/>
            </w:pPr>
            <w:r>
              <w:rPr>
                <w:sz w:val="18"/>
              </w:rPr>
              <w:t>Unlabelled-data anomaly detection</w:t>
            </w:r>
          </w:p>
        </w:tc>
        <w:tc>
          <w:tcPr>
            <w:tcW w:w="3201" w:type="dxa"/>
            <w:tcBorders>
              <w:top w:val="single" w:sz="4" w:space="0" w:color="D9D9D9"/>
              <w:left w:val="single" w:sz="4" w:space="0" w:color="D9D9D9"/>
              <w:bottom w:val="single" w:sz="4" w:space="0" w:color="D9D9D9"/>
              <w:right w:val="single" w:sz="4" w:space="0" w:color="D9D9D9"/>
            </w:tcBorders>
          </w:tcPr>
          <w:p w14:paraId="25DC8F0E" w14:textId="77777777" w:rsidR="00425C84" w:rsidRDefault="00000000">
            <w:pPr>
              <w:spacing w:before="60" w:after="60" w:line="264" w:lineRule="auto"/>
            </w:pPr>
            <w:r>
              <w:rPr>
                <w:sz w:val="18"/>
              </w:rPr>
              <w:t>Simulation evidence does not establish field life prediction</w:t>
            </w:r>
          </w:p>
        </w:tc>
      </w:tr>
    </w:tbl>
    <w:p w14:paraId="6452D46B" w14:textId="77777777" w:rsidR="00AA70DA" w:rsidRDefault="00000000">
      <w:pPr>
        <w:pStyle w:val="Body"/>
      </w:pPr>
      <w:r>
        <w:lastRenderedPageBreak/>
        <w:t>Table 2 links the engineering decision to the evidence needed to support it. These are qualitative design considerations, not new experimental results.</w:t>
      </w:r>
    </w:p>
    <w:p w14:paraId="58AC098D" w14:textId="77777777" w:rsidR="00AA70DA" w:rsidRDefault="00000000">
      <w:pPr>
        <w:pStyle w:val="Caption1"/>
        <w:keepNext/>
        <w:spacing w:line="264" w:lineRule="auto"/>
      </w:pPr>
      <w:r>
        <w:t>Table 2. Matching monitoring output to the intended maintenance decision</w:t>
      </w:r>
    </w:p>
    <w:tbl>
      <w:tblPr>
        <w:tblW w:w="0" w:type="auto"/>
        <w:tblLayout w:type="fixed"/>
        <w:tblLook w:val="04A0" w:firstRow="1" w:lastRow="0" w:firstColumn="1" w:lastColumn="0" w:noHBand="0" w:noVBand="1"/>
      </w:tblPr>
      <w:tblGrid>
        <w:gridCol w:w="1888"/>
        <w:gridCol w:w="3119"/>
        <w:gridCol w:w="3201"/>
      </w:tblGrid>
      <w:tr w:rsidR="00AA70DA" w14:paraId="7A6615DD" w14:textId="77777777">
        <w:trPr>
          <w:cantSplit/>
          <w:tblHeader/>
        </w:trPr>
        <w:tc>
          <w:tcPr>
            <w:tcW w:w="1888" w:type="dxa"/>
            <w:tcBorders>
              <w:top w:val="single" w:sz="4" w:space="0" w:color="D9D9D9"/>
              <w:left w:val="single" w:sz="4" w:space="0" w:color="D9D9D9"/>
              <w:bottom w:val="single" w:sz="4" w:space="0" w:color="D9D9D9"/>
              <w:right w:val="single" w:sz="4" w:space="0" w:color="D9D9D9"/>
            </w:tcBorders>
            <w:shd w:val="clear" w:color="auto" w:fill="EAEAEA"/>
          </w:tcPr>
          <w:p w14:paraId="5AF749A7" w14:textId="77777777" w:rsidR="00AA70DA" w:rsidRDefault="00000000">
            <w:pPr>
              <w:spacing w:before="60" w:after="60" w:line="264" w:lineRule="auto"/>
            </w:pPr>
            <w:r>
              <w:rPr>
                <w:b/>
                <w:sz w:val="18"/>
              </w:rPr>
              <w:t>Decision</w:t>
            </w:r>
          </w:p>
        </w:tc>
        <w:tc>
          <w:tcPr>
            <w:tcW w:w="3119" w:type="dxa"/>
            <w:tcBorders>
              <w:top w:val="single" w:sz="4" w:space="0" w:color="D9D9D9"/>
              <w:left w:val="single" w:sz="4" w:space="0" w:color="D9D9D9"/>
              <w:bottom w:val="single" w:sz="4" w:space="0" w:color="D9D9D9"/>
              <w:right w:val="single" w:sz="4" w:space="0" w:color="D9D9D9"/>
            </w:tcBorders>
            <w:shd w:val="clear" w:color="auto" w:fill="EAEAEA"/>
          </w:tcPr>
          <w:p w14:paraId="5BD166EE" w14:textId="77777777" w:rsidR="00AA70DA" w:rsidRDefault="00000000">
            <w:pPr>
              <w:spacing w:before="60" w:after="60" w:line="264" w:lineRule="auto"/>
            </w:pPr>
            <w:r>
              <w:rPr>
                <w:b/>
                <w:sz w:val="18"/>
              </w:rPr>
              <w:t>Suitable evidence</w:t>
            </w:r>
          </w:p>
        </w:tc>
        <w:tc>
          <w:tcPr>
            <w:tcW w:w="3201" w:type="dxa"/>
            <w:tcBorders>
              <w:top w:val="single" w:sz="4" w:space="0" w:color="D9D9D9"/>
              <w:left w:val="single" w:sz="4" w:space="0" w:color="D9D9D9"/>
              <w:bottom w:val="single" w:sz="4" w:space="0" w:color="D9D9D9"/>
              <w:right w:val="single" w:sz="4" w:space="0" w:color="D9D9D9"/>
            </w:tcBorders>
            <w:shd w:val="clear" w:color="auto" w:fill="EAEAEA"/>
          </w:tcPr>
          <w:p w14:paraId="0B669B72" w14:textId="77777777" w:rsidR="00AA70DA" w:rsidRDefault="00000000">
            <w:pPr>
              <w:spacing w:before="60" w:after="60" w:line="264" w:lineRule="auto"/>
            </w:pPr>
            <w:r>
              <w:rPr>
                <w:b/>
                <w:sz w:val="18"/>
              </w:rPr>
              <w:t>Validation need</w:t>
            </w:r>
          </w:p>
        </w:tc>
      </w:tr>
      <w:tr w:rsidR="00AA70DA" w14:paraId="2B1A3EEB"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3961BAFE" w14:textId="77777777" w:rsidR="00AA70DA" w:rsidRDefault="00000000">
            <w:pPr>
              <w:spacing w:before="60" w:after="60" w:line="264" w:lineRule="auto"/>
            </w:pPr>
            <w:r>
              <w:rPr>
                <w:sz w:val="18"/>
              </w:rPr>
              <w:t>Screening alarm</w:t>
            </w:r>
          </w:p>
        </w:tc>
        <w:tc>
          <w:tcPr>
            <w:tcW w:w="3119" w:type="dxa"/>
            <w:tcBorders>
              <w:top w:val="single" w:sz="4" w:space="0" w:color="D9D9D9"/>
              <w:left w:val="single" w:sz="4" w:space="0" w:color="D9D9D9"/>
              <w:bottom w:val="single" w:sz="4" w:space="0" w:color="D9D9D9"/>
              <w:right w:val="single" w:sz="4" w:space="0" w:color="D9D9D9"/>
            </w:tcBorders>
          </w:tcPr>
          <w:p w14:paraId="754F77EA" w14:textId="77777777" w:rsidR="00AA70DA" w:rsidRDefault="00000000">
            <w:pPr>
              <w:spacing w:before="60" w:after="60" w:line="264" w:lineRule="auto"/>
            </w:pPr>
            <w:r>
              <w:rPr>
                <w:sz w:val="18"/>
              </w:rPr>
              <w:t>Trend in C, ESR or temperature with confidence</w:t>
            </w:r>
          </w:p>
        </w:tc>
        <w:tc>
          <w:tcPr>
            <w:tcW w:w="3201" w:type="dxa"/>
            <w:tcBorders>
              <w:top w:val="single" w:sz="4" w:space="0" w:color="D9D9D9"/>
              <w:left w:val="single" w:sz="4" w:space="0" w:color="D9D9D9"/>
              <w:bottom w:val="single" w:sz="4" w:space="0" w:color="D9D9D9"/>
              <w:right w:val="single" w:sz="4" w:space="0" w:color="D9D9D9"/>
            </w:tcBorders>
          </w:tcPr>
          <w:p w14:paraId="04B83D74" w14:textId="77777777" w:rsidR="00AA70DA" w:rsidRDefault="00000000">
            <w:pPr>
              <w:spacing w:before="60" w:after="60" w:line="264" w:lineRule="auto"/>
            </w:pPr>
            <w:r>
              <w:rPr>
                <w:sz w:val="18"/>
              </w:rPr>
              <w:t>Repeatability under comparable operation</w:t>
            </w:r>
          </w:p>
        </w:tc>
      </w:tr>
      <w:tr w:rsidR="00AA70DA" w14:paraId="6D365D2A"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28EC848E" w14:textId="77777777" w:rsidR="00AA70DA" w:rsidRDefault="00000000">
            <w:pPr>
              <w:spacing w:before="60" w:after="60" w:line="264" w:lineRule="auto"/>
            </w:pPr>
            <w:r>
              <w:rPr>
                <w:sz w:val="18"/>
              </w:rPr>
              <w:t>Derating</w:t>
            </w:r>
          </w:p>
        </w:tc>
        <w:tc>
          <w:tcPr>
            <w:tcW w:w="3119" w:type="dxa"/>
            <w:tcBorders>
              <w:top w:val="single" w:sz="4" w:space="0" w:color="D9D9D9"/>
              <w:left w:val="single" w:sz="4" w:space="0" w:color="D9D9D9"/>
              <w:bottom w:val="single" w:sz="4" w:space="0" w:color="D9D9D9"/>
              <w:right w:val="single" w:sz="4" w:space="0" w:color="D9D9D9"/>
            </w:tcBorders>
          </w:tcPr>
          <w:p w14:paraId="14A6047E" w14:textId="77777777" w:rsidR="00AA70DA" w:rsidRDefault="00000000">
            <w:pPr>
              <w:spacing w:before="60" w:after="60" w:line="264" w:lineRule="auto"/>
            </w:pPr>
            <w:r>
              <w:rPr>
                <w:sz w:val="18"/>
              </w:rPr>
              <w:t>Fast thermal or ripple margin estimate</w:t>
            </w:r>
          </w:p>
        </w:tc>
        <w:tc>
          <w:tcPr>
            <w:tcW w:w="3201" w:type="dxa"/>
            <w:tcBorders>
              <w:top w:val="single" w:sz="4" w:space="0" w:color="D9D9D9"/>
              <w:left w:val="single" w:sz="4" w:space="0" w:color="D9D9D9"/>
              <w:bottom w:val="single" w:sz="4" w:space="0" w:color="D9D9D9"/>
              <w:right w:val="single" w:sz="4" w:space="0" w:color="D9D9D9"/>
            </w:tcBorders>
          </w:tcPr>
          <w:p w14:paraId="4007257F" w14:textId="77777777" w:rsidR="00AA70DA" w:rsidRDefault="00000000">
            <w:pPr>
              <w:spacing w:before="60" w:after="60" w:line="264" w:lineRule="auto"/>
            </w:pPr>
            <w:r>
              <w:rPr>
                <w:sz w:val="18"/>
              </w:rPr>
              <w:t>Response time and conservative threshold</w:t>
            </w:r>
          </w:p>
        </w:tc>
      </w:tr>
      <w:tr w:rsidR="00AA70DA" w14:paraId="534FE0C3"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59A100E7" w14:textId="77777777" w:rsidR="00AA70DA" w:rsidRDefault="00000000">
            <w:pPr>
              <w:spacing w:before="60" w:after="60" w:line="264" w:lineRule="auto"/>
            </w:pPr>
            <w:r>
              <w:rPr>
                <w:sz w:val="18"/>
              </w:rPr>
              <w:t>Planned replacement</w:t>
            </w:r>
          </w:p>
        </w:tc>
        <w:tc>
          <w:tcPr>
            <w:tcW w:w="3119" w:type="dxa"/>
            <w:tcBorders>
              <w:top w:val="single" w:sz="4" w:space="0" w:color="D9D9D9"/>
              <w:left w:val="single" w:sz="4" w:space="0" w:color="D9D9D9"/>
              <w:bottom w:val="single" w:sz="4" w:space="0" w:color="D9D9D9"/>
              <w:right w:val="single" w:sz="4" w:space="0" w:color="D9D9D9"/>
            </w:tcBorders>
          </w:tcPr>
          <w:p w14:paraId="10AC8672" w14:textId="77777777" w:rsidR="00AA70DA" w:rsidRDefault="00000000">
            <w:pPr>
              <w:spacing w:before="60" w:after="60" w:line="264" w:lineRule="auto"/>
            </w:pPr>
            <w:r>
              <w:rPr>
                <w:sz w:val="18"/>
              </w:rPr>
              <w:t>Long-term parameter trajectory and mission profile</w:t>
            </w:r>
          </w:p>
        </w:tc>
        <w:tc>
          <w:tcPr>
            <w:tcW w:w="3201" w:type="dxa"/>
            <w:tcBorders>
              <w:top w:val="single" w:sz="4" w:space="0" w:color="D9D9D9"/>
              <w:left w:val="single" w:sz="4" w:space="0" w:color="D9D9D9"/>
              <w:bottom w:val="single" w:sz="4" w:space="0" w:color="D9D9D9"/>
              <w:right w:val="single" w:sz="4" w:space="0" w:color="D9D9D9"/>
            </w:tcBorders>
          </w:tcPr>
          <w:p w14:paraId="45AE85CD" w14:textId="77777777" w:rsidR="00AA70DA" w:rsidRDefault="00000000">
            <w:pPr>
              <w:spacing w:before="60" w:after="60" w:line="264" w:lineRule="auto"/>
            </w:pPr>
            <w:r>
              <w:rPr>
                <w:sz w:val="18"/>
              </w:rPr>
              <w:t>End-of-life criterion and uncertainty</w:t>
            </w:r>
          </w:p>
        </w:tc>
      </w:tr>
      <w:tr w:rsidR="00AA70DA" w14:paraId="79A57876"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3A6E8A22" w14:textId="77777777" w:rsidR="00AA70DA" w:rsidRDefault="00000000">
            <w:pPr>
              <w:spacing w:before="60" w:after="60" w:line="264" w:lineRule="auto"/>
            </w:pPr>
            <w:r>
              <w:rPr>
                <w:sz w:val="18"/>
              </w:rPr>
              <w:t>Remaining-life estimate</w:t>
            </w:r>
          </w:p>
        </w:tc>
        <w:tc>
          <w:tcPr>
            <w:tcW w:w="3119" w:type="dxa"/>
            <w:tcBorders>
              <w:top w:val="single" w:sz="4" w:space="0" w:color="D9D9D9"/>
              <w:left w:val="single" w:sz="4" w:space="0" w:color="D9D9D9"/>
              <w:bottom w:val="single" w:sz="4" w:space="0" w:color="D9D9D9"/>
              <w:right w:val="single" w:sz="4" w:space="0" w:color="D9D9D9"/>
            </w:tcBorders>
          </w:tcPr>
          <w:p w14:paraId="3DB60667" w14:textId="77777777" w:rsidR="00AA70DA" w:rsidRDefault="00000000">
            <w:pPr>
              <w:spacing w:before="60" w:after="60" w:line="264" w:lineRule="auto"/>
            </w:pPr>
            <w:r>
              <w:rPr>
                <w:sz w:val="18"/>
              </w:rPr>
              <w:t>Ageing model plus representative field history</w:t>
            </w:r>
          </w:p>
        </w:tc>
        <w:tc>
          <w:tcPr>
            <w:tcW w:w="3201" w:type="dxa"/>
            <w:tcBorders>
              <w:top w:val="single" w:sz="4" w:space="0" w:color="D9D9D9"/>
              <w:left w:val="single" w:sz="4" w:space="0" w:color="D9D9D9"/>
              <w:bottom w:val="single" w:sz="4" w:space="0" w:color="D9D9D9"/>
              <w:right w:val="single" w:sz="4" w:space="0" w:color="D9D9D9"/>
            </w:tcBorders>
          </w:tcPr>
          <w:p w14:paraId="0B208546" w14:textId="77777777" w:rsidR="00AA70DA" w:rsidRDefault="00000000">
            <w:pPr>
              <w:spacing w:before="60" w:after="60" w:line="264" w:lineRule="auto"/>
            </w:pPr>
            <w:r>
              <w:rPr>
                <w:sz w:val="18"/>
              </w:rPr>
              <w:t>New specimens, missions and failure observations</w:t>
            </w:r>
          </w:p>
        </w:tc>
      </w:tr>
    </w:tbl>
    <w:p w14:paraId="5C0B433F" w14:textId="77777777" w:rsidR="00AA70DA" w:rsidRDefault="00000000">
      <w:pPr>
        <w:pStyle w:val="Body"/>
      </w:pPr>
      <w:r>
        <w:t>Fig. 2 brings these considerations together as a conceptual assessment framework.</w:t>
      </w:r>
    </w:p>
    <w:p w14:paraId="371FB5CF" w14:textId="77777777" w:rsidR="00AA70DA" w:rsidRDefault="00000000">
      <w:pPr>
        <w:keepNext/>
        <w:jc w:val="center"/>
      </w:pPr>
      <w:r>
        <w:rPr>
          <w:noProof/>
        </w:rPr>
        <w:drawing>
          <wp:inline distT="0" distB="0" distL="0" distR="0" wp14:anchorId="7AEE1061" wp14:editId="19F750D4">
            <wp:extent cx="5212080" cy="218122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acitor_2.png"/>
                    <pic:cNvPicPr/>
                  </pic:nvPicPr>
                  <pic:blipFill>
                    <a:blip r:embed="rId9"/>
                    <a:stretch>
                      <a:fillRect/>
                    </a:stretch>
                  </pic:blipFill>
                  <pic:spPr>
                    <a:xfrm>
                      <a:off x="0" y="0"/>
                      <a:ext cx="5212080" cy="2181226"/>
                    </a:xfrm>
                    <a:prstGeom prst="rect">
                      <a:avLst/>
                    </a:prstGeom>
                  </pic:spPr>
                </pic:pic>
              </a:graphicData>
            </a:graphic>
          </wp:inline>
        </w:drawing>
      </w:r>
    </w:p>
    <w:p w14:paraId="568E8B95" w14:textId="77777777" w:rsidR="00AA70DA" w:rsidRDefault="00000000">
      <w:pPr>
        <w:pStyle w:val="Caption1"/>
        <w:spacing w:line="264" w:lineRule="auto"/>
      </w:pPr>
      <w:r>
        <w:t>Fig. 2. Successive inference steps from measured parameters to maintenance decisions. Estimation accuracy alone does not establish remaining useful life. Original conceptual schematic; no experimental or simulated performance data are plotted.</w:t>
      </w:r>
    </w:p>
    <w:p w14:paraId="358DB49D" w14:textId="77777777" w:rsidR="00AA70DA" w:rsidRDefault="00000000">
      <w:pPr>
        <w:pStyle w:val="Heading1"/>
        <w:spacing w:line="264" w:lineRule="auto"/>
      </w:pPr>
      <w:r>
        <w:t>7. LIMITATIONS AND DIRECTIONS</w:t>
      </w:r>
    </w:p>
    <w:p w14:paraId="1856AA94" w14:textId="77777777" w:rsidR="00AA70DA" w:rsidRDefault="00000000">
      <w:pPr>
        <w:pStyle w:val="Body"/>
      </w:pPr>
      <w:r>
        <w:t>Capacitor selection should begin with the mission profile: bus voltage, ripple spectrum, ambient temperature, cooling, humidity and operating hours. Manufacturer calculators are useful only when their definitions match the application.</w:t>
      </w:r>
    </w:p>
    <w:p w14:paraId="4FDAA471" w14:textId="77777777" w:rsidR="00AA70DA" w:rsidRDefault="00000000">
      <w:pPr>
        <w:pStyle w:val="Body"/>
      </w:pPr>
      <w:r>
        <w:t>The review is limited by inconsistent end-of-life definitions and scarce long-duration field data. Accurate parameter estimation does not guarantee failure prediction if the selected indicator is not the controlling degradation mechanism.</w:t>
      </w:r>
    </w:p>
    <w:p w14:paraId="11E35121" w14:textId="77777777" w:rsidR="00AA70DA" w:rsidRDefault="00000000">
      <w:pPr>
        <w:pStyle w:val="Body"/>
      </w:pPr>
      <w:r>
        <w:t>The main limitation in the literature is the mismatch between short laboratory ageing tests and long, variable field missions. Ripple spectrum, ambient temperature, cooling, humidity, bus-voltage dwell time and control events interact over thousands of hours. A method validated under one profile should not be assumed to predict another profile without recalibration.</w:t>
      </w:r>
    </w:p>
    <w:p w14:paraId="58AC1CCE" w14:textId="77777777" w:rsidR="00AA70DA" w:rsidRDefault="00000000">
      <w:pPr>
        <w:pStyle w:val="Body"/>
      </w:pPr>
      <w:r>
        <w:rPr>
          <w:highlight w:val="yellow"/>
        </w:rPr>
        <w:lastRenderedPageBreak/>
        <w:t>A second limitation is the inconsistent definition of end of life.</w:t>
      </w:r>
      <w:r>
        <w:t xml:space="preserve"> Some studies use a percentage change in capacitance, others use ESR, leakage, temperature or a functional converter limit. Future reports should provide the physical indicator, the decision threshold, the confidence interval and the associated converter consequence.</w:t>
      </w:r>
    </w:p>
    <w:p w14:paraId="5DD9DF0E" w14:textId="77777777" w:rsidR="00AA70DA" w:rsidRDefault="00000000">
      <w:pPr>
        <w:pStyle w:val="Body"/>
      </w:pPr>
      <w:r>
        <w:t>Future work should combine physics-informed ageing models with data-driven estimators. The physics model can constrain implausible trends, while field data can capture installation-specific cooling and load histories. The result should be an uncertainty-aware health state that supports maintenance decisions without claiming more precision than the sensors and model justify.</w:t>
      </w:r>
    </w:p>
    <w:p w14:paraId="0A4EFC39" w14:textId="77777777" w:rsidR="00AA70DA" w:rsidRDefault="00000000">
      <w:pPr>
        <w:pStyle w:val="Heading21"/>
        <w:spacing w:line="264" w:lineRule="auto"/>
      </w:pPr>
      <w:r>
        <w:t>7.1 Evidence needed before claiming remaining useful life</w:t>
      </w:r>
    </w:p>
    <w:p w14:paraId="132ECBE9" w14:textId="77777777" w:rsidR="00AA70DA" w:rsidRDefault="00000000">
      <w:pPr>
        <w:pStyle w:val="Body"/>
      </w:pPr>
      <w:r>
        <w:t>A credible remaining-life claim requires ageing trajectories, failure or end-of-life observations, and a model of future exposure. Short experiments that substitute several nominal capacitances can validate the estimator’s ability to distinguish parameter values, but they do not reproduce the full degradation process. Artificially increasing series resistance similarly tests part of the electrical response without necessarily reproducing internal heating or local damage. Such experiments are useful when described accurately. Their evidential role is parameter-estimation validation, followed by additional work on mechanism-specific ageing and prediction uncertainty.</w:t>
      </w:r>
    </w:p>
    <w:p w14:paraId="05515BC7" w14:textId="77777777" w:rsidR="00AA70DA" w:rsidRDefault="00000000">
      <w:pPr>
        <w:pStyle w:val="Body"/>
      </w:pPr>
      <w:r>
        <w:t>Field evaluation should record the conditions that can explain changes in the monitored signal. Maintenance, cooling-system changes, firmware updates and sensor replacement can alter the observation without changing the capacitor’s intrinsic condition. A historical trend is interpretable only if these events are tracked. The evaluation should also report missed detections and false alarms, since a method can appear accurate on selected degraded examples while producing unacceptable maintenance burden in normal service. The practical value lies in improving decisions under realistic uncertainty, rather than in producing a visually smooth health curve.</w:t>
      </w:r>
    </w:p>
    <w:p w14:paraId="1D3A8244" w14:textId="77777777" w:rsidR="00AA70DA" w:rsidRDefault="00000000">
      <w:pPr>
        <w:pStyle w:val="Body"/>
      </w:pPr>
      <w:r>
        <w:t>The strongest future contribution would connect a measured electrical trend, a characterised thermal state and a verified physical degradation mechanism within one representative mission. This would permit a clearer assessment of when a parameter remains a useful health indicator and when another mechanism takes over. The present narrative review does not establish such a unified lifetime model. It instead identifies the assumptions required at each step from waveform acquisition to maintenance action. Making those assumptions visible is necessary for transferring a successful laboratory estimator into a converter whose operating conditions and failure consequences differ from the original experiment.</w:t>
      </w:r>
    </w:p>
    <w:p w14:paraId="68A41B2E" w14:textId="77777777" w:rsidR="00AA70DA" w:rsidRDefault="00000000">
      <w:pPr>
        <w:pStyle w:val="Heading21"/>
        <w:spacing w:line="264" w:lineRule="auto"/>
      </w:pPr>
      <w:r>
        <w:t>7.2 Deployment boundaries and validation design</w:t>
      </w:r>
    </w:p>
    <w:p w14:paraId="7AB3A18D" w14:textId="77777777" w:rsidR="00AA70DA" w:rsidRDefault="00000000">
      <w:pPr>
        <w:pStyle w:val="Body"/>
      </w:pPr>
      <w:r>
        <w:t>Yamasoto and Hasegawa (2025) address capacitance estimation for a converter with a front-end diode rectifier under an unbalanced three-phase supply, without an additional current sensor. This scope is significant because the input supply condition is part of the estimation problem. A method developed around a balanced-source assumption cannot automatically be transferred to an unbalanced supply. The study should therefore be read as evidence for its stated converter and source conditions, rather than as a general demonstration that supply disturbances are irrelevant to capacitor monitoring.</w:t>
      </w:r>
    </w:p>
    <w:p w14:paraId="5849A95D" w14:textId="77777777" w:rsidR="00AA70DA" w:rsidRDefault="00000000">
      <w:pPr>
        <w:pStyle w:val="Body"/>
      </w:pPr>
      <w:r>
        <w:lastRenderedPageBreak/>
        <w:t>Deployment assessment should separate three questions: whether the required electrical information exists, whether it can be measured reliably and whether the resulting parameter estimate identifies degradation. A topology can provide a useful charging or discharging interval but still require bandwidth or synchronisation beyond the installed sensors. An accurate estimate can also change with temperature or operating state. These distinctions explain why a successful laboratory estimator may require additional integration work before it can support maintenance decisions in an existing converter.</w:t>
      </w:r>
    </w:p>
    <w:p w14:paraId="1CF33A77" w14:textId="77777777" w:rsidR="00AA70DA" w:rsidRDefault="00000000">
      <w:pPr>
        <w:pStyle w:val="Body"/>
      </w:pPr>
      <w:r>
        <w:t>A validation dataset should cover operating conditions that could otherwise imitate deterioration. Examples include changes in input voltage, load, switching frequency and capacitor temperature. Deliberately changing capacitance or series resistance can test estimator sensitivity, but the modification should be documented because a substituted component may alter parasitic inductance and connection resistance as well. Evidence obtained with an artificial fault is useful for a defined parameter change; it is not automatically a complete representation of natural ageing.</w:t>
      </w:r>
    </w:p>
    <w:p w14:paraId="3A16AD5D" w14:textId="77777777" w:rsidR="00AA70DA" w:rsidRDefault="00000000">
      <w:pPr>
        <w:pStyle w:val="Body"/>
      </w:pPr>
      <w:r>
        <w:t>Independent validation also requires separating tuning data from evaluation data. If an estimator threshold or correction curve is chosen using a set of operating points, accuracy at those same points is insufficient evidence of generalisation. Evaluation at additional conditions helps determine whether the method captures the intended electrical relationship or relies on a narrow calibration. For online monitoring, periods in which estimation is unavailable should be reported as well as periods in which it succeeds. A method that is accurate only during rare operating windows may still be useful, but its monitoring interval must be compatible with the maintenance objective.</w:t>
      </w:r>
    </w:p>
    <w:p w14:paraId="1305A33A" w14:textId="77777777" w:rsidR="00AA70DA" w:rsidRDefault="00000000">
      <w:pPr>
        <w:pStyle w:val="Body"/>
      </w:pPr>
      <w:r>
        <w:t>Finally, a health-monitoring implementation should retain enough context to interpret an alarm retrospectively. Recording the estimated parameter together with temperature, operating mode and estimator confidence can distinguish persistent changes from isolated disturbances. The maintenance response can then be based on repeated evidence and converter operating requirements. This is a proposed engineering interpretation of the reviewed methods; the present review does not validate an alarm threshold, a failure probability or a remaining-life prediction for a particular capacitor bank.</w:t>
      </w:r>
    </w:p>
    <w:p w14:paraId="5A53A4C3" w14:textId="77777777" w:rsidR="00425C84" w:rsidRDefault="00000000">
      <w:pPr>
        <w:pStyle w:val="Heading21"/>
        <w:spacing w:line="264" w:lineRule="auto"/>
      </w:pPr>
      <w:r>
        <w:t>7.3 Priorities for transferable monitoring</w:t>
      </w:r>
    </w:p>
    <w:p w14:paraId="55E4ABA0" w14:textId="77777777" w:rsidR="00425C84" w:rsidRDefault="00000000">
      <w:pPr>
        <w:pStyle w:val="Body"/>
      </w:pPr>
      <w:r>
        <w:t>The comparison suggests prioritising measurements that jointly report parameter error, operating-point coverage and uncertainty against the application threshold. In MMCs, relative submodule assessment should be checked against common bank drift. In NPC and motor-drive systems, experiments should include weak-excitation intervals, sensor changes and supply disturbances. For data-driven methods, validation should withhold entire components or mission profiles and report false alarms, rather than splitting adjacent samples from one trajectory. Film and ceramic degradation remain less directly represented by the selected estimator demonstrations than electrolytic-capacitor examples; transfer to these technologies requires mechanism-specific validation.</w:t>
      </w:r>
    </w:p>
    <w:p w14:paraId="4098EA59" w14:textId="77777777" w:rsidR="00AA70DA" w:rsidRDefault="00000000">
      <w:pPr>
        <w:pStyle w:val="Heading1"/>
        <w:spacing w:line="264" w:lineRule="auto"/>
      </w:pPr>
      <w:r>
        <w:t>8. CONCLUSION</w:t>
      </w:r>
    </w:p>
    <w:p w14:paraId="45632E46" w14:textId="77777777" w:rsidR="001D7528" w:rsidRPr="00713D45" w:rsidRDefault="001D7528" w:rsidP="001D7528">
      <w:pPr>
        <w:spacing w:beforeAutospacing="1" w:afterAutospacing="1" w:line="240" w:lineRule="auto"/>
        <w:rPr>
          <w:rFonts w:ascii="Times New Roman" w:hAnsi="Times New Roman"/>
          <w:sz w:val="24"/>
          <w:szCs w:val="24"/>
          <w:lang w:eastAsia="en-GB"/>
        </w:rPr>
      </w:pPr>
      <w:r w:rsidRPr="00713D45">
        <w:rPr>
          <w:rFonts w:ascii="Times New Roman" w:hAnsi="Times New Roman"/>
          <w:sz w:val="24"/>
          <w:szCs w:val="24"/>
          <w:lang w:eastAsia="en-GB"/>
        </w:rPr>
        <w:t xml:space="preserve">DC-link capacitor condition monitoring should be treated as a system-level reliability problem rather than solely as a parameter-estimation task. The appropriate </w:t>
      </w:r>
      <w:r w:rsidRPr="00713D45">
        <w:rPr>
          <w:rFonts w:ascii="Times New Roman" w:hAnsi="Times New Roman"/>
          <w:sz w:val="24"/>
          <w:szCs w:val="24"/>
          <w:lang w:eastAsia="en-GB"/>
        </w:rPr>
        <w:lastRenderedPageBreak/>
        <w:t>health indicator depends on capacitor technology, converter topology, thermal conditions, ripple-current spectrum and the functional limit of the application. Capacitance and equivalent series resistance provide useful information, but their interpretation requires adequate excitation, measurement confidence and operating context. Natural-ripple, transient, signal-injection and recursive estimation methods each offer advantages while remaining subject to topology- and condition-specific limitations. Consequently, accurate electrical parameter estimation should not be interpreted automatically as reliable diagnosis or remaining-life prediction. Future monitoring strategies should integrate electrical measurements, thermal information, mission-profile stresses and explicit uncertainty with a clearly defined end-of-life criterion to support defensible maintenance decisions.</w:t>
      </w:r>
    </w:p>
    <w:p w14:paraId="08F31A63" w14:textId="77777777" w:rsidR="00425C84" w:rsidRDefault="00000000">
      <w:pPr>
        <w:pStyle w:val="Heading21"/>
        <w:spacing w:line="264" w:lineRule="auto"/>
      </w:pPr>
      <w:r>
        <w:t>AUTHORS’ CONTRIBUTIONS</w:t>
      </w:r>
    </w:p>
    <w:p w14:paraId="7147EB1B" w14:textId="77777777" w:rsidR="00425C84" w:rsidRDefault="00000000">
      <w:pPr>
        <w:pStyle w:val="Body"/>
      </w:pPr>
      <w:r>
        <w:t>All authors contributed equally to this work.</w:t>
      </w:r>
    </w:p>
    <w:p w14:paraId="6F134BEA" w14:textId="77777777" w:rsidR="00AA70DA" w:rsidRDefault="00000000">
      <w:pPr>
        <w:pStyle w:val="Heading1"/>
        <w:spacing w:line="264" w:lineRule="auto"/>
      </w:pPr>
      <w:r>
        <w:t>COMPETING INTERESTS</w:t>
      </w:r>
    </w:p>
    <w:p w14:paraId="5254396E" w14:textId="77777777" w:rsidR="00AA70DA" w:rsidRDefault="00000000">
      <w:pPr>
        <w:pStyle w:val="Body"/>
      </w:pPr>
      <w:r>
        <w:t>The authors declare that no competing interests exist.</w:t>
      </w:r>
    </w:p>
    <w:p w14:paraId="042C20AF" w14:textId="77777777" w:rsidR="00AA70DA" w:rsidRDefault="00000000">
      <w:pPr>
        <w:pStyle w:val="Heading1"/>
        <w:spacing w:line="264" w:lineRule="auto"/>
      </w:pPr>
      <w:r>
        <w:t>CONSENT AND ETHICAL APPROVAL</w:t>
      </w:r>
    </w:p>
    <w:p w14:paraId="2BEE8662" w14:textId="77777777" w:rsidR="00AA70DA" w:rsidRDefault="00000000">
      <w:pPr>
        <w:pStyle w:val="Body"/>
      </w:pPr>
      <w:r>
        <w:t xml:space="preserve">Not applicable. </w:t>
      </w:r>
    </w:p>
    <w:p w14:paraId="78A628E7" w14:textId="77777777" w:rsidR="00426596" w:rsidRPr="00426596" w:rsidRDefault="00426596" w:rsidP="00426596">
      <w:pPr>
        <w:spacing w:after="160" w:line="278" w:lineRule="auto"/>
        <w:rPr>
          <w:rFonts w:ascii="Calibri" w:eastAsia="Calibri" w:hAnsi="Calibri"/>
          <w:b/>
          <w:bCs/>
          <w:color w:val="auto"/>
          <w:kern w:val="2"/>
          <w:sz w:val="24"/>
          <w:szCs w:val="24"/>
        </w:rPr>
      </w:pPr>
      <w:r w:rsidRPr="00426596">
        <w:rPr>
          <w:rFonts w:ascii="Calibri" w:eastAsia="Calibri" w:hAnsi="Calibri"/>
          <w:b/>
          <w:bCs/>
          <w:color w:val="auto"/>
          <w:kern w:val="2"/>
          <w:sz w:val="24"/>
          <w:szCs w:val="24"/>
        </w:rPr>
        <w:t>Declaration of AI Use</w:t>
      </w:r>
    </w:p>
    <w:p w14:paraId="197C14D1" w14:textId="77777777" w:rsidR="00426596" w:rsidRPr="00426596" w:rsidRDefault="00426596" w:rsidP="00426596">
      <w:pPr>
        <w:spacing w:after="200"/>
        <w:jc w:val="both"/>
        <w:rPr>
          <w:rFonts w:ascii="Calibri" w:eastAsia="Calibri" w:hAnsi="Calibri"/>
          <w:color w:val="auto"/>
          <w:kern w:val="2"/>
          <w:sz w:val="22"/>
          <w:szCs w:val="22"/>
        </w:rPr>
      </w:pPr>
      <w:r w:rsidRPr="00426596">
        <w:rPr>
          <w:rFonts w:ascii="Calibri" w:eastAsia="Calibri" w:hAnsi="Calibri"/>
          <w:color w:val="auto"/>
          <w:kern w:val="2"/>
          <w:sz w:val="22"/>
          <w:szCs w:val="22"/>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83742CF" w14:textId="77777777" w:rsidR="00426596" w:rsidRDefault="00426596">
      <w:pPr>
        <w:pStyle w:val="Heading1"/>
        <w:spacing w:line="264" w:lineRule="auto"/>
        <w:rPr>
          <w:rFonts w:ascii="Times New Roman" w:hAnsi="Times New Roman"/>
        </w:rPr>
      </w:pPr>
    </w:p>
    <w:p w14:paraId="0B0AD179" w14:textId="77777777" w:rsidR="00AA70DA" w:rsidRDefault="00426596">
      <w:pPr>
        <w:pStyle w:val="Heading1"/>
        <w:spacing w:line="264" w:lineRule="auto"/>
      </w:pPr>
      <w:r>
        <w:rPr>
          <w:rFonts w:ascii="Times New Roman" w:hAnsi="Times New Roman"/>
        </w:rPr>
        <w:br/>
      </w:r>
      <w:r>
        <w:t>REFERENCES</w:t>
      </w:r>
    </w:p>
    <w:p w14:paraId="3912D35E" w14:textId="77777777" w:rsidR="00850F20" w:rsidRPr="00850F20" w:rsidRDefault="00850F20" w:rsidP="00850F20">
      <w:pPr>
        <w:spacing w:before="100" w:beforeAutospacing="1" w:afterAutospacing="1" w:line="240" w:lineRule="auto"/>
        <w:ind w:left="540" w:hanging="540"/>
        <w:jc w:val="both"/>
        <w:rPr>
          <w:rFonts w:ascii="Times New Roman" w:hAnsi="Times New Roman"/>
          <w:color w:val="auto"/>
          <w:sz w:val="24"/>
          <w:szCs w:val="24"/>
        </w:rPr>
      </w:pPr>
      <w:r w:rsidRPr="00850F20">
        <w:rPr>
          <w:rFonts w:ascii="Times New Roman" w:hAnsi="Times New Roman"/>
          <w:color w:val="auto"/>
          <w:sz w:val="24"/>
          <w:szCs w:val="24"/>
          <w:lang w:val="nl-BE"/>
        </w:rPr>
        <w:t xml:space="preserve">Asoodar, M., Nahalparvari, M., Danielsson, C., &amp; Nee, H.-P. (2024). </w:t>
      </w:r>
      <w:r w:rsidRPr="00850F20">
        <w:rPr>
          <w:rFonts w:ascii="Times New Roman" w:hAnsi="Times New Roman"/>
          <w:color w:val="auto"/>
          <w:sz w:val="24"/>
          <w:szCs w:val="24"/>
        </w:rPr>
        <w:t xml:space="preserve">Practical online condition monitoring of DC-link capacitors in modular multilevel converters: A comparative approach. </w:t>
      </w:r>
      <w:r w:rsidRPr="00850F20">
        <w:rPr>
          <w:rFonts w:ascii="Times New Roman" w:hAnsi="Times New Roman"/>
          <w:i/>
          <w:color w:val="auto"/>
          <w:sz w:val="24"/>
          <w:szCs w:val="24"/>
        </w:rPr>
        <w:t>IEEE Open Journal of Power Electronics, 5</w:t>
      </w:r>
      <w:r w:rsidRPr="00850F20">
        <w:rPr>
          <w:rFonts w:ascii="Times New Roman" w:hAnsi="Times New Roman"/>
          <w:color w:val="auto"/>
          <w:sz w:val="24"/>
          <w:szCs w:val="24"/>
        </w:rPr>
        <w:t xml:space="preserve">, 1093–1106. </w:t>
      </w:r>
      <w:hyperlink r:id="rId10" w:history="1">
        <w:r w:rsidRPr="00850F20">
          <w:rPr>
            <w:rFonts w:ascii="Times New Roman" w:hAnsi="Times New Roman"/>
            <w:color w:val="0000FF"/>
            <w:sz w:val="24"/>
            <w:szCs w:val="24"/>
            <w:u w:val="single"/>
          </w:rPr>
          <w:t>https://doi.org/10.1109/OJPEL.2024.3387829</w:t>
        </w:r>
      </w:hyperlink>
    </w:p>
    <w:p w14:paraId="224390C5" w14:textId="77777777" w:rsidR="00850F20" w:rsidRPr="00850F20" w:rsidRDefault="00850F20" w:rsidP="00850F20">
      <w:pPr>
        <w:spacing w:before="100" w:beforeAutospacing="1" w:afterAutospacing="1" w:line="240" w:lineRule="auto"/>
        <w:ind w:left="540" w:hanging="540"/>
        <w:jc w:val="both"/>
        <w:rPr>
          <w:rFonts w:ascii="Times New Roman" w:hAnsi="Times New Roman"/>
          <w:color w:val="auto"/>
          <w:sz w:val="24"/>
          <w:szCs w:val="24"/>
        </w:rPr>
      </w:pPr>
      <w:r w:rsidRPr="00850F20">
        <w:rPr>
          <w:rFonts w:ascii="Times New Roman" w:hAnsi="Times New Roman"/>
          <w:color w:val="auto"/>
          <w:sz w:val="24"/>
          <w:szCs w:val="24"/>
        </w:rPr>
        <w:t xml:space="preserve">Claudino, V. S., Pacheco, A. L. S., Thaler, G., &amp; Flesch, R. C. C. (2026). Metrological aspects of soft sensors for estimating the DC-link capacitance of frequency inverters. </w:t>
      </w:r>
      <w:r w:rsidRPr="00850F20">
        <w:rPr>
          <w:rFonts w:ascii="Times New Roman" w:hAnsi="Times New Roman"/>
          <w:i/>
          <w:color w:val="auto"/>
          <w:sz w:val="24"/>
          <w:szCs w:val="24"/>
        </w:rPr>
        <w:t>Metrology, 6</w:t>
      </w:r>
      <w:r w:rsidRPr="00850F20">
        <w:rPr>
          <w:rFonts w:ascii="Times New Roman" w:hAnsi="Times New Roman"/>
          <w:color w:val="auto"/>
          <w:sz w:val="24"/>
          <w:szCs w:val="24"/>
        </w:rPr>
        <w:t xml:space="preserve">(2), Article 25. </w:t>
      </w:r>
      <w:hyperlink r:id="rId11" w:history="1">
        <w:r w:rsidRPr="00850F20">
          <w:rPr>
            <w:rFonts w:ascii="Times New Roman" w:hAnsi="Times New Roman"/>
            <w:color w:val="0000FF"/>
            <w:sz w:val="24"/>
            <w:szCs w:val="24"/>
            <w:u w:val="single"/>
          </w:rPr>
          <w:t>https://doi.org/10.3390/metrology6020025</w:t>
        </w:r>
      </w:hyperlink>
    </w:p>
    <w:p w14:paraId="1515A452" w14:textId="77777777" w:rsidR="00850F20" w:rsidRPr="00850F20" w:rsidRDefault="00850F20" w:rsidP="00850F20">
      <w:pPr>
        <w:spacing w:before="100" w:beforeAutospacing="1" w:afterAutospacing="1" w:line="240" w:lineRule="auto"/>
        <w:ind w:left="540" w:hanging="540"/>
        <w:jc w:val="both"/>
        <w:rPr>
          <w:rFonts w:ascii="Times New Roman" w:hAnsi="Times New Roman"/>
          <w:color w:val="auto"/>
          <w:sz w:val="24"/>
          <w:szCs w:val="24"/>
        </w:rPr>
      </w:pPr>
      <w:r w:rsidRPr="00850F20">
        <w:rPr>
          <w:rFonts w:ascii="Times New Roman" w:hAnsi="Times New Roman"/>
          <w:color w:val="auto"/>
          <w:sz w:val="24"/>
          <w:szCs w:val="24"/>
          <w:lang w:val="nl-BE"/>
        </w:rPr>
        <w:lastRenderedPageBreak/>
        <w:t xml:space="preserve">Dang, H.-L., &amp; Kwak, S. (2020). </w:t>
      </w:r>
      <w:r w:rsidRPr="00850F20">
        <w:rPr>
          <w:rFonts w:ascii="Times New Roman" w:hAnsi="Times New Roman"/>
          <w:color w:val="auto"/>
          <w:sz w:val="24"/>
          <w:szCs w:val="24"/>
        </w:rPr>
        <w:t xml:space="preserve">Review of health monitoring techniques for capacitors used in power electronics converters. </w:t>
      </w:r>
      <w:r w:rsidRPr="00850F20">
        <w:rPr>
          <w:rFonts w:ascii="Times New Roman" w:hAnsi="Times New Roman"/>
          <w:i/>
          <w:color w:val="auto"/>
          <w:sz w:val="24"/>
          <w:szCs w:val="24"/>
        </w:rPr>
        <w:t>Sensors, 20</w:t>
      </w:r>
      <w:r w:rsidRPr="00850F20">
        <w:rPr>
          <w:rFonts w:ascii="Times New Roman" w:hAnsi="Times New Roman"/>
          <w:color w:val="auto"/>
          <w:sz w:val="24"/>
          <w:szCs w:val="24"/>
        </w:rPr>
        <w:t xml:space="preserve">(13), Article 3740. </w:t>
      </w:r>
      <w:hyperlink r:id="rId12" w:history="1">
        <w:r w:rsidRPr="00850F20">
          <w:rPr>
            <w:rFonts w:ascii="Times New Roman" w:hAnsi="Times New Roman"/>
            <w:color w:val="0000FF"/>
            <w:sz w:val="24"/>
            <w:szCs w:val="24"/>
            <w:u w:val="single"/>
          </w:rPr>
          <w:t>https://doi.org/10.3390/s20133740</w:t>
        </w:r>
      </w:hyperlink>
    </w:p>
    <w:p w14:paraId="7A4D8D97" w14:textId="77777777" w:rsidR="00D056E6" w:rsidRDefault="00000000">
      <w:pPr>
        <w:ind w:left="540" w:hanging="540"/>
      </w:pPr>
      <w:r>
        <w:rPr>
          <w:rFonts w:ascii="Times New Roman" w:hAnsi="Times New Roman"/>
          <w:b/>
          <w:sz w:val="24"/>
          <w:highlight w:val="yellow"/>
        </w:rPr>
        <w:t xml:space="preserve">Fassi, Y., Zhao, S., Heiries, V., Boutet, J., Boisseau, S., &amp; Wang, H. (2026). Physics-informed simulation-to-hardware alignement for DC-link capacitor condition monitoring. </w:t>
      </w:r>
      <w:r>
        <w:rPr>
          <w:rFonts w:ascii="Times New Roman" w:hAnsi="Times New Roman"/>
          <w:b/>
          <w:i/>
          <w:sz w:val="24"/>
          <w:highlight w:val="yellow"/>
        </w:rPr>
        <w:t>IEEE Transactions on Power Electronics, 41</w:t>
      </w:r>
      <w:r>
        <w:rPr>
          <w:rFonts w:ascii="Times New Roman" w:hAnsi="Times New Roman"/>
          <w:b/>
          <w:sz w:val="24"/>
          <w:highlight w:val="yellow"/>
        </w:rPr>
        <w:t>(7), 11388–11399. https://doi.org/10.1109/TPEL.2026.3663772</w:t>
      </w:r>
    </w:p>
    <w:p w14:paraId="0C3DD5B7" w14:textId="77777777" w:rsidR="00D056E6" w:rsidRDefault="00000000">
      <w:pPr>
        <w:ind w:left="540" w:hanging="540"/>
      </w:pPr>
      <w:r>
        <w:rPr>
          <w:rFonts w:ascii="Times New Roman" w:hAnsi="Times New Roman"/>
          <w:b/>
          <w:sz w:val="24"/>
          <w:highlight w:val="yellow"/>
        </w:rPr>
        <w:t xml:space="preserve">Geku, D. (2025). Deep learning and explainable AI techniques for detection and diagnosis of faults in control systems. </w:t>
      </w:r>
      <w:r>
        <w:rPr>
          <w:rFonts w:ascii="Times New Roman" w:hAnsi="Times New Roman"/>
          <w:b/>
          <w:i/>
          <w:sz w:val="24"/>
          <w:highlight w:val="yellow"/>
        </w:rPr>
        <w:t>Asian Basic and Applied Research Journal, 7</w:t>
      </w:r>
      <w:r>
        <w:rPr>
          <w:rFonts w:ascii="Times New Roman" w:hAnsi="Times New Roman"/>
          <w:b/>
          <w:sz w:val="24"/>
          <w:highlight w:val="yellow"/>
        </w:rPr>
        <w:t>(1), 293–307. https://doi.org/10.56557/abaarj/2025/v7i1174</w:t>
      </w:r>
    </w:p>
    <w:p w14:paraId="3B3C8AB3" w14:textId="77777777" w:rsidR="00850F20" w:rsidRPr="00850F20" w:rsidRDefault="00850F20" w:rsidP="00850F20">
      <w:pPr>
        <w:spacing w:before="100" w:beforeAutospacing="1" w:afterAutospacing="1" w:line="240" w:lineRule="auto"/>
        <w:ind w:left="540" w:hanging="540"/>
        <w:jc w:val="both"/>
        <w:rPr>
          <w:rFonts w:ascii="Times New Roman" w:hAnsi="Times New Roman"/>
          <w:color w:val="auto"/>
          <w:sz w:val="24"/>
          <w:szCs w:val="24"/>
        </w:rPr>
      </w:pPr>
      <w:r w:rsidRPr="00850F20">
        <w:rPr>
          <w:rFonts w:ascii="Times New Roman" w:hAnsi="Times New Roman"/>
          <w:color w:val="auto"/>
          <w:sz w:val="24"/>
          <w:szCs w:val="24"/>
        </w:rPr>
        <w:t xml:space="preserve">Laadjal, K., Sahraoui, M., &amp; Cardoso, A. J. M. (2021). On-line fault diagnosis of DC-link electrolytic capacitors in boost converters using the STFT technique. </w:t>
      </w:r>
      <w:r w:rsidRPr="00850F20">
        <w:rPr>
          <w:rFonts w:ascii="Times New Roman" w:hAnsi="Times New Roman"/>
          <w:i/>
          <w:color w:val="auto"/>
          <w:sz w:val="24"/>
          <w:szCs w:val="24"/>
        </w:rPr>
        <w:t>IEEE Transactions on Power Electronics, 36</w:t>
      </w:r>
      <w:r w:rsidRPr="00850F20">
        <w:rPr>
          <w:rFonts w:ascii="Times New Roman" w:hAnsi="Times New Roman"/>
          <w:color w:val="auto"/>
          <w:sz w:val="24"/>
          <w:szCs w:val="24"/>
        </w:rPr>
        <w:t xml:space="preserve">(6), 6303–6312. </w:t>
      </w:r>
      <w:hyperlink r:id="rId13" w:history="1">
        <w:r w:rsidRPr="00850F20">
          <w:rPr>
            <w:rFonts w:ascii="Times New Roman" w:hAnsi="Times New Roman"/>
            <w:color w:val="0000FF"/>
            <w:sz w:val="24"/>
            <w:szCs w:val="24"/>
            <w:u w:val="single"/>
          </w:rPr>
          <w:t>https://doi.org/10.1109/TPEL.2020.3040499</w:t>
        </w:r>
      </w:hyperlink>
    </w:p>
    <w:p w14:paraId="1CA1B7DE" w14:textId="77777777" w:rsidR="00850F20" w:rsidRPr="00850F20" w:rsidRDefault="00850F20" w:rsidP="00850F20">
      <w:pPr>
        <w:spacing w:before="100" w:beforeAutospacing="1" w:afterAutospacing="1" w:line="240" w:lineRule="auto"/>
        <w:ind w:left="540" w:hanging="540"/>
        <w:jc w:val="both"/>
        <w:rPr>
          <w:rFonts w:ascii="Times New Roman" w:hAnsi="Times New Roman"/>
          <w:color w:val="auto"/>
          <w:sz w:val="24"/>
          <w:szCs w:val="24"/>
          <w:lang w:val="nl-BE"/>
        </w:rPr>
      </w:pPr>
      <w:r w:rsidRPr="00850F20">
        <w:rPr>
          <w:rFonts w:ascii="Times New Roman" w:hAnsi="Times New Roman"/>
          <w:color w:val="auto"/>
          <w:sz w:val="24"/>
          <w:szCs w:val="24"/>
        </w:rPr>
        <w:t xml:space="preserve">Lin, W., &amp; Pan, J. (2025). Inserted window </w:t>
      </w:r>
      <w:proofErr w:type="gramStart"/>
      <w:r w:rsidRPr="00850F20">
        <w:rPr>
          <w:rFonts w:ascii="Times New Roman" w:hAnsi="Times New Roman"/>
          <w:color w:val="auto"/>
          <w:sz w:val="24"/>
          <w:szCs w:val="24"/>
        </w:rPr>
        <w:t>recognition based</w:t>
      </w:r>
      <w:proofErr w:type="gramEnd"/>
      <w:r w:rsidRPr="00850F20">
        <w:rPr>
          <w:rFonts w:ascii="Times New Roman" w:hAnsi="Times New Roman"/>
          <w:color w:val="auto"/>
          <w:sz w:val="24"/>
          <w:szCs w:val="24"/>
        </w:rPr>
        <w:t xml:space="preserve"> capacitor condition monitoring method for MMC sub-module with nearest level modulation. </w:t>
      </w:r>
      <w:r w:rsidRPr="00850F20">
        <w:rPr>
          <w:rFonts w:ascii="Times New Roman" w:hAnsi="Times New Roman"/>
          <w:i/>
          <w:color w:val="auto"/>
          <w:sz w:val="24"/>
          <w:szCs w:val="24"/>
          <w:lang w:val="nl-BE"/>
        </w:rPr>
        <w:t>Energies, 18</w:t>
      </w:r>
      <w:r w:rsidRPr="00850F20">
        <w:rPr>
          <w:rFonts w:ascii="Times New Roman" w:hAnsi="Times New Roman"/>
          <w:color w:val="auto"/>
          <w:sz w:val="24"/>
          <w:szCs w:val="24"/>
          <w:lang w:val="nl-BE"/>
        </w:rPr>
        <w:t xml:space="preserve">(5), Article 1119. </w:t>
      </w:r>
      <w:hyperlink r:id="rId14" w:history="1">
        <w:r w:rsidRPr="00850F20">
          <w:rPr>
            <w:rFonts w:ascii="Times New Roman" w:hAnsi="Times New Roman"/>
            <w:color w:val="0000FF"/>
            <w:sz w:val="24"/>
            <w:szCs w:val="24"/>
            <w:u w:val="single"/>
            <w:lang w:val="nl-BE"/>
          </w:rPr>
          <w:t>https://doi.org/10.3390/en18051119</w:t>
        </w:r>
      </w:hyperlink>
    </w:p>
    <w:p w14:paraId="03177407" w14:textId="77777777" w:rsidR="00850F20" w:rsidRPr="00850F20" w:rsidRDefault="00850F20" w:rsidP="00850F20">
      <w:pPr>
        <w:spacing w:before="100" w:beforeAutospacing="1" w:afterAutospacing="1" w:line="240" w:lineRule="auto"/>
        <w:ind w:left="540" w:hanging="540"/>
        <w:jc w:val="both"/>
        <w:rPr>
          <w:rFonts w:ascii="Times New Roman" w:hAnsi="Times New Roman"/>
          <w:color w:val="auto"/>
          <w:sz w:val="24"/>
          <w:szCs w:val="24"/>
        </w:rPr>
      </w:pPr>
      <w:r w:rsidRPr="00850F20">
        <w:rPr>
          <w:rFonts w:ascii="Times New Roman" w:hAnsi="Times New Roman"/>
          <w:color w:val="auto"/>
          <w:sz w:val="24"/>
          <w:szCs w:val="24"/>
        </w:rPr>
        <w:t xml:space="preserve">Nathan, L. P. A., Hemamalini, R. R., Jeremiah, R. J. R., &amp; Partheeban, P. (2023). Review of condition monitoring methods for capacitors used in power converters. </w:t>
      </w:r>
      <w:r w:rsidRPr="00850F20">
        <w:rPr>
          <w:rFonts w:ascii="Times New Roman" w:hAnsi="Times New Roman"/>
          <w:i/>
          <w:color w:val="auto"/>
          <w:sz w:val="24"/>
          <w:szCs w:val="24"/>
        </w:rPr>
        <w:t>Microelectronics Reliability, 145</w:t>
      </w:r>
      <w:r w:rsidRPr="00850F20">
        <w:rPr>
          <w:rFonts w:ascii="Times New Roman" w:hAnsi="Times New Roman"/>
          <w:color w:val="auto"/>
          <w:sz w:val="24"/>
          <w:szCs w:val="24"/>
        </w:rPr>
        <w:t xml:space="preserve">, Article 115003. </w:t>
      </w:r>
      <w:hyperlink r:id="rId15" w:history="1">
        <w:r w:rsidRPr="00850F20">
          <w:rPr>
            <w:rFonts w:ascii="Times New Roman" w:hAnsi="Times New Roman"/>
            <w:color w:val="0000FF"/>
            <w:sz w:val="24"/>
            <w:szCs w:val="24"/>
            <w:u w:val="single"/>
          </w:rPr>
          <w:t>https://doi.org/10.1016/j.microrel.2023.115003</w:t>
        </w:r>
      </w:hyperlink>
    </w:p>
    <w:p w14:paraId="35CAE2BF" w14:textId="77777777" w:rsidR="00850F20" w:rsidRPr="00850F20" w:rsidRDefault="00850F20" w:rsidP="00850F20">
      <w:pPr>
        <w:spacing w:before="100" w:beforeAutospacing="1" w:afterAutospacing="1" w:line="240" w:lineRule="auto"/>
        <w:ind w:left="540" w:hanging="540"/>
        <w:jc w:val="both"/>
        <w:rPr>
          <w:rFonts w:ascii="Times New Roman" w:hAnsi="Times New Roman"/>
          <w:color w:val="auto"/>
          <w:sz w:val="24"/>
          <w:szCs w:val="24"/>
        </w:rPr>
      </w:pPr>
      <w:r w:rsidRPr="00850F20">
        <w:rPr>
          <w:rFonts w:ascii="Times New Roman" w:hAnsi="Times New Roman"/>
          <w:color w:val="auto"/>
          <w:sz w:val="24"/>
          <w:szCs w:val="24"/>
        </w:rPr>
        <w:t xml:space="preserve">Nathan, L. P. A., Hemamalini, R. R., Jeremiah, R. J. R., &amp; Partheeban, P. (2026). Hierarchical temporal memory-based predictive maintenance of DC-link capacitors in power electronic converters. </w:t>
      </w:r>
      <w:r w:rsidRPr="00850F20">
        <w:rPr>
          <w:rFonts w:ascii="Times New Roman" w:hAnsi="Times New Roman"/>
          <w:i/>
          <w:color w:val="auto"/>
          <w:sz w:val="24"/>
          <w:szCs w:val="24"/>
        </w:rPr>
        <w:t>Measurement: Energy, 10</w:t>
      </w:r>
      <w:r w:rsidRPr="00850F20">
        <w:rPr>
          <w:rFonts w:ascii="Times New Roman" w:hAnsi="Times New Roman"/>
          <w:color w:val="auto"/>
          <w:sz w:val="24"/>
          <w:szCs w:val="24"/>
        </w:rPr>
        <w:t xml:space="preserve">, Article 100097. </w:t>
      </w:r>
      <w:hyperlink r:id="rId16" w:history="1">
        <w:r w:rsidRPr="00850F20">
          <w:rPr>
            <w:rFonts w:ascii="Times New Roman" w:hAnsi="Times New Roman"/>
            <w:color w:val="0000FF"/>
            <w:sz w:val="24"/>
            <w:szCs w:val="24"/>
            <w:u w:val="single"/>
          </w:rPr>
          <w:t>https://doi.org/10.1016/j.meaene.2026.100097</w:t>
        </w:r>
      </w:hyperlink>
    </w:p>
    <w:p w14:paraId="436987B0" w14:textId="77777777" w:rsidR="00850F20" w:rsidRPr="00850F20" w:rsidRDefault="00850F20" w:rsidP="00850F20">
      <w:pPr>
        <w:spacing w:before="100" w:beforeAutospacing="1" w:afterAutospacing="1" w:line="240" w:lineRule="auto"/>
        <w:ind w:left="540" w:hanging="540"/>
        <w:jc w:val="both"/>
        <w:rPr>
          <w:rFonts w:ascii="Times New Roman" w:hAnsi="Times New Roman"/>
          <w:color w:val="auto"/>
          <w:sz w:val="24"/>
          <w:szCs w:val="24"/>
        </w:rPr>
      </w:pPr>
      <w:r w:rsidRPr="00850F20">
        <w:rPr>
          <w:rFonts w:ascii="Times New Roman" w:hAnsi="Times New Roman"/>
          <w:color w:val="auto"/>
          <w:sz w:val="24"/>
          <w:szCs w:val="24"/>
        </w:rPr>
        <w:t xml:space="preserve">Oliszewski, S., Pawlak, M., &amp; Dybkowski, M. (2025). Discharge-based DC-bus voltage link capacitor monitoring with repetitive recursive least squares method for hybrid-electric aircraft. </w:t>
      </w:r>
      <w:r w:rsidRPr="00850F20">
        <w:rPr>
          <w:rFonts w:ascii="Times New Roman" w:hAnsi="Times New Roman"/>
          <w:i/>
          <w:color w:val="auto"/>
          <w:sz w:val="24"/>
          <w:szCs w:val="24"/>
        </w:rPr>
        <w:t>Energies, 18</w:t>
      </w:r>
      <w:r w:rsidRPr="00850F20">
        <w:rPr>
          <w:rFonts w:ascii="Times New Roman" w:hAnsi="Times New Roman"/>
          <w:color w:val="auto"/>
          <w:sz w:val="24"/>
          <w:szCs w:val="24"/>
        </w:rPr>
        <w:t xml:space="preserve">(17), Article 4743. </w:t>
      </w:r>
      <w:hyperlink r:id="rId17" w:history="1">
        <w:r w:rsidRPr="00850F20">
          <w:rPr>
            <w:rFonts w:ascii="Times New Roman" w:hAnsi="Times New Roman"/>
            <w:color w:val="0000FF"/>
            <w:sz w:val="24"/>
            <w:szCs w:val="24"/>
            <w:u w:val="single"/>
          </w:rPr>
          <w:t>https://doi.org/10.3390/en18174743</w:t>
        </w:r>
      </w:hyperlink>
    </w:p>
    <w:p w14:paraId="428754A9" w14:textId="77777777" w:rsidR="00850F20" w:rsidRPr="00850F20" w:rsidRDefault="00850F20" w:rsidP="00850F20">
      <w:pPr>
        <w:spacing w:before="100" w:beforeAutospacing="1" w:afterAutospacing="1" w:line="240" w:lineRule="auto"/>
        <w:ind w:left="540" w:hanging="540"/>
        <w:jc w:val="both"/>
        <w:rPr>
          <w:rFonts w:ascii="Times New Roman" w:hAnsi="Times New Roman"/>
          <w:color w:val="auto"/>
          <w:sz w:val="24"/>
          <w:szCs w:val="24"/>
        </w:rPr>
      </w:pPr>
      <w:r w:rsidRPr="00850F20">
        <w:rPr>
          <w:rFonts w:ascii="Times New Roman" w:hAnsi="Times New Roman"/>
          <w:color w:val="auto"/>
          <w:sz w:val="24"/>
          <w:szCs w:val="24"/>
        </w:rPr>
        <w:t xml:space="preserve">Qian, Z., Gong, S., Xiao, S., Lin, Z., &amp; Li, X. (2025). Online monitoring method for capacitor lifetime in brushless DC motor drive systems with DC-link series switch. </w:t>
      </w:r>
      <w:r w:rsidRPr="00850F20">
        <w:rPr>
          <w:rFonts w:ascii="Times New Roman" w:hAnsi="Times New Roman"/>
          <w:i/>
          <w:color w:val="auto"/>
          <w:sz w:val="24"/>
          <w:szCs w:val="24"/>
        </w:rPr>
        <w:t>World Electric Vehicle Journal, 16</w:t>
      </w:r>
      <w:r w:rsidRPr="00850F20">
        <w:rPr>
          <w:rFonts w:ascii="Times New Roman" w:hAnsi="Times New Roman"/>
          <w:color w:val="auto"/>
          <w:sz w:val="24"/>
          <w:szCs w:val="24"/>
        </w:rPr>
        <w:t xml:space="preserve">(6), Article 330. </w:t>
      </w:r>
      <w:hyperlink r:id="rId18" w:history="1">
        <w:r w:rsidRPr="00850F20">
          <w:rPr>
            <w:rFonts w:ascii="Times New Roman" w:hAnsi="Times New Roman"/>
            <w:color w:val="0000FF"/>
            <w:sz w:val="24"/>
            <w:szCs w:val="24"/>
            <w:u w:val="single"/>
          </w:rPr>
          <w:t>https://doi.org/10.3390/wevj16060330</w:t>
        </w:r>
      </w:hyperlink>
    </w:p>
    <w:p w14:paraId="5CC7BC8C" w14:textId="77777777" w:rsidR="00850F20" w:rsidRPr="00850F20" w:rsidRDefault="00850F20" w:rsidP="00850F20">
      <w:pPr>
        <w:spacing w:before="100" w:beforeAutospacing="1" w:afterAutospacing="1" w:line="240" w:lineRule="auto"/>
        <w:ind w:left="540" w:hanging="540"/>
        <w:jc w:val="both"/>
        <w:rPr>
          <w:rFonts w:ascii="Times New Roman" w:hAnsi="Times New Roman"/>
          <w:color w:val="auto"/>
          <w:sz w:val="24"/>
          <w:szCs w:val="24"/>
        </w:rPr>
      </w:pPr>
      <w:r w:rsidRPr="00850F20">
        <w:rPr>
          <w:rFonts w:ascii="Times New Roman" w:hAnsi="Times New Roman"/>
          <w:color w:val="auto"/>
          <w:sz w:val="24"/>
          <w:szCs w:val="24"/>
        </w:rPr>
        <w:lastRenderedPageBreak/>
        <w:t xml:space="preserve">Ramees, M. K. P. M., &amp; Ahmad, M. W. (2023). Advances in capacitor health monitoring techniques for power converters: A review. </w:t>
      </w:r>
      <w:r w:rsidRPr="00850F20">
        <w:rPr>
          <w:rFonts w:ascii="Times New Roman" w:hAnsi="Times New Roman"/>
          <w:i/>
          <w:color w:val="auto"/>
          <w:sz w:val="24"/>
          <w:szCs w:val="24"/>
        </w:rPr>
        <w:t>IEEE Access, 11</w:t>
      </w:r>
      <w:r w:rsidRPr="00850F20">
        <w:rPr>
          <w:rFonts w:ascii="Times New Roman" w:hAnsi="Times New Roman"/>
          <w:color w:val="auto"/>
          <w:sz w:val="24"/>
          <w:szCs w:val="24"/>
        </w:rPr>
        <w:t xml:space="preserve">, 133540–133576. </w:t>
      </w:r>
      <w:hyperlink r:id="rId19" w:history="1">
        <w:r w:rsidRPr="00850F20">
          <w:rPr>
            <w:rFonts w:ascii="Times New Roman" w:hAnsi="Times New Roman"/>
            <w:color w:val="0000FF"/>
            <w:sz w:val="24"/>
            <w:szCs w:val="24"/>
            <w:u w:val="single"/>
          </w:rPr>
          <w:t>https://doi.org/10.1109/ACCESS.2023.3336986</w:t>
        </w:r>
      </w:hyperlink>
    </w:p>
    <w:p w14:paraId="759928F0" w14:textId="77777777" w:rsidR="00850F20" w:rsidRPr="00850F20" w:rsidRDefault="00850F20" w:rsidP="00850F20">
      <w:pPr>
        <w:spacing w:before="100" w:beforeAutospacing="1" w:afterAutospacing="1" w:line="240" w:lineRule="auto"/>
        <w:ind w:left="540" w:hanging="540"/>
        <w:jc w:val="both"/>
        <w:rPr>
          <w:rFonts w:ascii="Times New Roman" w:hAnsi="Times New Roman"/>
          <w:color w:val="auto"/>
          <w:sz w:val="24"/>
          <w:szCs w:val="24"/>
        </w:rPr>
      </w:pPr>
      <w:r w:rsidRPr="00850F20">
        <w:rPr>
          <w:rFonts w:ascii="Times New Roman" w:hAnsi="Times New Roman"/>
          <w:color w:val="auto"/>
          <w:sz w:val="24"/>
          <w:szCs w:val="24"/>
        </w:rPr>
        <w:t xml:space="preserve">Ribeiro, R. L. A., Alves, D. K., de Sousa, R. P. R., &amp; Oliveira, A. C. (2024). Online condition monitoring for DC-link capacitors of three-level NPC converters using noninvasive signal injection. </w:t>
      </w:r>
      <w:r w:rsidRPr="00850F20">
        <w:rPr>
          <w:rFonts w:ascii="Times New Roman" w:hAnsi="Times New Roman"/>
          <w:i/>
          <w:color w:val="auto"/>
          <w:sz w:val="24"/>
          <w:szCs w:val="24"/>
        </w:rPr>
        <w:t>Computers &amp; Electrical Engineering, 119</w:t>
      </w:r>
      <w:r w:rsidRPr="00850F20">
        <w:rPr>
          <w:rFonts w:ascii="Times New Roman" w:hAnsi="Times New Roman"/>
          <w:color w:val="auto"/>
          <w:sz w:val="24"/>
          <w:szCs w:val="24"/>
        </w:rPr>
        <w:t xml:space="preserve">, Article 109577. </w:t>
      </w:r>
      <w:hyperlink r:id="rId20" w:history="1">
        <w:r w:rsidRPr="00850F20">
          <w:rPr>
            <w:rFonts w:ascii="Times New Roman" w:hAnsi="Times New Roman"/>
            <w:color w:val="0000FF"/>
            <w:sz w:val="24"/>
            <w:szCs w:val="24"/>
            <w:u w:val="single"/>
          </w:rPr>
          <w:t>https://doi.org/10.1016/j.compeleceng.2024.109577</w:t>
        </w:r>
      </w:hyperlink>
    </w:p>
    <w:p w14:paraId="0FC4767A" w14:textId="77777777" w:rsidR="00850F20" w:rsidRPr="00850F20" w:rsidRDefault="00850F20" w:rsidP="00850F20">
      <w:pPr>
        <w:spacing w:before="100" w:beforeAutospacing="1" w:afterAutospacing="1" w:line="240" w:lineRule="auto"/>
        <w:ind w:left="540" w:hanging="540"/>
        <w:jc w:val="both"/>
        <w:rPr>
          <w:rFonts w:ascii="Times New Roman" w:hAnsi="Times New Roman"/>
          <w:color w:val="auto"/>
          <w:sz w:val="24"/>
          <w:szCs w:val="24"/>
        </w:rPr>
      </w:pPr>
      <w:r w:rsidRPr="00850F20">
        <w:rPr>
          <w:rFonts w:ascii="Times New Roman" w:hAnsi="Times New Roman"/>
          <w:color w:val="auto"/>
          <w:sz w:val="24"/>
          <w:szCs w:val="24"/>
        </w:rPr>
        <w:t xml:space="preserve">Ribeiro, R. L. A., Rezende de Sousa, R. P., Oliveira, A. C., Nogueira Lima, A. M., &amp; Han, Q.-L. (2025). Online estimation of DC-link capacitor parameters of three-level NPC converters using inherent signals analysis. </w:t>
      </w:r>
      <w:r w:rsidRPr="00850F20">
        <w:rPr>
          <w:rFonts w:ascii="Times New Roman" w:hAnsi="Times New Roman"/>
          <w:i/>
          <w:color w:val="auto"/>
          <w:sz w:val="24"/>
          <w:szCs w:val="24"/>
        </w:rPr>
        <w:t>IEEE/CAA Journal of Automatica Sinica, 12</w:t>
      </w:r>
      <w:r w:rsidRPr="00850F20">
        <w:rPr>
          <w:rFonts w:ascii="Times New Roman" w:hAnsi="Times New Roman"/>
          <w:color w:val="auto"/>
          <w:sz w:val="24"/>
          <w:szCs w:val="24"/>
        </w:rPr>
        <w:t xml:space="preserve">(7), 1434–1444. </w:t>
      </w:r>
      <w:hyperlink r:id="rId21" w:history="1">
        <w:r w:rsidRPr="00850F20">
          <w:rPr>
            <w:rFonts w:ascii="Times New Roman" w:hAnsi="Times New Roman"/>
            <w:color w:val="0000FF"/>
            <w:sz w:val="24"/>
            <w:szCs w:val="24"/>
            <w:u w:val="single"/>
          </w:rPr>
          <w:t>https://doi.org/10.1109/JAS.2025.125159</w:t>
        </w:r>
      </w:hyperlink>
    </w:p>
    <w:p w14:paraId="7F01E063" w14:textId="77777777" w:rsidR="00850F20" w:rsidRPr="00850F20" w:rsidRDefault="00850F20" w:rsidP="00850F20">
      <w:pPr>
        <w:spacing w:before="100" w:beforeAutospacing="1" w:afterAutospacing="1" w:line="240" w:lineRule="auto"/>
        <w:ind w:left="540" w:hanging="540"/>
        <w:jc w:val="both"/>
        <w:rPr>
          <w:rFonts w:ascii="Times New Roman" w:hAnsi="Times New Roman"/>
          <w:color w:val="auto"/>
          <w:sz w:val="24"/>
          <w:szCs w:val="24"/>
        </w:rPr>
      </w:pPr>
      <w:r w:rsidRPr="00850F20">
        <w:rPr>
          <w:rFonts w:ascii="Times New Roman" w:hAnsi="Times New Roman"/>
          <w:color w:val="auto"/>
          <w:sz w:val="24"/>
          <w:szCs w:val="24"/>
        </w:rPr>
        <w:t xml:space="preserve">Saravanakumar, R., Sivakumar, N., Devi, V. S. K., Shanthini, C., Jena, D., Ibaceta, E., Diaz, M., &amp; Rodriguez, J. (2025). Condition monitoring of submodule capacitors in modular multilevel converters—A review. </w:t>
      </w:r>
      <w:r w:rsidRPr="00850F20">
        <w:rPr>
          <w:rFonts w:ascii="Times New Roman" w:hAnsi="Times New Roman"/>
          <w:i/>
          <w:color w:val="auto"/>
          <w:sz w:val="24"/>
          <w:szCs w:val="24"/>
        </w:rPr>
        <w:t>Journal of Energy Storage, 134</w:t>
      </w:r>
      <w:r w:rsidRPr="00850F20">
        <w:rPr>
          <w:rFonts w:ascii="Times New Roman" w:hAnsi="Times New Roman"/>
          <w:color w:val="auto"/>
          <w:sz w:val="24"/>
          <w:szCs w:val="24"/>
        </w:rPr>
        <w:t xml:space="preserve">, Article 117954. </w:t>
      </w:r>
      <w:hyperlink r:id="rId22" w:history="1">
        <w:r w:rsidRPr="00850F20">
          <w:rPr>
            <w:rFonts w:ascii="Times New Roman" w:hAnsi="Times New Roman"/>
            <w:color w:val="0000FF"/>
            <w:sz w:val="24"/>
            <w:szCs w:val="24"/>
            <w:u w:val="single"/>
          </w:rPr>
          <w:t>https://doi.org/10.1016/j.est.2025.117954</w:t>
        </w:r>
      </w:hyperlink>
    </w:p>
    <w:p w14:paraId="060A2D68" w14:textId="77777777" w:rsidR="00850F20" w:rsidRPr="00850F20" w:rsidRDefault="00850F20" w:rsidP="00850F20">
      <w:pPr>
        <w:spacing w:before="100" w:beforeAutospacing="1" w:afterAutospacing="1" w:line="240" w:lineRule="auto"/>
        <w:ind w:left="540" w:hanging="540"/>
        <w:jc w:val="both"/>
        <w:rPr>
          <w:rFonts w:ascii="Times New Roman" w:hAnsi="Times New Roman"/>
          <w:color w:val="auto"/>
          <w:sz w:val="24"/>
          <w:szCs w:val="24"/>
        </w:rPr>
      </w:pPr>
      <w:r w:rsidRPr="00850F20">
        <w:rPr>
          <w:rFonts w:ascii="Times New Roman" w:hAnsi="Times New Roman"/>
          <w:color w:val="auto"/>
          <w:sz w:val="24"/>
          <w:szCs w:val="24"/>
        </w:rPr>
        <w:t xml:space="preserve">Wang, H., &amp; Blaabjerg, F. (2014). Reliability of capacitors for DC-link applications in power electronic converters—An overview. </w:t>
      </w:r>
      <w:r w:rsidRPr="00850F20">
        <w:rPr>
          <w:rFonts w:ascii="Times New Roman" w:hAnsi="Times New Roman"/>
          <w:i/>
          <w:color w:val="auto"/>
          <w:sz w:val="24"/>
          <w:szCs w:val="24"/>
        </w:rPr>
        <w:t>IEEE Transactions on Industry Applications, 50</w:t>
      </w:r>
      <w:r w:rsidRPr="00850F20">
        <w:rPr>
          <w:rFonts w:ascii="Times New Roman" w:hAnsi="Times New Roman"/>
          <w:color w:val="auto"/>
          <w:sz w:val="24"/>
          <w:szCs w:val="24"/>
        </w:rPr>
        <w:t xml:space="preserve">(5), 3569–3578. </w:t>
      </w:r>
      <w:hyperlink r:id="rId23" w:history="1">
        <w:r w:rsidRPr="00850F20">
          <w:rPr>
            <w:rFonts w:ascii="Times New Roman" w:hAnsi="Times New Roman"/>
            <w:color w:val="0000FF"/>
            <w:sz w:val="24"/>
            <w:szCs w:val="24"/>
            <w:u w:val="single"/>
          </w:rPr>
          <w:t>https://doi.org/10.1109/TIA.2014.2308357</w:t>
        </w:r>
      </w:hyperlink>
    </w:p>
    <w:p w14:paraId="4F7C9093" w14:textId="77777777" w:rsidR="00D056E6" w:rsidRDefault="00000000">
      <w:pPr>
        <w:ind w:left="540" w:hanging="540"/>
      </w:pPr>
      <w:r>
        <w:rPr>
          <w:rFonts w:ascii="Times New Roman" w:hAnsi="Times New Roman"/>
          <w:b/>
          <w:sz w:val="24"/>
          <w:highlight w:val="yellow"/>
        </w:rPr>
        <w:t xml:space="preserve">Wei, X., Yao, B., Wang, Z., Peng, Y., Granouillac, B., Odriozola, K., Wang, H., &amp; Bahman, A. S. (2026). A robust health monitoring method for DC-link capacitor banks in aerospace motor drives. </w:t>
      </w:r>
      <w:r>
        <w:rPr>
          <w:rFonts w:ascii="Times New Roman" w:hAnsi="Times New Roman"/>
          <w:b/>
          <w:i/>
          <w:sz w:val="24"/>
          <w:highlight w:val="yellow"/>
        </w:rPr>
        <w:t>IEEE Transactions on Power Electronics, 41</w:t>
      </w:r>
      <w:r>
        <w:rPr>
          <w:rFonts w:ascii="Times New Roman" w:hAnsi="Times New Roman"/>
          <w:b/>
          <w:sz w:val="24"/>
          <w:highlight w:val="yellow"/>
        </w:rPr>
        <w:t>(5), 8392–8408. https://doi.org/10.1109/TPEL.2025.3642690</w:t>
      </w:r>
    </w:p>
    <w:p w14:paraId="78C32E2B" w14:textId="77777777" w:rsidR="00850F20" w:rsidRPr="00850F20" w:rsidRDefault="00850F20" w:rsidP="00850F20">
      <w:pPr>
        <w:spacing w:before="100" w:beforeAutospacing="1" w:afterAutospacing="1" w:line="240" w:lineRule="auto"/>
        <w:ind w:left="540" w:hanging="540"/>
        <w:jc w:val="both"/>
        <w:rPr>
          <w:rFonts w:ascii="Times New Roman" w:hAnsi="Times New Roman"/>
          <w:color w:val="auto"/>
          <w:sz w:val="24"/>
          <w:szCs w:val="24"/>
        </w:rPr>
      </w:pPr>
      <w:r w:rsidRPr="00850F20">
        <w:rPr>
          <w:rFonts w:ascii="Times New Roman" w:hAnsi="Times New Roman"/>
          <w:color w:val="auto"/>
          <w:sz w:val="24"/>
          <w:szCs w:val="24"/>
        </w:rPr>
        <w:t xml:space="preserve">Xiang, D., Zheng, Y., Li, H., Gu, Y., Zhao, N., &amp; Zheng, J. (2021). Online ESR monitoring of DC-link capacitor in voltage-source-converter using damping characteristic of switching ringings. </w:t>
      </w:r>
      <w:r w:rsidRPr="00850F20">
        <w:rPr>
          <w:rFonts w:ascii="Times New Roman" w:hAnsi="Times New Roman"/>
          <w:i/>
          <w:color w:val="auto"/>
          <w:sz w:val="24"/>
          <w:szCs w:val="24"/>
        </w:rPr>
        <w:t>IEEE Transactions on Power Electronics, 36</w:t>
      </w:r>
      <w:r w:rsidRPr="00850F20">
        <w:rPr>
          <w:rFonts w:ascii="Times New Roman" w:hAnsi="Times New Roman"/>
          <w:color w:val="auto"/>
          <w:sz w:val="24"/>
          <w:szCs w:val="24"/>
        </w:rPr>
        <w:t xml:space="preserve">(7), 7429–7441. </w:t>
      </w:r>
      <w:hyperlink r:id="rId24" w:history="1">
        <w:r w:rsidRPr="00850F20">
          <w:rPr>
            <w:rFonts w:ascii="Times New Roman" w:hAnsi="Times New Roman"/>
            <w:color w:val="0000FF"/>
            <w:sz w:val="24"/>
            <w:szCs w:val="24"/>
            <w:u w:val="single"/>
          </w:rPr>
          <w:t>https://doi.org/10.1109/TPEL.2020.3042218</w:t>
        </w:r>
      </w:hyperlink>
    </w:p>
    <w:p w14:paraId="72CF0E7F" w14:textId="77777777" w:rsidR="00850F20" w:rsidRPr="00850F20" w:rsidRDefault="00850F20" w:rsidP="00850F20">
      <w:pPr>
        <w:spacing w:before="100" w:beforeAutospacing="1" w:afterAutospacing="1" w:line="240" w:lineRule="auto"/>
        <w:ind w:left="540" w:hanging="540"/>
        <w:jc w:val="both"/>
        <w:rPr>
          <w:rFonts w:ascii="Times New Roman" w:hAnsi="Times New Roman"/>
          <w:color w:val="auto"/>
          <w:sz w:val="24"/>
          <w:szCs w:val="24"/>
        </w:rPr>
      </w:pPr>
      <w:r w:rsidRPr="00850F20">
        <w:rPr>
          <w:rFonts w:ascii="Times New Roman" w:hAnsi="Times New Roman"/>
          <w:color w:val="auto"/>
          <w:sz w:val="24"/>
          <w:szCs w:val="24"/>
        </w:rPr>
        <w:t xml:space="preserve">Yamasoto, T., &amp; Hasegawa, K. (2025). Condition monitoring of a DC-link capacitor in an inverter with a front-end diode rectifier under imbalanced three-phase supply voltage. </w:t>
      </w:r>
      <w:r w:rsidRPr="00850F20">
        <w:rPr>
          <w:rFonts w:ascii="Times New Roman" w:hAnsi="Times New Roman"/>
          <w:i/>
          <w:color w:val="auto"/>
          <w:sz w:val="24"/>
          <w:szCs w:val="24"/>
        </w:rPr>
        <w:t>Microelectronics Reliability, 173</w:t>
      </w:r>
      <w:r w:rsidRPr="00850F20">
        <w:rPr>
          <w:rFonts w:ascii="Times New Roman" w:hAnsi="Times New Roman"/>
          <w:color w:val="auto"/>
          <w:sz w:val="24"/>
          <w:szCs w:val="24"/>
        </w:rPr>
        <w:t xml:space="preserve">, Article 115873. </w:t>
      </w:r>
      <w:hyperlink r:id="rId25" w:history="1">
        <w:r w:rsidRPr="00850F20">
          <w:rPr>
            <w:rFonts w:ascii="Times New Roman" w:hAnsi="Times New Roman"/>
            <w:color w:val="0000FF"/>
            <w:sz w:val="24"/>
            <w:szCs w:val="24"/>
            <w:u w:val="single"/>
          </w:rPr>
          <w:t>https://doi.org/10.1016/j.microrel.2025.115873</w:t>
        </w:r>
      </w:hyperlink>
    </w:p>
    <w:p w14:paraId="0C6C071D" w14:textId="77777777" w:rsidR="00D056E6" w:rsidRDefault="00000000">
      <w:pPr>
        <w:ind w:left="540" w:hanging="540"/>
      </w:pPr>
      <w:r>
        <w:rPr>
          <w:rFonts w:ascii="Times New Roman" w:hAnsi="Times New Roman"/>
          <w:b/>
          <w:sz w:val="24"/>
          <w:highlight w:val="yellow"/>
        </w:rPr>
        <w:t xml:space="preserve">Yusuf, S. D., Loko, A. Z., Abdulhamid, A. A., &amp; Stephen, O. S. (2022). Simulation and construction of a high frequency transformer-based inverter for photovoltaic system applications. </w:t>
      </w:r>
      <w:r>
        <w:rPr>
          <w:rFonts w:ascii="Times New Roman" w:hAnsi="Times New Roman"/>
          <w:b/>
          <w:i/>
          <w:sz w:val="24"/>
          <w:highlight w:val="yellow"/>
        </w:rPr>
        <w:t xml:space="preserve">Journal of Engineering </w:t>
      </w:r>
      <w:r>
        <w:rPr>
          <w:rFonts w:ascii="Times New Roman" w:hAnsi="Times New Roman"/>
          <w:b/>
          <w:i/>
          <w:sz w:val="24"/>
          <w:highlight w:val="yellow"/>
        </w:rPr>
        <w:lastRenderedPageBreak/>
        <w:t>Research and Reports, 23</w:t>
      </w:r>
      <w:r>
        <w:rPr>
          <w:rFonts w:ascii="Times New Roman" w:hAnsi="Times New Roman"/>
          <w:b/>
          <w:sz w:val="24"/>
          <w:highlight w:val="yellow"/>
        </w:rPr>
        <w:t>(7), 1–15. https://doi.org/10.9734/jerr/2022/v23i717619</w:t>
      </w:r>
    </w:p>
    <w:p w14:paraId="2759A972" w14:textId="77777777" w:rsidR="00850F20" w:rsidRPr="00850F20" w:rsidRDefault="00850F20" w:rsidP="00850F20">
      <w:pPr>
        <w:spacing w:before="100" w:beforeAutospacing="1" w:afterAutospacing="1" w:line="240" w:lineRule="auto"/>
        <w:ind w:left="540" w:hanging="540"/>
        <w:jc w:val="both"/>
        <w:rPr>
          <w:rFonts w:ascii="Times New Roman" w:hAnsi="Times New Roman"/>
          <w:color w:val="auto"/>
          <w:sz w:val="24"/>
          <w:szCs w:val="24"/>
        </w:rPr>
      </w:pPr>
      <w:r w:rsidRPr="00850F20">
        <w:rPr>
          <w:rFonts w:ascii="Times New Roman" w:hAnsi="Times New Roman"/>
          <w:color w:val="auto"/>
          <w:sz w:val="24"/>
          <w:szCs w:val="24"/>
          <w:lang w:val="nl-BE"/>
        </w:rPr>
        <w:t xml:space="preserve">Zhao, Z., Davari, P., Lu, W., Wang, H., &amp; Blaabjerg, F. (2021). </w:t>
      </w:r>
      <w:r w:rsidRPr="00850F20">
        <w:rPr>
          <w:rFonts w:ascii="Times New Roman" w:hAnsi="Times New Roman"/>
          <w:color w:val="auto"/>
          <w:sz w:val="24"/>
          <w:szCs w:val="24"/>
        </w:rPr>
        <w:t xml:space="preserve">An overview of condition monitoring techniques for capacitors in DC-link applications. </w:t>
      </w:r>
      <w:r w:rsidRPr="00850F20">
        <w:rPr>
          <w:rFonts w:ascii="Times New Roman" w:hAnsi="Times New Roman"/>
          <w:i/>
          <w:color w:val="auto"/>
          <w:sz w:val="24"/>
          <w:szCs w:val="24"/>
        </w:rPr>
        <w:t>IEEE Transactions on Power Electronics, 36</w:t>
      </w:r>
      <w:r w:rsidRPr="00850F20">
        <w:rPr>
          <w:rFonts w:ascii="Times New Roman" w:hAnsi="Times New Roman"/>
          <w:color w:val="auto"/>
          <w:sz w:val="24"/>
          <w:szCs w:val="24"/>
        </w:rPr>
        <w:t xml:space="preserve">(4), 3692–3716. </w:t>
      </w:r>
      <w:hyperlink r:id="rId26" w:history="1">
        <w:r w:rsidRPr="00850F20">
          <w:rPr>
            <w:rFonts w:ascii="Times New Roman" w:hAnsi="Times New Roman"/>
            <w:color w:val="0000FF"/>
            <w:sz w:val="24"/>
            <w:szCs w:val="24"/>
            <w:u w:val="single"/>
          </w:rPr>
          <w:t>https://doi.org/10.1109/TPEL.2020.3023469</w:t>
        </w:r>
      </w:hyperlink>
    </w:p>
    <w:p w14:paraId="35C63FF3" w14:textId="77777777" w:rsidR="00425C84" w:rsidRDefault="00425C84" w:rsidP="00850F20">
      <w:pPr>
        <w:pStyle w:val="Body"/>
      </w:pPr>
    </w:p>
    <w:sectPr w:rsidR="00425C84" w:rsidSect="001D7528">
      <w:headerReference w:type="even" r:id="rId27"/>
      <w:headerReference w:type="default" r:id="rId28"/>
      <w:footerReference w:type="even" r:id="rId29"/>
      <w:footerReference w:type="default" r:id="rId30"/>
      <w:headerReference w:type="first" r:id="rId31"/>
      <w:footerReference w:type="first" r:id="rId32"/>
      <w:pgSz w:w="12240" w:h="15840" w:code="1"/>
      <w:pgMar w:top="1440" w:right="2016" w:bottom="2016" w:left="2016" w:header="720" w:footer="129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7704B" w14:textId="77777777" w:rsidR="0096739E" w:rsidRDefault="0096739E" w:rsidP="00C37E61">
      <w:r>
        <w:separator/>
      </w:r>
    </w:p>
  </w:endnote>
  <w:endnote w:type="continuationSeparator" w:id="0">
    <w:p w14:paraId="21C0FCD7" w14:textId="77777777" w:rsidR="0096739E" w:rsidRDefault="0096739E"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670CD" w14:textId="77777777" w:rsidR="00BF121F" w:rsidRDefault="00BF1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00C6" w14:textId="77777777" w:rsidR="00AA70DA" w:rsidRDefault="00000000">
    <w:pPr>
      <w:suppressLineNumbers/>
      <w:spacing w:after="0" w:line="240" w:lineRule="auto"/>
      <w:jc w:val="center"/>
    </w:pPr>
    <w:r>
      <w:fldChar w:fldCharType="begin"/>
    </w:r>
    <w:r>
      <w:instrText>PAGE</w:instrText>
    </w:r>
    <w:r>
      <w:fldChar w:fldCharType="separate"/>
    </w:r>
    <w:r w:rsidR="001D7528">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5BFF3" w14:textId="77777777" w:rsidR="00754C9A" w:rsidRPr="00CA0229" w:rsidRDefault="00754C9A" w:rsidP="00CA02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13631" w14:textId="77777777" w:rsidR="0096739E" w:rsidRDefault="0096739E" w:rsidP="00C37E61">
      <w:r>
        <w:separator/>
      </w:r>
    </w:p>
  </w:footnote>
  <w:footnote w:type="continuationSeparator" w:id="0">
    <w:p w14:paraId="26EE941D" w14:textId="77777777" w:rsidR="0096739E" w:rsidRDefault="0096739E"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AF450" w14:textId="77777777" w:rsidR="00BF121F" w:rsidRDefault="00000000">
    <w:pPr>
      <w:pStyle w:val="Header"/>
    </w:pPr>
    <w:r>
      <w:rPr>
        <w:noProof/>
      </w:rPr>
      <w:pict w14:anchorId="5EFC56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753579"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59D53" w14:textId="77777777" w:rsidR="00717A22" w:rsidRDefault="00000000">
    <w:r>
      <w:rPr>
        <w:noProof/>
      </w:rPr>
      <w:pict w14:anchorId="7A0592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753580"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r w:rsidR="00CA0229">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3D5D1" w14:textId="77777777" w:rsidR="00296529" w:rsidRPr="00296529" w:rsidRDefault="00000000" w:rsidP="00296529">
    <w:pPr>
      <w:ind w:left="2160"/>
      <w:jc w:val="center"/>
      <w:rPr>
        <w:rFonts w:ascii="Times New Roman" w:eastAsia="Calibri" w:hAnsi="Times New Roman"/>
        <w:i/>
        <w:sz w:val="18"/>
        <w:szCs w:val="22"/>
      </w:rPr>
    </w:pPr>
    <w:r>
      <w:rPr>
        <w:noProof/>
      </w:rPr>
      <w:pict w14:anchorId="186327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753578"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p w14:paraId="0E3E9709"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1234DB29"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0C871CA"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4C20734"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29B5844"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2C9604A4"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D279EF"/>
    <w:multiLevelType w:val="hybridMultilevel"/>
    <w:tmpl w:val="542EC7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207716"/>
    <w:multiLevelType w:val="hybridMultilevel"/>
    <w:tmpl w:val="90B86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5"/>
  </w:num>
  <w:num w:numId="3" w16cid:durableId="270210722">
    <w:abstractNumId w:val="24"/>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7"/>
  </w:num>
  <w:num w:numId="6" w16cid:durableId="1798571421">
    <w:abstractNumId w:val="6"/>
  </w:num>
  <w:num w:numId="7" w16cid:durableId="922571905">
    <w:abstractNumId w:val="1"/>
  </w:num>
  <w:num w:numId="8" w16cid:durableId="1218055954">
    <w:abstractNumId w:val="12"/>
  </w:num>
  <w:num w:numId="9" w16cid:durableId="329874782">
    <w:abstractNumId w:val="26"/>
  </w:num>
  <w:num w:numId="10" w16cid:durableId="1967344970">
    <w:abstractNumId w:val="2"/>
  </w:num>
  <w:num w:numId="11" w16cid:durableId="412317892">
    <w:abstractNumId w:val="18"/>
  </w:num>
  <w:num w:numId="12" w16cid:durableId="1162699396">
    <w:abstractNumId w:val="3"/>
  </w:num>
  <w:num w:numId="13" w16cid:durableId="1799378455">
    <w:abstractNumId w:val="17"/>
  </w:num>
  <w:num w:numId="14" w16cid:durableId="1847285408">
    <w:abstractNumId w:val="8"/>
  </w:num>
  <w:num w:numId="15" w16cid:durableId="302076680">
    <w:abstractNumId w:val="22"/>
  </w:num>
  <w:num w:numId="16" w16cid:durableId="2101171267">
    <w:abstractNumId w:val="5"/>
  </w:num>
  <w:num w:numId="17" w16cid:durableId="2095474162">
    <w:abstractNumId w:val="23"/>
  </w:num>
  <w:num w:numId="18" w16cid:durableId="726026076">
    <w:abstractNumId w:val="14"/>
  </w:num>
  <w:num w:numId="19" w16cid:durableId="1507742585">
    <w:abstractNumId w:val="30"/>
  </w:num>
  <w:num w:numId="20" w16cid:durableId="1414359059">
    <w:abstractNumId w:val="11"/>
  </w:num>
  <w:num w:numId="21" w16cid:durableId="780808669">
    <w:abstractNumId w:val="9"/>
  </w:num>
  <w:num w:numId="22" w16cid:durableId="85656562">
    <w:abstractNumId w:val="13"/>
  </w:num>
  <w:num w:numId="23" w16cid:durableId="1114595123">
    <w:abstractNumId w:val="20"/>
  </w:num>
  <w:num w:numId="24" w16cid:durableId="1717074228">
    <w:abstractNumId w:val="27"/>
  </w:num>
  <w:num w:numId="25" w16cid:durableId="1206672560">
    <w:abstractNumId w:val="4"/>
  </w:num>
  <w:num w:numId="26" w16cid:durableId="121193178">
    <w:abstractNumId w:val="16"/>
  </w:num>
  <w:num w:numId="27" w16cid:durableId="1448308770">
    <w:abstractNumId w:val="21"/>
  </w:num>
  <w:num w:numId="28" w16cid:durableId="2027902646">
    <w:abstractNumId w:val="28"/>
  </w:num>
  <w:num w:numId="29" w16cid:durableId="452793216">
    <w:abstractNumId w:val="25"/>
  </w:num>
  <w:num w:numId="30" w16cid:durableId="511115286">
    <w:abstractNumId w:val="10"/>
  </w:num>
  <w:num w:numId="31" w16cid:durableId="2129930792">
    <w:abstractNumId w:val="19"/>
  </w:num>
  <w:num w:numId="32" w16cid:durableId="35940052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263C7"/>
    <w:rsid w:val="00030174"/>
    <w:rsid w:val="0004579C"/>
    <w:rsid w:val="000A47FA"/>
    <w:rsid w:val="000A65D3"/>
    <w:rsid w:val="000B1E33"/>
    <w:rsid w:val="000D689F"/>
    <w:rsid w:val="000E7B7B"/>
    <w:rsid w:val="000E7D62"/>
    <w:rsid w:val="00103357"/>
    <w:rsid w:val="00123C9F"/>
    <w:rsid w:val="00126190"/>
    <w:rsid w:val="00130F17"/>
    <w:rsid w:val="001320BF"/>
    <w:rsid w:val="00163BC4"/>
    <w:rsid w:val="00191062"/>
    <w:rsid w:val="00192B72"/>
    <w:rsid w:val="001A29D8"/>
    <w:rsid w:val="001A5CAA"/>
    <w:rsid w:val="001B0427"/>
    <w:rsid w:val="001D3A51"/>
    <w:rsid w:val="001D7528"/>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97885"/>
    <w:rsid w:val="002B27FB"/>
    <w:rsid w:val="002B685A"/>
    <w:rsid w:val="002C57D2"/>
    <w:rsid w:val="002E0D56"/>
    <w:rsid w:val="00315186"/>
    <w:rsid w:val="0033343E"/>
    <w:rsid w:val="003512C2"/>
    <w:rsid w:val="00360A1F"/>
    <w:rsid w:val="00371FB6"/>
    <w:rsid w:val="003755E0"/>
    <w:rsid w:val="003763C1"/>
    <w:rsid w:val="00376BBE"/>
    <w:rsid w:val="0039224F"/>
    <w:rsid w:val="003A43A4"/>
    <w:rsid w:val="003A7E18"/>
    <w:rsid w:val="003C4C86"/>
    <w:rsid w:val="003C6258"/>
    <w:rsid w:val="003E2904"/>
    <w:rsid w:val="003E4EA7"/>
    <w:rsid w:val="003F145B"/>
    <w:rsid w:val="00401927"/>
    <w:rsid w:val="0041027F"/>
    <w:rsid w:val="00412475"/>
    <w:rsid w:val="00423789"/>
    <w:rsid w:val="00425C84"/>
    <w:rsid w:val="00426596"/>
    <w:rsid w:val="00440F43"/>
    <w:rsid w:val="00441B6F"/>
    <w:rsid w:val="00446221"/>
    <w:rsid w:val="00450E62"/>
    <w:rsid w:val="004539DB"/>
    <w:rsid w:val="00471A80"/>
    <w:rsid w:val="004D305E"/>
    <w:rsid w:val="004D4277"/>
    <w:rsid w:val="004D5BA0"/>
    <w:rsid w:val="00502516"/>
    <w:rsid w:val="00505F06"/>
    <w:rsid w:val="00506828"/>
    <w:rsid w:val="0053056E"/>
    <w:rsid w:val="00534BAA"/>
    <w:rsid w:val="00554FDA"/>
    <w:rsid w:val="00577A1B"/>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17A22"/>
    <w:rsid w:val="007369E6"/>
    <w:rsid w:val="00746E59"/>
    <w:rsid w:val="00750A8B"/>
    <w:rsid w:val="00754C9A"/>
    <w:rsid w:val="0075599A"/>
    <w:rsid w:val="00761D52"/>
    <w:rsid w:val="0077749E"/>
    <w:rsid w:val="00790ADA"/>
    <w:rsid w:val="007D2288"/>
    <w:rsid w:val="007E088F"/>
    <w:rsid w:val="007F7B32"/>
    <w:rsid w:val="00803E5E"/>
    <w:rsid w:val="00804BC2"/>
    <w:rsid w:val="0081431A"/>
    <w:rsid w:val="0083216F"/>
    <w:rsid w:val="00850F20"/>
    <w:rsid w:val="00860000"/>
    <w:rsid w:val="00863BD3"/>
    <w:rsid w:val="008641ED"/>
    <w:rsid w:val="00866D66"/>
    <w:rsid w:val="008671C6"/>
    <w:rsid w:val="00875803"/>
    <w:rsid w:val="008B459E"/>
    <w:rsid w:val="008E13AE"/>
    <w:rsid w:val="008E1506"/>
    <w:rsid w:val="008E710C"/>
    <w:rsid w:val="008F69D6"/>
    <w:rsid w:val="00902823"/>
    <w:rsid w:val="00915CA6"/>
    <w:rsid w:val="00922E06"/>
    <w:rsid w:val="00927834"/>
    <w:rsid w:val="009500A6"/>
    <w:rsid w:val="00957878"/>
    <w:rsid w:val="00957C18"/>
    <w:rsid w:val="009659BA"/>
    <w:rsid w:val="0096739E"/>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0DA"/>
    <w:rsid w:val="00AA74E0"/>
    <w:rsid w:val="00AB703F"/>
    <w:rsid w:val="00AC6BB8"/>
    <w:rsid w:val="00AD4C7D"/>
    <w:rsid w:val="00AE008F"/>
    <w:rsid w:val="00B01FCD"/>
    <w:rsid w:val="00B05CD3"/>
    <w:rsid w:val="00B1776C"/>
    <w:rsid w:val="00B52583"/>
    <w:rsid w:val="00B52896"/>
    <w:rsid w:val="00B95236"/>
    <w:rsid w:val="00B96BD9"/>
    <w:rsid w:val="00BA1B01"/>
    <w:rsid w:val="00BA2641"/>
    <w:rsid w:val="00BB37AA"/>
    <w:rsid w:val="00BC53A0"/>
    <w:rsid w:val="00BE62AD"/>
    <w:rsid w:val="00BF121F"/>
    <w:rsid w:val="00BF1F80"/>
    <w:rsid w:val="00C166EF"/>
    <w:rsid w:val="00C17EB0"/>
    <w:rsid w:val="00C2233E"/>
    <w:rsid w:val="00C27F5F"/>
    <w:rsid w:val="00C30A0F"/>
    <w:rsid w:val="00C37E61"/>
    <w:rsid w:val="00C70F1B"/>
    <w:rsid w:val="00C71A47"/>
    <w:rsid w:val="00C7464C"/>
    <w:rsid w:val="00C85588"/>
    <w:rsid w:val="00C93CAA"/>
    <w:rsid w:val="00CA0229"/>
    <w:rsid w:val="00CD6755"/>
    <w:rsid w:val="00CD6856"/>
    <w:rsid w:val="00CE0089"/>
    <w:rsid w:val="00CE3BA6"/>
    <w:rsid w:val="00CE793C"/>
    <w:rsid w:val="00CF193C"/>
    <w:rsid w:val="00D056E6"/>
    <w:rsid w:val="00D173F1"/>
    <w:rsid w:val="00D36784"/>
    <w:rsid w:val="00D74CB0"/>
    <w:rsid w:val="00D8295D"/>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C6A55"/>
    <w:rsid w:val="00ED0288"/>
    <w:rsid w:val="00EE17F9"/>
    <w:rsid w:val="00EE52CB"/>
    <w:rsid w:val="00EF581D"/>
    <w:rsid w:val="00EF7FD8"/>
    <w:rsid w:val="00F06F59"/>
    <w:rsid w:val="00F17988"/>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03C82E"/>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pPr>
      <w:spacing w:after="100" w:line="276" w:lineRule="auto"/>
    </w:pPr>
    <w:rPr>
      <w:rFonts w:ascii="Arial" w:hAnsi="Arial"/>
      <w:color w:val="000000"/>
    </w:rPr>
  </w:style>
  <w:style w:type="paragraph" w:styleId="Heading1">
    <w:name w:val="heading 1"/>
    <w:basedOn w:val="Normal"/>
    <w:next w:val="Normal"/>
    <w:qFormat/>
    <w:rsid w:val="00423789"/>
    <w:pPr>
      <w:keepNext/>
      <w:spacing w:before="180"/>
      <w:outlineLvl w:val="0"/>
    </w:pPr>
    <w:rPr>
      <w:b/>
      <w:kern w:val="2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keepNext/>
      <w:spacing w:after="1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customStyle="1" w:styleId="Heading21">
    <w:name w:val="Heading 21"/>
    <w:pPr>
      <w:keepNext/>
      <w:spacing w:before="180" w:after="100" w:line="276" w:lineRule="auto"/>
    </w:pPr>
    <w:rPr>
      <w:rFonts w:ascii="Arial" w:hAnsi="Arial"/>
      <w:b/>
      <w:color w:val="000000"/>
      <w:sz w:val="22"/>
    </w:rPr>
  </w:style>
  <w:style w:type="paragraph" w:customStyle="1" w:styleId="Caption1">
    <w:name w:val="Caption1"/>
    <w:pPr>
      <w:spacing w:after="100" w:line="276" w:lineRule="auto"/>
    </w:pPr>
    <w:rPr>
      <w:rFonts w:ascii="Arial" w:hAnsi="Arial"/>
      <w:color w:val="000000"/>
    </w:rPr>
  </w:style>
  <w:style w:type="paragraph" w:styleId="ListParagraph">
    <w:name w:val="List Paragraph"/>
    <w:basedOn w:val="Normal"/>
    <w:uiPriority w:val="34"/>
    <w:qFormat/>
    <w:rsid w:val="00850F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109/TPEL.2020.3040499" TargetMode="External"/><Relationship Id="rId18" Type="http://schemas.openxmlformats.org/officeDocument/2006/relationships/hyperlink" Target="https://doi.org/10.3390/wevj16060330" TargetMode="External"/><Relationship Id="rId26" Type="http://schemas.openxmlformats.org/officeDocument/2006/relationships/hyperlink" Target="https://doi.org/10.1109/TPEL.2020.3023469" TargetMode="External"/><Relationship Id="rId3" Type="http://schemas.openxmlformats.org/officeDocument/2006/relationships/styles" Target="styles.xml"/><Relationship Id="rId21" Type="http://schemas.openxmlformats.org/officeDocument/2006/relationships/hyperlink" Target="https://doi.org/10.1109/JAS.2025.125159"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3390/s20133740" TargetMode="External"/><Relationship Id="rId17" Type="http://schemas.openxmlformats.org/officeDocument/2006/relationships/hyperlink" Target="https://doi.org/10.3390/en18174743" TargetMode="External"/><Relationship Id="rId25" Type="http://schemas.openxmlformats.org/officeDocument/2006/relationships/hyperlink" Target="https://doi.org/10.1016/j.microrel.2025.115873"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16/j.meaene.2026.100097" TargetMode="External"/><Relationship Id="rId20" Type="http://schemas.openxmlformats.org/officeDocument/2006/relationships/hyperlink" Target="https://doi.org/10.1016/j.compeleceng.2024.109577"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90/metrology6020025" TargetMode="External"/><Relationship Id="rId24" Type="http://schemas.openxmlformats.org/officeDocument/2006/relationships/hyperlink" Target="https://doi.org/10.1109/TPEL.2020.3042218"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doi.org/10.1016/j.microrel.2023.115003" TargetMode="External"/><Relationship Id="rId23" Type="http://schemas.openxmlformats.org/officeDocument/2006/relationships/hyperlink" Target="https://doi.org/10.1109/TIA.2014.2308357" TargetMode="External"/><Relationship Id="rId28" Type="http://schemas.openxmlformats.org/officeDocument/2006/relationships/header" Target="header2.xml"/><Relationship Id="rId10" Type="http://schemas.openxmlformats.org/officeDocument/2006/relationships/hyperlink" Target="https://doi.org/10.1109/OJPEL.2024.3387829" TargetMode="External"/><Relationship Id="rId19" Type="http://schemas.openxmlformats.org/officeDocument/2006/relationships/hyperlink" Target="https://doi.org/10.1109/ACCESS.2023.3336986"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3390/en18051119" TargetMode="External"/><Relationship Id="rId22" Type="http://schemas.openxmlformats.org/officeDocument/2006/relationships/hyperlink" Target="https://doi.org/10.1016/j.est.2025.117954" TargetMode="External"/><Relationship Id="rId27" Type="http://schemas.openxmlformats.org/officeDocument/2006/relationships/header" Target="header1.xml"/><Relationship Id="rId30"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23</TotalTime>
  <Pages>19</Pages>
  <Words>8343</Words>
  <Characters>47561</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55793</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Reliability and Condition Monitoring of DC-Link Capacitors in Power Electronic Converters</dc:title>
  <dc:creator>Neha Singh</dc:creator>
  <cp:lastModifiedBy>SDI 1065</cp:lastModifiedBy>
  <cp:revision>36</cp:revision>
  <cp:lastPrinted>1999-07-06T11:00:00Z</cp:lastPrinted>
  <dcterms:created xsi:type="dcterms:W3CDTF">2014-10-25T14:34:00Z</dcterms:created>
  <dcterms:modified xsi:type="dcterms:W3CDTF">2026-10-10T05:10:00Z</dcterms:modified>
</cp:coreProperties>
</file>