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42FF9" w14:textId="6E3669EE" w:rsidR="008A5DA3" w:rsidRDefault="008A5DA3">
      <w:pPr>
        <w:pStyle w:val="Title"/>
        <w:spacing w:line="269" w:lineRule="auto"/>
        <w:jc w:val="center"/>
      </w:pPr>
      <w:r w:rsidRPr="008A5DA3">
        <w:t>Review Article</w:t>
      </w:r>
    </w:p>
    <w:p w14:paraId="00C088C3" w14:textId="77777777" w:rsidR="008A5DA3" w:rsidRDefault="008A5DA3">
      <w:pPr>
        <w:pStyle w:val="Title"/>
        <w:spacing w:line="269" w:lineRule="auto"/>
        <w:jc w:val="center"/>
      </w:pPr>
    </w:p>
    <w:p w14:paraId="450CBA9D" w14:textId="0251373B" w:rsidR="00172353" w:rsidRDefault="00000000">
      <w:pPr>
        <w:pStyle w:val="Title"/>
        <w:spacing w:line="269" w:lineRule="auto"/>
        <w:jc w:val="center"/>
      </w:pPr>
      <w:r>
        <w:t>Dynamic On-Resistance and Charge Trapping in Gallium Nitride Power Devices</w:t>
      </w:r>
    </w:p>
    <w:p w14:paraId="000569FF" w14:textId="77777777" w:rsidR="006D7842" w:rsidRDefault="006D7842">
      <w:pPr>
        <w:pStyle w:val="Title"/>
        <w:spacing w:line="269" w:lineRule="auto"/>
        <w:jc w:val="center"/>
      </w:pPr>
    </w:p>
    <w:p w14:paraId="3E855D9A" w14:textId="77777777" w:rsidR="00172353" w:rsidRDefault="00000000">
      <w:pPr>
        <w:pStyle w:val="Heading1"/>
        <w:spacing w:line="264" w:lineRule="auto"/>
      </w:pPr>
      <w:r>
        <w:t>ABSTRACT</w:t>
      </w:r>
    </w:p>
    <w:p w14:paraId="725B861A" w14:textId="77777777" w:rsidR="00437AA4" w:rsidRDefault="00437AA4" w:rsidP="003464E9">
      <w:pPr>
        <w:pStyle w:val="NormalWeb"/>
        <w:jc w:val="both"/>
      </w:pPr>
      <w:r>
        <w:rPr>
          <w:rStyle w:val="Strong"/>
        </w:rPr>
        <w:t>Aims:</w:t>
      </w:r>
      <w:r>
        <w:t xml:space="preserve"> This review examines how charge trapping and electrical stress history influence dynamic on-resistance in gallium nitride power devices and considers the implications for measurement and converter-loss estimation.</w:t>
      </w:r>
    </w:p>
    <w:p w14:paraId="3C3480C4" w14:textId="77777777" w:rsidR="00437AA4" w:rsidRDefault="00437AA4" w:rsidP="003464E9">
      <w:pPr>
        <w:pStyle w:val="NormalWeb"/>
        <w:jc w:val="both"/>
      </w:pPr>
      <w:r>
        <w:rPr>
          <w:rStyle w:val="Strong"/>
        </w:rPr>
        <w:t>Study design:</w:t>
      </w:r>
      <w:r>
        <w:t xml:space="preserve"> A focused narrative review </w:t>
      </w:r>
      <w:proofErr w:type="spellStart"/>
      <w:r>
        <w:t>synthesising</w:t>
      </w:r>
      <w:proofErr w:type="spellEnd"/>
      <w:r>
        <w:t xml:space="preserve"> device-level mechanisms, pulsed and continuous-switching measurements, and converter-oriented interpretation.</w:t>
      </w:r>
    </w:p>
    <w:p w14:paraId="453CB9A4" w14:textId="77777777" w:rsidR="00437AA4" w:rsidRDefault="00437AA4" w:rsidP="003464E9">
      <w:pPr>
        <w:pStyle w:val="NormalWeb"/>
        <w:jc w:val="both"/>
      </w:pPr>
      <w:r>
        <w:rPr>
          <w:rStyle w:val="Strong"/>
        </w:rPr>
        <w:t>Methodology:</w:t>
      </w:r>
      <w:r>
        <w:t xml:space="preserve"> Published journal studies were compared according to device architecture, stress conditions, measurement timing, reported findings and limitations on transferring results. Targeted literature searches were updated on 8 October 2026. No new device experiments or pooled quantitative analysis were undertaken.</w:t>
      </w:r>
    </w:p>
    <w:p w14:paraId="45AAABA2" w14:textId="77777777" w:rsidR="00437AA4" w:rsidRDefault="00437AA4" w:rsidP="003464E9">
      <w:pPr>
        <w:pStyle w:val="NormalWeb"/>
        <w:jc w:val="both"/>
      </w:pPr>
      <w:r>
        <w:rPr>
          <w:rStyle w:val="Strong"/>
        </w:rPr>
        <w:t>Findings:</w:t>
      </w:r>
      <w:r>
        <w:t xml:space="preserve"> The reviewed evidence associates dynamic on-resistance with charge trapping in buffer, surface and gate-related regions, together with temperature and preceding bias conditions. Reported resistance changes depend on the applied blocking voltage, gate bias, pulse sequence, sampling delay and reference-resistance definition. Double-pulse tests reveal responses after defined stress intervals, whereas continuous-switching measurements examine the effects of repeated electrical histories. The relationship with voltage or switching frequency is not necessarily monotonic and cannot be assumed to be transferable between device architectures. Measurement artefacts and thermal effects can also influence the reported resistance ratio. Consequently, a single dynamic-resistance multiplier does not adequately represent all converter operating conditions.</w:t>
      </w:r>
    </w:p>
    <w:p w14:paraId="3F8744A3" w14:textId="77777777" w:rsidR="00437AA4" w:rsidRDefault="00437AA4" w:rsidP="003464E9">
      <w:pPr>
        <w:pStyle w:val="NormalWeb"/>
        <w:jc w:val="both"/>
      </w:pPr>
      <w:r>
        <w:rPr>
          <w:rStyle w:val="Strong"/>
        </w:rPr>
        <w:t>Conclusion:</w:t>
      </w:r>
      <w:r>
        <w:t xml:space="preserve"> Dynamic on-resistance should be </w:t>
      </w:r>
      <w:proofErr w:type="spellStart"/>
      <w:r>
        <w:t>characterised</w:t>
      </w:r>
      <w:proofErr w:type="spellEnd"/>
      <w:r>
        <w:t xml:space="preserve"> using reproducible, device-specific procedures that document electrical history, measurement uncertainty and thermal conditions. Converter-loss estimates should reflect the relevant current waveform and switching sequence rather than relying exclusively on static resistance values.</w:t>
      </w:r>
    </w:p>
    <w:p w14:paraId="4DC4BE81" w14:textId="77777777" w:rsidR="008C067E" w:rsidRDefault="00000000" w:rsidP="008C067E">
      <w:pPr>
        <w:pStyle w:val="NormalWeb"/>
      </w:pPr>
      <w:r>
        <w:lastRenderedPageBreak/>
        <w:t xml:space="preserve">Keywords: </w:t>
      </w:r>
      <w:r w:rsidR="008C067E">
        <w:t>Gallium nitride; high-electron-mobility transistors; dynamic on-resistance; charge trapping; current collapse; buffer trapping; gate instability; double-pulse testing; continuous switching; converter conduction loss.</w:t>
      </w:r>
    </w:p>
    <w:p w14:paraId="69EBC3B2" w14:textId="0FCD29EA" w:rsidR="00172353" w:rsidRDefault="00172353">
      <w:pPr>
        <w:pStyle w:val="Body"/>
      </w:pPr>
    </w:p>
    <w:p w14:paraId="7D463285" w14:textId="77777777" w:rsidR="007F1AA8" w:rsidRDefault="007F1AA8">
      <w:pPr>
        <w:pStyle w:val="Body"/>
      </w:pPr>
    </w:p>
    <w:p w14:paraId="14BF7D0D" w14:textId="77777777" w:rsidR="00172353" w:rsidRDefault="00000000">
      <w:pPr>
        <w:pStyle w:val="Heading1"/>
        <w:spacing w:line="264" w:lineRule="auto"/>
      </w:pPr>
      <w:r>
        <w:t>1. INTRODUCTION</w:t>
      </w:r>
    </w:p>
    <w:p w14:paraId="0A285822" w14:textId="0E9E9242" w:rsidR="005E3049" w:rsidRPr="009E619F" w:rsidRDefault="00000000">
      <w:pPr>
        <w:pStyle w:val="Body"/>
        <w:rPr>
          <w:bCs/>
        </w:rPr>
      </w:pPr>
      <w:proofErr w:type="spellStart"/>
      <w:r>
        <w:t>GaN</w:t>
      </w:r>
      <w:proofErr w:type="spellEnd"/>
      <w:r>
        <w:t xml:space="preserve"> HEMTs support high-frequency switching because of low charge and high carrier transport capability. </w:t>
      </w:r>
      <w:r>
        <w:rPr>
          <w:highlight w:val="yellow"/>
        </w:rPr>
        <w:t>These devices can nevertheless show</w:t>
      </w:r>
      <w:r>
        <w:t xml:space="preserve"> higher on-state resistance after turn-on than its dc value. This dynamic on-resistance increases conduction loss and can alter thermal design. Yang et al. (2019) connect the phenomenon to buffer traps, surface traps and gate instability.</w:t>
      </w:r>
      <w:r w:rsidR="009E619F">
        <w:t xml:space="preserve"> </w:t>
      </w:r>
      <w:r w:rsidRPr="009E619F">
        <w:rPr>
          <w:bCs/>
          <w:highlight w:val="yellow"/>
        </w:rPr>
        <w:t xml:space="preserve">An earlier investigation of </w:t>
      </w:r>
      <w:proofErr w:type="spellStart"/>
      <w:r w:rsidRPr="009E619F">
        <w:rPr>
          <w:bCs/>
          <w:highlight w:val="yellow"/>
        </w:rPr>
        <w:t>GaN</w:t>
      </w:r>
      <w:proofErr w:type="spellEnd"/>
      <w:r w:rsidRPr="009E619F">
        <w:rPr>
          <w:bCs/>
          <w:highlight w:val="yellow"/>
        </w:rPr>
        <w:t>-based transistor driving circuits considered the device characteristics and gate-drive requirements relevant to practical power conversion (Ma &amp; Gu, 2016).</w:t>
      </w:r>
    </w:p>
    <w:p w14:paraId="7E50BA5C" w14:textId="745DB322" w:rsidR="005E3049" w:rsidRPr="009E619F" w:rsidRDefault="00000000">
      <w:pPr>
        <w:pStyle w:val="Body"/>
        <w:rPr>
          <w:bCs/>
        </w:rPr>
      </w:pPr>
      <w:r>
        <w:t xml:space="preserve">The distinction between static and dynamic resistance becomes important when a </w:t>
      </w:r>
      <w:proofErr w:type="spellStart"/>
      <w:r>
        <w:t>GaN</w:t>
      </w:r>
      <w:proofErr w:type="spellEnd"/>
      <w:r>
        <w:t xml:space="preserve"> transistor is used as a fast commutation device. Static RON is measured after a defined low-voltage bias and thermal settling sequence, whereas dynamic RON reflects the electrical history immediately preceding the on-state measurement. The two values can lead to different conduction-loss estimates even when the gate voltage and current are nominally </w:t>
      </w:r>
      <w:proofErr w:type="spellStart"/>
      <w:proofErr w:type="gramStart"/>
      <w:r>
        <w:t>identical.</w:t>
      </w:r>
      <w:r w:rsidRPr="009E619F">
        <w:rPr>
          <w:bCs/>
          <w:highlight w:val="yellow"/>
        </w:rPr>
        <w:t>Investigations</w:t>
      </w:r>
      <w:proofErr w:type="spellEnd"/>
      <w:proofErr w:type="gramEnd"/>
      <w:r w:rsidRPr="009E619F">
        <w:rPr>
          <w:bCs/>
          <w:highlight w:val="yellow"/>
        </w:rPr>
        <w:t xml:space="preserve"> of gate-injection </w:t>
      </w:r>
      <w:proofErr w:type="spellStart"/>
      <w:r w:rsidRPr="009E619F">
        <w:rPr>
          <w:bCs/>
          <w:highlight w:val="yellow"/>
        </w:rPr>
        <w:t>GaN</w:t>
      </w:r>
      <w:proofErr w:type="spellEnd"/>
      <w:r w:rsidRPr="009E619F">
        <w:rPr>
          <w:bCs/>
          <w:highlight w:val="yellow"/>
        </w:rPr>
        <w:t xml:space="preserve"> HEMTs under gate-overdrive stress have also associated threshold-voltage instability with changes in electron and hole trap populations (Ning et al., 2025).</w:t>
      </w:r>
    </w:p>
    <w:p w14:paraId="77A0FAF1" w14:textId="3600934D" w:rsidR="005E3049" w:rsidRPr="009E619F" w:rsidRDefault="00000000">
      <w:pPr>
        <w:pStyle w:val="Body"/>
        <w:rPr>
          <w:bCs/>
        </w:rPr>
      </w:pPr>
      <w:r>
        <w:rPr>
          <w:highlight w:val="yellow"/>
        </w:rPr>
        <w:t>At the converter level,</w:t>
      </w:r>
      <w:r>
        <w:t xml:space="preserve"> a temporary increase in RON raises conduction loss during the same interval in which switching stress may already be high. The additional loss changes junction temperature, and temperature changes trap emission, threshold voltage and carrier mobility. Dynamic resistance should therefore be treated as a state variable of the device and not as a fixed correction factor applied to a data-sheet value.</w:t>
      </w:r>
      <w:r w:rsidR="009E619F">
        <w:t xml:space="preserve"> </w:t>
      </w:r>
      <w:r w:rsidRPr="009E619F">
        <w:rPr>
          <w:bCs/>
          <w:highlight w:val="yellow"/>
        </w:rPr>
        <w:t>Power-cycling tests on p-</w:t>
      </w:r>
      <w:proofErr w:type="spellStart"/>
      <w:r w:rsidRPr="009E619F">
        <w:rPr>
          <w:bCs/>
          <w:highlight w:val="yellow"/>
        </w:rPr>
        <w:t>GaN</w:t>
      </w:r>
      <w:proofErr w:type="spellEnd"/>
      <w:r w:rsidRPr="009E619F">
        <w:rPr>
          <w:bCs/>
          <w:highlight w:val="yellow"/>
        </w:rPr>
        <w:t>-gate HEMTs have shown that dynamic on-resistance and detected trap populations can evolve together during repeated electrical and thermal stress (Pan et al., 2026).</w:t>
      </w:r>
    </w:p>
    <w:p w14:paraId="75C7E88F" w14:textId="77777777" w:rsidR="005E3049" w:rsidRPr="009E619F" w:rsidRDefault="00000000">
      <w:pPr>
        <w:pStyle w:val="Body"/>
        <w:rPr>
          <w:bCs/>
        </w:rPr>
      </w:pPr>
      <w:r w:rsidRPr="009E619F">
        <w:rPr>
          <w:bCs/>
          <w:highlight w:val="yellow"/>
        </w:rPr>
        <w:t>Converter-oriented reliability testing has additionally incorporated inline dynamic on-resistance monitoring during repeated drain-voltage ringing, allowing resistance changes to be observed throughout the specified stress sequence (Muhammed Ajmal et al., 2026).</w:t>
      </w:r>
    </w:p>
    <w:p w14:paraId="11319D47" w14:textId="77777777" w:rsidR="005E3049" w:rsidRPr="009E619F" w:rsidRDefault="00000000">
      <w:pPr>
        <w:pStyle w:val="Body"/>
        <w:rPr>
          <w:bCs/>
        </w:rPr>
      </w:pPr>
      <w:r w:rsidRPr="009E619F">
        <w:rPr>
          <w:bCs/>
          <w:highlight w:val="yellow"/>
        </w:rPr>
        <w:t>However, differences in device architecture, stress history and sampling conditions continue to limit the direct comparison of reported dynamic-resistance values and their transfer to converter-loss estimates. This indicates a need to interpret measurement results within clearly defined device and operating conditions.</w:t>
      </w:r>
    </w:p>
    <w:p w14:paraId="376B72DA" w14:textId="77777777" w:rsidR="005E3049" w:rsidRDefault="00000000">
      <w:pPr>
        <w:pStyle w:val="Body"/>
      </w:pPr>
      <w:r>
        <w:t>The objective is to connect device mechanisms with the measurement conditions needed for a defensible converter-loss interpretation. The review compares architecture-dependent trapping, separates transient recovery from ageing and identifies where quantitative results cannot be transferred. Its contribution is a structured comparison of evidence and reporting requirements, rather than a universal resistance multiplier or a newly fitted device model.</w:t>
      </w:r>
    </w:p>
    <w:p w14:paraId="3021E8AB" w14:textId="77777777" w:rsidR="00172353" w:rsidRDefault="00000000">
      <w:pPr>
        <w:pStyle w:val="Heading1"/>
        <w:spacing w:line="264" w:lineRule="auto"/>
      </w:pPr>
      <w:r>
        <w:lastRenderedPageBreak/>
        <w:t>2. REVIEW APPROACH AND EVIDENCE BOUNDARIES</w:t>
      </w:r>
    </w:p>
    <w:p w14:paraId="1FE7A8F0" w14:textId="77777777" w:rsidR="00172353" w:rsidRDefault="00000000">
      <w:pPr>
        <w:pStyle w:val="Body"/>
      </w:pPr>
      <w:r>
        <w:t xml:space="preserve">This focused narrative review was updated on 8 October 2026 through targeted web searches of publisher records and institutional repositories, with bibliographic checks against Crossref. Publisher sources included IEEE, Wiley, Elsevier and MDPI; source availability varied, and no exhaustive search of Scopus or Web of Science is claimed. </w:t>
      </w:r>
      <w:r>
        <w:rPr>
          <w:highlight w:val="yellow"/>
        </w:rPr>
        <w:t>Search combinations included</w:t>
      </w:r>
      <w:r>
        <w:t xml:space="preserve"> GaN dynamic on resistance AND charge trapping; carbon iron buffer AND GaN; p-GaN AND hard switching; MIS-HEMT passivation; cascode dynamic resistance; trap compact model AND ageing. Reference follow-up was used to locate related studies. The search was purposive rather than a prospectively registered systematic review.</w:t>
      </w:r>
    </w:p>
    <w:p w14:paraId="1548B73D" w14:textId="77777777" w:rsidR="00172353" w:rsidRDefault="00000000">
      <w:pPr>
        <w:pStyle w:val="Body"/>
      </w:pPr>
      <w:r>
        <w:t>The retained set contains 18 published journal articles. Inclusion required direct relevance to the stated review question, an identifiable publication record and sufficient accessible information to support the claim extracted. The update prioritised 2024–2026 publications, retaining older studies for foundational mechanisms or methods. Duplicate records, unrelated applications without a transferable mechanism, conference-only reports and unverified claims were excluded. Source selection did not use a numerical quality score; inaccessible details were not inferred from article titles.</w:t>
      </w:r>
    </w:p>
    <w:p w14:paraId="21AA4D8B" w14:textId="77777777" w:rsidR="00172353" w:rsidRDefault="00000000">
      <w:pPr>
        <w:pStyle w:val="Body"/>
      </w:pPr>
      <w:r>
        <w:t>For each study, the synthesis records the device or converter structure, measurement or modelling approach, reported operating conditions, principal result and transfer limitation. Quantitative claims are retained only with an attributable source and a clear evidence level. Full text, publisher abstracts and institutional records were consulted according to availability; abstract-only evidence supports only the explicitly reported findings. Heterogeneous hardware, sampling windows and performance definitions prevent a pooled numerical ranking. Bibliographic metadata were checked separately from scientific claims.</w:t>
      </w:r>
    </w:p>
    <w:p w14:paraId="1D6D91AF" w14:textId="77777777" w:rsidR="00172353" w:rsidRDefault="00000000">
      <w:pPr>
        <w:pStyle w:val="Body"/>
      </w:pPr>
      <w:r>
        <w:t>No exhaustive screening counts, formal risk-of-bias assessment or meta-analysis are claimed. Selection and access limitations can leave relevant or conflicting studies unrepresented. The tables distinguish reported measurements from simulations and the authors’ engineering interpretation. Explanatory equations and proposed assessment workflows are not new experimental results. No unpublished converter data or new device experiments are included.</w:t>
      </w:r>
    </w:p>
    <w:p w14:paraId="0F7AA54B" w14:textId="77777777" w:rsidR="00172353" w:rsidRDefault="00000000">
      <w:pPr>
        <w:pStyle w:val="Heading1"/>
        <w:spacing w:line="264" w:lineRule="auto"/>
      </w:pPr>
      <w:r>
        <w:t>3. PHYSICAL ORIGINS</w:t>
      </w:r>
    </w:p>
    <w:p w14:paraId="6F23E2FE" w14:textId="77777777" w:rsidR="00172353" w:rsidRDefault="00000000">
      <w:pPr>
        <w:pStyle w:val="Body"/>
      </w:pPr>
      <w:r>
        <w:t xml:space="preserve">Off-state drain bias can populate traps in the buffer or surface region. During turn-on, trapped charge reduces available channel charge and produces current collapse. Gate stress can shift threshold voltage and change on-state voltage. The response depends on capture and </w:t>
      </w:r>
      <w:proofErr w:type="spellStart"/>
      <w:r>
        <w:t>detrapping</w:t>
      </w:r>
      <w:proofErr w:type="spellEnd"/>
      <w:r>
        <w:t xml:space="preserve"> time constants, field distribution and temperature.</w:t>
      </w:r>
    </w:p>
    <w:p w14:paraId="4EC825AE" w14:textId="77777777" w:rsidR="00172353" w:rsidRDefault="00000000">
      <w:pPr>
        <w:pStyle w:val="Body"/>
      </w:pPr>
      <w:r>
        <w:t xml:space="preserve">Charge trapping can occur at the surface, in buffer layers, near the barrier or around field-management structures. The observable effect depends on the energy distribution and density of traps, </w:t>
      </w:r>
      <w:r>
        <w:rPr>
          <w:highlight w:val="yellow"/>
        </w:rPr>
        <w:t>the electric field during the off-state and the time available</w:t>
      </w:r>
      <w:r>
        <w:t xml:space="preserve"> for capture and emission. A device may consequently show a rapid transient increase followed by partial recovery, or a slower memory effect that persists across switching cycles.</w:t>
      </w:r>
    </w:p>
    <w:p w14:paraId="6F5A6457" w14:textId="77777777" w:rsidR="00172353" w:rsidRDefault="00000000">
      <w:pPr>
        <w:pStyle w:val="Body"/>
      </w:pPr>
      <w:r>
        <w:t xml:space="preserve">The measured on-state voltage contains contributions from the channel, access regions, contacts, package resistance and the measurement loop. Separating these terms requires a carefully defined current path and, when possible, a reference measurement at low drain </w:t>
      </w:r>
      <w:r>
        <w:lastRenderedPageBreak/>
        <w:t>stress. Otherwise, an apparent dynamic RON increase may include probe inductance, common-source inductance, clamp recovery or current-sensor delay.</w:t>
      </w:r>
    </w:p>
    <w:p w14:paraId="79C85F87" w14:textId="77777777" w:rsidR="00172353" w:rsidRDefault="00000000">
      <w:pPr>
        <w:pStyle w:val="Body"/>
      </w:pPr>
      <w:r>
        <w:t xml:space="preserve">Temperature adds another state dependency. Higher temperature can alter carrier mobility and trap emission rates, while self-heating during the measurement changes the voltage used to calculate </w:t>
      </w:r>
      <w:proofErr w:type="spellStart"/>
      <w:proofErr w:type="gramStart"/>
      <w:r>
        <w:t>RON,dyn</w:t>
      </w:r>
      <w:proofErr w:type="spellEnd"/>
      <w:proofErr w:type="gramEnd"/>
      <w:r>
        <w:t>. A useful protocol either limits the pulse energy enough to keep temperature nearly constant or records the temperature trajectory and incorporates it into the interpretation.</w:t>
      </w:r>
    </w:p>
    <w:p w14:paraId="1705BD0D" w14:textId="77777777" w:rsidR="00172353" w:rsidRDefault="00000000">
      <w:pPr>
        <w:pStyle w:val="Body"/>
      </w:pPr>
      <w:r>
        <w:t xml:space="preserve">The relation </w:t>
      </w:r>
      <w:proofErr w:type="spellStart"/>
      <w:proofErr w:type="gramStart"/>
      <w:r>
        <w:t>RON,dyn</w:t>
      </w:r>
      <w:proofErr w:type="spellEnd"/>
      <w:proofErr w:type="gramEnd"/>
      <w:r>
        <w:t xml:space="preserve"> = </w:t>
      </w:r>
      <w:proofErr w:type="spellStart"/>
      <w:proofErr w:type="gramStart"/>
      <w:r>
        <w:t>VDS,on</w:t>
      </w:r>
      <w:proofErr w:type="spellEnd"/>
      <w:proofErr w:type="gramEnd"/>
      <w:r>
        <w:t xml:space="preserve"> / ID is therefore an operational definition. It becomes meaningful only after the sampling instant, bandwidth, voltage reference, current reference and allowed transient have been specified. Reporting only a ratio without the sampling window can hide the most important difference between two experiments. Zulauf et al. (2020a) discuss the importance of a consistent </w:t>
      </w:r>
      <w:proofErr w:type="spellStart"/>
      <w:r>
        <w:t>characterisation</w:t>
      </w:r>
      <w:proofErr w:type="spellEnd"/>
      <w:r>
        <w:t xml:space="preserve"> framework.</w:t>
      </w:r>
    </w:p>
    <w:p w14:paraId="52324AB4" w14:textId="77777777" w:rsidR="00172353" w:rsidRDefault="00000000">
      <w:pPr>
        <w:pStyle w:val="Heading21"/>
        <w:spacing w:line="264" w:lineRule="auto"/>
      </w:pPr>
      <w:r>
        <w:t>3.1 Charge occupancy and the electrical meaning of memory</w:t>
      </w:r>
    </w:p>
    <w:p w14:paraId="6E68B0F5" w14:textId="77777777" w:rsidR="00172353" w:rsidRDefault="00000000">
      <w:pPr>
        <w:pStyle w:val="Body"/>
      </w:pPr>
      <w:r>
        <w:t xml:space="preserve">The term dynamic on-resistance describes a state-dependent electrical response, rather than a second fixed resistance that can be read independently of the test sequence. A trap can capture or release charge as the local electric field, carrier population and temperature change. The resulting charge alters the electrostatic environment experienced by the conducting channel. Consequently, two measurements taken </w:t>
      </w:r>
      <w:r>
        <w:rPr>
          <w:highlight w:val="yellow"/>
        </w:rPr>
        <w:t>at identical terminal voltages and currents</w:t>
      </w:r>
      <w:r>
        <w:t xml:space="preserve"> can differ if the preceding bias history differs. Yang et al. (2019) </w:t>
      </w:r>
      <w:proofErr w:type="spellStart"/>
      <w:r>
        <w:t>organise</w:t>
      </w:r>
      <w:proofErr w:type="spellEnd"/>
      <w:r>
        <w:t xml:space="preserve"> the problem around buffer trapping, surface trapping and gate instability. These mechanisms should be distinguished because they imply different stress conditions and different routes for mitigation.</w:t>
      </w:r>
    </w:p>
    <w:p w14:paraId="4159917A" w14:textId="77777777" w:rsidR="00172353" w:rsidRDefault="00000000">
      <w:pPr>
        <w:pStyle w:val="Body"/>
      </w:pPr>
      <w:r>
        <w:t>A simple explanatory occupancy model is dx/dt = (1 − x)/</w:t>
      </w:r>
      <w:proofErr w:type="spellStart"/>
      <w:r>
        <w:t>τ_c</w:t>
      </w:r>
      <w:proofErr w:type="spellEnd"/>
      <w:r>
        <w:t xml:space="preserve"> − x/</w:t>
      </w:r>
      <w:proofErr w:type="spellStart"/>
      <w:r>
        <w:t>τ_e</w:t>
      </w:r>
      <w:proofErr w:type="spellEnd"/>
      <w:r>
        <w:t xml:space="preserve">, where x is the occupied fraction of a trap population and </w:t>
      </w:r>
      <w:proofErr w:type="spellStart"/>
      <w:r>
        <w:t>τ_c</w:t>
      </w:r>
      <w:proofErr w:type="spellEnd"/>
      <w:r>
        <w:t xml:space="preserve"> and </w:t>
      </w:r>
      <w:proofErr w:type="spellStart"/>
      <w:r>
        <w:t>τ_e</w:t>
      </w:r>
      <w:proofErr w:type="spellEnd"/>
      <w:r>
        <w:t xml:space="preserve"> are capture and emission time constants under a specified bias and temperature. This expression is a conceptual rate model; it is not a fitted result for the devices reviewed here. Under changing bias, its coefficients change, and several populations can contribute simultaneously. A resistance model might then contain a term proportional to one or more occupancy variables. The usefulness of such a model lies in retaining electrical history. Its limitation is that different combinations of populations and time constants can reproduce similar terminal waveforms.</w:t>
      </w:r>
    </w:p>
    <w:p w14:paraId="242ED382" w14:textId="77777777" w:rsidR="00172353" w:rsidRDefault="00000000">
      <w:pPr>
        <w:pStyle w:val="Body"/>
      </w:pPr>
      <w:r>
        <w:t>This non-uniqueness matters when interpreting a recovery curve. A multiexponential fit can describe the observation without uniquely identifying the physical trap location or energy. A change in current can also include temperature relaxation, access-region electrostatics or a threshold-voltage shift. Additional experiments are therefore needed to distinguish mechanisms. Drain stress, gate stress, temperature sweeps and suitable optical or spectroscopic measurements probe different aspects of the problem. Zou et al. (2023) review trap-</w:t>
      </w:r>
      <w:proofErr w:type="spellStart"/>
      <w:r>
        <w:t>characterisation</w:t>
      </w:r>
      <w:proofErr w:type="spellEnd"/>
      <w:r>
        <w:t xml:space="preserve"> methods and their scopes. Their classification supports using complementary measurements rather than assigning every resistance transient to one assumed trap solely because a fitted time constant appears plausible.</w:t>
      </w:r>
    </w:p>
    <w:p w14:paraId="3374E211" w14:textId="77777777" w:rsidR="00172353" w:rsidRDefault="00000000">
      <w:pPr>
        <w:pStyle w:val="Heading21"/>
        <w:spacing w:line="264" w:lineRule="auto"/>
      </w:pPr>
      <w:r>
        <w:t>3.2 Why off-state voltage does not give a universal monotonic trend</w:t>
      </w:r>
    </w:p>
    <w:p w14:paraId="261176BA" w14:textId="77777777" w:rsidR="00172353" w:rsidRDefault="00000000">
      <w:pPr>
        <w:pStyle w:val="Body"/>
      </w:pPr>
      <w:r>
        <w:t xml:space="preserve">The intuitive expectation that </w:t>
      </w:r>
      <w:r>
        <w:rPr>
          <w:highlight w:val="yellow"/>
        </w:rPr>
        <w:t>a greater blocking voltage</w:t>
      </w:r>
      <w:r>
        <w:t xml:space="preserve"> always produces greater dynamic resistance is incomplete. Wang et al. (2021) examined a commercial p-</w:t>
      </w:r>
      <w:proofErr w:type="spellStart"/>
      <w:r>
        <w:t>GaN</w:t>
      </w:r>
      <w:proofErr w:type="spellEnd"/>
      <w:r>
        <w:t>-gate device using double- and multiple-pulse tests and reported a non-monotonic dependence on off-</w:t>
      </w:r>
      <w:r>
        <w:lastRenderedPageBreak/>
        <w:t xml:space="preserve">state voltage. For their device, the highest </w:t>
      </w:r>
      <w:proofErr w:type="spellStart"/>
      <w:r>
        <w:t>normalised</w:t>
      </w:r>
      <w:proofErr w:type="spellEnd"/>
      <w:r>
        <w:t xml:space="preserve"> resistance was about 1.22 at intermediate stress voltages, while higher voltages did not produce the same degradation. Their interpretation relates the response to competing charge and leakage processes. The important lesson is not the numerical ratio, which belongs to that device and protocol, but the possibility that increased field changes both trapping and discharge pathways.</w:t>
      </w:r>
    </w:p>
    <w:p w14:paraId="07047B2A" w14:textId="77777777" w:rsidR="00172353" w:rsidRDefault="00000000">
      <w:pPr>
        <w:pStyle w:val="Body"/>
      </w:pPr>
      <w:r>
        <w:t>For a converter designer, this result changes the meaning of a single worst-case test. Testing only at the maximum bus voltage may fail to capture the largest resistance increase if the device has a non-monotonic response. A voltage sweep should therefore include intermediate points and preserve stress duration, gate bias and measurement delay. A similar caution applies to extrapolation across device families. Field plates, buffer compensation and substrate bias alter the internal field distribution, so the same external voltage need not produce the same internal stress. Gill et al. (2024) review the interaction between dynamic stress and field distribution, providing a broader context for this dependence.</w:t>
      </w:r>
    </w:p>
    <w:p w14:paraId="51F5B992" w14:textId="77777777" w:rsidR="00172353" w:rsidRDefault="00000000">
      <w:pPr>
        <w:pStyle w:val="Body"/>
      </w:pPr>
      <w:r>
        <w:t xml:space="preserve">Recent physical evidence also challenges overly local explanations of buffer charging. </w:t>
      </w:r>
      <w:proofErr w:type="spellStart"/>
      <w:r>
        <w:t>Butej</w:t>
      </w:r>
      <w:proofErr w:type="spellEnd"/>
      <w:r>
        <w:t xml:space="preserve"> et al. (2024) combined threshold-voltage and dynamic-resistance observations to examine charge redistribution during off-state stress. Their interpretation includes lateral hole transport and electron injection under the gate. </w:t>
      </w:r>
      <w:r>
        <w:rPr>
          <w:highlight w:val="yellow"/>
        </w:rPr>
        <w:t>The use of multiple terminal indicators is significant because a threshold shift</w:t>
      </w:r>
      <w:r>
        <w:t xml:space="preserve"> and access-region resistance provide different information. Nevertheless, the resulting model belongs to the investigated structure and measurement conditions. It should not be imposed unchanged on a </w:t>
      </w:r>
      <w:proofErr w:type="spellStart"/>
      <w:r>
        <w:t>cascode</w:t>
      </w:r>
      <w:proofErr w:type="spellEnd"/>
      <w:r>
        <w:t xml:space="preserve"> or another gate architecture. The study strengthens the case for structure-aware interpretation, while leaving open how many internal state variables a practical converter model </w:t>
      </w:r>
      <w:proofErr w:type="gramStart"/>
      <w:r>
        <w:t>needs</w:t>
      </w:r>
      <w:proofErr w:type="gramEnd"/>
      <w:r>
        <w:t>.</w:t>
      </w:r>
    </w:p>
    <w:p w14:paraId="5ADD0289" w14:textId="77777777" w:rsidR="00172353" w:rsidRDefault="00000000">
      <w:pPr>
        <w:pStyle w:val="Heading21"/>
        <w:spacing w:line="264" w:lineRule="auto"/>
      </w:pPr>
      <w:r>
        <w:t>3.3 Surface treatment and the limits of a material-level remedy</w:t>
      </w:r>
    </w:p>
    <w:p w14:paraId="6BB71C35" w14:textId="77777777" w:rsidR="00172353" w:rsidRDefault="00000000">
      <w:pPr>
        <w:pStyle w:val="Body"/>
      </w:pPr>
      <w:r>
        <w:t>Kim et al. (2023) compared in situ and ex situ silicon-nitride passivation in normally-on and normally-off AlGaN/</w:t>
      </w:r>
      <w:proofErr w:type="spellStart"/>
      <w:r>
        <w:t>GaN</w:t>
      </w:r>
      <w:proofErr w:type="spellEnd"/>
      <w:r>
        <w:t xml:space="preserve"> MISHEMTs. </w:t>
      </w:r>
      <w:proofErr w:type="spellStart"/>
      <w:proofErr w:type="gramStart"/>
      <w:r>
        <w:t>Their</w:t>
      </w:r>
      <w:proofErr w:type="spellEnd"/>
      <w:proofErr w:type="gramEnd"/>
      <w:r>
        <w:t xml:space="preserve"> </w:t>
      </w:r>
      <w:r>
        <w:rPr>
          <w:highlight w:val="yellow"/>
        </w:rPr>
        <w:t>in situ-passivated devices</w:t>
      </w:r>
      <w:r>
        <w:t xml:space="preserve"> showed smaller dynamic-resistance increases under the reported conditions, with different improvements in the two device configurations. This supports the role of surface and interface preparation in suppressing trapping. It does not establish that one passivation process eliminates every source of dynamic resistance. Buffer charging and gate instability can remain, and process changes can also affect leakage, threshold </w:t>
      </w:r>
      <w:proofErr w:type="spellStart"/>
      <w:r>
        <w:t>behaviour</w:t>
      </w:r>
      <w:proofErr w:type="spellEnd"/>
      <w:r>
        <w:t xml:space="preserve"> and manufacturability. The appropriate conclusion is mechanism-specific improvement, assessed alongside the other device properties.</w:t>
      </w:r>
    </w:p>
    <w:p w14:paraId="6AC2004F" w14:textId="77777777" w:rsidR="00172353" w:rsidRDefault="00000000">
      <w:pPr>
        <w:pStyle w:val="Body"/>
      </w:pPr>
      <w:r>
        <w:t xml:space="preserve">The distinction between normally-on, normally-off and </w:t>
      </w:r>
      <w:proofErr w:type="spellStart"/>
      <w:r>
        <w:t>cascode</w:t>
      </w:r>
      <w:proofErr w:type="spellEnd"/>
      <w:r>
        <w:t xml:space="preserve"> arrangements is consequently more than a label. Their gate control, internal voltage distribution and current paths differ. A </w:t>
      </w:r>
      <w:proofErr w:type="spellStart"/>
      <w:r>
        <w:t>cascode</w:t>
      </w:r>
      <w:proofErr w:type="spellEnd"/>
      <w:r>
        <w:t xml:space="preserve"> measurement can include </w:t>
      </w:r>
      <w:proofErr w:type="spellStart"/>
      <w:r>
        <w:t>behaviour</w:t>
      </w:r>
      <w:proofErr w:type="spellEnd"/>
      <w:r>
        <w:t xml:space="preserve"> from both the low-voltage control device and the </w:t>
      </w:r>
      <w:proofErr w:type="spellStart"/>
      <w:r>
        <w:t>GaN</w:t>
      </w:r>
      <w:proofErr w:type="spellEnd"/>
      <w:r>
        <w:t xml:space="preserve"> element, as well as internal package interconnections. Elangovan et al. (2023) investigated a multi-chip </w:t>
      </w:r>
      <w:proofErr w:type="spellStart"/>
      <w:r>
        <w:t>cascode</w:t>
      </w:r>
      <w:proofErr w:type="spellEnd"/>
      <w:r>
        <w:t xml:space="preserve"> module and observed a response that cannot be reduced to a generic expectation of increasing resistance under harsher switching. Such evidence argues against transferring a dynamic-resistance percentage from one architecture to another. It also suggests reporting the actual device structure </w:t>
      </w:r>
      <w:r>
        <w:rPr>
          <w:highlight w:val="yellow"/>
        </w:rPr>
        <w:t>whenever it is available rather than</w:t>
      </w:r>
      <w:r>
        <w:t xml:space="preserve"> presenting all </w:t>
      </w:r>
      <w:proofErr w:type="spellStart"/>
      <w:r>
        <w:t>GaN</w:t>
      </w:r>
      <w:proofErr w:type="spellEnd"/>
      <w:r>
        <w:t xml:space="preserve"> devices as a homogeneous population.</w:t>
      </w:r>
    </w:p>
    <w:p w14:paraId="2F92B5A2" w14:textId="77777777" w:rsidR="005E3049" w:rsidRDefault="00000000">
      <w:pPr>
        <w:pStyle w:val="Heading21"/>
        <w:spacing w:line="264" w:lineRule="auto"/>
      </w:pPr>
      <w:r>
        <w:lastRenderedPageBreak/>
        <w:t>3.4 Buffer compensation and device architecture</w:t>
      </w:r>
    </w:p>
    <w:p w14:paraId="2A4EE703" w14:textId="77777777" w:rsidR="005E3049" w:rsidRDefault="00000000">
      <w:pPr>
        <w:pStyle w:val="Body"/>
      </w:pPr>
      <w:r>
        <w:t>Uren and Kuball (2021) analyse carbon-related buffer behaviour in GaN-on-Si power switches and GaN-on-SiC RF HEMTs, including the role of leakage paths and electrical isolation of the buffer. Their model explains why substrate type alone cannot predict dynamic resistance: compensation, internal leakage and bias history also matter. Bergsten et al. (2018) report dynamic resistance three to four times the DC value in their carbon-doped microwave devices, despite similar DC performance to Fe-doped reference devices. This is evidence of a buffer-dependent trade-off in that RF population, not a resistance penalty to assign to commercial power switches.</w:t>
      </w:r>
    </w:p>
    <w:p w14:paraId="30012BCB" w14:textId="77777777" w:rsidR="005E3049" w:rsidRDefault="00000000">
      <w:pPr>
        <w:pStyle w:val="Body"/>
      </w:pPr>
      <w:r>
        <w:t xml:space="preserve">Chang et al. (2025) compare a single carbon-doped buffer with a composite carbon/iron-doped buffer. In their structures, the single carbon-doped buffer gave better dynamic characteristics, whereas the composite provided higher vertical breakdown voltage and lower sheet resistance. This differs from any simple rule that one dopant is always superior. </w:t>
      </w:r>
      <w:r>
        <w:rPr>
          <w:highlight w:val="yellow"/>
        </w:rPr>
        <w:t>Growth conditions, dopant profile and migration, channel separation, and stress protocol</w:t>
      </w:r>
      <w:r>
        <w:t xml:space="preserve"> determine the outcome. Together, these studies support comparing the complete epitaxial design and measurement protocol rather than ranking C-doped and Fe-doped labels in isolation.</w:t>
      </w:r>
    </w:p>
    <w:p w14:paraId="37F9CC16" w14:textId="77777777" w:rsidR="005E3049" w:rsidRDefault="00000000">
      <w:pPr>
        <w:pStyle w:val="Caption1"/>
        <w:keepNext/>
        <w:spacing w:line="264" w:lineRule="auto"/>
      </w:pPr>
      <w:r>
        <w:t>Table 1. Architecture-dependent interpretation of dynamic resistance</w:t>
      </w:r>
    </w:p>
    <w:tbl>
      <w:tblPr>
        <w:tblW w:w="0" w:type="auto"/>
        <w:tblLayout w:type="fixed"/>
        <w:tblLook w:val="04A0" w:firstRow="1" w:lastRow="0" w:firstColumn="1" w:lastColumn="0" w:noHBand="0" w:noVBand="1"/>
      </w:tblPr>
      <w:tblGrid>
        <w:gridCol w:w="2736"/>
        <w:gridCol w:w="2736"/>
        <w:gridCol w:w="2736"/>
      </w:tblGrid>
      <w:tr w:rsidR="005E3049" w14:paraId="549D2D7F" w14:textId="77777777">
        <w:trPr>
          <w:cantSplit/>
          <w:tblHeader/>
        </w:trPr>
        <w:tc>
          <w:tcPr>
            <w:tcW w:w="2736" w:type="dxa"/>
            <w:tcBorders>
              <w:top w:val="single" w:sz="4" w:space="0" w:color="D9D9D9"/>
              <w:left w:val="single" w:sz="4" w:space="0" w:color="D9D9D9"/>
              <w:bottom w:val="single" w:sz="4" w:space="0" w:color="D9D9D9"/>
              <w:right w:val="single" w:sz="4" w:space="0" w:color="D9D9D9"/>
            </w:tcBorders>
            <w:shd w:val="clear" w:color="auto" w:fill="EAEAEA"/>
          </w:tcPr>
          <w:p w14:paraId="05172A75" w14:textId="77777777" w:rsidR="005E3049" w:rsidRDefault="00000000">
            <w:pPr>
              <w:spacing w:before="60" w:after="60" w:line="264" w:lineRule="auto"/>
            </w:pPr>
            <w:r>
              <w:rPr>
                <w:b/>
                <w:sz w:val="18"/>
              </w:rPr>
              <w:t>Structure or mechanism</w:t>
            </w:r>
          </w:p>
        </w:tc>
        <w:tc>
          <w:tcPr>
            <w:tcW w:w="2736" w:type="dxa"/>
            <w:tcBorders>
              <w:top w:val="single" w:sz="4" w:space="0" w:color="D9D9D9"/>
              <w:left w:val="single" w:sz="4" w:space="0" w:color="D9D9D9"/>
              <w:bottom w:val="single" w:sz="4" w:space="0" w:color="D9D9D9"/>
              <w:right w:val="single" w:sz="4" w:space="0" w:color="D9D9D9"/>
            </w:tcBorders>
            <w:shd w:val="clear" w:color="auto" w:fill="EAEAEA"/>
          </w:tcPr>
          <w:p w14:paraId="64C48266" w14:textId="77777777" w:rsidR="005E3049" w:rsidRDefault="00000000">
            <w:pPr>
              <w:spacing w:before="60" w:after="60" w:line="264" w:lineRule="auto"/>
            </w:pPr>
            <w:r>
              <w:rPr>
                <w:b/>
                <w:sz w:val="18"/>
              </w:rPr>
              <w:t>Relevant evidence</w:t>
            </w:r>
          </w:p>
        </w:tc>
        <w:tc>
          <w:tcPr>
            <w:tcW w:w="2736" w:type="dxa"/>
            <w:tcBorders>
              <w:top w:val="single" w:sz="4" w:space="0" w:color="D9D9D9"/>
              <w:left w:val="single" w:sz="4" w:space="0" w:color="D9D9D9"/>
              <w:bottom w:val="single" w:sz="4" w:space="0" w:color="D9D9D9"/>
              <w:right w:val="single" w:sz="4" w:space="0" w:color="D9D9D9"/>
            </w:tcBorders>
            <w:shd w:val="clear" w:color="auto" w:fill="EAEAEA"/>
          </w:tcPr>
          <w:p w14:paraId="61CB7039" w14:textId="77777777" w:rsidR="005E3049" w:rsidRDefault="00000000">
            <w:pPr>
              <w:spacing w:before="60" w:after="60" w:line="264" w:lineRule="auto"/>
            </w:pPr>
            <w:r>
              <w:rPr>
                <w:b/>
                <w:sz w:val="18"/>
              </w:rPr>
              <w:t>Interpretation limit</w:t>
            </w:r>
          </w:p>
        </w:tc>
      </w:tr>
      <w:tr w:rsidR="005E3049" w14:paraId="7E8E8EDE" w14:textId="77777777">
        <w:trPr>
          <w:cantSplit/>
        </w:trPr>
        <w:tc>
          <w:tcPr>
            <w:tcW w:w="2736" w:type="dxa"/>
            <w:tcBorders>
              <w:top w:val="single" w:sz="4" w:space="0" w:color="D9D9D9"/>
              <w:left w:val="single" w:sz="4" w:space="0" w:color="D9D9D9"/>
              <w:bottom w:val="single" w:sz="4" w:space="0" w:color="D9D9D9"/>
              <w:right w:val="single" w:sz="4" w:space="0" w:color="D9D9D9"/>
            </w:tcBorders>
          </w:tcPr>
          <w:p w14:paraId="2CE74578" w14:textId="77777777" w:rsidR="005E3049" w:rsidRDefault="00000000">
            <w:pPr>
              <w:spacing w:before="60" w:after="60" w:line="264" w:lineRule="auto"/>
            </w:pPr>
            <w:r>
              <w:rPr>
                <w:sz w:val="18"/>
              </w:rPr>
              <w:t>C-doped and C/Fe composite buffers</w:t>
            </w:r>
          </w:p>
        </w:tc>
        <w:tc>
          <w:tcPr>
            <w:tcW w:w="2736" w:type="dxa"/>
            <w:tcBorders>
              <w:top w:val="single" w:sz="4" w:space="0" w:color="D9D9D9"/>
              <w:left w:val="single" w:sz="4" w:space="0" w:color="D9D9D9"/>
              <w:bottom w:val="single" w:sz="4" w:space="0" w:color="D9D9D9"/>
              <w:right w:val="single" w:sz="4" w:space="0" w:color="D9D9D9"/>
            </w:tcBorders>
          </w:tcPr>
          <w:p w14:paraId="3F60C863" w14:textId="77777777" w:rsidR="005E3049" w:rsidRDefault="00000000">
            <w:pPr>
              <w:spacing w:before="60" w:after="60" w:line="264" w:lineRule="auto"/>
            </w:pPr>
            <w:r>
              <w:rPr>
                <w:sz w:val="18"/>
              </w:rPr>
              <w:t>Chang et al. (2025): dynamic behaviour and breakdown trade-off</w:t>
            </w:r>
          </w:p>
        </w:tc>
        <w:tc>
          <w:tcPr>
            <w:tcW w:w="2736" w:type="dxa"/>
            <w:tcBorders>
              <w:top w:val="single" w:sz="4" w:space="0" w:color="D9D9D9"/>
              <w:left w:val="single" w:sz="4" w:space="0" w:color="D9D9D9"/>
              <w:bottom w:val="single" w:sz="4" w:space="0" w:color="D9D9D9"/>
              <w:right w:val="single" w:sz="4" w:space="0" w:color="D9D9D9"/>
            </w:tcBorders>
          </w:tcPr>
          <w:p w14:paraId="7EF455DA" w14:textId="77777777" w:rsidR="005E3049" w:rsidRDefault="00000000">
            <w:pPr>
              <w:spacing w:before="60" w:after="60" w:line="264" w:lineRule="auto"/>
            </w:pPr>
            <w:r>
              <w:rPr>
                <w:sz w:val="18"/>
              </w:rPr>
              <w:t>Dopant profile and epitaxial structure must be matched</w:t>
            </w:r>
          </w:p>
        </w:tc>
      </w:tr>
      <w:tr w:rsidR="005E3049" w14:paraId="65F42509" w14:textId="77777777">
        <w:trPr>
          <w:cantSplit/>
        </w:trPr>
        <w:tc>
          <w:tcPr>
            <w:tcW w:w="2736" w:type="dxa"/>
            <w:tcBorders>
              <w:top w:val="single" w:sz="4" w:space="0" w:color="D9D9D9"/>
              <w:left w:val="single" w:sz="4" w:space="0" w:color="D9D9D9"/>
              <w:bottom w:val="single" w:sz="4" w:space="0" w:color="D9D9D9"/>
              <w:right w:val="single" w:sz="4" w:space="0" w:color="D9D9D9"/>
            </w:tcBorders>
          </w:tcPr>
          <w:p w14:paraId="3E0BD276" w14:textId="77777777" w:rsidR="005E3049" w:rsidRDefault="00000000">
            <w:pPr>
              <w:spacing w:before="60" w:after="60" w:line="264" w:lineRule="auto"/>
            </w:pPr>
            <w:r>
              <w:rPr>
                <w:sz w:val="18"/>
              </w:rPr>
              <w:t>GaN-on-Si and GaN-on-SiC</w:t>
            </w:r>
          </w:p>
        </w:tc>
        <w:tc>
          <w:tcPr>
            <w:tcW w:w="2736" w:type="dxa"/>
            <w:tcBorders>
              <w:top w:val="single" w:sz="4" w:space="0" w:color="D9D9D9"/>
              <w:left w:val="single" w:sz="4" w:space="0" w:color="D9D9D9"/>
              <w:bottom w:val="single" w:sz="4" w:space="0" w:color="D9D9D9"/>
              <w:right w:val="single" w:sz="4" w:space="0" w:color="D9D9D9"/>
            </w:tcBorders>
          </w:tcPr>
          <w:p w14:paraId="6695BD6D" w14:textId="77777777" w:rsidR="005E3049" w:rsidRDefault="00000000">
            <w:pPr>
              <w:spacing w:before="60" w:after="60" w:line="264" w:lineRule="auto"/>
            </w:pPr>
            <w:r>
              <w:rPr>
                <w:sz w:val="18"/>
              </w:rPr>
              <w:t>Uren and Kuball (2021): buffer isolation and leakage pathways</w:t>
            </w:r>
          </w:p>
        </w:tc>
        <w:tc>
          <w:tcPr>
            <w:tcW w:w="2736" w:type="dxa"/>
            <w:tcBorders>
              <w:top w:val="single" w:sz="4" w:space="0" w:color="D9D9D9"/>
              <w:left w:val="single" w:sz="4" w:space="0" w:color="D9D9D9"/>
              <w:bottom w:val="single" w:sz="4" w:space="0" w:color="D9D9D9"/>
              <w:right w:val="single" w:sz="4" w:space="0" w:color="D9D9D9"/>
            </w:tcBorders>
          </w:tcPr>
          <w:p w14:paraId="1990E028" w14:textId="77777777" w:rsidR="005E3049" w:rsidRDefault="00000000">
            <w:pPr>
              <w:spacing w:before="60" w:after="60" w:line="264" w:lineRule="auto"/>
            </w:pPr>
            <w:r>
              <w:rPr>
                <w:sz w:val="18"/>
              </w:rPr>
              <w:t>Substrate label does not identify the trap population</w:t>
            </w:r>
          </w:p>
        </w:tc>
      </w:tr>
      <w:tr w:rsidR="005E3049" w14:paraId="14AB8035" w14:textId="77777777">
        <w:trPr>
          <w:cantSplit/>
        </w:trPr>
        <w:tc>
          <w:tcPr>
            <w:tcW w:w="2736" w:type="dxa"/>
            <w:tcBorders>
              <w:top w:val="single" w:sz="4" w:space="0" w:color="D9D9D9"/>
              <w:left w:val="single" w:sz="4" w:space="0" w:color="D9D9D9"/>
              <w:bottom w:val="single" w:sz="4" w:space="0" w:color="D9D9D9"/>
              <w:right w:val="single" w:sz="4" w:space="0" w:color="D9D9D9"/>
            </w:tcBorders>
          </w:tcPr>
          <w:p w14:paraId="623DC78C" w14:textId="77777777" w:rsidR="005E3049" w:rsidRDefault="00000000">
            <w:pPr>
              <w:spacing w:before="60" w:after="60" w:line="264" w:lineRule="auto"/>
            </w:pPr>
            <w:r>
              <w:rPr>
                <w:sz w:val="18"/>
              </w:rPr>
              <w:t>p-GaN gate HEMT</w:t>
            </w:r>
          </w:p>
        </w:tc>
        <w:tc>
          <w:tcPr>
            <w:tcW w:w="2736" w:type="dxa"/>
            <w:tcBorders>
              <w:top w:val="single" w:sz="4" w:space="0" w:color="D9D9D9"/>
              <w:left w:val="single" w:sz="4" w:space="0" w:color="D9D9D9"/>
              <w:bottom w:val="single" w:sz="4" w:space="0" w:color="D9D9D9"/>
              <w:right w:val="single" w:sz="4" w:space="0" w:color="D9D9D9"/>
            </w:tcBorders>
          </w:tcPr>
          <w:p w14:paraId="771D3AAB" w14:textId="77777777" w:rsidR="005E3049" w:rsidRDefault="00000000">
            <w:pPr>
              <w:spacing w:before="60" w:after="60" w:line="264" w:lineRule="auto"/>
            </w:pPr>
            <w:r>
              <w:rPr>
                <w:sz w:val="18"/>
              </w:rPr>
              <w:t>Wang et al. (2021); Sun et al. (2025): stress and threshold effects</w:t>
            </w:r>
          </w:p>
        </w:tc>
        <w:tc>
          <w:tcPr>
            <w:tcW w:w="2736" w:type="dxa"/>
            <w:tcBorders>
              <w:top w:val="single" w:sz="4" w:space="0" w:color="D9D9D9"/>
              <w:left w:val="single" w:sz="4" w:space="0" w:color="D9D9D9"/>
              <w:bottom w:val="single" w:sz="4" w:space="0" w:color="D9D9D9"/>
              <w:right w:val="single" w:sz="4" w:space="0" w:color="D9D9D9"/>
            </w:tcBorders>
          </w:tcPr>
          <w:p w14:paraId="3760B925" w14:textId="77777777" w:rsidR="005E3049" w:rsidRDefault="00000000">
            <w:pPr>
              <w:spacing w:before="60" w:after="60" w:line="264" w:lineRule="auto"/>
            </w:pPr>
            <w:r>
              <w:rPr>
                <w:sz w:val="18"/>
              </w:rPr>
              <w:t>Gate bias and threshold shift affect the resistance denominator</w:t>
            </w:r>
          </w:p>
        </w:tc>
      </w:tr>
      <w:tr w:rsidR="005E3049" w14:paraId="35DB7712" w14:textId="77777777">
        <w:trPr>
          <w:cantSplit/>
        </w:trPr>
        <w:tc>
          <w:tcPr>
            <w:tcW w:w="2736" w:type="dxa"/>
            <w:tcBorders>
              <w:top w:val="single" w:sz="4" w:space="0" w:color="D9D9D9"/>
              <w:left w:val="single" w:sz="4" w:space="0" w:color="D9D9D9"/>
              <w:bottom w:val="single" w:sz="4" w:space="0" w:color="D9D9D9"/>
              <w:right w:val="single" w:sz="4" w:space="0" w:color="D9D9D9"/>
            </w:tcBorders>
          </w:tcPr>
          <w:p w14:paraId="12623AD6" w14:textId="77777777" w:rsidR="005E3049" w:rsidRDefault="00000000">
            <w:pPr>
              <w:spacing w:before="60" w:after="60" w:line="264" w:lineRule="auto"/>
            </w:pPr>
            <w:r>
              <w:rPr>
                <w:sz w:val="18"/>
              </w:rPr>
              <w:t>MIS-HEMT</w:t>
            </w:r>
          </w:p>
        </w:tc>
        <w:tc>
          <w:tcPr>
            <w:tcW w:w="2736" w:type="dxa"/>
            <w:tcBorders>
              <w:top w:val="single" w:sz="4" w:space="0" w:color="D9D9D9"/>
              <w:left w:val="single" w:sz="4" w:space="0" w:color="D9D9D9"/>
              <w:bottom w:val="single" w:sz="4" w:space="0" w:color="D9D9D9"/>
              <w:right w:val="single" w:sz="4" w:space="0" w:color="D9D9D9"/>
            </w:tcBorders>
          </w:tcPr>
          <w:p w14:paraId="5D77E574" w14:textId="77777777" w:rsidR="005E3049" w:rsidRDefault="00000000">
            <w:pPr>
              <w:spacing w:before="60" w:after="60" w:line="264" w:lineRule="auto"/>
            </w:pPr>
            <w:r>
              <w:rPr>
                <w:sz w:val="18"/>
              </w:rPr>
              <w:t>Kim et al. (2023): passivation-dependent response</w:t>
            </w:r>
          </w:p>
        </w:tc>
        <w:tc>
          <w:tcPr>
            <w:tcW w:w="2736" w:type="dxa"/>
            <w:tcBorders>
              <w:top w:val="single" w:sz="4" w:space="0" w:color="D9D9D9"/>
              <w:left w:val="single" w:sz="4" w:space="0" w:color="D9D9D9"/>
              <w:bottom w:val="single" w:sz="4" w:space="0" w:color="D9D9D9"/>
              <w:right w:val="single" w:sz="4" w:space="0" w:color="D9D9D9"/>
            </w:tcBorders>
          </w:tcPr>
          <w:p w14:paraId="5BAA7871" w14:textId="77777777" w:rsidR="005E3049" w:rsidRDefault="00000000">
            <w:pPr>
              <w:spacing w:before="60" w:after="60" w:line="264" w:lineRule="auto"/>
            </w:pPr>
            <w:r>
              <w:rPr>
                <w:sz w:val="18"/>
              </w:rPr>
              <w:t>Surface improvement does not exclude buffer or dielectric traps</w:t>
            </w:r>
          </w:p>
        </w:tc>
      </w:tr>
      <w:tr w:rsidR="005E3049" w14:paraId="74E32A0F" w14:textId="77777777">
        <w:trPr>
          <w:cantSplit/>
        </w:trPr>
        <w:tc>
          <w:tcPr>
            <w:tcW w:w="2736" w:type="dxa"/>
            <w:tcBorders>
              <w:top w:val="single" w:sz="4" w:space="0" w:color="D9D9D9"/>
              <w:left w:val="single" w:sz="4" w:space="0" w:color="D9D9D9"/>
              <w:bottom w:val="single" w:sz="4" w:space="0" w:color="D9D9D9"/>
              <w:right w:val="single" w:sz="4" w:space="0" w:color="D9D9D9"/>
            </w:tcBorders>
          </w:tcPr>
          <w:p w14:paraId="3F73B638" w14:textId="77777777" w:rsidR="005E3049" w:rsidRDefault="00000000">
            <w:pPr>
              <w:spacing w:before="60" w:after="60" w:line="264" w:lineRule="auto"/>
            </w:pPr>
            <w:r>
              <w:rPr>
                <w:sz w:val="18"/>
              </w:rPr>
              <w:t>Multi-chip cascode</w:t>
            </w:r>
          </w:p>
        </w:tc>
        <w:tc>
          <w:tcPr>
            <w:tcW w:w="2736" w:type="dxa"/>
            <w:tcBorders>
              <w:top w:val="single" w:sz="4" w:space="0" w:color="D9D9D9"/>
              <w:left w:val="single" w:sz="4" w:space="0" w:color="D9D9D9"/>
              <w:bottom w:val="single" w:sz="4" w:space="0" w:color="D9D9D9"/>
              <w:right w:val="single" w:sz="4" w:space="0" w:color="D9D9D9"/>
            </w:tcBorders>
          </w:tcPr>
          <w:p w14:paraId="55226386" w14:textId="77777777" w:rsidR="005E3049" w:rsidRDefault="00000000">
            <w:pPr>
              <w:spacing w:before="60" w:after="60" w:line="264" w:lineRule="auto"/>
            </w:pPr>
            <w:r>
              <w:rPr>
                <w:sz w:val="18"/>
              </w:rPr>
              <w:t>Elangovan et al. (2023): architecture-specific instability</w:t>
            </w:r>
          </w:p>
        </w:tc>
        <w:tc>
          <w:tcPr>
            <w:tcW w:w="2736" w:type="dxa"/>
            <w:tcBorders>
              <w:top w:val="single" w:sz="4" w:space="0" w:color="D9D9D9"/>
              <w:left w:val="single" w:sz="4" w:space="0" w:color="D9D9D9"/>
              <w:bottom w:val="single" w:sz="4" w:space="0" w:color="D9D9D9"/>
              <w:right w:val="single" w:sz="4" w:space="0" w:color="D9D9D9"/>
            </w:tcBorders>
          </w:tcPr>
          <w:p w14:paraId="2350FC13" w14:textId="77777777" w:rsidR="005E3049" w:rsidRDefault="00000000">
            <w:pPr>
              <w:spacing w:before="60" w:after="60" w:line="264" w:lineRule="auto"/>
            </w:pPr>
            <w:r>
              <w:rPr>
                <w:sz w:val="18"/>
              </w:rPr>
              <w:t>Measured response includes internal device and package interactions</w:t>
            </w:r>
          </w:p>
        </w:tc>
      </w:tr>
    </w:tbl>
    <w:p w14:paraId="49D17464" w14:textId="77777777" w:rsidR="00172353" w:rsidRDefault="00000000">
      <w:pPr>
        <w:pStyle w:val="Heading1"/>
        <w:spacing w:line="264" w:lineRule="auto"/>
      </w:pPr>
      <w:r>
        <w:t>4. MEASUREMENT PROTOCOLS</w:t>
      </w:r>
    </w:p>
    <w:p w14:paraId="036AEC62" w14:textId="77777777" w:rsidR="00172353" w:rsidRDefault="00000000">
      <w:pPr>
        <w:pStyle w:val="Body"/>
      </w:pPr>
      <w:r>
        <w:t>Yang et al. (2019) review wafer- and board-level approaches. Zulauf et al. (2020b) report continuous measurements up to 5 MHz under ZVS and show why blocking time, on-time, temperature and frequency must be controlled together.</w:t>
      </w:r>
    </w:p>
    <w:p w14:paraId="37FB2D17" w14:textId="77777777" w:rsidR="00172353" w:rsidRDefault="00000000">
      <w:pPr>
        <w:pStyle w:val="Body"/>
      </w:pPr>
      <w:r>
        <w:t xml:space="preserve">A robust double-pulse test begins by defining the off-state drain bias and its duration, the gate bias during blocking, the first-pulse current, the second-pulse current, the delay to the voltage sample and the thermal starting condition. The fixture should </w:t>
      </w:r>
      <w:proofErr w:type="spellStart"/>
      <w:r>
        <w:t>minimise</w:t>
      </w:r>
      <w:proofErr w:type="spellEnd"/>
      <w:r>
        <w:t xml:space="preserve"> common-source inductance and provide sufficient bandwidth without introducing excessive ringing that is later interpreted as channel voltage.</w:t>
      </w:r>
    </w:p>
    <w:p w14:paraId="39FD9BC1" w14:textId="77777777" w:rsidR="00172353" w:rsidRDefault="00000000">
      <w:pPr>
        <w:pStyle w:val="Body"/>
      </w:pPr>
      <w:r>
        <w:lastRenderedPageBreak/>
        <w:t>The sampling delay is a central decision. Sampling too early includes commutation transients and parasitic inductive voltage; sampling too late allows the device temperature and trap occupancy to change. A sweep of sampling delay can reveal whether a reported penalty is an instantaneous effect, a short transient or a slowly varying state.</w:t>
      </w:r>
    </w:p>
    <w:p w14:paraId="514D1121" w14:textId="77777777" w:rsidR="00172353" w:rsidRDefault="00000000">
      <w:pPr>
        <w:pStyle w:val="Body"/>
      </w:pPr>
      <w:r>
        <w:t>Continuous switching tests complement double-pulse measurements because they expose memory across many cycles. Frequency, duty ratio, dead time, hard- or soft-switching condition and recovery interval should be varied independently where possible. The same device can show different dynamic resistance under an isolated stress pulse and under a steady converter waveform.</w:t>
      </w:r>
    </w:p>
    <w:p w14:paraId="14970CE9" w14:textId="77777777" w:rsidR="00172353" w:rsidRDefault="00000000">
      <w:pPr>
        <w:pStyle w:val="Body"/>
      </w:pPr>
      <w:r>
        <w:t>Electrical thermometry, infrared observation where the package permits it, and calibrated loss measurements can help separate trapping from heating. Reference devices and repeated stress-recovery sequences are also useful for detecting instrument drift. The report must contain enough detail to reproduce the waveform and timing.</w:t>
      </w:r>
    </w:p>
    <w:p w14:paraId="01D70C08" w14:textId="77777777" w:rsidR="00172353" w:rsidRDefault="00000000">
      <w:pPr>
        <w:pStyle w:val="Heading21"/>
        <w:spacing w:line="264" w:lineRule="auto"/>
      </w:pPr>
      <w:r>
        <w:t>4.1 Defining a measurement that another laboratory can reproduce</w:t>
      </w:r>
    </w:p>
    <w:p w14:paraId="31F54A07" w14:textId="77777777" w:rsidR="00172353" w:rsidRDefault="00000000">
      <w:pPr>
        <w:pStyle w:val="Body"/>
      </w:pPr>
      <w:r>
        <w:t xml:space="preserve">A reproducible result requires a defined initial state, stress interval, transition sequence and observation window. The initial state can be established by an explicitly reported rest or conditioning procedure; it should not be described </w:t>
      </w:r>
      <w:r>
        <w:rPr>
          <w:highlight w:val="yellow"/>
        </w:rPr>
        <w:t>simply as “fresh” if</w:t>
      </w:r>
      <w:r>
        <w:t xml:space="preserve"> previous electrical exposure is unknown. The stress interval includes drain and gate bias, temperature and duration. The transition sequence establishes whether the device undergoes hard or soft switching and whether reverse conduction occurs. Finally, the observation window specifies when voltage and current are sampled relative to the physical transition. These definitions determine which part of the recovery response is represented by the quoted resistance.</w:t>
      </w:r>
    </w:p>
    <w:p w14:paraId="2A25AE16" w14:textId="77777777" w:rsidR="00172353" w:rsidRDefault="00000000">
      <w:pPr>
        <w:pStyle w:val="Body"/>
      </w:pPr>
      <w:r>
        <w:t xml:space="preserve">The ratio </w:t>
      </w:r>
      <w:proofErr w:type="spellStart"/>
      <w:r>
        <w:t>R_dyn</w:t>
      </w:r>
      <w:proofErr w:type="spellEnd"/>
      <w:r>
        <w:t>/</w:t>
      </w:r>
      <w:proofErr w:type="spellStart"/>
      <w:r>
        <w:t>R_ref</w:t>
      </w:r>
      <w:proofErr w:type="spellEnd"/>
      <w:r>
        <w:t xml:space="preserve"> is useful only when the denominator is equally well defined. The reference resistance should correspond to a stated gate voltage, current and temperature, with a controlled electrical history. Comparing a hot dynamic measurement with a cold low-current reference mixes thermal and trapping contributions. Comparing different gate voltages changes channel enhancement. A report should therefore state both the absolute resistance and the ratio, together with the reference conditions. This makes it possible to distinguish an apparently large percentage caused by a small denominator from a practically important increase in conduction loss. Fig. 1 identifies these measurement intervals conceptually without presenting experimental waveforms.</w:t>
      </w:r>
    </w:p>
    <w:p w14:paraId="02944DAD" w14:textId="77777777" w:rsidR="00172353" w:rsidRDefault="00000000">
      <w:pPr>
        <w:pStyle w:val="Body"/>
      </w:pPr>
      <w:r>
        <w:t>The on-state voltage presents a demanding dynamic-range problem. An instrument must survive or reject a large blocking voltage and then resolve a much smaller conducting voltage shortly after a fast transition. A clamp circuit can protect the sensitive measurement path and improve usable resolution, but its own settling, leakage and parasitic capacitance become part of the measurement. A delayed sample can reduce switching artefacts while simultaneously allowing the device to recover. There is therefore no universal delay that is both artefact-free and representative of the earliest conducting state. The delay must be justified against the instrument response and the physical question.</w:t>
      </w:r>
    </w:p>
    <w:p w14:paraId="0E74847F" w14:textId="77777777" w:rsidR="00172353" w:rsidRDefault="00000000">
      <w:pPr>
        <w:pStyle w:val="Heading21"/>
        <w:spacing w:line="264" w:lineRule="auto"/>
      </w:pPr>
      <w:r>
        <w:t>4.2 Uncertainty in the voltage-to-current ratio</w:t>
      </w:r>
    </w:p>
    <w:p w14:paraId="270BBAC8" w14:textId="77777777" w:rsidR="00172353" w:rsidRDefault="00000000">
      <w:pPr>
        <w:pStyle w:val="Body"/>
      </w:pPr>
      <w:r>
        <w:t xml:space="preserve">For R = V/I, a first-order uncertainty approximation for uncorrelated voltage and current errors is </w:t>
      </w:r>
      <w:proofErr w:type="spellStart"/>
      <w:r>
        <w:t>u_R</w:t>
      </w:r>
      <w:proofErr w:type="spellEnd"/>
      <w:r>
        <w:t>/R ≈ [(</w:t>
      </w:r>
      <w:proofErr w:type="spellStart"/>
      <w:r>
        <w:t>u_V</w:t>
      </w:r>
      <w:proofErr w:type="spellEnd"/>
      <w:r>
        <w:t>/V)² + (</w:t>
      </w:r>
      <w:proofErr w:type="spellStart"/>
      <w:r>
        <w:t>u_I</w:t>
      </w:r>
      <w:proofErr w:type="spellEnd"/>
      <w:r>
        <w:t xml:space="preserve">/I)²]^(1/2). This relation is an uncertainty-propagation formula, not a device model. At small on-state voltage, even a modest voltage offset can </w:t>
      </w:r>
      <w:r>
        <w:lastRenderedPageBreak/>
        <w:t>dominate the relative error. At small current, the current-channel error becomes similarly important. Correlated noise, common timing errors and systematic offsets require additional treatment. Reporting only oscilloscope resolution is insufficient because probe gain, offset, bandwidth, clamp recovery and channel alignment also affect the result.</w:t>
      </w:r>
    </w:p>
    <w:p w14:paraId="08094F72" w14:textId="77777777" w:rsidR="00172353" w:rsidRDefault="00000000">
      <w:pPr>
        <w:pStyle w:val="Body"/>
      </w:pPr>
      <w:r>
        <w:t>A practical uncertainty check should include a resistance or device state with an independently characterised response under conditions that the fixture can measure. Such a check cannot prove that every switching artefact has been removed, but it can reveal gross gain and offset errors. The fixture should also be assessed for unintended voltage pickup from power-loop inductance. An observed voltage immediately after turn-on can include L di/dt as well as the channel drop. If the sample is taken before that contribution settles, dividing by current produces an apparent resistance that is partly a circuit transient. Four-terminal sensing and careful placement reduce this problem without eliminating the need for timing analysis.</w:t>
      </w:r>
    </w:p>
    <w:p w14:paraId="68397226" w14:textId="77777777" w:rsidR="00172353" w:rsidRDefault="00000000">
      <w:pPr>
        <w:pStyle w:val="Body"/>
      </w:pPr>
      <w:r>
        <w:t xml:space="preserve">Channel </w:t>
      </w:r>
      <w:proofErr w:type="spellStart"/>
      <w:r>
        <w:t>synchronisation</w:t>
      </w:r>
      <w:proofErr w:type="spellEnd"/>
      <w:r>
        <w:t xml:space="preserve"> becomes especially consequential when current rises rapidly. A voltage sample divided by a current sample from a different physical instant can create a ratio that never existed in the circuit. </w:t>
      </w:r>
      <w:proofErr w:type="spellStart"/>
      <w:r>
        <w:t>Deskew</w:t>
      </w:r>
      <w:proofErr w:type="spellEnd"/>
      <w:r>
        <w:t xml:space="preserve"> should therefore be performed using a suitable common event, and its residual uncertainty should be considered alongside amplitude errors. Averaging many pulses reduces random noise but may obscure cycle-dependent recovery or drift. The publication should state whether each point is a single event, an average of identical prepared events, or a sample from a continuous switching sequence. These choices answer different questions and should not be silently interchanged.</w:t>
      </w:r>
    </w:p>
    <w:p w14:paraId="7EDCFC4F" w14:textId="77777777" w:rsidR="00172353" w:rsidRDefault="00000000">
      <w:pPr>
        <w:pStyle w:val="Heading21"/>
        <w:spacing w:line="264" w:lineRule="auto"/>
      </w:pPr>
      <w:r>
        <w:t>4.3 Combining device spectroscopy with converter-oriented measurements</w:t>
      </w:r>
    </w:p>
    <w:p w14:paraId="7EC8611A" w14:textId="77777777" w:rsidR="00172353" w:rsidRDefault="00000000">
      <w:pPr>
        <w:pStyle w:val="Body"/>
      </w:pPr>
      <w:r>
        <w:t>Trap spectroscopy and switching tests serve complementary purposes. Spectroscopic methods seek information about defect populations, energies or locations, while a converter-oriented measurement asks what resistance occurs under an operating waveform. A useful mechanism identified through spectroscopy may have limited impact at the temperatures and time scales of an application. Conversely, a large converter penalty may arise from several unresolved mechanisms. Connecting the two requires matching the relevant bias history and temporal range. The mechanism map in Fig. 2 is therefore deliberately separated from the measured ratio: a terminal observation constrains possible explanations but does not uniquely identify one.</w:t>
      </w:r>
    </w:p>
    <w:p w14:paraId="68420CC4" w14:textId="77777777" w:rsidR="00172353" w:rsidRDefault="00000000">
      <w:pPr>
        <w:pStyle w:val="Body"/>
      </w:pPr>
      <w:r>
        <w:rPr>
          <w:highlight w:val="yellow"/>
        </w:rPr>
        <w:t>Cusumano, Vella, and Sirchia (2025)</w:t>
      </w:r>
      <w:r>
        <w:t xml:space="preserve"> used triangular gate pulses to study hysteresis and threshold-voltage </w:t>
      </w:r>
      <w:proofErr w:type="spellStart"/>
      <w:r>
        <w:t>behaviour</w:t>
      </w:r>
      <w:proofErr w:type="spellEnd"/>
      <w:r>
        <w:t xml:space="preserve">, while </w:t>
      </w:r>
      <w:r>
        <w:rPr>
          <w:highlight w:val="yellow"/>
        </w:rPr>
        <w:t>Cusumano, Sirchia, and Vella (2025)</w:t>
      </w:r>
      <w:r>
        <w:t xml:space="preserve"> used rectangular pulses to examine dynamic resistance and recovery. Their complementary pulse shapes show that the measurement stimulus itself determines which aspects of charge dynamics become visible. The reported responses should not be converted into a universal penalty for a high-voltage converter, especially when the stress voltage and gate sequence differ. Instead, they provide examples of how controlled waveform changes can reveal history dependence that a single static curve would miss.</w:t>
      </w:r>
    </w:p>
    <w:p w14:paraId="48F0B1D0" w14:textId="77777777" w:rsidR="00172353" w:rsidRDefault="00000000">
      <w:pPr>
        <w:pStyle w:val="Body"/>
      </w:pPr>
      <w:r>
        <w:t xml:space="preserve">Fig. 1 </w:t>
      </w:r>
      <w:proofErr w:type="spellStart"/>
      <w:r>
        <w:t>summarises</w:t>
      </w:r>
      <w:proofErr w:type="spellEnd"/>
      <w:r>
        <w:t xml:space="preserve"> the physical and measurement relationships discussed in this section.</w:t>
      </w:r>
    </w:p>
    <w:p w14:paraId="54E26701" w14:textId="77777777" w:rsidR="00172353" w:rsidRDefault="00000000">
      <w:pPr>
        <w:keepNext/>
        <w:jc w:val="center"/>
      </w:pPr>
      <w:r>
        <w:rPr>
          <w:noProof/>
        </w:rPr>
        <w:lastRenderedPageBreak/>
        <w:drawing>
          <wp:inline distT="0" distB="0" distL="0" distR="0" wp14:anchorId="55D7316A" wp14:editId="3B8F8886">
            <wp:extent cx="5212080" cy="17914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_1.png"/>
                    <pic:cNvPicPr/>
                  </pic:nvPicPr>
                  <pic:blipFill>
                    <a:blip r:embed="rId8"/>
                    <a:stretch>
                      <a:fillRect/>
                    </a:stretch>
                  </pic:blipFill>
                  <pic:spPr>
                    <a:xfrm>
                      <a:off x="0" y="0"/>
                      <a:ext cx="5212080" cy="1791494"/>
                    </a:xfrm>
                    <a:prstGeom prst="rect">
                      <a:avLst/>
                    </a:prstGeom>
                  </pic:spPr>
                </pic:pic>
              </a:graphicData>
            </a:graphic>
          </wp:inline>
        </w:drawing>
      </w:r>
    </w:p>
    <w:p w14:paraId="0C968787" w14:textId="77777777" w:rsidR="00172353" w:rsidRDefault="00000000">
      <w:pPr>
        <w:pStyle w:val="Caption1"/>
        <w:spacing w:line="264" w:lineRule="auto"/>
      </w:pPr>
      <w:r>
        <w:t>Fig. 1. Stress, switching and sampling intervals in a conceptual dynamic-resistance test. The observation window must be defined relative to the physical switching event. Original conceptual schematic; no experimental or simulated performance data are plotted.</w:t>
      </w:r>
    </w:p>
    <w:p w14:paraId="05DA0AAE" w14:textId="77777777" w:rsidR="00172353" w:rsidRDefault="00000000">
      <w:pPr>
        <w:pStyle w:val="Heading1"/>
        <w:spacing w:line="264" w:lineRule="auto"/>
      </w:pPr>
      <w:r>
        <w:t>5. TRAPPING AND FREQUENCY</w:t>
      </w:r>
    </w:p>
    <w:p w14:paraId="18D87760" w14:textId="77777777" w:rsidR="00172353" w:rsidRDefault="00000000">
      <w:pPr>
        <w:pStyle w:val="Body"/>
      </w:pPr>
      <w:r>
        <w:t>The relation between switching frequency and dynamic resistance is not necessarily monotonic. Higher frequency shortens blocking and on-time, while repeated switching may accumulate charge. The net result depends on the trap distribution and stress sequence.</w:t>
      </w:r>
    </w:p>
    <w:p w14:paraId="43686043" w14:textId="77777777" w:rsidR="00172353" w:rsidRDefault="00000000">
      <w:pPr>
        <w:pStyle w:val="Body"/>
      </w:pPr>
      <w:r>
        <w:rPr>
          <w:highlight w:val="yellow"/>
        </w:rPr>
        <w:t>Cusumano, Sirchia, and Vella (2025)</w:t>
      </w:r>
      <w:r>
        <w:t xml:space="preserve"> use rectangular gate pulses to study trapping, while Basile et al. (2024) examine current collapse in automotive-grade devices. Gate amplitude, drain stress, temperature and history should be reported together.</w:t>
      </w:r>
    </w:p>
    <w:p w14:paraId="1641C1A2" w14:textId="77777777" w:rsidR="00172353" w:rsidRDefault="00000000">
      <w:pPr>
        <w:pStyle w:val="Body"/>
      </w:pPr>
      <w:r>
        <w:t>Frequency changes both the number of stress events per unit time and the duration available for charge capture and emission. The dynamic penalty may increase when switching becomes more frequent, but it may also approach a plateau if the relevant trap population reaches a quasi-steady occupancy. A monotonic frequency correction is therefore not justified without a device-specific experiment.</w:t>
      </w:r>
    </w:p>
    <w:p w14:paraId="73AE2EC7" w14:textId="77777777" w:rsidR="00172353" w:rsidRDefault="00000000">
      <w:pPr>
        <w:pStyle w:val="Body"/>
      </w:pPr>
      <w:r>
        <w:t>Duty cycle and blocking voltage can be as important as frequency. A short high-voltage off-state may populate a trap distribution differently from a longer lower-voltage stress, even when the average switching frequency is equal. Gate amplitude and gate resistance further modify the time spent in intermediate field conditions.</w:t>
      </w:r>
    </w:p>
    <w:p w14:paraId="7C457AB5" w14:textId="77777777" w:rsidR="00172353" w:rsidRDefault="00000000">
      <w:pPr>
        <w:pStyle w:val="Body"/>
      </w:pPr>
      <w:r>
        <w:t xml:space="preserve">For converter modelling, the most useful representation is often a family of </w:t>
      </w:r>
      <w:proofErr w:type="spellStart"/>
      <w:r>
        <w:t>RON,dyn</w:t>
      </w:r>
      <w:proofErr w:type="spellEnd"/>
      <w:r>
        <w:t xml:space="preserve"> values indexed by stress voltage, current, temperature and recovery time, rather than a single multiplier. When data are limited, a bounded lookup table is preferable to an apparently precise fitted curve that is valid only for one laboratory waveform.</w:t>
      </w:r>
    </w:p>
    <w:p w14:paraId="108159AF" w14:textId="77777777" w:rsidR="00172353" w:rsidRDefault="00000000">
      <w:pPr>
        <w:pStyle w:val="Heading21"/>
        <w:spacing w:line="264" w:lineRule="auto"/>
      </w:pPr>
      <w:r>
        <w:t>5.1 Single events and steady periodic operation</w:t>
      </w:r>
    </w:p>
    <w:p w14:paraId="4D5A3FA7" w14:textId="77777777" w:rsidR="00172353" w:rsidRDefault="00000000">
      <w:pPr>
        <w:pStyle w:val="Body"/>
      </w:pPr>
      <w:r>
        <w:t>A double-pulse measurement commonly begins from a deliberately prepared state. Continuous switching evolves toward a history determined by the balance of capture and release over many cycles. The first event after a long off interval can therefore differ from the thousandth event under periodic operation. Neither observation is intrinsically more correct: start-up, burst operation and sustained power conversion each require their corresponding history. A device qualification intended for a converter should identify which of these regimes matters and how the test reproduces it. Otherwise a well-executed measurement can still be irrelevant to the intended duty.</w:t>
      </w:r>
    </w:p>
    <w:p w14:paraId="1A48C289" w14:textId="77777777" w:rsidR="00172353" w:rsidRDefault="00000000">
      <w:pPr>
        <w:pStyle w:val="Body"/>
      </w:pPr>
      <w:r>
        <w:lastRenderedPageBreak/>
        <w:t xml:space="preserve">Zulauf et al. (2020b) examined multi-megahertz operation and found that dynamic effects for the tested device did not continue increasing without bound as switching frequency rose. The work extends the measurement question beyond isolated pulses toward repetitive operation. Its significance is the demonstration of a device- and condition-dependent frequency response, not a guarantee that high switching frequency suppresses trapping in every </w:t>
      </w:r>
      <w:proofErr w:type="spellStart"/>
      <w:r>
        <w:t>GaN</w:t>
      </w:r>
      <w:proofErr w:type="spellEnd"/>
      <w:r>
        <w:t xml:space="preserve"> technology. Frequency also changes electrical loss and thermal conditions. A meaningful comparison should therefore distinguish a change caused by trap occupancy from a change caused by increased temperature or altered switching trajectory.</w:t>
      </w:r>
    </w:p>
    <w:p w14:paraId="745BC594" w14:textId="77777777" w:rsidR="00172353" w:rsidRDefault="00000000">
      <w:pPr>
        <w:pStyle w:val="Body"/>
      </w:pPr>
      <w:r>
        <w:t>Duty ratio further prevents frequency from being a sufficient descriptor. At the same frequency, a longer off interval changes blocking exposure, while a longer conducting interval changes recovery opportunity and heating. Burst mode introduces a third time scale: a sequence of rapid pulses separated by a much longer pause. The state at the first pulse in each burst may repeatedly return toward a different condition from the later pulses. For loss estimation, averaging one resistance across the entire burst can therefore be misleading. The appropriate quantity is the resistance weighted by the actual current and the duration of conduction at each state.</w:t>
      </w:r>
    </w:p>
    <w:p w14:paraId="7FB7A75D" w14:textId="77777777" w:rsidR="00172353" w:rsidRDefault="00000000">
      <w:pPr>
        <w:pStyle w:val="Heading21"/>
        <w:spacing w:line="264" w:lineRule="auto"/>
      </w:pPr>
      <w:r>
        <w:t>5.2 Temperature and reversibility</w:t>
      </w:r>
    </w:p>
    <w:p w14:paraId="439C8A81" w14:textId="77777777" w:rsidR="00172353" w:rsidRDefault="00000000">
      <w:pPr>
        <w:pStyle w:val="Body"/>
      </w:pPr>
      <w:r>
        <w:t>Temperature modifies carrier mobility and trap kinetics simultaneously. A hotter device can have a larger baseline resistance while releasing some trapped charge faster. The net dynamic ratio may consequently move differently from the absolute resistance. A decrease in the ratio with temperature does not necessarily mean lower conduction loss, and a larger absolute resistance does not uniquely indicate more trapped charge. The measurement should ideally provide temperature-conditioned reference and dynamic values so that these contributions can be separated. This is a modelling requirement, rather than a claim that every mechanism has the same temperature dependence.</w:t>
      </w:r>
    </w:p>
    <w:p w14:paraId="677A4A1B" w14:textId="77777777" w:rsidR="00172353" w:rsidRDefault="00000000">
      <w:pPr>
        <w:pStyle w:val="Body"/>
      </w:pPr>
      <w:r>
        <w:t xml:space="preserve">Reversible trapping should also be distinguished from persistent degradation. If a parameter recovers after a specified rest or thermal treatment, that observation supports a recoverable component under those conditions. It does not prove that no permanent change occurred elsewhere in the device. Conversely, a measurement made before a slow recovery completes should not automatically be labelled irreversible damage. A reliability experiment needs a defined recovery check and should report leakage, threshold </w:t>
      </w:r>
      <w:proofErr w:type="spellStart"/>
      <w:r>
        <w:t>behaviour</w:t>
      </w:r>
      <w:proofErr w:type="spellEnd"/>
      <w:r>
        <w:t xml:space="preserve"> and resistance where relevant. Basile et al. (2024) provide an automotive-device context for current-collapse investigation, but qualification of a different part still requires its own stress and recovery sequence.</w:t>
      </w:r>
    </w:p>
    <w:p w14:paraId="5979E671" w14:textId="77777777" w:rsidR="00172353" w:rsidRDefault="00000000">
      <w:pPr>
        <w:pStyle w:val="Heading1"/>
        <w:spacing w:line="264" w:lineRule="auto"/>
      </w:pPr>
      <w:r>
        <w:t>6. CONVERTER IMPLICATIONS</w:t>
      </w:r>
    </w:p>
    <w:p w14:paraId="348A67D3" w14:textId="77777777" w:rsidR="00172353" w:rsidRDefault="00000000">
      <w:pPr>
        <w:pStyle w:val="Body"/>
      </w:pPr>
      <w:r>
        <w:t>Dynamic resistance should be inserted into the conduction-loss model at the time scale relevant to the switching sequence. In a hard-switched leg, the high-current interval and the preceding blocking stress may be strongly correlated. In a resonant or soft-switched stage, the voltage and current trajectories may reduce some stress while introducing a different recovery history. The device test should resemble the converter state sequence when the result is used for design.</w:t>
      </w:r>
    </w:p>
    <w:p w14:paraId="3CBDDD46" w14:textId="77777777" w:rsidR="00172353" w:rsidRDefault="00000000">
      <w:pPr>
        <w:pStyle w:val="Body"/>
      </w:pPr>
      <w:r>
        <w:t xml:space="preserve">A practical workflow is to measure </w:t>
      </w:r>
      <w:proofErr w:type="spellStart"/>
      <w:r>
        <w:t>RON,dyn</w:t>
      </w:r>
      <w:proofErr w:type="spellEnd"/>
      <w:r>
        <w:t xml:space="preserve"> over the expected operating envelope, fit conservative bounds, calculate the resulting conduction loss, and then repeat the </w:t>
      </w:r>
      <w:r>
        <w:lastRenderedPageBreak/>
        <w:t>measurement at the predicted junction temperature. This loop captures the feedback between resistance, loss and temperature without claiming that one test condition represents every mission profile.</w:t>
      </w:r>
    </w:p>
    <w:p w14:paraId="5ADE952E" w14:textId="77777777" w:rsidR="00172353" w:rsidRDefault="00000000">
      <w:pPr>
        <w:pStyle w:val="Body"/>
      </w:pPr>
      <w:r>
        <w:t xml:space="preserve">Gate-driver layout and package inductance matter because a false VDS measurement can be mistaken for dynamic RON. Kelvin source connections, controlled probe grounding, calibrated current sensing and a defined reference plane should be treated as part of the device </w:t>
      </w:r>
      <w:proofErr w:type="spellStart"/>
      <w:r>
        <w:t>characterisation</w:t>
      </w:r>
      <w:proofErr w:type="spellEnd"/>
      <w:r>
        <w:t xml:space="preserve"> fixture, not as optional laboratory details.</w:t>
      </w:r>
    </w:p>
    <w:p w14:paraId="280DDBE1" w14:textId="77777777" w:rsidR="00172353" w:rsidRDefault="00000000">
      <w:pPr>
        <w:pStyle w:val="Heading21"/>
        <w:spacing w:line="264" w:lineRule="auto"/>
      </w:pPr>
      <w:r>
        <w:t>6.1 From a resistance ratio to a conduction-loss estimate</w:t>
      </w:r>
    </w:p>
    <w:p w14:paraId="36B91C3B" w14:textId="77777777" w:rsidR="00172353" w:rsidRDefault="00000000">
      <w:pPr>
        <w:pStyle w:val="Body"/>
      </w:pPr>
      <w:r>
        <w:t xml:space="preserve">The conduction loss over a representative period T can be expressed as </w:t>
      </w:r>
      <w:proofErr w:type="spellStart"/>
      <w:r>
        <w:t>P_cond</w:t>
      </w:r>
      <w:proofErr w:type="spellEnd"/>
      <w:r>
        <w:t xml:space="preserve"> = (1/T)∫i²(t)</w:t>
      </w:r>
      <w:proofErr w:type="spellStart"/>
      <w:r>
        <w:t>R_on</w:t>
      </w:r>
      <w:proofErr w:type="spellEnd"/>
      <w:r>
        <w:t>(t)dt over conducting intervals. This expression explains why a single dynamic-resistance percentage is not a complete converter model. Resistance and current can vary together, and the largest resistance may occur when current is small or for only a short interval. Conversely, a moderate increase during the highest-current portion can have a large thermal consequence. A useful approximation divides the waveform into intervals with known current and an appropriately conditioned resistance. The accuracy of that approximation should be checked before adding further model complexity.</w:t>
      </w:r>
    </w:p>
    <w:p w14:paraId="767CE6EF" w14:textId="77777777" w:rsidR="00172353" w:rsidRDefault="00000000">
      <w:pPr>
        <w:pStyle w:val="Body"/>
      </w:pPr>
      <w:r>
        <w:t xml:space="preserve">An illustrative algebraic comparison clarifies the weighting. If resistance increases by a fraction δ only during an interval contributing a fraction g of the original i²-weighted conduction integral, the incremental conduction loss is approximately </w:t>
      </w:r>
      <w:proofErr w:type="spellStart"/>
      <w:r>
        <w:t>δg</w:t>
      </w:r>
      <w:proofErr w:type="spellEnd"/>
      <w:r>
        <w:t xml:space="preserve"> of the baseline, provided other waveform quantities remain unchanged. This is a conditional calculation, not a numerical result from a converter. It shows why applying the maximum measured ratio throughout the entire cycle can be overly conservative, while using only a late recovered sample can be optimistic. The correct choice depends on the location of the sample relative to the current waveform and the application’s history.</w:t>
      </w:r>
    </w:p>
    <w:p w14:paraId="30B4676B" w14:textId="77777777" w:rsidR="00172353" w:rsidRDefault="00000000">
      <w:pPr>
        <w:pStyle w:val="Body"/>
      </w:pPr>
      <w:r>
        <w:t>Switching loss must remain distinct from this conduction estimate. A dynamic-resistance test may correlate with switching stress, but the ratio alone does not determine turn-on or turn-off energy. The current and voltage trajectories during switching, output capacitance and gate drive must be considered separately. Total device loss combines these terms, and the resulting temperature feeds back into both the baseline resistance and trapping kinetics. A reduced electrothermal model can represent this interaction, but its parameters should be calibrated against independent waveforms. Reproducing the same experiment used for fitting is a consistency check, not strong evidence of predictive performance.</w:t>
      </w:r>
    </w:p>
    <w:p w14:paraId="13F052CF" w14:textId="77777777" w:rsidR="00172353" w:rsidRDefault="00000000">
      <w:pPr>
        <w:pStyle w:val="Heading21"/>
        <w:spacing w:line="264" w:lineRule="auto"/>
      </w:pPr>
      <w:r>
        <w:t>6.2 Forward and reverse conduction and topology dependence</w:t>
      </w:r>
    </w:p>
    <w:p w14:paraId="05A58800" w14:textId="77777777" w:rsidR="00172353" w:rsidRDefault="00000000">
      <w:pPr>
        <w:pStyle w:val="Body"/>
      </w:pPr>
      <w:r>
        <w:t>Xie et al. (2024) examined dynamic resistance under forward and reverse conduction using a multigroup double-pulse approach. This distinction is relevant to bridge converters because current direction and gate state can vary within a switching period. A forward-conduction ratio should not be assigned automatically to reverse conduction. The voltage drop can also contain contributions whose interpretation differs from a simple ohmic channel model. A converter study should therefore identify the conduction mode to which each parameter belongs and use the corresponding model rather than forcing all current directions into one resistance value.</w:t>
      </w:r>
    </w:p>
    <w:p w14:paraId="3A5F0F57" w14:textId="77777777" w:rsidR="00172353" w:rsidRDefault="00000000">
      <w:pPr>
        <w:pStyle w:val="Body"/>
      </w:pPr>
      <w:r>
        <w:t xml:space="preserve">Topology also changes the history presented to each switch. Two devices in the same bridge can experience different blocking durations, temperatures and transient events even </w:t>
      </w:r>
      <w:r>
        <w:lastRenderedPageBreak/>
        <w:t>when their nominal part numbers match. Synchronous operation, discontinuous current and burst control can alter those differences. The useful modelling boundary is consequently the individual device trajectory within the converter, rather than the converter’s average switching frequency alone. This does not imply that every switch requires an elaborate trap model. It means that simplification should follow evidence that the omitted history has little effect on the decision being made.</w:t>
      </w:r>
    </w:p>
    <w:p w14:paraId="6BDC3DF1" w14:textId="77777777" w:rsidR="00172353" w:rsidRDefault="00000000">
      <w:pPr>
        <w:pStyle w:val="Heading21"/>
        <w:spacing w:line="264" w:lineRule="auto"/>
      </w:pPr>
      <w:r>
        <w:t>6.3 Mitigation choices and their competing consequences</w:t>
      </w:r>
    </w:p>
    <w:p w14:paraId="7B412F5F" w14:textId="77777777" w:rsidR="00172353" w:rsidRDefault="00000000">
      <w:pPr>
        <w:pStyle w:val="Body"/>
      </w:pPr>
      <w:r>
        <w:t xml:space="preserve">Device selection, layout, gate drive and control can all change the observed dynamic penalty, but they act through different mechanisms. Selecting a device with a more suitable buffer or passivation targets the device physics. Reducing overshoot changes electrical stress. Modifying gate drive changes transition </w:t>
      </w:r>
      <w:proofErr w:type="spellStart"/>
      <w:r>
        <w:t>behaviour</w:t>
      </w:r>
      <w:proofErr w:type="spellEnd"/>
      <w:r>
        <w:t xml:space="preserve"> and may also alter measurement artefacts. Altering switching patterns changes dwell times and recovery. These options should be compared using the same mission profile and measurement definition. Otherwise a reported improvement may result from changing the observation window rather than improving the device’s </w:t>
      </w:r>
      <w:proofErr w:type="spellStart"/>
      <w:r>
        <w:t>behaviour</w:t>
      </w:r>
      <w:proofErr w:type="spellEnd"/>
      <w:r>
        <w:t xml:space="preserve"> under the original duty.</w:t>
      </w:r>
    </w:p>
    <w:p w14:paraId="0EC35437" w14:textId="77777777" w:rsidR="00172353" w:rsidRDefault="00000000">
      <w:pPr>
        <w:pStyle w:val="Body"/>
      </w:pPr>
      <w:r>
        <w:t>A control strategy that reduces trapping exposure may impose additional switching, conduction or control-complexity costs. Similarly, a slower transition can reduce overshoot while increasing switching energy. The decision should therefore be based on total loss, voltage margin and reliable operation together. The synthesis in Table 2 is intended to connect the measured quantity with the engineering decision it can support. It deliberately avoids ranking commercial technologies because the reviewed experiments are not a matched comparison. A universal ranking would require controlled samples, common temperature and stress conditions, and sufficient information about measurement uncertainty and device-to-device variation.</w:t>
      </w:r>
    </w:p>
    <w:p w14:paraId="76826977" w14:textId="77777777" w:rsidR="005E3049" w:rsidRDefault="00000000">
      <w:pPr>
        <w:pStyle w:val="Heading21"/>
        <w:spacing w:line="264" w:lineRule="auto"/>
      </w:pPr>
      <w:r>
        <w:t>6.4 Compact models and long-term degradation</w:t>
      </w:r>
    </w:p>
    <w:p w14:paraId="0414EFDF" w14:textId="77777777" w:rsidR="005E3049" w:rsidRDefault="00000000">
      <w:pPr>
        <w:pStyle w:val="Body"/>
      </w:pPr>
      <w:r>
        <w:t>Sun et al. (2025) investigate a commercial 100 V Schottky-type p-GaN HEMT under hard switching and augment a static SPICE model with empirical dynamic behaviour. Their pulse-test and TCAD interpretation distinguishes threshold shift and hot-electron effects associated with gate-to-drain stress. This provides a device-specific path from characterisation to circuit modelling; it does not justify applying the fitted behaviour to other gate structures or to ZVS without validation.</w:t>
      </w:r>
    </w:p>
    <w:p w14:paraId="3242F862" w14:textId="77777777" w:rsidR="005E3049" w:rsidRDefault="00000000">
      <w:pPr>
        <w:pStyle w:val="Body"/>
      </w:pPr>
      <w:r>
        <w:t>Ma et al. (2024) incorporate ageing-dependent mobility changes into an ASM-HEMT-based compact model, using accelerated-stress evidence to represent dynamic resistance degradation. The reported 1.68% RMSE concerns agreement between measurement and simulation for their high-temperature reverse-bias stress data. It is not a lifetime-prediction uncertainty or a guaranteed error for arbitrary converter missions. Transient trap occupancy and irreversible ageing should remain separate model states unless the experiment establishes their relationship. A model intended for converter design should therefore be evaluated on bias histories and temperatures withheld from fitting, including recovery and repeat stressing.</w:t>
      </w:r>
    </w:p>
    <w:p w14:paraId="4E3F8E2F" w14:textId="77777777" w:rsidR="005E3049" w:rsidRDefault="00000000">
      <w:pPr>
        <w:pStyle w:val="Body"/>
      </w:pPr>
      <w:r>
        <w:t xml:space="preserve">Hard-switching, ZVS and reverse-conduction evidence should also remain separate. Zulauf et al. (2020b) examine repetitive ZVS operation up to 5 MHz, while Sun et al. (2025) address a 100 V device in hard switching and Xie et al. (2024) distinguish forward and reverse </w:t>
      </w:r>
      <w:r>
        <w:lastRenderedPageBreak/>
        <w:t>conduction. These protocols expose different electric-field and carrier histories. Their numerical results cannot be ranked by frequency or voltage alone. Table 2 makes those boundaries explicit; the reporting fields in Table 3 specify the minimum context needed for a useful comparison.</w:t>
      </w:r>
    </w:p>
    <w:p w14:paraId="773E7EF5" w14:textId="77777777" w:rsidR="00172353" w:rsidRDefault="00000000">
      <w:pPr>
        <w:pStyle w:val="Body"/>
      </w:pPr>
      <w:r>
        <w:t>Table 2 compares selected device and modelling studies. Ratios, frequency limits and fitting errors represent different observables and are not combined into a pooled penalty.</w:t>
      </w:r>
    </w:p>
    <w:p w14:paraId="33996DB2" w14:textId="77777777" w:rsidR="00172353" w:rsidRDefault="00000000">
      <w:pPr>
        <w:pStyle w:val="Caption1"/>
        <w:keepNext/>
        <w:spacing w:line="264" w:lineRule="auto"/>
      </w:pPr>
      <w:r>
        <w:t>Table 2. Quantitative evidence and its device-specific interpretation</w:t>
      </w:r>
    </w:p>
    <w:tbl>
      <w:tblPr>
        <w:tblW w:w="0" w:type="auto"/>
        <w:tblLayout w:type="fixed"/>
        <w:tblLook w:val="04A0" w:firstRow="1" w:lastRow="0" w:firstColumn="1" w:lastColumn="0" w:noHBand="0" w:noVBand="1"/>
      </w:tblPr>
      <w:tblGrid>
        <w:gridCol w:w="1888"/>
        <w:gridCol w:w="3119"/>
        <w:gridCol w:w="3201"/>
      </w:tblGrid>
      <w:tr w:rsidR="005E3049" w14:paraId="5F15B4A9" w14:textId="77777777">
        <w:trPr>
          <w:cantSplit/>
          <w:tblHeader/>
        </w:trPr>
        <w:tc>
          <w:tcPr>
            <w:tcW w:w="1888" w:type="dxa"/>
            <w:tcBorders>
              <w:top w:val="single" w:sz="4" w:space="0" w:color="D9D9D9"/>
              <w:left w:val="single" w:sz="4" w:space="0" w:color="D9D9D9"/>
              <w:bottom w:val="single" w:sz="4" w:space="0" w:color="D9D9D9"/>
              <w:right w:val="single" w:sz="4" w:space="0" w:color="D9D9D9"/>
            </w:tcBorders>
            <w:shd w:val="clear" w:color="auto" w:fill="EAEAEA"/>
          </w:tcPr>
          <w:p w14:paraId="201226B3" w14:textId="77777777" w:rsidR="005E3049" w:rsidRDefault="00000000">
            <w:pPr>
              <w:spacing w:before="60" w:after="60" w:line="264" w:lineRule="auto"/>
            </w:pPr>
            <w:r>
              <w:rPr>
                <w:b/>
                <w:sz w:val="18"/>
              </w:rPr>
              <w:t>Study and test context</w:t>
            </w:r>
          </w:p>
        </w:tc>
        <w:tc>
          <w:tcPr>
            <w:tcW w:w="3119" w:type="dxa"/>
            <w:tcBorders>
              <w:top w:val="single" w:sz="4" w:space="0" w:color="D9D9D9"/>
              <w:left w:val="single" w:sz="4" w:space="0" w:color="D9D9D9"/>
              <w:bottom w:val="single" w:sz="4" w:space="0" w:color="D9D9D9"/>
              <w:right w:val="single" w:sz="4" w:space="0" w:color="D9D9D9"/>
            </w:tcBorders>
            <w:shd w:val="clear" w:color="auto" w:fill="EAEAEA"/>
          </w:tcPr>
          <w:p w14:paraId="73635D1E" w14:textId="77777777" w:rsidR="005E3049" w:rsidRDefault="00000000">
            <w:pPr>
              <w:spacing w:before="60" w:after="60" w:line="264" w:lineRule="auto"/>
            </w:pPr>
            <w:r>
              <w:rPr>
                <w:b/>
                <w:sz w:val="18"/>
              </w:rPr>
              <w:t>Reported quantity or finding</w:t>
            </w:r>
          </w:p>
        </w:tc>
        <w:tc>
          <w:tcPr>
            <w:tcW w:w="3201" w:type="dxa"/>
            <w:tcBorders>
              <w:top w:val="single" w:sz="4" w:space="0" w:color="D9D9D9"/>
              <w:left w:val="single" w:sz="4" w:space="0" w:color="D9D9D9"/>
              <w:bottom w:val="single" w:sz="4" w:space="0" w:color="D9D9D9"/>
              <w:right w:val="single" w:sz="4" w:space="0" w:color="D9D9D9"/>
            </w:tcBorders>
            <w:shd w:val="clear" w:color="auto" w:fill="EAEAEA"/>
          </w:tcPr>
          <w:p w14:paraId="45F83BAA" w14:textId="77777777" w:rsidR="005E3049" w:rsidRDefault="00000000">
            <w:pPr>
              <w:spacing w:before="60" w:after="60" w:line="264" w:lineRule="auto"/>
            </w:pPr>
            <w:r>
              <w:rPr>
                <w:b/>
                <w:sz w:val="18"/>
              </w:rPr>
              <w:t>Limit on comparison</w:t>
            </w:r>
          </w:p>
        </w:tc>
      </w:tr>
      <w:tr w:rsidR="005E3049" w14:paraId="292741FA"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5EC0914F" w14:textId="77777777" w:rsidR="005E3049" w:rsidRDefault="00000000">
            <w:pPr>
              <w:spacing w:before="60" w:after="60" w:line="264" w:lineRule="auto"/>
            </w:pPr>
            <w:r>
              <w:rPr>
                <w:sz w:val="18"/>
              </w:rPr>
              <w:t>Wang et al. (2021); commercial p-GaN, double/multiple pulses</w:t>
            </w:r>
          </w:p>
        </w:tc>
        <w:tc>
          <w:tcPr>
            <w:tcW w:w="3119" w:type="dxa"/>
            <w:tcBorders>
              <w:top w:val="single" w:sz="4" w:space="0" w:color="D9D9D9"/>
              <w:left w:val="single" w:sz="4" w:space="0" w:color="D9D9D9"/>
              <w:bottom w:val="single" w:sz="4" w:space="0" w:color="D9D9D9"/>
              <w:right w:val="single" w:sz="4" w:space="0" w:color="D9D9D9"/>
            </w:tcBorders>
          </w:tcPr>
          <w:p w14:paraId="1C935C58" w14:textId="77777777" w:rsidR="005E3049" w:rsidRDefault="00000000">
            <w:pPr>
              <w:spacing w:before="60" w:after="60" w:line="264" w:lineRule="auto"/>
            </w:pPr>
            <w:r>
              <w:rPr>
                <w:sz w:val="18"/>
              </w:rPr>
              <w:t>Normalised resistance about 1.22 at intermediate stress in the reported test</w:t>
            </w:r>
          </w:p>
        </w:tc>
        <w:tc>
          <w:tcPr>
            <w:tcW w:w="3201" w:type="dxa"/>
            <w:tcBorders>
              <w:top w:val="single" w:sz="4" w:space="0" w:color="D9D9D9"/>
              <w:left w:val="single" w:sz="4" w:space="0" w:color="D9D9D9"/>
              <w:bottom w:val="single" w:sz="4" w:space="0" w:color="D9D9D9"/>
              <w:right w:val="single" w:sz="4" w:space="0" w:color="D9D9D9"/>
            </w:tcBorders>
          </w:tcPr>
          <w:p w14:paraId="5C4A4ADF" w14:textId="77777777" w:rsidR="005E3049" w:rsidRDefault="00000000">
            <w:pPr>
              <w:spacing w:before="60" w:after="60" w:line="264" w:lineRule="auto"/>
            </w:pPr>
            <w:r>
              <w:rPr>
                <w:sz w:val="18"/>
              </w:rPr>
              <w:t>Non-monotonic voltage dependence; fixed protocol essential</w:t>
            </w:r>
          </w:p>
        </w:tc>
      </w:tr>
      <w:tr w:rsidR="005E3049" w14:paraId="119D4841"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621ADC0D" w14:textId="77777777" w:rsidR="005E3049" w:rsidRDefault="00000000">
            <w:pPr>
              <w:spacing w:before="60" w:after="60" w:line="264" w:lineRule="auto"/>
            </w:pPr>
            <w:r>
              <w:rPr>
                <w:sz w:val="18"/>
              </w:rPr>
              <w:t>Zulauf et al. (2020b); continuous ZVS GaN-on-Si</w:t>
            </w:r>
          </w:p>
        </w:tc>
        <w:tc>
          <w:tcPr>
            <w:tcW w:w="3119" w:type="dxa"/>
            <w:tcBorders>
              <w:top w:val="single" w:sz="4" w:space="0" w:color="D9D9D9"/>
              <w:left w:val="single" w:sz="4" w:space="0" w:color="D9D9D9"/>
              <w:bottom w:val="single" w:sz="4" w:space="0" w:color="D9D9D9"/>
              <w:right w:val="single" w:sz="4" w:space="0" w:color="D9D9D9"/>
            </w:tcBorders>
          </w:tcPr>
          <w:p w14:paraId="3B78BC75" w14:textId="77777777" w:rsidR="005E3049" w:rsidRDefault="00000000">
            <w:pPr>
              <w:spacing w:before="60" w:after="60" w:line="264" w:lineRule="auto"/>
            </w:pPr>
            <w:r>
              <w:rPr>
                <w:sz w:val="18"/>
              </w:rPr>
              <w:t>Measurements up to 5 MHz</w:t>
            </w:r>
          </w:p>
        </w:tc>
        <w:tc>
          <w:tcPr>
            <w:tcW w:w="3201" w:type="dxa"/>
            <w:tcBorders>
              <w:top w:val="single" w:sz="4" w:space="0" w:color="D9D9D9"/>
              <w:left w:val="single" w:sz="4" w:space="0" w:color="D9D9D9"/>
              <w:bottom w:val="single" w:sz="4" w:space="0" w:color="D9D9D9"/>
              <w:right w:val="single" w:sz="4" w:space="0" w:color="D9D9D9"/>
            </w:tcBorders>
          </w:tcPr>
          <w:p w14:paraId="21E2B743" w14:textId="77777777" w:rsidR="005E3049" w:rsidRDefault="00000000">
            <w:pPr>
              <w:spacing w:before="60" w:after="60" w:line="264" w:lineRule="auto"/>
            </w:pPr>
            <w:r>
              <w:rPr>
                <w:sz w:val="18"/>
              </w:rPr>
              <w:t>Frequency ceiling of this study, not a universal device limit</w:t>
            </w:r>
          </w:p>
        </w:tc>
      </w:tr>
      <w:tr w:rsidR="005E3049" w14:paraId="3399167E"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59E9A0F5" w14:textId="77777777" w:rsidR="005E3049" w:rsidRDefault="00000000">
            <w:pPr>
              <w:spacing w:before="60" w:after="60" w:line="264" w:lineRule="auto"/>
            </w:pPr>
            <w:r>
              <w:rPr>
                <w:sz w:val="18"/>
              </w:rPr>
              <w:t>Bergsten et al. (2018); C-doped microwave HEMTs</w:t>
            </w:r>
          </w:p>
        </w:tc>
        <w:tc>
          <w:tcPr>
            <w:tcW w:w="3119" w:type="dxa"/>
            <w:tcBorders>
              <w:top w:val="single" w:sz="4" w:space="0" w:color="D9D9D9"/>
              <w:left w:val="single" w:sz="4" w:space="0" w:color="D9D9D9"/>
              <w:bottom w:val="single" w:sz="4" w:space="0" w:color="D9D9D9"/>
              <w:right w:val="single" w:sz="4" w:space="0" w:color="D9D9D9"/>
            </w:tcBorders>
          </w:tcPr>
          <w:p w14:paraId="72D0AB72" w14:textId="77777777" w:rsidR="005E3049" w:rsidRDefault="00000000">
            <w:pPr>
              <w:spacing w:before="60" w:after="60" w:line="264" w:lineRule="auto"/>
            </w:pPr>
            <w:r>
              <w:rPr>
                <w:sz w:val="18"/>
              </w:rPr>
              <w:t>Dynamic resistance 3–4 times DC value</w:t>
            </w:r>
          </w:p>
        </w:tc>
        <w:tc>
          <w:tcPr>
            <w:tcW w:w="3201" w:type="dxa"/>
            <w:tcBorders>
              <w:top w:val="single" w:sz="4" w:space="0" w:color="D9D9D9"/>
              <w:left w:val="single" w:sz="4" w:space="0" w:color="D9D9D9"/>
              <w:bottom w:val="single" w:sz="4" w:space="0" w:color="D9D9D9"/>
              <w:right w:val="single" w:sz="4" w:space="0" w:color="D9D9D9"/>
            </w:tcBorders>
          </w:tcPr>
          <w:p w14:paraId="4A4E2974" w14:textId="77777777" w:rsidR="005E3049" w:rsidRDefault="00000000">
            <w:pPr>
              <w:spacing w:before="60" w:after="60" w:line="264" w:lineRule="auto"/>
            </w:pPr>
            <w:r>
              <w:rPr>
                <w:sz w:val="18"/>
              </w:rPr>
              <w:t>RF epitaxial population; not a power-converter multiplier</w:t>
            </w:r>
          </w:p>
        </w:tc>
      </w:tr>
      <w:tr w:rsidR="005E3049" w14:paraId="618770F4"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1300A0F7" w14:textId="77777777" w:rsidR="005E3049" w:rsidRDefault="00000000">
            <w:pPr>
              <w:spacing w:before="60" w:after="60" w:line="264" w:lineRule="auto"/>
            </w:pPr>
            <w:r>
              <w:rPr>
                <w:sz w:val="18"/>
              </w:rPr>
              <w:t>Chang et al. (2025); C and C/Fe buffers</w:t>
            </w:r>
          </w:p>
        </w:tc>
        <w:tc>
          <w:tcPr>
            <w:tcW w:w="3119" w:type="dxa"/>
            <w:tcBorders>
              <w:top w:val="single" w:sz="4" w:space="0" w:color="D9D9D9"/>
              <w:left w:val="single" w:sz="4" w:space="0" w:color="D9D9D9"/>
              <w:bottom w:val="single" w:sz="4" w:space="0" w:color="D9D9D9"/>
              <w:right w:val="single" w:sz="4" w:space="0" w:color="D9D9D9"/>
            </w:tcBorders>
          </w:tcPr>
          <w:p w14:paraId="1A2BD842" w14:textId="77777777" w:rsidR="005E3049" w:rsidRDefault="00000000">
            <w:pPr>
              <w:spacing w:before="60" w:after="60" w:line="264" w:lineRule="auto"/>
            </w:pPr>
            <w:r>
              <w:rPr>
                <w:sz w:val="18"/>
              </w:rPr>
              <w:t>C-only better dynamic response; composite better breakdown and sheet resistance</w:t>
            </w:r>
          </w:p>
        </w:tc>
        <w:tc>
          <w:tcPr>
            <w:tcW w:w="3201" w:type="dxa"/>
            <w:tcBorders>
              <w:top w:val="single" w:sz="4" w:space="0" w:color="D9D9D9"/>
              <w:left w:val="single" w:sz="4" w:space="0" w:color="D9D9D9"/>
              <w:bottom w:val="single" w:sz="4" w:space="0" w:color="D9D9D9"/>
              <w:right w:val="single" w:sz="4" w:space="0" w:color="D9D9D9"/>
            </w:tcBorders>
          </w:tcPr>
          <w:p w14:paraId="1F141C1E" w14:textId="77777777" w:rsidR="005E3049" w:rsidRDefault="00000000">
            <w:pPr>
              <w:spacing w:before="60" w:after="60" w:line="264" w:lineRule="auto"/>
            </w:pPr>
            <w:r>
              <w:rPr>
                <w:sz w:val="18"/>
              </w:rPr>
              <w:t>Competing metrics; no universal dopant ranking</w:t>
            </w:r>
          </w:p>
        </w:tc>
      </w:tr>
      <w:tr w:rsidR="005E3049" w14:paraId="1EA19E96"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24053A7A" w14:textId="77777777" w:rsidR="005E3049" w:rsidRDefault="00000000">
            <w:pPr>
              <w:spacing w:before="60" w:after="60" w:line="264" w:lineRule="auto"/>
            </w:pPr>
            <w:r>
              <w:rPr>
                <w:sz w:val="18"/>
              </w:rPr>
              <w:t>Sun et al. (2025); 100 V Schottky p-GaN</w:t>
            </w:r>
          </w:p>
        </w:tc>
        <w:tc>
          <w:tcPr>
            <w:tcW w:w="3119" w:type="dxa"/>
            <w:tcBorders>
              <w:top w:val="single" w:sz="4" w:space="0" w:color="D9D9D9"/>
              <w:left w:val="single" w:sz="4" w:space="0" w:color="D9D9D9"/>
              <w:bottom w:val="single" w:sz="4" w:space="0" w:color="D9D9D9"/>
              <w:right w:val="single" w:sz="4" w:space="0" w:color="D9D9D9"/>
            </w:tcBorders>
          </w:tcPr>
          <w:p w14:paraId="77A11B21" w14:textId="77777777" w:rsidR="005E3049" w:rsidRDefault="00000000">
            <w:pPr>
              <w:spacing w:before="60" w:after="60" w:line="264" w:lineRule="auto"/>
            </w:pPr>
            <w:r>
              <w:rPr>
                <w:sz w:val="18"/>
              </w:rPr>
              <w:t>Hard-switching empirical model supported by pulse tests and TCAD</w:t>
            </w:r>
          </w:p>
        </w:tc>
        <w:tc>
          <w:tcPr>
            <w:tcW w:w="3201" w:type="dxa"/>
            <w:tcBorders>
              <w:top w:val="single" w:sz="4" w:space="0" w:color="D9D9D9"/>
              <w:left w:val="single" w:sz="4" w:space="0" w:color="D9D9D9"/>
              <w:bottom w:val="single" w:sz="4" w:space="0" w:color="D9D9D9"/>
              <w:right w:val="single" w:sz="4" w:space="0" w:color="D9D9D9"/>
            </w:tcBorders>
          </w:tcPr>
          <w:p w14:paraId="7A9AC5C2" w14:textId="77777777" w:rsidR="005E3049" w:rsidRDefault="00000000">
            <w:pPr>
              <w:spacing w:before="60" w:after="60" w:line="264" w:lineRule="auto"/>
            </w:pPr>
            <w:r>
              <w:rPr>
                <w:sz w:val="18"/>
              </w:rPr>
              <w:t>Fitted architecture and stress domain</w:t>
            </w:r>
          </w:p>
        </w:tc>
      </w:tr>
      <w:tr w:rsidR="005E3049" w14:paraId="08790CF1"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394DA4C1" w14:textId="77777777" w:rsidR="005E3049" w:rsidRDefault="00000000">
            <w:pPr>
              <w:spacing w:before="60" w:after="60" w:line="264" w:lineRule="auto"/>
            </w:pPr>
            <w:r>
              <w:rPr>
                <w:sz w:val="18"/>
              </w:rPr>
              <w:t>Ma et al. (2024); accelerated ageing and compact model</w:t>
            </w:r>
          </w:p>
        </w:tc>
        <w:tc>
          <w:tcPr>
            <w:tcW w:w="3119" w:type="dxa"/>
            <w:tcBorders>
              <w:top w:val="single" w:sz="4" w:space="0" w:color="D9D9D9"/>
              <w:left w:val="single" w:sz="4" w:space="0" w:color="D9D9D9"/>
              <w:bottom w:val="single" w:sz="4" w:space="0" w:color="D9D9D9"/>
              <w:right w:val="single" w:sz="4" w:space="0" w:color="D9D9D9"/>
            </w:tcBorders>
          </w:tcPr>
          <w:p w14:paraId="72B645CB" w14:textId="77777777" w:rsidR="005E3049" w:rsidRDefault="00000000">
            <w:pPr>
              <w:spacing w:before="60" w:after="60" w:line="264" w:lineRule="auto"/>
            </w:pPr>
            <w:r>
              <w:rPr>
                <w:sz w:val="18"/>
              </w:rPr>
              <w:t>1.68% RMSE for reported stress-data fit</w:t>
            </w:r>
          </w:p>
        </w:tc>
        <w:tc>
          <w:tcPr>
            <w:tcW w:w="3201" w:type="dxa"/>
            <w:tcBorders>
              <w:top w:val="single" w:sz="4" w:space="0" w:color="D9D9D9"/>
              <w:left w:val="single" w:sz="4" w:space="0" w:color="D9D9D9"/>
              <w:bottom w:val="single" w:sz="4" w:space="0" w:color="D9D9D9"/>
              <w:right w:val="single" w:sz="4" w:space="0" w:color="D9D9D9"/>
            </w:tcBorders>
          </w:tcPr>
          <w:p w14:paraId="55A07A1A" w14:textId="77777777" w:rsidR="005E3049" w:rsidRDefault="00000000">
            <w:pPr>
              <w:spacing w:before="60" w:after="60" w:line="264" w:lineRule="auto"/>
            </w:pPr>
            <w:r>
              <w:rPr>
                <w:sz w:val="18"/>
              </w:rPr>
              <w:t>Fit metric, not remaining-life confidence</w:t>
            </w:r>
          </w:p>
        </w:tc>
      </w:tr>
      <w:tr w:rsidR="005E3049" w14:paraId="664EFEE4"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26F236B2" w14:textId="77777777" w:rsidR="005E3049" w:rsidRDefault="00000000">
            <w:pPr>
              <w:spacing w:before="60" w:after="60" w:line="264" w:lineRule="auto"/>
            </w:pPr>
            <w:r>
              <w:rPr>
                <w:sz w:val="18"/>
              </w:rPr>
              <w:t>Kim et al. (2023); MISHEMT passivation</w:t>
            </w:r>
          </w:p>
        </w:tc>
        <w:tc>
          <w:tcPr>
            <w:tcW w:w="3119" w:type="dxa"/>
            <w:tcBorders>
              <w:top w:val="single" w:sz="4" w:space="0" w:color="D9D9D9"/>
              <w:left w:val="single" w:sz="4" w:space="0" w:color="D9D9D9"/>
              <w:bottom w:val="single" w:sz="4" w:space="0" w:color="D9D9D9"/>
              <w:right w:val="single" w:sz="4" w:space="0" w:color="D9D9D9"/>
            </w:tcBorders>
          </w:tcPr>
          <w:p w14:paraId="35290688" w14:textId="77777777" w:rsidR="005E3049" w:rsidRDefault="00000000">
            <w:pPr>
              <w:spacing w:before="60" w:after="60" w:line="264" w:lineRule="auto"/>
            </w:pPr>
            <w:r>
              <w:rPr>
                <w:sz w:val="18"/>
              </w:rPr>
              <w:t>Reduced dynamic-resistance increase with in situ SiN</w:t>
            </w:r>
          </w:p>
        </w:tc>
        <w:tc>
          <w:tcPr>
            <w:tcW w:w="3201" w:type="dxa"/>
            <w:tcBorders>
              <w:top w:val="single" w:sz="4" w:space="0" w:color="D9D9D9"/>
              <w:left w:val="single" w:sz="4" w:space="0" w:color="D9D9D9"/>
              <w:bottom w:val="single" w:sz="4" w:space="0" w:color="D9D9D9"/>
              <w:right w:val="single" w:sz="4" w:space="0" w:color="D9D9D9"/>
            </w:tcBorders>
          </w:tcPr>
          <w:p w14:paraId="01EC6E45" w14:textId="77777777" w:rsidR="005E3049" w:rsidRDefault="00000000">
            <w:pPr>
              <w:spacing w:before="60" w:after="60" w:line="264" w:lineRule="auto"/>
            </w:pPr>
            <w:r>
              <w:rPr>
                <w:sz w:val="18"/>
              </w:rPr>
              <w:t>Surface remedy does not resolve every buffer mechanism</w:t>
            </w:r>
          </w:p>
        </w:tc>
      </w:tr>
      <w:tr w:rsidR="005E3049" w14:paraId="7B8FE73B"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7F956903" w14:textId="77777777" w:rsidR="005E3049" w:rsidRDefault="00000000">
            <w:pPr>
              <w:spacing w:before="60" w:after="60" w:line="264" w:lineRule="auto"/>
            </w:pPr>
            <w:r>
              <w:rPr>
                <w:sz w:val="18"/>
              </w:rPr>
              <w:t>Xie et al. (2024); forward/reverse multigroup pulses</w:t>
            </w:r>
          </w:p>
        </w:tc>
        <w:tc>
          <w:tcPr>
            <w:tcW w:w="3119" w:type="dxa"/>
            <w:tcBorders>
              <w:top w:val="single" w:sz="4" w:space="0" w:color="D9D9D9"/>
              <w:left w:val="single" w:sz="4" w:space="0" w:color="D9D9D9"/>
              <w:bottom w:val="single" w:sz="4" w:space="0" w:color="D9D9D9"/>
              <w:right w:val="single" w:sz="4" w:space="0" w:color="D9D9D9"/>
            </w:tcBorders>
          </w:tcPr>
          <w:p w14:paraId="21EA966C" w14:textId="77777777" w:rsidR="005E3049" w:rsidRDefault="00000000">
            <w:pPr>
              <w:spacing w:before="60" w:after="60" w:line="264" w:lineRule="auto"/>
            </w:pPr>
            <w:r>
              <w:rPr>
                <w:sz w:val="18"/>
              </w:rPr>
              <w:t>Conduction-direction-aware characterisation</w:t>
            </w:r>
          </w:p>
        </w:tc>
        <w:tc>
          <w:tcPr>
            <w:tcW w:w="3201" w:type="dxa"/>
            <w:tcBorders>
              <w:top w:val="single" w:sz="4" w:space="0" w:color="D9D9D9"/>
              <w:left w:val="single" w:sz="4" w:space="0" w:color="D9D9D9"/>
              <w:bottom w:val="single" w:sz="4" w:space="0" w:color="D9D9D9"/>
              <w:right w:val="single" w:sz="4" w:space="0" w:color="D9D9D9"/>
            </w:tcBorders>
          </w:tcPr>
          <w:p w14:paraId="3F996A4D" w14:textId="77777777" w:rsidR="005E3049" w:rsidRDefault="00000000">
            <w:pPr>
              <w:spacing w:before="60" w:after="60" w:line="264" w:lineRule="auto"/>
            </w:pPr>
            <w:r>
              <w:rPr>
                <w:sz w:val="18"/>
              </w:rPr>
              <w:t>Bias history and reverse interval must be retained</w:t>
            </w:r>
          </w:p>
        </w:tc>
      </w:tr>
    </w:tbl>
    <w:p w14:paraId="5AA6CBC7" w14:textId="77777777" w:rsidR="00172353" w:rsidRDefault="00000000">
      <w:pPr>
        <w:pStyle w:val="Body"/>
      </w:pPr>
      <w:r>
        <w:t>Table 3 defines the conditions needed to reproduce and interpret a dynamic-resistance result.</w:t>
      </w:r>
    </w:p>
    <w:p w14:paraId="4BE4692F" w14:textId="77777777" w:rsidR="00172353" w:rsidRDefault="00000000">
      <w:pPr>
        <w:pStyle w:val="Caption1"/>
        <w:keepNext/>
        <w:spacing w:line="264" w:lineRule="auto"/>
      </w:pPr>
      <w:r>
        <w:t>Table 3. Recommended reporting fields for a dynamic-resistance result</w:t>
      </w:r>
    </w:p>
    <w:tbl>
      <w:tblPr>
        <w:tblW w:w="0" w:type="auto"/>
        <w:tblLayout w:type="fixed"/>
        <w:tblLook w:val="04A0" w:firstRow="1" w:lastRow="0" w:firstColumn="1" w:lastColumn="0" w:noHBand="0" w:noVBand="1"/>
      </w:tblPr>
      <w:tblGrid>
        <w:gridCol w:w="1888"/>
        <w:gridCol w:w="3119"/>
        <w:gridCol w:w="3201"/>
      </w:tblGrid>
      <w:tr w:rsidR="00172353" w14:paraId="75D49402" w14:textId="77777777">
        <w:trPr>
          <w:cantSplit/>
          <w:tblHeader/>
        </w:trPr>
        <w:tc>
          <w:tcPr>
            <w:tcW w:w="1888" w:type="dxa"/>
            <w:tcBorders>
              <w:top w:val="single" w:sz="4" w:space="0" w:color="D9D9D9"/>
              <w:left w:val="single" w:sz="4" w:space="0" w:color="D9D9D9"/>
              <w:bottom w:val="single" w:sz="4" w:space="0" w:color="D9D9D9"/>
              <w:right w:val="single" w:sz="4" w:space="0" w:color="D9D9D9"/>
            </w:tcBorders>
            <w:shd w:val="clear" w:color="auto" w:fill="EAEAEA"/>
          </w:tcPr>
          <w:p w14:paraId="14A40C64" w14:textId="77777777" w:rsidR="00172353" w:rsidRDefault="00000000">
            <w:pPr>
              <w:spacing w:before="60" w:after="60" w:line="264" w:lineRule="auto"/>
            </w:pPr>
            <w:r>
              <w:rPr>
                <w:b/>
                <w:sz w:val="18"/>
              </w:rPr>
              <w:t>Field</w:t>
            </w:r>
          </w:p>
        </w:tc>
        <w:tc>
          <w:tcPr>
            <w:tcW w:w="3119" w:type="dxa"/>
            <w:tcBorders>
              <w:top w:val="single" w:sz="4" w:space="0" w:color="D9D9D9"/>
              <w:left w:val="single" w:sz="4" w:space="0" w:color="D9D9D9"/>
              <w:bottom w:val="single" w:sz="4" w:space="0" w:color="D9D9D9"/>
              <w:right w:val="single" w:sz="4" w:space="0" w:color="D9D9D9"/>
            </w:tcBorders>
            <w:shd w:val="clear" w:color="auto" w:fill="EAEAEA"/>
          </w:tcPr>
          <w:p w14:paraId="747C0369" w14:textId="77777777" w:rsidR="00172353" w:rsidRDefault="00000000">
            <w:pPr>
              <w:spacing w:before="60" w:after="60" w:line="264" w:lineRule="auto"/>
            </w:pPr>
            <w:r>
              <w:rPr>
                <w:b/>
                <w:sz w:val="18"/>
              </w:rPr>
              <w:t>Example reporting requirement</w:t>
            </w:r>
          </w:p>
        </w:tc>
        <w:tc>
          <w:tcPr>
            <w:tcW w:w="3201" w:type="dxa"/>
            <w:tcBorders>
              <w:top w:val="single" w:sz="4" w:space="0" w:color="D9D9D9"/>
              <w:left w:val="single" w:sz="4" w:space="0" w:color="D9D9D9"/>
              <w:bottom w:val="single" w:sz="4" w:space="0" w:color="D9D9D9"/>
              <w:right w:val="single" w:sz="4" w:space="0" w:color="D9D9D9"/>
            </w:tcBorders>
            <w:shd w:val="clear" w:color="auto" w:fill="EAEAEA"/>
          </w:tcPr>
          <w:p w14:paraId="549BBDFE" w14:textId="77777777" w:rsidR="00172353" w:rsidRDefault="00000000">
            <w:pPr>
              <w:spacing w:before="60" w:after="60" w:line="264" w:lineRule="auto"/>
            </w:pPr>
            <w:r>
              <w:rPr>
                <w:b/>
                <w:sz w:val="18"/>
              </w:rPr>
              <w:t>Reason</w:t>
            </w:r>
          </w:p>
        </w:tc>
      </w:tr>
      <w:tr w:rsidR="00172353" w14:paraId="304AE074"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773F0FA7" w14:textId="77777777" w:rsidR="00172353" w:rsidRDefault="00000000">
            <w:pPr>
              <w:spacing w:before="60" w:after="60" w:line="264" w:lineRule="auto"/>
            </w:pPr>
            <w:r>
              <w:rPr>
                <w:sz w:val="18"/>
              </w:rPr>
              <w:t>Device</w:t>
            </w:r>
          </w:p>
        </w:tc>
        <w:tc>
          <w:tcPr>
            <w:tcW w:w="3119" w:type="dxa"/>
            <w:tcBorders>
              <w:top w:val="single" w:sz="4" w:space="0" w:color="D9D9D9"/>
              <w:left w:val="single" w:sz="4" w:space="0" w:color="D9D9D9"/>
              <w:bottom w:val="single" w:sz="4" w:space="0" w:color="D9D9D9"/>
              <w:right w:val="single" w:sz="4" w:space="0" w:color="D9D9D9"/>
            </w:tcBorders>
          </w:tcPr>
          <w:p w14:paraId="49486E7B" w14:textId="77777777" w:rsidR="00172353" w:rsidRDefault="00000000">
            <w:pPr>
              <w:spacing w:before="60" w:after="60" w:line="264" w:lineRule="auto"/>
            </w:pPr>
            <w:r>
              <w:rPr>
                <w:sz w:val="18"/>
              </w:rPr>
              <w:t>Part number, voltage class, structure and package</w:t>
            </w:r>
          </w:p>
        </w:tc>
        <w:tc>
          <w:tcPr>
            <w:tcW w:w="3201" w:type="dxa"/>
            <w:tcBorders>
              <w:top w:val="single" w:sz="4" w:space="0" w:color="D9D9D9"/>
              <w:left w:val="single" w:sz="4" w:space="0" w:color="D9D9D9"/>
              <w:bottom w:val="single" w:sz="4" w:space="0" w:color="D9D9D9"/>
              <w:right w:val="single" w:sz="4" w:space="0" w:color="D9D9D9"/>
            </w:tcBorders>
          </w:tcPr>
          <w:p w14:paraId="7AC3456A" w14:textId="77777777" w:rsidR="00172353" w:rsidRDefault="00000000">
            <w:pPr>
              <w:spacing w:before="60" w:after="60" w:line="264" w:lineRule="auto"/>
            </w:pPr>
            <w:r>
              <w:rPr>
                <w:sz w:val="18"/>
              </w:rPr>
              <w:t>Separates technologies and parasitic paths</w:t>
            </w:r>
          </w:p>
        </w:tc>
      </w:tr>
      <w:tr w:rsidR="00172353" w14:paraId="7673EADB"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4391A02D" w14:textId="77777777" w:rsidR="00172353" w:rsidRDefault="00000000">
            <w:pPr>
              <w:spacing w:before="60" w:after="60" w:line="264" w:lineRule="auto"/>
            </w:pPr>
            <w:r>
              <w:rPr>
                <w:sz w:val="18"/>
              </w:rPr>
              <w:t>Stress</w:t>
            </w:r>
          </w:p>
        </w:tc>
        <w:tc>
          <w:tcPr>
            <w:tcW w:w="3119" w:type="dxa"/>
            <w:tcBorders>
              <w:top w:val="single" w:sz="4" w:space="0" w:color="D9D9D9"/>
              <w:left w:val="single" w:sz="4" w:space="0" w:color="D9D9D9"/>
              <w:bottom w:val="single" w:sz="4" w:space="0" w:color="D9D9D9"/>
              <w:right w:val="single" w:sz="4" w:space="0" w:color="D9D9D9"/>
            </w:tcBorders>
          </w:tcPr>
          <w:p w14:paraId="44BAB69D" w14:textId="77777777" w:rsidR="00172353" w:rsidRDefault="00000000">
            <w:pPr>
              <w:spacing w:before="60" w:after="60" w:line="264" w:lineRule="auto"/>
            </w:pPr>
            <w:r>
              <w:rPr>
                <w:sz w:val="18"/>
              </w:rPr>
              <w:t>Drain and gate bias, duration, temperature and switching mode</w:t>
            </w:r>
          </w:p>
        </w:tc>
        <w:tc>
          <w:tcPr>
            <w:tcW w:w="3201" w:type="dxa"/>
            <w:tcBorders>
              <w:top w:val="single" w:sz="4" w:space="0" w:color="D9D9D9"/>
              <w:left w:val="single" w:sz="4" w:space="0" w:color="D9D9D9"/>
              <w:bottom w:val="single" w:sz="4" w:space="0" w:color="D9D9D9"/>
              <w:right w:val="single" w:sz="4" w:space="0" w:color="D9D9D9"/>
            </w:tcBorders>
          </w:tcPr>
          <w:p w14:paraId="49FC7DD3" w14:textId="77777777" w:rsidR="00172353" w:rsidRDefault="00000000">
            <w:pPr>
              <w:spacing w:before="60" w:after="60" w:line="264" w:lineRule="auto"/>
            </w:pPr>
            <w:r>
              <w:rPr>
                <w:sz w:val="18"/>
              </w:rPr>
              <w:t>Defines charge history</w:t>
            </w:r>
          </w:p>
        </w:tc>
      </w:tr>
      <w:tr w:rsidR="00172353" w14:paraId="5E38ABBA"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5805C047" w14:textId="77777777" w:rsidR="00172353" w:rsidRDefault="00000000">
            <w:pPr>
              <w:spacing w:before="60" w:after="60" w:line="264" w:lineRule="auto"/>
            </w:pPr>
            <w:r>
              <w:rPr>
                <w:sz w:val="18"/>
              </w:rPr>
              <w:lastRenderedPageBreak/>
              <w:t>Measurement</w:t>
            </w:r>
          </w:p>
        </w:tc>
        <w:tc>
          <w:tcPr>
            <w:tcW w:w="3119" w:type="dxa"/>
            <w:tcBorders>
              <w:top w:val="single" w:sz="4" w:space="0" w:color="D9D9D9"/>
              <w:left w:val="single" w:sz="4" w:space="0" w:color="D9D9D9"/>
              <w:bottom w:val="single" w:sz="4" w:space="0" w:color="D9D9D9"/>
              <w:right w:val="single" w:sz="4" w:space="0" w:color="D9D9D9"/>
            </w:tcBorders>
          </w:tcPr>
          <w:p w14:paraId="6FAE5335" w14:textId="77777777" w:rsidR="00172353" w:rsidRDefault="00000000">
            <w:pPr>
              <w:spacing w:before="60" w:after="60" w:line="264" w:lineRule="auto"/>
            </w:pPr>
            <w:r>
              <w:rPr>
                <w:sz w:val="18"/>
              </w:rPr>
              <w:t xml:space="preserve">VDS and ID references, bandwidth, </w:t>
            </w:r>
            <w:proofErr w:type="spellStart"/>
            <w:r>
              <w:rPr>
                <w:sz w:val="18"/>
              </w:rPr>
              <w:t>deskew</w:t>
            </w:r>
            <w:proofErr w:type="spellEnd"/>
            <w:r>
              <w:rPr>
                <w:sz w:val="18"/>
              </w:rPr>
              <w:t xml:space="preserve"> and clamp </w:t>
            </w:r>
            <w:proofErr w:type="spellStart"/>
            <w:r>
              <w:rPr>
                <w:sz w:val="18"/>
              </w:rPr>
              <w:t>behaviour</w:t>
            </w:r>
            <w:proofErr w:type="spellEnd"/>
          </w:p>
        </w:tc>
        <w:tc>
          <w:tcPr>
            <w:tcW w:w="3201" w:type="dxa"/>
            <w:tcBorders>
              <w:top w:val="single" w:sz="4" w:space="0" w:color="D9D9D9"/>
              <w:left w:val="single" w:sz="4" w:space="0" w:color="D9D9D9"/>
              <w:bottom w:val="single" w:sz="4" w:space="0" w:color="D9D9D9"/>
              <w:right w:val="single" w:sz="4" w:space="0" w:color="D9D9D9"/>
            </w:tcBorders>
          </w:tcPr>
          <w:p w14:paraId="0DBB1C48" w14:textId="77777777" w:rsidR="00172353" w:rsidRDefault="00000000">
            <w:pPr>
              <w:spacing w:before="60" w:after="60" w:line="264" w:lineRule="auto"/>
            </w:pPr>
            <w:r>
              <w:rPr>
                <w:sz w:val="18"/>
              </w:rPr>
              <w:t>Controls ratio error</w:t>
            </w:r>
          </w:p>
        </w:tc>
      </w:tr>
      <w:tr w:rsidR="00172353" w14:paraId="47AE884A"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3F20F9E7" w14:textId="77777777" w:rsidR="00172353" w:rsidRDefault="00000000">
            <w:pPr>
              <w:spacing w:before="60" w:after="60" w:line="264" w:lineRule="auto"/>
            </w:pPr>
            <w:r>
              <w:rPr>
                <w:sz w:val="18"/>
              </w:rPr>
              <w:t>Timing</w:t>
            </w:r>
          </w:p>
        </w:tc>
        <w:tc>
          <w:tcPr>
            <w:tcW w:w="3119" w:type="dxa"/>
            <w:tcBorders>
              <w:top w:val="single" w:sz="4" w:space="0" w:color="D9D9D9"/>
              <w:left w:val="single" w:sz="4" w:space="0" w:color="D9D9D9"/>
              <w:bottom w:val="single" w:sz="4" w:space="0" w:color="D9D9D9"/>
              <w:right w:val="single" w:sz="4" w:space="0" w:color="D9D9D9"/>
            </w:tcBorders>
          </w:tcPr>
          <w:p w14:paraId="6F1FEC01" w14:textId="77777777" w:rsidR="00172353" w:rsidRDefault="00000000">
            <w:pPr>
              <w:spacing w:before="60" w:after="60" w:line="264" w:lineRule="auto"/>
            </w:pPr>
            <w:r>
              <w:rPr>
                <w:sz w:val="18"/>
              </w:rPr>
              <w:t>Sampling delay and recovery interval</w:t>
            </w:r>
          </w:p>
        </w:tc>
        <w:tc>
          <w:tcPr>
            <w:tcW w:w="3201" w:type="dxa"/>
            <w:tcBorders>
              <w:top w:val="single" w:sz="4" w:space="0" w:color="D9D9D9"/>
              <w:left w:val="single" w:sz="4" w:space="0" w:color="D9D9D9"/>
              <w:bottom w:val="single" w:sz="4" w:space="0" w:color="D9D9D9"/>
              <w:right w:val="single" w:sz="4" w:space="0" w:color="D9D9D9"/>
            </w:tcBorders>
          </w:tcPr>
          <w:p w14:paraId="36ADE171" w14:textId="77777777" w:rsidR="00172353" w:rsidRDefault="00000000">
            <w:pPr>
              <w:spacing w:before="60" w:after="60" w:line="264" w:lineRule="auto"/>
            </w:pPr>
            <w:r>
              <w:rPr>
                <w:sz w:val="18"/>
              </w:rPr>
              <w:t>Determines which state is reported</w:t>
            </w:r>
          </w:p>
        </w:tc>
      </w:tr>
      <w:tr w:rsidR="00172353" w14:paraId="404945A6"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0DAF495D" w14:textId="77777777" w:rsidR="00172353" w:rsidRDefault="00000000">
            <w:pPr>
              <w:spacing w:before="60" w:after="60" w:line="264" w:lineRule="auto"/>
            </w:pPr>
            <w:r>
              <w:rPr>
                <w:sz w:val="18"/>
              </w:rPr>
              <w:t>Model use</w:t>
            </w:r>
          </w:p>
        </w:tc>
        <w:tc>
          <w:tcPr>
            <w:tcW w:w="3119" w:type="dxa"/>
            <w:tcBorders>
              <w:top w:val="single" w:sz="4" w:space="0" w:color="D9D9D9"/>
              <w:left w:val="single" w:sz="4" w:space="0" w:color="D9D9D9"/>
              <w:bottom w:val="single" w:sz="4" w:space="0" w:color="D9D9D9"/>
              <w:right w:val="single" w:sz="4" w:space="0" w:color="D9D9D9"/>
            </w:tcBorders>
          </w:tcPr>
          <w:p w14:paraId="189E3D65" w14:textId="77777777" w:rsidR="00172353" w:rsidRDefault="00000000">
            <w:pPr>
              <w:spacing w:before="60" w:after="60" w:line="264" w:lineRule="auto"/>
            </w:pPr>
            <w:r>
              <w:rPr>
                <w:sz w:val="18"/>
              </w:rPr>
              <w:t>Current waveform, interpolation and uncertainty</w:t>
            </w:r>
          </w:p>
        </w:tc>
        <w:tc>
          <w:tcPr>
            <w:tcW w:w="3201" w:type="dxa"/>
            <w:tcBorders>
              <w:top w:val="single" w:sz="4" w:space="0" w:color="D9D9D9"/>
              <w:left w:val="single" w:sz="4" w:space="0" w:color="D9D9D9"/>
              <w:bottom w:val="single" w:sz="4" w:space="0" w:color="D9D9D9"/>
              <w:right w:val="single" w:sz="4" w:space="0" w:color="D9D9D9"/>
            </w:tcBorders>
          </w:tcPr>
          <w:p w14:paraId="09A5FF8C" w14:textId="77777777" w:rsidR="00172353" w:rsidRDefault="00000000">
            <w:pPr>
              <w:spacing w:before="60" w:after="60" w:line="264" w:lineRule="auto"/>
            </w:pPr>
            <w:r>
              <w:rPr>
                <w:sz w:val="18"/>
              </w:rPr>
              <w:t>Prevents unsupported loss extrapolation</w:t>
            </w:r>
          </w:p>
        </w:tc>
      </w:tr>
    </w:tbl>
    <w:p w14:paraId="5601B616" w14:textId="77777777" w:rsidR="00172353" w:rsidRDefault="00000000">
      <w:pPr>
        <w:pStyle w:val="Body"/>
      </w:pPr>
      <w:r>
        <w:t>Fig. 2 brings these considerations together as a conceptual assessment framework.</w:t>
      </w:r>
    </w:p>
    <w:p w14:paraId="1AB36075" w14:textId="77777777" w:rsidR="00172353" w:rsidRDefault="00000000">
      <w:pPr>
        <w:keepNext/>
        <w:jc w:val="center"/>
      </w:pPr>
      <w:r>
        <w:rPr>
          <w:noProof/>
        </w:rPr>
        <w:drawing>
          <wp:inline distT="0" distB="0" distL="0" distR="0" wp14:anchorId="0C754E6E" wp14:editId="0B4E8BF5">
            <wp:extent cx="5212080" cy="18361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_2.png"/>
                    <pic:cNvPicPr/>
                  </pic:nvPicPr>
                  <pic:blipFill>
                    <a:blip r:embed="rId9"/>
                    <a:stretch>
                      <a:fillRect/>
                    </a:stretch>
                  </pic:blipFill>
                  <pic:spPr>
                    <a:xfrm>
                      <a:off x="0" y="0"/>
                      <a:ext cx="5212080" cy="1836192"/>
                    </a:xfrm>
                    <a:prstGeom prst="rect">
                      <a:avLst/>
                    </a:prstGeom>
                  </pic:spPr>
                </pic:pic>
              </a:graphicData>
            </a:graphic>
          </wp:inline>
        </w:drawing>
      </w:r>
    </w:p>
    <w:p w14:paraId="6E8822A5" w14:textId="77777777" w:rsidR="00172353" w:rsidRDefault="00000000">
      <w:pPr>
        <w:pStyle w:val="Caption1"/>
        <w:spacing w:line="264" w:lineRule="auto"/>
      </w:pPr>
      <w:r>
        <w:t>Fig. 2. Connection between possible charge-trapping locations, terminal observations and converter-loss interpretation. A measured ratio alone does not uniquely identify a trap mechanism. Original conceptual schematic; no experimental or simulated performance data are plotted.</w:t>
      </w:r>
    </w:p>
    <w:p w14:paraId="77A61258" w14:textId="77777777" w:rsidR="00172353" w:rsidRDefault="00000000">
      <w:pPr>
        <w:pStyle w:val="Heading1"/>
        <w:spacing w:line="264" w:lineRule="auto"/>
      </w:pPr>
      <w:r>
        <w:t>7. LIMITATIONS AND DIRECTIONS</w:t>
      </w:r>
    </w:p>
    <w:p w14:paraId="391AA44B" w14:textId="77777777" w:rsidR="00172353" w:rsidRDefault="00000000">
      <w:pPr>
        <w:pStyle w:val="Body"/>
      </w:pPr>
      <w:r>
        <w:t xml:space="preserve">The literature lacks a single measurement </w:t>
      </w:r>
      <w:r>
        <w:rPr>
          <w:highlight w:val="yellow"/>
        </w:rPr>
        <w:t>that represents every mission profile</w:t>
      </w:r>
      <w:r>
        <w:t xml:space="preserve">. Commercial devices differ in buffer design, gate structure, package </w:t>
      </w:r>
      <w:proofErr w:type="spellStart"/>
      <w:r>
        <w:t>parasitics</w:t>
      </w:r>
      <w:proofErr w:type="spellEnd"/>
      <w:r>
        <w:t xml:space="preserve"> and qualification history. A useful direction is a protocol combining steady-state switching, controlled recovery intervals and thermal tracking.</w:t>
      </w:r>
    </w:p>
    <w:p w14:paraId="4E1DA17E" w14:textId="77777777" w:rsidR="00172353" w:rsidRDefault="00000000">
      <w:pPr>
        <w:pStyle w:val="Body"/>
      </w:pPr>
      <w:r>
        <w:t>This review does not assign a universal dynamic-resistance penalty. Ratios belong to the tested device and method.</w:t>
      </w:r>
    </w:p>
    <w:p w14:paraId="61C94D37" w14:textId="77777777" w:rsidR="00172353" w:rsidRDefault="00000000">
      <w:pPr>
        <w:pStyle w:val="Body"/>
      </w:pPr>
      <w:r>
        <w:t>Published dynamic-RON values are difficult to compare because commercial devices differ in epitaxy, buffer design, gate structure, package and test fixture. Even when two studies use a nominally similar voltage class, their stress history and sampling definition may be different. A literature review can identify mechanisms and protocol requirements, but it cannot create a universal penalty from non-identical tests.</w:t>
      </w:r>
    </w:p>
    <w:p w14:paraId="02A42D25" w14:textId="77777777" w:rsidR="00172353" w:rsidRDefault="00000000">
      <w:pPr>
        <w:pStyle w:val="Body"/>
      </w:pPr>
      <w:r>
        <w:t>Future work should combine transient electrical measurement with thermal tracking and trap-aware compact models. A useful compact model would retain a small number of state variables for charge occupancy and recovery, while remaining simple enough to run inside a converter simulation. Such a model could connect device qualification data to control and lifetime studies.</w:t>
      </w:r>
    </w:p>
    <w:p w14:paraId="6F64A913" w14:textId="77777777" w:rsidR="00172353" w:rsidRDefault="00000000">
      <w:pPr>
        <w:pStyle w:val="Body"/>
      </w:pPr>
      <w:r>
        <w:t xml:space="preserve">Automotive and renewable-energy applications also require mission-profile testing rather than isolated laboratory pulses. Temperature cycling, variable load, long dwell periods and </w:t>
      </w:r>
      <w:r>
        <w:lastRenderedPageBreak/>
        <w:t>protection events can produce histories that are absent from a regular double-pulse test. Reporting these histories would make dynamic-RON data more valuable for system designers.</w:t>
      </w:r>
    </w:p>
    <w:p w14:paraId="03B7266F" w14:textId="77777777" w:rsidR="00172353" w:rsidRDefault="00000000">
      <w:pPr>
        <w:pStyle w:val="Heading21"/>
        <w:spacing w:line="264" w:lineRule="auto"/>
      </w:pPr>
      <w:r>
        <w:t>7.1 A more discriminating benchmark for future studies</w:t>
      </w:r>
    </w:p>
    <w:p w14:paraId="244A235A" w14:textId="77777777" w:rsidR="00172353" w:rsidRDefault="00000000">
      <w:pPr>
        <w:pStyle w:val="Body"/>
      </w:pPr>
      <w:r>
        <w:t xml:space="preserve">Future studies would benefit from reporting a compact set of complementary histories rather than a single headline ratio. A prepared first-pulse condition </w:t>
      </w:r>
      <w:proofErr w:type="spellStart"/>
      <w:r>
        <w:t>characterises</w:t>
      </w:r>
      <w:proofErr w:type="spellEnd"/>
      <w:r>
        <w:t xml:space="preserve"> recovery from a stated rest state. A repetitive sequence </w:t>
      </w:r>
      <w:proofErr w:type="spellStart"/>
      <w:r>
        <w:t>characterises</w:t>
      </w:r>
      <w:proofErr w:type="spellEnd"/>
      <w:r>
        <w:t xml:space="preserve"> periodic operation. A burst sequence tests transitions between long rest and rapid switching. A temperature sweep separates thermal and kinetic influences. Forward and reverse measurements address bridge operation. These histories do not constitute a universal standard, but they expose different weaknesses in a proposed model. A model that predicts all of them without refitting has stronger evidence of transferability than one matched to a single pulse.</w:t>
      </w:r>
    </w:p>
    <w:p w14:paraId="4B3B01EC" w14:textId="77777777" w:rsidR="00172353" w:rsidRDefault="00000000">
      <w:pPr>
        <w:pStyle w:val="Body"/>
      </w:pPr>
      <w:r>
        <w:t xml:space="preserve">Validation should also separate device variation from instrument repeatability. Repeating the same measurement on one specimen </w:t>
      </w:r>
      <w:proofErr w:type="spellStart"/>
      <w:r>
        <w:t>characterises</w:t>
      </w:r>
      <w:proofErr w:type="spellEnd"/>
      <w:r>
        <w:t xml:space="preserve"> part of the measurement uncertainty. Testing several specimens reveals manufacturing variation, while repeating after stress probes stability. These are distinct distributions and should not be collapsed into one error bar without explanation. Reported uncertainty should state the population represented. When only one device is available, the resulting limitation should be acknowledged directly rather than implying a technology-wide conclusion. This makes modest but carefully controlled studies more useful than broader claims supported by limited specimens.</w:t>
      </w:r>
    </w:p>
    <w:p w14:paraId="31C5867D" w14:textId="77777777" w:rsidR="00172353" w:rsidRDefault="00000000">
      <w:pPr>
        <w:pStyle w:val="Body"/>
      </w:pPr>
      <w:r>
        <w:t xml:space="preserve">For compact models, the central challenge is balancing identifiable parameters with useful predictive </w:t>
      </w:r>
      <w:proofErr w:type="spellStart"/>
      <w:r>
        <w:t>behaviour</w:t>
      </w:r>
      <w:proofErr w:type="spellEnd"/>
      <w:r>
        <w:t xml:space="preserve">. Adding many trap states can improve a fit while making parameter extraction ambiguous. A smaller model with explicit validity limits may be more useful in circuit simulation. Model evaluation should include an unseen stress sequence, the recovery trajectory and sensitivity to temperature. Computational cost should be measured in the intended simulation context. These reporting choices would connect semiconductor </w:t>
      </w:r>
      <w:proofErr w:type="spellStart"/>
      <w:r>
        <w:t>characterisation</w:t>
      </w:r>
      <w:proofErr w:type="spellEnd"/>
      <w:r>
        <w:t xml:space="preserve"> more directly to converter development while retaining the uncertainty inherent in translating internal defect processes into terminal electrical </w:t>
      </w:r>
      <w:proofErr w:type="spellStart"/>
      <w:r>
        <w:t>behaviour</w:t>
      </w:r>
      <w:proofErr w:type="spellEnd"/>
      <w:r>
        <w:t>.</w:t>
      </w:r>
    </w:p>
    <w:p w14:paraId="01C53564" w14:textId="77777777" w:rsidR="00172353" w:rsidRDefault="00000000">
      <w:pPr>
        <w:pStyle w:val="Heading21"/>
        <w:spacing w:line="264" w:lineRule="auto"/>
      </w:pPr>
      <w:r>
        <w:t>7.2 Reporting uncertainty and reproducibility</w:t>
      </w:r>
    </w:p>
    <w:p w14:paraId="059DF7DA" w14:textId="77777777" w:rsidR="00172353" w:rsidRDefault="00000000">
      <w:pPr>
        <w:pStyle w:val="Body"/>
      </w:pPr>
      <w:r>
        <w:t xml:space="preserve">A reproducible dynamic-resistance comparison should distinguish variation between pulses from variation between devices. Repeating a pulse sequence on one specimen mainly </w:t>
      </w:r>
      <w:proofErr w:type="spellStart"/>
      <w:r>
        <w:t>characterises</w:t>
      </w:r>
      <w:proofErr w:type="spellEnd"/>
      <w:r>
        <w:t xml:space="preserve"> the repeatability of that specimen and measurement arrangement. It does not establish the distribution across a production lot. Conversely, testing several devices with inconsistent preconditioning can mix manufacturing variation with differences in the trapped-charge state. The report should therefore identify the number of specimens, the number of repeated sequences and the conditioning applied before each comparison.</w:t>
      </w:r>
    </w:p>
    <w:p w14:paraId="183A145B" w14:textId="77777777" w:rsidR="00172353" w:rsidRDefault="00000000">
      <w:pPr>
        <w:pStyle w:val="Body"/>
      </w:pPr>
      <w:r>
        <w:t>Uncertainty also enters through the voltage and current channels. A small voltage offset can materially affect resistance when the on-state voltage is low. Timing misalignment between channels can distort a ratio during a rapid transition even if each channel is accurate under static calibration. A defensible analysis should identify the settled sampling interval, explain how channel alignment was established and show that the selected interval is not dominated by the clamp recovery. The objective is to demonstrate that the reported change exceeds plausible measurement artefacts.</w:t>
      </w:r>
    </w:p>
    <w:p w14:paraId="072BAD56" w14:textId="77777777" w:rsidR="00172353" w:rsidRDefault="00000000">
      <w:pPr>
        <w:pStyle w:val="Body"/>
      </w:pPr>
      <w:r>
        <w:lastRenderedPageBreak/>
        <w:t>Temperature control needs similar care. Holding the baseplate at a nominal temperature does not ensure identical junction temperatures after different stress sequences. The dissipated energy and relaxation time can differ between those sequences. For a comparison intended to isolate trapping, the investigator should explain how thermal differences were limited or estimated. For a converter-oriented comparison, thermal and trapping effects may legitimately coexist, but the resulting resistance should be described as an operating-condition-dependent quantity rather than a pure trap parameter.</w:t>
      </w:r>
    </w:p>
    <w:p w14:paraId="31A56F02" w14:textId="77777777" w:rsidR="00172353" w:rsidRDefault="00000000">
      <w:pPr>
        <w:pStyle w:val="Body"/>
      </w:pPr>
      <w:r>
        <w:t xml:space="preserve">A clear graphical presentation would show the stress waveform and sampling window alongside resistance as a function of the relevant delay or pulse condition. Such a presentation makes visible whether a single quoted ratio represents an early transient, a later plateau or an average over changing </w:t>
      </w:r>
      <w:proofErr w:type="spellStart"/>
      <w:r>
        <w:t>behaviour</w:t>
      </w:r>
      <w:proofErr w:type="spellEnd"/>
      <w:r>
        <w:t xml:space="preserve">. It should retain the reference resistance definition and avoid combining curves </w:t>
      </w:r>
      <w:proofErr w:type="spellStart"/>
      <w:r>
        <w:t>normalised</w:t>
      </w:r>
      <w:proofErr w:type="spellEnd"/>
      <w:r>
        <w:t xml:space="preserve"> against different baselines without explanation. These reporting choices follow from the measurement limitations discussed above and are proposed as interpretation criteria, not as a new experimental standard.</w:t>
      </w:r>
    </w:p>
    <w:p w14:paraId="32A068BF" w14:textId="77777777" w:rsidR="00172353" w:rsidRDefault="00000000">
      <w:pPr>
        <w:pStyle w:val="Body"/>
      </w:pPr>
      <w:r>
        <w:t xml:space="preserve">At converter level, uncertainty should be propagated into the decision being made. If plausible dynamic-resistance values change the preferred cooling solution or device selection, additional </w:t>
      </w:r>
      <w:proofErr w:type="spellStart"/>
      <w:r>
        <w:t>characterisation</w:t>
      </w:r>
      <w:proofErr w:type="spellEnd"/>
      <w:r>
        <w:t xml:space="preserve"> is justified. If the design remains acceptable over that range, a conservative allowance may be sufficient. In either case, the literature review provides a framework for defining what must be measured; it cannot replace </w:t>
      </w:r>
      <w:proofErr w:type="spellStart"/>
      <w:r>
        <w:t>characterisation</w:t>
      </w:r>
      <w:proofErr w:type="spellEnd"/>
      <w:r>
        <w:t xml:space="preserve"> of the selected device under its intended switching and thermal history.</w:t>
      </w:r>
    </w:p>
    <w:p w14:paraId="4EDF2E61" w14:textId="77777777" w:rsidR="005E3049" w:rsidRDefault="00000000">
      <w:pPr>
        <w:pStyle w:val="Heading21"/>
        <w:spacing w:line="264" w:lineRule="auto"/>
      </w:pPr>
      <w:r>
        <w:t>7.3 Evidence gaps and practical priorities</w:t>
      </w:r>
    </w:p>
    <w:p w14:paraId="63033044" w14:textId="77777777" w:rsidR="005E3049" w:rsidRDefault="00000000">
      <w:pPr>
        <w:pStyle w:val="Body"/>
      </w:pPr>
      <w:r>
        <w:t>The expanded comparison leaves three distinct gaps. First, matched device populations are needed to separate substrate, buffer and gate-architecture effects; the present sources do not support a universal ranking. Second, a common protocol should link isolated pulses to continuous hard switching, ZVS and reverse conduction while controlling temperature and recovery. Third, ageing-aware compact models need evaluation on unseen stress histories and converter missions, rather than only fitting the characterisation data. The authors propose these priorities from the observed transfer limitations; they are not established improvements demonstrated by this review.</w:t>
      </w:r>
    </w:p>
    <w:p w14:paraId="0C5F8DF4" w14:textId="77777777" w:rsidR="00172353" w:rsidRDefault="00000000">
      <w:pPr>
        <w:pStyle w:val="Heading1"/>
        <w:spacing w:line="264" w:lineRule="auto"/>
      </w:pPr>
      <w:r>
        <w:t>8. CONCLUSION</w:t>
      </w:r>
    </w:p>
    <w:p w14:paraId="238B4919" w14:textId="77777777" w:rsidR="003D56D6" w:rsidRDefault="003D56D6" w:rsidP="003D56D6">
      <w:pPr>
        <w:pStyle w:val="NormalWeb"/>
        <w:jc w:val="both"/>
      </w:pPr>
      <w:r>
        <w:t xml:space="preserve">This review indicates that dynamic on-resistance in gallium nitride power devices is influenced by the interaction of charge trapping, electrical history, device architecture, temperature and measurement conditions. Buffer, surface and gate-related processes can affect the measured response, but their contributions cannot be established uniquely from a resistance transient alone. Comparisons across studies therefore require careful attention to blocking voltage, gate bias, stress duration, sampling delay, current, thermal conditions and the definition of the reference resistance. Double-pulse and continuous-switching measurements provide complementary evidence because they represent different preceding electrical histories. Neither method, considered in isolation, establishes a universal resistance penalty for all </w:t>
      </w:r>
      <w:proofErr w:type="spellStart"/>
      <w:r>
        <w:t>GaN</w:t>
      </w:r>
      <w:proofErr w:type="spellEnd"/>
      <w:r>
        <w:t xml:space="preserve"> device technologies or converter operating modes. For converter-</w:t>
      </w:r>
      <w:r>
        <w:lastRenderedPageBreak/>
        <w:t xml:space="preserve">level assessment, the resistance used in conduction-loss calculations should be associated with the actual current and switching history, while switching losses and electrothermal feedback are considered separately. The reviewed literature supports reproducible </w:t>
      </w:r>
      <w:proofErr w:type="spellStart"/>
      <w:r>
        <w:t>characterisation</w:t>
      </w:r>
      <w:proofErr w:type="spellEnd"/>
      <w:r>
        <w:t>, explicit uncertainty reporting and device-specific validation as practical requirements for interpreting published findings. Future investigations would benefit from matched device comparisons and the evaluation of trap-aware compact models across independent stress and recovery sequences, without assuming that fitted parameters transfer beyond the conditions in which they were established.</w:t>
      </w:r>
    </w:p>
    <w:p w14:paraId="782F2BBF" w14:textId="77777777" w:rsidR="005E3049" w:rsidRDefault="00000000">
      <w:pPr>
        <w:pStyle w:val="Heading21"/>
        <w:spacing w:line="264" w:lineRule="auto"/>
      </w:pPr>
      <w:r>
        <w:t>AUTHORS’ CONTRIBUTIONS</w:t>
      </w:r>
    </w:p>
    <w:p w14:paraId="44AE2C75" w14:textId="77777777" w:rsidR="005E3049" w:rsidRDefault="00000000">
      <w:pPr>
        <w:pStyle w:val="Body"/>
      </w:pPr>
      <w:r>
        <w:t>All authors contributed equally to this work.</w:t>
      </w:r>
    </w:p>
    <w:p w14:paraId="68EC57E6" w14:textId="77777777" w:rsidR="00172353" w:rsidRDefault="00000000">
      <w:pPr>
        <w:pStyle w:val="Heading1"/>
        <w:spacing w:line="264" w:lineRule="auto"/>
      </w:pPr>
      <w:r>
        <w:t>COMPETING INTERESTS</w:t>
      </w:r>
    </w:p>
    <w:p w14:paraId="4DF4F2C3" w14:textId="77777777" w:rsidR="00172353" w:rsidRDefault="00000000">
      <w:pPr>
        <w:pStyle w:val="Body"/>
      </w:pPr>
      <w:r>
        <w:t>The authors declare that no competing interests exist.</w:t>
      </w:r>
    </w:p>
    <w:p w14:paraId="4912055F" w14:textId="77777777" w:rsidR="00172353" w:rsidRDefault="00000000">
      <w:pPr>
        <w:pStyle w:val="Heading1"/>
        <w:spacing w:line="264" w:lineRule="auto"/>
      </w:pPr>
      <w:r>
        <w:t>CONSENT AND ETHICAL APPROVAL</w:t>
      </w:r>
    </w:p>
    <w:p w14:paraId="5364E1E1" w14:textId="6863B642" w:rsidR="00172353" w:rsidRDefault="00000000">
      <w:pPr>
        <w:pStyle w:val="Body"/>
      </w:pPr>
      <w:r>
        <w:t>Not applicable.</w:t>
      </w:r>
    </w:p>
    <w:p w14:paraId="00D3E940" w14:textId="77777777" w:rsidR="00EE6B05" w:rsidRPr="00EE6B05" w:rsidRDefault="00EE6B05" w:rsidP="00EE6B05">
      <w:pPr>
        <w:spacing w:after="160" w:line="278" w:lineRule="auto"/>
        <w:rPr>
          <w:rFonts w:ascii="Calibri" w:eastAsia="Calibri" w:hAnsi="Calibri"/>
          <w:b/>
          <w:bCs/>
          <w:color w:val="auto"/>
          <w:kern w:val="2"/>
          <w:sz w:val="24"/>
          <w:szCs w:val="24"/>
        </w:rPr>
      </w:pPr>
      <w:r w:rsidRPr="00EE6B05">
        <w:rPr>
          <w:rFonts w:ascii="Calibri" w:eastAsia="Calibri" w:hAnsi="Calibri"/>
          <w:b/>
          <w:bCs/>
          <w:color w:val="auto"/>
          <w:kern w:val="2"/>
          <w:sz w:val="24"/>
          <w:szCs w:val="24"/>
        </w:rPr>
        <w:t>Declaration of AI Use</w:t>
      </w:r>
    </w:p>
    <w:p w14:paraId="5CA7EB3B" w14:textId="77777777" w:rsidR="00EE6B05" w:rsidRPr="00EE6B05" w:rsidRDefault="00EE6B05" w:rsidP="00EE6B05">
      <w:pPr>
        <w:spacing w:after="200"/>
        <w:jc w:val="both"/>
        <w:rPr>
          <w:rFonts w:ascii="Calibri" w:eastAsia="Calibri" w:hAnsi="Calibri"/>
          <w:color w:val="auto"/>
          <w:kern w:val="2"/>
          <w:sz w:val="22"/>
          <w:szCs w:val="22"/>
        </w:rPr>
      </w:pPr>
      <w:r w:rsidRPr="00EE6B05">
        <w:rPr>
          <w:rFonts w:ascii="Calibri" w:eastAsia="Calibri" w:hAnsi="Calibri"/>
          <w:color w:val="auto"/>
          <w:kern w:val="2"/>
          <w:sz w:val="22"/>
          <w:szCs w:val="2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5E63935" w14:textId="77777777" w:rsidR="00EE6B05" w:rsidRDefault="00EE6B05">
      <w:pPr>
        <w:pStyle w:val="Heading1"/>
        <w:spacing w:line="264" w:lineRule="auto"/>
        <w:rPr>
          <w:rFonts w:ascii="Times New Roman" w:hAnsi="Times New Roman"/>
        </w:rPr>
      </w:pPr>
    </w:p>
    <w:p w14:paraId="1FAF2728" w14:textId="1D3358E6" w:rsidR="00172353" w:rsidRDefault="00000000">
      <w:pPr>
        <w:pStyle w:val="Heading1"/>
        <w:spacing w:line="264" w:lineRule="auto"/>
      </w:pPr>
      <w:r>
        <w:t>REFERENCES</w:t>
      </w:r>
    </w:p>
    <w:p w14:paraId="25EEA234"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Basile, A., Scrimizzi, F., &amp; Rizzo, S. A. (2024). Current collapse phenomena investigation in automotive-grade power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transistors. Energies, 17(1), 230. </w:t>
      </w:r>
      <w:hyperlink r:id="rId10" w:history="1">
        <w:r w:rsidRPr="00372CAE">
          <w:rPr>
            <w:rFonts w:ascii="Times New Roman" w:hAnsi="Times New Roman"/>
            <w:color w:val="0000FF"/>
            <w:sz w:val="24"/>
            <w:szCs w:val="24"/>
            <w:u w:val="single"/>
          </w:rPr>
          <w:t>https://doi.org/10.3390/en17010230</w:t>
        </w:r>
      </w:hyperlink>
    </w:p>
    <w:p w14:paraId="4ED15E5C"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Bergsten, J., Thorsell, M., Adolph, D., Chen, J. T., </w:t>
      </w:r>
      <w:proofErr w:type="spellStart"/>
      <w:r w:rsidRPr="00372CAE">
        <w:rPr>
          <w:rFonts w:ascii="Times New Roman" w:hAnsi="Times New Roman"/>
          <w:color w:val="auto"/>
          <w:sz w:val="24"/>
          <w:szCs w:val="24"/>
        </w:rPr>
        <w:t>Kordina</w:t>
      </w:r>
      <w:proofErr w:type="spellEnd"/>
      <w:r w:rsidRPr="00372CAE">
        <w:rPr>
          <w:rFonts w:ascii="Times New Roman" w:hAnsi="Times New Roman"/>
          <w:color w:val="auto"/>
          <w:sz w:val="24"/>
          <w:szCs w:val="24"/>
        </w:rPr>
        <w:t xml:space="preserve">, O., </w:t>
      </w:r>
      <w:proofErr w:type="spellStart"/>
      <w:r w:rsidRPr="00372CAE">
        <w:rPr>
          <w:rFonts w:ascii="Times New Roman" w:hAnsi="Times New Roman"/>
          <w:color w:val="auto"/>
          <w:sz w:val="24"/>
          <w:szCs w:val="24"/>
        </w:rPr>
        <w:t>Sveinbjornsson</w:t>
      </w:r>
      <w:proofErr w:type="spellEnd"/>
      <w:r w:rsidRPr="00372CAE">
        <w:rPr>
          <w:rFonts w:ascii="Times New Roman" w:hAnsi="Times New Roman"/>
          <w:color w:val="auto"/>
          <w:sz w:val="24"/>
          <w:szCs w:val="24"/>
        </w:rPr>
        <w:t xml:space="preserve">, E. O., &amp; </w:t>
      </w:r>
      <w:proofErr w:type="spellStart"/>
      <w:r w:rsidRPr="00372CAE">
        <w:rPr>
          <w:rFonts w:ascii="Times New Roman" w:hAnsi="Times New Roman"/>
          <w:color w:val="auto"/>
          <w:sz w:val="24"/>
          <w:szCs w:val="24"/>
        </w:rPr>
        <w:t>Rorsman</w:t>
      </w:r>
      <w:proofErr w:type="spellEnd"/>
      <w:r w:rsidRPr="00372CAE">
        <w:rPr>
          <w:rFonts w:ascii="Times New Roman" w:hAnsi="Times New Roman"/>
          <w:color w:val="auto"/>
          <w:sz w:val="24"/>
          <w:szCs w:val="24"/>
        </w:rPr>
        <w:t>, N. (2018). Electron trapping in extended defects in microwave AlGaN/</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HEMTs with carbon-doped buffers. IEEE Transactions on Electron Devices, 65(6), 2446–2453. </w:t>
      </w:r>
      <w:hyperlink r:id="rId11" w:history="1">
        <w:r w:rsidRPr="00372CAE">
          <w:rPr>
            <w:rFonts w:ascii="Times New Roman" w:hAnsi="Times New Roman"/>
            <w:color w:val="0000FF"/>
            <w:sz w:val="24"/>
            <w:szCs w:val="24"/>
            <w:u w:val="single"/>
          </w:rPr>
          <w:t>https://doi.org/10.1109/TED.2018.2828410</w:t>
        </w:r>
      </w:hyperlink>
    </w:p>
    <w:p w14:paraId="511DD579"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proofErr w:type="spellStart"/>
      <w:r w:rsidRPr="00372CAE">
        <w:rPr>
          <w:rFonts w:ascii="Times New Roman" w:hAnsi="Times New Roman"/>
          <w:color w:val="auto"/>
          <w:sz w:val="24"/>
          <w:szCs w:val="24"/>
        </w:rPr>
        <w:t>Butej</w:t>
      </w:r>
      <w:proofErr w:type="spellEnd"/>
      <w:r w:rsidRPr="00372CAE">
        <w:rPr>
          <w:rFonts w:ascii="Times New Roman" w:hAnsi="Times New Roman"/>
          <w:color w:val="auto"/>
          <w:sz w:val="24"/>
          <w:szCs w:val="24"/>
        </w:rPr>
        <w:t xml:space="preserve">, B., Wieland, D., Pogany, D., Gharib, A., </w:t>
      </w:r>
      <w:proofErr w:type="spellStart"/>
      <w:r w:rsidRPr="00372CAE">
        <w:rPr>
          <w:rFonts w:ascii="Times New Roman" w:hAnsi="Times New Roman"/>
          <w:color w:val="auto"/>
          <w:sz w:val="24"/>
          <w:szCs w:val="24"/>
        </w:rPr>
        <w:t>Pobegen</w:t>
      </w:r>
      <w:proofErr w:type="spellEnd"/>
      <w:r w:rsidRPr="00372CAE">
        <w:rPr>
          <w:rFonts w:ascii="Times New Roman" w:hAnsi="Times New Roman"/>
          <w:color w:val="auto"/>
          <w:sz w:val="24"/>
          <w:szCs w:val="24"/>
        </w:rPr>
        <w:t xml:space="preserve">, G., </w:t>
      </w:r>
      <w:proofErr w:type="spellStart"/>
      <w:r w:rsidRPr="00372CAE">
        <w:rPr>
          <w:rFonts w:ascii="Times New Roman" w:hAnsi="Times New Roman"/>
          <w:color w:val="auto"/>
          <w:sz w:val="24"/>
          <w:szCs w:val="24"/>
        </w:rPr>
        <w:t>Ostermaier</w:t>
      </w:r>
      <w:proofErr w:type="spellEnd"/>
      <w:r w:rsidRPr="00372CAE">
        <w:rPr>
          <w:rFonts w:ascii="Times New Roman" w:hAnsi="Times New Roman"/>
          <w:color w:val="auto"/>
          <w:sz w:val="24"/>
          <w:szCs w:val="24"/>
        </w:rPr>
        <w:t xml:space="preserve">, C., &amp; Koller, C. (2024). Evidence-based understanding of lateral hole transport during off-state stress completing dynamic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-on-Si buffer charging model. </w:t>
      </w:r>
      <w:proofErr w:type="spellStart"/>
      <w:r w:rsidRPr="00372CAE">
        <w:rPr>
          <w:rFonts w:ascii="Times New Roman" w:hAnsi="Times New Roman"/>
          <w:color w:val="auto"/>
          <w:sz w:val="24"/>
          <w:szCs w:val="24"/>
        </w:rPr>
        <w:t>physica</w:t>
      </w:r>
      <w:proofErr w:type="spellEnd"/>
      <w:r w:rsidRPr="00372CAE">
        <w:rPr>
          <w:rFonts w:ascii="Times New Roman" w:hAnsi="Times New Roman"/>
          <w:color w:val="auto"/>
          <w:sz w:val="24"/>
          <w:szCs w:val="24"/>
        </w:rPr>
        <w:t xml:space="preserve"> status solidi (a), 221(21), 2400089. </w:t>
      </w:r>
      <w:hyperlink r:id="rId12" w:history="1">
        <w:r w:rsidRPr="00372CAE">
          <w:rPr>
            <w:rFonts w:ascii="Times New Roman" w:hAnsi="Times New Roman"/>
            <w:color w:val="0000FF"/>
            <w:sz w:val="24"/>
            <w:szCs w:val="24"/>
            <w:u w:val="single"/>
          </w:rPr>
          <w:t>https://doi.org/10.1002/pssa.202400089</w:t>
        </w:r>
      </w:hyperlink>
    </w:p>
    <w:p w14:paraId="00936BF0"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lastRenderedPageBreak/>
        <w:t>Chang, P. H., Huang, C. R., Liu, C. H., Lee, K. W., &amp; Chiu, H. C. (2025). The effect of dual-layer carbon/iron-doped buffers in an AlGaN/</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high-electron-mobility transistor. Micromachines, 16(9), 1034. </w:t>
      </w:r>
      <w:hyperlink r:id="rId13" w:history="1">
        <w:r w:rsidRPr="00372CAE">
          <w:rPr>
            <w:rFonts w:ascii="Times New Roman" w:hAnsi="Times New Roman"/>
            <w:color w:val="0000FF"/>
            <w:sz w:val="24"/>
            <w:szCs w:val="24"/>
            <w:u w:val="single"/>
          </w:rPr>
          <w:t>https://doi.org/10.3390/mi16091034</w:t>
        </w:r>
      </w:hyperlink>
    </w:p>
    <w:p w14:paraId="32A075A9"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Cusumano, P., Sirchia, A., &amp; Vella, F. (2025). Evaluation of dynamic on-resistance and trapping effects in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on Si HEMTs using rectangular gate voltage pulses. Electronics, 14(14), 2791. </w:t>
      </w:r>
      <w:hyperlink r:id="rId14" w:history="1">
        <w:r w:rsidRPr="00372CAE">
          <w:rPr>
            <w:rFonts w:ascii="Times New Roman" w:hAnsi="Times New Roman"/>
            <w:color w:val="0000FF"/>
            <w:sz w:val="24"/>
            <w:szCs w:val="24"/>
            <w:u w:val="single"/>
          </w:rPr>
          <w:t>https://doi.org/10.3390/electronics14142791</w:t>
        </w:r>
      </w:hyperlink>
    </w:p>
    <w:p w14:paraId="50CE92F6"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Cusumano, P., Vella, F., &amp; Sirchia, A. (2025). Using triangular gate voltage pulses to evaluate hysteresis and charge trapping effects in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on Si HEMTs. Electronics, 14(10), 1991. </w:t>
      </w:r>
      <w:hyperlink r:id="rId15" w:history="1">
        <w:r w:rsidRPr="00372CAE">
          <w:rPr>
            <w:rFonts w:ascii="Times New Roman" w:hAnsi="Times New Roman"/>
            <w:color w:val="0000FF"/>
            <w:sz w:val="24"/>
            <w:szCs w:val="24"/>
            <w:u w:val="single"/>
          </w:rPr>
          <w:t>https://doi.org/10.3390/electronics14101991</w:t>
        </w:r>
      </w:hyperlink>
    </w:p>
    <w:p w14:paraId="1FE8C00C"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Elangovan, S., Cheng, S., Jang, W. Y., &amp; Chang, E. Y. (2023). Dynamic on-state resistance instability characterization of a multi-chip-</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MIS-HEMTs </w:t>
      </w:r>
      <w:proofErr w:type="spellStart"/>
      <w:r w:rsidRPr="00372CAE">
        <w:rPr>
          <w:rFonts w:ascii="Times New Roman" w:hAnsi="Times New Roman"/>
          <w:color w:val="auto"/>
          <w:sz w:val="24"/>
          <w:szCs w:val="24"/>
        </w:rPr>
        <w:t>cascode</w:t>
      </w:r>
      <w:proofErr w:type="spellEnd"/>
      <w:r w:rsidRPr="00372CAE">
        <w:rPr>
          <w:rFonts w:ascii="Times New Roman" w:hAnsi="Times New Roman"/>
          <w:color w:val="auto"/>
          <w:sz w:val="24"/>
          <w:szCs w:val="24"/>
        </w:rPr>
        <w:t xml:space="preserve"> power module. Electronics Letters, 59(13), e12824. </w:t>
      </w:r>
      <w:hyperlink r:id="rId16" w:history="1">
        <w:r w:rsidRPr="00372CAE">
          <w:rPr>
            <w:rFonts w:ascii="Times New Roman" w:hAnsi="Times New Roman"/>
            <w:color w:val="0000FF"/>
            <w:sz w:val="24"/>
            <w:szCs w:val="24"/>
            <w:u w:val="single"/>
          </w:rPr>
          <w:t>https://doi.org/10.1049/ell2.12824</w:t>
        </w:r>
      </w:hyperlink>
    </w:p>
    <w:p w14:paraId="3F1C51E5"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Gill, L., DasGupta, S., Neely, J. C., Kaplar, R. J., &amp; Michaels, A. J. (2024). A review of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HEMT dynamic ON-resistance and dynamic stress effects on field distribution. IEEE Transactions on Power Electronics, 39(1), 517–537. </w:t>
      </w:r>
      <w:hyperlink r:id="rId17" w:history="1">
        <w:r w:rsidRPr="00372CAE">
          <w:rPr>
            <w:rFonts w:ascii="Times New Roman" w:hAnsi="Times New Roman"/>
            <w:color w:val="0000FF"/>
            <w:sz w:val="24"/>
            <w:szCs w:val="24"/>
            <w:u w:val="single"/>
          </w:rPr>
          <w:t>https://doi.org/10.1109/TPEL.2023.3318182</w:t>
        </w:r>
      </w:hyperlink>
    </w:p>
    <w:p w14:paraId="3C7E873F"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Kim, J. G., Lee, J. H., Kang, D. M., &amp; Lee, J. H. (2023). Improvement of dynamic on-resistance in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-based devices with a high-quality in situ </w:t>
      </w:r>
      <w:proofErr w:type="spellStart"/>
      <w:r w:rsidRPr="00372CAE">
        <w:rPr>
          <w:rFonts w:ascii="Times New Roman" w:hAnsi="Times New Roman"/>
          <w:color w:val="auto"/>
          <w:sz w:val="24"/>
          <w:szCs w:val="24"/>
        </w:rPr>
        <w:t>SiN</w:t>
      </w:r>
      <w:proofErr w:type="spellEnd"/>
      <w:r w:rsidRPr="00372CAE">
        <w:rPr>
          <w:rFonts w:ascii="Times New Roman" w:hAnsi="Times New Roman"/>
          <w:color w:val="auto"/>
          <w:sz w:val="24"/>
          <w:szCs w:val="24"/>
        </w:rPr>
        <w:t xml:space="preserve"> passivation layer. Micromachines, 14(6), 1227. </w:t>
      </w:r>
      <w:hyperlink r:id="rId18" w:history="1">
        <w:r w:rsidRPr="00372CAE">
          <w:rPr>
            <w:rFonts w:ascii="Times New Roman" w:hAnsi="Times New Roman"/>
            <w:color w:val="0000FF"/>
            <w:sz w:val="24"/>
            <w:szCs w:val="24"/>
            <w:u w:val="single"/>
          </w:rPr>
          <w:t>https://doi.org/10.3390/mi14061227</w:t>
        </w:r>
      </w:hyperlink>
    </w:p>
    <w:p w14:paraId="5D17598C"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Ma, C. T., &amp; Gu, Z. H. (2016). An investigation on characteristics of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based MOSFETs and their driving circuits. Archives of Current Research International, 6(2), 1–11. </w:t>
      </w:r>
      <w:hyperlink r:id="rId19" w:history="1">
        <w:r w:rsidRPr="00372CAE">
          <w:rPr>
            <w:rFonts w:ascii="Times New Roman" w:hAnsi="Times New Roman"/>
            <w:color w:val="0000FF"/>
            <w:sz w:val="24"/>
            <w:szCs w:val="24"/>
            <w:u w:val="single"/>
          </w:rPr>
          <w:t>https://doi.org/10.9734/ACRI/2016/30062</w:t>
        </w:r>
      </w:hyperlink>
    </w:p>
    <w:p w14:paraId="63D32BA5"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Ma, Y., Li, S., Liu, M., Lu, W., Li, M., Liu, S., Zhang, L., Wei, J., Yang, L., Sun, W., &amp; Sun, J. (2024). Aging reliability compact modeling of trap effects in power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HEMTs. IEEE Transactions on Device and Materials Reliability, 24(2), 313–322. </w:t>
      </w:r>
      <w:hyperlink r:id="rId20" w:history="1">
        <w:r w:rsidRPr="00372CAE">
          <w:rPr>
            <w:rFonts w:ascii="Times New Roman" w:hAnsi="Times New Roman"/>
            <w:color w:val="0000FF"/>
            <w:sz w:val="24"/>
            <w:szCs w:val="24"/>
            <w:u w:val="single"/>
          </w:rPr>
          <w:t>https://doi.org/10.1109/TDMR.2024.3387573</w:t>
        </w:r>
      </w:hyperlink>
    </w:p>
    <w:p w14:paraId="373E4656"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Muhammed Ajmal, C. N., </w:t>
      </w:r>
      <w:proofErr w:type="spellStart"/>
      <w:r w:rsidRPr="00372CAE">
        <w:rPr>
          <w:rFonts w:ascii="Times New Roman" w:hAnsi="Times New Roman"/>
          <w:color w:val="auto"/>
          <w:sz w:val="24"/>
          <w:szCs w:val="24"/>
        </w:rPr>
        <w:t>Vankayalapati</w:t>
      </w:r>
      <w:proofErr w:type="spellEnd"/>
      <w:r w:rsidRPr="00372CAE">
        <w:rPr>
          <w:rFonts w:ascii="Times New Roman" w:hAnsi="Times New Roman"/>
          <w:color w:val="auto"/>
          <w:sz w:val="24"/>
          <w:szCs w:val="24"/>
        </w:rPr>
        <w:t xml:space="preserve">, B. T., Bahl, S. R., Yang, F., Deshmukh, A. V., &amp; Akin, B. (2026). A DHTOL test-based methodology to investigate the switching reliability of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HEMTs under repeated drain voltage ringing. IEEE Transactions on Power Electronics, 41(2), 1677–1689. </w:t>
      </w:r>
      <w:hyperlink r:id="rId21" w:history="1">
        <w:r w:rsidRPr="00372CAE">
          <w:rPr>
            <w:rFonts w:ascii="Times New Roman" w:hAnsi="Times New Roman"/>
            <w:color w:val="0000FF"/>
            <w:sz w:val="24"/>
            <w:szCs w:val="24"/>
            <w:u w:val="single"/>
          </w:rPr>
          <w:t>https://doi.org/10.1109/TPEL.2025.3598075</w:t>
        </w:r>
      </w:hyperlink>
    </w:p>
    <w:p w14:paraId="6B1D3292"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Ning, Y., Li, H., Zheng, X., Pan, C., &amp; Zhao, L. (2025). The influence of charge trapping effects on GIT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-based HEMTs. IEEE Transactions on Electron Devices, 72(11), 6170–6177. </w:t>
      </w:r>
      <w:hyperlink r:id="rId22" w:history="1">
        <w:r w:rsidRPr="00372CAE">
          <w:rPr>
            <w:rFonts w:ascii="Times New Roman" w:hAnsi="Times New Roman"/>
            <w:color w:val="0000FF"/>
            <w:sz w:val="24"/>
            <w:szCs w:val="24"/>
            <w:u w:val="single"/>
          </w:rPr>
          <w:t>https://doi.org/10.1109/TED.2025.3610588</w:t>
        </w:r>
      </w:hyperlink>
    </w:p>
    <w:p w14:paraId="5A2A095E"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lastRenderedPageBreak/>
        <w:t>Pan, C., Zhang, R., Li, X., Ning, Y., Wang, W., &amp; Zhao, L. (2026). Anomalous dynamic on-resistance instability mechanisms of p-</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gate AlGaN/</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HEMTs under power cycling tests. Applied Physics Letters, 128(7), 072104. </w:t>
      </w:r>
      <w:hyperlink r:id="rId23" w:history="1">
        <w:r w:rsidRPr="00372CAE">
          <w:rPr>
            <w:rFonts w:ascii="Times New Roman" w:hAnsi="Times New Roman"/>
            <w:color w:val="0000FF"/>
            <w:sz w:val="24"/>
            <w:szCs w:val="24"/>
            <w:u w:val="single"/>
          </w:rPr>
          <w:t>https://doi.org/10.1063/5.0311656</w:t>
        </w:r>
      </w:hyperlink>
    </w:p>
    <w:p w14:paraId="19B63E95"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Sun, S., Du, X., Xia, L., &amp; Wu, W. (2025). Evaluation and establishment of an empirical model for the dynamic Ron effect of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power device in hard switching mode. IEEE Transactions on Electron Devices, 72(3), 987–995. </w:t>
      </w:r>
      <w:hyperlink r:id="rId24" w:history="1">
        <w:r w:rsidRPr="00372CAE">
          <w:rPr>
            <w:rFonts w:ascii="Times New Roman" w:hAnsi="Times New Roman"/>
            <w:color w:val="0000FF"/>
            <w:sz w:val="24"/>
            <w:szCs w:val="24"/>
            <w:u w:val="single"/>
          </w:rPr>
          <w:t>https://doi.org/10.1109/TED.2024.3523458</w:t>
        </w:r>
      </w:hyperlink>
    </w:p>
    <w:p w14:paraId="7F8B8F06"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Uren, M. J., &amp; Kuball, M. (2021). Impact of carbon in the buffer on power switching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-on-Si and RF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-on-</w:t>
      </w:r>
      <w:proofErr w:type="spellStart"/>
      <w:r w:rsidRPr="00372CAE">
        <w:rPr>
          <w:rFonts w:ascii="Times New Roman" w:hAnsi="Times New Roman"/>
          <w:color w:val="auto"/>
          <w:sz w:val="24"/>
          <w:szCs w:val="24"/>
        </w:rPr>
        <w:t>SiC</w:t>
      </w:r>
      <w:proofErr w:type="spellEnd"/>
      <w:r w:rsidRPr="00372CAE">
        <w:rPr>
          <w:rFonts w:ascii="Times New Roman" w:hAnsi="Times New Roman"/>
          <w:color w:val="auto"/>
          <w:sz w:val="24"/>
          <w:szCs w:val="24"/>
        </w:rPr>
        <w:t xml:space="preserve"> HEMTs. Japanese Journal of Applied Physics, 60(SB), SB0802. </w:t>
      </w:r>
      <w:hyperlink r:id="rId25" w:history="1">
        <w:r w:rsidRPr="00372CAE">
          <w:rPr>
            <w:rFonts w:ascii="Times New Roman" w:hAnsi="Times New Roman"/>
            <w:color w:val="0000FF"/>
            <w:sz w:val="24"/>
            <w:szCs w:val="24"/>
            <w:u w:val="single"/>
          </w:rPr>
          <w:t>https://doi.org/10.35848/1347-4065/abdb82</w:t>
        </w:r>
      </w:hyperlink>
    </w:p>
    <w:p w14:paraId="27FAE286"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Wang, W., Liang, Y., Zhang, M., Lin, F., Wen, F., &amp; Wang, H. (2021). Mechanism analysis of dynamic on-state resistance degradation for a commercial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HEMT using double pulse test. Electronics, 10(10), 1202. </w:t>
      </w:r>
      <w:hyperlink r:id="rId26" w:history="1">
        <w:r w:rsidRPr="00372CAE">
          <w:rPr>
            <w:rFonts w:ascii="Times New Roman" w:hAnsi="Times New Roman"/>
            <w:color w:val="0000FF"/>
            <w:sz w:val="24"/>
            <w:szCs w:val="24"/>
            <w:u w:val="single"/>
          </w:rPr>
          <w:t>https://doi.org/10.3390/electronics10101202</w:t>
        </w:r>
      </w:hyperlink>
    </w:p>
    <w:p w14:paraId="5ED10692"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Xie, Z., Wu, X., Dong, Z., Sun, J., Sheng, K., &amp; Chen, K. J. (2024). Dynamic on-resistance characterization of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power HEMTs under forward/reverse conduction using multigroup double pulse test. IEEE Transactions on Power Electronics, 39(2), 1963–1967. </w:t>
      </w:r>
      <w:hyperlink r:id="rId27" w:history="1">
        <w:r w:rsidRPr="00372CAE">
          <w:rPr>
            <w:rFonts w:ascii="Times New Roman" w:hAnsi="Times New Roman"/>
            <w:color w:val="0000FF"/>
            <w:sz w:val="24"/>
            <w:szCs w:val="24"/>
            <w:u w:val="single"/>
          </w:rPr>
          <w:t>https://doi.org/10.1109/TPEL.2023.3331891</w:t>
        </w:r>
      </w:hyperlink>
    </w:p>
    <w:p w14:paraId="13F5EB5B"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Yang, S., Han, S., Sheng, K., &amp; Chen, K. J. (2019). Dynamic on-resistance in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 power devices: Mechanisms, characterizations, and modeling. IEEE Journal of Emerging and Selected Topics in Power Electronics, 7(3), 1425–1439. </w:t>
      </w:r>
      <w:hyperlink r:id="rId28" w:history="1">
        <w:r w:rsidRPr="00372CAE">
          <w:rPr>
            <w:rFonts w:ascii="Times New Roman" w:hAnsi="Times New Roman"/>
            <w:color w:val="0000FF"/>
            <w:sz w:val="24"/>
            <w:szCs w:val="24"/>
            <w:u w:val="single"/>
          </w:rPr>
          <w:t>https://doi.org/10.1109/JESTPE.2019.2925117</w:t>
        </w:r>
      </w:hyperlink>
    </w:p>
    <w:p w14:paraId="5C52AD24"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Zou, X., Yang, J., Qiao, Q., Zou, X., Chen, J., Shi, Y., &amp; Ren, K. (2023). Trap characterization techniques for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-based HEMTs: A critical review. Micromachines, 14(11), 2044. </w:t>
      </w:r>
      <w:hyperlink r:id="rId29" w:history="1">
        <w:r w:rsidRPr="00372CAE">
          <w:rPr>
            <w:rFonts w:ascii="Times New Roman" w:hAnsi="Times New Roman"/>
            <w:color w:val="0000FF"/>
            <w:sz w:val="24"/>
            <w:szCs w:val="24"/>
            <w:u w:val="single"/>
          </w:rPr>
          <w:t>https://doi.org/10.3390/mi14112044</w:t>
        </w:r>
      </w:hyperlink>
    </w:p>
    <w:p w14:paraId="6AC928EC"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Zulauf, G., Guacci, M., &amp; Kolar, J. W. (2020a). Dynamic on-resistance in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-on-Si HEMTs: Origins, dependencies, and future characterization frameworks. IEEE Transactions on Power Electronics, 35(6), 5581–5588. </w:t>
      </w:r>
      <w:hyperlink r:id="rId30" w:history="1">
        <w:r w:rsidRPr="00372CAE">
          <w:rPr>
            <w:rFonts w:ascii="Times New Roman" w:hAnsi="Times New Roman"/>
            <w:color w:val="0000FF"/>
            <w:sz w:val="24"/>
            <w:szCs w:val="24"/>
            <w:u w:val="single"/>
          </w:rPr>
          <w:t>https://doi.org/10.1109/TPEL.2019.2955656</w:t>
        </w:r>
      </w:hyperlink>
    </w:p>
    <w:p w14:paraId="4233E6B0" w14:textId="77777777" w:rsidR="00372CAE" w:rsidRPr="00372CAE" w:rsidRDefault="00372CAE" w:rsidP="00372CAE">
      <w:pPr>
        <w:spacing w:before="100" w:beforeAutospacing="1" w:afterAutospacing="1" w:line="240" w:lineRule="auto"/>
        <w:rPr>
          <w:rFonts w:ascii="Times New Roman" w:hAnsi="Times New Roman"/>
          <w:color w:val="auto"/>
          <w:sz w:val="24"/>
          <w:szCs w:val="24"/>
        </w:rPr>
      </w:pPr>
      <w:r w:rsidRPr="00372CAE">
        <w:rPr>
          <w:rFonts w:ascii="Times New Roman" w:hAnsi="Times New Roman"/>
          <w:color w:val="auto"/>
          <w:sz w:val="24"/>
          <w:szCs w:val="24"/>
        </w:rPr>
        <w:t xml:space="preserve">Zulauf, G., Guacci, M., Rivas-Davila, J. M., &amp; Kolar, J. W. (2020b). The impact of multi-MHz switching frequencies on dynamic on-resistance in </w:t>
      </w:r>
      <w:proofErr w:type="spellStart"/>
      <w:r w:rsidRPr="00372CAE">
        <w:rPr>
          <w:rFonts w:ascii="Times New Roman" w:hAnsi="Times New Roman"/>
          <w:color w:val="auto"/>
          <w:sz w:val="24"/>
          <w:szCs w:val="24"/>
        </w:rPr>
        <w:t>GaN</w:t>
      </w:r>
      <w:proofErr w:type="spellEnd"/>
      <w:r w:rsidRPr="00372CAE">
        <w:rPr>
          <w:rFonts w:ascii="Times New Roman" w:hAnsi="Times New Roman"/>
          <w:color w:val="auto"/>
          <w:sz w:val="24"/>
          <w:szCs w:val="24"/>
        </w:rPr>
        <w:t xml:space="preserve">-on-Si HEMTs. IEEE Open Journal of Power Electronics, 1, 210–215. </w:t>
      </w:r>
      <w:hyperlink r:id="rId31" w:history="1">
        <w:r w:rsidRPr="00372CAE">
          <w:rPr>
            <w:rFonts w:ascii="Times New Roman" w:hAnsi="Times New Roman"/>
            <w:color w:val="0000FF"/>
            <w:sz w:val="24"/>
            <w:szCs w:val="24"/>
            <w:u w:val="single"/>
          </w:rPr>
          <w:t>https://doi.org/10.1109/OJPEL.2020.3005879</w:t>
        </w:r>
      </w:hyperlink>
    </w:p>
    <w:p w14:paraId="08FA1771" w14:textId="77777777" w:rsidR="00372CAE" w:rsidRPr="00372CAE" w:rsidRDefault="00372CAE" w:rsidP="00372CAE"/>
    <w:sectPr w:rsidR="00372CAE" w:rsidRPr="00372CAE" w:rsidSect="00EF7C62">
      <w:headerReference w:type="even" r:id="rId32"/>
      <w:headerReference w:type="default" r:id="rId33"/>
      <w:footerReference w:type="even" r:id="rId34"/>
      <w:footerReference w:type="default" r:id="rId35"/>
      <w:headerReference w:type="first" r:id="rId36"/>
      <w:footerReference w:type="first" r:id="rId37"/>
      <w:pgSz w:w="12240" w:h="15840" w:code="1"/>
      <w:pgMar w:top="1440" w:right="2016" w:bottom="2016" w:left="2016" w:header="720" w:footer="129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803C" w14:textId="77777777" w:rsidR="00A053AC" w:rsidRDefault="00A053AC" w:rsidP="00C37E61">
      <w:r>
        <w:separator/>
      </w:r>
    </w:p>
  </w:endnote>
  <w:endnote w:type="continuationSeparator" w:id="0">
    <w:p w14:paraId="04EF69FC" w14:textId="77777777" w:rsidR="00A053AC" w:rsidRDefault="00A053A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D00" w14:textId="77777777" w:rsidR="00BF121F" w:rsidRDefault="00BF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816E" w14:textId="77777777" w:rsidR="00172353" w:rsidRDefault="00000000">
    <w:pPr>
      <w:suppressLineNumbers/>
      <w:spacing w:after="0" w:line="240" w:lineRule="auto"/>
      <w:jc w:val="center"/>
    </w:pPr>
    <w:r>
      <w:fldChar w:fldCharType="begin"/>
    </w:r>
    <w:r>
      <w:instrText>PAGE</w:instrText>
    </w:r>
    <w:r>
      <w:fldChar w:fldCharType="separate"/>
    </w:r>
    <w:r w:rsidR="00E20A0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506F" w14:textId="77777777" w:rsidR="00754C9A" w:rsidRPr="009057A5" w:rsidRDefault="00754C9A" w:rsidP="00905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DB22E" w14:textId="77777777" w:rsidR="00A053AC" w:rsidRDefault="00A053AC" w:rsidP="00C37E61">
      <w:r>
        <w:separator/>
      </w:r>
    </w:p>
  </w:footnote>
  <w:footnote w:type="continuationSeparator" w:id="0">
    <w:p w14:paraId="772383F2" w14:textId="77777777" w:rsidR="00A053AC" w:rsidRDefault="00A053A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D318" w14:textId="77777777" w:rsidR="00BF121F" w:rsidRDefault="00000000">
    <w:pPr>
      <w:pStyle w:val="Header"/>
    </w:pPr>
    <w:r>
      <w:rPr>
        <w:noProof/>
      </w:rPr>
      <w:pict w14:anchorId="10121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6970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C5AD" w14:textId="77777777" w:rsidR="00433F95" w:rsidRDefault="00000000">
    <w:r>
      <w:rPr>
        <w:noProof/>
      </w:rPr>
      <w:pict w14:anchorId="47F113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6970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r w:rsidR="009057A5">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9A39" w14:textId="77777777" w:rsidR="00296529" w:rsidRPr="00296529" w:rsidRDefault="00000000" w:rsidP="00296529">
    <w:pPr>
      <w:ind w:left="2160"/>
      <w:jc w:val="center"/>
      <w:rPr>
        <w:rFonts w:ascii="Times New Roman" w:eastAsia="Calibri" w:hAnsi="Times New Roman"/>
        <w:i/>
        <w:sz w:val="18"/>
        <w:szCs w:val="22"/>
      </w:rPr>
    </w:pPr>
    <w:r>
      <w:rPr>
        <w:noProof/>
      </w:rPr>
      <w:pict w14:anchorId="2288E2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6970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p w14:paraId="367157F8"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548A81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F64B8B8"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60F4031"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21E4701"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E96DBD6"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M2sTAwMjc1ArLMLJV0lIJTi4sz8/NACgxrAbomm14sAAAA"/>
  </w:docVars>
  <w:rsids>
    <w:rsidRoot w:val="00AA6219"/>
    <w:rsid w:val="00000F8F"/>
    <w:rsid w:val="00030174"/>
    <w:rsid w:val="0004579C"/>
    <w:rsid w:val="000A47FA"/>
    <w:rsid w:val="000A65D3"/>
    <w:rsid w:val="000B1E33"/>
    <w:rsid w:val="000D689F"/>
    <w:rsid w:val="000E7B7B"/>
    <w:rsid w:val="000E7D62"/>
    <w:rsid w:val="00103357"/>
    <w:rsid w:val="00113C50"/>
    <w:rsid w:val="00123C9F"/>
    <w:rsid w:val="00126190"/>
    <w:rsid w:val="00130F17"/>
    <w:rsid w:val="001320BF"/>
    <w:rsid w:val="001549B4"/>
    <w:rsid w:val="00163BC4"/>
    <w:rsid w:val="00172353"/>
    <w:rsid w:val="00191062"/>
    <w:rsid w:val="00192B72"/>
    <w:rsid w:val="0019661C"/>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885"/>
    <w:rsid w:val="002B27FB"/>
    <w:rsid w:val="002B685A"/>
    <w:rsid w:val="002C57D2"/>
    <w:rsid w:val="002E0D56"/>
    <w:rsid w:val="00315186"/>
    <w:rsid w:val="003249B5"/>
    <w:rsid w:val="0033343E"/>
    <w:rsid w:val="003464E9"/>
    <w:rsid w:val="003512C2"/>
    <w:rsid w:val="0036602A"/>
    <w:rsid w:val="00371FB6"/>
    <w:rsid w:val="00372CAE"/>
    <w:rsid w:val="003755E0"/>
    <w:rsid w:val="003763C1"/>
    <w:rsid w:val="00376BBE"/>
    <w:rsid w:val="0039224F"/>
    <w:rsid w:val="003A43A4"/>
    <w:rsid w:val="003A7E18"/>
    <w:rsid w:val="003C4C86"/>
    <w:rsid w:val="003C4DE4"/>
    <w:rsid w:val="003C6258"/>
    <w:rsid w:val="003D56D6"/>
    <w:rsid w:val="003E2904"/>
    <w:rsid w:val="00401927"/>
    <w:rsid w:val="004042E7"/>
    <w:rsid w:val="004053B2"/>
    <w:rsid w:val="0041027F"/>
    <w:rsid w:val="00412475"/>
    <w:rsid w:val="00423789"/>
    <w:rsid w:val="00433F95"/>
    <w:rsid w:val="00437AA4"/>
    <w:rsid w:val="00440F43"/>
    <w:rsid w:val="00441B6F"/>
    <w:rsid w:val="00446221"/>
    <w:rsid w:val="00450E62"/>
    <w:rsid w:val="004539DB"/>
    <w:rsid w:val="00471A80"/>
    <w:rsid w:val="004D305E"/>
    <w:rsid w:val="004D4277"/>
    <w:rsid w:val="004D5BA0"/>
    <w:rsid w:val="00502516"/>
    <w:rsid w:val="00505F06"/>
    <w:rsid w:val="00506828"/>
    <w:rsid w:val="0053056E"/>
    <w:rsid w:val="00534BAA"/>
    <w:rsid w:val="0054323C"/>
    <w:rsid w:val="00554FDA"/>
    <w:rsid w:val="005C784C"/>
    <w:rsid w:val="005D17F6"/>
    <w:rsid w:val="005E3049"/>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D7842"/>
    <w:rsid w:val="006E1DF8"/>
    <w:rsid w:val="006F11EC"/>
    <w:rsid w:val="0070082C"/>
    <w:rsid w:val="007369E6"/>
    <w:rsid w:val="00746E59"/>
    <w:rsid w:val="00754C9A"/>
    <w:rsid w:val="0075599A"/>
    <w:rsid w:val="00761D52"/>
    <w:rsid w:val="0077749E"/>
    <w:rsid w:val="00790ADA"/>
    <w:rsid w:val="007D2288"/>
    <w:rsid w:val="007E088F"/>
    <w:rsid w:val="007F1AA8"/>
    <w:rsid w:val="007F7B32"/>
    <w:rsid w:val="00804BC2"/>
    <w:rsid w:val="0081431A"/>
    <w:rsid w:val="0083216F"/>
    <w:rsid w:val="00860000"/>
    <w:rsid w:val="00863BD3"/>
    <w:rsid w:val="008641ED"/>
    <w:rsid w:val="00866D66"/>
    <w:rsid w:val="008671C6"/>
    <w:rsid w:val="00875803"/>
    <w:rsid w:val="008914C2"/>
    <w:rsid w:val="008A5DA3"/>
    <w:rsid w:val="008B459E"/>
    <w:rsid w:val="008C067E"/>
    <w:rsid w:val="008E13AE"/>
    <w:rsid w:val="008E1506"/>
    <w:rsid w:val="008E710C"/>
    <w:rsid w:val="008F0AF3"/>
    <w:rsid w:val="008F69D6"/>
    <w:rsid w:val="00902823"/>
    <w:rsid w:val="009057A5"/>
    <w:rsid w:val="00915CA6"/>
    <w:rsid w:val="00927834"/>
    <w:rsid w:val="009500A6"/>
    <w:rsid w:val="00957C18"/>
    <w:rsid w:val="009659BA"/>
    <w:rsid w:val="00983040"/>
    <w:rsid w:val="009B3FB9"/>
    <w:rsid w:val="009C2465"/>
    <w:rsid w:val="009D35A0"/>
    <w:rsid w:val="009D7EB7"/>
    <w:rsid w:val="009E048A"/>
    <w:rsid w:val="009E08E9"/>
    <w:rsid w:val="009E3DB9"/>
    <w:rsid w:val="009E619F"/>
    <w:rsid w:val="009E6E35"/>
    <w:rsid w:val="009F0EDA"/>
    <w:rsid w:val="00A03B96"/>
    <w:rsid w:val="00A053AC"/>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4754E"/>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793C"/>
    <w:rsid w:val="00CF193C"/>
    <w:rsid w:val="00D173F1"/>
    <w:rsid w:val="00D36784"/>
    <w:rsid w:val="00D74CB0"/>
    <w:rsid w:val="00D8295D"/>
    <w:rsid w:val="00DC2A65"/>
    <w:rsid w:val="00DE15F0"/>
    <w:rsid w:val="00DE4014"/>
    <w:rsid w:val="00DE5663"/>
    <w:rsid w:val="00DE78AA"/>
    <w:rsid w:val="00E053D0"/>
    <w:rsid w:val="00E14A7A"/>
    <w:rsid w:val="00E15994"/>
    <w:rsid w:val="00E20A0E"/>
    <w:rsid w:val="00E3114E"/>
    <w:rsid w:val="00E31A70"/>
    <w:rsid w:val="00E35B02"/>
    <w:rsid w:val="00E66496"/>
    <w:rsid w:val="00E66B35"/>
    <w:rsid w:val="00E66E10"/>
    <w:rsid w:val="00E769F6"/>
    <w:rsid w:val="00E83E82"/>
    <w:rsid w:val="00E8407C"/>
    <w:rsid w:val="00E84F3C"/>
    <w:rsid w:val="00EA012C"/>
    <w:rsid w:val="00EC6A55"/>
    <w:rsid w:val="00ED0288"/>
    <w:rsid w:val="00EE17F9"/>
    <w:rsid w:val="00EE52CB"/>
    <w:rsid w:val="00EE6B05"/>
    <w:rsid w:val="00EF581D"/>
    <w:rsid w:val="00EF7C62"/>
    <w:rsid w:val="00EF7FD8"/>
    <w:rsid w:val="00F06F59"/>
    <w:rsid w:val="00F17988"/>
    <w:rsid w:val="00F469F0"/>
    <w:rsid w:val="00F53273"/>
    <w:rsid w:val="00F755E4"/>
    <w:rsid w:val="00F77D02"/>
    <w:rsid w:val="00F87665"/>
    <w:rsid w:val="00FA6836"/>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7B74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pPr>
      <w:spacing w:after="100" w:line="276" w:lineRule="auto"/>
    </w:pPr>
    <w:rPr>
      <w:rFonts w:ascii="Arial" w:hAnsi="Arial"/>
      <w:color w:val="000000"/>
    </w:rPr>
  </w:style>
  <w:style w:type="paragraph" w:styleId="Heading1">
    <w:name w:val="heading 1"/>
    <w:basedOn w:val="Normal"/>
    <w:next w:val="Normal"/>
    <w:qFormat/>
    <w:rsid w:val="00423789"/>
    <w:pPr>
      <w:keepNext/>
      <w:spacing w:before="180"/>
      <w:outlineLvl w:val="0"/>
    </w:pPr>
    <w:rPr>
      <w:b/>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keepNext/>
      <w:spacing w:after="1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Heading21">
    <w:name w:val="Heading 21"/>
    <w:pPr>
      <w:keepNext/>
      <w:spacing w:before="180" w:after="100" w:line="276" w:lineRule="auto"/>
    </w:pPr>
    <w:rPr>
      <w:rFonts w:ascii="Arial" w:hAnsi="Arial"/>
      <w:b/>
      <w:color w:val="000000"/>
      <w:sz w:val="22"/>
    </w:rPr>
  </w:style>
  <w:style w:type="paragraph" w:customStyle="1" w:styleId="Caption1">
    <w:name w:val="Caption1"/>
    <w:pPr>
      <w:spacing w:after="100" w:line="276" w:lineRule="auto"/>
    </w:pPr>
    <w:rPr>
      <w:rFonts w:ascii="Arial" w:hAnsi="Arial"/>
      <w:color w:val="000000"/>
    </w:rPr>
  </w:style>
  <w:style w:type="paragraph" w:styleId="NormalWeb">
    <w:name w:val="Normal (Web)"/>
    <w:basedOn w:val="Normal"/>
    <w:uiPriority w:val="99"/>
    <w:semiHidden/>
    <w:unhideWhenUsed/>
    <w:rsid w:val="008C067E"/>
    <w:pPr>
      <w:spacing w:before="100" w:beforeAutospacing="1" w:afterAutospacing="1" w:line="240" w:lineRule="auto"/>
    </w:pPr>
    <w:rPr>
      <w:rFonts w:ascii="Times New Roman" w:hAnsi="Times New Roman"/>
      <w:color w:val="auto"/>
      <w:sz w:val="24"/>
      <w:szCs w:val="24"/>
    </w:rPr>
  </w:style>
  <w:style w:type="character" w:styleId="Strong">
    <w:name w:val="Strong"/>
    <w:basedOn w:val="DefaultParagraphFont"/>
    <w:uiPriority w:val="22"/>
    <w:qFormat/>
    <w:rsid w:val="00437A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mi16091034" TargetMode="External"/><Relationship Id="rId18" Type="http://schemas.openxmlformats.org/officeDocument/2006/relationships/hyperlink" Target="https://doi.org/10.3390/mi14061227" TargetMode="External"/><Relationship Id="rId26" Type="http://schemas.openxmlformats.org/officeDocument/2006/relationships/hyperlink" Target="https://doi.org/10.3390/electronics10101202" TargetMode="External"/><Relationship Id="rId39" Type="http://schemas.openxmlformats.org/officeDocument/2006/relationships/theme" Target="theme/theme1.xml"/><Relationship Id="rId21" Type="http://schemas.openxmlformats.org/officeDocument/2006/relationships/hyperlink" Target="https://doi.org/10.1109/TPEL.2025.3598075"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002/pssa.202400089" TargetMode="External"/><Relationship Id="rId17" Type="http://schemas.openxmlformats.org/officeDocument/2006/relationships/hyperlink" Target="https://doi.org/10.1109/TPEL.2023.3318182" TargetMode="External"/><Relationship Id="rId25" Type="http://schemas.openxmlformats.org/officeDocument/2006/relationships/hyperlink" Target="https://doi.org/10.35848/1347-4065/abdb82"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49/ell2.12824" TargetMode="External"/><Relationship Id="rId20" Type="http://schemas.openxmlformats.org/officeDocument/2006/relationships/hyperlink" Target="https://doi.org/10.1109/TDMR.2024.3387573" TargetMode="External"/><Relationship Id="rId29" Type="http://schemas.openxmlformats.org/officeDocument/2006/relationships/hyperlink" Target="https://doi.org/10.3390/mi141120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09/TED.2018.2828410" TargetMode="External"/><Relationship Id="rId24" Type="http://schemas.openxmlformats.org/officeDocument/2006/relationships/hyperlink" Target="https://doi.org/10.1109/TED.2024.3523458"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3390/electronics14101991" TargetMode="External"/><Relationship Id="rId23" Type="http://schemas.openxmlformats.org/officeDocument/2006/relationships/hyperlink" Target="https://doi.org/10.1063/5.0311656" TargetMode="External"/><Relationship Id="rId28" Type="http://schemas.openxmlformats.org/officeDocument/2006/relationships/hyperlink" Target="https://doi.org/10.1109/JESTPE.2019.2925117" TargetMode="External"/><Relationship Id="rId36" Type="http://schemas.openxmlformats.org/officeDocument/2006/relationships/header" Target="header3.xml"/><Relationship Id="rId10" Type="http://schemas.openxmlformats.org/officeDocument/2006/relationships/hyperlink" Target="https://doi.org/10.3390/en17010230" TargetMode="External"/><Relationship Id="rId19" Type="http://schemas.openxmlformats.org/officeDocument/2006/relationships/hyperlink" Target="https://doi.org/10.9734/ACRI/2016/30062" TargetMode="External"/><Relationship Id="rId31" Type="http://schemas.openxmlformats.org/officeDocument/2006/relationships/hyperlink" Target="https://doi.org/10.1109/OJPEL.2020.300587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90/electronics14142791" TargetMode="External"/><Relationship Id="rId22" Type="http://schemas.openxmlformats.org/officeDocument/2006/relationships/hyperlink" Target="https://doi.org/10.1109/TED.2025.3610588" TargetMode="External"/><Relationship Id="rId27" Type="http://schemas.openxmlformats.org/officeDocument/2006/relationships/hyperlink" Target="https://doi.org/10.1109/TPEL.2023.3331891" TargetMode="External"/><Relationship Id="rId30" Type="http://schemas.openxmlformats.org/officeDocument/2006/relationships/hyperlink" Target="https://doi.org/10.1109/TPEL.2019.2955656"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26</TotalTime>
  <Pages>19</Pages>
  <Words>8623</Words>
  <Characters>49157</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57665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Dynamic On-Resistance and Charge Trapping in Gallium Nitride Power Devices</dc:title>
  <dc:creator>Neha Singh</dc:creator>
  <cp:lastModifiedBy>SDI CPU 1117</cp:lastModifiedBy>
  <cp:revision>48</cp:revision>
  <cp:lastPrinted>1999-07-06T11:00:00Z</cp:lastPrinted>
  <dcterms:created xsi:type="dcterms:W3CDTF">2014-10-25T14:34:00Z</dcterms:created>
  <dcterms:modified xsi:type="dcterms:W3CDTF">2026-10-13T09:34:00Z</dcterms:modified>
</cp:coreProperties>
</file>