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2CF3" w14:textId="77777777" w:rsidR="004A20D2" w:rsidRPr="004A20D2" w:rsidRDefault="004A20D2" w:rsidP="004A20D2">
      <w:pPr>
        <w:spacing w:after="360" w:line="300" w:lineRule="auto"/>
        <w:jc w:val="center"/>
        <w:rPr>
          <w:b/>
          <w:bCs/>
          <w:i/>
          <w:iCs/>
          <w:sz w:val="28"/>
          <w:szCs w:val="28"/>
          <w:u w:val="single"/>
          <w:lang w:val="en-US"/>
        </w:rPr>
      </w:pPr>
      <w:r w:rsidRPr="004A20D2">
        <w:rPr>
          <w:b/>
          <w:bCs/>
          <w:i/>
          <w:iCs/>
          <w:sz w:val="28"/>
          <w:szCs w:val="28"/>
          <w:u w:val="single"/>
          <w:lang w:val="en-US"/>
        </w:rPr>
        <w:t>Review Article</w:t>
      </w:r>
    </w:p>
    <w:p w14:paraId="5EE62C8F" w14:textId="77777777" w:rsidR="004E2118" w:rsidRDefault="00000000">
      <w:pPr>
        <w:spacing w:after="360" w:line="300" w:lineRule="auto"/>
        <w:jc w:val="center"/>
        <w:rPr>
          <w:b/>
          <w:bCs/>
          <w:sz w:val="28"/>
          <w:szCs w:val="28"/>
        </w:rPr>
      </w:pPr>
      <w:r>
        <w:rPr>
          <w:b/>
          <w:bCs/>
          <w:sz w:val="28"/>
          <w:szCs w:val="28"/>
        </w:rPr>
        <w:t>Temporal Fusion of RT-qPCR and IgM/IgG Serology for Nipah Virus Diagnosis: A Critical Narrative Review and a Proposed Explainable Artificial Intelligence Framework</w:t>
      </w:r>
    </w:p>
    <w:p w14:paraId="3F485253" w14:textId="77777777" w:rsidR="002425E5" w:rsidRDefault="002425E5">
      <w:pPr>
        <w:spacing w:after="360" w:line="300" w:lineRule="auto"/>
        <w:jc w:val="center"/>
      </w:pPr>
    </w:p>
    <w:p w14:paraId="548B14F7" w14:textId="77777777" w:rsidR="004E2118" w:rsidRDefault="00000000">
      <w:pPr>
        <w:pStyle w:val="Heading1"/>
        <w:spacing w:before="340" w:after="160"/>
      </w:pPr>
      <w:r>
        <w:t>Abstract</w:t>
      </w:r>
    </w:p>
    <w:p w14:paraId="76B02743" w14:textId="77777777" w:rsidR="004E2118" w:rsidRDefault="00000000">
      <w:pPr>
        <w:spacing w:after="160" w:line="360" w:lineRule="auto"/>
        <w:jc w:val="both"/>
      </w:pPr>
      <w:r>
        <w:t xml:space="preserve">Nipah virus infection is a high-consequence zoonosis of South and South-East Asia for which laboratory confirmation rests on two assay families whose informativeness moves in opposite directions across the course of illness. Reverse transcription quantitative polymerase chain reaction performs best while viral nucleic acid remains detectable in blood and the oropharynx, whereas enzyme-linked immunosorbent assays for immunoglobulin M and immunoglobulin G become informative as nucleic acid disappears. Prevailing practice interprets these assays as independent dichotomous results obtained at a single moment, discarding quantitative magnitude, specimen provenance and the day of illness on which each specimen was taken. This review critically evaluates whether the longitudinal structure of the two assay families can be exploited jointly, and what explainable artificial intelligence would need to deliver before such a model could be used in outbreak conditions. Human clinical studies describing the temporal behaviour of molecular and serological markers were appraised alongside the methodological literature on diagnostic accuracy without an adequate reference standard, and the computational literature on temporal and multimodal fusion and on explanation methods in clinical decision support. The evidence consistently indicates an ordered transition in which clearance of viral nucleic acid from blood precedes the appearance of virus-specific immunoglobulin G, and that the combination of detectable viraemia with absent immunoglobulin G at presentation carries adverse prognostic weight. Confidence in these observations is nevertheless constrained by very small samples, over-representation of the minority who survive, the absence of an international nucleic-acid standard, and geographical concentration of evidence in Bangladesh and Kerala. No clinical prediction model that fuses molecular and serological results over time was identified for this infection. A conceptual dynamic framework is developed that separates established temporal relationships from hypothesised gains, specifies the evaluation and governance requirements that would apply, </w:t>
      </w:r>
      <w:r>
        <w:lastRenderedPageBreak/>
        <w:t>and identifies prospective serial-sampling cohorts as the rate-limiting evidential step rather than model architecture.</w:t>
      </w:r>
    </w:p>
    <w:p w14:paraId="5EDF25E1" w14:textId="77777777" w:rsidR="004E2118" w:rsidRDefault="00000000">
      <w:pPr>
        <w:pStyle w:val="Heading1"/>
        <w:spacing w:before="340" w:after="160"/>
      </w:pPr>
      <w:r>
        <w:t>Keywords</w:t>
      </w:r>
    </w:p>
    <w:p w14:paraId="31BD2259" w14:textId="77777777" w:rsidR="004E2118" w:rsidRDefault="00000000">
      <w:pPr>
        <w:spacing w:after="160" w:line="360" w:lineRule="auto"/>
        <w:jc w:val="both"/>
      </w:pPr>
      <w:r>
        <w:t>Nipah virus; diagnostic accuracy; reverse transcription quantitative polymerase chain reaction; serological testing; explainable artificial intelligence; multimodal data fusion; acute encephalitis syndrome; clinical prediction model</w:t>
      </w:r>
    </w:p>
    <w:p w14:paraId="3FDB829B" w14:textId="77777777" w:rsidR="004E2118" w:rsidRDefault="00000000">
      <w:pPr>
        <w:pStyle w:val="Heading1"/>
        <w:spacing w:before="340" w:after="160"/>
      </w:pPr>
      <w:r>
        <w:t>1. Introduction</w:t>
      </w:r>
    </w:p>
    <w:p w14:paraId="632E38B7" w14:textId="77777777" w:rsidR="004E2118" w:rsidRDefault="00000000">
      <w:pPr>
        <w:spacing w:after="160" w:line="360" w:lineRule="auto"/>
        <w:jc w:val="both"/>
      </w:pPr>
      <w:r>
        <w:t xml:space="preserve">Nipah virus (NiV) is a member of the genus </w:t>
      </w:r>
      <w:r>
        <w:rPr>
          <w:i/>
          <w:iCs/>
        </w:rPr>
        <w:t>Henipavirus</w:t>
      </w:r>
      <w:r>
        <w:t xml:space="preserve"> within the family </w:t>
      </w:r>
      <w:r>
        <w:rPr>
          <w:i/>
          <w:iCs/>
        </w:rPr>
        <w:t>Paramyxoviridae</w:t>
      </w:r>
      <w:r>
        <w:t xml:space="preserve">, first characterised during an outbreak of encephalitis among pig farmers in peninsular Malaysia in 1998 and 1999 (Chua et al., 1999; Goh et al., 2000). The natural reservoir comprises pteropodid fruit bats, and in South Asia the principal reservoir species is the Indian flying fox, </w:t>
      </w:r>
      <w:r>
        <w:rPr>
          <w:i/>
          <w:iCs/>
        </w:rPr>
        <w:t>Pteropus medius</w:t>
      </w:r>
      <w:r>
        <w:t>. Since the Malaysian episode the epidemiological centre of the disease has shifted westwards. Bangladesh has recorded near-annual spillover since 2001, driven predominantly by consumption of raw date palm sap contaminated by bat excreta and by subsequent person-to-person transmission within households and hospitals (Luby et al., 2009; Nikolay et al., 2019). India has reported outbreaks in West Bengal and, since 2018, a recurrent series of events in Kerala (Chadha et al., 2006; Arunkumar, Chandni, et al., 2019; Sahay et al., 2025). Reported case fatality is extreme. The World Health Organization places it between 40% and 75% across outbreaks (World Health Organization, 2026); Bangladeshi surveillance data indicate approximately 71% overall and 84% among genomically characterised cases (Satter et al., 2025); and the Kerala outbreak of 2018 produced 21 deaths among 23 identified cases (Arunkumar, Chandni, et al., 2019). Approximately one in five survivors experiences persistent neurological impairment (World Health Organization, 2026), a figure corroborated by longitudinal follow-up of the largest Bangladeshi survivor cohort assembled to date (Aquib, Mondal, et al., 2026). No licensed vaccine or antiviral agent exists. Clinical management remains supportive, and the one antiviral used at scale during an outbreak produced no demonstrable benefit (Chandni et al., 2020; Luby, 2013).</w:t>
      </w:r>
    </w:p>
    <w:p w14:paraId="7F42BE76" w14:textId="77777777" w:rsidR="004E2118" w:rsidRDefault="00000000">
      <w:pPr>
        <w:spacing w:after="160" w:line="360" w:lineRule="auto"/>
        <w:jc w:val="both"/>
      </w:pPr>
      <w:r>
        <w:t xml:space="preserve">In the absence of specific treatment, the practical value of diagnosis lies in three domains: triggering isolation and contact tracing before onward transmission occurs, directing scarce investigational therapeutics and intensive supportive care towards patients most likely to benefit, and enabling the epidemiological reconstruction on which outbreak containment </w:t>
      </w:r>
      <w:r>
        <w:lastRenderedPageBreak/>
        <w:t>depends. Each of these depends on the speed and reliability with which infection is confirmed or excluded. Laboratory confirmation currently relies on two distinct technologies. Reverse transcription quantitative polymerase chain reaction (RT-qPCR), most commonly targeting the nucleoprotein gene, is the reference approach during acute illness and is applied to throat or oropharyngeal swabs, whole blood or serum, urine and cerebrospinal fluid (CSF) (Guillaume et al., 2004; Arunkumar, Chandni, et al., 2019; Garbuglia et al., 2023). Enzyme-linked immunosorbent assays (ELISA) for virus-specific immunoglobulin M (IgM) and immunoglobulin G (IgG) provide the complementary serological arm, and are used both for diagnosis in patients presenting late and for retrospective ascertainment of infection in contacts (Daniels et al., 2001; Kumar et al., 2019; Alam et al., 2026).</w:t>
      </w:r>
      <w:r>
        <w:rPr>
          <w:highlight w:val="yellow"/>
        </w:rPr>
        <w:t xml:space="preserve"> Recent analytical developments continue to expand both molecular and serological options for NiV detection, including multiplex qRT-PCR and rapid antibody-detection platforms (Bergeron et al., 2024; He et al., 2024).</w:t>
      </w:r>
    </w:p>
    <w:p w14:paraId="3E91A9FB" w14:textId="77777777" w:rsidR="004E2118" w:rsidRDefault="00000000">
      <w:pPr>
        <w:spacing w:after="160" w:line="360" w:lineRule="auto"/>
        <w:jc w:val="both"/>
      </w:pPr>
      <w:r>
        <w:t>The difficulty is that these two technologies are informative during different and only partially overlapping intervals. Viral nucleic acid is most reliably detected early, and its detectability in the oropharynx declines from approximately the second week of illness (As et al., 2024; Satter et al., 2026). Antibody responses, conversely, become measurable towards the end of the first week and persist thereafter (Wong et al., 2001; Arunkumar, Devadiga, et al., 2019). Serial sampling of the only two survivors of the 2018 Kerala outbreak demonstrated that clearance of NiV ribonucleic acid from blood preceded the appearance of virus-specific IgG (Arunkumar, Devadiga, et al., 2019). Analysis of all 22 human cases detected in Bangladesh during the outbreaks of 2023, 2024 and 2025 showed that every survivor was IgG positive at the time of diagnosis whereas only approximately one third of fatal cases were, and that detectable viraemia at diagnosis was associated with universal fatality, compared with a case fatality of 25% among the four patients without detectable viraemia (Satter et al., 2026). The two assay families therefore do not merely substitute for one another at different times; their joint pattern appears to carry information about both infection status and prognosis that neither conveys alone.</w:t>
      </w:r>
    </w:p>
    <w:p w14:paraId="7532D86C" w14:textId="77777777" w:rsidR="004E2118" w:rsidRDefault="00000000">
      <w:pPr>
        <w:spacing w:after="160" w:line="360" w:lineRule="auto"/>
        <w:jc w:val="both"/>
      </w:pPr>
      <w:r>
        <w:t xml:space="preserve">Despite this, diagnostic practice treats the two assays as independent dichotomous tests. A specimen is reported as positive or negative, and interpretation proceeds through a fixed sequential algorithm in which a negative molecular result prompts either repeat molecular testing or a switch to serology. The quantitative magnitude of the molecular signal, the specimen matrix from which it was obtained, the optical density ratio of the serological result, </w:t>
      </w:r>
      <w:r>
        <w:lastRenderedPageBreak/>
        <w:t>and above all the number of days elapsed since symptom onset are recorded in laboratory reports but play no formal part in the inference. This is not a peculiarity of NiV. Comparable criticism was directed at severe acute respiratory syndrome coronavirus 2 testing, where the probability of a false-negative molecular result was shown to vary substantially with time since exposure, and where explicit temporal framing of test interpretation was required to prevent systematic misclassification (Kucirka et al., 2020; Sethuraman et al., 2020). For NiV the consequences are amplified by the rarity of cases, the short interval between onset and death, and the biosafety constraints that restrict repeat testing.</w:t>
      </w:r>
    </w:p>
    <w:p w14:paraId="3AA5AA0F" w14:textId="77777777" w:rsidR="004E2118" w:rsidRDefault="00000000">
      <w:pPr>
        <w:spacing w:after="160" w:line="360" w:lineRule="auto"/>
        <w:jc w:val="both"/>
      </w:pPr>
      <w:r>
        <w:t>Existing reviews of NiV diagnostics have described this landscape but have not addressed the inferential problem. Mazzola and Kelly-Cirino (2019) catalogued available assays and identified the absence of point-of-care (POC) tests and the inadequacy of specimen access for validation as the dominant gaps, while explicitly noting that an improved understanding of infection kinetics would be central to future diagnostic development. Thakur and Bailey (2019) and Sharma et al. (2024) surveyed assay platforms and their analytical characteristics. Garbuglia et al. (2023) provided the most detailed technical appraisal, comparing analytical sensitivities across molecular platforms and noting that serological assays are used mainly in seroprevalence work because of reduced sensitivity in acute infection. A landscape analysis completed subsequently identified 43 commercial NiV tests, of which only six held national regulatory approval, and found that only three of 28 relevant publications reported independent evaluation or external quality assessment (EQA) (Mazzola et al., 2026). Asokan et al. (2026) reiterated diagnostic gaps in the context of pandemic preparedness, and van den Hurk et al. (2025) reviewed laboratory diagnosis of both henipaviruses from a One Health perspective. None of these reviews treats the day of illness as an analytical variable, none evaluates the joint interpretation of molecular and serological results as a modelling problem, and none considers the computational literature on temporal or multimodal inference.</w:t>
      </w:r>
    </w:p>
    <w:p w14:paraId="0079E0FD" w14:textId="77777777" w:rsidR="004E2118" w:rsidRDefault="00000000">
      <w:pPr>
        <w:spacing w:after="160" w:line="360" w:lineRule="auto"/>
        <w:jc w:val="both"/>
      </w:pPr>
      <w:r>
        <w:t xml:space="preserve">The computational literature, for its part, has developed methods that appear well matched to this structure without being applied to it. Attention-based architectures for multi-horizon forecasting provide variable-selection weights and temporal attention patterns intended to make multivariate time-series predictions inspectable (Lim et al., 2021), and have been developed and externally validated in clinical settings (Kapral et al., 2024). Recurrent architectures that treat the pattern of missing observations as itself informative address a defining feature of outbreak specimen collection (Che et al., 2018). Reviews of multimodal machine learning in health describe fusion strategies for combining heterogeneous data streams </w:t>
      </w:r>
      <w:r>
        <w:lastRenderedPageBreak/>
        <w:t>(Kline et al., 2022), and explainable artificial intelligence (XAI) methods have been applied to longitudinal clinical data in critical care and dialysis (Lauritsen et al., 2020; Yun et al., 2023; Athukorala &amp; Ilmini, 2026). Explanation itself remains contested: post hoc attribution methods have been criticised as unreliable justification for individual clinical decisions (Ghassemi et al., 2021), and empirical work indicates that explanations can either raise or lower appropriate clinician reliance depending on how they are constructed and presented (Rosenbacke et al., 2024). Calls for explainable methods specifically within clinical microbiology and infectious diseases have appeared only recently (Warrier et al., 2026; Cao et al., 2026), and no clinical prediction model for NiV diagnosis or prognosis was identified during the preparation of this review.</w:t>
      </w:r>
      <w:r>
        <w:rPr>
          <w:highlight w:val="yellow"/>
        </w:rPr>
        <w:t xml:space="preserve"> Recent syntheses of multimodal machine learning in healthcare and AI-enabled infectious-disease diagnostics likewise emphasize that model utility depends on task-appropriate data integration, rigorous validation, and implementation safeguards (Krones et al., 2025; Miglietta et al., 2026).</w:t>
      </w:r>
    </w:p>
    <w:p w14:paraId="5EB8EDB9" w14:textId="77777777" w:rsidR="004E2118" w:rsidRDefault="00000000">
      <w:pPr>
        <w:pStyle w:val="Heading2"/>
        <w:spacing w:before="260" w:after="130"/>
      </w:pPr>
      <w:r>
        <w:t>1.1 Scope, Research Gap and Objectives</w:t>
      </w:r>
    </w:p>
    <w:p w14:paraId="7784CBAA" w14:textId="77777777" w:rsidR="004E2118" w:rsidRDefault="00000000">
      <w:pPr>
        <w:spacing w:after="160" w:line="360" w:lineRule="auto"/>
        <w:jc w:val="both"/>
      </w:pPr>
      <w:r>
        <w:t>This review is bounded to the diagnosis of human Nipah virus infection using molecular and serological assays interpreted as a function of time since symptom onset, and to the computational and methodological requirements of combining them. Animal and environmental surveillance, vaccine and therapeutic development, ecological modelling of spillover risk, genomic epidemiology, and in silico drug discovery fall outside the scope except where they bear directly on the interpretation of human diagnostic results. Imaging-based diagnosis is not covered, since imaging findings in this infection are non-specific and no imaging-based classifier has been reported.</w:t>
      </w:r>
    </w:p>
    <w:p w14:paraId="3C862EEC" w14:textId="77777777" w:rsidR="004E2118" w:rsidRDefault="00000000">
      <w:pPr>
        <w:spacing w:after="160" w:line="360" w:lineRule="auto"/>
        <w:jc w:val="both"/>
      </w:pPr>
      <w:r>
        <w:t>The gap addressed is specific. Clinical descriptions of Nipah virus infection contain repeated, mutually consistent observations that molecular and serological positivity are ordered in time and that their joint pattern is associated with outcome, yet no published work converts these observations into a formal inferential structure, and the diagnostic reviews that summarise the field do not identify this as a deficiency. Conversely, the computational methods that would be required are mature in other clinical domains but have not been applied to any henipavirus. The result is that the temporal information generated routinely during outbreak investigations is recorded and then discarded.</w:t>
      </w:r>
    </w:p>
    <w:p w14:paraId="02C2D873" w14:textId="77777777" w:rsidR="004E2118" w:rsidRDefault="00000000">
      <w:pPr>
        <w:spacing w:after="160" w:line="360" w:lineRule="auto"/>
        <w:jc w:val="both"/>
      </w:pPr>
      <w:r>
        <w:rPr>
          <w:highlight w:val="yellow"/>
        </w:rPr>
        <w:t xml:space="preserve">The intended contribution is analytical rather than empirical. No new data are presented, no model is fitted, and no claim is made that the proposed framework would improve diagnostic </w:t>
      </w:r>
      <w:r>
        <w:rPr>
          <w:highlight w:val="yellow"/>
        </w:rPr>
        <w:lastRenderedPageBreak/>
        <w:t>performance. The framework is offered as a structured research agenda whose principal value is to make explicit what would have to be measured, and how it would have to be evaluated, before temporal fusion could be considered for use.</w:t>
      </w:r>
    </w:p>
    <w:p w14:paraId="07F6568C" w14:textId="77777777" w:rsidR="004E2118" w:rsidRDefault="00000000">
      <w:pPr>
        <w:spacing w:after="160" w:line="360" w:lineRule="auto"/>
        <w:jc w:val="both"/>
      </w:pPr>
      <w:r>
        <w:t>Four objectives follow. The first is to synthesise and critically appraise the human clinical evidence on the temporal behaviour of molecular and serological markers in Nipah virus infection, distinguishing well-supported patterns from observations resting on single small series. The second is to evaluate the methodological quality of that evidence, with particular attention to the absence of an adequate reference standard, the over-representation of survivors, and assay standardisation. The third is to assess which temporal and multimodal modelling strategies, and which explanation approaches, are defensible given the quantity and quality of data that realistically exist. The fourth is to develop a conceptual dynamic diagnostic framework that separates relationships already established by evidence from those that remain hypothesised, and to specify the validation, calibration and governance conditions under which such a framework could be tested.</w:t>
      </w:r>
    </w:p>
    <w:p w14:paraId="1062F721" w14:textId="77777777" w:rsidR="004E2118" w:rsidRDefault="00000000">
      <w:pPr>
        <w:pStyle w:val="Heading1"/>
        <w:spacing w:before="340" w:after="160"/>
      </w:pPr>
      <w:r>
        <w:t>2. Methods for Literature Selection</w:t>
      </w:r>
    </w:p>
    <w:p w14:paraId="3FAF7549" w14:textId="77777777" w:rsidR="004E2118" w:rsidRDefault="00000000">
      <w:pPr>
        <w:pStyle w:val="Heading2"/>
        <w:spacing w:before="260" w:after="130"/>
      </w:pPr>
      <w:r>
        <w:t>2.1 Review Design and Rationale</w:t>
      </w:r>
    </w:p>
    <w:p w14:paraId="493346FA" w14:textId="77777777" w:rsidR="004E2118" w:rsidRDefault="00000000">
      <w:pPr>
        <w:spacing w:after="160" w:line="360" w:lineRule="auto"/>
        <w:jc w:val="both"/>
      </w:pPr>
      <w:r>
        <w:t>A critical narrative synthesis was selected because the review question spans three literatures with incompatible study designs and reporting conventions: small observational clinical series describing Nipah virus infection, analytical validation studies of laboratory assays, and methodological and computational work on prediction modelling and explanation. A systematic review with quantitative pooling was not appropriate. The clinical evidence consists largely of outbreak investigations and case series with between two and twenty-three participants, in which sampling schedules were determined by operational circumstance rather than protocol, and in which the index tests under discussion also serve as the reference standard. Meta-analytic summary of diagnostic accuracy under these conditions would generate spuriously precise estimates from data that cannot support them. A scoping review would have mapped the literature without performing the comparative appraisal that the question requires, since the central difficulty is not the identification of studies but the reconciliation of what clinical observation, assay validation and modelling methodology each permit to be concluded.</w:t>
      </w:r>
    </w:p>
    <w:p w14:paraId="4F36B1B2" w14:textId="77777777" w:rsidR="004E2118" w:rsidRDefault="00000000">
      <w:pPr>
        <w:spacing w:after="160" w:line="360" w:lineRule="auto"/>
        <w:jc w:val="both"/>
      </w:pPr>
      <w:r>
        <w:t xml:space="preserve">The narrative design does not relax requirements for transparency or appraisal. Reporting conventions developed for prediction-model research were used as the appraisal lens for the computational literature, specifically the updated guidance for reporting prediction models that </w:t>
      </w:r>
      <w:r>
        <w:lastRenderedPageBreak/>
        <w:t>use regression or machine learning methods (G. S. Collins et al., 2024), the reporting guideline for early-stage clinical evaluation of artificial-intelligence-driven decision support (Vasey et al., 2022), and the minimum information checklist for clinical artificial intelligence modelling (Norgeot et al., 2020). For the diagnostic-accuracy literature, the appraisal was informed by established treatments of accuracy estimation when no adequate reference standard exists (Pepe &amp; Janes, 2007; J. Collins &amp; Huynh, 2014) and by reporting standards for studies using Bayesian latent class models (Kostoulas et al., 2017). Search concepts, sources, eligibility rules and appraisal criteria are stated below so that the selection can be interrogated and repeated.</w:t>
      </w:r>
    </w:p>
    <w:p w14:paraId="004BE172" w14:textId="77777777" w:rsidR="004E2118" w:rsidRDefault="00000000">
      <w:pPr>
        <w:pStyle w:val="Heading2"/>
        <w:spacing w:before="260" w:after="130"/>
      </w:pPr>
      <w:r>
        <w:t>2.2 Information Sources</w:t>
      </w:r>
    </w:p>
    <w:p w14:paraId="7A14757A" w14:textId="77777777" w:rsidR="004E2118" w:rsidRDefault="00000000">
      <w:pPr>
        <w:spacing w:after="160" w:line="360" w:lineRule="auto"/>
        <w:jc w:val="both"/>
      </w:pPr>
      <w:r>
        <w:t>Literature was retrieved from PubMed, Europe PMC, Crossref, the Directory of Open Access Journals, Semantic Scholar and Google Scholar. Institutional material was obtained directly from the website of the World Health Organization, comprising the Nipah virus fact sheet and the research and development blueprint documentation on priority diagnostics and target product profiles for this pathogen (World Health Organization, 2019, 2026). Database searching was supplemented by author-specific searching for the small number of investigator groups that have generated most of the human clinical data on this infection, by examination of the reference lists of the recent diagnostic reviews identified in the search, by forward citation searching of the principal clinical series, and by related-article searching. Bibliographic details and digital object identifiers for every retained source were confirmed against Crossref and, for indexed biomedical literature, against the corresponding database record.</w:t>
      </w:r>
    </w:p>
    <w:p w14:paraId="7DEBC9D2" w14:textId="77777777" w:rsidR="004E2118" w:rsidRDefault="00000000">
      <w:pPr>
        <w:pStyle w:val="Heading2"/>
        <w:spacing w:before="260" w:after="130"/>
      </w:pPr>
      <w:r>
        <w:t>2.3 Search Strategy and Search Period</w:t>
      </w:r>
    </w:p>
    <w:p w14:paraId="59AA794B" w14:textId="77777777" w:rsidR="004E2118" w:rsidRDefault="00000000">
      <w:pPr>
        <w:spacing w:after="160" w:line="360" w:lineRule="auto"/>
        <w:jc w:val="both"/>
      </w:pPr>
      <w:r>
        <w:t xml:space="preserve">Six search concepts were developed from the review question and combined with Boolean operators. The first identified the pathogen and its genus, the second molecular detection technologies, the third serological methods and antibody classes, the fourth temporal descriptors, the fifth computational and explanation methods, and the sixth evaluation methodology for diagnostic tests and prediction models. Representative strings, expressed in the title-field syntax used for the biomedical searches, included the following. For the pathogen and molecular arm: ("Nipah" OR "henipavirus") AND ("RT-PCR" OR "real-time" OR "RT-qPCR" OR "molecular" OR "nucleic acid" OR "viral load" OR "LAMP" OR "CRISPR" OR "point-of-care"). For the serological arm: ("Nipah" OR "henipavirus") AND ("serolog*" OR "IgM" OR "IgG" OR "ELISA" OR "antibody" OR "seroprevalence" OR "neutralisation"). For the clinical and temporal arm: ("Nipah") AND ("outbreak" OR "clinical" OR "encephalitis" </w:t>
      </w:r>
      <w:r>
        <w:lastRenderedPageBreak/>
        <w:t>OR "kinetics" OR "survivors" OR "contacts" OR "Kerala" OR "Bangladesh"). For the computational arm: ("explainable" OR "interpretable" OR "explainable artificial intelligence") AND ("clinical" OR "diagnosis" OR "infectious" OR "healthcare"), and ("temporal fusion transformer" OR "multimodal" OR "data fusion" OR "irregularly sampled" OR "missing values") AND ("clinical" OR "prediction" OR "time series"). For the evaluation arm: ("latent class" OR "reference standard" OR "diagnostic accuracy" OR "calibration" OR "external validation") AND ("diagnostic test" OR "clinical prediction" OR "machine learning").</w:t>
      </w:r>
    </w:p>
    <w:p w14:paraId="7BFC23C2" w14:textId="77777777" w:rsidR="004E2118" w:rsidRDefault="00000000">
      <w:pPr>
        <w:spacing w:after="160" w:line="360" w:lineRule="auto"/>
        <w:jc w:val="both"/>
      </w:pPr>
      <w:r>
        <w:t>Searching covered publications from 1 January 1999 for the Nipah virus literature, the year in which the aetiological agent of the Malaysian outbreak was characterised and the first human diagnostic assays were described, and from 1 January 2015 for the computational literature, by which point attention-based sequence architectures and formal work on model explanation had begun to appear in health applications. The final search date was 27 July 2026. Foundational publications outside these windows were retained where they were conceptually or historically necessary, which applied principally to methodological work on diagnostic accuracy estimation and to consensus material on encephalitis case definitions.</w:t>
      </w:r>
    </w:p>
    <w:p w14:paraId="12F4D0CD" w14:textId="77777777" w:rsidR="004E2118" w:rsidRDefault="00000000">
      <w:pPr>
        <w:pStyle w:val="Heading2"/>
        <w:spacing w:before="260" w:after="130"/>
      </w:pPr>
      <w:r>
        <w:t>2.4 Eligibility Criteria</w:t>
      </w:r>
    </w:p>
    <w:p w14:paraId="54FAFDBF" w14:textId="77777777" w:rsidR="004E2118" w:rsidRDefault="00000000">
      <w:pPr>
        <w:spacing w:after="160" w:line="360" w:lineRule="auto"/>
        <w:jc w:val="both"/>
      </w:pPr>
      <w:r>
        <w:t>Peer-reviewed journal articles were eligible if they reported original human clinical or laboratory data on Nipah virus diagnosis, analytical development or validation of NiV molecular or serological assays, methodological guidance relevant to diagnostic accuracy or prediction-model development and reporting, or development, validation or critical evaluation of temporal, multimodal or explainable modelling approaches in clinical medicine. Authoritative institutional documentation from the World Health Organization was eligible for statements on disease burden, priority status and diagnostic target specifications. Publications were required to be in English.</w:t>
      </w:r>
    </w:p>
    <w:p w14:paraId="3BE567D9" w14:textId="77777777" w:rsidR="004E2118" w:rsidRDefault="00000000">
      <w:pPr>
        <w:spacing w:after="160" w:line="360" w:lineRule="auto"/>
        <w:jc w:val="both"/>
      </w:pPr>
      <w:r>
        <w:t xml:space="preserve">Sources were excluded if bibliographic identity or digital object identifier could not be confirmed, if publication metadata remained incomplete at the time of verification, if they consisted of conference abstracts without full methodological reporting, or if they were preprints for which peer-reviewed evidence on the same question was available. Purely computational studies of viral structure, molecular docking, epitope prediction and vaccine design were excluded as outside scope, as were ecological niche models of spillover risk and animal-only diagnostic studies, except where an animal or reservoir study was necessary to </w:t>
      </w:r>
      <w:r>
        <w:lastRenderedPageBreak/>
        <w:t>establish an assay characteristic relevant to human testing. Commentary and correspondence were excluded as evidence but were consulted where they identified methodological disputes.</w:t>
      </w:r>
    </w:p>
    <w:p w14:paraId="6ACDB30A" w14:textId="77777777" w:rsidR="004E2118" w:rsidRDefault="00000000">
      <w:pPr>
        <w:pStyle w:val="Heading2"/>
        <w:spacing w:before="260" w:after="130"/>
      </w:pPr>
      <w:r>
        <w:t>2.5 Screening, Duplicate Handling and Study Selection</w:t>
      </w:r>
    </w:p>
    <w:p w14:paraId="705A8436" w14:textId="77777777" w:rsidR="004E2118" w:rsidRDefault="00000000">
      <w:pPr>
        <w:spacing w:after="160" w:line="360" w:lineRule="auto"/>
        <w:jc w:val="both"/>
      </w:pPr>
      <w:r>
        <w:t>Titles and abstracts retrieved by each search were screened against the eligibility criteria, and full texts of potentially relevant records were examined. Because searches were conducted across overlapping indexes, duplicate records were identified by digital object identifier and, where an identifier was absent, by matching of title, first author and journal; a single record was retained for each publication, with metadata taken from the source that agreed with the publisher record. Where indexes disagreed on volume, issue, pagination or year, the Crossref registration and the publisher page were treated as authoritative and the corrected metadata were used. Publications for which registries disagreed irreconcilably on year or volume were not retained.</w:t>
      </w:r>
    </w:p>
    <w:p w14:paraId="5B8EF5F0" w14:textId="77777777" w:rsidR="004E2118" w:rsidRDefault="00000000">
      <w:pPr>
        <w:spacing w:after="160" w:line="360" w:lineRule="auto"/>
        <w:jc w:val="both"/>
      </w:pPr>
      <w:r>
        <w:t>No screening counts are reported. Selection was purposive and iterative rather than exhaustive: candidate sources were retained on the basis of relevance to a specific analytical claim, methodological adequacy for that claim, and contribution to the argument, and searching continued within each concept until additional retrieval ceased to alter the assessment. Sources whose full text could not be accessed were not cited. Language restriction to English means that Nipah virus literature published in Bengali, Malayalam or Malay, and regionally indexed material not captured by the international indexes searched, may be under-represented.</w:t>
      </w:r>
    </w:p>
    <w:p w14:paraId="167DEECD" w14:textId="77777777" w:rsidR="004E2118" w:rsidRDefault="00000000">
      <w:pPr>
        <w:pStyle w:val="Heading2"/>
        <w:spacing w:before="260" w:after="130"/>
      </w:pPr>
      <w:r>
        <w:t>2.6 Critical Appraisal and Evidence Synthesis</w:t>
      </w:r>
    </w:p>
    <w:p w14:paraId="783EF68D" w14:textId="77777777" w:rsidR="004E2118" w:rsidRDefault="00000000">
      <w:pPr>
        <w:spacing w:after="160" w:line="360" w:lineRule="auto"/>
        <w:jc w:val="both"/>
      </w:pPr>
      <w:r>
        <w:t xml:space="preserve">Appraisal was tailored to study type. Human clinical series were assessed for sample size and completeness, whether serial specimens were collected to a protocol or opportunistically, whether the day of illness was reported for each specimen, whether survivors and fatal cases were both represented, and whether the assay used as reference was distinguishable from the assay under evaluation. Assay development and validation studies were assessed for the nature of the material tested, since analytical sensitivity established on cultured virus or contrived specimens does not transfer directly to clinical performance; for whether limits of detection were reported with units permitting comparison; for whether an international standard was used; and for whether independent evaluation had been performed. Computational studies were assessed for sample size relative to model complexity, whether validation was internal or external, whether calibration as well as discrimination was reported, whether explanation claims were empirically supported or asserted, and whether reporting followed a recognised </w:t>
      </w:r>
      <w:r>
        <w:lastRenderedPageBreak/>
        <w:t>guideline. Formal risk-of-bias instruments were not applied, because the reporting in the clinical series is insufficiently detailed to support item-level scoring and because no recognised instrument fits the heterogeneous mixture of designs assembled here.</w:t>
      </w:r>
    </w:p>
    <w:p w14:paraId="22857563" w14:textId="77777777" w:rsidR="004E2118" w:rsidRDefault="00000000">
      <w:pPr>
        <w:spacing w:after="160" w:line="360" w:lineRule="auto"/>
        <w:jc w:val="both"/>
      </w:pPr>
      <w:r>
        <w:t>Themes were developed inductively from the retained evidence and then tested against it. Four organising themes emerged: the temporal structure of the diagnostic signal, the methodological constraints of the evidence base, the information loss imposed by threshold-based interpretation, and the modelling and explanation requirements of a temporally informed alternative. Where studies disagreed, the disagreement was attributed where possible to an identifiable difference in specimen matrix, assay, viral lineage, clinical phenotype or sampling schedule, and was otherwise reported as unresolved. Claims are graded in the text by the language used: established relationships are stated directly with supporting citations, relationships supported by single small series are identified as such, and relationships that follow from mechanistic reasoning without direct empirical support are labelled hypothesised.</w:t>
      </w:r>
    </w:p>
    <w:p w14:paraId="74F51BAC" w14:textId="77777777" w:rsidR="004E2118" w:rsidRDefault="00000000">
      <w:pPr>
        <w:pStyle w:val="Heading1"/>
        <w:spacing w:before="340" w:after="160"/>
      </w:pPr>
      <w:r>
        <w:t>3. The Temporal Structure of the Diagnostic Signal in Human Nipah Virus Infection</w:t>
      </w:r>
    </w:p>
    <w:p w14:paraId="7A3384F9" w14:textId="77777777" w:rsidR="004E2118" w:rsidRDefault="00000000">
      <w:pPr>
        <w:pStyle w:val="Heading2"/>
        <w:spacing w:before="260" w:after="130"/>
      </w:pPr>
      <w:r>
        <w:t>3.1 Molecular Detection Across Specimen Matrices and Days of Illness</w:t>
      </w:r>
    </w:p>
    <w:p w14:paraId="25814F73" w14:textId="77777777" w:rsidR="004E2118" w:rsidRDefault="00000000">
      <w:pPr>
        <w:spacing w:after="160" w:line="360" w:lineRule="auto"/>
        <w:jc w:val="both"/>
      </w:pPr>
      <w:r>
        <w:t>Molecular detection has been the operational basis of NiV confirmation since the first TaqMan-format real-time RT-PCR assay targeting the nucleoprotein gene was described (Guillaume et al., 2004), and the nucleoprotein gene has remained the dominant target across subsequent assay generations (Garbuglia et al., 2023). Revised diagnostic quantitative protocols have been published for reference laboratory use (Patel et al., 2023), and an assay distinguishing replicative from input viral ribonucleic acid has been developed, which matters conceptually because nucleic acid positivity alone does not establish the presence of replicating virus (Jensen et al., 2018). Alternative amplification chemistries have been described, including reverse transcription loop-mediated isothermal amplification designed to cover all sequenced NiV strains (Ma et al., 2019) and a single-reaction recombinase polymerase amplification coupled to clustered regularly interspaced short palindromic repeats-associated nuclease detection (Miao et al., 2023). An immunochromatographic lateral flow assay using recombinant human ephrin B2 as the capture ligand and a NiV-specific monoclonal antibody on the conjugate pad has been reported for antigen detection in both NiV and Hendra virus, with a diagnostic specificity of 94.4% and no cross-reactivity against other viruses tested; corresponding sensitivity against clinical specimens was not established (Jia et al., 2025).</w:t>
      </w:r>
    </w:p>
    <w:p w14:paraId="6CD1C684" w14:textId="77777777" w:rsidR="004E2118" w:rsidRDefault="00000000">
      <w:pPr>
        <w:spacing w:after="160" w:line="360" w:lineRule="auto"/>
        <w:jc w:val="both"/>
      </w:pPr>
      <w:r>
        <w:lastRenderedPageBreak/>
        <w:t>Two features of this literature constrain what can be inferred about performance during illness. The first is that analytical sensitivity is reported in units that resist comparison, and no international standard for NiV nucleic acid exists. Garbuglia et al. (2023) assembled the available figures and reported approximately 10^3 equivalent copies per reaction for conventional real-time formats, approximately 20 equivalent copies per reaction using an intercalating-dye chemistry, and a limit of detection of approximately 54 equivalent copies per reaction for a multiple-pathogen card array, while noting explicitly that absence of an international standard prevents meaningful comparison across methods. The second is that analytical sensitivity established on cultured virus or contrived material degrades when assays are transferred to field-deployable platforms. A recent field-ready workflow reported a limit of detection of 3.7 to 4.2 copies per microlitre on a benchtop instrument, rising to 30.7 copies per microlitre when the same chemistry was run on a battery-powered portable thermocycler, with instrument-free nucleic acid extraction producing results comparable to automated extraction on contrived whole blood and pharyngeal swabs (Nguyen et al., 2026). The direction of this trade-off is the relevant point: the platforms most likely to be available where spillover occurs are those with the least analytical headroom, and the patients in whom viral load is lowest are precisely those in whom that headroom matters.</w:t>
      </w:r>
    </w:p>
    <w:p w14:paraId="46B9AAB1" w14:textId="77777777" w:rsidR="004E2118" w:rsidRDefault="00000000">
      <w:pPr>
        <w:spacing w:after="160" w:line="360" w:lineRule="auto"/>
        <w:jc w:val="both"/>
      </w:pPr>
      <w:r>
        <w:t>Evidence on the duration of detectability in clinical specimens is sparse but internally consistent. In the Kozhikode outbreak of 2023, in which six cases were identified and two died, NiV ribonucleic acid was detected in clinical specimens up to post-onset day 14, with viral loads in the range 1.7 to 3.3 × 10^4 ribonucleic acid copies per millilitre (As et al., 2024). In the Bangladeshi series covering the 2023, 2024 and 2025 outbreaks, clearance of virus from the oropharyngeal space was observed to begin between the sixteenth and twentieth day after illness onset (Satter et al., 2026). The Kerala outbreak investigation of 2018 applied RT-qPCR across throat swab, blood, urine and CSF, confirming 18 of 23 identified cases and reporting a median incubation period of 9.5 days with a range of 6 to 14 days (Arunkumar, Chandni, et al., 2019). Detection in non-respiratory compartments extends beyond the acute illness: NiV ribonucleic acid persisted in the semen of a Kerala survivor after clinical recovery (Arunkumar, Abdulmajeed, et al., 2019). Taken together, these observations support a detectability window that opens at or before symptom onset and closes progressively during the second and third weeks, with matrix-dependent variation. They do not support quantitative statements about sensitivity by day of illness, because no study has sampled a defined cohort to a fixed schedule with all matrices collected at each time point.</w:t>
      </w:r>
    </w:p>
    <w:p w14:paraId="5BD62223" w14:textId="77777777" w:rsidR="004E2118" w:rsidRDefault="00000000">
      <w:pPr>
        <w:pStyle w:val="Heading2"/>
        <w:spacing w:before="260" w:after="130"/>
      </w:pPr>
      <w:r>
        <w:lastRenderedPageBreak/>
        <w:t>3.2 Humoral Response Kinetics and the Immunoglobulin M to Immunoglobulin G Transition</w:t>
      </w:r>
    </w:p>
    <w:p w14:paraId="40E890C0" w14:textId="77777777" w:rsidR="004E2118" w:rsidRDefault="00000000">
      <w:pPr>
        <w:spacing w:after="160" w:line="360" w:lineRule="auto"/>
        <w:jc w:val="both"/>
      </w:pPr>
      <w:r>
        <w:t>Serological diagnosis of NiV infection was established early using IgM-capture and indirect IgG ELISA formats, alongside virus neutralisation testing that requires maximum containment (Daniels et al., 2001). Subsequent work has sought to move serology out of high-containment facilities. A neutralisation test employing pseudotyped vesicular stomatitis virus expressing green fluorescent protein permits specific detection of NiV-neutralising antibodies without handling live virus (Kaku et al., 2009), and antigen-capture ELISA formats using monoclonal antibodies against henipavirus antigens have been described (Chiang et al., 2010). Multiplexed microsphere immunoassays allow simultaneous screening for antibodies against several high-consequence viruses in human and animal sera (Surtees et al., 2020). Most recently, an indirect ELISA based on recombinant NiV glycoprotein G has been developed and qualified against the international standard for anti-Nipah virus antibodies, reporting 100% sensitivity and specificity relative to reference sera, intra-assay coefficients of variation between 0.36% and 5.73%, inter-assay variation of 4.16%, a lower limit of detection of 0.51 international units per millilitre and a lower limit of quantification of 0.98 international units per millilitre, on a platform compatible with biosafety level 2 containment (Alam et al., 2026). The existence of an international antibody standard, in contrast to the absence of a nucleic acid standard, produces an asymmetry that has not been widely remarked upon: serological results are in principle more comparable across laboratories than molecular ones, despite molecular assays occupying the higher position in diagnostic hierarchies.</w:t>
      </w:r>
    </w:p>
    <w:p w14:paraId="3505EF24" w14:textId="77777777" w:rsidR="004E2118" w:rsidRDefault="00000000">
      <w:pPr>
        <w:spacing w:after="160" w:line="360" w:lineRule="auto"/>
        <w:jc w:val="both"/>
      </w:pPr>
      <w:r>
        <w:t>The qualification of that assay illustrates a recurring interpretive problem. Sensitivity and specificity of 100% were established against reference sera, not against clinical specimens from patients of unknown status sampled at defined intervals during illness. Analytical concordance with a standard is a necessary property of a serological assay; it is not an estimate of clinical accuracy, and it says nothing about performance during the interval when antibody is beginning to appear. Garbuglia et al. (2023) reached the same conclusion from the opposite direction, observing that serological assays are used predominantly in seroprevalence studies precisely because their sensitivity in acute infection is lower than that of molecular methods.</w:t>
      </w:r>
    </w:p>
    <w:p w14:paraId="3FB4064E" w14:textId="77777777" w:rsidR="004E2118" w:rsidRDefault="00000000">
      <w:pPr>
        <w:spacing w:after="160" w:line="360" w:lineRule="auto"/>
        <w:jc w:val="both"/>
      </w:pPr>
      <w:r>
        <w:t xml:space="preserve">The available kinetic data derive from very few patients. Serial sampling of the two survivors of the 2018 Kerala outbreak demonstrated detectable NiV-specific IgM and IgG within one week of disease onset, and established the temporal ordering that is central to this review: clearance of NiV ribonucleic acid from blood preceded the appearance of virus-specific IgG </w:t>
      </w:r>
      <w:r>
        <w:lastRenderedPageBreak/>
        <w:t>and coincided with the peak of activated CD8 T cells expressing Ki-67, granzyme B and programmed cell death protein 1 (Arunkumar, Devadiga, et al., 2019). An earlier report of a patient presenting late in the Malaysian outbreak described the kinetics of the humoral response in a case in which serology rather than virus detection provided the diagnosis (Wong et al., 2001). Comparative immune profiling of the three survivors of the 2023 Kerala outbreak, followed for up to four months after onset, identified lower initial viraemia, increased activated T-cell responses and expanded plasmablasts as candidate protective signatures, alongside persistent lymphopenia extending to the regulatory T-cell compartment (Sahay et al., 2024). Serological testing also detects infections that molecular testing does not: a serosurvey of 155 healthcare workers and 124 household and community contacts of 18 confirmed Kerala cases identified three subclinical infections, two with both IgM and IgG and one with IgM alone (Kumar et al., 2019). Late relapse presents a further interpretive complication, since relapsed and late-onset encephalitis has been documented months to years after initial infection or subclinical exposure, in patients whose serological status at that point reflects remote rather than current events (Tan et al., 2002).</w:t>
      </w:r>
    </w:p>
    <w:p w14:paraId="7862AA16" w14:textId="77777777" w:rsidR="004E2118" w:rsidRDefault="00000000">
      <w:pPr>
        <w:pStyle w:val="Heading2"/>
        <w:spacing w:before="260" w:after="130"/>
      </w:pPr>
      <w:r>
        <w:t>3.3 The Crossover Interval and Its Diagnostic Consequences</w:t>
      </w:r>
    </w:p>
    <w:p w14:paraId="7C240054" w14:textId="77777777" w:rsidR="004E2118" w:rsidRDefault="00000000">
      <w:pPr>
        <w:spacing w:after="160" w:line="360" w:lineRule="auto"/>
        <w:jc w:val="both"/>
      </w:pPr>
      <w:r>
        <w:t>The single most consequential observation in this literature is that the two assay families exchange informativeness over an interval that coincides with the period in which most patients present. Molecular detectability is declining from approximately the second week, while antibody is appearing from the end of the first. The evidence for the ordering is direct but thin: two survivors sampled serially in Kerala (Arunkumar, Devadiga, et al., 2019), one late-presenting patient in Malaysia (Wong et al., 2001), and a complete series of 22 Bangladeshi cases in which the pattern was cross-sectional rather than longitudinal (Satter et al., 2026).</w:t>
      </w:r>
    </w:p>
    <w:p w14:paraId="0C2D9DEA" w14:textId="77777777" w:rsidR="004E2118" w:rsidRDefault="00000000">
      <w:pPr>
        <w:spacing w:after="160" w:line="360" w:lineRule="auto"/>
        <w:jc w:val="both"/>
      </w:pPr>
      <w:r>
        <w:t xml:space="preserve">That Bangladeshi series nevertheless provides the strongest available evidence that the joint pattern is informative beyond diagnosis. The overall case fatality among the 22 cases was 86%. Detectable viraemia at the time of diagnosis was associated with fatality in every instance, whereas among the four patients in whom viraemia was not detectable the case fatality was 25%. All survivors were IgG positive at diagnosis, compared with approximately one third of those who died. Eighteen of the 22 cases had a history of recent raw date palm sap consumption consistent with primary rather than secondary infection (Satter et al., 2026). The internal coherence of these figures with the immunological findings from Kerala is notable: in both settings, patients who had begun to mount a detectable IgG response, and in whom viraemia </w:t>
      </w:r>
      <w:r>
        <w:lastRenderedPageBreak/>
        <w:t>had cleared or had never been detected, fared better. Sahay et al. (2024) reported the concordant observation that lower initial viraemia distinguished survivors.</w:t>
      </w:r>
    </w:p>
    <w:p w14:paraId="4D0FD62D" w14:textId="77777777" w:rsidR="004E2118" w:rsidRDefault="00000000">
      <w:pPr>
        <w:spacing w:after="160" w:line="360" w:lineRule="auto"/>
        <w:jc w:val="both"/>
      </w:pPr>
      <w:r>
        <w:t>Several cautions apply before this is treated as an established prognostic relationship. The sample is 22 patients from one country, drawn from three consecutive outbreak seasons, and the comparison rests on four patients in the favourable stratum. The association between viraemia and death is not adjusted for time since onset, and since viraemia declines with illness duration while mortality is concentrated early, part of the apparent prognostic effect may reflect the stage at which patients reached diagnosis rather than an independent biological gradient. The same confounding applies in reverse to IgG positivity, which is both a marker of immune competence and a marker of survival long enough to seroconvert. Disentangling these possibilities requires the day of illness to be modelled explicitly, which is precisely the analytical step that no study has taken. The evidence is therefore sufficient to establish that molecular and serological results are temporally ordered and jointly associated with outcome, and insufficient to establish that either carries independent prognostic information once time since onset is accounted for.</w:t>
      </w:r>
    </w:p>
    <w:p w14:paraId="739850B7" w14:textId="77777777" w:rsidR="004E2118" w:rsidRDefault="00000000">
      <w:pPr>
        <w:spacing w:after="160" w:line="360" w:lineRule="auto"/>
        <w:jc w:val="both"/>
      </w:pPr>
      <w:r>
        <w:t>Clinical phenotype adds a further temporal dimension. Kerala outbreaks have alternated between presentations dominated by acute encephalitis syndrome (AES) and those dominated by acute respiratory distress syndrome (ARDS), and the encephalitis-predominant events of 2019, 2021 and 2024 were not accompanied by observed person-to-person transmission, whereas the ARDS-predominant events of 2001, 2007, 2018 and 2023 were (Sahay et al., 2025). Since respiratory involvement determines oropharyngeal viral shedding, phenotype plausibly governs which specimen matrix is most informative at a given time, and the same nominal day of illness may correspond to different detectability profiles in encephalitic and respiratory presentations. Genomic work indicates that the two Bangladeshi sublineages differ in geographical distribution and in the frequency of respiratory distress, without differing significantly in age, sex, transmission route or mortality (Satter et al., 2025), and non-human primate studies established that the Bangladesh and Malaysia lineages differ in pathogenesis (Mire et al., 2016). Whether these differences translate into distinct diagnostic kinetics has not been examined.</w:t>
      </w:r>
    </w:p>
    <w:p w14:paraId="355D6A8D" w14:textId="77777777" w:rsidR="004E2118" w:rsidRDefault="00000000">
      <w:pPr>
        <w:spacing w:after="160" w:line="360" w:lineRule="auto"/>
        <w:jc w:val="both"/>
      </w:pPr>
      <w:r>
        <w:t xml:space="preserve">Table 1 summarises the temporal behaviour of each marker against the evidence supporting it and the interpretive limitation attaching to each. The pattern it makes visible is that every reported temporal window derives from a series of fewer than twenty-five patients, that no </w:t>
      </w:r>
      <w:r>
        <w:lastRenderedPageBreak/>
        <w:t>window has been replicated across both endemic countries using a common assay, and that the intervals for molecular and serological positivity overlap by roughly one week. The table is not exhaustive of the NiV diagnostic literature; it reports the human clinical evidence from which temporal statements can legitimately be drawn.</w:t>
      </w:r>
    </w:p>
    <w:p w14:paraId="5BCD769E" w14:textId="77777777" w:rsidR="004E2118" w:rsidRDefault="00000000">
      <w:pPr>
        <w:spacing w:before="220" w:after="110"/>
      </w:pPr>
      <w:r>
        <w:rPr>
          <w:b/>
          <w:bCs/>
          <w:sz w:val="21"/>
          <w:szCs w:val="21"/>
        </w:rPr>
        <w:t xml:space="preserve">Table 1. </w:t>
      </w:r>
      <w:r>
        <w:rPr>
          <w:sz w:val="21"/>
          <w:szCs w:val="21"/>
        </w:rPr>
        <w:t>Temporal behaviour of molecular and serological markers in human Nipah virus infection, with supporting evidence and interpretive limitations</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7C2501B9" w14:textId="77777777">
        <w:trPr>
          <w:tblHeader/>
        </w:trPr>
        <w:tc>
          <w:tcPr>
            <w:tcW w:w="1500" w:type="dxa"/>
            <w:shd w:val="clear" w:color="auto" w:fill="E8ECF1"/>
            <w:tcMar>
              <w:top w:w="60" w:type="dxa"/>
              <w:left w:w="90" w:type="dxa"/>
              <w:bottom w:w="60" w:type="dxa"/>
              <w:right w:w="90" w:type="dxa"/>
            </w:tcMar>
          </w:tcPr>
          <w:p w14:paraId="744C6B9A" w14:textId="77777777" w:rsidR="004E2118" w:rsidRDefault="00000000">
            <w:r>
              <w:rPr>
                <w:b/>
                <w:bCs/>
                <w:sz w:val="17"/>
                <w:szCs w:val="17"/>
              </w:rPr>
              <w:t>Marker and specimen matrix</w:t>
            </w:r>
          </w:p>
        </w:tc>
        <w:tc>
          <w:tcPr>
            <w:tcW w:w="2050" w:type="dxa"/>
            <w:shd w:val="clear" w:color="auto" w:fill="E8ECF1"/>
            <w:tcMar>
              <w:top w:w="60" w:type="dxa"/>
              <w:left w:w="90" w:type="dxa"/>
              <w:bottom w:w="60" w:type="dxa"/>
              <w:right w:w="90" w:type="dxa"/>
            </w:tcMar>
          </w:tcPr>
          <w:p w14:paraId="32C8FBD7" w14:textId="77777777" w:rsidR="004E2118" w:rsidRDefault="00000000">
            <w:r>
              <w:rPr>
                <w:b/>
                <w:bCs/>
                <w:sz w:val="17"/>
                <w:szCs w:val="17"/>
              </w:rPr>
              <w:t>Reported temporal behaviour</w:t>
            </w:r>
          </w:p>
        </w:tc>
        <w:tc>
          <w:tcPr>
            <w:tcW w:w="2050" w:type="dxa"/>
            <w:shd w:val="clear" w:color="auto" w:fill="E8ECF1"/>
            <w:tcMar>
              <w:top w:w="60" w:type="dxa"/>
              <w:left w:w="90" w:type="dxa"/>
              <w:bottom w:w="60" w:type="dxa"/>
              <w:right w:w="90" w:type="dxa"/>
            </w:tcMar>
          </w:tcPr>
          <w:p w14:paraId="63723B8C" w14:textId="77777777" w:rsidR="004E2118" w:rsidRDefault="00000000">
            <w:r>
              <w:rPr>
                <w:b/>
                <w:bCs/>
                <w:sz w:val="17"/>
                <w:szCs w:val="17"/>
              </w:rPr>
              <w:t>Evidence base and scale</w:t>
            </w:r>
          </w:p>
        </w:tc>
        <w:tc>
          <w:tcPr>
            <w:tcW w:w="1950" w:type="dxa"/>
            <w:shd w:val="clear" w:color="auto" w:fill="E8ECF1"/>
            <w:tcMar>
              <w:top w:w="60" w:type="dxa"/>
              <w:left w:w="90" w:type="dxa"/>
              <w:bottom w:w="60" w:type="dxa"/>
              <w:right w:w="90" w:type="dxa"/>
            </w:tcMar>
          </w:tcPr>
          <w:p w14:paraId="30635EE6" w14:textId="77777777" w:rsidR="004E2118" w:rsidRDefault="00000000">
            <w:r>
              <w:rPr>
                <w:b/>
                <w:bCs/>
                <w:sz w:val="17"/>
                <w:szCs w:val="17"/>
              </w:rPr>
              <w:t>Principal interpretive limitation</w:t>
            </w:r>
          </w:p>
        </w:tc>
        <w:tc>
          <w:tcPr>
            <w:tcW w:w="1476" w:type="dxa"/>
            <w:shd w:val="clear" w:color="auto" w:fill="E8ECF1"/>
            <w:tcMar>
              <w:top w:w="60" w:type="dxa"/>
              <w:left w:w="90" w:type="dxa"/>
              <w:bottom w:w="60" w:type="dxa"/>
              <w:right w:w="90" w:type="dxa"/>
            </w:tcMar>
          </w:tcPr>
          <w:p w14:paraId="6F3C6CC0" w14:textId="77777777" w:rsidR="004E2118" w:rsidRDefault="00000000">
            <w:r>
              <w:rPr>
                <w:b/>
                <w:bCs/>
                <w:sz w:val="17"/>
                <w:szCs w:val="17"/>
              </w:rPr>
              <w:t>Supporting references</w:t>
            </w:r>
          </w:p>
        </w:tc>
      </w:tr>
      <w:tr w:rsidR="004E2118" w14:paraId="662D0FFA" w14:textId="77777777">
        <w:tc>
          <w:tcPr>
            <w:tcW w:w="1500" w:type="dxa"/>
            <w:tcMar>
              <w:top w:w="60" w:type="dxa"/>
              <w:left w:w="90" w:type="dxa"/>
              <w:bottom w:w="60" w:type="dxa"/>
              <w:right w:w="90" w:type="dxa"/>
            </w:tcMar>
          </w:tcPr>
          <w:p w14:paraId="32C01FB4" w14:textId="77777777" w:rsidR="004E2118" w:rsidRDefault="00000000">
            <w:r>
              <w:rPr>
                <w:sz w:val="17"/>
                <w:szCs w:val="17"/>
              </w:rPr>
              <w:t>RT-qPCR, oropharyngeal or throat swab</w:t>
            </w:r>
          </w:p>
        </w:tc>
        <w:tc>
          <w:tcPr>
            <w:tcW w:w="2050" w:type="dxa"/>
            <w:tcMar>
              <w:top w:w="60" w:type="dxa"/>
              <w:left w:w="90" w:type="dxa"/>
              <w:bottom w:w="60" w:type="dxa"/>
              <w:right w:w="90" w:type="dxa"/>
            </w:tcMar>
          </w:tcPr>
          <w:p w14:paraId="0F8CFBDC" w14:textId="77777777" w:rsidR="004E2118" w:rsidRDefault="00000000">
            <w:r>
              <w:rPr>
                <w:sz w:val="17"/>
                <w:szCs w:val="17"/>
              </w:rPr>
              <w:t>Detectable from around symptom onset; clearance from the oropharynx beginning day 16 to 20 after onset</w:t>
            </w:r>
          </w:p>
        </w:tc>
        <w:tc>
          <w:tcPr>
            <w:tcW w:w="2050" w:type="dxa"/>
            <w:tcMar>
              <w:top w:w="60" w:type="dxa"/>
              <w:left w:w="90" w:type="dxa"/>
              <w:bottom w:w="60" w:type="dxa"/>
              <w:right w:w="90" w:type="dxa"/>
            </w:tcMar>
          </w:tcPr>
          <w:p w14:paraId="2EA6D4A1" w14:textId="77777777" w:rsidR="004E2118" w:rsidRDefault="00000000">
            <w:r>
              <w:rPr>
                <w:sz w:val="17"/>
                <w:szCs w:val="17"/>
              </w:rPr>
              <w:t xml:space="preserve">Complete series of 22 Bangladeshi cases, 2023 to 2025; 23-case Kerala outbreak investigation, 18 </w:t>
            </w:r>
            <w:proofErr w:type="gramStart"/>
            <w:r>
              <w:rPr>
                <w:sz w:val="17"/>
                <w:szCs w:val="17"/>
              </w:rPr>
              <w:t>laboratory</w:t>
            </w:r>
            <w:proofErr w:type="gramEnd"/>
            <w:r>
              <w:rPr>
                <w:sz w:val="17"/>
                <w:szCs w:val="17"/>
              </w:rPr>
              <w:t xml:space="preserve"> confirmed</w:t>
            </w:r>
          </w:p>
        </w:tc>
        <w:tc>
          <w:tcPr>
            <w:tcW w:w="1950" w:type="dxa"/>
            <w:tcMar>
              <w:top w:w="60" w:type="dxa"/>
              <w:left w:w="90" w:type="dxa"/>
              <w:bottom w:w="60" w:type="dxa"/>
              <w:right w:w="90" w:type="dxa"/>
            </w:tcMar>
          </w:tcPr>
          <w:p w14:paraId="5137F6AF" w14:textId="77777777" w:rsidR="004E2118" w:rsidRDefault="00000000">
            <w:r>
              <w:rPr>
                <w:sz w:val="17"/>
                <w:szCs w:val="17"/>
              </w:rPr>
              <w:t>Sampling opportunistic rather than protocolised; clearance onset defined by last positive rather than by scheduled negative results</w:t>
            </w:r>
          </w:p>
        </w:tc>
        <w:tc>
          <w:tcPr>
            <w:tcW w:w="1476" w:type="dxa"/>
            <w:tcMar>
              <w:top w:w="60" w:type="dxa"/>
              <w:left w:w="90" w:type="dxa"/>
              <w:bottom w:w="60" w:type="dxa"/>
              <w:right w:w="90" w:type="dxa"/>
            </w:tcMar>
          </w:tcPr>
          <w:p w14:paraId="6AFF7B60" w14:textId="77777777" w:rsidR="004E2118" w:rsidRDefault="00000000">
            <w:r w:rsidRPr="00A210D7">
              <w:rPr>
                <w:sz w:val="17"/>
                <w:szCs w:val="17"/>
                <w:lang w:val="it-IT"/>
              </w:rPr>
              <w:t xml:space="preserve">Arunkumar, Chandni, et al. (2019); Satter et al. </w:t>
            </w:r>
            <w:r>
              <w:rPr>
                <w:sz w:val="17"/>
                <w:szCs w:val="17"/>
              </w:rPr>
              <w:t>(2026)</w:t>
            </w:r>
          </w:p>
        </w:tc>
      </w:tr>
      <w:tr w:rsidR="004E2118" w14:paraId="6B6F4AC7" w14:textId="77777777">
        <w:tc>
          <w:tcPr>
            <w:tcW w:w="1500" w:type="dxa"/>
            <w:tcMar>
              <w:top w:w="60" w:type="dxa"/>
              <w:left w:w="90" w:type="dxa"/>
              <w:bottom w:w="60" w:type="dxa"/>
              <w:right w:w="90" w:type="dxa"/>
            </w:tcMar>
          </w:tcPr>
          <w:p w14:paraId="69CADEA2" w14:textId="77777777" w:rsidR="004E2118" w:rsidRDefault="00000000">
            <w:r>
              <w:rPr>
                <w:sz w:val="17"/>
                <w:szCs w:val="17"/>
              </w:rPr>
              <w:t>RT-qPCR, blood or serum</w:t>
            </w:r>
          </w:p>
        </w:tc>
        <w:tc>
          <w:tcPr>
            <w:tcW w:w="2050" w:type="dxa"/>
            <w:tcMar>
              <w:top w:w="60" w:type="dxa"/>
              <w:left w:w="90" w:type="dxa"/>
              <w:bottom w:w="60" w:type="dxa"/>
              <w:right w:w="90" w:type="dxa"/>
            </w:tcMar>
          </w:tcPr>
          <w:p w14:paraId="26CBCD83" w14:textId="77777777" w:rsidR="004E2118" w:rsidRDefault="00000000">
            <w:r>
              <w:rPr>
                <w:sz w:val="17"/>
                <w:szCs w:val="17"/>
              </w:rPr>
              <w:t>Viraemia concentrated early; clearance from blood precedes appearance of virus-specific IgG</w:t>
            </w:r>
          </w:p>
        </w:tc>
        <w:tc>
          <w:tcPr>
            <w:tcW w:w="2050" w:type="dxa"/>
            <w:tcMar>
              <w:top w:w="60" w:type="dxa"/>
              <w:left w:w="90" w:type="dxa"/>
              <w:bottom w:w="60" w:type="dxa"/>
              <w:right w:w="90" w:type="dxa"/>
            </w:tcMar>
          </w:tcPr>
          <w:p w14:paraId="7397DA33" w14:textId="77777777" w:rsidR="004E2118" w:rsidRDefault="00000000">
            <w:r>
              <w:rPr>
                <w:sz w:val="17"/>
                <w:szCs w:val="17"/>
              </w:rPr>
              <w:t>Serial sampling of 2 Kerala survivors; cross-sectional viraemia status in 22 Bangladeshi cases</w:t>
            </w:r>
          </w:p>
        </w:tc>
        <w:tc>
          <w:tcPr>
            <w:tcW w:w="1950" w:type="dxa"/>
            <w:tcMar>
              <w:top w:w="60" w:type="dxa"/>
              <w:left w:w="90" w:type="dxa"/>
              <w:bottom w:w="60" w:type="dxa"/>
              <w:right w:w="90" w:type="dxa"/>
            </w:tcMar>
          </w:tcPr>
          <w:p w14:paraId="239ADEE6" w14:textId="77777777" w:rsidR="004E2118" w:rsidRDefault="00000000">
            <w:r>
              <w:rPr>
                <w:sz w:val="17"/>
                <w:szCs w:val="17"/>
              </w:rPr>
              <w:t>Longitudinal ordering established in 2 patients only; both were survivors and therefore atypical of the case population</w:t>
            </w:r>
          </w:p>
        </w:tc>
        <w:tc>
          <w:tcPr>
            <w:tcW w:w="1476" w:type="dxa"/>
            <w:tcMar>
              <w:top w:w="60" w:type="dxa"/>
              <w:left w:w="90" w:type="dxa"/>
              <w:bottom w:w="60" w:type="dxa"/>
              <w:right w:w="90" w:type="dxa"/>
            </w:tcMar>
          </w:tcPr>
          <w:p w14:paraId="0765E783"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29CB475D" w14:textId="77777777">
        <w:tc>
          <w:tcPr>
            <w:tcW w:w="1500" w:type="dxa"/>
            <w:tcMar>
              <w:top w:w="60" w:type="dxa"/>
              <w:left w:w="90" w:type="dxa"/>
              <w:bottom w:w="60" w:type="dxa"/>
              <w:right w:w="90" w:type="dxa"/>
            </w:tcMar>
          </w:tcPr>
          <w:p w14:paraId="2794AB5B" w14:textId="77777777" w:rsidR="004E2118" w:rsidRDefault="00000000">
            <w:r>
              <w:rPr>
                <w:sz w:val="17"/>
                <w:szCs w:val="17"/>
              </w:rPr>
              <w:t>RT-qPCR, any clinical specimen, quantitative</w:t>
            </w:r>
          </w:p>
        </w:tc>
        <w:tc>
          <w:tcPr>
            <w:tcW w:w="2050" w:type="dxa"/>
            <w:tcMar>
              <w:top w:w="60" w:type="dxa"/>
              <w:left w:w="90" w:type="dxa"/>
              <w:bottom w:w="60" w:type="dxa"/>
              <w:right w:w="90" w:type="dxa"/>
            </w:tcMar>
          </w:tcPr>
          <w:p w14:paraId="0D7E8DAA" w14:textId="77777777" w:rsidR="004E2118" w:rsidRDefault="00000000">
            <w:r>
              <w:rPr>
                <w:sz w:val="17"/>
                <w:szCs w:val="17"/>
              </w:rPr>
              <w:t>Detected to post-onset day 14 at 1.7 to 3.3 × 10^4 copies per millilitre</w:t>
            </w:r>
          </w:p>
        </w:tc>
        <w:tc>
          <w:tcPr>
            <w:tcW w:w="2050" w:type="dxa"/>
            <w:tcMar>
              <w:top w:w="60" w:type="dxa"/>
              <w:left w:w="90" w:type="dxa"/>
              <w:bottom w:w="60" w:type="dxa"/>
              <w:right w:w="90" w:type="dxa"/>
            </w:tcMar>
          </w:tcPr>
          <w:p w14:paraId="4B0D70CC" w14:textId="77777777" w:rsidR="004E2118" w:rsidRDefault="00000000">
            <w:r>
              <w:rPr>
                <w:sz w:val="17"/>
                <w:szCs w:val="17"/>
              </w:rPr>
              <w:t>6-case Kozhikode outbreak, 2023, 2 deaths</w:t>
            </w:r>
          </w:p>
        </w:tc>
        <w:tc>
          <w:tcPr>
            <w:tcW w:w="1950" w:type="dxa"/>
            <w:tcMar>
              <w:top w:w="60" w:type="dxa"/>
              <w:left w:w="90" w:type="dxa"/>
              <w:bottom w:w="60" w:type="dxa"/>
              <w:right w:w="90" w:type="dxa"/>
            </w:tcMar>
          </w:tcPr>
          <w:p w14:paraId="5DAD2B3B" w14:textId="77777777" w:rsidR="004E2118" w:rsidRDefault="00000000">
            <w:r>
              <w:rPr>
                <w:sz w:val="17"/>
                <w:szCs w:val="17"/>
              </w:rPr>
              <w:t>Single outbreak, single laboratory; no international nucleic acid standard permits comparison with other series</w:t>
            </w:r>
          </w:p>
        </w:tc>
        <w:tc>
          <w:tcPr>
            <w:tcW w:w="1476" w:type="dxa"/>
            <w:tcMar>
              <w:top w:w="60" w:type="dxa"/>
              <w:left w:w="90" w:type="dxa"/>
              <w:bottom w:w="60" w:type="dxa"/>
              <w:right w:w="90" w:type="dxa"/>
            </w:tcMar>
          </w:tcPr>
          <w:p w14:paraId="57607091" w14:textId="77777777" w:rsidR="004E2118" w:rsidRDefault="00000000">
            <w:r w:rsidRPr="00A210D7">
              <w:rPr>
                <w:sz w:val="17"/>
                <w:szCs w:val="17"/>
                <w:lang w:val="it-IT"/>
              </w:rPr>
              <w:t xml:space="preserve">As et al. (2024); Garbuglia et al. </w:t>
            </w:r>
            <w:r>
              <w:rPr>
                <w:sz w:val="17"/>
                <w:szCs w:val="17"/>
              </w:rPr>
              <w:t>(2023)</w:t>
            </w:r>
          </w:p>
        </w:tc>
      </w:tr>
      <w:tr w:rsidR="004E2118" w14:paraId="794CCF35" w14:textId="77777777">
        <w:tc>
          <w:tcPr>
            <w:tcW w:w="1500" w:type="dxa"/>
            <w:tcMar>
              <w:top w:w="60" w:type="dxa"/>
              <w:left w:w="90" w:type="dxa"/>
              <w:bottom w:w="60" w:type="dxa"/>
              <w:right w:w="90" w:type="dxa"/>
            </w:tcMar>
          </w:tcPr>
          <w:p w14:paraId="767D88B5" w14:textId="77777777" w:rsidR="004E2118" w:rsidRDefault="00000000">
            <w:r>
              <w:rPr>
                <w:sz w:val="17"/>
                <w:szCs w:val="17"/>
              </w:rPr>
              <w:t>RT-qPCR, semen</w:t>
            </w:r>
          </w:p>
        </w:tc>
        <w:tc>
          <w:tcPr>
            <w:tcW w:w="2050" w:type="dxa"/>
            <w:tcMar>
              <w:top w:w="60" w:type="dxa"/>
              <w:left w:w="90" w:type="dxa"/>
              <w:bottom w:w="60" w:type="dxa"/>
              <w:right w:w="90" w:type="dxa"/>
            </w:tcMar>
          </w:tcPr>
          <w:p w14:paraId="48F2845C" w14:textId="77777777" w:rsidR="004E2118" w:rsidRDefault="00000000">
            <w:r>
              <w:rPr>
                <w:sz w:val="17"/>
                <w:szCs w:val="17"/>
              </w:rPr>
              <w:t>Ribonucleic acid persists after clinical recovery</w:t>
            </w:r>
          </w:p>
        </w:tc>
        <w:tc>
          <w:tcPr>
            <w:tcW w:w="2050" w:type="dxa"/>
            <w:tcMar>
              <w:top w:w="60" w:type="dxa"/>
              <w:left w:w="90" w:type="dxa"/>
              <w:bottom w:w="60" w:type="dxa"/>
              <w:right w:w="90" w:type="dxa"/>
            </w:tcMar>
          </w:tcPr>
          <w:p w14:paraId="1ACC99F6" w14:textId="77777777" w:rsidR="004E2118" w:rsidRDefault="00000000">
            <w:r>
              <w:rPr>
                <w:sz w:val="17"/>
                <w:szCs w:val="17"/>
              </w:rPr>
              <w:t>Single Kerala survivor</w:t>
            </w:r>
          </w:p>
        </w:tc>
        <w:tc>
          <w:tcPr>
            <w:tcW w:w="1950" w:type="dxa"/>
            <w:tcMar>
              <w:top w:w="60" w:type="dxa"/>
              <w:left w:w="90" w:type="dxa"/>
              <w:bottom w:w="60" w:type="dxa"/>
              <w:right w:w="90" w:type="dxa"/>
            </w:tcMar>
          </w:tcPr>
          <w:p w14:paraId="363B325B" w14:textId="77777777" w:rsidR="004E2118" w:rsidRDefault="00000000">
            <w:r>
              <w:rPr>
                <w:sz w:val="17"/>
                <w:szCs w:val="17"/>
              </w:rPr>
              <w:t>Case report; prevalence, duration and infectivity undetermined</w:t>
            </w:r>
          </w:p>
        </w:tc>
        <w:tc>
          <w:tcPr>
            <w:tcW w:w="1476" w:type="dxa"/>
            <w:tcMar>
              <w:top w:w="60" w:type="dxa"/>
              <w:left w:w="90" w:type="dxa"/>
              <w:bottom w:w="60" w:type="dxa"/>
              <w:right w:w="90" w:type="dxa"/>
            </w:tcMar>
          </w:tcPr>
          <w:p w14:paraId="1807AB8C" w14:textId="77777777" w:rsidR="004E2118" w:rsidRDefault="00000000">
            <w:r>
              <w:rPr>
                <w:sz w:val="17"/>
                <w:szCs w:val="17"/>
              </w:rPr>
              <w:t>Arunkumar, Abdulmajeed, et al. (2019)</w:t>
            </w:r>
          </w:p>
        </w:tc>
      </w:tr>
      <w:tr w:rsidR="004E2118" w14:paraId="090B64A9" w14:textId="77777777">
        <w:tc>
          <w:tcPr>
            <w:tcW w:w="1500" w:type="dxa"/>
            <w:tcMar>
              <w:top w:w="60" w:type="dxa"/>
              <w:left w:w="90" w:type="dxa"/>
              <w:bottom w:w="60" w:type="dxa"/>
              <w:right w:w="90" w:type="dxa"/>
            </w:tcMar>
          </w:tcPr>
          <w:p w14:paraId="12B60AAF" w14:textId="77777777" w:rsidR="004E2118" w:rsidRDefault="00000000">
            <w:r>
              <w:rPr>
                <w:sz w:val="17"/>
                <w:szCs w:val="17"/>
              </w:rPr>
              <w:t>IgM by ELISA</w:t>
            </w:r>
          </w:p>
        </w:tc>
        <w:tc>
          <w:tcPr>
            <w:tcW w:w="2050" w:type="dxa"/>
            <w:tcMar>
              <w:top w:w="60" w:type="dxa"/>
              <w:left w:w="90" w:type="dxa"/>
              <w:bottom w:w="60" w:type="dxa"/>
              <w:right w:w="90" w:type="dxa"/>
            </w:tcMar>
          </w:tcPr>
          <w:p w14:paraId="6CC49ABD" w14:textId="77777777" w:rsidR="004E2118" w:rsidRDefault="00000000">
            <w:r>
              <w:rPr>
                <w:sz w:val="17"/>
                <w:szCs w:val="17"/>
              </w:rPr>
              <w:t>Detectable within one week of onset; present in subclinical infection</w:t>
            </w:r>
          </w:p>
        </w:tc>
        <w:tc>
          <w:tcPr>
            <w:tcW w:w="2050" w:type="dxa"/>
            <w:tcMar>
              <w:top w:w="60" w:type="dxa"/>
              <w:left w:w="90" w:type="dxa"/>
              <w:bottom w:w="60" w:type="dxa"/>
              <w:right w:w="90" w:type="dxa"/>
            </w:tcMar>
          </w:tcPr>
          <w:p w14:paraId="4D712338" w14:textId="77777777" w:rsidR="004E2118" w:rsidRDefault="00000000">
            <w:r>
              <w:rPr>
                <w:sz w:val="17"/>
                <w:szCs w:val="17"/>
              </w:rPr>
              <w:t>2 Kerala survivors sampled serially; 3 subclinical infections among 279 screened contacts</w:t>
            </w:r>
          </w:p>
        </w:tc>
        <w:tc>
          <w:tcPr>
            <w:tcW w:w="1950" w:type="dxa"/>
            <w:tcMar>
              <w:top w:w="60" w:type="dxa"/>
              <w:left w:w="90" w:type="dxa"/>
              <w:bottom w:w="60" w:type="dxa"/>
              <w:right w:w="90" w:type="dxa"/>
            </w:tcMar>
          </w:tcPr>
          <w:p w14:paraId="0860FE2E" w14:textId="77777777" w:rsidR="004E2118" w:rsidRDefault="00000000">
            <w:r>
              <w:rPr>
                <w:sz w:val="17"/>
                <w:szCs w:val="17"/>
              </w:rPr>
              <w:t>Assay formats and cut-offs differ across laboratories; timing of the earliest detectable signal not resolved</w:t>
            </w:r>
          </w:p>
        </w:tc>
        <w:tc>
          <w:tcPr>
            <w:tcW w:w="1476" w:type="dxa"/>
            <w:tcMar>
              <w:top w:w="60" w:type="dxa"/>
              <w:left w:w="90" w:type="dxa"/>
              <w:bottom w:w="60" w:type="dxa"/>
              <w:right w:w="90" w:type="dxa"/>
            </w:tcMar>
          </w:tcPr>
          <w:p w14:paraId="0C03CE3B" w14:textId="77777777" w:rsidR="004E2118" w:rsidRDefault="00000000">
            <w:r w:rsidRPr="00A210D7">
              <w:rPr>
                <w:sz w:val="17"/>
                <w:szCs w:val="17"/>
                <w:lang w:val="it-IT"/>
              </w:rPr>
              <w:t xml:space="preserve">Arunkumar, Devadiga, et al. (2019); Kumar et al. </w:t>
            </w:r>
            <w:r>
              <w:rPr>
                <w:sz w:val="17"/>
                <w:szCs w:val="17"/>
              </w:rPr>
              <w:t>(2019)</w:t>
            </w:r>
          </w:p>
        </w:tc>
      </w:tr>
      <w:tr w:rsidR="004E2118" w14:paraId="5BC756B9" w14:textId="77777777">
        <w:tc>
          <w:tcPr>
            <w:tcW w:w="1500" w:type="dxa"/>
            <w:tcMar>
              <w:top w:w="60" w:type="dxa"/>
              <w:left w:w="90" w:type="dxa"/>
              <w:bottom w:w="60" w:type="dxa"/>
              <w:right w:w="90" w:type="dxa"/>
            </w:tcMar>
          </w:tcPr>
          <w:p w14:paraId="152155DA" w14:textId="77777777" w:rsidR="004E2118" w:rsidRDefault="00000000">
            <w:r>
              <w:rPr>
                <w:sz w:val="17"/>
                <w:szCs w:val="17"/>
              </w:rPr>
              <w:t>IgG by ELISA</w:t>
            </w:r>
          </w:p>
        </w:tc>
        <w:tc>
          <w:tcPr>
            <w:tcW w:w="2050" w:type="dxa"/>
            <w:tcMar>
              <w:top w:w="60" w:type="dxa"/>
              <w:left w:w="90" w:type="dxa"/>
              <w:bottom w:w="60" w:type="dxa"/>
              <w:right w:w="90" w:type="dxa"/>
            </w:tcMar>
          </w:tcPr>
          <w:p w14:paraId="3AE75759" w14:textId="77777777" w:rsidR="004E2118" w:rsidRDefault="00000000">
            <w:r>
              <w:rPr>
                <w:sz w:val="17"/>
                <w:szCs w:val="17"/>
              </w:rPr>
              <w:t>Detectable within one week of onset; present at diagnosis in all survivors and approximately one third of fatal cases</w:t>
            </w:r>
          </w:p>
        </w:tc>
        <w:tc>
          <w:tcPr>
            <w:tcW w:w="2050" w:type="dxa"/>
            <w:tcMar>
              <w:top w:w="60" w:type="dxa"/>
              <w:left w:w="90" w:type="dxa"/>
              <w:bottom w:w="60" w:type="dxa"/>
              <w:right w:w="90" w:type="dxa"/>
            </w:tcMar>
          </w:tcPr>
          <w:p w14:paraId="580ED24A" w14:textId="77777777" w:rsidR="004E2118" w:rsidRDefault="00000000">
            <w:r>
              <w:rPr>
                <w:sz w:val="17"/>
                <w:szCs w:val="17"/>
              </w:rPr>
              <w:t>2 Kerala survivors; 22 Bangladeshi cases</w:t>
            </w:r>
          </w:p>
        </w:tc>
        <w:tc>
          <w:tcPr>
            <w:tcW w:w="1950" w:type="dxa"/>
            <w:tcMar>
              <w:top w:w="60" w:type="dxa"/>
              <w:left w:w="90" w:type="dxa"/>
              <w:bottom w:w="60" w:type="dxa"/>
              <w:right w:w="90" w:type="dxa"/>
            </w:tcMar>
          </w:tcPr>
          <w:p w14:paraId="4BA63C5F" w14:textId="77777777" w:rsidR="004E2118" w:rsidRDefault="00000000">
            <w:r>
              <w:rPr>
                <w:sz w:val="17"/>
                <w:szCs w:val="17"/>
              </w:rPr>
              <w:t>Association with survival not adjusted for time since onset; seroconversion requires survival long enough to occur</w:t>
            </w:r>
          </w:p>
        </w:tc>
        <w:tc>
          <w:tcPr>
            <w:tcW w:w="1476" w:type="dxa"/>
            <w:tcMar>
              <w:top w:w="60" w:type="dxa"/>
              <w:left w:w="90" w:type="dxa"/>
              <w:bottom w:w="60" w:type="dxa"/>
              <w:right w:w="90" w:type="dxa"/>
            </w:tcMar>
          </w:tcPr>
          <w:p w14:paraId="4366DA09"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2C6E8A53" w14:textId="77777777">
        <w:tc>
          <w:tcPr>
            <w:tcW w:w="1500" w:type="dxa"/>
            <w:tcMar>
              <w:top w:w="60" w:type="dxa"/>
              <w:left w:w="90" w:type="dxa"/>
              <w:bottom w:w="60" w:type="dxa"/>
              <w:right w:w="90" w:type="dxa"/>
            </w:tcMar>
          </w:tcPr>
          <w:p w14:paraId="0956CDAE" w14:textId="77777777" w:rsidR="004E2118" w:rsidRDefault="00000000">
            <w:r>
              <w:rPr>
                <w:sz w:val="17"/>
                <w:szCs w:val="17"/>
              </w:rPr>
              <w:t>IgG by standardised glycoprotein G ELISA</w:t>
            </w:r>
          </w:p>
        </w:tc>
        <w:tc>
          <w:tcPr>
            <w:tcW w:w="2050" w:type="dxa"/>
            <w:tcMar>
              <w:top w:w="60" w:type="dxa"/>
              <w:left w:w="90" w:type="dxa"/>
              <w:bottom w:w="60" w:type="dxa"/>
              <w:right w:w="90" w:type="dxa"/>
            </w:tcMar>
          </w:tcPr>
          <w:p w14:paraId="621D30D9" w14:textId="77777777" w:rsidR="004E2118" w:rsidRDefault="00000000">
            <w:r>
              <w:rPr>
                <w:sz w:val="17"/>
                <w:szCs w:val="17"/>
              </w:rPr>
              <w:t>Quantifiable from 0.98 international units per millilitre; lower detection limit 0.51 international units per millilitre</w:t>
            </w:r>
          </w:p>
        </w:tc>
        <w:tc>
          <w:tcPr>
            <w:tcW w:w="2050" w:type="dxa"/>
            <w:tcMar>
              <w:top w:w="60" w:type="dxa"/>
              <w:left w:w="90" w:type="dxa"/>
              <w:bottom w:w="60" w:type="dxa"/>
              <w:right w:w="90" w:type="dxa"/>
            </w:tcMar>
          </w:tcPr>
          <w:p w14:paraId="14E7EE38" w14:textId="77777777" w:rsidR="004E2118" w:rsidRDefault="00000000">
            <w:r>
              <w:rPr>
                <w:sz w:val="17"/>
                <w:szCs w:val="17"/>
              </w:rPr>
              <w:t>Analytical qualification against international standard and convalescent sera from Bangladesh</w:t>
            </w:r>
          </w:p>
        </w:tc>
        <w:tc>
          <w:tcPr>
            <w:tcW w:w="1950" w:type="dxa"/>
            <w:tcMar>
              <w:top w:w="60" w:type="dxa"/>
              <w:left w:w="90" w:type="dxa"/>
              <w:bottom w:w="60" w:type="dxa"/>
              <w:right w:w="90" w:type="dxa"/>
            </w:tcMar>
          </w:tcPr>
          <w:p w14:paraId="20AA97B6" w14:textId="77777777" w:rsidR="004E2118" w:rsidRDefault="00000000">
            <w:r>
              <w:rPr>
                <w:sz w:val="17"/>
                <w:szCs w:val="17"/>
              </w:rPr>
              <w:t>Performance established against reference sera, not against clinical specimens of unknown status during acute illness</w:t>
            </w:r>
          </w:p>
        </w:tc>
        <w:tc>
          <w:tcPr>
            <w:tcW w:w="1476" w:type="dxa"/>
            <w:tcMar>
              <w:top w:w="60" w:type="dxa"/>
              <w:left w:w="90" w:type="dxa"/>
              <w:bottom w:w="60" w:type="dxa"/>
              <w:right w:w="90" w:type="dxa"/>
            </w:tcMar>
          </w:tcPr>
          <w:p w14:paraId="4B8AF1E4" w14:textId="77777777" w:rsidR="004E2118" w:rsidRDefault="00000000">
            <w:r>
              <w:rPr>
                <w:sz w:val="17"/>
                <w:szCs w:val="17"/>
              </w:rPr>
              <w:t>Alam et al. (2026)</w:t>
            </w:r>
          </w:p>
        </w:tc>
      </w:tr>
      <w:tr w:rsidR="004E2118" w14:paraId="2CDFA2CF" w14:textId="77777777">
        <w:tc>
          <w:tcPr>
            <w:tcW w:w="1500" w:type="dxa"/>
            <w:tcMar>
              <w:top w:w="60" w:type="dxa"/>
              <w:left w:w="90" w:type="dxa"/>
              <w:bottom w:w="60" w:type="dxa"/>
              <w:right w:w="90" w:type="dxa"/>
            </w:tcMar>
          </w:tcPr>
          <w:p w14:paraId="27BD6B78" w14:textId="77777777" w:rsidR="004E2118" w:rsidRDefault="00000000">
            <w:r>
              <w:rPr>
                <w:sz w:val="17"/>
                <w:szCs w:val="17"/>
              </w:rPr>
              <w:t>Neutralising antibody</w:t>
            </w:r>
          </w:p>
        </w:tc>
        <w:tc>
          <w:tcPr>
            <w:tcW w:w="2050" w:type="dxa"/>
            <w:tcMar>
              <w:top w:w="60" w:type="dxa"/>
              <w:left w:w="90" w:type="dxa"/>
              <w:bottom w:w="60" w:type="dxa"/>
              <w:right w:w="90" w:type="dxa"/>
            </w:tcMar>
          </w:tcPr>
          <w:p w14:paraId="28D0A1DA" w14:textId="77777777" w:rsidR="004E2118" w:rsidRDefault="00000000">
            <w:r>
              <w:rPr>
                <w:sz w:val="17"/>
                <w:szCs w:val="17"/>
              </w:rPr>
              <w:t>Specific detection achievable without live virus using pseudotyped reporter virus</w:t>
            </w:r>
          </w:p>
        </w:tc>
        <w:tc>
          <w:tcPr>
            <w:tcW w:w="2050" w:type="dxa"/>
            <w:tcMar>
              <w:top w:w="60" w:type="dxa"/>
              <w:left w:w="90" w:type="dxa"/>
              <w:bottom w:w="60" w:type="dxa"/>
              <w:right w:w="90" w:type="dxa"/>
            </w:tcMar>
          </w:tcPr>
          <w:p w14:paraId="66DDF811" w14:textId="77777777" w:rsidR="004E2118" w:rsidRDefault="00000000">
            <w:r>
              <w:rPr>
                <w:sz w:val="17"/>
                <w:szCs w:val="17"/>
              </w:rPr>
              <w:t>Assay development and evaluation studies</w:t>
            </w:r>
          </w:p>
        </w:tc>
        <w:tc>
          <w:tcPr>
            <w:tcW w:w="1950" w:type="dxa"/>
            <w:tcMar>
              <w:top w:w="60" w:type="dxa"/>
              <w:left w:w="90" w:type="dxa"/>
              <w:bottom w:w="60" w:type="dxa"/>
              <w:right w:w="90" w:type="dxa"/>
            </w:tcMar>
          </w:tcPr>
          <w:p w14:paraId="6C829624" w14:textId="77777777" w:rsidR="004E2118" w:rsidRDefault="00000000">
            <w:r>
              <w:rPr>
                <w:sz w:val="17"/>
                <w:szCs w:val="17"/>
              </w:rPr>
              <w:t>Not incorporated into routine acute diagnostic pathways; kinetics during acute human illness not characterised</w:t>
            </w:r>
          </w:p>
        </w:tc>
        <w:tc>
          <w:tcPr>
            <w:tcW w:w="1476" w:type="dxa"/>
            <w:tcMar>
              <w:top w:w="60" w:type="dxa"/>
              <w:left w:w="90" w:type="dxa"/>
              <w:bottom w:w="60" w:type="dxa"/>
              <w:right w:w="90" w:type="dxa"/>
            </w:tcMar>
          </w:tcPr>
          <w:p w14:paraId="68C6C77B" w14:textId="77777777" w:rsidR="004E2118" w:rsidRDefault="00000000">
            <w:r w:rsidRPr="004565A3">
              <w:rPr>
                <w:sz w:val="17"/>
                <w:szCs w:val="17"/>
                <w:lang w:val="nl-BE"/>
              </w:rPr>
              <w:t xml:space="preserve">Kaku et al. (2009); Daniels et al. </w:t>
            </w:r>
            <w:r>
              <w:rPr>
                <w:sz w:val="17"/>
                <w:szCs w:val="17"/>
              </w:rPr>
              <w:t>(2001)</w:t>
            </w:r>
          </w:p>
        </w:tc>
      </w:tr>
    </w:tbl>
    <w:p w14:paraId="1A75B2F9" w14:textId="77777777" w:rsidR="004E2118" w:rsidRDefault="00000000">
      <w:pPr>
        <w:spacing w:before="110" w:after="240"/>
      </w:pPr>
      <w:r>
        <w:rPr>
          <w:sz w:val="19"/>
          <w:szCs w:val="19"/>
        </w:rPr>
        <w:t>Note. ELISA = enzyme-linked immunosorbent assay; IgG = immunoglobulin G; IgM = immunoglobulin M; RT-qPCR = reverse transcription quantitative polymerase chain reaction. Temporal statements reflect the highest-quality human evidence identified and are not pooled estimates.</w:t>
      </w:r>
    </w:p>
    <w:p w14:paraId="305FB0C8" w14:textId="77777777" w:rsidR="004E2118" w:rsidRDefault="00000000">
      <w:pPr>
        <w:pStyle w:val="Heading1"/>
        <w:spacing w:before="340" w:after="160"/>
      </w:pPr>
      <w:r>
        <w:t>4. Critical Appraisal of the Diagnostic Evidence Base</w:t>
      </w:r>
    </w:p>
    <w:p w14:paraId="620DB694" w14:textId="77777777" w:rsidR="004E2118" w:rsidRDefault="00000000">
      <w:pPr>
        <w:pStyle w:val="Heading2"/>
        <w:spacing w:before="260" w:after="130"/>
      </w:pPr>
      <w:r>
        <w:lastRenderedPageBreak/>
        <w:t>4.1 Study Designs and the Arithmetic of Rarity</w:t>
      </w:r>
    </w:p>
    <w:p w14:paraId="4322485F" w14:textId="77777777" w:rsidR="004E2118" w:rsidRDefault="00000000">
      <w:pPr>
        <w:spacing w:after="160" w:line="360" w:lineRule="auto"/>
        <w:jc w:val="both"/>
      </w:pPr>
      <w:r>
        <w:t>The human evidence on NiV diagnosis is generated almost entirely by outbreak response rather than by prospective study. The largest single clinical series describes 23 identified cases (Arunkumar, Chandni, et al., 2019); others report 22 cases across three seasons (Satter et al., 2026), 12 patients presenting to one emergency department (Chandni et al., 2020), six cases in one district (As et al., 2024), three survivors profiled immunologically (Sahay et al., 2024) and two survivors sampled serially (Arunkumar, Devadiga, et al., 2019). Fourteen years of investigation in Bangladesh assembled the largest epidemiological dataset available, but for transmission rather than diagnostic purposes (Nikolay et al., 2019). Genomic characterisation across 2016 to 2023 rested on 21 new sequences added to 17 previously reported (Satter et al., 2025).</w:t>
      </w:r>
    </w:p>
    <w:p w14:paraId="153F40FA" w14:textId="77777777" w:rsidR="004E2118" w:rsidRDefault="00000000">
      <w:pPr>
        <w:spacing w:after="160" w:line="360" w:lineRule="auto"/>
        <w:jc w:val="both"/>
      </w:pPr>
      <w:r>
        <w:t>These numbers are not a criticism of the investigators, who work under extreme operational constraint, but they impose hard limits on inference. With cohorts of this size, no study can estimate sensitivity by day of illness with usable precision, no study can adjust a prognostic association for more than one covariate, and no study can detect interaction between specimen matrix and illness day. Sampling schedules were determined by when patients presented, when they were recognised as suspected cases, when transport to a containment laboratory could be arranged, and how long they survived. The resulting data are informatively rather than randomly incomplete, a property that has direct implications for modelling and that is examined in section 6.</w:t>
      </w:r>
    </w:p>
    <w:p w14:paraId="36AC6FD7" w14:textId="77777777" w:rsidR="004E2118" w:rsidRDefault="00000000">
      <w:pPr>
        <w:spacing w:after="160" w:line="360" w:lineRule="auto"/>
        <w:jc w:val="both"/>
      </w:pPr>
      <w:r>
        <w:t>A structural change is now underway. A protocol has been published for an observational cohort study of infectious AES including Nipah virus disease in Bangladesh, with defined enrolment criteria and specimen schedules (Hassan et al., 2025). Post-mortem surveillance has been implemented in Bangladesh as a means of detecting cases that die before they are recognised, extending ascertainment to the segment of the case population from which no longitudinal specimens can be obtained (Aquib, Rahman, et al., 2026). Networks of virus research and diagnostic laboratories have been established for surveillance of severe acute respiratory illness in Kerala and West Bengal (Sahay et al., 2025), and national laboratory surveillance for AES and Japanese encephalitis has been characterised across a decade (Abdulkader et al., 2025). Prospective protocolised sampling is the single development most likely to change what can be concluded, and it postdates every kinetic study cited above.</w:t>
      </w:r>
    </w:p>
    <w:p w14:paraId="104B6DB7" w14:textId="77777777" w:rsidR="004E2118" w:rsidRDefault="00000000">
      <w:pPr>
        <w:pStyle w:val="Heading2"/>
        <w:spacing w:before="260" w:after="130"/>
      </w:pPr>
      <w:r>
        <w:t>4.2 The Absence of an Adequate Reference Standard</w:t>
      </w:r>
    </w:p>
    <w:p w14:paraId="38BCBA75" w14:textId="77777777" w:rsidR="004E2118" w:rsidRDefault="00000000">
      <w:pPr>
        <w:spacing w:after="160" w:line="360" w:lineRule="auto"/>
        <w:jc w:val="both"/>
      </w:pPr>
      <w:r>
        <w:lastRenderedPageBreak/>
        <w:t>Every statement about the sensitivity of a NiV assay in this literature rests on a reference standard that is either the same assay, a related assay from the same technological family, or a case definition that itself incorporates laboratory results. The Kerala investigation classified cases as laboratory confirmed on the basis of RT-qPCR, then described RT-qPCR findings within those cases (Arunkumar, Chandni, et al., 2019). The Bangladeshi series defined cases by molecular or serological positivity, then reported the distribution of molecular and serological results among them (Satter et al., 2026). This circularity is unavoidable given that no independent confirmation exists short of virus isolation, which requires maximum containment and is rarely attempted on clinical material, and it means that reported accuracy figures cannot be interpreted as unbiased estimates.</w:t>
      </w:r>
    </w:p>
    <w:p w14:paraId="3B49DE17" w14:textId="77777777" w:rsidR="004E2118" w:rsidRDefault="00000000">
      <w:pPr>
        <w:spacing w:after="160" w:line="360" w:lineRule="auto"/>
        <w:jc w:val="both"/>
      </w:pPr>
      <w:r>
        <w:t>The methodological literature offers established responses that have not been applied to this pathogen. Latent class approaches estimate the accuracy of several imperfect tests simultaneously without designating any as the standard, and their assumptions, failure modes and sample-size requirements are well documented (Pepe &amp; Janes, 2007; J. Collins &amp; Huynh, 2014). Bayesian latent class models have been used to resolve analogous problems in tuberculosis, where culture sensitivity in children is poor and no adequate standard exists (Schumacher et al., 2016), and in melioidosis, where culture had long been treated as definitive (Limmathurotsakul et al., 2010). Reporting standards for such analyses exist (Kostoulas et al., 2017). Application to NiV would be demanding, because latent class estimation with two conditionally dependent tests and a small sample is close to the limit of identifiability, and because molecular and serological results are dependent through the very temporal mechanism under study rather than independently so. The requirement would therefore be for a model in which conditional dependence is structured by time since onset, which returns the problem to the temporal framework proposed in section 8. The point of substance is that the field has not treated the reference-standard problem as tractable, and it partially is.</w:t>
      </w:r>
    </w:p>
    <w:p w14:paraId="1BD9EC0E" w14:textId="77777777" w:rsidR="004E2118" w:rsidRDefault="00000000">
      <w:pPr>
        <w:pStyle w:val="Heading2"/>
        <w:spacing w:before="260" w:after="130"/>
      </w:pPr>
      <w:r>
        <w:t>4.3 Survivor Weighting of the Kinetic Evidence</w:t>
      </w:r>
    </w:p>
    <w:p w14:paraId="12418472" w14:textId="77777777" w:rsidR="004E2118" w:rsidRDefault="00000000">
      <w:pPr>
        <w:spacing w:after="160" w:line="360" w:lineRule="auto"/>
        <w:jc w:val="both"/>
      </w:pPr>
      <w:r>
        <w:t xml:space="preserve">The most serious and least discussed limitation of the kinetic literature is that it is drawn disproportionately from patients who survive. Serial sampling requires a patient to remain alive across multiple time points. With case fatality of 86% in the Bangladeshi series and 91% in the Kerala outbreak of 2018 (Arunkumar, Chandni, et al., 2019; Satter et al., 2026), the patients from whom longitudinal antibody and viral load trajectories have been obtained are, by construction, the atypical minority. The ordering of viraemia clearance and IgG appearance </w:t>
      </w:r>
      <w:r>
        <w:lastRenderedPageBreak/>
        <w:t>was established in two survivors (Arunkumar, Devadiga, et al., 2019); the immune signatures described as potentially protective were identified in three survivors (Sahay et al., 2024).</w:t>
      </w:r>
    </w:p>
    <w:p w14:paraId="7682B518" w14:textId="77777777" w:rsidR="004E2118" w:rsidRDefault="00000000">
      <w:pPr>
        <w:spacing w:after="160" w:line="360" w:lineRule="auto"/>
        <w:jc w:val="both"/>
      </w:pPr>
      <w:r>
        <w:t>This has a specific consequence for the framework proposed in this review. If a model were trained on trajectories obtained from survivors and then applied to unselected suspected cases, the majority of whom will die, the training distribution would differ systematically from the deployment distribution in exactly the respect that determines the target quantity. This is a form of dataset shift, and one with a known mechanism rather than an unexplained one (Finlayson et al., 2021). It is partially addressable: cross-sectional data from fatal cases exist and are informative about the joint marker pattern at a single point (Satter et al., 2026), and post-mortem specimens extend ascertainment to patients who die before recognition. It is not addressable by more sophisticated modelling of the existing longitudinal data, and any proposal that claims otherwise should be treated sceptically.</w:t>
      </w:r>
    </w:p>
    <w:p w14:paraId="0F6A55F4" w14:textId="77777777" w:rsidR="004E2118" w:rsidRDefault="00000000">
      <w:pPr>
        <w:pStyle w:val="Heading2"/>
        <w:spacing w:before="260" w:after="130"/>
      </w:pPr>
      <w:r>
        <w:t>4.4 Assay Heterogeneity, Standardisation and the Validation Deficit</w:t>
      </w:r>
    </w:p>
    <w:p w14:paraId="7D702B68" w14:textId="77777777" w:rsidR="004E2118" w:rsidRDefault="00000000">
      <w:pPr>
        <w:spacing w:after="160" w:line="360" w:lineRule="auto"/>
        <w:jc w:val="both"/>
      </w:pPr>
      <w:r>
        <w:t>The molecular literature is heterogeneous in target, chemistry, platform and reporting unit, and lacks an international nucleic acid standard against which analytical claims could be harmonised (Garbuglia et al., 2023). Limits of detection are reported variously as equivalent copies per reaction, copies per microlitre and copies per millilitre, sometimes without stating the extraction efficiency or input volume required to convert between them. Cycle threshold values are reported inconsistently and are not comparable across assays even when reported. The consequence for temporal modelling is direct: a quantitative viral load trajectory assembled from results generated by different assays in different laboratories is not a single variable, and treating it as one would introduce measurement error correlated with site.</w:t>
      </w:r>
    </w:p>
    <w:p w14:paraId="533E36B5" w14:textId="77777777" w:rsidR="004E2118" w:rsidRDefault="00000000">
      <w:pPr>
        <w:spacing w:after="160" w:line="360" w:lineRule="auto"/>
        <w:jc w:val="both"/>
      </w:pPr>
      <w:r>
        <w:t xml:space="preserve">The validation deficit is equally material. Target product profiles setting out use cases and performance requirements for NiV diagnostics were published to direct development effort (World Health Organization, 2019), yet the resulting landscape remains thin. A landscape analysis identified 43 commercial NiV tests, of which six held national regulatory approval; three molecular assays were designed for near-POC use and one lateral flow assay for true POC use; and of 28 relevant publications, 23 described test development or validation, only three reported independent evaluation or external quality assessment, and two described specimen inactivation protocols. Nine publications reported novel POC prototypes, comprising seven molecular assays, one antigen test and one ribozyme biosensor, with limited clinical performance data in every case (Mazzola et al., 2026). Mazzola and Kelly-Cirino (2019) had </w:t>
      </w:r>
      <w:r>
        <w:lastRenderedPageBreak/>
        <w:t>identified restricted access to clinical specimens as the binding constraint on validation and external quality assessment seven years earlier, and the constraint remains. Maximum containment requirements for handling live virus compound this, although assays operable at lower containment, including pseudotyped neutralisation tests and recombinant-antigen ELISA formats, partially relieve it (Kaku et al., 2009; Alam et al., 2026).</w:t>
      </w:r>
    </w:p>
    <w:p w14:paraId="14C59666" w14:textId="77777777" w:rsidR="004E2118" w:rsidRDefault="00000000">
      <w:pPr>
        <w:pStyle w:val="Heading2"/>
        <w:spacing w:before="260" w:after="130"/>
      </w:pPr>
      <w:r>
        <w:t>4.5 Geographical and Lineage Restriction</w:t>
      </w:r>
    </w:p>
    <w:p w14:paraId="7B2775F5" w14:textId="77777777" w:rsidR="004E2118" w:rsidRDefault="00000000">
      <w:pPr>
        <w:spacing w:after="160" w:line="360" w:lineRule="auto"/>
        <w:jc w:val="both"/>
      </w:pPr>
      <w:r>
        <w:t>Contemporary human diagnostic evidence derives almost exclusively from Bangladesh and from Kerala. Malaysian and Singaporean data describe the 1998 to 1999 epizootic-associated outbreaks and were generated with assays that no longer represent current practice (Chua et al., 1999; Goh et al., 2000; Wong et al., 2001). The Siliguri outbreak in West Bengal was characterised serologically and molecularly in 2006 (Chadha et al., 2006), and eastern India has since been identified as an area of renewed concern. The lineages differ: Bangladesh and Malaysia isolates produce distinguishable disease in non-human primates (Mire et al., 2016), the two Bangladeshi sublineages differ in geographical spread and in frequency of respiratory distress (Satter et al., 2025), and Kerala isolates cluster within an Indian clade distinct from both (As et al., 2024). Clinical phenotype differs correspondingly between encephalitis-predominant and respiratory-predominant outbreaks (Sahay et al., 2025).</w:t>
      </w:r>
    </w:p>
    <w:p w14:paraId="33E52CF8" w14:textId="77777777" w:rsidR="004E2118" w:rsidRDefault="00000000">
      <w:pPr>
        <w:spacing w:after="160" w:line="360" w:lineRule="auto"/>
        <w:jc w:val="both"/>
      </w:pPr>
      <w:r>
        <w:t>Any model developed on data from one setting therefore faces a transportability question that cannot be resolved by internal validation. External validation in a second country, and ideally against a second lineage, would be required before a temporally informed interpretation rule could be considered generalisable, and the methodological literature on external validation and its sample-size requirements sets out what this would demand (Riley et al., 2021; Riley et al., 2024).</w:t>
      </w:r>
    </w:p>
    <w:p w14:paraId="79FAEE65" w14:textId="77777777" w:rsidR="004E2118" w:rsidRDefault="00000000">
      <w:pPr>
        <w:spacing w:after="160" w:line="360" w:lineRule="auto"/>
        <w:jc w:val="both"/>
      </w:pPr>
      <w:r>
        <w:t>Table 2 organises these limitations against their consequences for model development and the steps that would mitigate them. The distinction the table is intended to draw is between limitations that better analysis can address, such as the reference-standard problem and the treatment of informative missingness, and limitations that only new data collection can address, such as survivor weighting, lineage restriction and the absence of a nucleic acid standard. Conflating the two is the principal risk in this area, because it invites methodological sophistication to substitute for evidence.</w:t>
      </w:r>
    </w:p>
    <w:p w14:paraId="2A98A3C3" w14:textId="77777777" w:rsidR="004E2118" w:rsidRDefault="00000000">
      <w:pPr>
        <w:spacing w:before="220" w:after="110"/>
      </w:pPr>
      <w:r>
        <w:rPr>
          <w:b/>
          <w:bCs/>
          <w:sz w:val="21"/>
          <w:szCs w:val="21"/>
        </w:rPr>
        <w:t xml:space="preserve">Table 2. </w:t>
      </w:r>
      <w:r>
        <w:rPr>
          <w:sz w:val="21"/>
          <w:szCs w:val="21"/>
        </w:rPr>
        <w:t>Methodological limitations across the human Nipah virus diagnostic literature and their consequences for temporally informed modelling</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60F45265" w14:textId="77777777">
        <w:trPr>
          <w:tblHeader/>
        </w:trPr>
        <w:tc>
          <w:tcPr>
            <w:tcW w:w="1500" w:type="dxa"/>
            <w:shd w:val="clear" w:color="auto" w:fill="E8ECF1"/>
            <w:tcMar>
              <w:top w:w="60" w:type="dxa"/>
              <w:left w:w="90" w:type="dxa"/>
              <w:bottom w:w="60" w:type="dxa"/>
              <w:right w:w="90" w:type="dxa"/>
            </w:tcMar>
          </w:tcPr>
          <w:p w14:paraId="3CCF281D" w14:textId="77777777" w:rsidR="004E2118" w:rsidRDefault="00000000">
            <w:r>
              <w:rPr>
                <w:b/>
                <w:bCs/>
                <w:sz w:val="17"/>
                <w:szCs w:val="17"/>
              </w:rPr>
              <w:lastRenderedPageBreak/>
              <w:t>Limitation</w:t>
            </w:r>
          </w:p>
        </w:tc>
        <w:tc>
          <w:tcPr>
            <w:tcW w:w="2050" w:type="dxa"/>
            <w:shd w:val="clear" w:color="auto" w:fill="E8ECF1"/>
            <w:tcMar>
              <w:top w:w="60" w:type="dxa"/>
              <w:left w:w="90" w:type="dxa"/>
              <w:bottom w:w="60" w:type="dxa"/>
              <w:right w:w="90" w:type="dxa"/>
            </w:tcMar>
          </w:tcPr>
          <w:p w14:paraId="7242A3D1" w14:textId="77777777" w:rsidR="004E2118" w:rsidRDefault="00000000">
            <w:r>
              <w:rPr>
                <w:b/>
                <w:bCs/>
                <w:sz w:val="17"/>
                <w:szCs w:val="17"/>
              </w:rPr>
              <w:t>Manifestation in the retained literature</w:t>
            </w:r>
          </w:p>
        </w:tc>
        <w:tc>
          <w:tcPr>
            <w:tcW w:w="2050" w:type="dxa"/>
            <w:shd w:val="clear" w:color="auto" w:fill="E8ECF1"/>
            <w:tcMar>
              <w:top w:w="60" w:type="dxa"/>
              <w:left w:w="90" w:type="dxa"/>
              <w:bottom w:w="60" w:type="dxa"/>
              <w:right w:w="90" w:type="dxa"/>
            </w:tcMar>
          </w:tcPr>
          <w:p w14:paraId="01938D7A" w14:textId="77777777" w:rsidR="004E2118" w:rsidRDefault="00000000">
            <w:r>
              <w:rPr>
                <w:b/>
                <w:bCs/>
                <w:sz w:val="17"/>
                <w:szCs w:val="17"/>
              </w:rPr>
              <w:t>Consequence for model development</w:t>
            </w:r>
          </w:p>
        </w:tc>
        <w:tc>
          <w:tcPr>
            <w:tcW w:w="1950" w:type="dxa"/>
            <w:shd w:val="clear" w:color="auto" w:fill="E8ECF1"/>
            <w:tcMar>
              <w:top w:w="60" w:type="dxa"/>
              <w:left w:w="90" w:type="dxa"/>
              <w:bottom w:w="60" w:type="dxa"/>
              <w:right w:w="90" w:type="dxa"/>
            </w:tcMar>
          </w:tcPr>
          <w:p w14:paraId="14A7413D" w14:textId="77777777" w:rsidR="004E2118" w:rsidRDefault="00000000">
            <w:r>
              <w:rPr>
                <w:b/>
                <w:bCs/>
                <w:sz w:val="17"/>
                <w:szCs w:val="17"/>
              </w:rPr>
              <w:t>Addressable by analysis or only by new data</w:t>
            </w:r>
          </w:p>
        </w:tc>
        <w:tc>
          <w:tcPr>
            <w:tcW w:w="1476" w:type="dxa"/>
            <w:shd w:val="clear" w:color="auto" w:fill="E8ECF1"/>
            <w:tcMar>
              <w:top w:w="60" w:type="dxa"/>
              <w:left w:w="90" w:type="dxa"/>
              <w:bottom w:w="60" w:type="dxa"/>
              <w:right w:w="90" w:type="dxa"/>
            </w:tcMar>
          </w:tcPr>
          <w:p w14:paraId="6F7E7250" w14:textId="77777777" w:rsidR="004E2118" w:rsidRDefault="00000000">
            <w:r>
              <w:rPr>
                <w:b/>
                <w:bCs/>
                <w:sz w:val="17"/>
                <w:szCs w:val="17"/>
              </w:rPr>
              <w:t>Supporting references</w:t>
            </w:r>
          </w:p>
        </w:tc>
      </w:tr>
      <w:tr w:rsidR="004E2118" w14:paraId="1472B73C" w14:textId="77777777">
        <w:tc>
          <w:tcPr>
            <w:tcW w:w="1500" w:type="dxa"/>
            <w:tcMar>
              <w:top w:w="60" w:type="dxa"/>
              <w:left w:w="90" w:type="dxa"/>
              <w:bottom w:w="60" w:type="dxa"/>
              <w:right w:w="90" w:type="dxa"/>
            </w:tcMar>
          </w:tcPr>
          <w:p w14:paraId="1809E182" w14:textId="77777777" w:rsidR="004E2118" w:rsidRDefault="00000000">
            <w:r>
              <w:rPr>
                <w:sz w:val="17"/>
                <w:szCs w:val="17"/>
              </w:rPr>
              <w:t>Very small samples</w:t>
            </w:r>
          </w:p>
        </w:tc>
        <w:tc>
          <w:tcPr>
            <w:tcW w:w="2050" w:type="dxa"/>
            <w:tcMar>
              <w:top w:w="60" w:type="dxa"/>
              <w:left w:w="90" w:type="dxa"/>
              <w:bottom w:w="60" w:type="dxa"/>
              <w:right w:w="90" w:type="dxa"/>
            </w:tcMar>
          </w:tcPr>
          <w:p w14:paraId="4E1CF285" w14:textId="77777777" w:rsidR="004E2118" w:rsidRDefault="00000000">
            <w:r>
              <w:rPr>
                <w:sz w:val="17"/>
                <w:szCs w:val="17"/>
              </w:rPr>
              <w:t>Largest clinical series 23 cases; kinetic trajectories from 2 and 3 survivors</w:t>
            </w:r>
          </w:p>
        </w:tc>
        <w:tc>
          <w:tcPr>
            <w:tcW w:w="2050" w:type="dxa"/>
            <w:tcMar>
              <w:top w:w="60" w:type="dxa"/>
              <w:left w:w="90" w:type="dxa"/>
              <w:bottom w:w="60" w:type="dxa"/>
              <w:right w:w="90" w:type="dxa"/>
            </w:tcMar>
          </w:tcPr>
          <w:p w14:paraId="4790BE4B" w14:textId="77777777" w:rsidR="004E2118" w:rsidRDefault="00000000">
            <w:r>
              <w:rPr>
                <w:sz w:val="17"/>
                <w:szCs w:val="17"/>
              </w:rPr>
              <w:t>Precludes estimation of day-specific accuracy, covariate adjustment and interaction testing</w:t>
            </w:r>
          </w:p>
        </w:tc>
        <w:tc>
          <w:tcPr>
            <w:tcW w:w="1950" w:type="dxa"/>
            <w:tcMar>
              <w:top w:w="60" w:type="dxa"/>
              <w:left w:w="90" w:type="dxa"/>
              <w:bottom w:w="60" w:type="dxa"/>
              <w:right w:w="90" w:type="dxa"/>
            </w:tcMar>
          </w:tcPr>
          <w:p w14:paraId="16E12541" w14:textId="77777777" w:rsidR="004E2118" w:rsidRDefault="00000000">
            <w:r>
              <w:rPr>
                <w:sz w:val="17"/>
                <w:szCs w:val="17"/>
              </w:rPr>
              <w:t>New data; prospective cohort protocols now published</w:t>
            </w:r>
          </w:p>
        </w:tc>
        <w:tc>
          <w:tcPr>
            <w:tcW w:w="1476" w:type="dxa"/>
            <w:tcMar>
              <w:top w:w="60" w:type="dxa"/>
              <w:left w:w="90" w:type="dxa"/>
              <w:bottom w:w="60" w:type="dxa"/>
              <w:right w:w="90" w:type="dxa"/>
            </w:tcMar>
          </w:tcPr>
          <w:p w14:paraId="565EF891" w14:textId="77777777" w:rsidR="004E2118" w:rsidRDefault="00000000">
            <w:r w:rsidRPr="004565A3">
              <w:rPr>
                <w:sz w:val="17"/>
                <w:szCs w:val="17"/>
                <w:lang w:val="nl-BE"/>
              </w:rPr>
              <w:t xml:space="preserve">Arunkumar, Chandni, et al. (2019) and Arunkumar, Devadiga, et al. (2019); Sahay et al. (2024); Hassan et al. </w:t>
            </w:r>
            <w:r>
              <w:rPr>
                <w:sz w:val="17"/>
                <w:szCs w:val="17"/>
              </w:rPr>
              <w:t>(2025)</w:t>
            </w:r>
          </w:p>
        </w:tc>
      </w:tr>
      <w:tr w:rsidR="004E2118" w14:paraId="56A2E11D" w14:textId="77777777">
        <w:tc>
          <w:tcPr>
            <w:tcW w:w="1500" w:type="dxa"/>
            <w:tcMar>
              <w:top w:w="60" w:type="dxa"/>
              <w:left w:w="90" w:type="dxa"/>
              <w:bottom w:w="60" w:type="dxa"/>
              <w:right w:w="90" w:type="dxa"/>
            </w:tcMar>
          </w:tcPr>
          <w:p w14:paraId="0FEC2322" w14:textId="77777777" w:rsidR="004E2118" w:rsidRDefault="00000000">
            <w:r>
              <w:rPr>
                <w:sz w:val="17"/>
                <w:szCs w:val="17"/>
              </w:rPr>
              <w:t>Circular reference standard</w:t>
            </w:r>
          </w:p>
        </w:tc>
        <w:tc>
          <w:tcPr>
            <w:tcW w:w="2050" w:type="dxa"/>
            <w:tcMar>
              <w:top w:w="60" w:type="dxa"/>
              <w:left w:w="90" w:type="dxa"/>
              <w:bottom w:w="60" w:type="dxa"/>
              <w:right w:w="90" w:type="dxa"/>
            </w:tcMar>
          </w:tcPr>
          <w:p w14:paraId="710C9AE0" w14:textId="77777777" w:rsidR="004E2118" w:rsidRDefault="00000000">
            <w:r>
              <w:rPr>
                <w:sz w:val="17"/>
                <w:szCs w:val="17"/>
              </w:rPr>
              <w:t>Case status defined by the same assays whose performance is described</w:t>
            </w:r>
          </w:p>
        </w:tc>
        <w:tc>
          <w:tcPr>
            <w:tcW w:w="2050" w:type="dxa"/>
            <w:tcMar>
              <w:top w:w="60" w:type="dxa"/>
              <w:left w:w="90" w:type="dxa"/>
              <w:bottom w:w="60" w:type="dxa"/>
              <w:right w:w="90" w:type="dxa"/>
            </w:tcMar>
          </w:tcPr>
          <w:p w14:paraId="0B9E872D" w14:textId="77777777" w:rsidR="004E2118" w:rsidRDefault="00000000">
            <w:r>
              <w:rPr>
                <w:sz w:val="17"/>
                <w:szCs w:val="17"/>
              </w:rPr>
              <w:t>Reported accuracy is not an unbiased estimate; supervised learning has no clean label</w:t>
            </w:r>
          </w:p>
        </w:tc>
        <w:tc>
          <w:tcPr>
            <w:tcW w:w="1950" w:type="dxa"/>
            <w:tcMar>
              <w:top w:w="60" w:type="dxa"/>
              <w:left w:w="90" w:type="dxa"/>
              <w:bottom w:w="60" w:type="dxa"/>
              <w:right w:w="90" w:type="dxa"/>
            </w:tcMar>
          </w:tcPr>
          <w:p w14:paraId="5BB4904E" w14:textId="77777777" w:rsidR="004E2118" w:rsidRDefault="00000000">
            <w:r>
              <w:rPr>
                <w:sz w:val="17"/>
                <w:szCs w:val="17"/>
              </w:rPr>
              <w:t>Partly by analysis, using latent class models with time-structured conditional dependence</w:t>
            </w:r>
          </w:p>
        </w:tc>
        <w:tc>
          <w:tcPr>
            <w:tcW w:w="1476" w:type="dxa"/>
            <w:tcMar>
              <w:top w:w="60" w:type="dxa"/>
              <w:left w:w="90" w:type="dxa"/>
              <w:bottom w:w="60" w:type="dxa"/>
              <w:right w:w="90" w:type="dxa"/>
            </w:tcMar>
          </w:tcPr>
          <w:p w14:paraId="3910DAB3" w14:textId="77777777" w:rsidR="004E2118" w:rsidRDefault="00000000">
            <w:r>
              <w:rPr>
                <w:sz w:val="17"/>
                <w:szCs w:val="17"/>
              </w:rPr>
              <w:t>Pepe and Janes (2007); J. Collins and Huynh (2014); Schumacher et al. (2016)</w:t>
            </w:r>
          </w:p>
        </w:tc>
      </w:tr>
      <w:tr w:rsidR="004E2118" w14:paraId="1493B090" w14:textId="77777777">
        <w:tc>
          <w:tcPr>
            <w:tcW w:w="1500" w:type="dxa"/>
            <w:tcMar>
              <w:top w:w="60" w:type="dxa"/>
              <w:left w:w="90" w:type="dxa"/>
              <w:bottom w:w="60" w:type="dxa"/>
              <w:right w:w="90" w:type="dxa"/>
            </w:tcMar>
          </w:tcPr>
          <w:p w14:paraId="41A2F871" w14:textId="77777777" w:rsidR="004E2118" w:rsidRDefault="00000000">
            <w:r>
              <w:rPr>
                <w:sz w:val="17"/>
                <w:szCs w:val="17"/>
              </w:rPr>
              <w:t>Survivor weighting of longitudinal data</w:t>
            </w:r>
          </w:p>
        </w:tc>
        <w:tc>
          <w:tcPr>
            <w:tcW w:w="2050" w:type="dxa"/>
            <w:tcMar>
              <w:top w:w="60" w:type="dxa"/>
              <w:left w:w="90" w:type="dxa"/>
              <w:bottom w:w="60" w:type="dxa"/>
              <w:right w:w="90" w:type="dxa"/>
            </w:tcMar>
          </w:tcPr>
          <w:p w14:paraId="2421D7E7" w14:textId="77777777" w:rsidR="004E2118" w:rsidRDefault="00000000">
            <w:r>
              <w:rPr>
                <w:sz w:val="17"/>
                <w:szCs w:val="17"/>
              </w:rPr>
              <w:t>Serial sampling feasible only in patients surviving multiple time points, who are 9% to 14% of cases</w:t>
            </w:r>
          </w:p>
        </w:tc>
        <w:tc>
          <w:tcPr>
            <w:tcW w:w="2050" w:type="dxa"/>
            <w:tcMar>
              <w:top w:w="60" w:type="dxa"/>
              <w:left w:w="90" w:type="dxa"/>
              <w:bottom w:w="60" w:type="dxa"/>
              <w:right w:w="90" w:type="dxa"/>
            </w:tcMar>
          </w:tcPr>
          <w:p w14:paraId="41646C05" w14:textId="77777777" w:rsidR="004E2118" w:rsidRDefault="00000000">
            <w:r>
              <w:rPr>
                <w:sz w:val="17"/>
                <w:szCs w:val="17"/>
              </w:rPr>
              <w:t>Training distribution differs from deployment distribution by the mechanism determining the outcome</w:t>
            </w:r>
          </w:p>
        </w:tc>
        <w:tc>
          <w:tcPr>
            <w:tcW w:w="1950" w:type="dxa"/>
            <w:tcMar>
              <w:top w:w="60" w:type="dxa"/>
              <w:left w:w="90" w:type="dxa"/>
              <w:bottom w:w="60" w:type="dxa"/>
              <w:right w:w="90" w:type="dxa"/>
            </w:tcMar>
          </w:tcPr>
          <w:p w14:paraId="4490D103" w14:textId="77777777" w:rsidR="004E2118" w:rsidRDefault="00000000">
            <w:r>
              <w:rPr>
                <w:sz w:val="17"/>
                <w:szCs w:val="17"/>
              </w:rPr>
              <w:t>New data, including post-mortem and early-fatality ascertainment</w:t>
            </w:r>
          </w:p>
        </w:tc>
        <w:tc>
          <w:tcPr>
            <w:tcW w:w="1476" w:type="dxa"/>
            <w:tcMar>
              <w:top w:w="60" w:type="dxa"/>
              <w:left w:w="90" w:type="dxa"/>
              <w:bottom w:w="60" w:type="dxa"/>
              <w:right w:w="90" w:type="dxa"/>
            </w:tcMar>
          </w:tcPr>
          <w:p w14:paraId="02AF27BA" w14:textId="77777777" w:rsidR="004E2118" w:rsidRDefault="00000000">
            <w:r w:rsidRPr="004565A3">
              <w:rPr>
                <w:sz w:val="17"/>
                <w:szCs w:val="17"/>
                <w:lang w:val="nl-BE"/>
              </w:rPr>
              <w:t xml:space="preserve">Arunkumar, Chandni, et al. (2019) and Arunkumar, Devadiga, et al. (2019); Satter et al. </w:t>
            </w:r>
            <w:r>
              <w:rPr>
                <w:sz w:val="17"/>
                <w:szCs w:val="17"/>
              </w:rPr>
              <w:t>(2026); Finlayson et al. (2021)</w:t>
            </w:r>
          </w:p>
        </w:tc>
      </w:tr>
      <w:tr w:rsidR="004E2118" w14:paraId="0C6A0028" w14:textId="77777777">
        <w:tc>
          <w:tcPr>
            <w:tcW w:w="1500" w:type="dxa"/>
            <w:tcMar>
              <w:top w:w="60" w:type="dxa"/>
              <w:left w:w="90" w:type="dxa"/>
              <w:bottom w:w="60" w:type="dxa"/>
              <w:right w:w="90" w:type="dxa"/>
            </w:tcMar>
          </w:tcPr>
          <w:p w14:paraId="00E93B51" w14:textId="77777777" w:rsidR="004E2118" w:rsidRDefault="00000000">
            <w:r>
              <w:rPr>
                <w:sz w:val="17"/>
                <w:szCs w:val="17"/>
              </w:rPr>
              <w:t>Opportunistic sampling schedules</w:t>
            </w:r>
          </w:p>
        </w:tc>
        <w:tc>
          <w:tcPr>
            <w:tcW w:w="2050" w:type="dxa"/>
            <w:tcMar>
              <w:top w:w="60" w:type="dxa"/>
              <w:left w:w="90" w:type="dxa"/>
              <w:bottom w:w="60" w:type="dxa"/>
              <w:right w:w="90" w:type="dxa"/>
            </w:tcMar>
          </w:tcPr>
          <w:p w14:paraId="0E9542FC" w14:textId="77777777" w:rsidR="004E2118" w:rsidRDefault="00000000">
            <w:r>
              <w:rPr>
                <w:sz w:val="17"/>
                <w:szCs w:val="17"/>
              </w:rPr>
              <w:t>Specimen timing determined by presentation, recognition and transport rather than protocol</w:t>
            </w:r>
          </w:p>
        </w:tc>
        <w:tc>
          <w:tcPr>
            <w:tcW w:w="2050" w:type="dxa"/>
            <w:tcMar>
              <w:top w:w="60" w:type="dxa"/>
              <w:left w:w="90" w:type="dxa"/>
              <w:bottom w:w="60" w:type="dxa"/>
              <w:right w:w="90" w:type="dxa"/>
            </w:tcMar>
          </w:tcPr>
          <w:p w14:paraId="0F3765A3" w14:textId="77777777" w:rsidR="004E2118" w:rsidRDefault="00000000">
            <w:r>
              <w:rPr>
                <w:sz w:val="17"/>
                <w:szCs w:val="17"/>
              </w:rPr>
              <w:t>Missingness is informative and correlated with severity and access</w:t>
            </w:r>
          </w:p>
        </w:tc>
        <w:tc>
          <w:tcPr>
            <w:tcW w:w="1950" w:type="dxa"/>
            <w:tcMar>
              <w:top w:w="60" w:type="dxa"/>
              <w:left w:w="90" w:type="dxa"/>
              <w:bottom w:w="60" w:type="dxa"/>
              <w:right w:w="90" w:type="dxa"/>
            </w:tcMar>
          </w:tcPr>
          <w:p w14:paraId="5B42E402" w14:textId="77777777" w:rsidR="004E2118" w:rsidRDefault="00000000">
            <w:r>
              <w:rPr>
                <w:sz w:val="17"/>
                <w:szCs w:val="17"/>
              </w:rPr>
              <w:t>Partly by analysis, using models that represent missingness explicitly</w:t>
            </w:r>
          </w:p>
        </w:tc>
        <w:tc>
          <w:tcPr>
            <w:tcW w:w="1476" w:type="dxa"/>
            <w:tcMar>
              <w:top w:w="60" w:type="dxa"/>
              <w:left w:w="90" w:type="dxa"/>
              <w:bottom w:w="60" w:type="dxa"/>
              <w:right w:w="90" w:type="dxa"/>
            </w:tcMar>
          </w:tcPr>
          <w:p w14:paraId="3032155B" w14:textId="77777777" w:rsidR="004E2118" w:rsidRDefault="00000000">
            <w:r w:rsidRPr="00A210D7">
              <w:rPr>
                <w:sz w:val="17"/>
                <w:szCs w:val="17"/>
                <w:lang w:val="it-IT"/>
              </w:rPr>
              <w:t xml:space="preserve">Che et al. (2018); Arunkumar, Chandni, et al. </w:t>
            </w:r>
            <w:r>
              <w:rPr>
                <w:sz w:val="17"/>
                <w:szCs w:val="17"/>
              </w:rPr>
              <w:t>(2019)</w:t>
            </w:r>
          </w:p>
        </w:tc>
      </w:tr>
      <w:tr w:rsidR="004E2118" w14:paraId="0BCAD677" w14:textId="77777777">
        <w:tc>
          <w:tcPr>
            <w:tcW w:w="1500" w:type="dxa"/>
            <w:tcMar>
              <w:top w:w="60" w:type="dxa"/>
              <w:left w:w="90" w:type="dxa"/>
              <w:bottom w:w="60" w:type="dxa"/>
              <w:right w:w="90" w:type="dxa"/>
            </w:tcMar>
          </w:tcPr>
          <w:p w14:paraId="5994A591" w14:textId="77777777" w:rsidR="004E2118" w:rsidRDefault="00000000">
            <w:r>
              <w:rPr>
                <w:sz w:val="17"/>
                <w:szCs w:val="17"/>
              </w:rPr>
              <w:t>No international nucleic acid standard</w:t>
            </w:r>
          </w:p>
        </w:tc>
        <w:tc>
          <w:tcPr>
            <w:tcW w:w="2050" w:type="dxa"/>
            <w:tcMar>
              <w:top w:w="60" w:type="dxa"/>
              <w:left w:w="90" w:type="dxa"/>
              <w:bottom w:w="60" w:type="dxa"/>
              <w:right w:w="90" w:type="dxa"/>
            </w:tcMar>
          </w:tcPr>
          <w:p w14:paraId="36A09DDE" w14:textId="77777777" w:rsidR="004E2118" w:rsidRDefault="00000000">
            <w:r>
              <w:rPr>
                <w:sz w:val="17"/>
                <w:szCs w:val="17"/>
              </w:rPr>
              <w:t>Limits of detection reported in non-comparable units across assays and platforms</w:t>
            </w:r>
          </w:p>
        </w:tc>
        <w:tc>
          <w:tcPr>
            <w:tcW w:w="2050" w:type="dxa"/>
            <w:tcMar>
              <w:top w:w="60" w:type="dxa"/>
              <w:left w:w="90" w:type="dxa"/>
              <w:bottom w:w="60" w:type="dxa"/>
              <w:right w:w="90" w:type="dxa"/>
            </w:tcMar>
          </w:tcPr>
          <w:p w14:paraId="4AD52098" w14:textId="77777777" w:rsidR="004E2118" w:rsidRDefault="00000000">
            <w:r>
              <w:rPr>
                <w:sz w:val="17"/>
                <w:szCs w:val="17"/>
              </w:rPr>
              <w:t>Quantitative viral load cannot be treated as one variable across sites</w:t>
            </w:r>
          </w:p>
        </w:tc>
        <w:tc>
          <w:tcPr>
            <w:tcW w:w="1950" w:type="dxa"/>
            <w:tcMar>
              <w:top w:w="60" w:type="dxa"/>
              <w:left w:w="90" w:type="dxa"/>
              <w:bottom w:w="60" w:type="dxa"/>
              <w:right w:w="90" w:type="dxa"/>
            </w:tcMar>
          </w:tcPr>
          <w:p w14:paraId="6D5043FA" w14:textId="77777777" w:rsidR="004E2118" w:rsidRDefault="00000000">
            <w:r>
              <w:rPr>
                <w:sz w:val="17"/>
                <w:szCs w:val="17"/>
              </w:rPr>
              <w:t>New data; standard development required</w:t>
            </w:r>
          </w:p>
        </w:tc>
        <w:tc>
          <w:tcPr>
            <w:tcW w:w="1476" w:type="dxa"/>
            <w:tcMar>
              <w:top w:w="60" w:type="dxa"/>
              <w:left w:w="90" w:type="dxa"/>
              <w:bottom w:w="60" w:type="dxa"/>
              <w:right w:w="90" w:type="dxa"/>
            </w:tcMar>
          </w:tcPr>
          <w:p w14:paraId="3B4CC914" w14:textId="77777777" w:rsidR="004E2118" w:rsidRDefault="00000000">
            <w:r w:rsidRPr="00A210D7">
              <w:rPr>
                <w:sz w:val="17"/>
                <w:szCs w:val="17"/>
                <w:lang w:val="it-IT"/>
              </w:rPr>
              <w:t xml:space="preserve">Garbuglia et al. (2023); Nguyen et al. </w:t>
            </w:r>
            <w:r>
              <w:rPr>
                <w:sz w:val="17"/>
                <w:szCs w:val="17"/>
              </w:rPr>
              <w:t>(2026)</w:t>
            </w:r>
          </w:p>
        </w:tc>
      </w:tr>
      <w:tr w:rsidR="004E2118" w14:paraId="08276956" w14:textId="77777777">
        <w:tc>
          <w:tcPr>
            <w:tcW w:w="1500" w:type="dxa"/>
            <w:tcMar>
              <w:top w:w="60" w:type="dxa"/>
              <w:left w:w="90" w:type="dxa"/>
              <w:bottom w:w="60" w:type="dxa"/>
              <w:right w:w="90" w:type="dxa"/>
            </w:tcMar>
          </w:tcPr>
          <w:p w14:paraId="7F9250AB" w14:textId="77777777" w:rsidR="004E2118" w:rsidRDefault="00000000">
            <w:r>
              <w:rPr>
                <w:sz w:val="17"/>
                <w:szCs w:val="17"/>
              </w:rPr>
              <w:t>Analytical rather than clinical validation of serology</w:t>
            </w:r>
          </w:p>
        </w:tc>
        <w:tc>
          <w:tcPr>
            <w:tcW w:w="2050" w:type="dxa"/>
            <w:tcMar>
              <w:top w:w="60" w:type="dxa"/>
              <w:left w:w="90" w:type="dxa"/>
              <w:bottom w:w="60" w:type="dxa"/>
              <w:right w:w="90" w:type="dxa"/>
            </w:tcMar>
          </w:tcPr>
          <w:p w14:paraId="2B2DAE3A" w14:textId="77777777" w:rsidR="004E2118" w:rsidRDefault="00000000">
            <w:r>
              <w:rPr>
                <w:sz w:val="17"/>
                <w:szCs w:val="17"/>
              </w:rPr>
              <w:t>Sensitivity and specificity established against reference sera</w:t>
            </w:r>
          </w:p>
        </w:tc>
        <w:tc>
          <w:tcPr>
            <w:tcW w:w="2050" w:type="dxa"/>
            <w:tcMar>
              <w:top w:w="60" w:type="dxa"/>
              <w:left w:w="90" w:type="dxa"/>
              <w:bottom w:w="60" w:type="dxa"/>
              <w:right w:w="90" w:type="dxa"/>
            </w:tcMar>
          </w:tcPr>
          <w:p w14:paraId="1281B586" w14:textId="77777777" w:rsidR="004E2118" w:rsidRDefault="00000000">
            <w:r>
              <w:rPr>
                <w:sz w:val="17"/>
                <w:szCs w:val="17"/>
              </w:rPr>
              <w:t>Serological performance during seroconversion remains unquantified</w:t>
            </w:r>
          </w:p>
        </w:tc>
        <w:tc>
          <w:tcPr>
            <w:tcW w:w="1950" w:type="dxa"/>
            <w:tcMar>
              <w:top w:w="60" w:type="dxa"/>
              <w:left w:w="90" w:type="dxa"/>
              <w:bottom w:w="60" w:type="dxa"/>
              <w:right w:w="90" w:type="dxa"/>
            </w:tcMar>
          </w:tcPr>
          <w:p w14:paraId="151D8FFA" w14:textId="77777777" w:rsidR="004E2118" w:rsidRDefault="00000000">
            <w:r>
              <w:rPr>
                <w:sz w:val="17"/>
                <w:szCs w:val="17"/>
              </w:rPr>
              <w:t>New data, using clinical specimens with known day of onset</w:t>
            </w:r>
          </w:p>
        </w:tc>
        <w:tc>
          <w:tcPr>
            <w:tcW w:w="1476" w:type="dxa"/>
            <w:tcMar>
              <w:top w:w="60" w:type="dxa"/>
              <w:left w:w="90" w:type="dxa"/>
              <w:bottom w:w="60" w:type="dxa"/>
              <w:right w:w="90" w:type="dxa"/>
            </w:tcMar>
          </w:tcPr>
          <w:p w14:paraId="2A292970" w14:textId="77777777" w:rsidR="004E2118" w:rsidRDefault="00000000">
            <w:r w:rsidRPr="00A210D7">
              <w:rPr>
                <w:sz w:val="17"/>
                <w:szCs w:val="17"/>
                <w:lang w:val="it-IT"/>
              </w:rPr>
              <w:t xml:space="preserve">Alam et al. (2026); Garbuglia et al. </w:t>
            </w:r>
            <w:r>
              <w:rPr>
                <w:sz w:val="17"/>
                <w:szCs w:val="17"/>
              </w:rPr>
              <w:t>(2023)</w:t>
            </w:r>
          </w:p>
        </w:tc>
      </w:tr>
      <w:tr w:rsidR="004E2118" w14:paraId="57DE1696" w14:textId="77777777">
        <w:tc>
          <w:tcPr>
            <w:tcW w:w="1500" w:type="dxa"/>
            <w:tcMar>
              <w:top w:w="60" w:type="dxa"/>
              <w:left w:w="90" w:type="dxa"/>
              <w:bottom w:w="60" w:type="dxa"/>
              <w:right w:w="90" w:type="dxa"/>
            </w:tcMar>
          </w:tcPr>
          <w:p w14:paraId="6B00ABD5" w14:textId="77777777" w:rsidR="004E2118" w:rsidRDefault="00000000">
            <w:r>
              <w:rPr>
                <w:sz w:val="17"/>
                <w:szCs w:val="17"/>
              </w:rPr>
              <w:t>Scarcity of independent evaluation</w:t>
            </w:r>
          </w:p>
        </w:tc>
        <w:tc>
          <w:tcPr>
            <w:tcW w:w="2050" w:type="dxa"/>
            <w:tcMar>
              <w:top w:w="60" w:type="dxa"/>
              <w:left w:w="90" w:type="dxa"/>
              <w:bottom w:w="60" w:type="dxa"/>
              <w:right w:w="90" w:type="dxa"/>
            </w:tcMar>
          </w:tcPr>
          <w:p w14:paraId="13CCEEF0" w14:textId="77777777" w:rsidR="004E2118" w:rsidRDefault="00000000">
            <w:r>
              <w:rPr>
                <w:sz w:val="17"/>
                <w:szCs w:val="17"/>
              </w:rPr>
              <w:t>3 of 28 publications reported independent evaluation or external quality assessment; 6 of 43 commercial tests nationally approved</w:t>
            </w:r>
          </w:p>
        </w:tc>
        <w:tc>
          <w:tcPr>
            <w:tcW w:w="2050" w:type="dxa"/>
            <w:tcMar>
              <w:top w:w="60" w:type="dxa"/>
              <w:left w:w="90" w:type="dxa"/>
              <w:bottom w:w="60" w:type="dxa"/>
              <w:right w:w="90" w:type="dxa"/>
            </w:tcMar>
          </w:tcPr>
          <w:p w14:paraId="37F717AC" w14:textId="77777777" w:rsidR="004E2118" w:rsidRDefault="00000000">
            <w:r>
              <w:rPr>
                <w:sz w:val="17"/>
                <w:szCs w:val="17"/>
              </w:rPr>
              <w:t>Reported performance is largely developer-generated</w:t>
            </w:r>
          </w:p>
        </w:tc>
        <w:tc>
          <w:tcPr>
            <w:tcW w:w="1950" w:type="dxa"/>
            <w:tcMar>
              <w:top w:w="60" w:type="dxa"/>
              <w:left w:w="90" w:type="dxa"/>
              <w:bottom w:w="60" w:type="dxa"/>
              <w:right w:w="90" w:type="dxa"/>
            </w:tcMar>
          </w:tcPr>
          <w:p w14:paraId="1D53FAF4" w14:textId="77777777" w:rsidR="004E2118" w:rsidRDefault="00000000">
            <w:r>
              <w:rPr>
                <w:sz w:val="17"/>
                <w:szCs w:val="17"/>
              </w:rPr>
              <w:t>New data; specimen access is the binding constraint</w:t>
            </w:r>
          </w:p>
        </w:tc>
        <w:tc>
          <w:tcPr>
            <w:tcW w:w="1476" w:type="dxa"/>
            <w:tcMar>
              <w:top w:w="60" w:type="dxa"/>
              <w:left w:w="90" w:type="dxa"/>
              <w:bottom w:w="60" w:type="dxa"/>
              <w:right w:w="90" w:type="dxa"/>
            </w:tcMar>
          </w:tcPr>
          <w:p w14:paraId="39CF1179" w14:textId="77777777" w:rsidR="004E2118" w:rsidRDefault="00000000">
            <w:r w:rsidRPr="00A210D7">
              <w:rPr>
                <w:sz w:val="17"/>
                <w:szCs w:val="17"/>
                <w:lang w:val="it-IT"/>
              </w:rPr>
              <w:t xml:space="preserve">Mazzola and Kelly-Cirino (2019); Mazzola et al. </w:t>
            </w:r>
            <w:r>
              <w:rPr>
                <w:sz w:val="17"/>
                <w:szCs w:val="17"/>
              </w:rPr>
              <w:t>(2026)</w:t>
            </w:r>
          </w:p>
        </w:tc>
      </w:tr>
      <w:tr w:rsidR="004E2118" w14:paraId="358CFF0A" w14:textId="77777777">
        <w:tc>
          <w:tcPr>
            <w:tcW w:w="1500" w:type="dxa"/>
            <w:tcMar>
              <w:top w:w="60" w:type="dxa"/>
              <w:left w:w="90" w:type="dxa"/>
              <w:bottom w:w="60" w:type="dxa"/>
              <w:right w:w="90" w:type="dxa"/>
            </w:tcMar>
          </w:tcPr>
          <w:p w14:paraId="7E156B34" w14:textId="77777777" w:rsidR="004E2118" w:rsidRDefault="00000000">
            <w:r>
              <w:rPr>
                <w:sz w:val="17"/>
                <w:szCs w:val="17"/>
              </w:rPr>
              <w:t>Geographical and lineage concentration</w:t>
            </w:r>
          </w:p>
        </w:tc>
        <w:tc>
          <w:tcPr>
            <w:tcW w:w="2050" w:type="dxa"/>
            <w:tcMar>
              <w:top w:w="60" w:type="dxa"/>
              <w:left w:w="90" w:type="dxa"/>
              <w:bottom w:w="60" w:type="dxa"/>
              <w:right w:w="90" w:type="dxa"/>
            </w:tcMar>
          </w:tcPr>
          <w:p w14:paraId="16BEAD9E" w14:textId="77777777" w:rsidR="004E2118" w:rsidRDefault="00000000">
            <w:r>
              <w:rPr>
                <w:sz w:val="17"/>
                <w:szCs w:val="17"/>
              </w:rPr>
              <w:t>Contemporary evidence from Bangladesh and Kerala; lineages differ in pathogenesis and phenotype</w:t>
            </w:r>
          </w:p>
        </w:tc>
        <w:tc>
          <w:tcPr>
            <w:tcW w:w="2050" w:type="dxa"/>
            <w:tcMar>
              <w:top w:w="60" w:type="dxa"/>
              <w:left w:w="90" w:type="dxa"/>
              <w:bottom w:w="60" w:type="dxa"/>
              <w:right w:w="90" w:type="dxa"/>
            </w:tcMar>
          </w:tcPr>
          <w:p w14:paraId="2C174677" w14:textId="77777777" w:rsidR="004E2118" w:rsidRDefault="00000000">
            <w:r>
              <w:rPr>
                <w:sz w:val="17"/>
                <w:szCs w:val="17"/>
              </w:rPr>
              <w:t>Transportability across settings and lineages unestablished</w:t>
            </w:r>
          </w:p>
        </w:tc>
        <w:tc>
          <w:tcPr>
            <w:tcW w:w="1950" w:type="dxa"/>
            <w:tcMar>
              <w:top w:w="60" w:type="dxa"/>
              <w:left w:w="90" w:type="dxa"/>
              <w:bottom w:w="60" w:type="dxa"/>
              <w:right w:w="90" w:type="dxa"/>
            </w:tcMar>
          </w:tcPr>
          <w:p w14:paraId="13F70253" w14:textId="77777777" w:rsidR="004E2118" w:rsidRDefault="00000000">
            <w:r>
              <w:rPr>
                <w:sz w:val="17"/>
                <w:szCs w:val="17"/>
              </w:rPr>
              <w:t>New data; external validation in a second setting</w:t>
            </w:r>
          </w:p>
        </w:tc>
        <w:tc>
          <w:tcPr>
            <w:tcW w:w="1476" w:type="dxa"/>
            <w:tcMar>
              <w:top w:w="60" w:type="dxa"/>
              <w:left w:w="90" w:type="dxa"/>
              <w:bottom w:w="60" w:type="dxa"/>
              <w:right w:w="90" w:type="dxa"/>
            </w:tcMar>
          </w:tcPr>
          <w:p w14:paraId="0620DB62" w14:textId="77777777" w:rsidR="004E2118" w:rsidRDefault="00000000">
            <w:r w:rsidRPr="004565A3">
              <w:rPr>
                <w:sz w:val="17"/>
                <w:szCs w:val="17"/>
                <w:lang w:val="nl-BE"/>
              </w:rPr>
              <w:t xml:space="preserve">Mire et al. (2016); As et al. </w:t>
            </w:r>
            <w:r w:rsidRPr="00A210D7">
              <w:rPr>
                <w:sz w:val="17"/>
                <w:szCs w:val="17"/>
                <w:lang w:val="it-IT"/>
              </w:rPr>
              <w:t xml:space="preserve">(2024); Satter et al. (2025); Sahay et al. </w:t>
            </w:r>
            <w:r>
              <w:rPr>
                <w:sz w:val="17"/>
                <w:szCs w:val="17"/>
              </w:rPr>
              <w:t>(2025)</w:t>
            </w:r>
          </w:p>
        </w:tc>
      </w:tr>
      <w:tr w:rsidR="004E2118" w14:paraId="418FD137" w14:textId="77777777">
        <w:tc>
          <w:tcPr>
            <w:tcW w:w="1500" w:type="dxa"/>
            <w:tcMar>
              <w:top w:w="60" w:type="dxa"/>
              <w:left w:w="90" w:type="dxa"/>
              <w:bottom w:w="60" w:type="dxa"/>
              <w:right w:w="90" w:type="dxa"/>
            </w:tcMar>
          </w:tcPr>
          <w:p w14:paraId="7D210490" w14:textId="77777777" w:rsidR="004E2118" w:rsidRDefault="00000000">
            <w:r>
              <w:rPr>
                <w:sz w:val="17"/>
                <w:szCs w:val="17"/>
              </w:rPr>
              <w:t>Loss of analytical sensitivity on deployable platforms</w:t>
            </w:r>
          </w:p>
        </w:tc>
        <w:tc>
          <w:tcPr>
            <w:tcW w:w="2050" w:type="dxa"/>
            <w:tcMar>
              <w:top w:w="60" w:type="dxa"/>
              <w:left w:w="90" w:type="dxa"/>
              <w:bottom w:w="60" w:type="dxa"/>
              <w:right w:w="90" w:type="dxa"/>
            </w:tcMar>
          </w:tcPr>
          <w:p w14:paraId="76B8F1A9" w14:textId="77777777" w:rsidR="004E2118" w:rsidRDefault="00000000">
            <w:r>
              <w:rPr>
                <w:sz w:val="17"/>
                <w:szCs w:val="17"/>
              </w:rPr>
              <w:t>Limit of detection rising approximately eightfold from benchtop to portable thermocycler</w:t>
            </w:r>
          </w:p>
        </w:tc>
        <w:tc>
          <w:tcPr>
            <w:tcW w:w="2050" w:type="dxa"/>
            <w:tcMar>
              <w:top w:w="60" w:type="dxa"/>
              <w:left w:w="90" w:type="dxa"/>
              <w:bottom w:w="60" w:type="dxa"/>
              <w:right w:w="90" w:type="dxa"/>
            </w:tcMar>
          </w:tcPr>
          <w:p w14:paraId="301BC938" w14:textId="77777777" w:rsidR="004E2118" w:rsidRDefault="00000000">
            <w:r>
              <w:rPr>
                <w:sz w:val="17"/>
                <w:szCs w:val="17"/>
              </w:rPr>
              <w:t>Model inputs generated at the point of need differ in error structure from those used in development</w:t>
            </w:r>
          </w:p>
        </w:tc>
        <w:tc>
          <w:tcPr>
            <w:tcW w:w="1950" w:type="dxa"/>
            <w:tcMar>
              <w:top w:w="60" w:type="dxa"/>
              <w:left w:w="90" w:type="dxa"/>
              <w:bottom w:w="60" w:type="dxa"/>
              <w:right w:w="90" w:type="dxa"/>
            </w:tcMar>
          </w:tcPr>
          <w:p w14:paraId="350347AE" w14:textId="77777777" w:rsidR="004E2118" w:rsidRDefault="00000000">
            <w:r>
              <w:rPr>
                <w:sz w:val="17"/>
                <w:szCs w:val="17"/>
              </w:rPr>
              <w:t>New data; platform-specific characterisation</w:t>
            </w:r>
          </w:p>
        </w:tc>
        <w:tc>
          <w:tcPr>
            <w:tcW w:w="1476" w:type="dxa"/>
            <w:tcMar>
              <w:top w:w="60" w:type="dxa"/>
              <w:left w:w="90" w:type="dxa"/>
              <w:bottom w:w="60" w:type="dxa"/>
              <w:right w:w="90" w:type="dxa"/>
            </w:tcMar>
          </w:tcPr>
          <w:p w14:paraId="59E1ABFC" w14:textId="77777777" w:rsidR="004E2118" w:rsidRDefault="00000000">
            <w:r>
              <w:rPr>
                <w:sz w:val="17"/>
                <w:szCs w:val="17"/>
              </w:rPr>
              <w:t>Nguyen et al. (2026)</w:t>
            </w:r>
          </w:p>
        </w:tc>
      </w:tr>
    </w:tbl>
    <w:p w14:paraId="455A0FAF" w14:textId="77777777" w:rsidR="004E2118" w:rsidRDefault="00000000">
      <w:pPr>
        <w:spacing w:before="110" w:after="240"/>
      </w:pPr>
      <w:r>
        <w:rPr>
          <w:sz w:val="19"/>
          <w:szCs w:val="19"/>
        </w:rPr>
        <w:t>Note. Percentages for survivor proportion derive from reported case fatality of 86% and 91% in the two largest series. Assessment in the fourth column reflects the judgement developed in this section rather than a formal appraisal instrument.</w:t>
      </w:r>
    </w:p>
    <w:p w14:paraId="2B188B36" w14:textId="77777777" w:rsidR="004E2118" w:rsidRDefault="00000000">
      <w:pPr>
        <w:pStyle w:val="Heading1"/>
        <w:spacing w:before="340" w:after="160"/>
      </w:pPr>
      <w:r>
        <w:t>5. Static Decision Rules and the Information They Discard</w:t>
      </w:r>
    </w:p>
    <w:p w14:paraId="67A159E7" w14:textId="77777777" w:rsidR="004E2118" w:rsidRDefault="00000000">
      <w:pPr>
        <w:pStyle w:val="Heading2"/>
        <w:spacing w:before="260" w:after="130"/>
      </w:pPr>
      <w:r>
        <w:t>5.1 Case Definitions and Sequential Testing Algorithms</w:t>
      </w:r>
    </w:p>
    <w:p w14:paraId="3402D11B" w14:textId="77777777" w:rsidR="004E2118" w:rsidRDefault="00000000">
      <w:pPr>
        <w:spacing w:after="160" w:line="360" w:lineRule="auto"/>
        <w:jc w:val="both"/>
      </w:pPr>
      <w:r>
        <w:lastRenderedPageBreak/>
        <w:t>Diagnostic pathways for suspected NiV infection are constructed as sequential filters. A patient meeting a syndromic case definition, typically acute febrile illness with encephalopathy or respiratory distress in a person with a compatible exposure history, is tested by RT-qPCR on one or more specimens. A positive result confirms the case. A negative result prompts repeat molecular testing, a switch to serology, or exclusion, depending on local protocol and the time elapsed since onset. The World Health Organization describes the same architecture, identifying RT-qPCR of respiratory specimens, blood or CSF as the main diagnostic test and antibody detection by ELISA as usable in the later phase, and noting that Nipah virus infection cannot be distinguished from other causes of encephalitis or pneumonia without laboratory testing (World Health Organization, 2026).</w:t>
      </w:r>
    </w:p>
    <w:p w14:paraId="6B1CB8A5" w14:textId="77777777" w:rsidR="004E2118" w:rsidRDefault="00000000">
      <w:pPr>
        <w:spacing w:after="160" w:line="360" w:lineRule="auto"/>
        <w:jc w:val="both"/>
      </w:pPr>
      <w:r>
        <w:t>This architecture reflects established practice in syndromic infectious disease diagnosis. The International Encephalitis Consortium consensus statement sets out case definitions and a tiered diagnostic algorithm for encephalitis, and the sequential structure it recommends has been widely adopted (Venkatesan et al., 2013). Enhanced surveillance in India demonstrated the value of extending such an algorithm: systematic application of a standardised panel to AES patients negative for Japanese encephalitis virus increased the proportion of cases with an identified aetiology 3.1-fold compared with standard care, from 12.9% to approximately 40% among patients providing both serum and CSF, and established scrub typhus and dengue virus as major contributors alongside Japanese encephalitis virus, which accounted for 17.7% of the 5786 patients enrolled between 2014 and 2016 (Ravi et al., 2022). National laboratory surveillance across 2014 to 2023 has since characterised the wider AES and Japanese encephalitis burden (Abdulkader et al., 2025). The lesson of that work is that algorithmic breadth improves aetiological yield. The lesson it does not teach, and which has not been pursued, is that algorithmic depth in the temporal dimension might do the same.</w:t>
      </w:r>
    </w:p>
    <w:p w14:paraId="47E488DA" w14:textId="77777777" w:rsidR="004E2118" w:rsidRDefault="00000000">
      <w:pPr>
        <w:pStyle w:val="Heading2"/>
        <w:spacing w:before="260" w:after="130"/>
      </w:pPr>
      <w:r>
        <w:t>5.2 What Threshold-Based Interpretation Discards</w:t>
      </w:r>
    </w:p>
    <w:p w14:paraId="2562F73A" w14:textId="77777777" w:rsidR="004E2118" w:rsidRDefault="00000000">
      <w:pPr>
        <w:spacing w:after="160" w:line="360" w:lineRule="auto"/>
        <w:jc w:val="both"/>
      </w:pPr>
      <w:r>
        <w:t>A dichotomous test report retains one bit of information from a measurement process that generates considerably more. At least five quantities are produced during routine NiV testing and then set aside.</w:t>
      </w:r>
    </w:p>
    <w:p w14:paraId="60B3325A" w14:textId="77777777" w:rsidR="004E2118" w:rsidRDefault="00000000">
      <w:pPr>
        <w:spacing w:after="160" w:line="360" w:lineRule="auto"/>
        <w:jc w:val="both"/>
      </w:pPr>
      <w:r>
        <w:t xml:space="preserve">The first is the quantitative magnitude of the molecular signal. Viral loads of 1.7 to 3.3 × 10^4 copies per millilitre were reported from the 2023 Kozhikode outbreak (As et al., 2024), and viraemia status was prognostically informative in the Bangladeshi series (Satter et al., 2026), yet a result at the limit of detection and a result three orders of magnitude above it are reported </w:t>
      </w:r>
      <w:r>
        <w:lastRenderedPageBreak/>
        <w:t>identically. The second is the specimen matrix. Positivity in an oropharyngeal swab, in blood, in urine and in CSF carry different implications for stage of illness, transmission risk and compartmental involvement, and matrices were sampled differentially across outbreaks (Arunkumar, Chandni, et al., 2019). The third is the day of illness. Given that oropharyngeal clearance begins between days 16 and 20 and that ribonucleic acid has been detected to day 14 (As et al., 2024; Satter et al., 2026), a negative molecular result on day 3 and a negative result on day 18 have substantially different evidential weight, and are recorded identically. The fourth is the quantitative serological signal. Optical density ratios, and increasingly standardised concentrations in international units per millilitre (Alam et al., 2026), are reduced to positive or negative at a fixed cut-off, discarding the magnitude that distinguishes early seroconversion from established response. The fifth is the joint pattern across assays. The combination of detectable viraemia with absent IgG, which in the Bangladeshi series was associated with universal fatality, is not represented anywhere in a report that lists two independent results (Satter et al., 2026).</w:t>
      </w:r>
    </w:p>
    <w:p w14:paraId="559F8F12" w14:textId="77777777" w:rsidR="004E2118" w:rsidRDefault="00000000">
      <w:pPr>
        <w:spacing w:after="160" w:line="360" w:lineRule="auto"/>
        <w:jc w:val="both"/>
      </w:pPr>
      <w:r>
        <w:t>The consequences of discarding temporal information are not hypothetical, because they were quantified for another respiratory virus. The probability of a false-negative RT-PCR result for severe acute respiratory syndrome coronavirus 2 was shown to vary markedly with time since exposure, such that a fixed interpretation of a negative result produced systematically different error rates at different points in the illness (Kucirka et al., 2020), and explicit temporal framing of both molecular and serological test interpretation was required to prevent misclassification (Sethuraman et al., 2020). That literature developed under conditions of extraordinary data abundance. For NiV, where fewer than a hundred cases have been characterised diagnostically in the modern era, the same reasoning applies with greater force and less evidence.</w:t>
      </w:r>
    </w:p>
    <w:p w14:paraId="6540805A" w14:textId="77777777" w:rsidR="004E2118" w:rsidRDefault="00000000">
      <w:pPr>
        <w:pStyle w:val="Heading2"/>
        <w:spacing w:before="260" w:after="130"/>
      </w:pPr>
      <w:r>
        <w:t>5.3 Comparison of Interpretive Paradigms</w:t>
      </w:r>
    </w:p>
    <w:p w14:paraId="7688DC3A" w14:textId="77777777" w:rsidR="004E2118" w:rsidRDefault="00000000">
      <w:pPr>
        <w:spacing w:after="160" w:line="360" w:lineRule="auto"/>
        <w:jc w:val="both"/>
      </w:pPr>
      <w:r>
        <w:t xml:space="preserve">The alternative to threshold-based interpretation is not the abandonment of thresholds but their replacement by a probability that is conditional on everything known. Under a temporally informed interpretation, a negative molecular result obtained on day 18 from an oropharyngeal swab in a patient with rising IgG would update the probability of infection differently from an identical result obtained on day 3 in a seronegative patient, and the output would be a calibrated probability accompanied by an interval rather than a categorical determination. This is the structure of a diagnostic prediction model rather than of a test, and it brings with it the evaluation requirements of prediction models: calibration must be assessed alongside discrimination, because a model that ranks patients correctly but assigns miscalibrated </w:t>
      </w:r>
      <w:r>
        <w:lastRenderedPageBreak/>
        <w:t>probabilities can reduce net clinical benefit relative to no model at all (Van Calster &amp; Vickers, 2015).</w:t>
      </w:r>
    </w:p>
    <w:p w14:paraId="7B758D9C" w14:textId="77777777" w:rsidR="004E2118" w:rsidRDefault="00000000">
      <w:pPr>
        <w:spacing w:after="160" w:line="360" w:lineRule="auto"/>
        <w:jc w:val="both"/>
      </w:pPr>
      <w:r>
        <w:t>Two qualifications are essential. First, a probabilistic output is more demanding of the user, not less, and there is no evidence that clinicians managing a suspected high-consequence infection in a district hospital can act on a calibrated probability more effectively than on a categorical result. Second, the informational advantage of temporal fusion is an expectation derived from the structure of the data, not a demonstrated gain. No study has compared a temporally informed rule against current practice for this infection, and none can until serial specimens linked to the day of onset are available in sufficient number.</w:t>
      </w:r>
    </w:p>
    <w:p w14:paraId="67C69347" w14:textId="77777777" w:rsidR="004E2118" w:rsidRDefault="00000000">
      <w:pPr>
        <w:spacing w:after="160" w:line="360" w:lineRule="auto"/>
        <w:jc w:val="both"/>
      </w:pPr>
      <w:r>
        <w:t>Table 3 sets the two paradigms against each other across the dimensions on which they differ, and records the evidential status of each claimed advantage. The purpose of the comparison is to separate what follows logically from the structure of the data, such as the fact that a negative result carries different information at different illness days, from what would require empirical demonstration, such as any improvement in patient-relevant outcomes. Every entry in the final column of that table that reads as hypothesised marks a claim that the present review does not support and that the framework in section 8 is designed to test.</w:t>
      </w:r>
    </w:p>
    <w:p w14:paraId="480D0381" w14:textId="77777777" w:rsidR="004E2118" w:rsidRDefault="00000000">
      <w:pPr>
        <w:spacing w:before="220" w:after="110"/>
      </w:pPr>
      <w:r>
        <w:rPr>
          <w:b/>
          <w:bCs/>
          <w:sz w:val="21"/>
          <w:szCs w:val="21"/>
        </w:rPr>
        <w:t xml:space="preserve">Table 3. </w:t>
      </w:r>
      <w:r>
        <w:rPr>
          <w:sz w:val="21"/>
          <w:szCs w:val="21"/>
        </w:rPr>
        <w:t>Comparison of threshold-based and temporally informed interpretation of molecular and serological results in suspected Nipah virus infection</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24683BB4" w14:textId="77777777">
        <w:trPr>
          <w:tblHeader/>
        </w:trPr>
        <w:tc>
          <w:tcPr>
            <w:tcW w:w="1500" w:type="dxa"/>
            <w:shd w:val="clear" w:color="auto" w:fill="E8ECF1"/>
            <w:tcMar>
              <w:top w:w="60" w:type="dxa"/>
              <w:left w:w="90" w:type="dxa"/>
              <w:bottom w:w="60" w:type="dxa"/>
              <w:right w:w="90" w:type="dxa"/>
            </w:tcMar>
          </w:tcPr>
          <w:p w14:paraId="364C373E" w14:textId="77777777" w:rsidR="004E2118" w:rsidRDefault="00000000">
            <w:r>
              <w:rPr>
                <w:b/>
                <w:bCs/>
                <w:sz w:val="17"/>
                <w:szCs w:val="17"/>
              </w:rPr>
              <w:t>Dimension</w:t>
            </w:r>
          </w:p>
        </w:tc>
        <w:tc>
          <w:tcPr>
            <w:tcW w:w="2050" w:type="dxa"/>
            <w:shd w:val="clear" w:color="auto" w:fill="E8ECF1"/>
            <w:tcMar>
              <w:top w:w="60" w:type="dxa"/>
              <w:left w:w="90" w:type="dxa"/>
              <w:bottom w:w="60" w:type="dxa"/>
              <w:right w:w="90" w:type="dxa"/>
            </w:tcMar>
          </w:tcPr>
          <w:p w14:paraId="24F01506" w14:textId="77777777" w:rsidR="004E2118" w:rsidRDefault="00000000">
            <w:r>
              <w:rPr>
                <w:b/>
                <w:bCs/>
                <w:sz w:val="17"/>
                <w:szCs w:val="17"/>
              </w:rPr>
              <w:t>Threshold-based interpretation as currently practised</w:t>
            </w:r>
          </w:p>
        </w:tc>
        <w:tc>
          <w:tcPr>
            <w:tcW w:w="2050" w:type="dxa"/>
            <w:shd w:val="clear" w:color="auto" w:fill="E8ECF1"/>
            <w:tcMar>
              <w:top w:w="60" w:type="dxa"/>
              <w:left w:w="90" w:type="dxa"/>
              <w:bottom w:w="60" w:type="dxa"/>
              <w:right w:w="90" w:type="dxa"/>
            </w:tcMar>
          </w:tcPr>
          <w:p w14:paraId="2963564E" w14:textId="77777777" w:rsidR="004E2118" w:rsidRDefault="00000000">
            <w:r>
              <w:rPr>
                <w:b/>
                <w:bCs/>
                <w:sz w:val="17"/>
                <w:szCs w:val="17"/>
              </w:rPr>
              <w:t>Temporally informed interpretation</w:t>
            </w:r>
          </w:p>
        </w:tc>
        <w:tc>
          <w:tcPr>
            <w:tcW w:w="1950" w:type="dxa"/>
            <w:shd w:val="clear" w:color="auto" w:fill="E8ECF1"/>
            <w:tcMar>
              <w:top w:w="60" w:type="dxa"/>
              <w:left w:w="90" w:type="dxa"/>
              <w:bottom w:w="60" w:type="dxa"/>
              <w:right w:w="90" w:type="dxa"/>
            </w:tcMar>
          </w:tcPr>
          <w:p w14:paraId="62F2C0FB" w14:textId="77777777" w:rsidR="004E2118" w:rsidRDefault="00000000">
            <w:r>
              <w:rPr>
                <w:b/>
                <w:bCs/>
                <w:sz w:val="17"/>
                <w:szCs w:val="17"/>
              </w:rPr>
              <w:t>Evidential status of the temporally informed claim</w:t>
            </w:r>
          </w:p>
        </w:tc>
        <w:tc>
          <w:tcPr>
            <w:tcW w:w="1476" w:type="dxa"/>
            <w:shd w:val="clear" w:color="auto" w:fill="E8ECF1"/>
            <w:tcMar>
              <w:top w:w="60" w:type="dxa"/>
              <w:left w:w="90" w:type="dxa"/>
              <w:bottom w:w="60" w:type="dxa"/>
              <w:right w:w="90" w:type="dxa"/>
            </w:tcMar>
          </w:tcPr>
          <w:p w14:paraId="15E24470" w14:textId="77777777" w:rsidR="004E2118" w:rsidRDefault="00000000">
            <w:r>
              <w:rPr>
                <w:b/>
                <w:bCs/>
                <w:sz w:val="17"/>
                <w:szCs w:val="17"/>
              </w:rPr>
              <w:t>Supporting references</w:t>
            </w:r>
          </w:p>
        </w:tc>
      </w:tr>
      <w:tr w:rsidR="004E2118" w14:paraId="45FC47EA" w14:textId="77777777">
        <w:tc>
          <w:tcPr>
            <w:tcW w:w="1500" w:type="dxa"/>
            <w:tcMar>
              <w:top w:w="60" w:type="dxa"/>
              <w:left w:w="90" w:type="dxa"/>
              <w:bottom w:w="60" w:type="dxa"/>
              <w:right w:w="90" w:type="dxa"/>
            </w:tcMar>
          </w:tcPr>
          <w:p w14:paraId="4DC73903" w14:textId="77777777" w:rsidR="004E2118" w:rsidRDefault="00000000">
            <w:r>
              <w:rPr>
                <w:sz w:val="17"/>
                <w:szCs w:val="17"/>
              </w:rPr>
              <w:t>Unit of inference</w:t>
            </w:r>
          </w:p>
        </w:tc>
        <w:tc>
          <w:tcPr>
            <w:tcW w:w="2050" w:type="dxa"/>
            <w:tcMar>
              <w:top w:w="60" w:type="dxa"/>
              <w:left w:w="90" w:type="dxa"/>
              <w:bottom w:w="60" w:type="dxa"/>
              <w:right w:w="90" w:type="dxa"/>
            </w:tcMar>
          </w:tcPr>
          <w:p w14:paraId="6EE31303" w14:textId="77777777" w:rsidR="004E2118" w:rsidRDefault="00000000">
            <w:r>
              <w:rPr>
                <w:sz w:val="17"/>
                <w:szCs w:val="17"/>
              </w:rPr>
              <w:t>Independent result per assay per specimen</w:t>
            </w:r>
          </w:p>
        </w:tc>
        <w:tc>
          <w:tcPr>
            <w:tcW w:w="2050" w:type="dxa"/>
            <w:tcMar>
              <w:top w:w="60" w:type="dxa"/>
              <w:left w:w="90" w:type="dxa"/>
              <w:bottom w:w="60" w:type="dxa"/>
              <w:right w:w="90" w:type="dxa"/>
            </w:tcMar>
          </w:tcPr>
          <w:p w14:paraId="185D3BA6" w14:textId="77777777" w:rsidR="004E2118" w:rsidRDefault="00000000">
            <w:r>
              <w:rPr>
                <w:sz w:val="17"/>
                <w:szCs w:val="17"/>
              </w:rPr>
              <w:t>Single posterior probability conditional on all results to date</w:t>
            </w:r>
          </w:p>
        </w:tc>
        <w:tc>
          <w:tcPr>
            <w:tcW w:w="1950" w:type="dxa"/>
            <w:tcMar>
              <w:top w:w="60" w:type="dxa"/>
              <w:left w:w="90" w:type="dxa"/>
              <w:bottom w:w="60" w:type="dxa"/>
              <w:right w:w="90" w:type="dxa"/>
            </w:tcMar>
          </w:tcPr>
          <w:p w14:paraId="4BC615F6" w14:textId="77777777" w:rsidR="004E2118" w:rsidRDefault="00000000">
            <w:r>
              <w:rPr>
                <w:sz w:val="17"/>
                <w:szCs w:val="17"/>
              </w:rPr>
              <w:t>Follows from the structure of the data; not yet implemented for this pathogen</w:t>
            </w:r>
          </w:p>
        </w:tc>
        <w:tc>
          <w:tcPr>
            <w:tcW w:w="1476" w:type="dxa"/>
            <w:tcMar>
              <w:top w:w="60" w:type="dxa"/>
              <w:left w:w="90" w:type="dxa"/>
              <w:bottom w:w="60" w:type="dxa"/>
              <w:right w:w="90" w:type="dxa"/>
            </w:tcMar>
          </w:tcPr>
          <w:p w14:paraId="09456339" w14:textId="77777777" w:rsidR="004E2118" w:rsidRDefault="00000000">
            <w:r w:rsidRPr="00A210D7">
              <w:rPr>
                <w:sz w:val="17"/>
                <w:szCs w:val="17"/>
                <w:lang w:val="it-IT"/>
              </w:rPr>
              <w:t xml:space="preserve">Sethuraman et al. (2020); Satter et al. </w:t>
            </w:r>
            <w:r>
              <w:rPr>
                <w:sz w:val="17"/>
                <w:szCs w:val="17"/>
              </w:rPr>
              <w:t>(2026)</w:t>
            </w:r>
          </w:p>
        </w:tc>
      </w:tr>
      <w:tr w:rsidR="004E2118" w14:paraId="37AB2065" w14:textId="77777777">
        <w:tc>
          <w:tcPr>
            <w:tcW w:w="1500" w:type="dxa"/>
            <w:tcMar>
              <w:top w:w="60" w:type="dxa"/>
              <w:left w:w="90" w:type="dxa"/>
              <w:bottom w:w="60" w:type="dxa"/>
              <w:right w:w="90" w:type="dxa"/>
            </w:tcMar>
          </w:tcPr>
          <w:p w14:paraId="7A5FBD69" w14:textId="77777777" w:rsidR="004E2118" w:rsidRDefault="00000000">
            <w:r>
              <w:rPr>
                <w:sz w:val="17"/>
                <w:szCs w:val="17"/>
              </w:rPr>
              <w:t>Treatment of day of illness</w:t>
            </w:r>
          </w:p>
        </w:tc>
        <w:tc>
          <w:tcPr>
            <w:tcW w:w="2050" w:type="dxa"/>
            <w:tcMar>
              <w:top w:w="60" w:type="dxa"/>
              <w:left w:w="90" w:type="dxa"/>
              <w:bottom w:w="60" w:type="dxa"/>
              <w:right w:w="90" w:type="dxa"/>
            </w:tcMar>
          </w:tcPr>
          <w:p w14:paraId="45F26A71" w14:textId="77777777" w:rsidR="004E2118" w:rsidRDefault="00000000">
            <w:r>
              <w:rPr>
                <w:sz w:val="17"/>
                <w:szCs w:val="17"/>
              </w:rPr>
              <w:t>Recorded but not used in inference</w:t>
            </w:r>
          </w:p>
        </w:tc>
        <w:tc>
          <w:tcPr>
            <w:tcW w:w="2050" w:type="dxa"/>
            <w:tcMar>
              <w:top w:w="60" w:type="dxa"/>
              <w:left w:w="90" w:type="dxa"/>
              <w:bottom w:w="60" w:type="dxa"/>
              <w:right w:w="90" w:type="dxa"/>
            </w:tcMar>
          </w:tcPr>
          <w:p w14:paraId="7FEA5048" w14:textId="77777777" w:rsidR="004E2118" w:rsidRDefault="00000000">
            <w:r>
              <w:rPr>
                <w:sz w:val="17"/>
                <w:szCs w:val="17"/>
              </w:rPr>
              <w:t>Explicit conditioning variable</w:t>
            </w:r>
          </w:p>
        </w:tc>
        <w:tc>
          <w:tcPr>
            <w:tcW w:w="1950" w:type="dxa"/>
            <w:tcMar>
              <w:top w:w="60" w:type="dxa"/>
              <w:left w:w="90" w:type="dxa"/>
              <w:bottom w:w="60" w:type="dxa"/>
              <w:right w:w="90" w:type="dxa"/>
            </w:tcMar>
          </w:tcPr>
          <w:p w14:paraId="5B16D530" w14:textId="77777777" w:rsidR="004E2118" w:rsidRDefault="00000000">
            <w:r>
              <w:rPr>
                <w:sz w:val="17"/>
                <w:szCs w:val="17"/>
              </w:rPr>
              <w:t>Established that detectability varies with illness day; magnitude of variation unquantified</w:t>
            </w:r>
          </w:p>
        </w:tc>
        <w:tc>
          <w:tcPr>
            <w:tcW w:w="1476" w:type="dxa"/>
            <w:tcMar>
              <w:top w:w="60" w:type="dxa"/>
              <w:left w:w="90" w:type="dxa"/>
              <w:bottom w:w="60" w:type="dxa"/>
              <w:right w:w="90" w:type="dxa"/>
            </w:tcMar>
          </w:tcPr>
          <w:p w14:paraId="15FD762C" w14:textId="77777777" w:rsidR="004E2118" w:rsidRDefault="00000000">
            <w:r w:rsidRPr="004565A3">
              <w:rPr>
                <w:sz w:val="17"/>
                <w:szCs w:val="17"/>
                <w:lang w:val="nl-BE"/>
              </w:rPr>
              <w:t xml:space="preserve">As et al. (2024); Satter et al. </w:t>
            </w:r>
            <w:r>
              <w:rPr>
                <w:sz w:val="17"/>
                <w:szCs w:val="17"/>
              </w:rPr>
              <w:t>(2026)</w:t>
            </w:r>
          </w:p>
        </w:tc>
      </w:tr>
      <w:tr w:rsidR="004E2118" w14:paraId="12B92215" w14:textId="77777777">
        <w:tc>
          <w:tcPr>
            <w:tcW w:w="1500" w:type="dxa"/>
            <w:tcMar>
              <w:top w:w="60" w:type="dxa"/>
              <w:left w:w="90" w:type="dxa"/>
              <w:bottom w:w="60" w:type="dxa"/>
              <w:right w:w="90" w:type="dxa"/>
            </w:tcMar>
          </w:tcPr>
          <w:p w14:paraId="3B069530" w14:textId="77777777" w:rsidR="004E2118" w:rsidRDefault="00000000">
            <w:r>
              <w:rPr>
                <w:sz w:val="17"/>
                <w:szCs w:val="17"/>
              </w:rPr>
              <w:t>Treatment of quantitative signal</w:t>
            </w:r>
          </w:p>
        </w:tc>
        <w:tc>
          <w:tcPr>
            <w:tcW w:w="2050" w:type="dxa"/>
            <w:tcMar>
              <w:top w:w="60" w:type="dxa"/>
              <w:left w:w="90" w:type="dxa"/>
              <w:bottom w:w="60" w:type="dxa"/>
              <w:right w:w="90" w:type="dxa"/>
            </w:tcMar>
          </w:tcPr>
          <w:p w14:paraId="06962BC1" w14:textId="77777777" w:rsidR="004E2118" w:rsidRDefault="00000000">
            <w:r>
              <w:rPr>
                <w:sz w:val="17"/>
                <w:szCs w:val="17"/>
              </w:rPr>
              <w:t>Reduced to positive or negative at a fixed cut-off</w:t>
            </w:r>
          </w:p>
        </w:tc>
        <w:tc>
          <w:tcPr>
            <w:tcW w:w="2050" w:type="dxa"/>
            <w:tcMar>
              <w:top w:w="60" w:type="dxa"/>
              <w:left w:w="90" w:type="dxa"/>
              <w:bottom w:w="60" w:type="dxa"/>
              <w:right w:w="90" w:type="dxa"/>
            </w:tcMar>
          </w:tcPr>
          <w:p w14:paraId="4A19525F" w14:textId="77777777" w:rsidR="004E2118" w:rsidRDefault="00000000">
            <w:r>
              <w:rPr>
                <w:sz w:val="17"/>
                <w:szCs w:val="17"/>
              </w:rPr>
              <w:t>Retained as a continuous predictor</w:t>
            </w:r>
          </w:p>
        </w:tc>
        <w:tc>
          <w:tcPr>
            <w:tcW w:w="1950" w:type="dxa"/>
            <w:tcMar>
              <w:top w:w="60" w:type="dxa"/>
              <w:left w:w="90" w:type="dxa"/>
              <w:bottom w:w="60" w:type="dxa"/>
              <w:right w:w="90" w:type="dxa"/>
            </w:tcMar>
          </w:tcPr>
          <w:p w14:paraId="4879D663" w14:textId="77777777" w:rsidR="004E2118" w:rsidRDefault="00000000">
            <w:r>
              <w:rPr>
                <w:sz w:val="17"/>
                <w:szCs w:val="17"/>
              </w:rPr>
              <w:t>Established that viral load varies across cases and that viraemia status is prognostically associated</w:t>
            </w:r>
          </w:p>
        </w:tc>
        <w:tc>
          <w:tcPr>
            <w:tcW w:w="1476" w:type="dxa"/>
            <w:tcMar>
              <w:top w:w="60" w:type="dxa"/>
              <w:left w:w="90" w:type="dxa"/>
              <w:bottom w:w="60" w:type="dxa"/>
              <w:right w:w="90" w:type="dxa"/>
            </w:tcMar>
          </w:tcPr>
          <w:p w14:paraId="05225F92" w14:textId="77777777" w:rsidR="004E2118" w:rsidRDefault="00000000">
            <w:r w:rsidRPr="004565A3">
              <w:rPr>
                <w:sz w:val="17"/>
                <w:szCs w:val="17"/>
                <w:lang w:val="nl-BE"/>
              </w:rPr>
              <w:t xml:space="preserve">As et al. (2024); Sahay et al. </w:t>
            </w:r>
            <w:r>
              <w:rPr>
                <w:sz w:val="17"/>
                <w:szCs w:val="17"/>
              </w:rPr>
              <w:t>(2024); Satter et al. (2026)</w:t>
            </w:r>
          </w:p>
        </w:tc>
      </w:tr>
      <w:tr w:rsidR="004E2118" w14:paraId="150369EB" w14:textId="77777777">
        <w:tc>
          <w:tcPr>
            <w:tcW w:w="1500" w:type="dxa"/>
            <w:tcMar>
              <w:top w:w="60" w:type="dxa"/>
              <w:left w:w="90" w:type="dxa"/>
              <w:bottom w:w="60" w:type="dxa"/>
              <w:right w:w="90" w:type="dxa"/>
            </w:tcMar>
          </w:tcPr>
          <w:p w14:paraId="635D4263" w14:textId="77777777" w:rsidR="004E2118" w:rsidRDefault="00000000">
            <w:r>
              <w:rPr>
                <w:sz w:val="17"/>
                <w:szCs w:val="17"/>
              </w:rPr>
              <w:t>Treatment of specimen matrix</w:t>
            </w:r>
          </w:p>
        </w:tc>
        <w:tc>
          <w:tcPr>
            <w:tcW w:w="2050" w:type="dxa"/>
            <w:tcMar>
              <w:top w:w="60" w:type="dxa"/>
              <w:left w:w="90" w:type="dxa"/>
              <w:bottom w:w="60" w:type="dxa"/>
              <w:right w:w="90" w:type="dxa"/>
            </w:tcMar>
          </w:tcPr>
          <w:p w14:paraId="0BC8CA1A" w14:textId="77777777" w:rsidR="004E2118" w:rsidRDefault="00000000">
            <w:r>
              <w:rPr>
                <w:sz w:val="17"/>
                <w:szCs w:val="17"/>
              </w:rPr>
              <w:t>Results reported separately without integration</w:t>
            </w:r>
          </w:p>
        </w:tc>
        <w:tc>
          <w:tcPr>
            <w:tcW w:w="2050" w:type="dxa"/>
            <w:tcMar>
              <w:top w:w="60" w:type="dxa"/>
              <w:left w:w="90" w:type="dxa"/>
              <w:bottom w:w="60" w:type="dxa"/>
              <w:right w:w="90" w:type="dxa"/>
            </w:tcMar>
          </w:tcPr>
          <w:p w14:paraId="30FDFDC5" w14:textId="77777777" w:rsidR="004E2118" w:rsidRDefault="00000000">
            <w:r>
              <w:rPr>
                <w:sz w:val="17"/>
                <w:szCs w:val="17"/>
              </w:rPr>
              <w:t>Matrix as a covariate modifying the interpretation of each result</w:t>
            </w:r>
          </w:p>
        </w:tc>
        <w:tc>
          <w:tcPr>
            <w:tcW w:w="1950" w:type="dxa"/>
            <w:tcMar>
              <w:top w:w="60" w:type="dxa"/>
              <w:left w:w="90" w:type="dxa"/>
              <w:bottom w:w="60" w:type="dxa"/>
              <w:right w:w="90" w:type="dxa"/>
            </w:tcMar>
          </w:tcPr>
          <w:p w14:paraId="1AFD3C7F" w14:textId="77777777" w:rsidR="004E2118" w:rsidRDefault="00000000">
            <w:r>
              <w:rPr>
                <w:sz w:val="17"/>
                <w:szCs w:val="17"/>
              </w:rPr>
              <w:t>Plausible; differential matrix sampling documented but matrix-specific kinetics not characterised</w:t>
            </w:r>
          </w:p>
        </w:tc>
        <w:tc>
          <w:tcPr>
            <w:tcW w:w="1476" w:type="dxa"/>
            <w:tcMar>
              <w:top w:w="60" w:type="dxa"/>
              <w:left w:w="90" w:type="dxa"/>
              <w:bottom w:w="60" w:type="dxa"/>
              <w:right w:w="90" w:type="dxa"/>
            </w:tcMar>
          </w:tcPr>
          <w:p w14:paraId="00068405" w14:textId="77777777" w:rsidR="004E2118" w:rsidRDefault="00000000">
            <w:r w:rsidRPr="00A210D7">
              <w:rPr>
                <w:sz w:val="17"/>
                <w:szCs w:val="17"/>
                <w:lang w:val="it-IT"/>
              </w:rPr>
              <w:t xml:space="preserve">Arunkumar, Chandni, et al. (2019); Garbuglia et al. </w:t>
            </w:r>
            <w:r>
              <w:rPr>
                <w:sz w:val="17"/>
                <w:szCs w:val="17"/>
              </w:rPr>
              <w:t>(2023)</w:t>
            </w:r>
          </w:p>
        </w:tc>
      </w:tr>
      <w:tr w:rsidR="004E2118" w14:paraId="161092ED" w14:textId="77777777">
        <w:tc>
          <w:tcPr>
            <w:tcW w:w="1500" w:type="dxa"/>
            <w:tcMar>
              <w:top w:w="60" w:type="dxa"/>
              <w:left w:w="90" w:type="dxa"/>
              <w:bottom w:w="60" w:type="dxa"/>
              <w:right w:w="90" w:type="dxa"/>
            </w:tcMar>
          </w:tcPr>
          <w:p w14:paraId="3F031565" w14:textId="77777777" w:rsidR="004E2118" w:rsidRDefault="00000000">
            <w:r>
              <w:rPr>
                <w:sz w:val="17"/>
                <w:szCs w:val="17"/>
              </w:rPr>
              <w:t>Treatment of the joint marker pattern</w:t>
            </w:r>
          </w:p>
        </w:tc>
        <w:tc>
          <w:tcPr>
            <w:tcW w:w="2050" w:type="dxa"/>
            <w:tcMar>
              <w:top w:w="60" w:type="dxa"/>
              <w:left w:w="90" w:type="dxa"/>
              <w:bottom w:w="60" w:type="dxa"/>
              <w:right w:w="90" w:type="dxa"/>
            </w:tcMar>
          </w:tcPr>
          <w:p w14:paraId="74588D96" w14:textId="77777777" w:rsidR="004E2118" w:rsidRDefault="00000000">
            <w:r>
              <w:rPr>
                <w:sz w:val="17"/>
                <w:szCs w:val="17"/>
              </w:rPr>
              <w:t>Not represented</w:t>
            </w:r>
          </w:p>
        </w:tc>
        <w:tc>
          <w:tcPr>
            <w:tcW w:w="2050" w:type="dxa"/>
            <w:tcMar>
              <w:top w:w="60" w:type="dxa"/>
              <w:left w:w="90" w:type="dxa"/>
              <w:bottom w:w="60" w:type="dxa"/>
              <w:right w:w="90" w:type="dxa"/>
            </w:tcMar>
          </w:tcPr>
          <w:p w14:paraId="043CAF94" w14:textId="77777777" w:rsidR="004E2118" w:rsidRDefault="00000000">
            <w:r>
              <w:rPr>
                <w:sz w:val="17"/>
                <w:szCs w:val="17"/>
              </w:rPr>
              <w:t>Joint pattern as a derived state with diagnostic and prognostic meaning</w:t>
            </w:r>
          </w:p>
        </w:tc>
        <w:tc>
          <w:tcPr>
            <w:tcW w:w="1950" w:type="dxa"/>
            <w:tcMar>
              <w:top w:w="60" w:type="dxa"/>
              <w:left w:w="90" w:type="dxa"/>
              <w:bottom w:w="60" w:type="dxa"/>
              <w:right w:w="90" w:type="dxa"/>
            </w:tcMar>
          </w:tcPr>
          <w:p w14:paraId="27286C73" w14:textId="77777777" w:rsidR="004E2118" w:rsidRDefault="00000000">
            <w:r>
              <w:rPr>
                <w:sz w:val="17"/>
                <w:szCs w:val="17"/>
              </w:rPr>
              <w:t>Supported by one complete series of 22 cases; not adjusted for time since onset</w:t>
            </w:r>
          </w:p>
        </w:tc>
        <w:tc>
          <w:tcPr>
            <w:tcW w:w="1476" w:type="dxa"/>
            <w:tcMar>
              <w:top w:w="60" w:type="dxa"/>
              <w:left w:w="90" w:type="dxa"/>
              <w:bottom w:w="60" w:type="dxa"/>
              <w:right w:w="90" w:type="dxa"/>
            </w:tcMar>
          </w:tcPr>
          <w:p w14:paraId="54D54DA5"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3660D471" w14:textId="77777777">
        <w:tc>
          <w:tcPr>
            <w:tcW w:w="1500" w:type="dxa"/>
            <w:tcMar>
              <w:top w:w="60" w:type="dxa"/>
              <w:left w:w="90" w:type="dxa"/>
              <w:bottom w:w="60" w:type="dxa"/>
              <w:right w:w="90" w:type="dxa"/>
            </w:tcMar>
          </w:tcPr>
          <w:p w14:paraId="14E15BBA" w14:textId="77777777" w:rsidR="004E2118" w:rsidRDefault="00000000">
            <w:r>
              <w:rPr>
                <w:sz w:val="17"/>
                <w:szCs w:val="17"/>
              </w:rPr>
              <w:t>Handling of a negative result</w:t>
            </w:r>
          </w:p>
        </w:tc>
        <w:tc>
          <w:tcPr>
            <w:tcW w:w="2050" w:type="dxa"/>
            <w:tcMar>
              <w:top w:w="60" w:type="dxa"/>
              <w:left w:w="90" w:type="dxa"/>
              <w:bottom w:w="60" w:type="dxa"/>
              <w:right w:w="90" w:type="dxa"/>
            </w:tcMar>
          </w:tcPr>
          <w:p w14:paraId="2488A8F1" w14:textId="77777777" w:rsidR="004E2118" w:rsidRDefault="00000000">
            <w:r>
              <w:rPr>
                <w:sz w:val="17"/>
                <w:szCs w:val="17"/>
              </w:rPr>
              <w:t>Uniform interpretation irrespective of timing</w:t>
            </w:r>
          </w:p>
        </w:tc>
        <w:tc>
          <w:tcPr>
            <w:tcW w:w="2050" w:type="dxa"/>
            <w:tcMar>
              <w:top w:w="60" w:type="dxa"/>
              <w:left w:w="90" w:type="dxa"/>
              <w:bottom w:w="60" w:type="dxa"/>
              <w:right w:w="90" w:type="dxa"/>
            </w:tcMar>
          </w:tcPr>
          <w:p w14:paraId="29C5EC23" w14:textId="77777777" w:rsidR="004E2118" w:rsidRDefault="00000000">
            <w:r>
              <w:rPr>
                <w:sz w:val="17"/>
                <w:szCs w:val="17"/>
              </w:rPr>
              <w:t xml:space="preserve">Interpretation weighted by the probability that the </w:t>
            </w:r>
            <w:r>
              <w:rPr>
                <w:sz w:val="17"/>
                <w:szCs w:val="17"/>
              </w:rPr>
              <w:lastRenderedPageBreak/>
              <w:t>specimen was taken within the detectable window</w:t>
            </w:r>
          </w:p>
        </w:tc>
        <w:tc>
          <w:tcPr>
            <w:tcW w:w="1950" w:type="dxa"/>
            <w:tcMar>
              <w:top w:w="60" w:type="dxa"/>
              <w:left w:w="90" w:type="dxa"/>
              <w:bottom w:w="60" w:type="dxa"/>
              <w:right w:w="90" w:type="dxa"/>
            </w:tcMar>
          </w:tcPr>
          <w:p w14:paraId="2900B23D" w14:textId="77777777" w:rsidR="004E2118" w:rsidRDefault="00000000">
            <w:r>
              <w:rPr>
                <w:sz w:val="17"/>
                <w:szCs w:val="17"/>
              </w:rPr>
              <w:lastRenderedPageBreak/>
              <w:t xml:space="preserve">Established in principle for another virus; </w:t>
            </w:r>
            <w:r>
              <w:rPr>
                <w:sz w:val="17"/>
                <w:szCs w:val="17"/>
              </w:rPr>
              <w:lastRenderedPageBreak/>
              <w:t>unquantified for Nipah virus</w:t>
            </w:r>
          </w:p>
        </w:tc>
        <w:tc>
          <w:tcPr>
            <w:tcW w:w="1476" w:type="dxa"/>
            <w:tcMar>
              <w:top w:w="60" w:type="dxa"/>
              <w:left w:w="90" w:type="dxa"/>
              <w:bottom w:w="60" w:type="dxa"/>
              <w:right w:w="90" w:type="dxa"/>
            </w:tcMar>
          </w:tcPr>
          <w:p w14:paraId="1AC2987E" w14:textId="77777777" w:rsidR="004E2118" w:rsidRDefault="00000000">
            <w:r>
              <w:rPr>
                <w:sz w:val="17"/>
                <w:szCs w:val="17"/>
              </w:rPr>
              <w:lastRenderedPageBreak/>
              <w:t>Kucirka et al. (2020)</w:t>
            </w:r>
          </w:p>
        </w:tc>
      </w:tr>
      <w:tr w:rsidR="004E2118" w14:paraId="6C160231" w14:textId="77777777">
        <w:tc>
          <w:tcPr>
            <w:tcW w:w="1500" w:type="dxa"/>
            <w:tcMar>
              <w:top w:w="60" w:type="dxa"/>
              <w:left w:w="90" w:type="dxa"/>
              <w:bottom w:w="60" w:type="dxa"/>
              <w:right w:w="90" w:type="dxa"/>
            </w:tcMar>
          </w:tcPr>
          <w:p w14:paraId="3BC2D582" w14:textId="77777777" w:rsidR="004E2118" w:rsidRDefault="00000000">
            <w:r>
              <w:rPr>
                <w:sz w:val="17"/>
                <w:szCs w:val="17"/>
              </w:rPr>
              <w:t>Guidance on repeat testing</w:t>
            </w:r>
          </w:p>
        </w:tc>
        <w:tc>
          <w:tcPr>
            <w:tcW w:w="2050" w:type="dxa"/>
            <w:tcMar>
              <w:top w:w="60" w:type="dxa"/>
              <w:left w:w="90" w:type="dxa"/>
              <w:bottom w:w="60" w:type="dxa"/>
              <w:right w:w="90" w:type="dxa"/>
            </w:tcMar>
          </w:tcPr>
          <w:p w14:paraId="3C85A9A1" w14:textId="77777777" w:rsidR="004E2118" w:rsidRDefault="00000000">
            <w:r>
              <w:rPr>
                <w:sz w:val="17"/>
                <w:szCs w:val="17"/>
              </w:rPr>
              <w:t>Protocol-driven fixed intervals</w:t>
            </w:r>
          </w:p>
        </w:tc>
        <w:tc>
          <w:tcPr>
            <w:tcW w:w="2050" w:type="dxa"/>
            <w:tcMar>
              <w:top w:w="60" w:type="dxa"/>
              <w:left w:w="90" w:type="dxa"/>
              <w:bottom w:w="60" w:type="dxa"/>
              <w:right w:w="90" w:type="dxa"/>
            </w:tcMar>
          </w:tcPr>
          <w:p w14:paraId="6EC95150" w14:textId="77777777" w:rsidR="004E2118" w:rsidRDefault="00000000">
            <w:r>
              <w:rPr>
                <w:sz w:val="17"/>
                <w:szCs w:val="17"/>
              </w:rPr>
              <w:t>Model-derived expected information gain from a specimen at a stated interval and matrix</w:t>
            </w:r>
          </w:p>
        </w:tc>
        <w:tc>
          <w:tcPr>
            <w:tcW w:w="1950" w:type="dxa"/>
            <w:tcMar>
              <w:top w:w="60" w:type="dxa"/>
              <w:left w:w="90" w:type="dxa"/>
              <w:bottom w:w="60" w:type="dxa"/>
              <w:right w:w="90" w:type="dxa"/>
            </w:tcMar>
          </w:tcPr>
          <w:p w14:paraId="3C41635F" w14:textId="77777777" w:rsidR="004E2118" w:rsidRDefault="00000000">
            <w:r>
              <w:rPr>
                <w:sz w:val="17"/>
                <w:szCs w:val="17"/>
              </w:rPr>
              <w:t>Hypothesised; no supporting evidence for this pathogen</w:t>
            </w:r>
          </w:p>
        </w:tc>
        <w:tc>
          <w:tcPr>
            <w:tcW w:w="1476" w:type="dxa"/>
            <w:tcMar>
              <w:top w:w="60" w:type="dxa"/>
              <w:left w:w="90" w:type="dxa"/>
              <w:bottom w:w="60" w:type="dxa"/>
              <w:right w:w="90" w:type="dxa"/>
            </w:tcMar>
          </w:tcPr>
          <w:p w14:paraId="338E1059" w14:textId="77777777" w:rsidR="004E2118" w:rsidRDefault="00000000">
            <w:r w:rsidRPr="004565A3">
              <w:rPr>
                <w:sz w:val="17"/>
                <w:szCs w:val="17"/>
                <w:lang w:val="nl-BE"/>
              </w:rPr>
              <w:t xml:space="preserve">Lim et al. (2021); Kapral et al. </w:t>
            </w:r>
            <w:r>
              <w:rPr>
                <w:sz w:val="17"/>
                <w:szCs w:val="17"/>
              </w:rPr>
              <w:t>(2024)</w:t>
            </w:r>
          </w:p>
        </w:tc>
      </w:tr>
      <w:tr w:rsidR="004E2118" w14:paraId="42C9E815" w14:textId="77777777">
        <w:tc>
          <w:tcPr>
            <w:tcW w:w="1500" w:type="dxa"/>
            <w:tcMar>
              <w:top w:w="60" w:type="dxa"/>
              <w:left w:w="90" w:type="dxa"/>
              <w:bottom w:w="60" w:type="dxa"/>
              <w:right w:w="90" w:type="dxa"/>
            </w:tcMar>
          </w:tcPr>
          <w:p w14:paraId="235F062B" w14:textId="77777777" w:rsidR="004E2118" w:rsidRDefault="00000000">
            <w:r>
              <w:rPr>
                <w:sz w:val="17"/>
                <w:szCs w:val="17"/>
              </w:rPr>
              <w:t>Output form</w:t>
            </w:r>
          </w:p>
        </w:tc>
        <w:tc>
          <w:tcPr>
            <w:tcW w:w="2050" w:type="dxa"/>
            <w:tcMar>
              <w:top w:w="60" w:type="dxa"/>
              <w:left w:w="90" w:type="dxa"/>
              <w:bottom w:w="60" w:type="dxa"/>
              <w:right w:w="90" w:type="dxa"/>
            </w:tcMar>
          </w:tcPr>
          <w:p w14:paraId="0F7C568C" w14:textId="77777777" w:rsidR="004E2118" w:rsidRDefault="00000000">
            <w:r>
              <w:rPr>
                <w:sz w:val="17"/>
                <w:szCs w:val="17"/>
              </w:rPr>
              <w:t>Categorical determination</w:t>
            </w:r>
          </w:p>
        </w:tc>
        <w:tc>
          <w:tcPr>
            <w:tcW w:w="2050" w:type="dxa"/>
            <w:tcMar>
              <w:top w:w="60" w:type="dxa"/>
              <w:left w:w="90" w:type="dxa"/>
              <w:bottom w:w="60" w:type="dxa"/>
              <w:right w:w="90" w:type="dxa"/>
            </w:tcMar>
          </w:tcPr>
          <w:p w14:paraId="3010F1CE" w14:textId="77777777" w:rsidR="004E2118" w:rsidRDefault="00000000">
            <w:r>
              <w:rPr>
                <w:sz w:val="17"/>
                <w:szCs w:val="17"/>
              </w:rPr>
              <w:t>Calibrated probability with an uncertainty interval</w:t>
            </w:r>
          </w:p>
        </w:tc>
        <w:tc>
          <w:tcPr>
            <w:tcW w:w="1950" w:type="dxa"/>
            <w:tcMar>
              <w:top w:w="60" w:type="dxa"/>
              <w:left w:w="90" w:type="dxa"/>
              <w:bottom w:w="60" w:type="dxa"/>
              <w:right w:w="90" w:type="dxa"/>
            </w:tcMar>
          </w:tcPr>
          <w:p w14:paraId="1519477A" w14:textId="77777777" w:rsidR="004E2118" w:rsidRDefault="00000000">
            <w:r>
              <w:rPr>
                <w:sz w:val="17"/>
                <w:szCs w:val="17"/>
              </w:rPr>
              <w:t>Requires calibration assessment; miscalibration can reduce net benefit</w:t>
            </w:r>
          </w:p>
        </w:tc>
        <w:tc>
          <w:tcPr>
            <w:tcW w:w="1476" w:type="dxa"/>
            <w:tcMar>
              <w:top w:w="60" w:type="dxa"/>
              <w:left w:w="90" w:type="dxa"/>
              <w:bottom w:w="60" w:type="dxa"/>
              <w:right w:w="90" w:type="dxa"/>
            </w:tcMar>
          </w:tcPr>
          <w:p w14:paraId="05D7CC6B" w14:textId="77777777" w:rsidR="004E2118" w:rsidRDefault="00000000">
            <w:r w:rsidRPr="004565A3">
              <w:rPr>
                <w:sz w:val="17"/>
                <w:szCs w:val="17"/>
                <w:lang w:val="nl-BE"/>
              </w:rPr>
              <w:t xml:space="preserve">Van Calster and Vickers (2015); Kompa et al. </w:t>
            </w:r>
            <w:r>
              <w:rPr>
                <w:sz w:val="17"/>
                <w:szCs w:val="17"/>
              </w:rPr>
              <w:t>(2021)</w:t>
            </w:r>
          </w:p>
        </w:tc>
      </w:tr>
      <w:tr w:rsidR="004E2118" w14:paraId="7A94195F" w14:textId="77777777">
        <w:tc>
          <w:tcPr>
            <w:tcW w:w="1500" w:type="dxa"/>
            <w:tcMar>
              <w:top w:w="60" w:type="dxa"/>
              <w:left w:w="90" w:type="dxa"/>
              <w:bottom w:w="60" w:type="dxa"/>
              <w:right w:w="90" w:type="dxa"/>
            </w:tcMar>
          </w:tcPr>
          <w:p w14:paraId="56D944D8" w14:textId="77777777" w:rsidR="004E2118" w:rsidRDefault="00000000">
            <w:r>
              <w:rPr>
                <w:sz w:val="17"/>
                <w:szCs w:val="17"/>
              </w:rPr>
              <w:t>Effect on patient-relevant outcomes</w:t>
            </w:r>
          </w:p>
        </w:tc>
        <w:tc>
          <w:tcPr>
            <w:tcW w:w="2050" w:type="dxa"/>
            <w:tcMar>
              <w:top w:w="60" w:type="dxa"/>
              <w:left w:w="90" w:type="dxa"/>
              <w:bottom w:w="60" w:type="dxa"/>
              <w:right w:w="90" w:type="dxa"/>
            </w:tcMar>
          </w:tcPr>
          <w:p w14:paraId="6832FCCA" w14:textId="77777777" w:rsidR="004E2118" w:rsidRDefault="00000000">
            <w:r>
              <w:rPr>
                <w:sz w:val="17"/>
                <w:szCs w:val="17"/>
              </w:rPr>
              <w:t>Current standard of care</w:t>
            </w:r>
          </w:p>
        </w:tc>
        <w:tc>
          <w:tcPr>
            <w:tcW w:w="2050" w:type="dxa"/>
            <w:tcMar>
              <w:top w:w="60" w:type="dxa"/>
              <w:left w:w="90" w:type="dxa"/>
              <w:bottom w:w="60" w:type="dxa"/>
              <w:right w:w="90" w:type="dxa"/>
            </w:tcMar>
          </w:tcPr>
          <w:p w14:paraId="0718C7EC" w14:textId="77777777" w:rsidR="004E2118" w:rsidRDefault="00000000">
            <w:r>
              <w:rPr>
                <w:sz w:val="17"/>
                <w:szCs w:val="17"/>
              </w:rPr>
              <w:t>Unknown</w:t>
            </w:r>
          </w:p>
        </w:tc>
        <w:tc>
          <w:tcPr>
            <w:tcW w:w="1950" w:type="dxa"/>
            <w:tcMar>
              <w:top w:w="60" w:type="dxa"/>
              <w:left w:w="90" w:type="dxa"/>
              <w:bottom w:w="60" w:type="dxa"/>
              <w:right w:w="90" w:type="dxa"/>
            </w:tcMar>
          </w:tcPr>
          <w:p w14:paraId="5CBA69D8" w14:textId="77777777" w:rsidR="004E2118" w:rsidRDefault="00000000">
            <w:r>
              <w:rPr>
                <w:sz w:val="17"/>
                <w:szCs w:val="17"/>
              </w:rPr>
              <w:t>Hypothesised; no comparative study exists</w:t>
            </w:r>
          </w:p>
        </w:tc>
        <w:tc>
          <w:tcPr>
            <w:tcW w:w="1476" w:type="dxa"/>
            <w:tcMar>
              <w:top w:w="60" w:type="dxa"/>
              <w:left w:w="90" w:type="dxa"/>
              <w:bottom w:w="60" w:type="dxa"/>
              <w:right w:w="90" w:type="dxa"/>
            </w:tcMar>
          </w:tcPr>
          <w:p w14:paraId="767B7DC0" w14:textId="77777777" w:rsidR="004E2118" w:rsidRDefault="00000000">
            <w:r>
              <w:rPr>
                <w:sz w:val="17"/>
                <w:szCs w:val="17"/>
              </w:rPr>
              <w:t>Vasey et al. (2022)</w:t>
            </w:r>
          </w:p>
        </w:tc>
      </w:tr>
    </w:tbl>
    <w:p w14:paraId="1E9E3DA3" w14:textId="77777777" w:rsidR="004E2118" w:rsidRDefault="00000000">
      <w:pPr>
        <w:spacing w:before="110" w:after="240"/>
      </w:pPr>
      <w:r>
        <w:rPr>
          <w:sz w:val="19"/>
          <w:szCs w:val="19"/>
        </w:rPr>
        <w:t>Note. IgG = immunoglobulin G. Evidential status reflects the appraisal developed in sections 3 and 4. Entries marked hypothesised identify claims that the present review does not support.</w:t>
      </w:r>
    </w:p>
    <w:p w14:paraId="37AF4DE3" w14:textId="77777777" w:rsidR="004E2118" w:rsidRDefault="00000000">
      <w:pPr>
        <w:pStyle w:val="Heading1"/>
        <w:spacing w:before="340" w:after="160"/>
      </w:pPr>
      <w:r>
        <w:t>6. Temporal and Multimodal Fusion Architectures and Their Applicability</w:t>
      </w:r>
    </w:p>
    <w:p w14:paraId="5B4BD5BB" w14:textId="77777777" w:rsidR="004E2118" w:rsidRDefault="00000000">
      <w:pPr>
        <w:pStyle w:val="Heading2"/>
        <w:spacing w:before="260" w:after="130"/>
      </w:pPr>
      <w:r>
        <w:t>6.1 Representing Sparse, Irregular Diagnostic Trajectories</w:t>
      </w:r>
    </w:p>
    <w:p w14:paraId="07533FBA" w14:textId="77777777" w:rsidR="004E2118" w:rsidRDefault="00000000">
      <w:pPr>
        <w:spacing w:after="160" w:line="360" w:lineRule="auto"/>
        <w:jc w:val="both"/>
      </w:pPr>
      <w:r>
        <w:t>The data structure generated by NiV outbreak investigation is a short, irregularly spaced multivariate sequence with extensive and non-random missingness. A patient may contribute one oropharyngeal swab and one serum sample on the day of admission, a second swab three days later, and nothing further. Missingness carries information: a patient with a single specimen is more likely to have died early or to have presented at a facility without transport arrangements to a containment laboratory, and a patient with several specimens is more likely to have survived and to have been managed at a referral centre.</w:t>
      </w:r>
    </w:p>
    <w:p w14:paraId="1FC07F6A" w14:textId="77777777" w:rsidR="004E2118" w:rsidRDefault="00000000">
      <w:pPr>
        <w:spacing w:after="160" w:line="360" w:lineRule="auto"/>
        <w:jc w:val="both"/>
      </w:pPr>
      <w:r>
        <w:t>Methods designed for this structure exist. Recurrent architectures that incorporate the time elapsed since the last observation and treat the missingness pattern as an input rather than a nuisance have been shown to outperform imputation-then-model approaches on clinical time series, precisely because informative missingness is exploited rather than erased (Che et al., 2018). Reviews of deep imputation for health time series document the trade-offs among alternative strategies and the conditions under which each is defensible (Kazijevs &amp; Samad, 2023). For a dataset of tens of patients, however, the capacity of such architectures exceeds the information available, and the practical implication runs the other way: the representational insight is worth adopting, in the form of explicit indicators for observation timing and availability, while the architecture itself is not.</w:t>
      </w:r>
    </w:p>
    <w:p w14:paraId="36E4CBDE" w14:textId="77777777" w:rsidR="004E2118" w:rsidRDefault="00000000">
      <w:pPr>
        <w:spacing w:after="160" w:line="360" w:lineRule="auto"/>
        <w:jc w:val="both"/>
      </w:pPr>
      <w:r>
        <w:t xml:space="preserve">The unit of analysis requires care. Modelling the patient-day introduces strong within-patient correlation across very few patients. Modelling the specimen loses the longitudinal structure that motivates the exercise. A defensible intermediate is a patient-level state that is updated as </w:t>
      </w:r>
      <w:r>
        <w:lastRenderedPageBreak/>
        <w:t>each result arrives, which corresponds to a dynamic or landmark formulation rather than to a single cross-sectional model, and which permits the same patient to receive different probabilities at different points without treating those probabilities as independent observations.</w:t>
      </w:r>
    </w:p>
    <w:p w14:paraId="026DCCA2" w14:textId="77777777" w:rsidR="004E2118" w:rsidRDefault="00000000">
      <w:pPr>
        <w:pStyle w:val="Heading2"/>
        <w:spacing w:before="260" w:after="130"/>
      </w:pPr>
      <w:r>
        <w:t>6.2 Attention-Based Multi-Horizon Models</w:t>
      </w:r>
    </w:p>
    <w:p w14:paraId="4950132E" w14:textId="77777777" w:rsidR="004E2118" w:rsidRDefault="00000000">
      <w:pPr>
        <w:spacing w:after="160" w:line="360" w:lineRule="auto"/>
        <w:jc w:val="both"/>
      </w:pPr>
      <w:r>
        <w:t>Attention-based sequence architectures have been developed specifically to make multivariate temporal prediction inspectable. The temporal fusion transformer combines variable-selection networks, which learn which inputs matter, with interpretable multi-head attention over time, which indicates which past time points contribute to a given prediction, and with quantile outputs that express predictive uncertainty directly (Lim et al., 2021). Clinical application has followed: temporal fusion transformer models for continuous intraoperative blood pressure forecasting were developed and externally validated, which is the relevant precedent because external validation is rare in this literature (Kapral et al., 2024). Related work has demonstrated real-time dual prediction of intradialytic hypotension and hypertension using an explainable deep learning model (Yun et al., 2023), and simultaneous forecasting of vital sign trajectories in intensive care has been reported using comparable architectures (He &amp; Chiang, 2025).</w:t>
      </w:r>
    </w:p>
    <w:p w14:paraId="1FFCABA0" w14:textId="77777777" w:rsidR="004E2118" w:rsidRDefault="00000000">
      <w:pPr>
        <w:spacing w:after="160" w:line="360" w:lineRule="auto"/>
        <w:jc w:val="both"/>
      </w:pPr>
      <w:r>
        <w:t>The structural fit to the NiV problem is close. Variable selection would indicate whether molecular or serological inputs dominate at a given illness day; temporal attention would indicate which prior specimens drive the current estimate; and quantile outputs would express the wide uncertainty appropriate to a model trained on tens of patients. The evidential fit is poor. Every clinical application cited above was developed on thousands to tens of thousands of patient records. Applying an architecture of this class to a NiV dataset of the size that exists would produce a model whose apparent interpretability is an artefact of overfitting, and whose attention weights would vary substantially across resampled training sets. The appropriate conclusion is that attention-based temporal fusion is the correct target architecture for a mature evidence base and the wrong choice for the present one.</w:t>
      </w:r>
    </w:p>
    <w:p w14:paraId="3B50D06C" w14:textId="77777777" w:rsidR="004E2118" w:rsidRDefault="00000000">
      <w:pPr>
        <w:pStyle w:val="Heading2"/>
        <w:spacing w:before="260" w:after="130"/>
      </w:pPr>
      <w:r>
        <w:t>6.3 Fusion Strategy and Modality Availability</w:t>
      </w:r>
    </w:p>
    <w:p w14:paraId="26589B06" w14:textId="77777777" w:rsidR="004E2118" w:rsidRDefault="00000000">
      <w:pPr>
        <w:spacing w:after="160" w:line="360" w:lineRule="auto"/>
        <w:jc w:val="both"/>
      </w:pPr>
      <w:r>
        <w:t xml:space="preserve">Multimodal machine learning in health has been surveyed systematically, and the taxonomy of early, intermediate and late fusion, together with the conditions favouring each, is established (Kline et al., 2022). Early fusion concatenates raw features and requires all modalities to be present. Late fusion combines modality-specific predictions and tolerates missing modalities </w:t>
      </w:r>
      <w:r>
        <w:lastRenderedPageBreak/>
        <w:t>at the cost of discarding cross-modality interaction. Intermediate fusion learns a joint representation while retaining modality-specific pathways.</w:t>
      </w:r>
    </w:p>
    <w:p w14:paraId="303FFC37" w14:textId="77777777" w:rsidR="004E2118" w:rsidRDefault="00000000">
      <w:pPr>
        <w:spacing w:after="160" w:line="360" w:lineRule="auto"/>
        <w:jc w:val="both"/>
      </w:pPr>
      <w:r>
        <w:t>For NiV the governing constraint is that single-modality availability is the norm rather than the exception. Many patients contribute a molecular result without a paired serological result, or the reverse, and the pairing is itself informative about illness stage and access. Early fusion is therefore unsuitable. Late fusion is robust but would discard exactly the cross-modality interaction that motivates the review, namely the joint viraemia-and-IgG pattern that carries prognostic weight (Satter et al., 2026). Intermediate fusion with explicit modality-availability indicators, permitting the model to condition on which modalities are present rather than requiring imputation of absent ones, is the strategy most consistent with both the data structure and the analytical objective. This is a design inference from the data structure, not a finding, and it has not been tested for this application.</w:t>
      </w:r>
    </w:p>
    <w:p w14:paraId="21BB84F4" w14:textId="77777777" w:rsidR="004E2118" w:rsidRDefault="00000000">
      <w:pPr>
        <w:pStyle w:val="Heading2"/>
        <w:spacing w:before="260" w:after="130"/>
      </w:pPr>
      <w:r>
        <w:t>6.4 Sample Size, Transfer and the Limits of Architectural Solutions</w:t>
      </w:r>
    </w:p>
    <w:p w14:paraId="31E8363F" w14:textId="77777777" w:rsidR="004E2118" w:rsidRDefault="00000000">
      <w:pPr>
        <w:spacing w:after="160" w:line="360" w:lineRule="auto"/>
        <w:jc w:val="both"/>
      </w:pPr>
      <w:r>
        <w:t>The quantity of usable data is the binding constraint. Fewer than one hundred human NiV cases have been characterised with both molecular and serological results in the modern diagnostic era, distributed across two countries, at least three lineages and two clinical phenotypes, and generated using non-harmonised assays. Minimum sample size requirements for external validation of a prediction model with a binary outcome have been formalised, and the numbers required for reliable estimation of calibration exceed what exists by a considerable margin (Riley et al., 2021). Guidance on the conduct and interpretation of external validation makes the same point from the design side (Riley et al., 2024).</w:t>
      </w:r>
    </w:p>
    <w:p w14:paraId="3475CBCE" w14:textId="77777777" w:rsidR="004E2118" w:rsidRDefault="00000000">
      <w:pPr>
        <w:spacing w:after="160" w:line="360" w:lineRule="auto"/>
        <w:jc w:val="both"/>
      </w:pPr>
      <w:r>
        <w:t xml:space="preserve">Three responses are available, none of them sufficient alone. The first is to restrict model complexity severely, using hierarchical Bayesian or penalised temporal formulations in which prior information about assay characteristics and immunological ordering does part of the work that data cannot, and in which uncertainty is propagated honestly rather than concealed. The second is to pool data across countries. Federated approaches permit model training across institutions without transferring individual records, which addresses the governance and sovereignty obstacles to pooling specimens or patient data across national boundaries, and has been demonstrated at scale for outcome prediction across many sites during a pandemic (Rieke et al., 2020; Dayan et al., 2021). Federated training does not create statistical information that does not exist; it removes an administrative barrier to using the information that does. The third is to accept a narrower target. A model that estimates the probability that a specimen taken at </w:t>
      </w:r>
      <w:r>
        <w:lastRenderedPageBreak/>
        <w:t>a given illness day and matrix will be informative is a more modest and more estimable quantity than a model that classifies infection status, and would be useful in its own right for specimen scheduling.</w:t>
      </w:r>
    </w:p>
    <w:p w14:paraId="26186B2A" w14:textId="77777777" w:rsidR="004E2118" w:rsidRDefault="00000000">
      <w:pPr>
        <w:spacing w:after="160" w:line="360" w:lineRule="auto"/>
        <w:jc w:val="both"/>
      </w:pPr>
      <w:r>
        <w:t>Machine learning has already contributed to NiV diagnostics in a different mode. Computational design of nucleic acid detection assays has been used to generate highly sensitive diagnostics across diverse viral targets, an application in which the training data are sequences rather than patients and in which data scarcity at the patient level is therefore not limiting (Metsky et al., 2022). This illustrates a general point about where artificial intelligence can and cannot help in high-consequence, low-incidence infections: assay design, genomic surveillance and reservoir modelling are data-rich; patient-level diagnostic inference is not (Guo et al., 2023; Chu et al., 2023).</w:t>
      </w:r>
    </w:p>
    <w:p w14:paraId="11D3EF1F" w14:textId="77777777" w:rsidR="004E2118" w:rsidRDefault="00000000">
      <w:pPr>
        <w:pStyle w:val="Heading1"/>
        <w:spacing w:before="340" w:after="160"/>
      </w:pPr>
      <w:r>
        <w:t>7. Explainability as a Requirement Rather than an Accessory</w:t>
      </w:r>
    </w:p>
    <w:p w14:paraId="0A8928F8" w14:textId="77777777" w:rsidR="004E2118" w:rsidRDefault="00000000">
      <w:pPr>
        <w:pStyle w:val="Heading2"/>
        <w:spacing w:before="260" w:after="130"/>
      </w:pPr>
      <w:r>
        <w:t>7.1 What Explanation Methods Deliver and What They Do Not</w:t>
      </w:r>
    </w:p>
    <w:p w14:paraId="4AF5681E" w14:textId="77777777" w:rsidR="004E2118" w:rsidRDefault="00000000">
      <w:pPr>
        <w:spacing w:after="160" w:line="360" w:lineRule="auto"/>
        <w:jc w:val="both"/>
      </w:pPr>
      <w:r>
        <w:t>Explainable artificial intelligence encompasses methods intended to render model behaviour inspectable. Additive feature attribution based on cooperative game theory provides local explanations with defined consistency properties and has been applied to clinical prediction, including real-time prediction of intraoperative hypoxaemia with accompanying attributions (Lundberg et al., 2018), and extended to efficient exact computation for tree ensembles with aggregation into global explanations (Lundberg et al., 2020). Systematic reviews document a decade of application across healthcare domains (Loh et al., 2022) and survey methods specific to tabular and time series data, which is the relevant category here (Di Martino &amp; Delmastro, 2023). Applications to longitudinal clinical prediction include models for acute critical illness from electronic health records (Lauritsen et al., 2020) and for early sepsis detection (Yang et al., 2020), and a systematic review of interpretable models in critical care documents both the volume of this work and the unevenness of its evaluation (Athukorala &amp; Ilmini, 2026).</w:t>
      </w:r>
    </w:p>
    <w:p w14:paraId="43A81F50" w14:textId="77777777" w:rsidR="004E2118" w:rsidRDefault="00000000">
      <w:pPr>
        <w:spacing w:after="160" w:line="360" w:lineRule="auto"/>
        <w:jc w:val="both"/>
      </w:pPr>
      <w:r>
        <w:t xml:space="preserve">The critical literature is substantial and should temper any claim that explanation resolves the problem of opacity. Post hoc attribution methods have been argued to be insufficiently reliable to justify individual clinical decisions, on the grounds that explanations for a single prediction are not verifiable against ground truth, that different methods can produce divergent attributions for the same prediction, and that the appearance of transparency may substitute for the rigorous validation that would actually establish trustworthiness (Ghassemi et al., 2021). This argument does not imply that explanation is worthless; it implies that its function is </w:t>
      </w:r>
      <w:r>
        <w:lastRenderedPageBreak/>
        <w:t>auditing and error detection at the level of the model rather than justification at the level of the individual patient. Calls for explainable methods in clinical microbiology and infectious diseases have emerged recently and largely accept this framing (Warrier et al., 2026; Cao et al., 2026; Giacobbe et al., 2023).</w:t>
      </w:r>
    </w:p>
    <w:p w14:paraId="23C626CB" w14:textId="77777777" w:rsidR="004E2118" w:rsidRDefault="00000000">
      <w:pPr>
        <w:pStyle w:val="Heading2"/>
        <w:spacing w:before="260" w:after="130"/>
      </w:pPr>
      <w:r>
        <w:t>7.2 Evidence on Explanation and Clinician Behaviour</w:t>
      </w:r>
    </w:p>
    <w:p w14:paraId="03CAEE5A" w14:textId="77777777" w:rsidR="004E2118" w:rsidRDefault="00000000">
      <w:pPr>
        <w:spacing w:after="160" w:line="360" w:lineRule="auto"/>
        <w:jc w:val="both"/>
      </w:pPr>
      <w:r>
        <w:t>Whether explanation improves decisions is an empirical question with mixed answers. A systematic review of how explainable artificial intelligence affects clinician trust concluded that explanations can either increase or decrease trust, and that the direction depends on the explanation format, the clinician's domain expertise and whether the explanation is congruent with clinical reasoning; inappropriate increases in trust were documented alongside appropriate ones (Rosenbacke et al., 2024). Automation bias in clinical decision support driven by artificial intelligence has been identified as a specific mechanism of harm, in which incorrect model output is accepted because it is presented authoritatively (Khera et al., 2023). Communication of predictive uncertainty has been argued to be a necessary component of any clinical machine learning output, and its omission a substantive defect rather than a presentational one (Kompa et al., 2021).</w:t>
      </w:r>
    </w:p>
    <w:p w14:paraId="1B269371" w14:textId="77777777" w:rsidR="004E2118" w:rsidRDefault="00000000">
      <w:pPr>
        <w:spacing w:after="160" w:line="360" w:lineRule="auto"/>
        <w:jc w:val="both"/>
      </w:pPr>
      <w:r>
        <w:t>For NiV these findings carry particular weight because the decision context is unusually coercive. A clinician facing a suspected case in a district hospital in Kerala or Rajshahi must decide within hours whether to institute barrier nursing, isolate contacts and notify public health authorities, on the basis of a laboratory result that may take a further day to arrive from a distant containment facility. Under those conditions the risk of automation bias is elevated, because the model output may be the only quantitative input available, and the cost of both error directions is high: a false negative permits nosocomial amplification of the kind documented repeatedly in this disease (Chandni et al., 2020; Nikolay et al., 2019), while a false positive consumes isolation capacity and imposes stigma whose personal, familial and economic consequences have been documented in qualitative work with Bangladeshi survivors (Mondal et al., 2026).</w:t>
      </w:r>
    </w:p>
    <w:p w14:paraId="31F317FD" w14:textId="77777777" w:rsidR="004E2118" w:rsidRDefault="00000000">
      <w:pPr>
        <w:pStyle w:val="Heading2"/>
        <w:spacing w:before="260" w:after="130"/>
      </w:pPr>
      <w:r>
        <w:t>7.3 Explanation Requirements Specific to This Setting</w:t>
      </w:r>
    </w:p>
    <w:p w14:paraId="55EC18C1" w14:textId="77777777" w:rsidR="004E2118" w:rsidRDefault="00000000">
      <w:pPr>
        <w:spacing w:after="160" w:line="360" w:lineRule="auto"/>
        <w:jc w:val="both"/>
      </w:pPr>
      <w:r>
        <w:t xml:space="preserve">Three requirements follow that are not generic. The first is that explanation must address timing rather than only feature importance. The clinically actionable question is not which variable contributed most but whether the current negative result should be believed given when the specimen was taken, and whether a repeat specimen at a stated interval and matrix would </w:t>
      </w:r>
      <w:r>
        <w:lastRenderedPageBreak/>
        <w:t>change the estimate. Variable-selection and temporal-attention outputs of the kind provided by attention-based architectures are structurally capable of addressing this (Lim et al., 2021), although as argued in section 6 the architecture is premature for the available data.</w:t>
      </w:r>
    </w:p>
    <w:p w14:paraId="5D7E87C4" w14:textId="77777777" w:rsidR="004E2118" w:rsidRDefault="00000000">
      <w:pPr>
        <w:spacing w:after="160" w:line="360" w:lineRule="auto"/>
        <w:jc w:val="both"/>
      </w:pPr>
      <w:r>
        <w:t>The second is that explanation must be evaluated against known biology as a falsification test rather than presented as a validation. If a model trained on NiV data assigns weight to a pattern inconsistent with the established ordering of viraemia clearance and IgG appearance (Arunkumar, Devadiga, et al., 2019; Satter et al., 2026), that is evidence of a defect in the model or the data. Agreement with known biology does not establish correctness, since a model can reproduce a known relationship while failing on the cases that matter, but disagreement is diagnostic. Using explanation in this auditing role is consistent with the critical literature (Ghassemi et al., 2021).</w:t>
      </w:r>
    </w:p>
    <w:p w14:paraId="5A2B5A5F" w14:textId="77777777" w:rsidR="004E2118" w:rsidRDefault="00000000">
      <w:pPr>
        <w:spacing w:after="160" w:line="360" w:lineRule="auto"/>
        <w:jc w:val="both"/>
      </w:pPr>
      <w:r>
        <w:t>The third is that fairness and transportability must be audited explicitly. Algorithmic fairness in medical artificial intelligence has been reviewed comprehensively, and the mechanisms by which models underperform in subgroups under-represented in training data are well characterised (Chen et al., 2023). For NiV the relevant subgroups are identifiable in advance: children, who constituted a substantial share of Bangladeshi cases with a median age of 17 years among sequenced cases and 21 years across the recent series (Satter et al., 2025; Satter et al., 2026); patients presenting to peripheral facilities where specimen timing is later and platform sensitivity lower (Nguyen et al., 2026); and patients infected with lineages other than those represented in training data (Mire et al., 2016; As et al., 2024). Work on artificial intelligence for health systems in low- and middle-income countries documents both the opportunity and the recurrent failure to evaluate performance in the settings where deployment is intended (Schwalbe &amp; Wahl, 2020; Ciecierski-Holmes et al., 2022).</w:t>
      </w:r>
    </w:p>
    <w:p w14:paraId="4C36C521" w14:textId="77777777" w:rsidR="004E2118" w:rsidRDefault="00000000">
      <w:pPr>
        <w:spacing w:after="160" w:line="360" w:lineRule="auto"/>
        <w:jc w:val="both"/>
      </w:pPr>
      <w:r>
        <w:t>Table 4 maps the decision needs arising in suspected NiV infection onto candidate explanation outputs, and states for each what it can legitimately support and what it cannot establish. The distinction the table enforces is between explanation as an aid to model auditing and specimen scheduling, which the evidence supports, and explanation as justification for acting on an individual prediction, which it does not. Framing the requirement this way also clarifies what would need to be measured in an early-stage clinical evaluation, since the reporting guidance for such evaluations expects the intended role of the output in the clinical workflow to be specified in advance (Vasey et al., 2022).</w:t>
      </w:r>
    </w:p>
    <w:p w14:paraId="6C355BED" w14:textId="77777777" w:rsidR="004E2118" w:rsidRDefault="00000000">
      <w:pPr>
        <w:spacing w:before="220" w:after="110"/>
      </w:pPr>
      <w:r>
        <w:rPr>
          <w:b/>
          <w:bCs/>
          <w:sz w:val="21"/>
          <w:szCs w:val="21"/>
        </w:rPr>
        <w:lastRenderedPageBreak/>
        <w:t xml:space="preserve">Table 4. </w:t>
      </w:r>
      <w:r>
        <w:rPr>
          <w:sz w:val="21"/>
          <w:szCs w:val="21"/>
        </w:rPr>
        <w:t>Decision needs in suspected Nipah virus infection mapped to candidate explanation outputs and their evidential limits</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6771B97C" w14:textId="77777777">
        <w:trPr>
          <w:tblHeader/>
        </w:trPr>
        <w:tc>
          <w:tcPr>
            <w:tcW w:w="1500" w:type="dxa"/>
            <w:shd w:val="clear" w:color="auto" w:fill="E8ECF1"/>
            <w:tcMar>
              <w:top w:w="60" w:type="dxa"/>
              <w:left w:w="90" w:type="dxa"/>
              <w:bottom w:w="60" w:type="dxa"/>
              <w:right w:w="90" w:type="dxa"/>
            </w:tcMar>
          </w:tcPr>
          <w:p w14:paraId="5614843D" w14:textId="77777777" w:rsidR="004E2118" w:rsidRDefault="00000000">
            <w:r>
              <w:rPr>
                <w:b/>
                <w:bCs/>
                <w:sz w:val="17"/>
                <w:szCs w:val="17"/>
              </w:rPr>
              <w:t>Decision need</w:t>
            </w:r>
          </w:p>
        </w:tc>
        <w:tc>
          <w:tcPr>
            <w:tcW w:w="2050" w:type="dxa"/>
            <w:shd w:val="clear" w:color="auto" w:fill="E8ECF1"/>
            <w:tcMar>
              <w:top w:w="60" w:type="dxa"/>
              <w:left w:w="90" w:type="dxa"/>
              <w:bottom w:w="60" w:type="dxa"/>
              <w:right w:w="90" w:type="dxa"/>
            </w:tcMar>
          </w:tcPr>
          <w:p w14:paraId="6C21FCC9" w14:textId="77777777" w:rsidR="004E2118" w:rsidRDefault="00000000">
            <w:r>
              <w:rPr>
                <w:b/>
                <w:bCs/>
                <w:sz w:val="17"/>
                <w:szCs w:val="17"/>
              </w:rPr>
              <w:t>Candidate explanation output</w:t>
            </w:r>
          </w:p>
        </w:tc>
        <w:tc>
          <w:tcPr>
            <w:tcW w:w="2050" w:type="dxa"/>
            <w:shd w:val="clear" w:color="auto" w:fill="E8ECF1"/>
            <w:tcMar>
              <w:top w:w="60" w:type="dxa"/>
              <w:left w:w="90" w:type="dxa"/>
              <w:bottom w:w="60" w:type="dxa"/>
              <w:right w:w="90" w:type="dxa"/>
            </w:tcMar>
          </w:tcPr>
          <w:p w14:paraId="6EEBA90C" w14:textId="77777777" w:rsidR="004E2118" w:rsidRDefault="00000000">
            <w:r>
              <w:rPr>
                <w:b/>
                <w:bCs/>
                <w:sz w:val="17"/>
                <w:szCs w:val="17"/>
              </w:rPr>
              <w:t>What the output can legitimately support</w:t>
            </w:r>
          </w:p>
        </w:tc>
        <w:tc>
          <w:tcPr>
            <w:tcW w:w="1950" w:type="dxa"/>
            <w:shd w:val="clear" w:color="auto" w:fill="E8ECF1"/>
            <w:tcMar>
              <w:top w:w="60" w:type="dxa"/>
              <w:left w:w="90" w:type="dxa"/>
              <w:bottom w:w="60" w:type="dxa"/>
              <w:right w:w="90" w:type="dxa"/>
            </w:tcMar>
          </w:tcPr>
          <w:p w14:paraId="61C11F47" w14:textId="77777777" w:rsidR="004E2118" w:rsidRDefault="00000000">
            <w:r>
              <w:rPr>
                <w:b/>
                <w:bCs/>
                <w:sz w:val="17"/>
                <w:szCs w:val="17"/>
              </w:rPr>
              <w:t>What the output cannot establish</w:t>
            </w:r>
          </w:p>
        </w:tc>
        <w:tc>
          <w:tcPr>
            <w:tcW w:w="1476" w:type="dxa"/>
            <w:shd w:val="clear" w:color="auto" w:fill="E8ECF1"/>
            <w:tcMar>
              <w:top w:w="60" w:type="dxa"/>
              <w:left w:w="90" w:type="dxa"/>
              <w:bottom w:w="60" w:type="dxa"/>
              <w:right w:w="90" w:type="dxa"/>
            </w:tcMar>
          </w:tcPr>
          <w:p w14:paraId="48D9D29D" w14:textId="77777777" w:rsidR="004E2118" w:rsidRDefault="00000000">
            <w:r>
              <w:rPr>
                <w:b/>
                <w:bCs/>
                <w:sz w:val="17"/>
                <w:szCs w:val="17"/>
              </w:rPr>
              <w:t>Supporting references</w:t>
            </w:r>
          </w:p>
        </w:tc>
      </w:tr>
      <w:tr w:rsidR="004E2118" w14:paraId="27F12D3F" w14:textId="77777777">
        <w:tc>
          <w:tcPr>
            <w:tcW w:w="1500" w:type="dxa"/>
            <w:tcMar>
              <w:top w:w="60" w:type="dxa"/>
              <w:left w:w="90" w:type="dxa"/>
              <w:bottom w:w="60" w:type="dxa"/>
              <w:right w:w="90" w:type="dxa"/>
            </w:tcMar>
          </w:tcPr>
          <w:p w14:paraId="10E5ABD5" w14:textId="77777777" w:rsidR="004E2118" w:rsidRDefault="00000000">
            <w:r>
              <w:rPr>
                <w:sz w:val="17"/>
                <w:szCs w:val="17"/>
              </w:rPr>
              <w:t>Should a negative molecular result be accepted as excluding infection</w:t>
            </w:r>
          </w:p>
        </w:tc>
        <w:tc>
          <w:tcPr>
            <w:tcW w:w="2050" w:type="dxa"/>
            <w:tcMar>
              <w:top w:w="60" w:type="dxa"/>
              <w:left w:w="90" w:type="dxa"/>
              <w:bottom w:w="60" w:type="dxa"/>
              <w:right w:w="90" w:type="dxa"/>
            </w:tcMar>
          </w:tcPr>
          <w:p w14:paraId="55FDBF6D" w14:textId="77777777" w:rsidR="004E2118" w:rsidRDefault="00000000">
            <w:r>
              <w:rPr>
                <w:sz w:val="17"/>
                <w:szCs w:val="17"/>
              </w:rPr>
              <w:t>Contribution of illness day and specimen matrix to the current probability, with uncertainty interval</w:t>
            </w:r>
          </w:p>
        </w:tc>
        <w:tc>
          <w:tcPr>
            <w:tcW w:w="2050" w:type="dxa"/>
            <w:tcMar>
              <w:top w:w="60" w:type="dxa"/>
              <w:left w:w="90" w:type="dxa"/>
              <w:bottom w:w="60" w:type="dxa"/>
              <w:right w:w="90" w:type="dxa"/>
            </w:tcMar>
          </w:tcPr>
          <w:p w14:paraId="02A5A985" w14:textId="77777777" w:rsidR="004E2118" w:rsidRDefault="00000000">
            <w:r>
              <w:rPr>
                <w:sz w:val="17"/>
                <w:szCs w:val="17"/>
              </w:rPr>
              <w:t>Recognition that a negative result late in illness is weak evidence of absence</w:t>
            </w:r>
          </w:p>
        </w:tc>
        <w:tc>
          <w:tcPr>
            <w:tcW w:w="1950" w:type="dxa"/>
            <w:tcMar>
              <w:top w:w="60" w:type="dxa"/>
              <w:left w:w="90" w:type="dxa"/>
              <w:bottom w:w="60" w:type="dxa"/>
              <w:right w:w="90" w:type="dxa"/>
            </w:tcMar>
          </w:tcPr>
          <w:p w14:paraId="2864FC87" w14:textId="77777777" w:rsidR="004E2118" w:rsidRDefault="00000000">
            <w:r>
              <w:rPr>
                <w:sz w:val="17"/>
                <w:szCs w:val="17"/>
              </w:rPr>
              <w:t>That the individual patient is uninfected</w:t>
            </w:r>
          </w:p>
        </w:tc>
        <w:tc>
          <w:tcPr>
            <w:tcW w:w="1476" w:type="dxa"/>
            <w:tcMar>
              <w:top w:w="60" w:type="dxa"/>
              <w:left w:w="90" w:type="dxa"/>
              <w:bottom w:w="60" w:type="dxa"/>
              <w:right w:w="90" w:type="dxa"/>
            </w:tcMar>
          </w:tcPr>
          <w:p w14:paraId="45389D23" w14:textId="77777777" w:rsidR="004E2118" w:rsidRDefault="00000000">
            <w:r w:rsidRPr="00A210D7">
              <w:rPr>
                <w:sz w:val="17"/>
                <w:szCs w:val="17"/>
                <w:lang w:val="it-IT"/>
              </w:rPr>
              <w:t xml:space="preserve">Kucirka et al. (2020); Ghassemi et al. </w:t>
            </w:r>
            <w:r>
              <w:rPr>
                <w:sz w:val="17"/>
                <w:szCs w:val="17"/>
              </w:rPr>
              <w:t>(2021); Kompa et al. (2021)</w:t>
            </w:r>
          </w:p>
        </w:tc>
      </w:tr>
      <w:tr w:rsidR="004E2118" w14:paraId="150DC736" w14:textId="77777777">
        <w:tc>
          <w:tcPr>
            <w:tcW w:w="1500" w:type="dxa"/>
            <w:tcMar>
              <w:top w:w="60" w:type="dxa"/>
              <w:left w:w="90" w:type="dxa"/>
              <w:bottom w:w="60" w:type="dxa"/>
              <w:right w:w="90" w:type="dxa"/>
            </w:tcMar>
          </w:tcPr>
          <w:p w14:paraId="6A618215" w14:textId="77777777" w:rsidR="004E2118" w:rsidRDefault="00000000">
            <w:r>
              <w:rPr>
                <w:sz w:val="17"/>
                <w:szCs w:val="17"/>
              </w:rPr>
              <w:t>When and from which matrix should a repeat specimen be taken</w:t>
            </w:r>
          </w:p>
        </w:tc>
        <w:tc>
          <w:tcPr>
            <w:tcW w:w="2050" w:type="dxa"/>
            <w:tcMar>
              <w:top w:w="60" w:type="dxa"/>
              <w:left w:w="90" w:type="dxa"/>
              <w:bottom w:w="60" w:type="dxa"/>
              <w:right w:w="90" w:type="dxa"/>
            </w:tcMar>
          </w:tcPr>
          <w:p w14:paraId="39C8424F" w14:textId="77777777" w:rsidR="004E2118" w:rsidRDefault="00000000">
            <w:r>
              <w:rPr>
                <w:sz w:val="17"/>
                <w:szCs w:val="17"/>
              </w:rPr>
              <w:t>Expected change in the probability estimate for a specimen at a stated interval and matrix</w:t>
            </w:r>
          </w:p>
        </w:tc>
        <w:tc>
          <w:tcPr>
            <w:tcW w:w="2050" w:type="dxa"/>
            <w:tcMar>
              <w:top w:w="60" w:type="dxa"/>
              <w:left w:w="90" w:type="dxa"/>
              <w:bottom w:w="60" w:type="dxa"/>
              <w:right w:w="90" w:type="dxa"/>
            </w:tcMar>
          </w:tcPr>
          <w:p w14:paraId="52A4B301" w14:textId="77777777" w:rsidR="004E2118" w:rsidRDefault="00000000">
            <w:r>
              <w:rPr>
                <w:sz w:val="17"/>
                <w:szCs w:val="17"/>
              </w:rPr>
              <w:t>Rational specimen scheduling under constrained transport and containment capacity</w:t>
            </w:r>
          </w:p>
        </w:tc>
        <w:tc>
          <w:tcPr>
            <w:tcW w:w="1950" w:type="dxa"/>
            <w:tcMar>
              <w:top w:w="60" w:type="dxa"/>
              <w:left w:w="90" w:type="dxa"/>
              <w:bottom w:w="60" w:type="dxa"/>
              <w:right w:w="90" w:type="dxa"/>
            </w:tcMar>
          </w:tcPr>
          <w:p w14:paraId="13741332" w14:textId="77777777" w:rsidR="004E2118" w:rsidRDefault="00000000">
            <w:r>
              <w:rPr>
                <w:sz w:val="17"/>
                <w:szCs w:val="17"/>
              </w:rPr>
              <w:t>That the recommended schedule improves patient outcomes</w:t>
            </w:r>
          </w:p>
        </w:tc>
        <w:tc>
          <w:tcPr>
            <w:tcW w:w="1476" w:type="dxa"/>
            <w:tcMar>
              <w:top w:w="60" w:type="dxa"/>
              <w:left w:w="90" w:type="dxa"/>
              <w:bottom w:w="60" w:type="dxa"/>
              <w:right w:w="90" w:type="dxa"/>
            </w:tcMar>
          </w:tcPr>
          <w:p w14:paraId="671112DE" w14:textId="77777777" w:rsidR="004E2118" w:rsidRDefault="00000000">
            <w:r w:rsidRPr="004565A3">
              <w:rPr>
                <w:sz w:val="17"/>
                <w:szCs w:val="17"/>
                <w:lang w:val="nl-BE"/>
              </w:rPr>
              <w:t xml:space="preserve">Lim et al. (2021); Kapral et al. </w:t>
            </w:r>
            <w:r>
              <w:rPr>
                <w:sz w:val="17"/>
                <w:szCs w:val="17"/>
              </w:rPr>
              <w:t>(2024); Vasey et al. (2022)</w:t>
            </w:r>
          </w:p>
        </w:tc>
      </w:tr>
      <w:tr w:rsidR="004E2118" w14:paraId="173DABBA" w14:textId="77777777">
        <w:tc>
          <w:tcPr>
            <w:tcW w:w="1500" w:type="dxa"/>
            <w:tcMar>
              <w:top w:w="60" w:type="dxa"/>
              <w:left w:w="90" w:type="dxa"/>
              <w:bottom w:w="60" w:type="dxa"/>
              <w:right w:w="90" w:type="dxa"/>
            </w:tcMar>
          </w:tcPr>
          <w:p w14:paraId="4CA0200F" w14:textId="77777777" w:rsidR="004E2118" w:rsidRDefault="00000000">
            <w:r>
              <w:rPr>
                <w:sz w:val="17"/>
                <w:szCs w:val="17"/>
              </w:rPr>
              <w:t>Is the patient at high risk of early deterioration</w:t>
            </w:r>
          </w:p>
        </w:tc>
        <w:tc>
          <w:tcPr>
            <w:tcW w:w="2050" w:type="dxa"/>
            <w:tcMar>
              <w:top w:w="60" w:type="dxa"/>
              <w:left w:w="90" w:type="dxa"/>
              <w:bottom w:w="60" w:type="dxa"/>
              <w:right w:w="90" w:type="dxa"/>
            </w:tcMar>
          </w:tcPr>
          <w:p w14:paraId="35FAB731" w14:textId="77777777" w:rsidR="004E2118" w:rsidRDefault="00000000">
            <w:r>
              <w:rPr>
                <w:sz w:val="17"/>
                <w:szCs w:val="17"/>
              </w:rPr>
              <w:t>Relative contribution of viraemia status and serological status to the risk estimate</w:t>
            </w:r>
          </w:p>
        </w:tc>
        <w:tc>
          <w:tcPr>
            <w:tcW w:w="2050" w:type="dxa"/>
            <w:tcMar>
              <w:top w:w="60" w:type="dxa"/>
              <w:left w:w="90" w:type="dxa"/>
              <w:bottom w:w="60" w:type="dxa"/>
              <w:right w:w="90" w:type="dxa"/>
            </w:tcMar>
          </w:tcPr>
          <w:p w14:paraId="6E52A12C" w14:textId="77777777" w:rsidR="004E2118" w:rsidRDefault="00000000">
            <w:r>
              <w:rPr>
                <w:sz w:val="17"/>
                <w:szCs w:val="17"/>
              </w:rPr>
              <w:t>Triage of supportive care and monitoring intensity where capacity is limited</w:t>
            </w:r>
          </w:p>
        </w:tc>
        <w:tc>
          <w:tcPr>
            <w:tcW w:w="1950" w:type="dxa"/>
            <w:tcMar>
              <w:top w:w="60" w:type="dxa"/>
              <w:left w:w="90" w:type="dxa"/>
              <w:bottom w:w="60" w:type="dxa"/>
              <w:right w:w="90" w:type="dxa"/>
            </w:tcMar>
          </w:tcPr>
          <w:p w14:paraId="72FE1509" w14:textId="77777777" w:rsidR="004E2118" w:rsidRDefault="00000000">
            <w:r>
              <w:rPr>
                <w:sz w:val="17"/>
                <w:szCs w:val="17"/>
              </w:rPr>
              <w:t>An independent causal contribution of either marker once illness day is accounted for</w:t>
            </w:r>
          </w:p>
        </w:tc>
        <w:tc>
          <w:tcPr>
            <w:tcW w:w="1476" w:type="dxa"/>
            <w:tcMar>
              <w:top w:w="60" w:type="dxa"/>
              <w:left w:w="90" w:type="dxa"/>
              <w:bottom w:w="60" w:type="dxa"/>
              <w:right w:w="90" w:type="dxa"/>
            </w:tcMar>
          </w:tcPr>
          <w:p w14:paraId="1879E472" w14:textId="77777777" w:rsidR="004E2118" w:rsidRDefault="00000000">
            <w:r w:rsidRPr="00A210D7">
              <w:rPr>
                <w:sz w:val="17"/>
                <w:szCs w:val="17"/>
                <w:lang w:val="it-IT"/>
              </w:rPr>
              <w:t xml:space="preserve">Sahay et al. (2024); Satter et al. </w:t>
            </w:r>
            <w:r>
              <w:rPr>
                <w:sz w:val="17"/>
                <w:szCs w:val="17"/>
              </w:rPr>
              <w:t>(2026)</w:t>
            </w:r>
          </w:p>
        </w:tc>
      </w:tr>
      <w:tr w:rsidR="004E2118" w14:paraId="64D4190A" w14:textId="77777777">
        <w:tc>
          <w:tcPr>
            <w:tcW w:w="1500" w:type="dxa"/>
            <w:tcMar>
              <w:top w:w="60" w:type="dxa"/>
              <w:left w:w="90" w:type="dxa"/>
              <w:bottom w:w="60" w:type="dxa"/>
              <w:right w:w="90" w:type="dxa"/>
            </w:tcMar>
          </w:tcPr>
          <w:p w14:paraId="33F1CEE5" w14:textId="77777777" w:rsidR="004E2118" w:rsidRDefault="00000000">
            <w:r>
              <w:rPr>
                <w:sz w:val="17"/>
                <w:szCs w:val="17"/>
              </w:rPr>
              <w:t>Is the model behaving consistently with known immunology</w:t>
            </w:r>
          </w:p>
        </w:tc>
        <w:tc>
          <w:tcPr>
            <w:tcW w:w="2050" w:type="dxa"/>
            <w:tcMar>
              <w:top w:w="60" w:type="dxa"/>
              <w:left w:w="90" w:type="dxa"/>
              <w:bottom w:w="60" w:type="dxa"/>
              <w:right w:w="90" w:type="dxa"/>
            </w:tcMar>
          </w:tcPr>
          <w:p w14:paraId="5E9AF63D" w14:textId="77777777" w:rsidR="004E2118" w:rsidRDefault="00000000">
            <w:r>
              <w:rPr>
                <w:sz w:val="17"/>
                <w:szCs w:val="17"/>
              </w:rPr>
              <w:t>Global attribution patterns compared with the established ordering of viraemia clearance and IgG appearance</w:t>
            </w:r>
          </w:p>
        </w:tc>
        <w:tc>
          <w:tcPr>
            <w:tcW w:w="2050" w:type="dxa"/>
            <w:tcMar>
              <w:top w:w="60" w:type="dxa"/>
              <w:left w:w="90" w:type="dxa"/>
              <w:bottom w:w="60" w:type="dxa"/>
              <w:right w:w="90" w:type="dxa"/>
            </w:tcMar>
          </w:tcPr>
          <w:p w14:paraId="79E57433" w14:textId="77777777" w:rsidR="004E2118" w:rsidRDefault="00000000">
            <w:r>
              <w:rPr>
                <w:sz w:val="17"/>
                <w:szCs w:val="17"/>
              </w:rPr>
              <w:t>Detection of model or data defects during development and post-deployment monitoring</w:t>
            </w:r>
          </w:p>
        </w:tc>
        <w:tc>
          <w:tcPr>
            <w:tcW w:w="1950" w:type="dxa"/>
            <w:tcMar>
              <w:top w:w="60" w:type="dxa"/>
              <w:left w:w="90" w:type="dxa"/>
              <w:bottom w:w="60" w:type="dxa"/>
              <w:right w:w="90" w:type="dxa"/>
            </w:tcMar>
          </w:tcPr>
          <w:p w14:paraId="72A7B3E6" w14:textId="77777777" w:rsidR="004E2118" w:rsidRDefault="00000000">
            <w:r>
              <w:rPr>
                <w:sz w:val="17"/>
                <w:szCs w:val="17"/>
              </w:rPr>
              <w:t>Model correctness, since agreement with known biology is not sufficient</w:t>
            </w:r>
          </w:p>
        </w:tc>
        <w:tc>
          <w:tcPr>
            <w:tcW w:w="1476" w:type="dxa"/>
            <w:tcMar>
              <w:top w:w="60" w:type="dxa"/>
              <w:left w:w="90" w:type="dxa"/>
              <w:bottom w:w="60" w:type="dxa"/>
              <w:right w:w="90" w:type="dxa"/>
            </w:tcMar>
          </w:tcPr>
          <w:p w14:paraId="26AD63A3" w14:textId="77777777" w:rsidR="004E2118" w:rsidRDefault="00000000">
            <w:r w:rsidRPr="00A210D7">
              <w:rPr>
                <w:sz w:val="17"/>
                <w:szCs w:val="17"/>
                <w:lang w:val="it-IT"/>
              </w:rPr>
              <w:t xml:space="preserve">Arunkumar, Devadiga, et al. (2019); Lundberg et al. </w:t>
            </w:r>
            <w:r>
              <w:rPr>
                <w:sz w:val="17"/>
                <w:szCs w:val="17"/>
              </w:rPr>
              <w:t>(2020); Ghassemi et al. (2021)</w:t>
            </w:r>
          </w:p>
        </w:tc>
      </w:tr>
      <w:tr w:rsidR="004E2118" w14:paraId="36C07F18" w14:textId="77777777">
        <w:tc>
          <w:tcPr>
            <w:tcW w:w="1500" w:type="dxa"/>
            <w:tcMar>
              <w:top w:w="60" w:type="dxa"/>
              <w:left w:w="90" w:type="dxa"/>
              <w:bottom w:w="60" w:type="dxa"/>
              <w:right w:w="90" w:type="dxa"/>
            </w:tcMar>
          </w:tcPr>
          <w:p w14:paraId="37D170A5" w14:textId="77777777" w:rsidR="004E2118" w:rsidRDefault="00000000">
            <w:r>
              <w:rPr>
                <w:sz w:val="17"/>
                <w:szCs w:val="17"/>
              </w:rPr>
              <w:t>Does the model perform equitably across the population it will serve</w:t>
            </w:r>
          </w:p>
        </w:tc>
        <w:tc>
          <w:tcPr>
            <w:tcW w:w="2050" w:type="dxa"/>
            <w:tcMar>
              <w:top w:w="60" w:type="dxa"/>
              <w:left w:w="90" w:type="dxa"/>
              <w:bottom w:w="60" w:type="dxa"/>
              <w:right w:w="90" w:type="dxa"/>
            </w:tcMar>
          </w:tcPr>
          <w:p w14:paraId="78DB45E0" w14:textId="77777777" w:rsidR="004E2118" w:rsidRDefault="00000000">
            <w:r>
              <w:rPr>
                <w:sz w:val="17"/>
                <w:szCs w:val="17"/>
              </w:rPr>
              <w:t>Subgroup-stratified calibration and attribution for children, peripheral facilities and non-represented lineages</w:t>
            </w:r>
          </w:p>
        </w:tc>
        <w:tc>
          <w:tcPr>
            <w:tcW w:w="2050" w:type="dxa"/>
            <w:tcMar>
              <w:top w:w="60" w:type="dxa"/>
              <w:left w:w="90" w:type="dxa"/>
              <w:bottom w:w="60" w:type="dxa"/>
              <w:right w:w="90" w:type="dxa"/>
            </w:tcMar>
          </w:tcPr>
          <w:p w14:paraId="0F149DB6" w14:textId="77777777" w:rsidR="004E2118" w:rsidRDefault="00000000">
            <w:r>
              <w:rPr>
                <w:sz w:val="17"/>
                <w:szCs w:val="17"/>
              </w:rPr>
              <w:t>Identification of subgroups in which the model should not be used</w:t>
            </w:r>
          </w:p>
        </w:tc>
        <w:tc>
          <w:tcPr>
            <w:tcW w:w="1950" w:type="dxa"/>
            <w:tcMar>
              <w:top w:w="60" w:type="dxa"/>
              <w:left w:w="90" w:type="dxa"/>
              <w:bottom w:w="60" w:type="dxa"/>
              <w:right w:w="90" w:type="dxa"/>
            </w:tcMar>
          </w:tcPr>
          <w:p w14:paraId="24F301FF" w14:textId="77777777" w:rsidR="004E2118" w:rsidRDefault="00000000">
            <w:r>
              <w:rPr>
                <w:sz w:val="17"/>
                <w:szCs w:val="17"/>
              </w:rPr>
              <w:t>Equitable performance in subgroups absent from the development data</w:t>
            </w:r>
          </w:p>
        </w:tc>
        <w:tc>
          <w:tcPr>
            <w:tcW w:w="1476" w:type="dxa"/>
            <w:tcMar>
              <w:top w:w="60" w:type="dxa"/>
              <w:left w:w="90" w:type="dxa"/>
              <w:bottom w:w="60" w:type="dxa"/>
              <w:right w:w="90" w:type="dxa"/>
            </w:tcMar>
          </w:tcPr>
          <w:p w14:paraId="19A053EE" w14:textId="77777777" w:rsidR="004E2118" w:rsidRDefault="00000000">
            <w:r w:rsidRPr="004565A3">
              <w:rPr>
                <w:sz w:val="17"/>
                <w:szCs w:val="17"/>
                <w:lang w:val="nl-BE"/>
              </w:rPr>
              <w:t xml:space="preserve">Chen et al. (2023); Ciecierski-Holmes et al. </w:t>
            </w:r>
            <w:r>
              <w:rPr>
                <w:sz w:val="17"/>
                <w:szCs w:val="17"/>
              </w:rPr>
              <w:t>(2022)</w:t>
            </w:r>
          </w:p>
        </w:tc>
      </w:tr>
      <w:tr w:rsidR="004E2118" w14:paraId="410077A3" w14:textId="77777777">
        <w:tc>
          <w:tcPr>
            <w:tcW w:w="1500" w:type="dxa"/>
            <w:tcMar>
              <w:top w:w="60" w:type="dxa"/>
              <w:left w:w="90" w:type="dxa"/>
              <w:bottom w:w="60" w:type="dxa"/>
              <w:right w:w="90" w:type="dxa"/>
            </w:tcMar>
          </w:tcPr>
          <w:p w14:paraId="11D886F3" w14:textId="77777777" w:rsidR="004E2118" w:rsidRDefault="00000000">
            <w:r>
              <w:rPr>
                <w:sz w:val="17"/>
                <w:szCs w:val="17"/>
              </w:rPr>
              <w:t>Should the clinician override the model</w:t>
            </w:r>
          </w:p>
        </w:tc>
        <w:tc>
          <w:tcPr>
            <w:tcW w:w="2050" w:type="dxa"/>
            <w:tcMar>
              <w:top w:w="60" w:type="dxa"/>
              <w:left w:w="90" w:type="dxa"/>
              <w:bottom w:w="60" w:type="dxa"/>
              <w:right w:w="90" w:type="dxa"/>
            </w:tcMar>
          </w:tcPr>
          <w:p w14:paraId="3ABDD9D7" w14:textId="77777777" w:rsidR="004E2118" w:rsidRDefault="00000000">
            <w:r>
              <w:rPr>
                <w:sz w:val="17"/>
                <w:szCs w:val="17"/>
              </w:rPr>
              <w:t>Explicit presentation of predictive uncertainty alongside the point estimate</w:t>
            </w:r>
          </w:p>
        </w:tc>
        <w:tc>
          <w:tcPr>
            <w:tcW w:w="2050" w:type="dxa"/>
            <w:tcMar>
              <w:top w:w="60" w:type="dxa"/>
              <w:left w:w="90" w:type="dxa"/>
              <w:bottom w:w="60" w:type="dxa"/>
              <w:right w:w="90" w:type="dxa"/>
            </w:tcMar>
          </w:tcPr>
          <w:p w14:paraId="205AE479" w14:textId="77777777" w:rsidR="004E2118" w:rsidRDefault="00000000">
            <w:r>
              <w:rPr>
                <w:sz w:val="17"/>
                <w:szCs w:val="17"/>
              </w:rPr>
              <w:t>Calibrated reliance, with wide intervals signalling low informativeness</w:t>
            </w:r>
          </w:p>
        </w:tc>
        <w:tc>
          <w:tcPr>
            <w:tcW w:w="1950" w:type="dxa"/>
            <w:tcMar>
              <w:top w:w="60" w:type="dxa"/>
              <w:left w:w="90" w:type="dxa"/>
              <w:bottom w:w="60" w:type="dxa"/>
              <w:right w:w="90" w:type="dxa"/>
            </w:tcMar>
          </w:tcPr>
          <w:p w14:paraId="59FBC7DA" w14:textId="77777777" w:rsidR="004E2118" w:rsidRDefault="00000000">
            <w:r>
              <w:rPr>
                <w:sz w:val="17"/>
                <w:szCs w:val="17"/>
              </w:rPr>
              <w:t>Protection against automation bias, which requires workflow design rather than explanation alone</w:t>
            </w:r>
          </w:p>
        </w:tc>
        <w:tc>
          <w:tcPr>
            <w:tcW w:w="1476" w:type="dxa"/>
            <w:tcMar>
              <w:top w:w="60" w:type="dxa"/>
              <w:left w:w="90" w:type="dxa"/>
              <w:bottom w:w="60" w:type="dxa"/>
              <w:right w:w="90" w:type="dxa"/>
            </w:tcMar>
          </w:tcPr>
          <w:p w14:paraId="2B2EE47E" w14:textId="77777777" w:rsidR="004E2118" w:rsidRDefault="00000000">
            <w:r w:rsidRPr="00A210D7">
              <w:rPr>
                <w:sz w:val="17"/>
                <w:szCs w:val="17"/>
                <w:lang w:val="it-IT"/>
              </w:rPr>
              <w:t xml:space="preserve">Khera et al. (2023); Rosenbacke et al. </w:t>
            </w:r>
            <w:r>
              <w:rPr>
                <w:sz w:val="17"/>
                <w:szCs w:val="17"/>
              </w:rPr>
              <w:t>(2024)</w:t>
            </w:r>
          </w:p>
        </w:tc>
      </w:tr>
    </w:tbl>
    <w:p w14:paraId="49FA7517" w14:textId="77777777" w:rsidR="004E2118" w:rsidRDefault="00000000">
      <w:pPr>
        <w:spacing w:before="110" w:after="240"/>
      </w:pPr>
      <w:r>
        <w:rPr>
          <w:sz w:val="19"/>
          <w:szCs w:val="19"/>
        </w:rPr>
        <w:t>Note. IgG = immunoglobulin G. All entries assume a model developed to the reporting and evaluation standards described in section 8; none is supported by evidence specific to Nipah virus at present.</w:t>
      </w:r>
    </w:p>
    <w:p w14:paraId="286ADB22" w14:textId="77777777" w:rsidR="004E2118" w:rsidRDefault="00000000">
      <w:pPr>
        <w:pStyle w:val="Heading1"/>
        <w:spacing w:before="340" w:after="160"/>
      </w:pPr>
      <w:r>
        <w:t>8. A Proposed Dynamic Diagnostic Framework</w:t>
      </w:r>
    </w:p>
    <w:p w14:paraId="266570C8" w14:textId="77777777" w:rsidR="004E2118" w:rsidRDefault="00000000">
      <w:pPr>
        <w:pStyle w:val="Heading2"/>
        <w:spacing w:before="260" w:after="130"/>
      </w:pPr>
      <w:r>
        <w:t>8.1 Rationale and Overall Structure</w:t>
      </w:r>
    </w:p>
    <w:p w14:paraId="1CA482CC" w14:textId="77777777" w:rsidR="004E2118" w:rsidRDefault="00000000">
      <w:pPr>
        <w:spacing w:after="160" w:line="360" w:lineRule="auto"/>
        <w:jc w:val="both"/>
      </w:pPr>
      <w:r>
        <w:t xml:space="preserve">The framework set out here is derived from the synthesis in sections 3 to 7 rather than imported from another domain. Its premise is that the information required to interpret NiV diagnostic results temporally is already generated in routine outbreak practice and is already recorded, but is not used. Day of symptom onset is collected for every case because it is needed for incubation period estimation and contact tracing (Arunkumar, Chandni, et al., 2019). Specimen matrix is recorded on every request form. Quantitative molecular output exists in the instrument record even when only a categorical result is reported (As et al., 2024). Serological magnitude is produced by every ELISA run and is increasingly expressible in standardised units (Alam et al., 2026). Clinical phenotype and exposure history are documented during investigation (Sahay et al., 2025; Satter et al., 2026). The framework therefore requires no new specimen, </w:t>
      </w:r>
      <w:r>
        <w:lastRenderedPageBreak/>
        <w:t>no new assay and no new instrument; it requires that existing variables be linked, retained and modelled.</w:t>
      </w:r>
    </w:p>
    <w:p w14:paraId="6E3A934A" w14:textId="77777777" w:rsidR="004E2118" w:rsidRDefault="00000000">
      <w:pPr>
        <w:spacing w:after="160" w:line="360" w:lineRule="auto"/>
        <w:jc w:val="both"/>
      </w:pPr>
      <w:r>
        <w:t>Figure 1 presents the framework in two panels. Panel A depicts the temporal separation of the two modalities with the empirical anchors identified in section 3, and is explicitly schematic: the curves illustrate the relationship established by the cited studies and are not fitted to data, since no dataset exists from which they could be fitted. Panel B specifies the framework itself, distinguishing pathways supported by the reviewed evidence from outputs that remain hypothesised.</w:t>
      </w:r>
    </w:p>
    <w:p w14:paraId="58316D26" w14:textId="77777777" w:rsidR="00A210D7" w:rsidRDefault="00A210D7">
      <w:pPr>
        <w:spacing w:before="220" w:after="130"/>
        <w:jc w:val="center"/>
      </w:pPr>
      <w:r>
        <w:rPr>
          <w:noProof/>
        </w:rPr>
        <w:lastRenderedPageBreak/>
        <w:drawing>
          <wp:inline distT="0" distB="0" distL="0" distR="0" wp14:anchorId="2E23D0B7" wp14:editId="1F012B2A">
            <wp:extent cx="5731510" cy="7187565"/>
            <wp:effectExtent l="0" t="0" r="2540" b="0"/>
            <wp:docPr id="182406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60107" name="Picture 18240601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187565"/>
                    </a:xfrm>
                    <a:prstGeom prst="rect">
                      <a:avLst/>
                    </a:prstGeom>
                  </pic:spPr>
                </pic:pic>
              </a:graphicData>
            </a:graphic>
          </wp:inline>
        </w:drawing>
      </w:r>
    </w:p>
    <w:p w14:paraId="7B3540F7" w14:textId="77777777" w:rsidR="004E2118" w:rsidRDefault="00000000">
      <w:pPr>
        <w:spacing w:after="260"/>
      </w:pPr>
      <w:r>
        <w:rPr>
          <w:sz w:val="20"/>
          <w:szCs w:val="20"/>
        </w:rPr>
        <w:t>Figure 1. Conceptual framework for temporally informed interpretation of molecular and serological results in suspected Nipah virus infection. Panel A shows the schematic temporal separation of the two diagnostic modalities, with the empirical anchors identified in the reviewed clinical literature; the curves are illustrative of the relationship reported in those studies and are not fitted to data. Panel B shows the proposed framework. Solid arrows indicate pathways supported by the reviewed evidence; dashed arrows indicate outputs that are hypothesised and that require prospective evaluation. CSF = cerebrospinal fluid; IgG = immunoglobulin G; IgM = immunoglobulin M; IU = international units; OD = optical density; RT-qPCR = reverse transcription quantitative polymerase chain reaction. The framework was developed from the synthesis presented in this review and is not adapted from prior published work.</w:t>
      </w:r>
    </w:p>
    <w:p w14:paraId="450A2EBA" w14:textId="77777777" w:rsidR="004E2118" w:rsidRDefault="00000000">
      <w:pPr>
        <w:pStyle w:val="Heading2"/>
        <w:spacing w:before="260" w:after="130"/>
      </w:pPr>
      <w:r>
        <w:lastRenderedPageBreak/>
        <w:t>8.2 Inputs, State Representation and Outputs</w:t>
      </w:r>
    </w:p>
    <w:p w14:paraId="32AF7E19" w14:textId="77777777" w:rsidR="004E2118" w:rsidRDefault="00000000">
      <w:pPr>
        <w:spacing w:after="160" w:line="360" w:lineRule="auto"/>
        <w:jc w:val="both"/>
      </w:pPr>
      <w:r>
        <w:t xml:space="preserve">The inputs comprise days since symptom onset, specimen matrix, quantitative molecular result with the assay and platform identified, IgM and IgG magnitude in standardised units where available, clinical phenotype classified as encephalitic or respiratory predominant, routine laboratory indices obtained during admission, and exposure history covering raw date palm sap consumption, contact with a confirmed case and proximity to a known </w:t>
      </w:r>
      <w:r>
        <w:rPr>
          <w:i/>
          <w:iCs/>
        </w:rPr>
        <w:t>Pteropus</w:t>
      </w:r>
      <w:r>
        <w:t xml:space="preserve"> roost. Assay and platform identity are treated as inputs rather than as nuisance variables, because the analytical sensitivity differences documented between benchtop and portable instruments are large enough to alter the interpretation of a negative result (Nguyen et al., 2026).</w:t>
      </w:r>
    </w:p>
    <w:p w14:paraId="11854779" w14:textId="77777777" w:rsidR="004E2118" w:rsidRDefault="00000000">
      <w:pPr>
        <w:spacing w:after="160" w:line="360" w:lineRule="auto"/>
        <w:jc w:val="both"/>
      </w:pPr>
      <w:r>
        <w:t>The state representation treats each patient as an irregular sequence with explicit indicators for observation timing and for which modalities are available at each point, following the principle that missingness in clinical time series is informative and should be modelled rather than imputed away (Che et al., 2018; Kazijevs &amp; Samad, 2023). Fusion is intermediate rather than early or late, retaining modality-specific pathways so that a patient contributing only a molecular result can be processed without imputation of a serological result, while cross-modality interaction remains representable (Kline et al., 2022).</w:t>
      </w:r>
    </w:p>
    <w:p w14:paraId="41139DE3" w14:textId="77777777" w:rsidR="004E2118" w:rsidRDefault="00000000">
      <w:pPr>
        <w:spacing w:after="160" w:line="360" w:lineRule="auto"/>
        <w:jc w:val="both"/>
      </w:pPr>
      <w:r>
        <w:t>Three outputs are specified. The first is the posterior probability of infection given all results to date, which is the output for which the strongest evidential case exists, because the temporal ordering on which it depends is established (Arunkumar, Devadiga, et al., 2019; Satter et al., 2026). The second is the expected information gain from a repeat specimen at a stated interval and matrix, which is hypothesised: no evidence establishes that a model could identify the optimal repeat interval, and the quantity would need to be validated against observed changes in diagnostic status. The third is prognostic stratification derived from the joint viraemia and IgG pattern, which is likewise hypothesised at the level of an adjusted independent association, although the unadjusted association is documented (Sahay et al., 2024; Satter et al., 2026).</w:t>
      </w:r>
    </w:p>
    <w:p w14:paraId="289CD865" w14:textId="77777777" w:rsidR="004E2118" w:rsidRDefault="00000000">
      <w:pPr>
        <w:pStyle w:val="Heading2"/>
        <w:spacing w:before="260" w:after="130"/>
      </w:pPr>
      <w:r>
        <w:t>8.3 Model Class, Evaluation and Governance</w:t>
      </w:r>
    </w:p>
    <w:p w14:paraId="242666BF" w14:textId="77777777" w:rsidR="004E2118" w:rsidRDefault="00000000">
      <w:pPr>
        <w:spacing w:after="160" w:line="360" w:lineRule="auto"/>
        <w:jc w:val="both"/>
      </w:pPr>
      <w:r>
        <w:t xml:space="preserve">Model class should follow the evidence rather than the ambition. With fewer than one hundred characterised cases, hierarchical Bayesian or penalised temporal formulations are appropriate, with informative priors encoding assay limits of detection and the established immunological ordering, and with predictive intervals reported rather than point estimates alone (Kompa et al., 2021). Attention-based multi-horizon architectures of the temporal fusion transformer family become appropriate only when pooled multi-country data reach a scale comparable with the </w:t>
      </w:r>
      <w:r>
        <w:lastRenderedPageBreak/>
        <w:t>clinical applications in which they have been validated (Lim et al., 2021; Kapral et al., 2024). Federated training across Bangladeshi and Indian institutions offers a route to that scale without transfer of individual records, and has precedent in multi-site clinical prediction (Rieke et al., 2020; Dayan et al., 2021).</w:t>
      </w:r>
    </w:p>
    <w:p w14:paraId="70406EDF" w14:textId="77777777" w:rsidR="004E2118" w:rsidRDefault="00000000">
      <w:pPr>
        <w:spacing w:after="160" w:line="360" w:lineRule="auto"/>
        <w:jc w:val="both"/>
      </w:pPr>
      <w:r>
        <w:t>Evaluation requirements are stringent and largely non-negotiable. Calibration must be assessed alongside discrimination, because a miscalibrated model can reduce net benefit relative to using no model (Van Calster &amp; Vickers, 2015). External validation in a setting and lineage not represented in development is necessary before any claim of generalisability, and the design and sample-size requirements for such validation are established (Riley et al., 2021; Riley et al., 2024). Because the reference standard is imperfect and the two modalities are conditionally dependent through the temporal mechanism itself, accuracy estimation should use latent class formulations in which dependence is structured by illness day rather than assumed away (Pepe &amp; Janes, 2007; J. Collins &amp; Huynh, 2014; Kostoulas et al., 2017).</w:t>
      </w:r>
    </w:p>
    <w:p w14:paraId="72EA57C5" w14:textId="77777777" w:rsidR="004E2118" w:rsidRDefault="00000000">
      <w:pPr>
        <w:spacing w:after="160" w:line="360" w:lineRule="auto"/>
        <w:jc w:val="both"/>
      </w:pPr>
      <w:r>
        <w:t>Reporting and governance should follow existing standards rather than improvised ones. Development and validation should be reported in accordance with the updated guidance for prediction models using regression or machine learning (G. S. Collins et al., 2024), with the minimum information checklist for clinical artificial intelligence modelling applied to the computational components (Norgeot et al., 2020). Any move towards clinical use should proceed through early-stage clinical evaluation as specified for artificial-intelligence-driven decision support, with the intended role in the workflow, the human factors of the interface and the safety monitoring plan defined in advance (Vasey et al., 2022). Regulatory pathways for artificial intelligence in health are evolving and would apply to any product-form implementation (Warraich et al., 2025). Subgroup-stratified performance should be reported for children, for patients diagnosed at peripheral facilities and for lineages under-represented in development, in line with established practice in algorithmic fairness assessment (Chen et al., 2023; Ciecierski-Holmes et al., 2022).</w:t>
      </w:r>
    </w:p>
    <w:p w14:paraId="23361D06" w14:textId="77777777" w:rsidR="004E2118" w:rsidRDefault="00000000">
      <w:pPr>
        <w:pStyle w:val="Heading2"/>
        <w:spacing w:before="260" w:after="130"/>
      </w:pPr>
      <w:r>
        <w:t>8.4 Feasibility and What Would Falsify the Proposal</w:t>
      </w:r>
    </w:p>
    <w:p w14:paraId="6E043DC7" w14:textId="77777777" w:rsidR="004E2118" w:rsidRDefault="00000000">
      <w:pPr>
        <w:spacing w:after="160" w:line="360" w:lineRule="auto"/>
        <w:jc w:val="both"/>
      </w:pPr>
      <w:r>
        <w:t xml:space="preserve">Feasibility rests on three conditions. The first is prospective, protocolised serial specimen collection linked to the day of onset, which the published Bangladeshi cohort protocol would provide if implemented at scale (Hassan et al., 2025), and which the Indian laboratory surveillance networks could support (Sahay et al., 2025; Abdulkader et al., 2025). The second is assay harmonisation, requiring an international nucleic acid standard analogous to the </w:t>
      </w:r>
      <w:r>
        <w:lastRenderedPageBreak/>
        <w:t>existing antibody standard (Alam et al., 2026; Garbuglia et al., 2023). The third is a governance arrangement permitting cross-border pooling or federated analysis, which is an institutional rather than a technical problem.</w:t>
      </w:r>
    </w:p>
    <w:p w14:paraId="33C2E9E3" w14:textId="77777777" w:rsidR="004E2118" w:rsidRDefault="00000000">
      <w:pPr>
        <w:spacing w:after="160" w:line="360" w:lineRule="auto"/>
        <w:jc w:val="both"/>
      </w:pPr>
      <w:r>
        <w:t>The proposal is falsifiable in specific ways, and stating them is part of its purpose. If prospective data show that the crossover interval is so brief or so variable between patients that conditioning on illness day adds negligible information beyond the raw results, the framework fails at its foundation. If the prognostic association between the joint marker pattern and outcome disappears once illness day is adjusted for, the third output loses its rationale. If model-derived specimen scheduling does not outperform fixed-interval protocols in a prospective comparison, the second output should be abandoned. If explanation outputs prove to be unstable across resampled training sets, which is the expected failure mode at small sample sizes, the explanation layer should not be presented to clinicians at all (Ghassemi et al., 2021). Each of these is testable, and each would be testable earlier and more cheaply than the full framework.</w:t>
      </w:r>
    </w:p>
    <w:p w14:paraId="57938733" w14:textId="77777777" w:rsidR="004E2118" w:rsidRDefault="00000000">
      <w:pPr>
        <w:spacing w:after="160" w:line="360" w:lineRule="auto"/>
        <w:jc w:val="both"/>
      </w:pPr>
      <w:r>
        <w:t>Table 5 lists the framework components against their evidential status and the validation each would require. The pattern the table makes explicit is that the established components are those concerning inputs and temporal ordering, whereas everything concerning incremental performance gain is hypothesised. This asymmetry is the honest position of the field, and any implementation proposal that does not reproduce it should be treated as overstating the evidence.</w:t>
      </w:r>
    </w:p>
    <w:p w14:paraId="51B69248" w14:textId="77777777" w:rsidR="004E2118" w:rsidRDefault="00000000">
      <w:pPr>
        <w:spacing w:before="220" w:after="110"/>
      </w:pPr>
      <w:r>
        <w:rPr>
          <w:b/>
          <w:bCs/>
          <w:sz w:val="21"/>
          <w:szCs w:val="21"/>
        </w:rPr>
        <w:t xml:space="preserve">Table 5. </w:t>
      </w:r>
      <w:r>
        <w:rPr>
          <w:sz w:val="21"/>
          <w:szCs w:val="21"/>
        </w:rPr>
        <w:t>Components of the proposed dynamic diagnostic framework, with evidential status and required validation</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72BE24CE" w14:textId="77777777">
        <w:trPr>
          <w:tblHeader/>
        </w:trPr>
        <w:tc>
          <w:tcPr>
            <w:tcW w:w="1500" w:type="dxa"/>
            <w:shd w:val="clear" w:color="auto" w:fill="E8ECF1"/>
            <w:tcMar>
              <w:top w:w="60" w:type="dxa"/>
              <w:left w:w="90" w:type="dxa"/>
              <w:bottom w:w="60" w:type="dxa"/>
              <w:right w:w="90" w:type="dxa"/>
            </w:tcMar>
          </w:tcPr>
          <w:p w14:paraId="6416BD6E" w14:textId="77777777" w:rsidR="004E2118" w:rsidRDefault="00000000">
            <w:r>
              <w:rPr>
                <w:b/>
                <w:bCs/>
                <w:sz w:val="17"/>
                <w:szCs w:val="17"/>
              </w:rPr>
              <w:t>Component</w:t>
            </w:r>
          </w:p>
        </w:tc>
        <w:tc>
          <w:tcPr>
            <w:tcW w:w="2050" w:type="dxa"/>
            <w:shd w:val="clear" w:color="auto" w:fill="E8ECF1"/>
            <w:tcMar>
              <w:top w:w="60" w:type="dxa"/>
              <w:left w:w="90" w:type="dxa"/>
              <w:bottom w:w="60" w:type="dxa"/>
              <w:right w:w="90" w:type="dxa"/>
            </w:tcMar>
          </w:tcPr>
          <w:p w14:paraId="576E06AB" w14:textId="77777777" w:rsidR="004E2118" w:rsidRDefault="00000000">
            <w:r>
              <w:rPr>
                <w:b/>
                <w:bCs/>
                <w:sz w:val="17"/>
                <w:szCs w:val="17"/>
              </w:rPr>
              <w:t>Specification</w:t>
            </w:r>
          </w:p>
        </w:tc>
        <w:tc>
          <w:tcPr>
            <w:tcW w:w="2050" w:type="dxa"/>
            <w:shd w:val="clear" w:color="auto" w:fill="E8ECF1"/>
            <w:tcMar>
              <w:top w:w="60" w:type="dxa"/>
              <w:left w:w="90" w:type="dxa"/>
              <w:bottom w:w="60" w:type="dxa"/>
              <w:right w:w="90" w:type="dxa"/>
            </w:tcMar>
          </w:tcPr>
          <w:p w14:paraId="3302A291" w14:textId="77777777" w:rsidR="004E2118" w:rsidRDefault="00000000">
            <w:r>
              <w:rPr>
                <w:b/>
                <w:bCs/>
                <w:sz w:val="17"/>
                <w:szCs w:val="17"/>
              </w:rPr>
              <w:t>Evidential status</w:t>
            </w:r>
          </w:p>
        </w:tc>
        <w:tc>
          <w:tcPr>
            <w:tcW w:w="1950" w:type="dxa"/>
            <w:shd w:val="clear" w:color="auto" w:fill="E8ECF1"/>
            <w:tcMar>
              <w:top w:w="60" w:type="dxa"/>
              <w:left w:w="90" w:type="dxa"/>
              <w:bottom w:w="60" w:type="dxa"/>
              <w:right w:w="90" w:type="dxa"/>
            </w:tcMar>
          </w:tcPr>
          <w:p w14:paraId="0723635B" w14:textId="77777777" w:rsidR="004E2118" w:rsidRDefault="00000000">
            <w:r>
              <w:rPr>
                <w:b/>
                <w:bCs/>
                <w:sz w:val="17"/>
                <w:szCs w:val="17"/>
              </w:rPr>
              <w:t>Validation required before use</w:t>
            </w:r>
          </w:p>
        </w:tc>
        <w:tc>
          <w:tcPr>
            <w:tcW w:w="1476" w:type="dxa"/>
            <w:shd w:val="clear" w:color="auto" w:fill="E8ECF1"/>
            <w:tcMar>
              <w:top w:w="60" w:type="dxa"/>
              <w:left w:w="90" w:type="dxa"/>
              <w:bottom w:w="60" w:type="dxa"/>
              <w:right w:w="90" w:type="dxa"/>
            </w:tcMar>
          </w:tcPr>
          <w:p w14:paraId="73A742E4" w14:textId="77777777" w:rsidR="004E2118" w:rsidRDefault="00000000">
            <w:r>
              <w:rPr>
                <w:b/>
                <w:bCs/>
                <w:sz w:val="17"/>
                <w:szCs w:val="17"/>
              </w:rPr>
              <w:t>Supporting references</w:t>
            </w:r>
          </w:p>
        </w:tc>
      </w:tr>
      <w:tr w:rsidR="004E2118" w14:paraId="11089CCE" w14:textId="77777777">
        <w:tc>
          <w:tcPr>
            <w:tcW w:w="1500" w:type="dxa"/>
            <w:tcMar>
              <w:top w:w="60" w:type="dxa"/>
              <w:left w:w="90" w:type="dxa"/>
              <w:bottom w:w="60" w:type="dxa"/>
              <w:right w:w="90" w:type="dxa"/>
            </w:tcMar>
          </w:tcPr>
          <w:p w14:paraId="0396D5F8" w14:textId="77777777" w:rsidR="004E2118" w:rsidRDefault="00000000">
            <w:r>
              <w:rPr>
                <w:sz w:val="17"/>
                <w:szCs w:val="17"/>
              </w:rPr>
              <w:t>Day of illness as a conditioning variable</w:t>
            </w:r>
          </w:p>
        </w:tc>
        <w:tc>
          <w:tcPr>
            <w:tcW w:w="2050" w:type="dxa"/>
            <w:tcMar>
              <w:top w:w="60" w:type="dxa"/>
              <w:left w:w="90" w:type="dxa"/>
              <w:bottom w:w="60" w:type="dxa"/>
              <w:right w:w="90" w:type="dxa"/>
            </w:tcMar>
          </w:tcPr>
          <w:p w14:paraId="4C9B4A8F" w14:textId="77777777" w:rsidR="004E2118" w:rsidRDefault="00000000">
            <w:r>
              <w:rPr>
                <w:sz w:val="17"/>
                <w:szCs w:val="17"/>
              </w:rPr>
              <w:t>Days since symptom onset entered as a continuous predictor modifying the interpretation of every result</w:t>
            </w:r>
          </w:p>
        </w:tc>
        <w:tc>
          <w:tcPr>
            <w:tcW w:w="2050" w:type="dxa"/>
            <w:tcMar>
              <w:top w:w="60" w:type="dxa"/>
              <w:left w:w="90" w:type="dxa"/>
              <w:bottom w:w="60" w:type="dxa"/>
              <w:right w:w="90" w:type="dxa"/>
            </w:tcMar>
          </w:tcPr>
          <w:p w14:paraId="7C882404" w14:textId="77777777" w:rsidR="004E2118" w:rsidRDefault="00000000">
            <w:r>
              <w:rPr>
                <w:sz w:val="17"/>
                <w:szCs w:val="17"/>
              </w:rPr>
              <w:t>Established that detectability varies with illness day</w:t>
            </w:r>
          </w:p>
        </w:tc>
        <w:tc>
          <w:tcPr>
            <w:tcW w:w="1950" w:type="dxa"/>
            <w:tcMar>
              <w:top w:w="60" w:type="dxa"/>
              <w:left w:w="90" w:type="dxa"/>
              <w:bottom w:w="60" w:type="dxa"/>
              <w:right w:w="90" w:type="dxa"/>
            </w:tcMar>
          </w:tcPr>
          <w:p w14:paraId="0DDAA604" w14:textId="77777777" w:rsidR="004E2118" w:rsidRDefault="00000000">
            <w:r>
              <w:rPr>
                <w:sz w:val="17"/>
                <w:szCs w:val="17"/>
              </w:rPr>
              <w:t>Estimation of day-specific detection probability from protocolised serial sampling</w:t>
            </w:r>
          </w:p>
        </w:tc>
        <w:tc>
          <w:tcPr>
            <w:tcW w:w="1476" w:type="dxa"/>
            <w:tcMar>
              <w:top w:w="60" w:type="dxa"/>
              <w:left w:w="90" w:type="dxa"/>
              <w:bottom w:w="60" w:type="dxa"/>
              <w:right w:w="90" w:type="dxa"/>
            </w:tcMar>
          </w:tcPr>
          <w:p w14:paraId="181FA4F9" w14:textId="77777777" w:rsidR="004E2118" w:rsidRDefault="00000000">
            <w:r w:rsidRPr="004565A3">
              <w:rPr>
                <w:sz w:val="17"/>
                <w:szCs w:val="17"/>
                <w:lang w:val="nl-BE"/>
              </w:rPr>
              <w:t xml:space="preserve">As et al. (2024); Satter et al. </w:t>
            </w:r>
            <w:r>
              <w:rPr>
                <w:sz w:val="17"/>
                <w:szCs w:val="17"/>
              </w:rPr>
              <w:t>(2026); Hassan et al. (2025)</w:t>
            </w:r>
          </w:p>
        </w:tc>
      </w:tr>
      <w:tr w:rsidR="004E2118" w14:paraId="748BD89F" w14:textId="77777777">
        <w:tc>
          <w:tcPr>
            <w:tcW w:w="1500" w:type="dxa"/>
            <w:tcMar>
              <w:top w:w="60" w:type="dxa"/>
              <w:left w:w="90" w:type="dxa"/>
              <w:bottom w:w="60" w:type="dxa"/>
              <w:right w:w="90" w:type="dxa"/>
            </w:tcMar>
          </w:tcPr>
          <w:p w14:paraId="12745518" w14:textId="77777777" w:rsidR="004E2118" w:rsidRDefault="00000000">
            <w:r>
              <w:rPr>
                <w:sz w:val="17"/>
                <w:szCs w:val="17"/>
              </w:rPr>
              <w:t>Quantitative molecular input</w:t>
            </w:r>
          </w:p>
        </w:tc>
        <w:tc>
          <w:tcPr>
            <w:tcW w:w="2050" w:type="dxa"/>
            <w:tcMar>
              <w:top w:w="60" w:type="dxa"/>
              <w:left w:w="90" w:type="dxa"/>
              <w:bottom w:w="60" w:type="dxa"/>
              <w:right w:w="90" w:type="dxa"/>
            </w:tcMar>
          </w:tcPr>
          <w:p w14:paraId="13F12D6C" w14:textId="77777777" w:rsidR="004E2118" w:rsidRDefault="00000000">
            <w:r>
              <w:rPr>
                <w:sz w:val="17"/>
                <w:szCs w:val="17"/>
              </w:rPr>
              <w:t>Copies per millilitre retained with assay and platform identity recorded</w:t>
            </w:r>
          </w:p>
        </w:tc>
        <w:tc>
          <w:tcPr>
            <w:tcW w:w="2050" w:type="dxa"/>
            <w:tcMar>
              <w:top w:w="60" w:type="dxa"/>
              <w:left w:w="90" w:type="dxa"/>
              <w:bottom w:w="60" w:type="dxa"/>
              <w:right w:w="90" w:type="dxa"/>
            </w:tcMar>
          </w:tcPr>
          <w:p w14:paraId="26684873" w14:textId="77777777" w:rsidR="004E2118" w:rsidRDefault="00000000">
            <w:r>
              <w:rPr>
                <w:sz w:val="17"/>
                <w:szCs w:val="17"/>
              </w:rPr>
              <w:t>Established that viral load varies across cases; platform sensitivity differences documented</w:t>
            </w:r>
          </w:p>
        </w:tc>
        <w:tc>
          <w:tcPr>
            <w:tcW w:w="1950" w:type="dxa"/>
            <w:tcMar>
              <w:top w:w="60" w:type="dxa"/>
              <w:left w:w="90" w:type="dxa"/>
              <w:bottom w:w="60" w:type="dxa"/>
              <w:right w:w="90" w:type="dxa"/>
            </w:tcMar>
          </w:tcPr>
          <w:p w14:paraId="09B030CF" w14:textId="77777777" w:rsidR="004E2118" w:rsidRDefault="00000000">
            <w:r>
              <w:rPr>
                <w:sz w:val="17"/>
                <w:szCs w:val="17"/>
              </w:rPr>
              <w:t>Harmonisation against an international nucleic acid standard</w:t>
            </w:r>
          </w:p>
        </w:tc>
        <w:tc>
          <w:tcPr>
            <w:tcW w:w="1476" w:type="dxa"/>
            <w:tcMar>
              <w:top w:w="60" w:type="dxa"/>
              <w:left w:w="90" w:type="dxa"/>
              <w:bottom w:w="60" w:type="dxa"/>
              <w:right w:w="90" w:type="dxa"/>
            </w:tcMar>
          </w:tcPr>
          <w:p w14:paraId="474D1E2F" w14:textId="77777777" w:rsidR="004E2118" w:rsidRDefault="00000000">
            <w:r w:rsidRPr="00A210D7">
              <w:rPr>
                <w:sz w:val="17"/>
                <w:szCs w:val="17"/>
                <w:lang w:val="it-IT"/>
              </w:rPr>
              <w:t xml:space="preserve">Garbuglia et al. (2023); Nguyen et al. </w:t>
            </w:r>
            <w:r>
              <w:rPr>
                <w:sz w:val="17"/>
                <w:szCs w:val="17"/>
              </w:rPr>
              <w:t>(2026); As et al. (2024)</w:t>
            </w:r>
          </w:p>
        </w:tc>
      </w:tr>
      <w:tr w:rsidR="004E2118" w14:paraId="08602CE3" w14:textId="77777777">
        <w:tc>
          <w:tcPr>
            <w:tcW w:w="1500" w:type="dxa"/>
            <w:tcMar>
              <w:top w:w="60" w:type="dxa"/>
              <w:left w:w="90" w:type="dxa"/>
              <w:bottom w:w="60" w:type="dxa"/>
              <w:right w:w="90" w:type="dxa"/>
            </w:tcMar>
          </w:tcPr>
          <w:p w14:paraId="34024D04" w14:textId="77777777" w:rsidR="004E2118" w:rsidRDefault="00000000">
            <w:r>
              <w:rPr>
                <w:sz w:val="17"/>
                <w:szCs w:val="17"/>
              </w:rPr>
              <w:t>Quantitative serological input</w:t>
            </w:r>
          </w:p>
        </w:tc>
        <w:tc>
          <w:tcPr>
            <w:tcW w:w="2050" w:type="dxa"/>
            <w:tcMar>
              <w:top w:w="60" w:type="dxa"/>
              <w:left w:w="90" w:type="dxa"/>
              <w:bottom w:w="60" w:type="dxa"/>
              <w:right w:w="90" w:type="dxa"/>
            </w:tcMar>
          </w:tcPr>
          <w:p w14:paraId="575152AA" w14:textId="77777777" w:rsidR="004E2118" w:rsidRDefault="00000000">
            <w:r>
              <w:rPr>
                <w:sz w:val="17"/>
                <w:szCs w:val="17"/>
              </w:rPr>
              <w:t>IgM and IgG magnitude in international units where an international standard applies</w:t>
            </w:r>
          </w:p>
        </w:tc>
        <w:tc>
          <w:tcPr>
            <w:tcW w:w="2050" w:type="dxa"/>
            <w:tcMar>
              <w:top w:w="60" w:type="dxa"/>
              <w:left w:w="90" w:type="dxa"/>
              <w:bottom w:w="60" w:type="dxa"/>
              <w:right w:w="90" w:type="dxa"/>
            </w:tcMar>
          </w:tcPr>
          <w:p w14:paraId="65DD3725" w14:textId="77777777" w:rsidR="004E2118" w:rsidRDefault="00000000">
            <w:r>
              <w:rPr>
                <w:sz w:val="17"/>
                <w:szCs w:val="17"/>
              </w:rPr>
              <w:t>Established analytically; clinical performance during seroconversion unquantified</w:t>
            </w:r>
          </w:p>
        </w:tc>
        <w:tc>
          <w:tcPr>
            <w:tcW w:w="1950" w:type="dxa"/>
            <w:tcMar>
              <w:top w:w="60" w:type="dxa"/>
              <w:left w:w="90" w:type="dxa"/>
              <w:bottom w:w="60" w:type="dxa"/>
              <w:right w:w="90" w:type="dxa"/>
            </w:tcMar>
          </w:tcPr>
          <w:p w14:paraId="72997C27" w14:textId="77777777" w:rsidR="004E2118" w:rsidRDefault="00000000">
            <w:r>
              <w:rPr>
                <w:sz w:val="17"/>
                <w:szCs w:val="17"/>
              </w:rPr>
              <w:t>Characterisation against clinical specimens of known onset day</w:t>
            </w:r>
          </w:p>
        </w:tc>
        <w:tc>
          <w:tcPr>
            <w:tcW w:w="1476" w:type="dxa"/>
            <w:tcMar>
              <w:top w:w="60" w:type="dxa"/>
              <w:left w:w="90" w:type="dxa"/>
              <w:bottom w:w="60" w:type="dxa"/>
              <w:right w:w="90" w:type="dxa"/>
            </w:tcMar>
          </w:tcPr>
          <w:p w14:paraId="053CCBB9" w14:textId="77777777" w:rsidR="004E2118" w:rsidRDefault="00000000">
            <w:r w:rsidRPr="00A210D7">
              <w:rPr>
                <w:sz w:val="17"/>
                <w:szCs w:val="17"/>
                <w:lang w:val="it-IT"/>
              </w:rPr>
              <w:t xml:space="preserve">Alam et al. (2026); Garbuglia et al. </w:t>
            </w:r>
            <w:r>
              <w:rPr>
                <w:sz w:val="17"/>
                <w:szCs w:val="17"/>
              </w:rPr>
              <w:t>(2023)</w:t>
            </w:r>
          </w:p>
        </w:tc>
      </w:tr>
      <w:tr w:rsidR="004E2118" w:rsidRPr="004565A3" w14:paraId="7B38CF02" w14:textId="77777777">
        <w:tc>
          <w:tcPr>
            <w:tcW w:w="1500" w:type="dxa"/>
            <w:tcMar>
              <w:top w:w="60" w:type="dxa"/>
              <w:left w:w="90" w:type="dxa"/>
              <w:bottom w:w="60" w:type="dxa"/>
              <w:right w:w="90" w:type="dxa"/>
            </w:tcMar>
          </w:tcPr>
          <w:p w14:paraId="6CA6A82D" w14:textId="77777777" w:rsidR="004E2118" w:rsidRDefault="00000000">
            <w:r>
              <w:rPr>
                <w:sz w:val="17"/>
                <w:szCs w:val="17"/>
              </w:rPr>
              <w:t>Modality-availability and timing indicators</w:t>
            </w:r>
          </w:p>
        </w:tc>
        <w:tc>
          <w:tcPr>
            <w:tcW w:w="2050" w:type="dxa"/>
            <w:tcMar>
              <w:top w:w="60" w:type="dxa"/>
              <w:left w:w="90" w:type="dxa"/>
              <w:bottom w:w="60" w:type="dxa"/>
              <w:right w:w="90" w:type="dxa"/>
            </w:tcMar>
          </w:tcPr>
          <w:p w14:paraId="508EAA87" w14:textId="77777777" w:rsidR="004E2118" w:rsidRDefault="00000000">
            <w:r>
              <w:rPr>
                <w:sz w:val="17"/>
                <w:szCs w:val="17"/>
              </w:rPr>
              <w:t>Explicit representation of which specimens exist and when, without imputation of absent modalities</w:t>
            </w:r>
          </w:p>
        </w:tc>
        <w:tc>
          <w:tcPr>
            <w:tcW w:w="2050" w:type="dxa"/>
            <w:tcMar>
              <w:top w:w="60" w:type="dxa"/>
              <w:left w:w="90" w:type="dxa"/>
              <w:bottom w:w="60" w:type="dxa"/>
              <w:right w:w="90" w:type="dxa"/>
            </w:tcMar>
          </w:tcPr>
          <w:p w14:paraId="0C30D157" w14:textId="77777777" w:rsidR="004E2118" w:rsidRDefault="00000000">
            <w:r>
              <w:rPr>
                <w:sz w:val="17"/>
                <w:szCs w:val="17"/>
              </w:rPr>
              <w:t>Plausible; informative missingness established in clinical time series generally</w:t>
            </w:r>
          </w:p>
        </w:tc>
        <w:tc>
          <w:tcPr>
            <w:tcW w:w="1950" w:type="dxa"/>
            <w:tcMar>
              <w:top w:w="60" w:type="dxa"/>
              <w:left w:w="90" w:type="dxa"/>
              <w:bottom w:w="60" w:type="dxa"/>
              <w:right w:w="90" w:type="dxa"/>
            </w:tcMar>
          </w:tcPr>
          <w:p w14:paraId="47DBB758" w14:textId="77777777" w:rsidR="004E2118" w:rsidRDefault="00000000">
            <w:r>
              <w:rPr>
                <w:sz w:val="17"/>
                <w:szCs w:val="17"/>
              </w:rPr>
              <w:t>Demonstration that explicit representation outperforms imputation in this dataset</w:t>
            </w:r>
          </w:p>
        </w:tc>
        <w:tc>
          <w:tcPr>
            <w:tcW w:w="1476" w:type="dxa"/>
            <w:tcMar>
              <w:top w:w="60" w:type="dxa"/>
              <w:left w:w="90" w:type="dxa"/>
              <w:bottom w:w="60" w:type="dxa"/>
              <w:right w:w="90" w:type="dxa"/>
            </w:tcMar>
          </w:tcPr>
          <w:p w14:paraId="53158269" w14:textId="77777777" w:rsidR="004E2118" w:rsidRPr="004565A3" w:rsidRDefault="00000000">
            <w:pPr>
              <w:rPr>
                <w:lang w:val="nl-BE"/>
              </w:rPr>
            </w:pPr>
            <w:r w:rsidRPr="004565A3">
              <w:rPr>
                <w:sz w:val="17"/>
                <w:szCs w:val="17"/>
                <w:lang w:val="nl-BE"/>
              </w:rPr>
              <w:t>Che et al. (2018); Kazijevs and Samad (2023)</w:t>
            </w:r>
          </w:p>
        </w:tc>
      </w:tr>
      <w:tr w:rsidR="004E2118" w14:paraId="01DB2D38" w14:textId="77777777">
        <w:tc>
          <w:tcPr>
            <w:tcW w:w="1500" w:type="dxa"/>
            <w:tcMar>
              <w:top w:w="60" w:type="dxa"/>
              <w:left w:w="90" w:type="dxa"/>
              <w:bottom w:w="60" w:type="dxa"/>
              <w:right w:w="90" w:type="dxa"/>
            </w:tcMar>
          </w:tcPr>
          <w:p w14:paraId="4D6A69E6" w14:textId="77777777" w:rsidR="004E2118" w:rsidRDefault="00000000">
            <w:r>
              <w:rPr>
                <w:sz w:val="17"/>
                <w:szCs w:val="17"/>
              </w:rPr>
              <w:lastRenderedPageBreak/>
              <w:t>Intermediate fusion architecture</w:t>
            </w:r>
          </w:p>
        </w:tc>
        <w:tc>
          <w:tcPr>
            <w:tcW w:w="2050" w:type="dxa"/>
            <w:tcMar>
              <w:top w:w="60" w:type="dxa"/>
              <w:left w:w="90" w:type="dxa"/>
              <w:bottom w:w="60" w:type="dxa"/>
              <w:right w:w="90" w:type="dxa"/>
            </w:tcMar>
          </w:tcPr>
          <w:p w14:paraId="066D853C" w14:textId="77777777" w:rsidR="004E2118" w:rsidRDefault="00000000">
            <w:r>
              <w:rPr>
                <w:sz w:val="17"/>
                <w:szCs w:val="17"/>
              </w:rPr>
              <w:t>Modality-specific pathways feeding a joint representation</w:t>
            </w:r>
          </w:p>
        </w:tc>
        <w:tc>
          <w:tcPr>
            <w:tcW w:w="2050" w:type="dxa"/>
            <w:tcMar>
              <w:top w:w="60" w:type="dxa"/>
              <w:left w:w="90" w:type="dxa"/>
              <w:bottom w:w="60" w:type="dxa"/>
              <w:right w:w="90" w:type="dxa"/>
            </w:tcMar>
          </w:tcPr>
          <w:p w14:paraId="329CF8C2" w14:textId="77777777" w:rsidR="004E2118" w:rsidRDefault="00000000">
            <w:r>
              <w:rPr>
                <w:sz w:val="17"/>
                <w:szCs w:val="17"/>
              </w:rPr>
              <w:t>Plausible design inference from single-modality availability</w:t>
            </w:r>
          </w:p>
        </w:tc>
        <w:tc>
          <w:tcPr>
            <w:tcW w:w="1950" w:type="dxa"/>
            <w:tcMar>
              <w:top w:w="60" w:type="dxa"/>
              <w:left w:w="90" w:type="dxa"/>
              <w:bottom w:w="60" w:type="dxa"/>
              <w:right w:w="90" w:type="dxa"/>
            </w:tcMar>
          </w:tcPr>
          <w:p w14:paraId="4AFFF987" w14:textId="77777777" w:rsidR="004E2118" w:rsidRDefault="00000000">
            <w:r>
              <w:rPr>
                <w:sz w:val="17"/>
                <w:szCs w:val="17"/>
              </w:rPr>
              <w:t>Comparison against late fusion in prospective data</w:t>
            </w:r>
          </w:p>
        </w:tc>
        <w:tc>
          <w:tcPr>
            <w:tcW w:w="1476" w:type="dxa"/>
            <w:tcMar>
              <w:top w:w="60" w:type="dxa"/>
              <w:left w:w="90" w:type="dxa"/>
              <w:bottom w:w="60" w:type="dxa"/>
              <w:right w:w="90" w:type="dxa"/>
            </w:tcMar>
          </w:tcPr>
          <w:p w14:paraId="59147BB8" w14:textId="77777777" w:rsidR="004E2118" w:rsidRDefault="00000000">
            <w:r w:rsidRPr="00A210D7">
              <w:rPr>
                <w:sz w:val="17"/>
                <w:szCs w:val="17"/>
                <w:lang w:val="it-IT"/>
              </w:rPr>
              <w:t xml:space="preserve">Kline et al. (2022); Satter et al. </w:t>
            </w:r>
            <w:r>
              <w:rPr>
                <w:sz w:val="17"/>
                <w:szCs w:val="17"/>
              </w:rPr>
              <w:t>(2026)</w:t>
            </w:r>
          </w:p>
        </w:tc>
      </w:tr>
      <w:tr w:rsidR="004E2118" w14:paraId="1A64289F" w14:textId="77777777">
        <w:tc>
          <w:tcPr>
            <w:tcW w:w="1500" w:type="dxa"/>
            <w:tcMar>
              <w:top w:w="60" w:type="dxa"/>
              <w:left w:w="90" w:type="dxa"/>
              <w:bottom w:w="60" w:type="dxa"/>
              <w:right w:w="90" w:type="dxa"/>
            </w:tcMar>
          </w:tcPr>
          <w:p w14:paraId="50627BFC" w14:textId="77777777" w:rsidR="004E2118" w:rsidRDefault="00000000">
            <w:r>
              <w:rPr>
                <w:sz w:val="17"/>
                <w:szCs w:val="17"/>
              </w:rPr>
              <w:t>Posterior probability of infection</w:t>
            </w:r>
          </w:p>
        </w:tc>
        <w:tc>
          <w:tcPr>
            <w:tcW w:w="2050" w:type="dxa"/>
            <w:tcMar>
              <w:top w:w="60" w:type="dxa"/>
              <w:left w:w="90" w:type="dxa"/>
              <w:bottom w:w="60" w:type="dxa"/>
              <w:right w:w="90" w:type="dxa"/>
            </w:tcMar>
          </w:tcPr>
          <w:p w14:paraId="6D3B46B1" w14:textId="77777777" w:rsidR="004E2118" w:rsidRDefault="00000000">
            <w:r>
              <w:rPr>
                <w:sz w:val="17"/>
                <w:szCs w:val="17"/>
              </w:rPr>
              <w:t>Calibrated probability conditional on all results to date</w:t>
            </w:r>
          </w:p>
        </w:tc>
        <w:tc>
          <w:tcPr>
            <w:tcW w:w="2050" w:type="dxa"/>
            <w:tcMar>
              <w:top w:w="60" w:type="dxa"/>
              <w:left w:w="90" w:type="dxa"/>
              <w:bottom w:w="60" w:type="dxa"/>
              <w:right w:w="90" w:type="dxa"/>
            </w:tcMar>
          </w:tcPr>
          <w:p w14:paraId="1613E479" w14:textId="77777777" w:rsidR="004E2118" w:rsidRDefault="00000000">
            <w:r>
              <w:rPr>
                <w:sz w:val="17"/>
                <w:szCs w:val="17"/>
              </w:rPr>
              <w:t>Hypothesised as an improvement; temporal ordering on which it rests is established</w:t>
            </w:r>
          </w:p>
        </w:tc>
        <w:tc>
          <w:tcPr>
            <w:tcW w:w="1950" w:type="dxa"/>
            <w:tcMar>
              <w:top w:w="60" w:type="dxa"/>
              <w:left w:w="90" w:type="dxa"/>
              <w:bottom w:w="60" w:type="dxa"/>
              <w:right w:w="90" w:type="dxa"/>
            </w:tcMar>
          </w:tcPr>
          <w:p w14:paraId="1430A64A" w14:textId="77777777" w:rsidR="004E2118" w:rsidRDefault="00000000">
            <w:r>
              <w:rPr>
                <w:sz w:val="17"/>
                <w:szCs w:val="17"/>
              </w:rPr>
              <w:t>Calibration and discrimination with external validation in a second setting and lineage</w:t>
            </w:r>
          </w:p>
        </w:tc>
        <w:tc>
          <w:tcPr>
            <w:tcW w:w="1476" w:type="dxa"/>
            <w:tcMar>
              <w:top w:w="60" w:type="dxa"/>
              <w:left w:w="90" w:type="dxa"/>
              <w:bottom w:w="60" w:type="dxa"/>
              <w:right w:w="90" w:type="dxa"/>
            </w:tcMar>
          </w:tcPr>
          <w:p w14:paraId="29681E6E" w14:textId="77777777" w:rsidR="004E2118" w:rsidRDefault="00000000">
            <w:r w:rsidRPr="00A210D7">
              <w:rPr>
                <w:sz w:val="17"/>
                <w:szCs w:val="17"/>
                <w:lang w:val="it-IT"/>
              </w:rPr>
              <w:t xml:space="preserve">Arunkumar, Devadiga, et al. (2019); Riley et al. </w:t>
            </w:r>
            <w:r>
              <w:rPr>
                <w:sz w:val="17"/>
                <w:szCs w:val="17"/>
              </w:rPr>
              <w:t>(2021, 2024); Van Calster and Vickers (2015)</w:t>
            </w:r>
          </w:p>
        </w:tc>
      </w:tr>
      <w:tr w:rsidR="004E2118" w14:paraId="08F447E1" w14:textId="77777777">
        <w:tc>
          <w:tcPr>
            <w:tcW w:w="1500" w:type="dxa"/>
            <w:tcMar>
              <w:top w:w="60" w:type="dxa"/>
              <w:left w:w="90" w:type="dxa"/>
              <w:bottom w:w="60" w:type="dxa"/>
              <w:right w:w="90" w:type="dxa"/>
            </w:tcMar>
          </w:tcPr>
          <w:p w14:paraId="0F771A41" w14:textId="77777777" w:rsidR="004E2118" w:rsidRDefault="00000000">
            <w:r>
              <w:rPr>
                <w:sz w:val="17"/>
                <w:szCs w:val="17"/>
              </w:rPr>
              <w:t>Expected information gain from a repeat specimen</w:t>
            </w:r>
          </w:p>
        </w:tc>
        <w:tc>
          <w:tcPr>
            <w:tcW w:w="2050" w:type="dxa"/>
            <w:tcMar>
              <w:top w:w="60" w:type="dxa"/>
              <w:left w:w="90" w:type="dxa"/>
              <w:bottom w:w="60" w:type="dxa"/>
              <w:right w:w="90" w:type="dxa"/>
            </w:tcMar>
          </w:tcPr>
          <w:p w14:paraId="6736F5D2" w14:textId="77777777" w:rsidR="004E2118" w:rsidRDefault="00000000">
            <w:r>
              <w:rPr>
                <w:sz w:val="17"/>
                <w:szCs w:val="17"/>
              </w:rPr>
              <w:t>Predicted change in the estimate for a specimen at a stated interval and matrix</w:t>
            </w:r>
          </w:p>
        </w:tc>
        <w:tc>
          <w:tcPr>
            <w:tcW w:w="2050" w:type="dxa"/>
            <w:tcMar>
              <w:top w:w="60" w:type="dxa"/>
              <w:left w:w="90" w:type="dxa"/>
              <w:bottom w:w="60" w:type="dxa"/>
              <w:right w:w="90" w:type="dxa"/>
            </w:tcMar>
          </w:tcPr>
          <w:p w14:paraId="42815AB2" w14:textId="77777777" w:rsidR="004E2118" w:rsidRDefault="00000000">
            <w:r>
              <w:rPr>
                <w:sz w:val="17"/>
                <w:szCs w:val="17"/>
              </w:rPr>
              <w:t>Hypothesised; no supporting evidence for this pathogen</w:t>
            </w:r>
          </w:p>
        </w:tc>
        <w:tc>
          <w:tcPr>
            <w:tcW w:w="1950" w:type="dxa"/>
            <w:tcMar>
              <w:top w:w="60" w:type="dxa"/>
              <w:left w:w="90" w:type="dxa"/>
              <w:bottom w:w="60" w:type="dxa"/>
              <w:right w:w="90" w:type="dxa"/>
            </w:tcMar>
          </w:tcPr>
          <w:p w14:paraId="77813D98" w14:textId="77777777" w:rsidR="004E2118" w:rsidRDefault="00000000">
            <w:r>
              <w:rPr>
                <w:sz w:val="17"/>
                <w:szCs w:val="17"/>
              </w:rPr>
              <w:t xml:space="preserve">Prospective comparison against fixed-interval </w:t>
            </w:r>
            <w:proofErr w:type="gramStart"/>
            <w:r>
              <w:rPr>
                <w:sz w:val="17"/>
                <w:szCs w:val="17"/>
              </w:rPr>
              <w:t>repeat</w:t>
            </w:r>
            <w:proofErr w:type="gramEnd"/>
            <w:r>
              <w:rPr>
                <w:sz w:val="17"/>
                <w:szCs w:val="17"/>
              </w:rPr>
              <w:t xml:space="preserve"> testing protocols</w:t>
            </w:r>
          </w:p>
        </w:tc>
        <w:tc>
          <w:tcPr>
            <w:tcW w:w="1476" w:type="dxa"/>
            <w:tcMar>
              <w:top w:w="60" w:type="dxa"/>
              <w:left w:w="90" w:type="dxa"/>
              <w:bottom w:w="60" w:type="dxa"/>
              <w:right w:w="90" w:type="dxa"/>
            </w:tcMar>
          </w:tcPr>
          <w:p w14:paraId="3424F5BE" w14:textId="77777777" w:rsidR="004E2118" w:rsidRDefault="00000000">
            <w:r w:rsidRPr="004565A3">
              <w:rPr>
                <w:sz w:val="17"/>
                <w:szCs w:val="17"/>
                <w:lang w:val="nl-BE"/>
              </w:rPr>
              <w:t xml:space="preserve">Lim et al. (2021); Kapral et al. </w:t>
            </w:r>
            <w:r>
              <w:rPr>
                <w:sz w:val="17"/>
                <w:szCs w:val="17"/>
              </w:rPr>
              <w:t>(2024); Vasey et al. (2022)</w:t>
            </w:r>
          </w:p>
        </w:tc>
      </w:tr>
      <w:tr w:rsidR="004E2118" w14:paraId="50ABB01D" w14:textId="77777777">
        <w:tc>
          <w:tcPr>
            <w:tcW w:w="1500" w:type="dxa"/>
            <w:tcMar>
              <w:top w:w="60" w:type="dxa"/>
              <w:left w:w="90" w:type="dxa"/>
              <w:bottom w:w="60" w:type="dxa"/>
              <w:right w:w="90" w:type="dxa"/>
            </w:tcMar>
          </w:tcPr>
          <w:p w14:paraId="1E762BA7" w14:textId="77777777" w:rsidR="004E2118" w:rsidRDefault="00000000">
            <w:r>
              <w:rPr>
                <w:sz w:val="17"/>
                <w:szCs w:val="17"/>
              </w:rPr>
              <w:t>Prognostic stratification</w:t>
            </w:r>
          </w:p>
        </w:tc>
        <w:tc>
          <w:tcPr>
            <w:tcW w:w="2050" w:type="dxa"/>
            <w:tcMar>
              <w:top w:w="60" w:type="dxa"/>
              <w:left w:w="90" w:type="dxa"/>
              <w:bottom w:w="60" w:type="dxa"/>
              <w:right w:w="90" w:type="dxa"/>
            </w:tcMar>
          </w:tcPr>
          <w:p w14:paraId="36755FE3" w14:textId="77777777" w:rsidR="004E2118" w:rsidRDefault="00000000">
            <w:r>
              <w:rPr>
                <w:sz w:val="17"/>
                <w:szCs w:val="17"/>
              </w:rPr>
              <w:t>Risk estimate derived from the joint viraemia and IgG pattern</w:t>
            </w:r>
          </w:p>
        </w:tc>
        <w:tc>
          <w:tcPr>
            <w:tcW w:w="2050" w:type="dxa"/>
            <w:tcMar>
              <w:top w:w="60" w:type="dxa"/>
              <w:left w:w="90" w:type="dxa"/>
              <w:bottom w:w="60" w:type="dxa"/>
              <w:right w:w="90" w:type="dxa"/>
            </w:tcMar>
          </w:tcPr>
          <w:p w14:paraId="4FEC6679" w14:textId="77777777" w:rsidR="004E2118" w:rsidRDefault="00000000">
            <w:r>
              <w:rPr>
                <w:sz w:val="17"/>
                <w:szCs w:val="17"/>
              </w:rPr>
              <w:t>Unadjusted association established in one series of 22 cases; independence from illness day unestablished</w:t>
            </w:r>
          </w:p>
        </w:tc>
        <w:tc>
          <w:tcPr>
            <w:tcW w:w="1950" w:type="dxa"/>
            <w:tcMar>
              <w:top w:w="60" w:type="dxa"/>
              <w:left w:w="90" w:type="dxa"/>
              <w:bottom w:w="60" w:type="dxa"/>
              <w:right w:w="90" w:type="dxa"/>
            </w:tcMar>
          </w:tcPr>
          <w:p w14:paraId="3B241616" w14:textId="77777777" w:rsidR="004E2118" w:rsidRDefault="00000000">
            <w:r>
              <w:rPr>
                <w:sz w:val="17"/>
                <w:szCs w:val="17"/>
              </w:rPr>
              <w:t>Adjustment for illness day in a larger multi-country dataset</w:t>
            </w:r>
          </w:p>
        </w:tc>
        <w:tc>
          <w:tcPr>
            <w:tcW w:w="1476" w:type="dxa"/>
            <w:tcMar>
              <w:top w:w="60" w:type="dxa"/>
              <w:left w:w="90" w:type="dxa"/>
              <w:bottom w:w="60" w:type="dxa"/>
              <w:right w:w="90" w:type="dxa"/>
            </w:tcMar>
          </w:tcPr>
          <w:p w14:paraId="72701392" w14:textId="77777777" w:rsidR="004E2118" w:rsidRDefault="00000000">
            <w:r w:rsidRPr="00A210D7">
              <w:rPr>
                <w:sz w:val="17"/>
                <w:szCs w:val="17"/>
                <w:lang w:val="it-IT"/>
              </w:rPr>
              <w:t xml:space="preserve">Sahay et al. (2024); Satter et al. </w:t>
            </w:r>
            <w:r>
              <w:rPr>
                <w:sz w:val="17"/>
                <w:szCs w:val="17"/>
              </w:rPr>
              <w:t>(2026)</w:t>
            </w:r>
          </w:p>
        </w:tc>
      </w:tr>
      <w:tr w:rsidR="004E2118" w14:paraId="07CE877A" w14:textId="77777777">
        <w:tc>
          <w:tcPr>
            <w:tcW w:w="1500" w:type="dxa"/>
            <w:tcMar>
              <w:top w:w="60" w:type="dxa"/>
              <w:left w:w="90" w:type="dxa"/>
              <w:bottom w:w="60" w:type="dxa"/>
              <w:right w:w="90" w:type="dxa"/>
            </w:tcMar>
          </w:tcPr>
          <w:p w14:paraId="65902DE9" w14:textId="77777777" w:rsidR="004E2118" w:rsidRDefault="00000000">
            <w:r>
              <w:rPr>
                <w:sz w:val="17"/>
                <w:szCs w:val="17"/>
              </w:rPr>
              <w:t>Explanation layer</w:t>
            </w:r>
          </w:p>
        </w:tc>
        <w:tc>
          <w:tcPr>
            <w:tcW w:w="2050" w:type="dxa"/>
            <w:tcMar>
              <w:top w:w="60" w:type="dxa"/>
              <w:left w:w="90" w:type="dxa"/>
              <w:bottom w:w="60" w:type="dxa"/>
              <w:right w:w="90" w:type="dxa"/>
            </w:tcMar>
          </w:tcPr>
          <w:p w14:paraId="673E3AA1" w14:textId="77777777" w:rsidR="004E2118" w:rsidRDefault="00000000">
            <w:r>
              <w:rPr>
                <w:sz w:val="17"/>
                <w:szCs w:val="17"/>
              </w:rPr>
              <w:t>Temporal attribution and variable-selection weights with explicit uncertainty</w:t>
            </w:r>
          </w:p>
        </w:tc>
        <w:tc>
          <w:tcPr>
            <w:tcW w:w="2050" w:type="dxa"/>
            <w:tcMar>
              <w:top w:w="60" w:type="dxa"/>
              <w:left w:w="90" w:type="dxa"/>
              <w:bottom w:w="60" w:type="dxa"/>
              <w:right w:w="90" w:type="dxa"/>
            </w:tcMar>
          </w:tcPr>
          <w:p w14:paraId="595C1D69" w14:textId="77777777" w:rsidR="004E2118" w:rsidRDefault="00000000">
            <w:r>
              <w:rPr>
                <w:sz w:val="17"/>
                <w:szCs w:val="17"/>
              </w:rPr>
              <w:t>Contested; explanation may increase or decrease appropriate reliance</w:t>
            </w:r>
          </w:p>
        </w:tc>
        <w:tc>
          <w:tcPr>
            <w:tcW w:w="1950" w:type="dxa"/>
            <w:tcMar>
              <w:top w:w="60" w:type="dxa"/>
              <w:left w:w="90" w:type="dxa"/>
              <w:bottom w:w="60" w:type="dxa"/>
              <w:right w:w="90" w:type="dxa"/>
            </w:tcMar>
          </w:tcPr>
          <w:p w14:paraId="3DE126B4" w14:textId="77777777" w:rsidR="004E2118" w:rsidRDefault="00000000">
            <w:r>
              <w:rPr>
                <w:sz w:val="17"/>
                <w:szCs w:val="17"/>
              </w:rPr>
              <w:t>Stability assessment across resampled training sets and evaluation of effect on clinician decisions</w:t>
            </w:r>
          </w:p>
        </w:tc>
        <w:tc>
          <w:tcPr>
            <w:tcW w:w="1476" w:type="dxa"/>
            <w:tcMar>
              <w:top w:w="60" w:type="dxa"/>
              <w:left w:w="90" w:type="dxa"/>
              <w:bottom w:w="60" w:type="dxa"/>
              <w:right w:w="90" w:type="dxa"/>
            </w:tcMar>
          </w:tcPr>
          <w:p w14:paraId="01968DE7" w14:textId="77777777" w:rsidR="004E2118" w:rsidRDefault="00000000">
            <w:r w:rsidRPr="00A210D7">
              <w:rPr>
                <w:sz w:val="17"/>
                <w:szCs w:val="17"/>
                <w:lang w:val="it-IT"/>
              </w:rPr>
              <w:t xml:space="preserve">Ghassemi et al. (2021); Rosenbacke et al. (2024); Khera et al. </w:t>
            </w:r>
            <w:r>
              <w:rPr>
                <w:sz w:val="17"/>
                <w:szCs w:val="17"/>
              </w:rPr>
              <w:t>(2023)</w:t>
            </w:r>
          </w:p>
        </w:tc>
      </w:tr>
      <w:tr w:rsidR="004E2118" w14:paraId="1254AE2D" w14:textId="77777777">
        <w:tc>
          <w:tcPr>
            <w:tcW w:w="1500" w:type="dxa"/>
            <w:tcMar>
              <w:top w:w="60" w:type="dxa"/>
              <w:left w:w="90" w:type="dxa"/>
              <w:bottom w:w="60" w:type="dxa"/>
              <w:right w:w="90" w:type="dxa"/>
            </w:tcMar>
          </w:tcPr>
          <w:p w14:paraId="192FFB69" w14:textId="77777777" w:rsidR="004E2118" w:rsidRDefault="00000000">
            <w:r>
              <w:rPr>
                <w:sz w:val="17"/>
                <w:szCs w:val="17"/>
              </w:rPr>
              <w:t>Accuracy estimation method</w:t>
            </w:r>
          </w:p>
        </w:tc>
        <w:tc>
          <w:tcPr>
            <w:tcW w:w="2050" w:type="dxa"/>
            <w:tcMar>
              <w:top w:w="60" w:type="dxa"/>
              <w:left w:w="90" w:type="dxa"/>
              <w:bottom w:w="60" w:type="dxa"/>
              <w:right w:w="90" w:type="dxa"/>
            </w:tcMar>
          </w:tcPr>
          <w:p w14:paraId="60CCB0F0" w14:textId="77777777" w:rsidR="004E2118" w:rsidRDefault="00000000">
            <w:r>
              <w:rPr>
                <w:sz w:val="17"/>
                <w:szCs w:val="17"/>
              </w:rPr>
              <w:t>Latent class formulation with conditional dependence structured by illness day</w:t>
            </w:r>
          </w:p>
        </w:tc>
        <w:tc>
          <w:tcPr>
            <w:tcW w:w="2050" w:type="dxa"/>
            <w:tcMar>
              <w:top w:w="60" w:type="dxa"/>
              <w:left w:w="90" w:type="dxa"/>
              <w:bottom w:w="60" w:type="dxa"/>
              <w:right w:w="90" w:type="dxa"/>
            </w:tcMar>
          </w:tcPr>
          <w:p w14:paraId="27ACDBD1" w14:textId="77777777" w:rsidR="004E2118" w:rsidRDefault="00000000">
            <w:r>
              <w:rPr>
                <w:sz w:val="17"/>
                <w:szCs w:val="17"/>
              </w:rPr>
              <w:t>Established methodology; not yet applied to this pathogen</w:t>
            </w:r>
          </w:p>
        </w:tc>
        <w:tc>
          <w:tcPr>
            <w:tcW w:w="1950" w:type="dxa"/>
            <w:tcMar>
              <w:top w:w="60" w:type="dxa"/>
              <w:left w:w="90" w:type="dxa"/>
              <w:bottom w:w="60" w:type="dxa"/>
              <w:right w:w="90" w:type="dxa"/>
            </w:tcMar>
          </w:tcPr>
          <w:p w14:paraId="2D799D05" w14:textId="77777777" w:rsidR="004E2118" w:rsidRDefault="00000000">
            <w:r>
              <w:rPr>
                <w:sz w:val="17"/>
                <w:szCs w:val="17"/>
              </w:rPr>
              <w:t>Identifiability assessment at realistic sample sizes</w:t>
            </w:r>
          </w:p>
        </w:tc>
        <w:tc>
          <w:tcPr>
            <w:tcW w:w="1476" w:type="dxa"/>
            <w:tcMar>
              <w:top w:w="60" w:type="dxa"/>
              <w:left w:w="90" w:type="dxa"/>
              <w:bottom w:w="60" w:type="dxa"/>
              <w:right w:w="90" w:type="dxa"/>
            </w:tcMar>
          </w:tcPr>
          <w:p w14:paraId="2D899638" w14:textId="77777777" w:rsidR="004E2118" w:rsidRDefault="00000000">
            <w:r>
              <w:rPr>
                <w:sz w:val="17"/>
                <w:szCs w:val="17"/>
              </w:rPr>
              <w:t>Pepe and Janes (2007); J. Collins and Huynh (2014); Kostoulas et al. (2017)</w:t>
            </w:r>
          </w:p>
        </w:tc>
      </w:tr>
    </w:tbl>
    <w:p w14:paraId="55AAA0EE" w14:textId="77777777" w:rsidR="004E2118" w:rsidRDefault="00000000">
      <w:pPr>
        <w:spacing w:before="110" w:after="240"/>
      </w:pPr>
      <w:r>
        <w:rPr>
          <w:sz w:val="19"/>
          <w:szCs w:val="19"/>
        </w:rPr>
        <w:t>Note. IgG = immunoglobulin G; IgM = immunoglobulin M. Evidential status categories are established, plausible and hypothesised, as defined in section 2.6.</w:t>
      </w:r>
    </w:p>
    <w:p w14:paraId="0DECA73A" w14:textId="77777777" w:rsidR="004E2118" w:rsidRDefault="00000000">
      <w:pPr>
        <w:pStyle w:val="Heading1"/>
        <w:spacing w:before="340" w:after="160"/>
      </w:pPr>
      <w:r>
        <w:t>9. Future Directions</w:t>
      </w:r>
    </w:p>
    <w:p w14:paraId="4AD80A9A" w14:textId="77777777" w:rsidR="004E2118" w:rsidRDefault="00000000">
      <w:pPr>
        <w:spacing w:after="160" w:line="360" w:lineRule="auto"/>
        <w:jc w:val="both"/>
      </w:pPr>
      <w:r>
        <w:t>The priorities set out below are ordered by the extent to which each unblocks the others rather than by disciplinary interest. The first three are immediate in the sense that they can begin with existing infrastructure; the remainder depend on their completion.</w:t>
      </w:r>
    </w:p>
    <w:p w14:paraId="5D1B8811" w14:textId="77777777" w:rsidR="004E2118" w:rsidRDefault="00000000">
      <w:pPr>
        <w:spacing w:after="160" w:line="360" w:lineRule="auto"/>
        <w:jc w:val="both"/>
      </w:pPr>
      <w:r>
        <w:t xml:space="preserve">The first and rate-limiting priority is prospective serial specimen collection linked to the day of symptom onset in every suspected case, including those who die early. The unresolved problem is that no dataset exists from which day-specific detection probabilities can be estimated for either modality, and the kinetic evidence that does exist derives from two and three survivors in a disease with case fatality above 80% (Arunkumar, Devadiga, et al., 2019; Sahay et al., 2024; Satter et al., 2026). Current evidence is inadequate not because it is poorly analysed but because it was never designed to answer this question. The appropriate design is a multi-site prospective observational cohort with a fixed sampling schedule covering oropharyngeal, blood and, where clinically indicated, CSF specimens, enrolling all patients meeting the syndromic case definition rather than only confirmed cases, so that test-negative patients contribute to the denominator. The published Bangladeshi AES cohort protocol </w:t>
      </w:r>
      <w:r>
        <w:lastRenderedPageBreak/>
        <w:t>provides an implementable template (Hassan et al., 2025), and the Indian laboratory surveillance networks supply the second site required for external validation (Sahay et al., 2025; Abdulkader et al., 2025). Outcome measures should include detection status by day and matrix, quantitative viral load, standardised antibody concentration, and survival to hospital discharge. Post-mortem ascertainment should be integrated so that the fatal majority is represented (Aquib, Rahman, et al., 2026). Without this, every subsequent priority remains speculative.</w:t>
      </w:r>
    </w:p>
    <w:p w14:paraId="043FD104" w14:textId="77777777" w:rsidR="004E2118" w:rsidRDefault="00000000">
      <w:pPr>
        <w:spacing w:after="160" w:line="360" w:lineRule="auto"/>
        <w:jc w:val="both"/>
      </w:pPr>
      <w:r>
        <w:t>The second immediate priority is development and distribution of an international standard for NiV nucleic acid. The unresolved problem is that molecular results generated in different laboratories are not comparable, with limits of detection reported in mutually unconvertible units (Garbuglia et al., 2023). This is not an analytical problem and cannot be solved by modelling. An antibody standard already exists and has been used to qualify a glycoprotein G ELISA (Alam et al., 2026), which demonstrates both the feasibility and the benefit. The appropriate work is reference material preparation and collaborative study, on the model used for other high-consequence pathogens, with participation by the containment laboratories in both endemic countries. The direct consequence would be that quantitative viral load could be treated as a single variable across sites, which is a precondition for pooled temporal modelling.</w:t>
      </w:r>
    </w:p>
    <w:p w14:paraId="1F423BF4" w14:textId="77777777" w:rsidR="004E2118" w:rsidRDefault="00000000">
      <w:pPr>
        <w:spacing w:after="160" w:line="360" w:lineRule="auto"/>
        <w:jc w:val="both"/>
      </w:pPr>
      <w:r>
        <w:t>The third immediate priority is retrospective assembly and harmonisation of existing outbreak datasets under a shared data model. The unresolved problem is that the diagnostic and clinical data from Kerala 2018 to 2024 and from Bangladesh 2016 to 2025 exist in separate institutional holdings and have never been analysed jointly. The appropriate approach is a common data dictionary covering onset date, specimen dates and matrices, quantitative results, assay identity, phenotype and outcome, followed by federated analysis that leaves records in place (Rieke et al., 2020; Dayan et al., 2021). Even with the limitations documented in section 4, a harmonised dataset of this kind would permit the first estimate of day-specific detection probability with any usable precision, and would establish whether the prognostic association between the joint marker pattern and outcome survives adjustment for illness day.</w:t>
      </w:r>
    </w:p>
    <w:p w14:paraId="4B02CDA4" w14:textId="77777777" w:rsidR="004E2118" w:rsidRDefault="00000000">
      <w:pPr>
        <w:spacing w:after="160" w:line="360" w:lineRule="auto"/>
        <w:jc w:val="both"/>
      </w:pPr>
      <w:r>
        <w:t xml:space="preserve">A medium-term priority is application of latent class methods with time-structured conditional dependence to estimate the accuracy of molecular and serological assays without designating either as the reference standard. The unresolved problem is that all reported accuracy figures are circular (Arunkumar, Chandni, et al., 2019; Satter et al., 2026). The methodology is established in other infections where no adequate standard exists (Limmathurotsakul et al., </w:t>
      </w:r>
      <w:r>
        <w:lastRenderedPageBreak/>
        <w:t>2010; Schumacher et al., 2016), and reporting standards are available (Kostoulas et al., 2017). The principal technical question is identifiability at realistic sample sizes, which should be assessed by simulation before data are committed. The consequence would be the first non-circular estimates of assay performance in this disease.</w:t>
      </w:r>
    </w:p>
    <w:p w14:paraId="4597E9CA" w14:textId="77777777" w:rsidR="004E2118" w:rsidRDefault="00000000">
      <w:pPr>
        <w:spacing w:after="160" w:line="360" w:lineRule="auto"/>
        <w:jc w:val="both"/>
      </w:pPr>
      <w:r>
        <w:t>A second medium-term priority is clinical validation of serological assays during the seroconversion interval specifically. The unresolved problem is that the best-characterised NiV IgG assay was qualified against reference sera rather than against acute clinical specimens of known onset day (Alam et al., 2026), and that serological sensitivity in acute infection is described as lower than molecular sensitivity without quantification (Garbuglia et al., 2023). The appropriate design nests within the prospective cohort above, comparing serological results against composite case status by illness day. The consequence would be replacement of the qualitative statement that serology becomes informative later with a quantitative function of time.</w:t>
      </w:r>
    </w:p>
    <w:p w14:paraId="6FF0C2B8" w14:textId="77777777" w:rsidR="004E2118" w:rsidRDefault="00000000">
      <w:pPr>
        <w:spacing w:after="160" w:line="360" w:lineRule="auto"/>
        <w:jc w:val="both"/>
      </w:pPr>
      <w:r>
        <w:t>A third medium-term priority is characterisation of matrix-specific and phenotype-specific kinetics. The unresolved problem is that respiratory and encephalitic presentations plausibly differ in oropharyngeal shedding, and that Kerala outbreaks have alternated between these phenotypes with corresponding differences in observed person-to-person transmission (Sahay et al., 2025), yet no study has examined whether detectability by day differs between them. The appropriate analysis is stratified estimation within the prospective cohort, with lineage recorded from sequencing already performed routinely (As et al., 2024; Satter et al., 2025).</w:t>
      </w:r>
    </w:p>
    <w:p w14:paraId="026B12F8" w14:textId="77777777" w:rsidR="004E2118" w:rsidRDefault="00000000">
      <w:pPr>
        <w:spacing w:after="160" w:line="360" w:lineRule="auto"/>
        <w:jc w:val="both"/>
      </w:pPr>
      <w:r>
        <w:t xml:space="preserve">Longer-term priorities follow only if the above succeed. Development of a dynamic diagnostic model should begin with the most constrained formulation the data support and should be reported in accordance with existing standards (G. S. Collins et al., 2024; Norgeot et al., 2020). Any explanation layer should first be assessed for stability across resampled training sets, and only then for its effect on clinician decisions, in a design consistent with early-stage clinical evaluation guidance (Vasey et al., 2022; Ghassemi et al., 2021; Rosenbacke et al., 2024). Integration with point-of-care molecular platforms deserves attention, since the platforms most likely to be deployed where spillover occurs have the least analytical headroom and would benefit most from a model that quantifies how much a negative result on such a platform should reduce suspicion (Nguyen et al., 2026; Mazzola et al., 2026). Finally, the same framework should be examined for transferability to other high-consequence infections in which molecular </w:t>
      </w:r>
      <w:r>
        <w:lastRenderedPageBreak/>
        <w:t>and serological informativeness are temporally separated, since the methodological development would then be amortised across several rare diseases rather than one.</w:t>
      </w:r>
    </w:p>
    <w:p w14:paraId="60C36CF6" w14:textId="77777777" w:rsidR="004E2118" w:rsidRDefault="00000000">
      <w:pPr>
        <w:pStyle w:val="Heading1"/>
        <w:spacing w:before="340" w:after="160"/>
      </w:pPr>
      <w:r>
        <w:t>10. Conclusions</w:t>
      </w:r>
    </w:p>
    <w:p w14:paraId="44381467" w14:textId="77777777" w:rsidR="004E2118" w:rsidRDefault="00000000">
      <w:pPr>
        <w:spacing w:after="160" w:line="360" w:lineRule="auto"/>
        <w:jc w:val="both"/>
      </w:pPr>
      <w:r>
        <w:t>The diagnosis of Nipah virus infection depends on two assay families whose informativeness is separated in time, and the reviewed evidence establishes that separation with reasonable consistency. Molecular detection is most reliable early, with viral ribonucleic acid detected in clinical specimens to the second week of illness and clearance from the oropharynx beginning between the sixteenth and twentieth day. Virus-specific immunoglobulin M and immunoglobulin G become detectable towards the end of the first week, and clearance of viral nucleic acid from blood precedes the appearance of immunoglobulin G. The joint pattern of these two markers at presentation is associated with survival, with detectable viraemia and absent immunoglobulin G marking the least favourable group. These observations recur across independent outbreak investigations in two countries and two viral lineages, which lends them more weight than the size of any individual series would suggest.</w:t>
      </w:r>
    </w:p>
    <w:p w14:paraId="367387A3" w14:textId="77777777" w:rsidR="004E2118" w:rsidRDefault="00000000">
      <w:pPr>
        <w:spacing w:after="160" w:line="360" w:lineRule="auto"/>
        <w:jc w:val="both"/>
      </w:pPr>
      <w:r>
        <w:t>The strength of that evidence should nevertheless be stated carefully. The temporal ordering was established longitudinally in two patients and cross-sectionally in twenty-two. The prognostic association has not been adjusted for time since symptom onset, and because viraemia declines with illness duration while mortality is concentrated early, some part of it may reflect stage at presentation rather than an independent biological gradient. Kinetic data derive disproportionately from the minority who survive, which is a structural rather than a correctable feature of the existing studies. No international standard permits molecular results to be compared across laboratories, serological assays have been qualified analytically rather than clinically during the interval that matters most, and independent evaluation of available tests is almost absent. These are limitations of the evidence base, not of its authors, and they set the ceiling on what any analytical method can currently deliver.</w:t>
      </w:r>
    </w:p>
    <w:p w14:paraId="0927585A" w14:textId="77777777" w:rsidR="004E2118" w:rsidRDefault="00000000">
      <w:pPr>
        <w:spacing w:after="160" w:line="360" w:lineRule="auto"/>
        <w:jc w:val="both"/>
      </w:pPr>
      <w:r>
        <w:t xml:space="preserve">Against that background, the central argument of this review is that diagnostic practice discards information it already possesses. The day of illness, the quantitative magnitude of both molecular and serological signals, the specimen matrix and the joint pattern across assays are all recorded and none is used in inference. Temporal and multimodal modelling methods capable of using them are mature in other clinical domains, and explanation methods exist that could make such a model auditable. What does not exist is the evidence to support their application here. The proposed framework is therefore offered as a specification of what would </w:t>
      </w:r>
      <w:r>
        <w:lastRenderedPageBreak/>
        <w:t>have to be measured, harmonised and validated, with its established components confined to inputs and temporal ordering and every claim of incremental diagnostic or prognostic gain marked as hypothesised.</w:t>
      </w:r>
    </w:p>
    <w:p w14:paraId="457529E5" w14:textId="77777777" w:rsidR="004E2118" w:rsidRDefault="00000000">
      <w:pPr>
        <w:spacing w:after="160" w:line="360" w:lineRule="auto"/>
        <w:jc w:val="both"/>
      </w:pPr>
      <w:r>
        <w:t>The broader significance lies in the general case that Nipah virus illustrates. For high-consequence infections that occur in small clusters in settings with limited laboratory infrastructure, the constraint on computational diagnosis is not model architecture but the quantity, comparability and representativeness of clinical data. Prospective serial sampling that includes those who die, an international nucleic acid standard, and governance arrangements permitting cross-border analysis would do more to advance diagnosis of this disease than any modelling development undertaken in their absence. Explainability, correspondingly, should be understood as a requirement for auditing models and detecting their failures rather than as a means of justifying individual clinical decisions, and it does not substitute for the validation that would establish whether such models help at all.</w:t>
      </w:r>
    </w:p>
    <w:p w14:paraId="3AD50EAF" w14:textId="77777777" w:rsidR="004E2118" w:rsidRDefault="00000000">
      <w:pPr>
        <w:pStyle w:val="Heading1"/>
        <w:spacing w:before="340" w:after="160"/>
      </w:pPr>
      <w:r>
        <w:t>11. Limitations</w:t>
      </w:r>
    </w:p>
    <w:p w14:paraId="1AA116E9" w14:textId="77777777" w:rsidR="004E2118" w:rsidRDefault="00000000">
      <w:pPr>
        <w:spacing w:after="160" w:line="360" w:lineRule="auto"/>
        <w:jc w:val="both"/>
      </w:pPr>
      <w:r>
        <w:t>This review is a narrative synthesis and carries the limitations intrinsic to that design. Selection of sources was purposive rather than exhaustive, and although search concepts, sources, eligibility criteria and appraisal approach have been stated, the judgements that determined which studies were retained and how their findings were weighted remain those of a single analytical perspective. Selection bias and interpretive bias cannot be excluded, and a different reviewer applying the same criteria might reasonably assemble a partly different evidence base or reach different conclusions about the relative weight of conflicting observations.</w:t>
      </w:r>
    </w:p>
    <w:p w14:paraId="30F89920" w14:textId="77777777" w:rsidR="004E2118" w:rsidRDefault="00000000">
      <w:pPr>
        <w:spacing w:after="160" w:line="360" w:lineRule="auto"/>
        <w:jc w:val="both"/>
      </w:pPr>
      <w:r>
        <w:t>Access was restricted to openly accessible scholarly indexes and to publications whose full text could be retrieved. Subscription-only bibliographic databases were not searched, and their absence may have led to omission of relevant material, particularly older or regionally published work. The review was restricted to publications in English, which is a material limitation for a disease concentrated in Bangladesh, India and Malaysia, where clinically important observations may appear in Bengali, Malayalam or Malay. Regionally indexed literature that is not captured by the international indexes searched is likely to be under-represented, and the geographical concentration of the retained evidence in Bangladesh and Kerala may therefore be accentuated relative to the true distribution of knowledge.</w:t>
      </w:r>
    </w:p>
    <w:p w14:paraId="4C17281B" w14:textId="77777777" w:rsidR="004E2118" w:rsidRDefault="00000000">
      <w:pPr>
        <w:spacing w:after="160" w:line="360" w:lineRule="auto"/>
        <w:jc w:val="both"/>
      </w:pPr>
      <w:r>
        <w:lastRenderedPageBreak/>
        <w:t xml:space="preserve">The evidence itself constrains what could be concluded. Study designs are heterogeneous, comprising outbreak investigations, small case series, immunological profiling of individual survivors, analytical validation studies and methodological guidance, and no common appraisal instrument </w:t>
      </w:r>
      <w:proofErr w:type="gramStart"/>
      <w:r>
        <w:t>fits</w:t>
      </w:r>
      <w:proofErr w:type="gramEnd"/>
      <w:r>
        <w:t xml:space="preserve"> this mixture, so formal risk-of-bias scoring was not attempted. Sample sizes in the clinical literature are extremely small, sampling schedules were opportunistic, and outcome definitions and assay formats differ across studies to a degree that precludes quantitative synthesis. No meta-analysis was performed and none would have been defensible. Reliance on observational data means that no causal claim about the diagnostic or prognostic contribution of either marker can be supported, and the association between the joint marker pattern and survival is reported as observed rather than as established after adjustment.</w:t>
      </w:r>
    </w:p>
    <w:p w14:paraId="2F6A7897" w14:textId="77777777" w:rsidR="004E2118" w:rsidRDefault="00000000">
      <w:pPr>
        <w:spacing w:after="160" w:line="360" w:lineRule="auto"/>
        <w:jc w:val="both"/>
      </w:pPr>
      <w:r>
        <w:t>Publication bias is a plausible influence in both literatures drawn upon. Outbreak investigations that identified cases are more likely to be published than investigations that did not, and assay development studies reporting favourable analytical performance are more likely to appear than those reporting failure, a tendency compounded by the small proportion of independent evaluations in this field. In the computational literature, models reported as performing well are substantially over-represented relative to those that did not, and few of the applications cited underwent external validation.</w:t>
      </w:r>
    </w:p>
    <w:p w14:paraId="22A0F819" w14:textId="77777777" w:rsidR="004E2118" w:rsidRDefault="00000000">
      <w:pPr>
        <w:spacing w:after="160" w:line="360" w:lineRule="auto"/>
        <w:jc w:val="both"/>
      </w:pPr>
      <w:r>
        <w:t>Both fields are developing rapidly. The Nipah virus diagnostic landscape changed materially during the period covered, with new serological standardisation, new field-deployable molecular workflows and new prospective cohort protocols appearing within the final two years of the search window, and the computational literature on temporal modelling and explanation is changing faster still. Conclusions drawn here are therefore time-limited. Finally, the framework presented is conceptual. It has not been implemented, no model was fitted, no data were analysed, and no claim is made that it would improve diagnostic accuracy, clinical decisions or patient outcomes; its value, if any, lies in specifying what would have to be established before such claims could be made.</w:t>
      </w:r>
    </w:p>
    <w:p w14:paraId="145A9640" w14:textId="77777777" w:rsidR="004A20D2" w:rsidRDefault="004A20D2" w:rsidP="004A20D2">
      <w:pPr>
        <w:rPr>
          <w:b/>
        </w:rPr>
      </w:pPr>
      <w:r w:rsidRPr="000839CE">
        <w:rPr>
          <w:b/>
        </w:rPr>
        <w:t>Declaration of AI Use</w:t>
      </w:r>
    </w:p>
    <w:p w14:paraId="7242CD72" w14:textId="77777777" w:rsidR="004A20D2" w:rsidRDefault="004A20D2" w:rsidP="004A20D2">
      <w:pPr>
        <w:rPr>
          <w:b/>
        </w:rPr>
      </w:pPr>
    </w:p>
    <w:p w14:paraId="07D07119" w14:textId="77777777" w:rsidR="004A20D2" w:rsidRDefault="004A20D2" w:rsidP="004A20D2">
      <w:pPr>
        <w:rPr>
          <w:b/>
        </w:rPr>
      </w:pPr>
    </w:p>
    <w:p w14:paraId="628F8819" w14:textId="77777777" w:rsidR="004A20D2" w:rsidRDefault="004A20D2" w:rsidP="004A20D2">
      <w:pPr>
        <w:rPr>
          <w:b/>
        </w:rPr>
      </w:pPr>
    </w:p>
    <w:p w14:paraId="376513E1" w14:textId="77777777" w:rsidR="004A20D2" w:rsidRPr="002D08AC" w:rsidRDefault="004A20D2" w:rsidP="004A20D2">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B86EB0" w14:textId="77777777" w:rsidR="004A20D2" w:rsidRDefault="004A20D2">
      <w:pPr>
        <w:spacing w:after="160" w:line="360" w:lineRule="auto"/>
        <w:jc w:val="both"/>
      </w:pPr>
    </w:p>
    <w:p w14:paraId="2D7B2883" w14:textId="77777777" w:rsidR="004E2118" w:rsidRDefault="00000000">
      <w:pPr>
        <w:pStyle w:val="Heading1"/>
        <w:spacing w:before="360" w:after="180"/>
      </w:pPr>
      <w:r>
        <w:lastRenderedPageBreak/>
        <w:t>References</w:t>
      </w:r>
    </w:p>
    <w:p w14:paraId="6AEEDF3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Abdulkader, R. S., Ramasamy, S., Vaman, R. S., Sapkal, G. N., Narayan, J., Vijay, N., Ravel, V., Palanisamy, S. S., Rao Deshpande, G., Gupta, N., Murhekar, M. V., &amp; VRDLN. (2025). Acute encephalitis syndrome and Japanese encephalitis in India: Insights from a nationally representative laboratory surveillance network, 2014–2023. </w:t>
      </w:r>
      <w:r w:rsidRPr="004565A3">
        <w:rPr>
          <w:i/>
          <w:iCs/>
          <w:color w:val="auto"/>
          <w:lang w:val="en-US" w:eastAsia="en-US" w:bidi="ar-SA"/>
        </w:rPr>
        <w:t>BMC Infectious Diseases, 26</w:t>
      </w:r>
      <w:r w:rsidRPr="004565A3">
        <w:rPr>
          <w:color w:val="auto"/>
          <w:lang w:val="en-US" w:eastAsia="en-US" w:bidi="ar-SA"/>
        </w:rPr>
        <w:t xml:space="preserve">(1), 989. </w:t>
      </w:r>
      <w:hyperlink r:id="rId8" w:history="1">
        <w:r w:rsidRPr="004565A3">
          <w:rPr>
            <w:color w:val="0000FF"/>
            <w:u w:val="single"/>
            <w:lang w:val="en-US" w:eastAsia="en-US" w:bidi="ar-SA"/>
          </w:rPr>
          <w:t>https://doi.org/10.1186/s12879-025-12274-7</w:t>
        </w:r>
      </w:hyperlink>
    </w:p>
    <w:p w14:paraId="68F55D79"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Alam, M. M., Anonto, T. T., Karim, S., Kamuyu, G., Azizi, A., Siddika, A., Choudhury, S. S., Rahman, M. W., Farzin, A., Rahman, D. I., Raqib, R., Rahman, M., Sultana, S., Shoemaker, T., Lo, M. K., Banu, S., Shirin, T., Spiropoulou, C. F., Montgomery, J. M., . . . Rahman, M. Z. (2026). Development and qualification of a Nipah virus glycoprotein-specific IgG ELISA for the assessment of human antibody responses. </w:t>
      </w:r>
      <w:r w:rsidRPr="004565A3">
        <w:rPr>
          <w:i/>
          <w:iCs/>
          <w:color w:val="auto"/>
          <w:lang w:val="en-US" w:eastAsia="en-US" w:bidi="ar-SA"/>
        </w:rPr>
        <w:t>Vaccines, 14</w:t>
      </w:r>
      <w:r w:rsidRPr="004565A3">
        <w:rPr>
          <w:color w:val="auto"/>
          <w:lang w:val="en-US" w:eastAsia="en-US" w:bidi="ar-SA"/>
        </w:rPr>
        <w:t xml:space="preserve">(6), 534. </w:t>
      </w:r>
      <w:hyperlink r:id="rId9" w:history="1">
        <w:r w:rsidRPr="004565A3">
          <w:rPr>
            <w:color w:val="0000FF"/>
            <w:u w:val="single"/>
            <w:lang w:val="en-US" w:eastAsia="en-US" w:bidi="ar-SA"/>
          </w:rPr>
          <w:t>https://doi.org/10.3390/vaccines14060534</w:t>
        </w:r>
      </w:hyperlink>
    </w:p>
    <w:p w14:paraId="280FE2C5"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Aquib, W. R., Mondal, U. K., Nazneen, A., Rahman, D. I., Choudhury, S. S., Sarkar, T., Sarker, S., Shafique, S. M. Z., Islam, A., Bablu, A. R., Alam, M. R., Abdulla, F., Islam, N., Hossain, M. K., Siddika, A., Clark, C., Zala, V., Cherian, N., Amin Chowdhury, K. I., . . . Satter, S. M. (2026). Long-term sequelae and functional outcomes in the largest cohort of Nipah virus survivors in Bangladesh. </w:t>
      </w:r>
      <w:r w:rsidRPr="004565A3">
        <w:rPr>
          <w:i/>
          <w:iCs/>
          <w:color w:val="auto"/>
          <w:lang w:val="en-US" w:eastAsia="en-US" w:bidi="ar-SA"/>
        </w:rPr>
        <w:t>The Lancet Regional Health – Southeast Asia, 45</w:t>
      </w:r>
      <w:r w:rsidRPr="004565A3">
        <w:rPr>
          <w:color w:val="auto"/>
          <w:lang w:val="en-US" w:eastAsia="en-US" w:bidi="ar-SA"/>
        </w:rPr>
        <w:t xml:space="preserve">, 100729. </w:t>
      </w:r>
      <w:hyperlink r:id="rId10" w:history="1">
        <w:r w:rsidRPr="004565A3">
          <w:rPr>
            <w:color w:val="0000FF"/>
            <w:u w:val="single"/>
            <w:lang w:val="en-US" w:eastAsia="en-US" w:bidi="ar-SA"/>
          </w:rPr>
          <w:t>https://doi.org/10.1016/j.lansea.2026.100729</w:t>
        </w:r>
      </w:hyperlink>
    </w:p>
    <w:p w14:paraId="047B640E"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Aquib, W. R., Rahman, D. I., Jahan, F. A., Chowdhury, N. N., Bosu, S., Ema, F. A., Sarker, S., Sakib, M. N., Abdulla, F., Farzin, A., Dutta, P., Islam, A., Bin Mahmood, S. J., Choudhury, S. S., Siddika, A., Rahman, M. M., Alam, M. R., Chowdhury, M., Hossain, M. S., . . . Satter, S. M. (2026). Post-mortem surveillance: An innovative strategy to detect and prevent spread of Nipah virus infection in humans. </w:t>
      </w:r>
      <w:r w:rsidRPr="004565A3">
        <w:rPr>
          <w:i/>
          <w:iCs/>
          <w:color w:val="auto"/>
          <w:lang w:val="en-US" w:eastAsia="en-US" w:bidi="ar-SA"/>
        </w:rPr>
        <w:t>Emerging Microbes &amp; Infections, 15</w:t>
      </w:r>
      <w:r w:rsidRPr="004565A3">
        <w:rPr>
          <w:color w:val="auto"/>
          <w:lang w:val="en-US" w:eastAsia="en-US" w:bidi="ar-SA"/>
        </w:rPr>
        <w:t xml:space="preserve">(1), 2613510. </w:t>
      </w:r>
      <w:hyperlink r:id="rId11" w:history="1">
        <w:r w:rsidRPr="004565A3">
          <w:rPr>
            <w:color w:val="0000FF"/>
            <w:u w:val="single"/>
            <w:lang w:val="en-US" w:eastAsia="en-US" w:bidi="ar-SA"/>
          </w:rPr>
          <w:t>https://doi.org/10.1080/22221751.2026.2613510</w:t>
        </w:r>
      </w:hyperlink>
    </w:p>
    <w:p w14:paraId="0CBA215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Arunkumar, G., Abdulmajeed, J., Santhosha, D., Aswathyraj, S., Robin, S., Jayaram, A., Radhakrishnan, C., Sajeeth, K. K. G., Sakeena, K., Jayasree, V., Reena, J. K., &amp; Sarita, L. R. (2019). Persistence of Nipah virus RNA in semen of survivor. </w:t>
      </w:r>
      <w:r w:rsidRPr="004565A3">
        <w:rPr>
          <w:i/>
          <w:iCs/>
          <w:color w:val="auto"/>
          <w:lang w:val="en-US" w:eastAsia="en-US" w:bidi="ar-SA"/>
        </w:rPr>
        <w:t>Clinical Infectious Diseases, 69</w:t>
      </w:r>
      <w:r w:rsidRPr="004565A3">
        <w:rPr>
          <w:color w:val="auto"/>
          <w:lang w:val="en-US" w:eastAsia="en-US" w:bidi="ar-SA"/>
        </w:rPr>
        <w:t xml:space="preserve">(2), 377–378. </w:t>
      </w:r>
      <w:hyperlink r:id="rId12" w:history="1">
        <w:r w:rsidRPr="004565A3">
          <w:rPr>
            <w:color w:val="0000FF"/>
            <w:u w:val="single"/>
            <w:lang w:val="en-US" w:eastAsia="en-US" w:bidi="ar-SA"/>
          </w:rPr>
          <w:t>https://doi.org/10.1093/cid/ciy1092</w:t>
        </w:r>
      </w:hyperlink>
    </w:p>
    <w:p w14:paraId="5B9CC4B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Arunkumar, G., Chandni, R., Mourya, D. T., Singh, S. K., Sadanandan, R., Sudan, P., Bhargava, B., &amp; Nipah Investigators People and Health Study Group. (2019). Outbreak investigation of Nipah virus disease in Kerala, India, 2018. </w:t>
      </w:r>
      <w:r w:rsidRPr="004565A3">
        <w:rPr>
          <w:i/>
          <w:iCs/>
          <w:color w:val="auto"/>
          <w:lang w:val="en-US" w:eastAsia="en-US" w:bidi="ar-SA"/>
        </w:rPr>
        <w:t>The Journal of Infectious Diseases, 219</w:t>
      </w:r>
      <w:r w:rsidRPr="004565A3">
        <w:rPr>
          <w:color w:val="auto"/>
          <w:lang w:val="en-US" w:eastAsia="en-US" w:bidi="ar-SA"/>
        </w:rPr>
        <w:t xml:space="preserve">(12), 1867–1878. </w:t>
      </w:r>
      <w:hyperlink r:id="rId13" w:history="1">
        <w:r w:rsidRPr="004565A3">
          <w:rPr>
            <w:color w:val="0000FF"/>
            <w:u w:val="single"/>
            <w:lang w:val="en-US" w:eastAsia="en-US" w:bidi="ar-SA"/>
          </w:rPr>
          <w:t>https://doi.org/10.1093/infdis/jiy612</w:t>
        </w:r>
      </w:hyperlink>
    </w:p>
    <w:p w14:paraId="283290D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Arunkumar, G., Devadiga, S., McElroy, A. K., Prabhu, S., Sheik, S., Abdulmajeed, J., Robin, S., Sushama, A., Jayaram, A., Nittur, S., Shakir, M., Kumar, K. G. S., Radhakrishnan, C., Sakeena, K., Vasudevan, J., Reena, K. J., Sarita, R. L., Klena, J. D., Spiropoulou, C. F., . . . Nichol, S. T. (2019). Adaptive immune responses in humans during Nipah virus acute and convalescent phases of infection. </w:t>
      </w:r>
      <w:r w:rsidRPr="004565A3">
        <w:rPr>
          <w:i/>
          <w:iCs/>
          <w:color w:val="auto"/>
          <w:lang w:val="en-US" w:eastAsia="en-US" w:bidi="ar-SA"/>
        </w:rPr>
        <w:t>Clinical Infectious Diseases, 69</w:t>
      </w:r>
      <w:r w:rsidRPr="004565A3">
        <w:rPr>
          <w:color w:val="auto"/>
          <w:lang w:val="en-US" w:eastAsia="en-US" w:bidi="ar-SA"/>
        </w:rPr>
        <w:t xml:space="preserve">(10), 1752–1756. </w:t>
      </w:r>
      <w:hyperlink r:id="rId14" w:history="1">
        <w:r w:rsidRPr="004565A3">
          <w:rPr>
            <w:color w:val="0000FF"/>
            <w:u w:val="single"/>
            <w:lang w:val="en-US" w:eastAsia="en-US" w:bidi="ar-SA"/>
          </w:rPr>
          <w:t>https://doi.org/10.1093/cid/ciz010</w:t>
        </w:r>
      </w:hyperlink>
    </w:p>
    <w:p w14:paraId="36EB807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AS, A. K., Sahay, R. R., Radhakrishnan, C., Sabeena, P., Kandath, S., Patil, D. Y., Shete, A. M., Mohandas, S., Ramakrishnan, G., Moorkoth, A. P., Gupta, N., &amp; Yadav, P. D. (2024). Clinico-epidemiological presentations and management of Nipah virus infection during </w:t>
      </w:r>
      <w:r w:rsidRPr="004565A3">
        <w:rPr>
          <w:color w:val="auto"/>
          <w:lang w:val="en-US" w:eastAsia="en-US" w:bidi="ar-SA"/>
        </w:rPr>
        <w:lastRenderedPageBreak/>
        <w:t xml:space="preserve">the outbreak in Kozhikode district, Kerala state, India 2023. </w:t>
      </w:r>
      <w:r w:rsidRPr="004565A3">
        <w:rPr>
          <w:i/>
          <w:iCs/>
          <w:color w:val="auto"/>
          <w:lang w:val="en-US" w:eastAsia="en-US" w:bidi="ar-SA"/>
        </w:rPr>
        <w:t>Journal of Medical Virology, 96</w:t>
      </w:r>
      <w:r w:rsidRPr="004565A3">
        <w:rPr>
          <w:color w:val="auto"/>
          <w:lang w:val="en-US" w:eastAsia="en-US" w:bidi="ar-SA"/>
        </w:rPr>
        <w:t xml:space="preserve">(3), e29559. </w:t>
      </w:r>
      <w:hyperlink r:id="rId15" w:history="1">
        <w:r w:rsidRPr="004565A3">
          <w:rPr>
            <w:color w:val="0000FF"/>
            <w:u w:val="single"/>
            <w:lang w:val="en-US" w:eastAsia="en-US" w:bidi="ar-SA"/>
          </w:rPr>
          <w:t>https://doi.org/10.1002/jmv.29559</w:t>
        </w:r>
      </w:hyperlink>
    </w:p>
    <w:p w14:paraId="03AB3DF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Asokan, S., Luke, M. S., Atiyah, H. M., Noori, S. S., Atiyah, M. M., Makeshkumar, V., Verma, G., Jagadeesan, A., Beniwal, N., Vijayan, S., &amp; Rajeswary, D. (2026). Nipah virus as a pandemic threat: Current knowledge, diagnostic gaps, and future research priorities. </w:t>
      </w:r>
      <w:r w:rsidRPr="004565A3">
        <w:rPr>
          <w:i/>
          <w:iCs/>
          <w:color w:val="auto"/>
          <w:lang w:val="en-US" w:eastAsia="en-US" w:bidi="ar-SA"/>
        </w:rPr>
        <w:t>Diagnostic Microbiology and Infectious Disease, 114</w:t>
      </w:r>
      <w:r w:rsidRPr="004565A3">
        <w:rPr>
          <w:color w:val="auto"/>
          <w:lang w:val="en-US" w:eastAsia="en-US" w:bidi="ar-SA"/>
        </w:rPr>
        <w:t xml:space="preserve">(2), 117141. </w:t>
      </w:r>
      <w:hyperlink r:id="rId16" w:history="1">
        <w:r w:rsidRPr="004565A3">
          <w:rPr>
            <w:color w:val="0000FF"/>
            <w:u w:val="single"/>
            <w:lang w:val="en-US" w:eastAsia="en-US" w:bidi="ar-SA"/>
          </w:rPr>
          <w:t>https://doi.org/10.1016/j.diagmicrobio.2025.117141</w:t>
        </w:r>
      </w:hyperlink>
    </w:p>
    <w:p w14:paraId="5B74776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Athukorala, V. S., &amp; Ilmini, W. M. K. S. (2026). Explainable AI for critical care: A systematic review of interpretable models for sepsis and ICU mortality prediction. </w:t>
      </w:r>
      <w:r w:rsidRPr="004565A3">
        <w:rPr>
          <w:i/>
          <w:iCs/>
          <w:color w:val="auto"/>
          <w:lang w:val="en-US" w:eastAsia="en-US" w:bidi="ar-SA"/>
        </w:rPr>
        <w:t>BMC Medical Informatics and Decision Making, 26</w:t>
      </w:r>
      <w:r w:rsidRPr="004565A3">
        <w:rPr>
          <w:color w:val="auto"/>
          <w:lang w:val="en-US" w:eastAsia="en-US" w:bidi="ar-SA"/>
        </w:rPr>
        <w:t xml:space="preserve">(1), 64. </w:t>
      </w:r>
      <w:hyperlink r:id="rId17" w:history="1">
        <w:r w:rsidRPr="004565A3">
          <w:rPr>
            <w:color w:val="0000FF"/>
            <w:u w:val="single"/>
            <w:lang w:val="en-US" w:eastAsia="en-US" w:bidi="ar-SA"/>
          </w:rPr>
          <w:t>https://doi.org/10.1186/s12911-026-03344-0</w:t>
        </w:r>
      </w:hyperlink>
    </w:p>
    <w:p w14:paraId="1E14B7DB"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Bergeron, É., Chiang, C.-F., Lo, M. K., Karaaslan, E., Satter, S. M., Rahman, M. Z., Hossain, M. E., Aquib, W. R., Rahman, D. I., Sarwar, S. B., Montgomery, J. M., Klena, J. D., &amp; Spiropoulou, C. F. (2024). Streamlined detection of Nipah virus antibodies using a split NanoLuc biosensor. </w:t>
      </w:r>
      <w:r w:rsidRPr="004565A3">
        <w:rPr>
          <w:i/>
          <w:iCs/>
          <w:color w:val="auto"/>
          <w:lang w:val="en-US" w:eastAsia="en-US" w:bidi="ar-SA"/>
        </w:rPr>
        <w:t>Emerging Microbes &amp; Infections, 13</w:t>
      </w:r>
      <w:r w:rsidRPr="004565A3">
        <w:rPr>
          <w:color w:val="auto"/>
          <w:lang w:val="en-US" w:eastAsia="en-US" w:bidi="ar-SA"/>
        </w:rPr>
        <w:t xml:space="preserve">(1), 2398640. </w:t>
      </w:r>
      <w:hyperlink r:id="rId18" w:history="1">
        <w:r w:rsidRPr="004565A3">
          <w:rPr>
            <w:color w:val="0000FF"/>
            <w:u w:val="single"/>
            <w:lang w:val="en-US" w:eastAsia="en-US" w:bidi="ar-SA"/>
          </w:rPr>
          <w:t>https://doi.org/10.1080/22221751.2024.2398640</w:t>
        </w:r>
      </w:hyperlink>
    </w:p>
    <w:p w14:paraId="1BDE0A7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Cao, Y., Lancaster, E., Lee, J., &amp; Wu, J. (2026). Integrating explainable AI and One Health: A new frontier in combating infectious diseases. </w:t>
      </w:r>
      <w:r w:rsidRPr="004565A3">
        <w:rPr>
          <w:i/>
          <w:iCs/>
          <w:color w:val="auto"/>
          <w:lang w:val="en-US" w:eastAsia="en-US" w:bidi="ar-SA"/>
        </w:rPr>
        <w:t>eBioMedicine, 126</w:t>
      </w:r>
      <w:r w:rsidRPr="004565A3">
        <w:rPr>
          <w:color w:val="auto"/>
          <w:lang w:val="en-US" w:eastAsia="en-US" w:bidi="ar-SA"/>
        </w:rPr>
        <w:t xml:space="preserve">, 106207. </w:t>
      </w:r>
      <w:hyperlink r:id="rId19" w:history="1">
        <w:r w:rsidRPr="004565A3">
          <w:rPr>
            <w:color w:val="0000FF"/>
            <w:u w:val="single"/>
            <w:lang w:val="en-US" w:eastAsia="en-US" w:bidi="ar-SA"/>
          </w:rPr>
          <w:t>https://doi.org/10.1016/j.ebiom.2026.106207</w:t>
        </w:r>
      </w:hyperlink>
    </w:p>
    <w:p w14:paraId="3043B8F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Chadha, M. S., Comer, J. A., Lowe, L., Rota, P. A., Rollin, P. E., Bellini, W. J., Ksiazek, T. G., &amp; Mishra, A. C. (2006). Nipah virus-associated encephalitis outbreak, Siliguri, India. </w:t>
      </w:r>
      <w:r w:rsidRPr="004565A3">
        <w:rPr>
          <w:i/>
          <w:iCs/>
          <w:color w:val="auto"/>
          <w:lang w:val="en-US" w:eastAsia="en-US" w:bidi="ar-SA"/>
        </w:rPr>
        <w:t>Emerging Infectious Diseases, 12</w:t>
      </w:r>
      <w:r w:rsidRPr="004565A3">
        <w:rPr>
          <w:color w:val="auto"/>
          <w:lang w:val="en-US" w:eastAsia="en-US" w:bidi="ar-SA"/>
        </w:rPr>
        <w:t xml:space="preserve">(2), 235–240. </w:t>
      </w:r>
      <w:hyperlink r:id="rId20" w:history="1">
        <w:r w:rsidRPr="004565A3">
          <w:rPr>
            <w:color w:val="0000FF"/>
            <w:u w:val="single"/>
            <w:lang w:val="en-US" w:eastAsia="en-US" w:bidi="ar-SA"/>
          </w:rPr>
          <w:t>https://doi.org/10.3201/eid1202.051247</w:t>
        </w:r>
      </w:hyperlink>
    </w:p>
    <w:p w14:paraId="311BB7BE"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Chandni, R., Renjith, T. P., Fazal, A., Yoosef, N., Ashhar, C., Thulaseedharan, N. K., Suraj, K. P., Sreejith, M. K., Sajeeth Kumar, K. G., Rajendran, V. R., Remla Beevi, A., Sarita, R. L., Sugunan, A. P., Arunkumar, G., Mourya, D. T., &amp; Murhekar, M. (2020). Clinical manifestations of Nipah virus-infected patients who presented to the emergency department during an outbreak in Kerala State in India, May 2018. </w:t>
      </w:r>
      <w:r w:rsidRPr="004565A3">
        <w:rPr>
          <w:i/>
          <w:iCs/>
          <w:color w:val="auto"/>
          <w:lang w:val="en-US" w:eastAsia="en-US" w:bidi="ar-SA"/>
        </w:rPr>
        <w:t>Clinical Infectious Diseases, 71</w:t>
      </w:r>
      <w:r w:rsidRPr="004565A3">
        <w:rPr>
          <w:color w:val="auto"/>
          <w:lang w:val="en-US" w:eastAsia="en-US" w:bidi="ar-SA"/>
        </w:rPr>
        <w:t xml:space="preserve">(1), 152–157. </w:t>
      </w:r>
      <w:hyperlink r:id="rId21" w:history="1">
        <w:r w:rsidRPr="004565A3">
          <w:rPr>
            <w:color w:val="0000FF"/>
            <w:u w:val="single"/>
            <w:lang w:val="en-US" w:eastAsia="en-US" w:bidi="ar-SA"/>
          </w:rPr>
          <w:t>https://doi.org/10.1093/cid/ciz789</w:t>
        </w:r>
      </w:hyperlink>
    </w:p>
    <w:p w14:paraId="0F64CFF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Che, Z., Purushotham, S., Cho, K., Sontag, D., &amp; Liu, Y. (2018). Recurrent neural networks for multivariate time series with missing values. </w:t>
      </w:r>
      <w:r w:rsidRPr="004565A3">
        <w:rPr>
          <w:i/>
          <w:iCs/>
          <w:color w:val="auto"/>
          <w:lang w:val="en-US" w:eastAsia="en-US" w:bidi="ar-SA"/>
        </w:rPr>
        <w:t>Scientific Reports, 8</w:t>
      </w:r>
      <w:r w:rsidRPr="004565A3">
        <w:rPr>
          <w:color w:val="auto"/>
          <w:lang w:val="en-US" w:eastAsia="en-US" w:bidi="ar-SA"/>
        </w:rPr>
        <w:t xml:space="preserve">(1), 6085. </w:t>
      </w:r>
      <w:hyperlink r:id="rId22" w:history="1">
        <w:r w:rsidRPr="004565A3">
          <w:rPr>
            <w:color w:val="0000FF"/>
            <w:u w:val="single"/>
            <w:lang w:val="en-US" w:eastAsia="en-US" w:bidi="ar-SA"/>
          </w:rPr>
          <w:t>https://doi.org/10.1038/s41598-018-24271-9</w:t>
        </w:r>
      </w:hyperlink>
    </w:p>
    <w:p w14:paraId="298AE55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Chen, R. J., Wang, J. J., Williamson, D. F. K., Chen, T. Y., Lipkova, J., Lu, M. Y., Sahai, S., &amp; Mahmood, F. (2023). Algorithmic fairness in artificial intelligence for medicine and healthcare. </w:t>
      </w:r>
      <w:r w:rsidRPr="004565A3">
        <w:rPr>
          <w:i/>
          <w:iCs/>
          <w:color w:val="auto"/>
          <w:lang w:val="en-US" w:eastAsia="en-US" w:bidi="ar-SA"/>
        </w:rPr>
        <w:t>Nature Biomedical Engineering, 7</w:t>
      </w:r>
      <w:r w:rsidRPr="004565A3">
        <w:rPr>
          <w:color w:val="auto"/>
          <w:lang w:val="en-US" w:eastAsia="en-US" w:bidi="ar-SA"/>
        </w:rPr>
        <w:t xml:space="preserve">(6), 719–742. </w:t>
      </w:r>
      <w:hyperlink r:id="rId23" w:history="1">
        <w:r w:rsidRPr="004565A3">
          <w:rPr>
            <w:color w:val="0000FF"/>
            <w:u w:val="single"/>
            <w:lang w:val="en-US" w:eastAsia="en-US" w:bidi="ar-SA"/>
          </w:rPr>
          <w:t>https://doi.org/10.1038/s41551-023-01056-8</w:t>
        </w:r>
      </w:hyperlink>
    </w:p>
    <w:p w14:paraId="508CED55"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Chiang, C.-F., Lo, M. K., Rota, P. A., Spiropoulou, C. F., &amp; Rollin, P. E. (2010). Use of monoclonal antibodies against Hendra and Nipah viruses in an antigen capture ELISA. </w:t>
      </w:r>
      <w:r w:rsidRPr="004565A3">
        <w:rPr>
          <w:i/>
          <w:iCs/>
          <w:color w:val="auto"/>
          <w:lang w:val="en-US" w:eastAsia="en-US" w:bidi="ar-SA"/>
        </w:rPr>
        <w:t>Virology Journal, 7</w:t>
      </w:r>
      <w:r w:rsidRPr="004565A3">
        <w:rPr>
          <w:color w:val="auto"/>
          <w:lang w:val="en-US" w:eastAsia="en-US" w:bidi="ar-SA"/>
        </w:rPr>
        <w:t xml:space="preserve">(1), 115. </w:t>
      </w:r>
      <w:hyperlink r:id="rId24" w:history="1">
        <w:r w:rsidRPr="004565A3">
          <w:rPr>
            <w:color w:val="0000FF"/>
            <w:u w:val="single"/>
            <w:lang w:val="en-US" w:eastAsia="en-US" w:bidi="ar-SA"/>
          </w:rPr>
          <w:t>https://doi.org/10.1186/1743-422X-7-115</w:t>
        </w:r>
      </w:hyperlink>
    </w:p>
    <w:p w14:paraId="4979AE9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lastRenderedPageBreak/>
        <w:t xml:space="preserve">Chu, W. T., Reza, S. M. S., Anibal, J. T., Landa, A., Crozier, I., Bağci, U., Wood, B. J., &amp; Solomon, J. (2023). Artificial intelligence and infectious disease imaging. </w:t>
      </w:r>
      <w:r w:rsidRPr="004565A3">
        <w:rPr>
          <w:i/>
          <w:iCs/>
          <w:color w:val="auto"/>
          <w:lang w:val="en-US" w:eastAsia="en-US" w:bidi="ar-SA"/>
        </w:rPr>
        <w:t>The Journal of Infectious Diseases, 228</w:t>
      </w:r>
      <w:r w:rsidRPr="004565A3">
        <w:rPr>
          <w:color w:val="auto"/>
          <w:lang w:val="en-US" w:eastAsia="en-US" w:bidi="ar-SA"/>
        </w:rPr>
        <w:t xml:space="preserve">(Suppl. 4), S322–S336. </w:t>
      </w:r>
      <w:hyperlink r:id="rId25" w:history="1">
        <w:r w:rsidRPr="004565A3">
          <w:rPr>
            <w:color w:val="0000FF"/>
            <w:u w:val="single"/>
            <w:lang w:val="en-US" w:eastAsia="en-US" w:bidi="ar-SA"/>
          </w:rPr>
          <w:t>https://doi.org/10.1093/infdis/jiad158</w:t>
        </w:r>
      </w:hyperlink>
    </w:p>
    <w:p w14:paraId="5C2BD97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Chua, K. B., Goh, K. J., Wong, K. T., Kamarulzaman, A., Tan, P. S. K., Ksiazek, T. G., Zaki, S. R., Paul, G., Lam, S. K., &amp; Tan, C. T. (1999). </w:t>
      </w:r>
      <w:r w:rsidRPr="004565A3">
        <w:rPr>
          <w:color w:val="auto"/>
          <w:lang w:val="en-US" w:eastAsia="en-US" w:bidi="ar-SA"/>
        </w:rPr>
        <w:t xml:space="preserve">Fatal encephalitis due to Nipah virus among pig-farmers in Malaysia. </w:t>
      </w:r>
      <w:r w:rsidRPr="004565A3">
        <w:rPr>
          <w:i/>
          <w:iCs/>
          <w:color w:val="auto"/>
          <w:lang w:val="en-US" w:eastAsia="en-US" w:bidi="ar-SA"/>
        </w:rPr>
        <w:t>The Lancet, 354</w:t>
      </w:r>
      <w:r w:rsidRPr="004565A3">
        <w:rPr>
          <w:color w:val="auto"/>
          <w:lang w:val="en-US" w:eastAsia="en-US" w:bidi="ar-SA"/>
        </w:rPr>
        <w:t xml:space="preserve">(9186), 1257–1259. </w:t>
      </w:r>
      <w:hyperlink r:id="rId26" w:history="1">
        <w:r w:rsidRPr="004565A3">
          <w:rPr>
            <w:color w:val="0000FF"/>
            <w:u w:val="single"/>
            <w:lang w:val="en-US" w:eastAsia="en-US" w:bidi="ar-SA"/>
          </w:rPr>
          <w:t>https://doi.org/10.1016/S0140-6736(99)04299-3</w:t>
        </w:r>
      </w:hyperlink>
    </w:p>
    <w:p w14:paraId="194227F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Ciecierski-Holmes, T., Singh, R., Axt, M., Brenner, S., &amp; Barteit, S. (2022). Artificial intelligence for strengthening healthcare systems in low- and middle-income countries: A systematic scoping review. </w:t>
      </w:r>
      <w:r w:rsidRPr="004565A3">
        <w:rPr>
          <w:i/>
          <w:iCs/>
          <w:color w:val="auto"/>
          <w:lang w:val="en-US" w:eastAsia="en-US" w:bidi="ar-SA"/>
        </w:rPr>
        <w:t>npj Digital Medicine, 5</w:t>
      </w:r>
      <w:r w:rsidRPr="004565A3">
        <w:rPr>
          <w:color w:val="auto"/>
          <w:lang w:val="en-US" w:eastAsia="en-US" w:bidi="ar-SA"/>
        </w:rPr>
        <w:t xml:space="preserve">(1), 162. </w:t>
      </w:r>
      <w:hyperlink r:id="rId27" w:history="1">
        <w:r w:rsidRPr="004565A3">
          <w:rPr>
            <w:color w:val="0000FF"/>
            <w:u w:val="single"/>
            <w:lang w:val="en-US" w:eastAsia="en-US" w:bidi="ar-SA"/>
          </w:rPr>
          <w:t>https://doi.org/10.1038/s41746-022-00700-y</w:t>
        </w:r>
      </w:hyperlink>
    </w:p>
    <w:p w14:paraId="1A04B72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Collins, G. S., Moons, K. G. M., Dhiman, P., Riley, R. D., Beam, A. L., Van Calster, B., Ghassemi, M., Liu, X., Reitsma, J. B., van Smeden, M., Boulesteix, A.-L., Camaradou, J. C., Celi, L. A., Denaxas, S., Denniston, A. K., Glocker, B., Golub, R. M., Harvey, H., Heinze, G., . . . Logullo, P. (2024). TRIPOD+AI statement: Updated guidance for reporting clinical prediction models that use regression or machine learning methods. </w:t>
      </w:r>
      <w:r w:rsidRPr="004565A3">
        <w:rPr>
          <w:i/>
          <w:iCs/>
          <w:color w:val="auto"/>
          <w:lang w:val="en-US" w:eastAsia="en-US" w:bidi="ar-SA"/>
        </w:rPr>
        <w:t>BMJ, 385</w:t>
      </w:r>
      <w:r w:rsidRPr="004565A3">
        <w:rPr>
          <w:color w:val="auto"/>
          <w:lang w:val="en-US" w:eastAsia="en-US" w:bidi="ar-SA"/>
        </w:rPr>
        <w:t xml:space="preserve">, e078378. </w:t>
      </w:r>
      <w:hyperlink r:id="rId28" w:history="1">
        <w:r w:rsidRPr="004565A3">
          <w:rPr>
            <w:color w:val="0000FF"/>
            <w:u w:val="single"/>
            <w:lang w:val="en-US" w:eastAsia="en-US" w:bidi="ar-SA"/>
          </w:rPr>
          <w:t>https://doi.org/10.1136/bmj-2023-078378</w:t>
        </w:r>
      </w:hyperlink>
    </w:p>
    <w:p w14:paraId="41F32D62"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Collins, J., &amp; Huynh, M. (2014). Estimation of diagnostic test accuracy without full verification: A review of latent class methods. </w:t>
      </w:r>
      <w:r w:rsidRPr="004565A3">
        <w:rPr>
          <w:i/>
          <w:iCs/>
          <w:color w:val="auto"/>
          <w:lang w:val="en-US" w:eastAsia="en-US" w:bidi="ar-SA"/>
        </w:rPr>
        <w:t>Statistics in Medicine, 33</w:t>
      </w:r>
      <w:r w:rsidRPr="004565A3">
        <w:rPr>
          <w:color w:val="auto"/>
          <w:lang w:val="en-US" w:eastAsia="en-US" w:bidi="ar-SA"/>
        </w:rPr>
        <w:t xml:space="preserve">(24), 4141–4169. </w:t>
      </w:r>
      <w:hyperlink r:id="rId29" w:history="1">
        <w:r w:rsidRPr="004565A3">
          <w:rPr>
            <w:color w:val="0000FF"/>
            <w:u w:val="single"/>
            <w:lang w:val="en-US" w:eastAsia="en-US" w:bidi="ar-SA"/>
          </w:rPr>
          <w:t>https://doi.org/10.1002/sim.6218</w:t>
        </w:r>
      </w:hyperlink>
    </w:p>
    <w:p w14:paraId="2920D6C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Daniels, P., Ksiazek, T., &amp; Eaton, B. T. (2001). </w:t>
      </w:r>
      <w:r w:rsidRPr="004565A3">
        <w:rPr>
          <w:color w:val="auto"/>
          <w:lang w:val="en-US" w:eastAsia="en-US" w:bidi="ar-SA"/>
        </w:rPr>
        <w:t xml:space="preserve">Laboratory diagnosis of Nipah and Hendra virus infections. </w:t>
      </w:r>
      <w:r w:rsidRPr="004565A3">
        <w:rPr>
          <w:i/>
          <w:iCs/>
          <w:color w:val="auto"/>
          <w:lang w:val="en-US" w:eastAsia="en-US" w:bidi="ar-SA"/>
        </w:rPr>
        <w:t>Microbes and Infection, 3</w:t>
      </w:r>
      <w:r w:rsidRPr="004565A3">
        <w:rPr>
          <w:color w:val="auto"/>
          <w:lang w:val="en-US" w:eastAsia="en-US" w:bidi="ar-SA"/>
        </w:rPr>
        <w:t xml:space="preserve">(4), 289–295. </w:t>
      </w:r>
      <w:hyperlink r:id="rId30" w:history="1">
        <w:r w:rsidRPr="004565A3">
          <w:rPr>
            <w:color w:val="0000FF"/>
            <w:u w:val="single"/>
            <w:lang w:val="en-US" w:eastAsia="en-US" w:bidi="ar-SA"/>
          </w:rPr>
          <w:t>https://doi.org/10.1016/S1286-4579(01)01382-X</w:t>
        </w:r>
      </w:hyperlink>
    </w:p>
    <w:p w14:paraId="6BDB6EE5"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Dayan, I., Roth, H. R., Zhong, A., Harouni, A., Gentili, A., Abidin, A. Z., Liu, A., Costa, A. B., Wood, B. J., Tsai, C.-S., Wang, C.-H., Hsu, C.-N., Lee, C. K., Ruan, P., Xu, D., Wu, D., Huang, E., Kitamura, F. C., Lacey, G., . . . Li, Q. (2021). Federated learning for predicting clinical outcomes in patients with COVID-19. </w:t>
      </w:r>
      <w:r w:rsidRPr="004565A3">
        <w:rPr>
          <w:i/>
          <w:iCs/>
          <w:color w:val="auto"/>
          <w:lang w:val="en-US" w:eastAsia="en-US" w:bidi="ar-SA"/>
        </w:rPr>
        <w:t>Nature Medicine, 27</w:t>
      </w:r>
      <w:r w:rsidRPr="004565A3">
        <w:rPr>
          <w:color w:val="auto"/>
          <w:lang w:val="en-US" w:eastAsia="en-US" w:bidi="ar-SA"/>
        </w:rPr>
        <w:t xml:space="preserve">(10), 1735–1743. </w:t>
      </w:r>
      <w:hyperlink r:id="rId31" w:history="1">
        <w:r w:rsidRPr="004565A3">
          <w:rPr>
            <w:color w:val="0000FF"/>
            <w:u w:val="single"/>
            <w:lang w:val="en-US" w:eastAsia="en-US" w:bidi="ar-SA"/>
          </w:rPr>
          <w:t>https://doi.org/10.1038/s41591-021-01506-3</w:t>
        </w:r>
      </w:hyperlink>
    </w:p>
    <w:p w14:paraId="5C3A3DA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Di Martino, F., &amp; Delmastro, F. (2023). Explainable AI for clinical and remote health applications: A survey on tabular and time series data. </w:t>
      </w:r>
      <w:r w:rsidRPr="004565A3">
        <w:rPr>
          <w:i/>
          <w:iCs/>
          <w:color w:val="auto"/>
          <w:lang w:val="en-US" w:eastAsia="en-US" w:bidi="ar-SA"/>
        </w:rPr>
        <w:t>Artificial Intelligence Review, 56</w:t>
      </w:r>
      <w:r w:rsidRPr="004565A3">
        <w:rPr>
          <w:color w:val="auto"/>
          <w:lang w:val="en-US" w:eastAsia="en-US" w:bidi="ar-SA"/>
        </w:rPr>
        <w:t xml:space="preserve">(6), 5261–5315. </w:t>
      </w:r>
      <w:hyperlink r:id="rId32" w:history="1">
        <w:r w:rsidRPr="004565A3">
          <w:rPr>
            <w:color w:val="0000FF"/>
            <w:u w:val="single"/>
            <w:lang w:val="en-US" w:eastAsia="en-US" w:bidi="ar-SA"/>
          </w:rPr>
          <w:t>https://doi.org/10.1007/s10462-022-10304-3</w:t>
        </w:r>
      </w:hyperlink>
    </w:p>
    <w:p w14:paraId="415C104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Finlayson, S. G., Subbaswamy, A., Singh, K., Bowers, J., Kupke, A., Zittrain, J., Kohane, I. S., &amp; Saria, S. (2021). The clinician and dataset shift in artificial intelligence. </w:t>
      </w:r>
      <w:r w:rsidRPr="004565A3">
        <w:rPr>
          <w:i/>
          <w:iCs/>
          <w:color w:val="auto"/>
          <w:lang w:val="en-US" w:eastAsia="en-US" w:bidi="ar-SA"/>
        </w:rPr>
        <w:t>New England Journal of Medicine, 385</w:t>
      </w:r>
      <w:r w:rsidRPr="004565A3">
        <w:rPr>
          <w:color w:val="auto"/>
          <w:lang w:val="en-US" w:eastAsia="en-US" w:bidi="ar-SA"/>
        </w:rPr>
        <w:t xml:space="preserve">(3), 283–286. </w:t>
      </w:r>
      <w:hyperlink r:id="rId33" w:history="1">
        <w:r w:rsidRPr="004565A3">
          <w:rPr>
            <w:color w:val="0000FF"/>
            <w:u w:val="single"/>
            <w:lang w:val="en-US" w:eastAsia="en-US" w:bidi="ar-SA"/>
          </w:rPr>
          <w:t>https://doi.org/10.1056/NEJMc2104626</w:t>
        </w:r>
      </w:hyperlink>
    </w:p>
    <w:p w14:paraId="03E84643"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Garbuglia, A. R., Lapa, D., Pauciullo, S., Raoul, H., &amp; Pannetier, D. (2023). Nipah virus: An overview of the current status of diagnostics and their role in preparedness in endemic countries. </w:t>
      </w:r>
      <w:r w:rsidRPr="004565A3">
        <w:rPr>
          <w:i/>
          <w:iCs/>
          <w:color w:val="auto"/>
          <w:lang w:val="en-US" w:eastAsia="en-US" w:bidi="ar-SA"/>
        </w:rPr>
        <w:t>Viruses, 15</w:t>
      </w:r>
      <w:r w:rsidRPr="004565A3">
        <w:rPr>
          <w:color w:val="auto"/>
          <w:lang w:val="en-US" w:eastAsia="en-US" w:bidi="ar-SA"/>
        </w:rPr>
        <w:t xml:space="preserve">(10), 2062. </w:t>
      </w:r>
      <w:hyperlink r:id="rId34" w:history="1">
        <w:r w:rsidRPr="004565A3">
          <w:rPr>
            <w:color w:val="0000FF"/>
            <w:u w:val="single"/>
            <w:lang w:val="en-US" w:eastAsia="en-US" w:bidi="ar-SA"/>
          </w:rPr>
          <w:t>https://doi.org/10.3390/v15102062</w:t>
        </w:r>
      </w:hyperlink>
    </w:p>
    <w:p w14:paraId="00DC381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Ghassemi, M., Oakden-Rayner, L., &amp; Beam, A. L. (2021). The false hope of current approaches to explainable artificial intelligence in health care. </w:t>
      </w:r>
      <w:r w:rsidRPr="004565A3">
        <w:rPr>
          <w:i/>
          <w:iCs/>
          <w:color w:val="auto"/>
          <w:lang w:val="en-US" w:eastAsia="en-US" w:bidi="ar-SA"/>
        </w:rPr>
        <w:t>The Lancet Digital Health, 3</w:t>
      </w:r>
      <w:r w:rsidRPr="004565A3">
        <w:rPr>
          <w:color w:val="auto"/>
          <w:lang w:val="en-US" w:eastAsia="en-US" w:bidi="ar-SA"/>
        </w:rPr>
        <w:t xml:space="preserve">(11), e745–e750. </w:t>
      </w:r>
      <w:hyperlink r:id="rId35" w:history="1">
        <w:r w:rsidRPr="004565A3">
          <w:rPr>
            <w:color w:val="0000FF"/>
            <w:u w:val="single"/>
            <w:lang w:val="en-US" w:eastAsia="en-US" w:bidi="ar-SA"/>
          </w:rPr>
          <w:t>https://doi.org/10.1016/S2589-7500(21)00208-9</w:t>
        </w:r>
      </w:hyperlink>
    </w:p>
    <w:p w14:paraId="1B612D6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lastRenderedPageBreak/>
        <w:t xml:space="preserve">Giacobbe, D. R., Zhang, Y., &amp; de la Fuente, J. (2023). </w:t>
      </w:r>
      <w:r w:rsidRPr="004565A3">
        <w:rPr>
          <w:color w:val="auto"/>
          <w:lang w:val="en-US" w:eastAsia="en-US" w:bidi="ar-SA"/>
        </w:rPr>
        <w:t xml:space="preserve">Explainable artificial intelligence and machine learning: Novel approaches to face infectious diseases challenges. </w:t>
      </w:r>
      <w:r w:rsidRPr="004565A3">
        <w:rPr>
          <w:i/>
          <w:iCs/>
          <w:color w:val="auto"/>
          <w:lang w:val="en-US" w:eastAsia="en-US" w:bidi="ar-SA"/>
        </w:rPr>
        <w:t>Annals of Medicine, 55</w:t>
      </w:r>
      <w:r w:rsidRPr="004565A3">
        <w:rPr>
          <w:color w:val="auto"/>
          <w:lang w:val="en-US" w:eastAsia="en-US" w:bidi="ar-SA"/>
        </w:rPr>
        <w:t xml:space="preserve">(2), 2286336. </w:t>
      </w:r>
      <w:hyperlink r:id="rId36" w:history="1">
        <w:r w:rsidRPr="004565A3">
          <w:rPr>
            <w:color w:val="0000FF"/>
            <w:u w:val="single"/>
            <w:lang w:val="en-US" w:eastAsia="en-US" w:bidi="ar-SA"/>
          </w:rPr>
          <w:t>https://doi.org/10.1080/07853890.2023.2286336</w:t>
        </w:r>
      </w:hyperlink>
    </w:p>
    <w:p w14:paraId="7A17170A"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Goh, K. J., Tan, C. T., Chew, N. K., Tan, P. S. K., Kamarulzaman, A., Sarji, S. A., Wong, K. T., Abdullah, B. J. J., Chua, K. B., &amp; Lam, S. K. (2000). Clinical features of Nipah virus encephalitis among pig farmers in Malaysia. </w:t>
      </w:r>
      <w:r w:rsidRPr="004565A3">
        <w:rPr>
          <w:i/>
          <w:iCs/>
          <w:color w:val="auto"/>
          <w:lang w:val="en-US" w:eastAsia="en-US" w:bidi="ar-SA"/>
        </w:rPr>
        <w:t>New England Journal of Medicine, 342</w:t>
      </w:r>
      <w:r w:rsidRPr="004565A3">
        <w:rPr>
          <w:color w:val="auto"/>
          <w:lang w:val="en-US" w:eastAsia="en-US" w:bidi="ar-SA"/>
        </w:rPr>
        <w:t xml:space="preserve">(17), 1229–1235. </w:t>
      </w:r>
      <w:hyperlink r:id="rId37" w:history="1">
        <w:r w:rsidRPr="004565A3">
          <w:rPr>
            <w:color w:val="0000FF"/>
            <w:u w:val="single"/>
            <w:lang w:val="en-US" w:eastAsia="en-US" w:bidi="ar-SA"/>
          </w:rPr>
          <w:t>https://doi.org/10.1056/NEJM200004273421701</w:t>
        </w:r>
      </w:hyperlink>
    </w:p>
    <w:p w14:paraId="62DBCB7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Guillaume, V., Lefeuvre, A., Faure, C., Marianneau, P., Buckland, R., Lam, S. K., Wild, T. F., &amp; Deubel, V. (2004). Specific detection of Nipah virus using real-time RT-PCR (TaqMan). </w:t>
      </w:r>
      <w:r w:rsidRPr="004565A3">
        <w:rPr>
          <w:i/>
          <w:iCs/>
          <w:color w:val="auto"/>
          <w:lang w:val="en-US" w:eastAsia="en-US" w:bidi="ar-SA"/>
        </w:rPr>
        <w:t>Journal of Virological Methods, 120</w:t>
      </w:r>
      <w:r w:rsidRPr="004565A3">
        <w:rPr>
          <w:color w:val="auto"/>
          <w:lang w:val="en-US" w:eastAsia="en-US" w:bidi="ar-SA"/>
        </w:rPr>
        <w:t xml:space="preserve">(2), 229–237. </w:t>
      </w:r>
      <w:hyperlink r:id="rId38" w:history="1">
        <w:r w:rsidRPr="004565A3">
          <w:rPr>
            <w:color w:val="0000FF"/>
            <w:u w:val="single"/>
            <w:lang w:val="en-US" w:eastAsia="en-US" w:bidi="ar-SA"/>
          </w:rPr>
          <w:t>https://doi.org/10.1016/j.jviromet.2004.05.018</w:t>
        </w:r>
      </w:hyperlink>
    </w:p>
    <w:p w14:paraId="2518600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Guo, W., Lv, C., Guo, M., Zhao, Q., Yin, X., &amp; Zhang, L. (2023). </w:t>
      </w:r>
      <w:r w:rsidRPr="004565A3">
        <w:rPr>
          <w:color w:val="auto"/>
          <w:lang w:val="en-US" w:eastAsia="en-US" w:bidi="ar-SA"/>
        </w:rPr>
        <w:t xml:space="preserve">Innovative applications of artificial intelligence in zoonotic disease management. </w:t>
      </w:r>
      <w:r w:rsidRPr="004565A3">
        <w:rPr>
          <w:i/>
          <w:iCs/>
          <w:color w:val="auto"/>
          <w:lang w:val="en-US" w:eastAsia="en-US" w:bidi="ar-SA"/>
        </w:rPr>
        <w:t>Science in One Health, 2</w:t>
      </w:r>
      <w:r w:rsidRPr="004565A3">
        <w:rPr>
          <w:color w:val="auto"/>
          <w:lang w:val="en-US" w:eastAsia="en-US" w:bidi="ar-SA"/>
        </w:rPr>
        <w:t xml:space="preserve">, 100045. </w:t>
      </w:r>
      <w:hyperlink r:id="rId39" w:history="1">
        <w:r w:rsidRPr="004565A3">
          <w:rPr>
            <w:color w:val="0000FF"/>
            <w:u w:val="single"/>
            <w:lang w:val="en-US" w:eastAsia="en-US" w:bidi="ar-SA"/>
          </w:rPr>
          <w:t>https://doi.org/10.1016/j.soh.2023.100045</w:t>
        </w:r>
      </w:hyperlink>
    </w:p>
    <w:p w14:paraId="3328CC4D"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Hassan, M. Z., Rojek, A., Rahman, D. I., Sultana, S., Rahman, M., Khaja Mafij Uddin, M., Hossain, M. E., Rahman, M. W., Merson, L., Garcia, E., Dunning, J., Bourner, J., Choudhury, S. S., Chowdhury, K. I. A., Zaman, K., Khan, S. I., Tarik, M. H., Yeasmin, S., Ahammad, F., . . . Olliaro, P. (2025). Observational study on the clinical epidemiology of infectious acute encephalitis syndrome including Nipah virus disease, Bangladesh: BASE cohort study protocol. </w:t>
      </w:r>
      <w:r w:rsidRPr="004565A3">
        <w:rPr>
          <w:i/>
          <w:iCs/>
          <w:color w:val="auto"/>
          <w:lang w:val="en-US" w:eastAsia="en-US" w:bidi="ar-SA"/>
        </w:rPr>
        <w:t>BMJ Open, 15</w:t>
      </w:r>
      <w:r w:rsidRPr="004565A3">
        <w:rPr>
          <w:color w:val="auto"/>
          <w:lang w:val="en-US" w:eastAsia="en-US" w:bidi="ar-SA"/>
        </w:rPr>
        <w:t xml:space="preserve">(9), e105903. </w:t>
      </w:r>
      <w:hyperlink r:id="rId40" w:history="1">
        <w:r w:rsidRPr="004565A3">
          <w:rPr>
            <w:color w:val="0000FF"/>
            <w:u w:val="single"/>
            <w:lang w:val="en-US" w:eastAsia="en-US" w:bidi="ar-SA"/>
          </w:rPr>
          <w:t>https://doi.org/10.1136/bmjopen-2025-105903</w:t>
        </w:r>
      </w:hyperlink>
    </w:p>
    <w:p w14:paraId="3F32850F"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He, R., &amp; Chiang, J. N. (2025). Simultaneous forecasting of vital sign trajectories in the ICU. </w:t>
      </w:r>
      <w:r w:rsidRPr="004565A3">
        <w:rPr>
          <w:i/>
          <w:iCs/>
          <w:color w:val="auto"/>
          <w:lang w:val="en-US" w:eastAsia="en-US" w:bidi="ar-SA"/>
        </w:rPr>
        <w:t>Scientific Reports, 15</w:t>
      </w:r>
      <w:r w:rsidRPr="004565A3">
        <w:rPr>
          <w:color w:val="auto"/>
          <w:lang w:val="en-US" w:eastAsia="en-US" w:bidi="ar-SA"/>
        </w:rPr>
        <w:t xml:space="preserve">(1), 14996. </w:t>
      </w:r>
      <w:hyperlink r:id="rId41" w:history="1">
        <w:r w:rsidRPr="004565A3">
          <w:rPr>
            <w:color w:val="0000FF"/>
            <w:u w:val="single"/>
            <w:lang w:val="en-US" w:eastAsia="en-US" w:bidi="ar-SA"/>
          </w:rPr>
          <w:t>https://doi.org/10.1038/s41598-025-99719-w</w:t>
        </w:r>
      </w:hyperlink>
    </w:p>
    <w:p w14:paraId="1027572F"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He, W., Ma, T., Wang, Y., Han, W., Liu, J., Lei, W., Zhang, L., &amp; Wu, G. (2024). Development and evaluation of a quadruple real-time fluorescence-based quantitative reverse transcription polymerase chain reaction assay for detecting Langya, Mojiang, Nipah, and Cedar viruses. </w:t>
      </w:r>
      <w:r w:rsidRPr="004565A3">
        <w:rPr>
          <w:i/>
          <w:iCs/>
          <w:color w:val="auto"/>
          <w:lang w:val="en-US" w:eastAsia="en-US" w:bidi="ar-SA"/>
        </w:rPr>
        <w:t>Biosafety and Health, 6</w:t>
      </w:r>
      <w:r w:rsidRPr="004565A3">
        <w:rPr>
          <w:color w:val="auto"/>
          <w:lang w:val="en-US" w:eastAsia="en-US" w:bidi="ar-SA"/>
        </w:rPr>
        <w:t xml:space="preserve">(2), 80–87. </w:t>
      </w:r>
      <w:hyperlink r:id="rId42" w:history="1">
        <w:r w:rsidRPr="004565A3">
          <w:rPr>
            <w:color w:val="0000FF"/>
            <w:u w:val="single"/>
            <w:lang w:val="en-US" w:eastAsia="en-US" w:bidi="ar-SA"/>
          </w:rPr>
          <w:t>https://doi.org/10.1016/j.bsheal.2024.02.002</w:t>
        </w:r>
      </w:hyperlink>
    </w:p>
    <w:p w14:paraId="50486B8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Jensen, K. S., Adams, R., Bennett, R. S., Bernbaum, J., Jahrling, P. B., &amp; Holbrook, M. R. (2018). Development of a novel real-time polymerase chain reaction assay for the quantitative detection of Nipah virus replicative viral RNA. </w:t>
      </w:r>
      <w:r w:rsidRPr="004565A3">
        <w:rPr>
          <w:i/>
          <w:iCs/>
          <w:color w:val="auto"/>
          <w:lang w:val="en-US" w:eastAsia="en-US" w:bidi="ar-SA"/>
        </w:rPr>
        <w:t>PLOS ONE, 13</w:t>
      </w:r>
      <w:r w:rsidRPr="004565A3">
        <w:rPr>
          <w:color w:val="auto"/>
          <w:lang w:val="en-US" w:eastAsia="en-US" w:bidi="ar-SA"/>
        </w:rPr>
        <w:t xml:space="preserve">(6), e0199534. </w:t>
      </w:r>
      <w:hyperlink r:id="rId43" w:history="1">
        <w:r w:rsidRPr="004565A3">
          <w:rPr>
            <w:color w:val="0000FF"/>
            <w:u w:val="single"/>
            <w:lang w:val="en-US" w:eastAsia="en-US" w:bidi="ar-SA"/>
          </w:rPr>
          <w:t>https://doi.org/10.1371/journal.pone.0199534</w:t>
        </w:r>
      </w:hyperlink>
    </w:p>
    <w:p w14:paraId="055228D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Jia, J., Zhu, W., Liu, G., Diederich, S., Pickering, B., Banadyga, L., &amp; Yang, M. (2025). Development of a point-of-care immunochromatographic lateral flow strip assay for the detection of Nipah and Hendra viruses. </w:t>
      </w:r>
      <w:r w:rsidRPr="004565A3">
        <w:rPr>
          <w:i/>
          <w:iCs/>
          <w:color w:val="auto"/>
          <w:lang w:val="en-US" w:eastAsia="en-US" w:bidi="ar-SA"/>
        </w:rPr>
        <w:t>Viruses, 17</w:t>
      </w:r>
      <w:r w:rsidRPr="004565A3">
        <w:rPr>
          <w:color w:val="auto"/>
          <w:lang w:val="en-US" w:eastAsia="en-US" w:bidi="ar-SA"/>
        </w:rPr>
        <w:t xml:space="preserve">(7), 1021. </w:t>
      </w:r>
      <w:hyperlink r:id="rId44" w:history="1">
        <w:r w:rsidRPr="004565A3">
          <w:rPr>
            <w:color w:val="0000FF"/>
            <w:u w:val="single"/>
            <w:lang w:val="en-US" w:eastAsia="en-US" w:bidi="ar-SA"/>
          </w:rPr>
          <w:t>https://doi.org/10.3390/v17071021</w:t>
        </w:r>
      </w:hyperlink>
    </w:p>
    <w:p w14:paraId="3BF63B5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Kaku, Y., Noguchi, A., Marsh, G. A., McEachern, J. A., Okutani, A., Hotta, K., Bazartseren, B., Fukushi, S., Broder, C. C., Yamada, A., Inoue, S., &amp; Wang, L.-F. (2009). A neutralization test for specific detection of Nipah virus antibodies using pseudotyped vesicular stomatitis virus expressing green fluorescent protein. </w:t>
      </w:r>
      <w:r w:rsidRPr="004565A3">
        <w:rPr>
          <w:i/>
          <w:iCs/>
          <w:color w:val="auto"/>
          <w:lang w:val="en-US" w:eastAsia="en-US" w:bidi="ar-SA"/>
        </w:rPr>
        <w:t>Journal of Virological Methods, 160</w:t>
      </w:r>
      <w:r w:rsidRPr="004565A3">
        <w:rPr>
          <w:color w:val="auto"/>
          <w:lang w:val="en-US" w:eastAsia="en-US" w:bidi="ar-SA"/>
        </w:rPr>
        <w:t xml:space="preserve">(1–2), 7–13. </w:t>
      </w:r>
      <w:hyperlink r:id="rId45" w:history="1">
        <w:r w:rsidRPr="004565A3">
          <w:rPr>
            <w:color w:val="0000FF"/>
            <w:u w:val="single"/>
            <w:lang w:val="en-US" w:eastAsia="en-US" w:bidi="ar-SA"/>
          </w:rPr>
          <w:t>https://doi.org/10.1016/j.jviromet.2009.04.037</w:t>
        </w:r>
      </w:hyperlink>
    </w:p>
    <w:p w14:paraId="704F540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lastRenderedPageBreak/>
        <w:t xml:space="preserve">Kapral, L., Dibiasi, C., Jeremic, N., Bartos, S., Behrens, S., Bilir, A., Heitzinger, C., &amp; Kimberger, O. (2024). </w:t>
      </w:r>
      <w:r w:rsidRPr="004565A3">
        <w:rPr>
          <w:color w:val="auto"/>
          <w:lang w:val="en-US" w:eastAsia="en-US" w:bidi="ar-SA"/>
        </w:rPr>
        <w:t xml:space="preserve">Development and external validation of temporal fusion transformer models for continuous intraoperative blood pressure forecasting. </w:t>
      </w:r>
      <w:r w:rsidRPr="004565A3">
        <w:rPr>
          <w:i/>
          <w:iCs/>
          <w:color w:val="auto"/>
          <w:lang w:val="en-US" w:eastAsia="en-US" w:bidi="ar-SA"/>
        </w:rPr>
        <w:t>eClinicalMedicine, 75</w:t>
      </w:r>
      <w:r w:rsidRPr="004565A3">
        <w:rPr>
          <w:color w:val="auto"/>
          <w:lang w:val="en-US" w:eastAsia="en-US" w:bidi="ar-SA"/>
        </w:rPr>
        <w:t xml:space="preserve">, 102797. </w:t>
      </w:r>
      <w:hyperlink r:id="rId46" w:history="1">
        <w:r w:rsidRPr="004565A3">
          <w:rPr>
            <w:color w:val="0000FF"/>
            <w:u w:val="single"/>
            <w:lang w:val="en-US" w:eastAsia="en-US" w:bidi="ar-SA"/>
          </w:rPr>
          <w:t>https://doi.org/10.1016/j.eclinm.2024.102797</w:t>
        </w:r>
      </w:hyperlink>
    </w:p>
    <w:p w14:paraId="2E570E5F"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Kazijevs, M., &amp; Samad, M. D. (2023). </w:t>
      </w:r>
      <w:r w:rsidRPr="004565A3">
        <w:rPr>
          <w:color w:val="auto"/>
          <w:lang w:val="en-US" w:eastAsia="en-US" w:bidi="ar-SA"/>
        </w:rPr>
        <w:t xml:space="preserve">Deep imputation of missing values in time series health data: A review with benchmarking. </w:t>
      </w:r>
      <w:r w:rsidRPr="004565A3">
        <w:rPr>
          <w:i/>
          <w:iCs/>
          <w:color w:val="auto"/>
          <w:lang w:val="en-US" w:eastAsia="en-US" w:bidi="ar-SA"/>
        </w:rPr>
        <w:t>Journal of Biomedical Informatics, 144</w:t>
      </w:r>
      <w:r w:rsidRPr="004565A3">
        <w:rPr>
          <w:color w:val="auto"/>
          <w:lang w:val="en-US" w:eastAsia="en-US" w:bidi="ar-SA"/>
        </w:rPr>
        <w:t xml:space="preserve">, 104440. </w:t>
      </w:r>
      <w:hyperlink r:id="rId47" w:history="1">
        <w:r w:rsidRPr="004565A3">
          <w:rPr>
            <w:color w:val="0000FF"/>
            <w:u w:val="single"/>
            <w:lang w:val="en-US" w:eastAsia="en-US" w:bidi="ar-SA"/>
          </w:rPr>
          <w:t>https://doi.org/10.1016/j.jbi.2023.104440</w:t>
        </w:r>
      </w:hyperlink>
    </w:p>
    <w:p w14:paraId="5CCF2229"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Khera, R., Simon, M. A., &amp; Ross, J. S. (2023). Automation bias and assistive AI: Risk of harm from AI-driven clinical decision support. </w:t>
      </w:r>
      <w:r w:rsidRPr="004565A3">
        <w:rPr>
          <w:i/>
          <w:iCs/>
          <w:color w:val="auto"/>
          <w:lang w:val="en-US" w:eastAsia="en-US" w:bidi="ar-SA"/>
        </w:rPr>
        <w:t>JAMA, 330</w:t>
      </w:r>
      <w:r w:rsidRPr="004565A3">
        <w:rPr>
          <w:color w:val="auto"/>
          <w:lang w:val="en-US" w:eastAsia="en-US" w:bidi="ar-SA"/>
        </w:rPr>
        <w:t xml:space="preserve">(23), 2255–2257. </w:t>
      </w:r>
      <w:hyperlink r:id="rId48" w:history="1">
        <w:r w:rsidRPr="004565A3">
          <w:rPr>
            <w:color w:val="0000FF"/>
            <w:u w:val="single"/>
            <w:lang w:val="en-US" w:eastAsia="en-US" w:bidi="ar-SA"/>
          </w:rPr>
          <w:t>https://doi.org/10.1001/jama.2023.22557</w:t>
        </w:r>
      </w:hyperlink>
    </w:p>
    <w:p w14:paraId="115E5BF5"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Kline, A., Wang, H., Li, Y., Dennis, S., Hutch, M., Xu, Z., Wang, F., Cheng, F., &amp; Luo, Y. (2022). </w:t>
      </w:r>
      <w:r w:rsidRPr="004565A3">
        <w:rPr>
          <w:color w:val="auto"/>
          <w:lang w:val="en-US" w:eastAsia="en-US" w:bidi="ar-SA"/>
        </w:rPr>
        <w:t xml:space="preserve">Multimodal machine learning in precision health: A scoping review. </w:t>
      </w:r>
      <w:r w:rsidRPr="004565A3">
        <w:rPr>
          <w:i/>
          <w:iCs/>
          <w:color w:val="auto"/>
          <w:lang w:val="en-US" w:eastAsia="en-US" w:bidi="ar-SA"/>
        </w:rPr>
        <w:t>npj Digital Medicine, 5</w:t>
      </w:r>
      <w:r w:rsidRPr="004565A3">
        <w:rPr>
          <w:color w:val="auto"/>
          <w:lang w:val="en-US" w:eastAsia="en-US" w:bidi="ar-SA"/>
        </w:rPr>
        <w:t xml:space="preserve">(1), 171. </w:t>
      </w:r>
      <w:hyperlink r:id="rId49" w:history="1">
        <w:r w:rsidRPr="004565A3">
          <w:rPr>
            <w:color w:val="0000FF"/>
            <w:u w:val="single"/>
            <w:lang w:val="en-US" w:eastAsia="en-US" w:bidi="ar-SA"/>
          </w:rPr>
          <w:t>https://doi.org/10.1038/s41746-022-00712-8</w:t>
        </w:r>
      </w:hyperlink>
    </w:p>
    <w:p w14:paraId="6BFA906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Kompa, B., Snoek, J., &amp; Beam, A. L. (2021). </w:t>
      </w:r>
      <w:r w:rsidRPr="004565A3">
        <w:rPr>
          <w:color w:val="auto"/>
          <w:lang w:val="en-US" w:eastAsia="en-US" w:bidi="ar-SA"/>
        </w:rPr>
        <w:t xml:space="preserve">Second opinion needed: Communicating uncertainty in medical machine learning. </w:t>
      </w:r>
      <w:r w:rsidRPr="004565A3">
        <w:rPr>
          <w:i/>
          <w:iCs/>
          <w:color w:val="auto"/>
          <w:lang w:val="en-US" w:eastAsia="en-US" w:bidi="ar-SA"/>
        </w:rPr>
        <w:t>npj Digital Medicine, 4</w:t>
      </w:r>
      <w:r w:rsidRPr="004565A3">
        <w:rPr>
          <w:color w:val="auto"/>
          <w:lang w:val="en-US" w:eastAsia="en-US" w:bidi="ar-SA"/>
        </w:rPr>
        <w:t xml:space="preserve">(1), 4. </w:t>
      </w:r>
      <w:hyperlink r:id="rId50" w:history="1">
        <w:r w:rsidRPr="004565A3">
          <w:rPr>
            <w:color w:val="0000FF"/>
            <w:u w:val="single"/>
            <w:lang w:val="en-US" w:eastAsia="en-US" w:bidi="ar-SA"/>
          </w:rPr>
          <w:t>https://doi.org/10.1038/s41746-020-00367-3</w:t>
        </w:r>
      </w:hyperlink>
    </w:p>
    <w:p w14:paraId="0682CDC9"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Kostoulas, P., Nielsen, S. S., Branscum, A. J., Johnson, W. O., Dendukuri, N., Dhand, N. K., Toft, N., &amp; Gardner, I. A. (2017). STARD-BLCM: Standards for the reporting of diagnostic accuracy studies that use Bayesian latent class models. </w:t>
      </w:r>
      <w:r w:rsidRPr="004565A3">
        <w:rPr>
          <w:i/>
          <w:iCs/>
          <w:color w:val="auto"/>
          <w:lang w:val="en-US" w:eastAsia="en-US" w:bidi="ar-SA"/>
        </w:rPr>
        <w:t>Preventive Veterinary Medicine, 138</w:t>
      </w:r>
      <w:r w:rsidRPr="004565A3">
        <w:rPr>
          <w:color w:val="auto"/>
          <w:lang w:val="en-US" w:eastAsia="en-US" w:bidi="ar-SA"/>
        </w:rPr>
        <w:t xml:space="preserve">, 37–47. </w:t>
      </w:r>
      <w:hyperlink r:id="rId51" w:history="1">
        <w:r w:rsidRPr="004565A3">
          <w:rPr>
            <w:color w:val="0000FF"/>
            <w:u w:val="single"/>
            <w:lang w:val="en-US" w:eastAsia="en-US" w:bidi="ar-SA"/>
          </w:rPr>
          <w:t>https://doi.org/10.1016/j.prevetmed.2017.01.006</w:t>
        </w:r>
      </w:hyperlink>
    </w:p>
    <w:p w14:paraId="631D4FFD"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Krones, F., Marikkar, U., Parsons, G., Szmul, A., &amp; Mahdi, A. (2025). Review of multimodal machine learning approaches in healthcare. </w:t>
      </w:r>
      <w:r w:rsidRPr="004565A3">
        <w:rPr>
          <w:i/>
          <w:iCs/>
          <w:color w:val="auto"/>
          <w:lang w:val="en-US" w:eastAsia="en-US" w:bidi="ar-SA"/>
        </w:rPr>
        <w:t>Information Fusion, 114</w:t>
      </w:r>
      <w:r w:rsidRPr="004565A3">
        <w:rPr>
          <w:color w:val="auto"/>
          <w:lang w:val="en-US" w:eastAsia="en-US" w:bidi="ar-SA"/>
        </w:rPr>
        <w:t xml:space="preserve">, 102690. </w:t>
      </w:r>
      <w:hyperlink r:id="rId52" w:history="1">
        <w:r w:rsidRPr="004565A3">
          <w:rPr>
            <w:color w:val="0000FF"/>
            <w:u w:val="single"/>
            <w:lang w:val="en-US" w:eastAsia="en-US" w:bidi="ar-SA"/>
          </w:rPr>
          <w:t>https://doi.org/10.1016/j.inffus.2024.102690</w:t>
        </w:r>
      </w:hyperlink>
    </w:p>
    <w:p w14:paraId="7692910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Kucirka, L. M., Lauer, S. A., Laeyendecker, O., Boon, D., &amp; Lessler, J. (2020). Variation in false-negative rate of reverse transcriptase polymerase chain reaction-based SARS-CoV-2 tests by time since exposure. </w:t>
      </w:r>
      <w:r w:rsidRPr="004565A3">
        <w:rPr>
          <w:i/>
          <w:iCs/>
          <w:color w:val="auto"/>
          <w:lang w:val="en-US" w:eastAsia="en-US" w:bidi="ar-SA"/>
        </w:rPr>
        <w:t>Annals of Internal Medicine, 173</w:t>
      </w:r>
      <w:r w:rsidRPr="004565A3">
        <w:rPr>
          <w:color w:val="auto"/>
          <w:lang w:val="en-US" w:eastAsia="en-US" w:bidi="ar-SA"/>
        </w:rPr>
        <w:t xml:space="preserve">(4), 262–267. </w:t>
      </w:r>
      <w:hyperlink r:id="rId53" w:history="1">
        <w:r w:rsidRPr="004565A3">
          <w:rPr>
            <w:color w:val="0000FF"/>
            <w:u w:val="single"/>
            <w:lang w:val="en-US" w:eastAsia="en-US" w:bidi="ar-SA"/>
          </w:rPr>
          <w:t>https://doi.org/10.7326/M20-1495</w:t>
        </w:r>
      </w:hyperlink>
    </w:p>
    <w:p w14:paraId="6FD3680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Kumar, C. P. G., Sugunan, A. P., Yadav, P., Kurup, K. K., Aarathee, R., Manickam, P., Bhatnagar, T., Radhakrishnan, C., Thomas, B., Kumar, A., Jayasree, J., Philomina, B., Kumar, K. G. S., Thulaseedharan, N. K., Gupta, N., Rajendran, R., Saritha, R. L., Mourya, D. T., Gangakhedkar, R. R., &amp; Murhekar, M. V. (2019). Infections among contacts of patients with Nipah virus, India. </w:t>
      </w:r>
      <w:r w:rsidRPr="004565A3">
        <w:rPr>
          <w:i/>
          <w:iCs/>
          <w:color w:val="auto"/>
          <w:lang w:val="en-US" w:eastAsia="en-US" w:bidi="ar-SA"/>
        </w:rPr>
        <w:t>Emerging Infectious Diseases, 25</w:t>
      </w:r>
      <w:r w:rsidRPr="004565A3">
        <w:rPr>
          <w:color w:val="auto"/>
          <w:lang w:val="en-US" w:eastAsia="en-US" w:bidi="ar-SA"/>
        </w:rPr>
        <w:t xml:space="preserve">(5), 1007–1010. </w:t>
      </w:r>
      <w:hyperlink r:id="rId54" w:history="1">
        <w:r w:rsidRPr="004565A3">
          <w:rPr>
            <w:color w:val="0000FF"/>
            <w:u w:val="single"/>
            <w:lang w:val="en-US" w:eastAsia="en-US" w:bidi="ar-SA"/>
          </w:rPr>
          <w:t>https://doi.org/10.3201/eid2505.181352</w:t>
        </w:r>
      </w:hyperlink>
    </w:p>
    <w:p w14:paraId="1C4AB953"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Lauritsen, S. M., Kristensen, M., Olsen, M. V., Larsen, M. S., Lauritsen, K. M., Jørgensen, M. J., Lange, J., &amp; Thiesson, B. (2020). </w:t>
      </w:r>
      <w:r w:rsidRPr="004565A3">
        <w:rPr>
          <w:color w:val="auto"/>
          <w:lang w:val="en-US" w:eastAsia="en-US" w:bidi="ar-SA"/>
        </w:rPr>
        <w:t xml:space="preserve">Explainable artificial intelligence model to predict acute critical illness from electronic health records. </w:t>
      </w:r>
      <w:r w:rsidRPr="004565A3">
        <w:rPr>
          <w:i/>
          <w:iCs/>
          <w:color w:val="auto"/>
          <w:lang w:val="en-US" w:eastAsia="en-US" w:bidi="ar-SA"/>
        </w:rPr>
        <w:t>Nature Communications, 11</w:t>
      </w:r>
      <w:r w:rsidRPr="004565A3">
        <w:rPr>
          <w:color w:val="auto"/>
          <w:lang w:val="en-US" w:eastAsia="en-US" w:bidi="ar-SA"/>
        </w:rPr>
        <w:t xml:space="preserve">(1), 3852. </w:t>
      </w:r>
      <w:hyperlink r:id="rId55" w:history="1">
        <w:r w:rsidRPr="004565A3">
          <w:rPr>
            <w:color w:val="0000FF"/>
            <w:u w:val="single"/>
            <w:lang w:val="en-US" w:eastAsia="en-US" w:bidi="ar-SA"/>
          </w:rPr>
          <w:t>https://doi.org/10.1038/s41467-020-17431-x</w:t>
        </w:r>
      </w:hyperlink>
    </w:p>
    <w:p w14:paraId="79B4647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Lim, B., Arık, S. Ö., Loeff, N., &amp; Pfister, T. (2021). Temporal fusion transformers for interpretable multi-horizon time series forecasting. </w:t>
      </w:r>
      <w:r w:rsidRPr="004565A3">
        <w:rPr>
          <w:i/>
          <w:iCs/>
          <w:color w:val="auto"/>
          <w:lang w:val="en-US" w:eastAsia="en-US" w:bidi="ar-SA"/>
        </w:rPr>
        <w:t>International Journal of Forecasting, 37</w:t>
      </w:r>
      <w:r w:rsidRPr="004565A3">
        <w:rPr>
          <w:color w:val="auto"/>
          <w:lang w:val="en-US" w:eastAsia="en-US" w:bidi="ar-SA"/>
        </w:rPr>
        <w:t xml:space="preserve">(4), 1748–1764. </w:t>
      </w:r>
      <w:hyperlink r:id="rId56" w:history="1">
        <w:r w:rsidRPr="004565A3">
          <w:rPr>
            <w:color w:val="0000FF"/>
            <w:u w:val="single"/>
            <w:lang w:val="en-US" w:eastAsia="en-US" w:bidi="ar-SA"/>
          </w:rPr>
          <w:t>https://doi.org/10.1016/j.ijforecast.2021.03.012</w:t>
        </w:r>
      </w:hyperlink>
    </w:p>
    <w:p w14:paraId="187F15BB"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lastRenderedPageBreak/>
        <w:t xml:space="preserve">Limmathurotsakul, D., Jamsen, K., Arayawichanont, A., Simpson, J. A., White, L. J., Lee, S. J., Wuthiekanun, V., Chantratita, N., Cheng, A., Day, N. P. J., Verzilli, C., &amp; Peacock, S. J. (2010). Defining the true sensitivity of culture for the diagnosis of melioidosis using Bayesian latent class models. </w:t>
      </w:r>
      <w:r w:rsidRPr="004565A3">
        <w:rPr>
          <w:i/>
          <w:iCs/>
          <w:color w:val="auto"/>
          <w:lang w:val="en-US" w:eastAsia="en-US" w:bidi="ar-SA"/>
        </w:rPr>
        <w:t>PLOS ONE, 5</w:t>
      </w:r>
      <w:r w:rsidRPr="004565A3">
        <w:rPr>
          <w:color w:val="auto"/>
          <w:lang w:val="en-US" w:eastAsia="en-US" w:bidi="ar-SA"/>
        </w:rPr>
        <w:t xml:space="preserve">(8), e12485. </w:t>
      </w:r>
      <w:hyperlink r:id="rId57" w:history="1">
        <w:r w:rsidRPr="004565A3">
          <w:rPr>
            <w:color w:val="0000FF"/>
            <w:u w:val="single"/>
            <w:lang w:val="en-US" w:eastAsia="en-US" w:bidi="ar-SA"/>
          </w:rPr>
          <w:t>https://doi.org/10.1371/journal.pone.0012485</w:t>
        </w:r>
      </w:hyperlink>
    </w:p>
    <w:p w14:paraId="5E715B02"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Loh, H. W., Ooi, C. P., Seoni, S., Barua, P. D., Molinari, F., &amp; Acharya, U. R. (2022). Application of explainable artificial intelligence for healthcare: A systematic review of the last decade (2011–2022). </w:t>
      </w:r>
      <w:r w:rsidRPr="004565A3">
        <w:rPr>
          <w:i/>
          <w:iCs/>
          <w:color w:val="auto"/>
          <w:lang w:val="en-US" w:eastAsia="en-US" w:bidi="ar-SA"/>
        </w:rPr>
        <w:t>Computer Methods and Programs in Biomedicine, 226</w:t>
      </w:r>
      <w:r w:rsidRPr="004565A3">
        <w:rPr>
          <w:color w:val="auto"/>
          <w:lang w:val="en-US" w:eastAsia="en-US" w:bidi="ar-SA"/>
        </w:rPr>
        <w:t xml:space="preserve">, 107161. </w:t>
      </w:r>
      <w:hyperlink r:id="rId58" w:history="1">
        <w:r w:rsidRPr="004565A3">
          <w:rPr>
            <w:color w:val="0000FF"/>
            <w:u w:val="single"/>
            <w:lang w:val="en-US" w:eastAsia="en-US" w:bidi="ar-SA"/>
          </w:rPr>
          <w:t>https://doi.org/10.1016/j.cmpb.2022.107161</w:t>
        </w:r>
      </w:hyperlink>
    </w:p>
    <w:p w14:paraId="3DBD3EC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Luby, S. P. (2013). The pandemic potential of Nipah virus. </w:t>
      </w:r>
      <w:r w:rsidRPr="004565A3">
        <w:rPr>
          <w:i/>
          <w:iCs/>
          <w:color w:val="auto"/>
          <w:lang w:val="en-US" w:eastAsia="en-US" w:bidi="ar-SA"/>
        </w:rPr>
        <w:t>Antiviral Research, 100</w:t>
      </w:r>
      <w:r w:rsidRPr="004565A3">
        <w:rPr>
          <w:color w:val="auto"/>
          <w:lang w:val="en-US" w:eastAsia="en-US" w:bidi="ar-SA"/>
        </w:rPr>
        <w:t xml:space="preserve">(1), 38–43. </w:t>
      </w:r>
      <w:hyperlink r:id="rId59" w:history="1">
        <w:r w:rsidRPr="004565A3">
          <w:rPr>
            <w:color w:val="0000FF"/>
            <w:u w:val="single"/>
            <w:lang w:val="en-US" w:eastAsia="en-US" w:bidi="ar-SA"/>
          </w:rPr>
          <w:t>https://doi.org/10.1016/j.antiviral.2013.07.011</w:t>
        </w:r>
      </w:hyperlink>
    </w:p>
    <w:p w14:paraId="201E5D71"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Luby, S. P., Hossain, M. J., Gurley, E. S., Ahmed, B.-N., Banu, S., Khan, S. U., Homaira, N., Rota, P. A., Rollin, P. E., Comer, J. A., Kenah, E., Ksiazek, T. G., &amp; Rahman, M. (2009). Recurrent zoonotic transmission of Nipah virus into humans, Bangladesh, 2001–2007. </w:t>
      </w:r>
      <w:r w:rsidRPr="004565A3">
        <w:rPr>
          <w:i/>
          <w:iCs/>
          <w:color w:val="auto"/>
          <w:lang w:val="en-US" w:eastAsia="en-US" w:bidi="ar-SA"/>
        </w:rPr>
        <w:t>Emerging Infectious Diseases, 15</w:t>
      </w:r>
      <w:r w:rsidRPr="004565A3">
        <w:rPr>
          <w:color w:val="auto"/>
          <w:lang w:val="en-US" w:eastAsia="en-US" w:bidi="ar-SA"/>
        </w:rPr>
        <w:t xml:space="preserve">(8), 1229–1235. </w:t>
      </w:r>
      <w:hyperlink r:id="rId60" w:history="1">
        <w:r w:rsidRPr="004565A3">
          <w:rPr>
            <w:color w:val="0000FF"/>
            <w:u w:val="single"/>
            <w:lang w:val="en-US" w:eastAsia="en-US" w:bidi="ar-SA"/>
          </w:rPr>
          <w:t>https://doi.org/10.3201/eid1508.081237</w:t>
        </w:r>
      </w:hyperlink>
    </w:p>
    <w:p w14:paraId="47F3894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Lundberg, S. M., Erion, G., Chen, H., DeGrave, A., Prutkin, J. M., Nair, B., Katz, R., Himmelfarb, J., Bansal, N., &amp; Lee, S.-I. (2020). From local explanations to global understanding with explainable AI for trees. </w:t>
      </w:r>
      <w:r w:rsidRPr="004565A3">
        <w:rPr>
          <w:i/>
          <w:iCs/>
          <w:color w:val="auto"/>
          <w:lang w:val="en-US" w:eastAsia="en-US" w:bidi="ar-SA"/>
        </w:rPr>
        <w:t>Nature Machine Intelligence, 2</w:t>
      </w:r>
      <w:r w:rsidRPr="004565A3">
        <w:rPr>
          <w:color w:val="auto"/>
          <w:lang w:val="en-US" w:eastAsia="en-US" w:bidi="ar-SA"/>
        </w:rPr>
        <w:t xml:space="preserve">(1), 56–67. </w:t>
      </w:r>
      <w:hyperlink r:id="rId61" w:history="1">
        <w:r w:rsidRPr="004565A3">
          <w:rPr>
            <w:color w:val="0000FF"/>
            <w:u w:val="single"/>
            <w:lang w:val="en-US" w:eastAsia="en-US" w:bidi="ar-SA"/>
          </w:rPr>
          <w:t>https://doi.org/10.1038/s42256-019-0138-9</w:t>
        </w:r>
      </w:hyperlink>
    </w:p>
    <w:p w14:paraId="64E6185F"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Lundberg, S. M., Nair, B., Vavilala, M. S., Horibe, M., Eisses, M. J., Adams, T., Liston, D. E., Low, D. K.-W., Newman, S.-F., Kim, J., &amp; Lee, S.-I. (2018). Explainable machine-learning predictions for the prevention of hypoxaemia during surgery. </w:t>
      </w:r>
      <w:r w:rsidRPr="004565A3">
        <w:rPr>
          <w:i/>
          <w:iCs/>
          <w:color w:val="auto"/>
          <w:lang w:val="en-US" w:eastAsia="en-US" w:bidi="ar-SA"/>
        </w:rPr>
        <w:t>Nature Biomedical Engineering, 2</w:t>
      </w:r>
      <w:r w:rsidRPr="004565A3">
        <w:rPr>
          <w:color w:val="auto"/>
          <w:lang w:val="en-US" w:eastAsia="en-US" w:bidi="ar-SA"/>
        </w:rPr>
        <w:t xml:space="preserve">(10), 749–760. </w:t>
      </w:r>
      <w:hyperlink r:id="rId62" w:history="1">
        <w:r w:rsidRPr="004565A3">
          <w:rPr>
            <w:color w:val="0000FF"/>
            <w:u w:val="single"/>
            <w:lang w:val="en-US" w:eastAsia="en-US" w:bidi="ar-SA"/>
          </w:rPr>
          <w:t>https://doi.org/10.1038/s41551-018-0304-0</w:t>
        </w:r>
      </w:hyperlink>
    </w:p>
    <w:p w14:paraId="6A41DB7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Ma, L., Chen, Z., Guan, W., Chen, Q., &amp; Liu, D. (2019). Rapid and specific detection of all known Nipah virus strains' sequences with reverse transcription-loop-mediated isothermal amplification. </w:t>
      </w:r>
      <w:r w:rsidRPr="004565A3">
        <w:rPr>
          <w:i/>
          <w:iCs/>
          <w:color w:val="auto"/>
          <w:lang w:val="en-US" w:eastAsia="en-US" w:bidi="ar-SA"/>
        </w:rPr>
        <w:t>Frontiers in Microbiology, 10</w:t>
      </w:r>
      <w:r w:rsidRPr="004565A3">
        <w:rPr>
          <w:color w:val="auto"/>
          <w:lang w:val="en-US" w:eastAsia="en-US" w:bidi="ar-SA"/>
        </w:rPr>
        <w:t xml:space="preserve">, 418. </w:t>
      </w:r>
      <w:hyperlink r:id="rId63" w:history="1">
        <w:r w:rsidRPr="004565A3">
          <w:rPr>
            <w:color w:val="0000FF"/>
            <w:u w:val="single"/>
            <w:lang w:val="en-US" w:eastAsia="en-US" w:bidi="ar-SA"/>
          </w:rPr>
          <w:t>https://doi.org/10.3389/fmicb.2019.00418</w:t>
        </w:r>
      </w:hyperlink>
    </w:p>
    <w:p w14:paraId="7B8D2DBB"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Mazzola, L., Fru, H. C., Cherkaoui, D., Crettaz, S., Fonkeng, N. F. R., Albertini, A., Emperador, D. M., Ramjeet, K., &amp; Agogo, E. (2026). Diagnostic tests for Nipah virus: A landscape analysis. </w:t>
      </w:r>
      <w:r w:rsidRPr="004565A3">
        <w:rPr>
          <w:i/>
          <w:iCs/>
          <w:color w:val="auto"/>
          <w:lang w:val="en-US" w:eastAsia="en-US" w:bidi="ar-SA"/>
        </w:rPr>
        <w:t>Diagnostic Microbiology and Infectious Disease, 114</w:t>
      </w:r>
      <w:r w:rsidRPr="004565A3">
        <w:rPr>
          <w:color w:val="auto"/>
          <w:lang w:val="en-US" w:eastAsia="en-US" w:bidi="ar-SA"/>
        </w:rPr>
        <w:t xml:space="preserve">(1), 117101. </w:t>
      </w:r>
      <w:hyperlink r:id="rId64" w:history="1">
        <w:r w:rsidRPr="004565A3">
          <w:rPr>
            <w:color w:val="0000FF"/>
            <w:u w:val="single"/>
            <w:lang w:val="en-US" w:eastAsia="en-US" w:bidi="ar-SA"/>
          </w:rPr>
          <w:t>https://doi.org/10.1016/j.diagmicrobio.2025.117101</w:t>
        </w:r>
      </w:hyperlink>
    </w:p>
    <w:p w14:paraId="7220666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Mazzola, L. T., &amp; Kelly-Cirino, C. (2019). Diagnostics for Nipah virus: A zoonotic pathogen endemic to Southeast Asia. </w:t>
      </w:r>
      <w:r w:rsidRPr="004565A3">
        <w:rPr>
          <w:i/>
          <w:iCs/>
          <w:color w:val="auto"/>
          <w:lang w:val="en-US" w:eastAsia="en-US" w:bidi="ar-SA"/>
        </w:rPr>
        <w:t>BMJ Global Health, 4</w:t>
      </w:r>
      <w:r w:rsidRPr="004565A3">
        <w:rPr>
          <w:color w:val="auto"/>
          <w:lang w:val="en-US" w:eastAsia="en-US" w:bidi="ar-SA"/>
        </w:rPr>
        <w:t xml:space="preserve">(Suppl. 2), e001118. </w:t>
      </w:r>
      <w:hyperlink r:id="rId65" w:history="1">
        <w:r w:rsidRPr="004565A3">
          <w:rPr>
            <w:color w:val="0000FF"/>
            <w:u w:val="single"/>
            <w:lang w:val="en-US" w:eastAsia="en-US" w:bidi="ar-SA"/>
          </w:rPr>
          <w:t>https://doi.org/10.1136/bmjgh-2018-001118</w:t>
        </w:r>
      </w:hyperlink>
    </w:p>
    <w:p w14:paraId="600566D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Metsky, H. C., Welch, N. L., Pillai, P. P., Haradhvala, N. J., Rumker, L., Mantena, S., Zhang, Y. B., Yang, D. K., Ackerman, C. M., Weller, J., Blainey, P. C., Myhrvold, C., Mitzenmacher, M., &amp; Sabeti, P. C. (2022). Designing sensitive viral diagnostics with machine learning. </w:t>
      </w:r>
      <w:r w:rsidRPr="004565A3">
        <w:rPr>
          <w:i/>
          <w:iCs/>
          <w:color w:val="auto"/>
          <w:lang w:val="en-US" w:eastAsia="en-US" w:bidi="ar-SA"/>
        </w:rPr>
        <w:t>Nature Biotechnology, 40</w:t>
      </w:r>
      <w:r w:rsidRPr="004565A3">
        <w:rPr>
          <w:color w:val="auto"/>
          <w:lang w:val="en-US" w:eastAsia="en-US" w:bidi="ar-SA"/>
        </w:rPr>
        <w:t xml:space="preserve">(7), 1123–1131. </w:t>
      </w:r>
      <w:hyperlink r:id="rId66" w:history="1">
        <w:r w:rsidRPr="004565A3">
          <w:rPr>
            <w:color w:val="0000FF"/>
            <w:u w:val="single"/>
            <w:lang w:val="en-US" w:eastAsia="en-US" w:bidi="ar-SA"/>
          </w:rPr>
          <w:t>https://doi.org/10.1038/s41587-022-01213-5</w:t>
        </w:r>
      </w:hyperlink>
    </w:p>
    <w:p w14:paraId="4A4735D3"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lastRenderedPageBreak/>
        <w:t xml:space="preserve">Miao, J., Zuo, L., He, D., Fang, Z., Berthet, N., Yu, C., &amp; Wong, G. (2023). Rapid detection of Nipah virus using the one-pot RPA-CRISPR/Cas13a assay. </w:t>
      </w:r>
      <w:r w:rsidRPr="004565A3">
        <w:rPr>
          <w:i/>
          <w:iCs/>
          <w:color w:val="auto"/>
          <w:lang w:val="en-US" w:eastAsia="en-US" w:bidi="ar-SA"/>
        </w:rPr>
        <w:t>Virus Research, 332</w:t>
      </w:r>
      <w:r w:rsidRPr="004565A3">
        <w:rPr>
          <w:color w:val="auto"/>
          <w:lang w:val="en-US" w:eastAsia="en-US" w:bidi="ar-SA"/>
        </w:rPr>
        <w:t xml:space="preserve">, 199130. </w:t>
      </w:r>
      <w:hyperlink r:id="rId67" w:history="1">
        <w:r w:rsidRPr="004565A3">
          <w:rPr>
            <w:color w:val="0000FF"/>
            <w:u w:val="single"/>
            <w:lang w:val="en-US" w:eastAsia="en-US" w:bidi="ar-SA"/>
          </w:rPr>
          <w:t>https://doi.org/10.1016/j.virusres.2023.199130</w:t>
        </w:r>
      </w:hyperlink>
    </w:p>
    <w:p w14:paraId="28E8B2D3"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Miglietta, L., Rawson, T. M., Galiwango, R., Tasker, A., Ming, D. K., Akogo, D., Ferreyra, C., Aboagye, E. O., Gordon, N. C., Garcia-Vidal, C., Rodriguez-Manzano, J., &amp; Holmes, A. H. (2026). Artificial intelligence and infectious disease diagnostics: State of the art and future perspectives. </w:t>
      </w:r>
      <w:r w:rsidRPr="004565A3">
        <w:rPr>
          <w:i/>
          <w:iCs/>
          <w:color w:val="auto"/>
          <w:lang w:val="en-US" w:eastAsia="en-US" w:bidi="ar-SA"/>
        </w:rPr>
        <w:t>The Lancet Infectious Diseases, 26</w:t>
      </w:r>
      <w:r w:rsidRPr="004565A3">
        <w:rPr>
          <w:color w:val="auto"/>
          <w:lang w:val="en-US" w:eastAsia="en-US" w:bidi="ar-SA"/>
        </w:rPr>
        <w:t xml:space="preserve">(3), e168–e180. </w:t>
      </w:r>
      <w:hyperlink r:id="rId68" w:history="1">
        <w:r w:rsidRPr="004565A3">
          <w:rPr>
            <w:color w:val="0000FF"/>
            <w:u w:val="single"/>
            <w:lang w:val="en-US" w:eastAsia="en-US" w:bidi="ar-SA"/>
          </w:rPr>
          <w:t>https://doi.org/10.1016/S1473-3099(25)00354-8</w:t>
        </w:r>
      </w:hyperlink>
    </w:p>
    <w:p w14:paraId="022113F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Mire, C. E., Satterfield, B. A., Geisbert, J. B., Agans, K. N., Borisevich, V., Yan, L., Chan, Y.-P., Cross, R. W., Fenton, K. A., Broder, C. C., &amp; Geisbert, T. W. (2016). Pathogenic differences between Nipah virus Bangladesh and Malaysia strains in primates: Implications for antibody therapy. </w:t>
      </w:r>
      <w:r w:rsidRPr="004565A3">
        <w:rPr>
          <w:i/>
          <w:iCs/>
          <w:color w:val="auto"/>
          <w:lang w:val="en-US" w:eastAsia="en-US" w:bidi="ar-SA"/>
        </w:rPr>
        <w:t>Scientific Reports, 6</w:t>
      </w:r>
      <w:r w:rsidRPr="004565A3">
        <w:rPr>
          <w:color w:val="auto"/>
          <w:lang w:val="en-US" w:eastAsia="en-US" w:bidi="ar-SA"/>
        </w:rPr>
        <w:t xml:space="preserve">(1), 30916. </w:t>
      </w:r>
      <w:hyperlink r:id="rId69" w:history="1">
        <w:r w:rsidRPr="004565A3">
          <w:rPr>
            <w:color w:val="0000FF"/>
            <w:u w:val="single"/>
            <w:lang w:val="en-US" w:eastAsia="en-US" w:bidi="ar-SA"/>
          </w:rPr>
          <w:t>https://doi.org/10.1038/srep30916</w:t>
        </w:r>
      </w:hyperlink>
    </w:p>
    <w:p w14:paraId="4A076689"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Mondal, U. K., Rahman, D. I., Aquib, W. R., Bablu, A. R., Islam, M. A., Shafique, S. M. Z., Alam, M. R., Chowdhury, K. I. A., Avumegah, M. S., Klena, J. D., Rahman, M. Z., Rahman, M., Luby, S. P., Montgomery, J. M., Banu, S., &amp; Satter, S. M. (2026). Nipah virus destroyed my personal, family, and social life: Stories of the hardship faced by Nipah survivors in Bangladesh. </w:t>
      </w:r>
      <w:r w:rsidRPr="004565A3">
        <w:rPr>
          <w:i/>
          <w:iCs/>
          <w:color w:val="auto"/>
          <w:lang w:val="en-US" w:eastAsia="en-US" w:bidi="ar-SA"/>
        </w:rPr>
        <w:t>International Journal for Equity in Health, 25</w:t>
      </w:r>
      <w:r w:rsidRPr="004565A3">
        <w:rPr>
          <w:color w:val="auto"/>
          <w:lang w:val="en-US" w:eastAsia="en-US" w:bidi="ar-SA"/>
        </w:rPr>
        <w:t xml:space="preserve">(1), 189. </w:t>
      </w:r>
      <w:hyperlink r:id="rId70" w:history="1">
        <w:r w:rsidRPr="004565A3">
          <w:rPr>
            <w:color w:val="0000FF"/>
            <w:u w:val="single"/>
            <w:lang w:val="en-US" w:eastAsia="en-US" w:bidi="ar-SA"/>
          </w:rPr>
          <w:t>https://doi.org/10.1186/s12939-026-02893-0</w:t>
        </w:r>
      </w:hyperlink>
    </w:p>
    <w:p w14:paraId="18F56905"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Nguyen, P.-V., Kimbro, J., Ahmed, K., Miglani, D., Hernandez, S., Myers, D. R., Iqbal, N. T., &amp; Waggoner, J. J. (2026). Nipah virus molecular detection from whole blood and respiratory swabs in a rapid field-ready protocol. </w:t>
      </w:r>
      <w:r w:rsidRPr="004565A3">
        <w:rPr>
          <w:i/>
          <w:iCs/>
          <w:color w:val="auto"/>
          <w:lang w:val="en-US" w:eastAsia="en-US" w:bidi="ar-SA"/>
        </w:rPr>
        <w:t>Journal of Clinical Virology, 184</w:t>
      </w:r>
      <w:r w:rsidRPr="004565A3">
        <w:rPr>
          <w:color w:val="auto"/>
          <w:lang w:val="en-US" w:eastAsia="en-US" w:bidi="ar-SA"/>
        </w:rPr>
        <w:t xml:space="preserve">, 105931. </w:t>
      </w:r>
      <w:hyperlink r:id="rId71" w:history="1">
        <w:r w:rsidRPr="004565A3">
          <w:rPr>
            <w:color w:val="0000FF"/>
            <w:u w:val="single"/>
            <w:lang w:val="en-US" w:eastAsia="en-US" w:bidi="ar-SA"/>
          </w:rPr>
          <w:t>https://doi.org/10.1016/j.jcv.2026.105931</w:t>
        </w:r>
      </w:hyperlink>
    </w:p>
    <w:p w14:paraId="19CAA7BB"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Nikolay, B., Salje, H., Hossain, M. J., Khan, A. K. M. D., Sazzad, H. M. S., Rahman, M., Daszak, P., Ströher, U., Pulliam, J. R. C., Kilpatrick, A. M., Nichol, S. T., Klena, J. D., Sultana, S., Afroj, S., Luby, S. P., Cauchemez, S., &amp; Gurley, E. S. (2019). Transmission of Nipah virus—14 years of investigations in Bangladesh. </w:t>
      </w:r>
      <w:r w:rsidRPr="004565A3">
        <w:rPr>
          <w:i/>
          <w:iCs/>
          <w:color w:val="auto"/>
          <w:lang w:val="en-US" w:eastAsia="en-US" w:bidi="ar-SA"/>
        </w:rPr>
        <w:t>New England Journal of Medicine, 380</w:t>
      </w:r>
      <w:r w:rsidRPr="004565A3">
        <w:rPr>
          <w:color w:val="auto"/>
          <w:lang w:val="en-US" w:eastAsia="en-US" w:bidi="ar-SA"/>
        </w:rPr>
        <w:t xml:space="preserve">(19), 1804–1814. </w:t>
      </w:r>
      <w:hyperlink r:id="rId72" w:history="1">
        <w:r w:rsidRPr="004565A3">
          <w:rPr>
            <w:color w:val="0000FF"/>
            <w:u w:val="single"/>
            <w:lang w:val="en-US" w:eastAsia="en-US" w:bidi="ar-SA"/>
          </w:rPr>
          <w:t>https://doi.org/10.1056/NEJMoa1805376</w:t>
        </w:r>
      </w:hyperlink>
    </w:p>
    <w:p w14:paraId="0E916C4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Norgeot, B., Quer, G., Beaulieu-Jones, B. K., Torkamani, A., Dias, R., Gianfrancesco, M., Arnaout, R., Kohane, I. S., Saria, S., Topol, E., Obermeyer, Z., Yu, B., &amp; Butte, A. J. (2020). Minimum information about clinical artificial intelligence modeling: The MI-CLAIM checklist. </w:t>
      </w:r>
      <w:r w:rsidRPr="004565A3">
        <w:rPr>
          <w:i/>
          <w:iCs/>
          <w:color w:val="auto"/>
          <w:lang w:val="en-US" w:eastAsia="en-US" w:bidi="ar-SA"/>
        </w:rPr>
        <w:t>Nature Medicine, 26</w:t>
      </w:r>
      <w:r w:rsidRPr="004565A3">
        <w:rPr>
          <w:color w:val="auto"/>
          <w:lang w:val="en-US" w:eastAsia="en-US" w:bidi="ar-SA"/>
        </w:rPr>
        <w:t xml:space="preserve">(9), 1320–1324. </w:t>
      </w:r>
      <w:hyperlink r:id="rId73" w:history="1">
        <w:r w:rsidRPr="004565A3">
          <w:rPr>
            <w:color w:val="0000FF"/>
            <w:u w:val="single"/>
            <w:lang w:val="en-US" w:eastAsia="en-US" w:bidi="ar-SA"/>
          </w:rPr>
          <w:t>https://doi.org/10.1038/s41591-020-1041-y</w:t>
        </w:r>
      </w:hyperlink>
    </w:p>
    <w:p w14:paraId="7BF3B43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Patel, K., Klena, J., &amp; Lo, M. K. (2023). </w:t>
      </w:r>
      <w:r w:rsidRPr="004565A3">
        <w:rPr>
          <w:color w:val="auto"/>
          <w:lang w:val="en-US" w:eastAsia="en-US" w:bidi="ar-SA"/>
        </w:rPr>
        <w:t xml:space="preserve">A revised diagnostic quantitative RT-PCR for the detection of Nipah virus infection. </w:t>
      </w:r>
      <w:r w:rsidRPr="004565A3">
        <w:rPr>
          <w:i/>
          <w:iCs/>
          <w:color w:val="auto"/>
          <w:lang w:val="en-US" w:eastAsia="en-US" w:bidi="ar-SA"/>
        </w:rPr>
        <w:t>Methods in Molecular Biology, 2682</w:t>
      </w:r>
      <w:r w:rsidRPr="004565A3">
        <w:rPr>
          <w:color w:val="auto"/>
          <w:lang w:val="en-US" w:eastAsia="en-US" w:bidi="ar-SA"/>
        </w:rPr>
        <w:t xml:space="preserve">, 25–31. </w:t>
      </w:r>
      <w:hyperlink r:id="rId74" w:history="1">
        <w:r w:rsidRPr="004565A3">
          <w:rPr>
            <w:color w:val="0000FF"/>
            <w:u w:val="single"/>
            <w:lang w:val="en-US" w:eastAsia="en-US" w:bidi="ar-SA"/>
          </w:rPr>
          <w:t>https://doi.org/10.1007/978-1-0716-3283-3_2</w:t>
        </w:r>
      </w:hyperlink>
    </w:p>
    <w:p w14:paraId="4F5656D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Pepe, M. S., &amp; Janes, H. (2007). Insights into latent class analysis of diagnostic test performance. </w:t>
      </w:r>
      <w:r w:rsidRPr="004565A3">
        <w:rPr>
          <w:i/>
          <w:iCs/>
          <w:color w:val="auto"/>
          <w:lang w:val="en-US" w:eastAsia="en-US" w:bidi="ar-SA"/>
        </w:rPr>
        <w:t>Biostatistics, 8</w:t>
      </w:r>
      <w:r w:rsidRPr="004565A3">
        <w:rPr>
          <w:color w:val="auto"/>
          <w:lang w:val="en-US" w:eastAsia="en-US" w:bidi="ar-SA"/>
        </w:rPr>
        <w:t xml:space="preserve">(2), 474–484. </w:t>
      </w:r>
      <w:hyperlink r:id="rId75" w:history="1">
        <w:r w:rsidRPr="004565A3">
          <w:rPr>
            <w:color w:val="0000FF"/>
            <w:u w:val="single"/>
            <w:lang w:val="en-US" w:eastAsia="en-US" w:bidi="ar-SA"/>
          </w:rPr>
          <w:t>https://doi.org/10.1093/biostatistics/kxl038</w:t>
        </w:r>
      </w:hyperlink>
    </w:p>
    <w:p w14:paraId="3E4E1F17"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Ravi, V., Hameed, S. K. S., Desai, A., Mani, R. S., Reddy, V., Velayudhan, A., Yadav, R., Jain, A., Saikia, L., Borthakur, A. K., Sharma, A., Mohan, D. G., Bhandopadhyay, B., Bhattacharya, N., Inamdar, L., Hossain, S., Daves, S., Sejvar, J., Dhariwal, A. C., . . . </w:t>
      </w:r>
      <w:r w:rsidRPr="004565A3">
        <w:rPr>
          <w:color w:val="auto"/>
          <w:lang w:val="en-US" w:eastAsia="en-US" w:bidi="ar-SA"/>
        </w:rPr>
        <w:lastRenderedPageBreak/>
        <w:t xml:space="preserve">Srikantiah, P. (2022). An algorithmic approach to identifying the aetiology of acute encephalitis syndrome in India: Results of a 4-year enhanced surveillance study. </w:t>
      </w:r>
      <w:r w:rsidRPr="004565A3">
        <w:rPr>
          <w:i/>
          <w:iCs/>
          <w:color w:val="auto"/>
          <w:lang w:val="en-US" w:eastAsia="en-US" w:bidi="ar-SA"/>
        </w:rPr>
        <w:t>The Lancet Global Health, 10</w:t>
      </w:r>
      <w:r w:rsidRPr="004565A3">
        <w:rPr>
          <w:color w:val="auto"/>
          <w:lang w:val="en-US" w:eastAsia="en-US" w:bidi="ar-SA"/>
        </w:rPr>
        <w:t xml:space="preserve">(5), e685–e693. </w:t>
      </w:r>
      <w:hyperlink r:id="rId76" w:history="1">
        <w:r w:rsidRPr="004565A3">
          <w:rPr>
            <w:color w:val="0000FF"/>
            <w:u w:val="single"/>
            <w:lang w:val="en-US" w:eastAsia="en-US" w:bidi="ar-SA"/>
          </w:rPr>
          <w:t>https://doi.org/10.1016/S2214-109X(22)00079-1</w:t>
        </w:r>
      </w:hyperlink>
    </w:p>
    <w:p w14:paraId="560B9CE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Rieke, N., Hancox, J., Li, W., Milletarì, F., Roth, H. R., Albarqouni, S., Bakas, S., Galtier, M. N., Landman, B. A., Maier-Hein, K., Ourselin, S., Sheller, M., Summers, R. M., Trask, A., Xu, D., Baust, M., &amp; Cardoso, M. J. (2020). The future of digital health with federated learning. </w:t>
      </w:r>
      <w:r w:rsidRPr="004565A3">
        <w:rPr>
          <w:i/>
          <w:iCs/>
          <w:color w:val="auto"/>
          <w:lang w:val="en-US" w:eastAsia="en-US" w:bidi="ar-SA"/>
        </w:rPr>
        <w:t>npj Digital Medicine, 3</w:t>
      </w:r>
      <w:r w:rsidRPr="004565A3">
        <w:rPr>
          <w:color w:val="auto"/>
          <w:lang w:val="en-US" w:eastAsia="en-US" w:bidi="ar-SA"/>
        </w:rPr>
        <w:t xml:space="preserve">(1), 119. </w:t>
      </w:r>
      <w:hyperlink r:id="rId77" w:history="1">
        <w:r w:rsidRPr="004565A3">
          <w:rPr>
            <w:color w:val="0000FF"/>
            <w:u w:val="single"/>
            <w:lang w:val="en-US" w:eastAsia="en-US" w:bidi="ar-SA"/>
          </w:rPr>
          <w:t>https://doi.org/10.1038/s41746-020-00323-1</w:t>
        </w:r>
      </w:hyperlink>
    </w:p>
    <w:p w14:paraId="168F4B2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Riley, R. D., Archer, L., Snell, K. I. E., Ensor, J., Dhiman, P., Martin, G. P., Bonnett, L. J., &amp; Collins, G. S. (2024). Evaluation of clinical prediction models (part 2): How to undertake an external validation study. </w:t>
      </w:r>
      <w:r w:rsidRPr="004565A3">
        <w:rPr>
          <w:i/>
          <w:iCs/>
          <w:color w:val="auto"/>
          <w:lang w:val="en-US" w:eastAsia="en-US" w:bidi="ar-SA"/>
        </w:rPr>
        <w:t>BMJ, 384</w:t>
      </w:r>
      <w:r w:rsidRPr="004565A3">
        <w:rPr>
          <w:color w:val="auto"/>
          <w:lang w:val="en-US" w:eastAsia="en-US" w:bidi="ar-SA"/>
        </w:rPr>
        <w:t xml:space="preserve">, e074820. </w:t>
      </w:r>
      <w:hyperlink r:id="rId78" w:history="1">
        <w:r w:rsidRPr="004565A3">
          <w:rPr>
            <w:color w:val="0000FF"/>
            <w:u w:val="single"/>
            <w:lang w:val="en-US" w:eastAsia="en-US" w:bidi="ar-SA"/>
          </w:rPr>
          <w:t>https://doi.org/10.1136/bmj-2023-074820</w:t>
        </w:r>
      </w:hyperlink>
    </w:p>
    <w:p w14:paraId="1243972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Riley, R. D., Debray, T. P. A., Collins, G. S., Archer, L., Ensor, J., van Smeden, M., &amp; Snell, K. I. E. (2021). Minimum sample size for external validation of a clinical prediction model with a binary outcome. </w:t>
      </w:r>
      <w:r w:rsidRPr="004565A3">
        <w:rPr>
          <w:i/>
          <w:iCs/>
          <w:color w:val="auto"/>
          <w:lang w:val="en-US" w:eastAsia="en-US" w:bidi="ar-SA"/>
        </w:rPr>
        <w:t>Statistics in Medicine, 40</w:t>
      </w:r>
      <w:r w:rsidRPr="004565A3">
        <w:rPr>
          <w:color w:val="auto"/>
          <w:lang w:val="en-US" w:eastAsia="en-US" w:bidi="ar-SA"/>
        </w:rPr>
        <w:t xml:space="preserve">(19), 4230–4251. </w:t>
      </w:r>
      <w:hyperlink r:id="rId79" w:history="1">
        <w:r w:rsidRPr="004565A3">
          <w:rPr>
            <w:color w:val="0000FF"/>
            <w:u w:val="single"/>
            <w:lang w:val="en-US" w:eastAsia="en-US" w:bidi="ar-SA"/>
          </w:rPr>
          <w:t>https://doi.org/10.1002/sim.9025</w:t>
        </w:r>
      </w:hyperlink>
    </w:p>
    <w:p w14:paraId="46096CAF"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Rosenbacke, R., Melhus, Å., McKee, M., &amp; Stuckler, D. (2024). How explainable artificial intelligence can increase or decrease clinicians' trust in AI applications in health care: Systematic review. </w:t>
      </w:r>
      <w:r w:rsidRPr="004565A3">
        <w:rPr>
          <w:i/>
          <w:iCs/>
          <w:color w:val="auto"/>
          <w:lang w:val="en-US" w:eastAsia="en-US" w:bidi="ar-SA"/>
        </w:rPr>
        <w:t>JMIR AI, 3</w:t>
      </w:r>
      <w:r w:rsidRPr="004565A3">
        <w:rPr>
          <w:color w:val="auto"/>
          <w:lang w:val="en-US" w:eastAsia="en-US" w:bidi="ar-SA"/>
        </w:rPr>
        <w:t xml:space="preserve">, e53207. </w:t>
      </w:r>
      <w:hyperlink r:id="rId80" w:history="1">
        <w:r w:rsidRPr="004565A3">
          <w:rPr>
            <w:color w:val="0000FF"/>
            <w:u w:val="single"/>
            <w:lang w:val="en-US" w:eastAsia="en-US" w:bidi="ar-SA"/>
          </w:rPr>
          <w:t>https://doi.org/10.2196/53207</w:t>
        </w:r>
      </w:hyperlink>
    </w:p>
    <w:p w14:paraId="729B490B"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Sahay, R. R., Palav, H. C., Shete, A. M., Patil, D. Y., Mohandas, S., Radhakrishnan, C., Shihabudheen, P., Kumar, A., Moorkoth, A. P., Mohite, N., Gurav, P., Pullor, N. K., Jain, R., Joshi, Y., Ramakrishnan, L. V., Gupta, N., Patel, V., &amp; Yadav, P. D. (2024). Comparative immune profiling in survivors of the 2023 Nipah outbreak in Kerala state, India. </w:t>
      </w:r>
      <w:r w:rsidRPr="004565A3">
        <w:rPr>
          <w:i/>
          <w:iCs/>
          <w:color w:val="auto"/>
          <w:lang w:val="en-US" w:eastAsia="en-US" w:bidi="ar-SA"/>
        </w:rPr>
        <w:t>Journal of Medical Virology, 96</w:t>
      </w:r>
      <w:r w:rsidRPr="004565A3">
        <w:rPr>
          <w:color w:val="auto"/>
          <w:lang w:val="en-US" w:eastAsia="en-US" w:bidi="ar-SA"/>
        </w:rPr>
        <w:t xml:space="preserve">(9), e29920. </w:t>
      </w:r>
      <w:hyperlink r:id="rId81" w:history="1">
        <w:r w:rsidRPr="004565A3">
          <w:rPr>
            <w:color w:val="0000FF"/>
            <w:u w:val="single"/>
            <w:lang w:val="en-US" w:eastAsia="en-US" w:bidi="ar-SA"/>
          </w:rPr>
          <w:t>https://doi.org/10.1002/jmv.29920</w:t>
        </w:r>
      </w:hyperlink>
    </w:p>
    <w:p w14:paraId="4A4E122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Sahay, R. R., Patil, D. Y., Chenayil, S., Shete, A. M., Ps, K. S., Mohandas, S., Balasubramanian, R., Gaikwad, S., S, S., Remesh, A. T., Singh, P., Rajan, L. S., &amp; Yadav, P. D. (2025). Encephalitis-predominant Nipah virus outbreaks in Kerala, India during 2024. </w:t>
      </w:r>
      <w:r w:rsidRPr="004565A3">
        <w:rPr>
          <w:i/>
          <w:iCs/>
          <w:color w:val="auto"/>
          <w:lang w:val="en-US" w:eastAsia="en-US" w:bidi="ar-SA"/>
        </w:rPr>
        <w:t>Journal of Infection and Public Health, 18</w:t>
      </w:r>
      <w:r w:rsidRPr="004565A3">
        <w:rPr>
          <w:color w:val="auto"/>
          <w:lang w:val="en-US" w:eastAsia="en-US" w:bidi="ar-SA"/>
        </w:rPr>
        <w:t xml:space="preserve">(7), 102782. </w:t>
      </w:r>
      <w:hyperlink r:id="rId82" w:history="1">
        <w:r w:rsidRPr="004565A3">
          <w:rPr>
            <w:color w:val="0000FF"/>
            <w:u w:val="single"/>
            <w:lang w:val="en-US" w:eastAsia="en-US" w:bidi="ar-SA"/>
          </w:rPr>
          <w:t>https://doi.org/10.1016/j.jiph.2025.102782</w:t>
        </w:r>
      </w:hyperlink>
    </w:p>
    <w:p w14:paraId="301C007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Satter, S. M., Rahman, D. I., Sultana, S., Rahman, M. M., Aquib, W. R., Nazneen, A., Farzin, A., Chowdhury, K. I. A., Sarkar, T., Ema, F. A., Choudhury, S. S., Siddika, A., Alam, M. R., Abdulla, F., Ghosh, P. K., Qayum, M. O., Sarker, M. F. R., Nasif, M. A. O., Sen, B., . . . Shirin, T. (2025). Epidemiology, clinical characteristics, and genetic diversity of Nipah virus strains from Bangladesh: 2016–2023. </w:t>
      </w:r>
      <w:r w:rsidRPr="004565A3">
        <w:rPr>
          <w:i/>
          <w:iCs/>
          <w:color w:val="auto"/>
          <w:lang w:val="en-US" w:eastAsia="en-US" w:bidi="ar-SA"/>
        </w:rPr>
        <w:t>International Journal of Infectious Diseases, 159</w:t>
      </w:r>
      <w:r w:rsidRPr="004565A3">
        <w:rPr>
          <w:color w:val="auto"/>
          <w:lang w:val="en-US" w:eastAsia="en-US" w:bidi="ar-SA"/>
        </w:rPr>
        <w:t xml:space="preserve">, 108010. </w:t>
      </w:r>
      <w:hyperlink r:id="rId83" w:history="1">
        <w:r w:rsidRPr="004565A3">
          <w:rPr>
            <w:color w:val="0000FF"/>
            <w:u w:val="single"/>
            <w:lang w:val="en-US" w:eastAsia="en-US" w:bidi="ar-SA"/>
          </w:rPr>
          <w:t>https://doi.org/10.1016/j.ijid.2025.108010</w:t>
        </w:r>
      </w:hyperlink>
    </w:p>
    <w:p w14:paraId="3D4AD74E"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Satter, S. M., Sultana, S., Choudhury, S. S., Aquib, W. R., Rahman, D. I., Chowdhury, M., Hossain, M. S., Nazneen, A., Chowdhury, K. I. A., Farzin, A., Siddika, A., Ema, F., Sarkar, T., Bablu, A. R., Alam, M. R., Hossain, M. E., Bhuiyan, M. T. R., Shoemaker, T., Lo, M. K., . . . Ahsan, C. R. (2026). Insights into the acute phase of Nipah virus infection: Clinical features, viral detection, and humoral immune response. </w:t>
      </w:r>
      <w:r w:rsidRPr="004565A3">
        <w:rPr>
          <w:i/>
          <w:iCs/>
          <w:color w:val="auto"/>
          <w:lang w:val="en-US" w:eastAsia="en-US" w:bidi="ar-SA"/>
        </w:rPr>
        <w:t>International Journal of Infectious Diseases, 163</w:t>
      </w:r>
      <w:r w:rsidRPr="004565A3">
        <w:rPr>
          <w:color w:val="auto"/>
          <w:lang w:val="en-US" w:eastAsia="en-US" w:bidi="ar-SA"/>
        </w:rPr>
        <w:t xml:space="preserve">, 108263. </w:t>
      </w:r>
      <w:hyperlink r:id="rId84" w:history="1">
        <w:r w:rsidRPr="004565A3">
          <w:rPr>
            <w:color w:val="0000FF"/>
            <w:u w:val="single"/>
            <w:lang w:val="en-US" w:eastAsia="en-US" w:bidi="ar-SA"/>
          </w:rPr>
          <w:t>https://doi.org/10.1016/j.ijid.2025.108263</w:t>
        </w:r>
      </w:hyperlink>
    </w:p>
    <w:p w14:paraId="7B32B1C2"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lastRenderedPageBreak/>
        <w:t xml:space="preserve">Schumacher, S. G., van Smeden, M., Dendukuri, N., Joseph, L., Nicol, M. P., Pai, M., &amp; Zar, H. J. (2016). </w:t>
      </w:r>
      <w:r w:rsidRPr="004565A3">
        <w:rPr>
          <w:color w:val="auto"/>
          <w:lang w:val="en-US" w:eastAsia="en-US" w:bidi="ar-SA"/>
        </w:rPr>
        <w:t xml:space="preserve">Diagnostic test accuracy in childhood pulmonary tuberculosis: A Bayesian latent class analysis. </w:t>
      </w:r>
      <w:r w:rsidRPr="004565A3">
        <w:rPr>
          <w:i/>
          <w:iCs/>
          <w:color w:val="auto"/>
          <w:lang w:val="en-US" w:eastAsia="en-US" w:bidi="ar-SA"/>
        </w:rPr>
        <w:t>American Journal of Epidemiology, 184</w:t>
      </w:r>
      <w:r w:rsidRPr="004565A3">
        <w:rPr>
          <w:color w:val="auto"/>
          <w:lang w:val="en-US" w:eastAsia="en-US" w:bidi="ar-SA"/>
        </w:rPr>
        <w:t xml:space="preserve">(9), 690–700. </w:t>
      </w:r>
      <w:hyperlink r:id="rId85" w:history="1">
        <w:r w:rsidRPr="004565A3">
          <w:rPr>
            <w:color w:val="0000FF"/>
            <w:u w:val="single"/>
            <w:lang w:val="en-US" w:eastAsia="en-US" w:bidi="ar-SA"/>
          </w:rPr>
          <w:t>https://doi.org/10.1093/aje/kww094</w:t>
        </w:r>
      </w:hyperlink>
    </w:p>
    <w:p w14:paraId="62DA6B4A"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Schwalbe, N., &amp; Wahl, B. (2020). Artificial intelligence and the future of global health. </w:t>
      </w:r>
      <w:r w:rsidRPr="004565A3">
        <w:rPr>
          <w:i/>
          <w:iCs/>
          <w:color w:val="auto"/>
          <w:lang w:val="en-US" w:eastAsia="en-US" w:bidi="ar-SA"/>
        </w:rPr>
        <w:t>The Lancet, 395</w:t>
      </w:r>
      <w:r w:rsidRPr="004565A3">
        <w:rPr>
          <w:color w:val="auto"/>
          <w:lang w:val="en-US" w:eastAsia="en-US" w:bidi="ar-SA"/>
        </w:rPr>
        <w:t xml:space="preserve">(10236), 1579–1586. </w:t>
      </w:r>
      <w:hyperlink r:id="rId86" w:history="1">
        <w:r w:rsidRPr="004565A3">
          <w:rPr>
            <w:color w:val="0000FF"/>
            <w:u w:val="single"/>
            <w:lang w:val="en-US" w:eastAsia="en-US" w:bidi="ar-SA"/>
          </w:rPr>
          <w:t>https://doi.org/10.1016/S0140-6736(20)30226-9</w:t>
        </w:r>
      </w:hyperlink>
    </w:p>
    <w:p w14:paraId="7052F3F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Sethuraman, N., Jeremiah, S. S., &amp; Ryo, A. (2020). Interpreting diagnostic tests for SARS-CoV-2. </w:t>
      </w:r>
      <w:r w:rsidRPr="004565A3">
        <w:rPr>
          <w:i/>
          <w:iCs/>
          <w:color w:val="auto"/>
          <w:lang w:val="en-US" w:eastAsia="en-US" w:bidi="ar-SA"/>
        </w:rPr>
        <w:t>JAMA, 323</w:t>
      </w:r>
      <w:r w:rsidRPr="004565A3">
        <w:rPr>
          <w:color w:val="auto"/>
          <w:lang w:val="en-US" w:eastAsia="en-US" w:bidi="ar-SA"/>
        </w:rPr>
        <w:t xml:space="preserve">(22), 2249–2251. </w:t>
      </w:r>
      <w:hyperlink r:id="rId87" w:history="1">
        <w:r w:rsidRPr="004565A3">
          <w:rPr>
            <w:color w:val="0000FF"/>
            <w:u w:val="single"/>
            <w:lang w:val="en-US" w:eastAsia="en-US" w:bidi="ar-SA"/>
          </w:rPr>
          <w:t>https://doi.org/10.1001/jama.2020.8259</w:t>
        </w:r>
      </w:hyperlink>
    </w:p>
    <w:p w14:paraId="3966FF49"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Sharma, N., Jamwal, V. L., Nagial, S., Ranjan, M., Rath, D., &amp; Gandhi, S. G. (2024). Current status of diagnostic assays for emerging zoonotic viruses: Nipah and Hendra. </w:t>
      </w:r>
      <w:r w:rsidRPr="004565A3">
        <w:rPr>
          <w:i/>
          <w:iCs/>
          <w:color w:val="auto"/>
          <w:lang w:val="en-US" w:eastAsia="en-US" w:bidi="ar-SA"/>
        </w:rPr>
        <w:t>Expert Review of Molecular Diagnostics, 24</w:t>
      </w:r>
      <w:r w:rsidRPr="004565A3">
        <w:rPr>
          <w:color w:val="auto"/>
          <w:lang w:val="en-US" w:eastAsia="en-US" w:bidi="ar-SA"/>
        </w:rPr>
        <w:t xml:space="preserve">(6), 473–485. </w:t>
      </w:r>
      <w:hyperlink r:id="rId88" w:history="1">
        <w:r w:rsidRPr="004565A3">
          <w:rPr>
            <w:color w:val="0000FF"/>
            <w:u w:val="single"/>
            <w:lang w:val="en-US" w:eastAsia="en-US" w:bidi="ar-SA"/>
          </w:rPr>
          <w:t>https://doi.org/10.1080/14737159.2024.2368591</w:t>
        </w:r>
      </w:hyperlink>
    </w:p>
    <w:p w14:paraId="3F5C6D5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Surtees, R., Stern, D., Ahrens, K., Kromarek, N., Lander, A., Kreher, P., Weiss, S., Hewson, R., Punch, E. K., Barr, J. N., Witkowski, P. T., Couacy-Hymann, E., Marzi, A., Dorner, B. G., &amp; Kurth, A. (2020). Development of a multiplex microsphere immunoassay for the detection of antibodies against highly pathogenic viruses in human and animal serum samples. </w:t>
      </w:r>
      <w:r w:rsidRPr="004565A3">
        <w:rPr>
          <w:i/>
          <w:iCs/>
          <w:color w:val="auto"/>
          <w:lang w:val="en-US" w:eastAsia="en-US" w:bidi="ar-SA"/>
        </w:rPr>
        <w:t>PLOS Neglected Tropical Diseases, 14</w:t>
      </w:r>
      <w:r w:rsidRPr="004565A3">
        <w:rPr>
          <w:color w:val="auto"/>
          <w:lang w:val="en-US" w:eastAsia="en-US" w:bidi="ar-SA"/>
        </w:rPr>
        <w:t xml:space="preserve">(10), e0008699. </w:t>
      </w:r>
      <w:hyperlink r:id="rId89" w:history="1">
        <w:r w:rsidRPr="004565A3">
          <w:rPr>
            <w:color w:val="0000FF"/>
            <w:u w:val="single"/>
            <w:lang w:val="en-US" w:eastAsia="en-US" w:bidi="ar-SA"/>
          </w:rPr>
          <w:t>https://doi.org/10.1371/journal.pntd.0008699</w:t>
        </w:r>
      </w:hyperlink>
    </w:p>
    <w:p w14:paraId="57DC341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Tan, C. T., Goh, K. J., Wong, K. T., Sarji, S. A., Chua, K. B., Chew, N. K., Murugasu, P., Loh, Y. L., Chong, H. T., Tan, K. S., Thayaparan, T., Kumar, S., &amp; Jusoh, M. R. (2002). Relapsed and late-onset Nipah encephalitis. </w:t>
      </w:r>
      <w:r w:rsidRPr="004565A3">
        <w:rPr>
          <w:i/>
          <w:iCs/>
          <w:color w:val="auto"/>
          <w:lang w:val="en-US" w:eastAsia="en-US" w:bidi="ar-SA"/>
        </w:rPr>
        <w:t>Annals of Neurology, 51</w:t>
      </w:r>
      <w:r w:rsidRPr="004565A3">
        <w:rPr>
          <w:color w:val="auto"/>
          <w:lang w:val="en-US" w:eastAsia="en-US" w:bidi="ar-SA"/>
        </w:rPr>
        <w:t xml:space="preserve">(6), 703–708. </w:t>
      </w:r>
      <w:hyperlink r:id="rId90" w:history="1">
        <w:r w:rsidRPr="004565A3">
          <w:rPr>
            <w:color w:val="0000FF"/>
            <w:u w:val="single"/>
            <w:lang w:val="en-US" w:eastAsia="en-US" w:bidi="ar-SA"/>
          </w:rPr>
          <w:t>https://doi.org/10.1002/ana.10212</w:t>
        </w:r>
      </w:hyperlink>
    </w:p>
    <w:p w14:paraId="35C7561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Thakur, N., &amp; Bailey, D. (2019). Advances in diagnostics, vaccines and therapeutics for Nipah virus. </w:t>
      </w:r>
      <w:r w:rsidRPr="004565A3">
        <w:rPr>
          <w:i/>
          <w:iCs/>
          <w:color w:val="auto"/>
          <w:lang w:val="en-US" w:eastAsia="en-US" w:bidi="ar-SA"/>
        </w:rPr>
        <w:t>Microbes and Infection, 21</w:t>
      </w:r>
      <w:r w:rsidRPr="004565A3">
        <w:rPr>
          <w:color w:val="auto"/>
          <w:lang w:val="en-US" w:eastAsia="en-US" w:bidi="ar-SA"/>
        </w:rPr>
        <w:t xml:space="preserve">(7), 278–286. </w:t>
      </w:r>
      <w:hyperlink r:id="rId91" w:history="1">
        <w:r w:rsidRPr="004565A3">
          <w:rPr>
            <w:color w:val="0000FF"/>
            <w:u w:val="single"/>
            <w:lang w:val="en-US" w:eastAsia="en-US" w:bidi="ar-SA"/>
          </w:rPr>
          <w:t>https://doi.org/10.1016/j.micinf.2019.02.002</w:t>
        </w:r>
      </w:hyperlink>
    </w:p>
    <w:p w14:paraId="3B3F3E66"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Van Calster, B., &amp; Vickers, A. J. (2015). </w:t>
      </w:r>
      <w:r w:rsidRPr="004565A3">
        <w:rPr>
          <w:color w:val="auto"/>
          <w:lang w:val="en-US" w:eastAsia="en-US" w:bidi="ar-SA"/>
        </w:rPr>
        <w:t xml:space="preserve">Calibration of risk prediction models: Impact on decision-analytic performance. </w:t>
      </w:r>
      <w:r w:rsidRPr="004565A3">
        <w:rPr>
          <w:i/>
          <w:iCs/>
          <w:color w:val="auto"/>
          <w:lang w:val="en-US" w:eastAsia="en-US" w:bidi="ar-SA"/>
        </w:rPr>
        <w:t>Medical Decision Making, 35</w:t>
      </w:r>
      <w:r w:rsidRPr="004565A3">
        <w:rPr>
          <w:color w:val="auto"/>
          <w:lang w:val="en-US" w:eastAsia="en-US" w:bidi="ar-SA"/>
        </w:rPr>
        <w:t xml:space="preserve">(2), 162–169. </w:t>
      </w:r>
      <w:hyperlink r:id="rId92" w:history="1">
        <w:r w:rsidRPr="004565A3">
          <w:rPr>
            <w:color w:val="0000FF"/>
            <w:u w:val="single"/>
            <w:lang w:val="en-US" w:eastAsia="en-US" w:bidi="ar-SA"/>
          </w:rPr>
          <w:t>https://doi.org/10.1177/0272989X14547233</w:t>
        </w:r>
      </w:hyperlink>
    </w:p>
    <w:p w14:paraId="04499AD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van den Hurk, S., Yondo, A., &amp; Velayudhan, B. T. (2025). </w:t>
      </w:r>
      <w:r w:rsidRPr="004565A3">
        <w:rPr>
          <w:color w:val="auto"/>
          <w:lang w:val="en-US" w:eastAsia="en-US" w:bidi="ar-SA"/>
        </w:rPr>
        <w:t xml:space="preserve">Laboratory diagnosis of Hendra and Nipah: Two emerging zoonotic diseases with One Health significance. </w:t>
      </w:r>
      <w:r w:rsidRPr="004565A3">
        <w:rPr>
          <w:i/>
          <w:iCs/>
          <w:color w:val="auto"/>
          <w:lang w:val="en-US" w:eastAsia="en-US" w:bidi="ar-SA"/>
        </w:rPr>
        <w:t>Viruses, 17</w:t>
      </w:r>
      <w:r w:rsidRPr="004565A3">
        <w:rPr>
          <w:color w:val="auto"/>
          <w:lang w:val="en-US" w:eastAsia="en-US" w:bidi="ar-SA"/>
        </w:rPr>
        <w:t xml:space="preserve">(7), 1003. </w:t>
      </w:r>
      <w:hyperlink r:id="rId93" w:history="1">
        <w:r w:rsidRPr="004565A3">
          <w:rPr>
            <w:color w:val="0000FF"/>
            <w:u w:val="single"/>
            <w:lang w:val="en-US" w:eastAsia="en-US" w:bidi="ar-SA"/>
          </w:rPr>
          <w:t>https://doi.org/10.3390/v17071003</w:t>
        </w:r>
      </w:hyperlink>
    </w:p>
    <w:p w14:paraId="16C4C32E"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Vasey, B., Nagendran, M., Campbell, B., Clifton, D. A., Collins, G. S., Denaxas, S., Denniston, A. K., Faes, L., Geerts, B., Ibrahim, M., Liu, X., Mateen, B. A., Mathur, P., McCradden, M. D., Morgan, L., Ordish, J., Rogers, C., Saria, S., Ting, D. S. W., . . . McCulloch, P. (2022). Reporting guideline for the </w:t>
      </w:r>
      <w:proofErr w:type="gramStart"/>
      <w:r w:rsidRPr="004565A3">
        <w:rPr>
          <w:color w:val="auto"/>
          <w:lang w:val="en-US" w:eastAsia="en-US" w:bidi="ar-SA"/>
        </w:rPr>
        <w:t>early stage</w:t>
      </w:r>
      <w:proofErr w:type="gramEnd"/>
      <w:r w:rsidRPr="004565A3">
        <w:rPr>
          <w:color w:val="auto"/>
          <w:lang w:val="en-US" w:eastAsia="en-US" w:bidi="ar-SA"/>
        </w:rPr>
        <w:t xml:space="preserve"> clinical evaluation of decision support systems driven by artificial intelligence: DECIDE-AI. </w:t>
      </w:r>
      <w:r w:rsidRPr="004565A3">
        <w:rPr>
          <w:i/>
          <w:iCs/>
          <w:color w:val="auto"/>
          <w:lang w:val="en-US" w:eastAsia="en-US" w:bidi="ar-SA"/>
        </w:rPr>
        <w:t>BMJ, 377</w:t>
      </w:r>
      <w:r w:rsidRPr="004565A3">
        <w:rPr>
          <w:color w:val="auto"/>
          <w:lang w:val="en-US" w:eastAsia="en-US" w:bidi="ar-SA"/>
        </w:rPr>
        <w:t xml:space="preserve">, e070904. </w:t>
      </w:r>
      <w:hyperlink r:id="rId94" w:history="1">
        <w:r w:rsidRPr="004565A3">
          <w:rPr>
            <w:color w:val="0000FF"/>
            <w:u w:val="single"/>
            <w:lang w:val="en-US" w:eastAsia="en-US" w:bidi="ar-SA"/>
          </w:rPr>
          <w:t>https://doi.org/10.1136/bmj-2022-070904</w:t>
        </w:r>
      </w:hyperlink>
    </w:p>
    <w:p w14:paraId="1580763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Venkatesan, A., Tunkel, A. R., Bloch, K. C., Lauring, A. S., Sejvar, J., Bitnun, A., Stahl, J.-P., Mailles, A., Drebot, M., Rupprecht, C. E., Yoder, J., Cope, J. R., Wilson, M. R., Whitley, R. J., Sullivan, J., Granerod, J., Jones, C., Eastwood, K., Ward, K. N., . . . Cherry, J. </w:t>
      </w:r>
      <w:r w:rsidRPr="004565A3">
        <w:rPr>
          <w:color w:val="auto"/>
          <w:lang w:val="en-US" w:eastAsia="en-US" w:bidi="ar-SA"/>
        </w:rPr>
        <w:lastRenderedPageBreak/>
        <w:t xml:space="preserve">(2013). Case definitions, diagnostic algorithms, and priorities in encephalitis: Consensus statement of the International Encephalitis Consortium. </w:t>
      </w:r>
      <w:r w:rsidRPr="004565A3">
        <w:rPr>
          <w:i/>
          <w:iCs/>
          <w:color w:val="auto"/>
          <w:lang w:val="en-US" w:eastAsia="en-US" w:bidi="ar-SA"/>
        </w:rPr>
        <w:t>Clinical Infectious Diseases, 57</w:t>
      </w:r>
      <w:r w:rsidRPr="004565A3">
        <w:rPr>
          <w:color w:val="auto"/>
          <w:lang w:val="en-US" w:eastAsia="en-US" w:bidi="ar-SA"/>
        </w:rPr>
        <w:t xml:space="preserve">(8), 1114–1128. </w:t>
      </w:r>
      <w:hyperlink r:id="rId95" w:history="1">
        <w:r w:rsidRPr="004565A3">
          <w:rPr>
            <w:color w:val="0000FF"/>
            <w:u w:val="single"/>
            <w:lang w:val="en-US" w:eastAsia="en-US" w:bidi="ar-SA"/>
          </w:rPr>
          <w:t>https://doi.org/10.1093/cid/cit458</w:t>
        </w:r>
      </w:hyperlink>
    </w:p>
    <w:p w14:paraId="7C4489F3"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Warraich, H. J., Tazbaz, T., &amp; Califf, R. M. (2025). FDA perspective on the regulation of artificial intelligence in health care and biomedicine. </w:t>
      </w:r>
      <w:r w:rsidRPr="004565A3">
        <w:rPr>
          <w:i/>
          <w:iCs/>
          <w:color w:val="auto"/>
          <w:lang w:val="en-US" w:eastAsia="en-US" w:bidi="ar-SA"/>
        </w:rPr>
        <w:t>JAMA, 333</w:t>
      </w:r>
      <w:r w:rsidRPr="004565A3">
        <w:rPr>
          <w:color w:val="auto"/>
          <w:lang w:val="en-US" w:eastAsia="en-US" w:bidi="ar-SA"/>
        </w:rPr>
        <w:t xml:space="preserve">(3), 241–247. </w:t>
      </w:r>
      <w:hyperlink r:id="rId96" w:history="1">
        <w:r w:rsidRPr="004565A3">
          <w:rPr>
            <w:color w:val="0000FF"/>
            <w:u w:val="single"/>
            <w:lang w:val="en-US" w:eastAsia="en-US" w:bidi="ar-SA"/>
          </w:rPr>
          <w:t>https://doi.org/10.1001/jama.2024.21451</w:t>
        </w:r>
      </w:hyperlink>
    </w:p>
    <w:p w14:paraId="6C6D2B4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Warrier, S. P., Narasimhan, V., Meijer, E., Gütlin, Y., Nolte, O., Veeraraghavan, B., &amp; Egli, A. (2026). Uncloaking the black-box: The need for explainable artificial intelligence in clinical microbiology and infectious diseases applications. </w:t>
      </w:r>
      <w:r w:rsidRPr="004565A3">
        <w:rPr>
          <w:i/>
          <w:iCs/>
          <w:color w:val="auto"/>
          <w:lang w:val="en-US" w:eastAsia="en-US" w:bidi="ar-SA"/>
        </w:rPr>
        <w:t>Frontiers in Public Health, 14</w:t>
      </w:r>
      <w:r w:rsidRPr="004565A3">
        <w:rPr>
          <w:color w:val="auto"/>
          <w:lang w:val="en-US" w:eastAsia="en-US" w:bidi="ar-SA"/>
        </w:rPr>
        <w:t xml:space="preserve">, 1776922. </w:t>
      </w:r>
      <w:hyperlink r:id="rId97" w:history="1">
        <w:r w:rsidRPr="004565A3">
          <w:rPr>
            <w:color w:val="0000FF"/>
            <w:u w:val="single"/>
            <w:lang w:val="en-US" w:eastAsia="en-US" w:bidi="ar-SA"/>
          </w:rPr>
          <w:t>https://doi.org/10.3389/fpubh.2026.1776922</w:t>
        </w:r>
      </w:hyperlink>
    </w:p>
    <w:p w14:paraId="33225AA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Wong, S. C., Ooi, M. H., Wong, M. N. L., Tio, P. H., Solomon, T., &amp; Cardosa, M. J. (2001). Late presentation of Nipah virus encephalitis and kinetics of the humoral immune response. </w:t>
      </w:r>
      <w:r w:rsidRPr="004565A3">
        <w:rPr>
          <w:i/>
          <w:iCs/>
          <w:color w:val="auto"/>
          <w:lang w:val="en-US" w:eastAsia="en-US" w:bidi="ar-SA"/>
        </w:rPr>
        <w:t>Journal of Neurology, Neurosurgery &amp; Psychiatry, 71</w:t>
      </w:r>
      <w:r w:rsidRPr="004565A3">
        <w:rPr>
          <w:color w:val="auto"/>
          <w:lang w:val="en-US" w:eastAsia="en-US" w:bidi="ar-SA"/>
        </w:rPr>
        <w:t xml:space="preserve">(4), 552–554. </w:t>
      </w:r>
      <w:hyperlink r:id="rId98" w:history="1">
        <w:r w:rsidRPr="004565A3">
          <w:rPr>
            <w:color w:val="0000FF"/>
            <w:u w:val="single"/>
            <w:lang w:val="en-US" w:eastAsia="en-US" w:bidi="ar-SA"/>
          </w:rPr>
          <w:t>https://doi.org/10.1136/jnnp.71.4.552</w:t>
        </w:r>
      </w:hyperlink>
    </w:p>
    <w:p w14:paraId="47FD5984"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World Health Organization. (2019). </w:t>
      </w:r>
      <w:r w:rsidRPr="004565A3">
        <w:rPr>
          <w:i/>
          <w:iCs/>
          <w:color w:val="auto"/>
          <w:lang w:val="en-US" w:eastAsia="en-US" w:bidi="ar-SA"/>
        </w:rPr>
        <w:t>Priority diagnostics for Nipah: Use cases and target product profiles</w:t>
      </w:r>
      <w:r w:rsidRPr="004565A3">
        <w:rPr>
          <w:color w:val="auto"/>
          <w:lang w:val="en-US" w:eastAsia="en-US" w:bidi="ar-SA"/>
        </w:rPr>
        <w:t xml:space="preserve">. </w:t>
      </w:r>
      <w:hyperlink r:id="rId99" w:history="1">
        <w:r w:rsidRPr="004565A3">
          <w:rPr>
            <w:color w:val="0000FF"/>
            <w:u w:val="single"/>
            <w:lang w:val="en-US" w:eastAsia="en-US" w:bidi="ar-SA"/>
          </w:rPr>
          <w:t>https://www.who.int/publications/m/item/priority-diagnostics-for-nipah-use-cases-and-target-product-profiles</w:t>
        </w:r>
      </w:hyperlink>
    </w:p>
    <w:p w14:paraId="5D5FFF68"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World Health Organization. (2026). </w:t>
      </w:r>
      <w:r w:rsidRPr="004565A3">
        <w:rPr>
          <w:i/>
          <w:iCs/>
          <w:color w:val="auto"/>
          <w:lang w:val="en-US" w:eastAsia="en-US" w:bidi="ar-SA"/>
        </w:rPr>
        <w:t>Nipah virus</w:t>
      </w:r>
      <w:r w:rsidRPr="004565A3">
        <w:rPr>
          <w:color w:val="auto"/>
          <w:lang w:val="en-US" w:eastAsia="en-US" w:bidi="ar-SA"/>
        </w:rPr>
        <w:t xml:space="preserve"> [Fact sheet]. </w:t>
      </w:r>
      <w:hyperlink r:id="rId100" w:history="1">
        <w:r w:rsidRPr="004565A3">
          <w:rPr>
            <w:color w:val="0000FF"/>
            <w:u w:val="single"/>
            <w:lang w:val="en-US" w:eastAsia="en-US" w:bidi="ar-SA"/>
          </w:rPr>
          <w:t>https://www.who.int/news-room/fact-sheets/detail/nipah-virus</w:t>
        </w:r>
      </w:hyperlink>
    </w:p>
    <w:p w14:paraId="46D62C8C"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nl-BE" w:eastAsia="en-US" w:bidi="ar-SA"/>
        </w:rPr>
        <w:t xml:space="preserve">Yang, M., Liu, C., Wang, X., Li, Y., Gao, H., Liu, X., &amp; Li, J. (2020). </w:t>
      </w:r>
      <w:r w:rsidRPr="004565A3">
        <w:rPr>
          <w:color w:val="auto"/>
          <w:lang w:val="en-US" w:eastAsia="en-US" w:bidi="ar-SA"/>
        </w:rPr>
        <w:t xml:space="preserve">An explainable artificial intelligence predictor for early detection of sepsis. </w:t>
      </w:r>
      <w:r w:rsidRPr="004565A3">
        <w:rPr>
          <w:i/>
          <w:iCs/>
          <w:color w:val="auto"/>
          <w:lang w:val="en-US" w:eastAsia="en-US" w:bidi="ar-SA"/>
        </w:rPr>
        <w:t>Critical Care Medicine, 48</w:t>
      </w:r>
      <w:r w:rsidRPr="004565A3">
        <w:rPr>
          <w:color w:val="auto"/>
          <w:lang w:val="en-US" w:eastAsia="en-US" w:bidi="ar-SA"/>
        </w:rPr>
        <w:t xml:space="preserve">(11), e1091–e1096. </w:t>
      </w:r>
      <w:hyperlink r:id="rId101" w:history="1">
        <w:r w:rsidRPr="004565A3">
          <w:rPr>
            <w:color w:val="0000FF"/>
            <w:u w:val="single"/>
            <w:lang w:val="en-US" w:eastAsia="en-US" w:bidi="ar-SA"/>
          </w:rPr>
          <w:t>https://doi.org/10.1097/CCM.0000000000004550</w:t>
        </w:r>
      </w:hyperlink>
    </w:p>
    <w:p w14:paraId="2177C2B0" w14:textId="77777777" w:rsidR="004565A3" w:rsidRPr="004565A3" w:rsidRDefault="004565A3" w:rsidP="004565A3">
      <w:pPr>
        <w:spacing w:before="100" w:beforeAutospacing="1" w:after="100" w:afterAutospacing="1"/>
        <w:ind w:left="540" w:hanging="540"/>
        <w:jc w:val="both"/>
        <w:rPr>
          <w:color w:val="auto"/>
          <w:lang w:val="en-US" w:eastAsia="en-US" w:bidi="ar-SA"/>
        </w:rPr>
      </w:pPr>
      <w:r w:rsidRPr="004565A3">
        <w:rPr>
          <w:color w:val="auto"/>
          <w:lang w:val="en-US" w:eastAsia="en-US" w:bidi="ar-SA"/>
        </w:rPr>
        <w:t xml:space="preserve">Yun, D., Yang, H.-L., Kim, S. G., Kim, K., Kim, D. K., Oh, K.-H., Joo, K. W., Kim, Y. S., &amp; Han, S. S. (2023). Real-time dual prediction of intradialytic hypotension and hypertension using an explainable deep learning model. </w:t>
      </w:r>
      <w:r w:rsidRPr="004565A3">
        <w:rPr>
          <w:i/>
          <w:iCs/>
          <w:color w:val="auto"/>
          <w:lang w:val="en-US" w:eastAsia="en-US" w:bidi="ar-SA"/>
        </w:rPr>
        <w:t>Scientific Reports, 13</w:t>
      </w:r>
      <w:r w:rsidRPr="004565A3">
        <w:rPr>
          <w:color w:val="auto"/>
          <w:lang w:val="en-US" w:eastAsia="en-US" w:bidi="ar-SA"/>
        </w:rPr>
        <w:t xml:space="preserve">(1), 18054. </w:t>
      </w:r>
      <w:hyperlink r:id="rId102" w:history="1">
        <w:r w:rsidRPr="004565A3">
          <w:rPr>
            <w:color w:val="0000FF"/>
            <w:u w:val="single"/>
            <w:lang w:val="en-US" w:eastAsia="en-US" w:bidi="ar-SA"/>
          </w:rPr>
          <w:t>https://doi.org/10.1038/s41598-023-45282-1</w:t>
        </w:r>
      </w:hyperlink>
    </w:p>
    <w:p w14:paraId="526F3E78" w14:textId="492D53A6" w:rsidR="004E2118" w:rsidRDefault="004E2118" w:rsidP="004565A3">
      <w:pPr>
        <w:spacing w:after="160" w:line="360" w:lineRule="auto"/>
        <w:ind w:left="567" w:hanging="567"/>
      </w:pPr>
    </w:p>
    <w:sectPr w:rsidR="004E2118">
      <w:headerReference w:type="even" r:id="rId103"/>
      <w:headerReference w:type="default" r:id="rId104"/>
      <w:footerReference w:type="even" r:id="rId105"/>
      <w:footerReference w:type="default" r:id="rId106"/>
      <w:headerReference w:type="first" r:id="rId107"/>
      <w:footerReference w:type="first" r:id="rId10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2FD28" w14:textId="77777777" w:rsidR="00CF2182" w:rsidRDefault="00CF2182" w:rsidP="00E578B5">
      <w:r>
        <w:separator/>
      </w:r>
    </w:p>
  </w:endnote>
  <w:endnote w:type="continuationSeparator" w:id="0">
    <w:p w14:paraId="619B77DB" w14:textId="77777777" w:rsidR="00CF2182" w:rsidRDefault="00CF2182" w:rsidP="00E5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97BE" w14:textId="77777777" w:rsidR="00E578B5" w:rsidRDefault="00E57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78F7A" w14:textId="77777777" w:rsidR="00E578B5" w:rsidRDefault="00E578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06F4" w14:textId="77777777" w:rsidR="00E578B5" w:rsidRDefault="00E57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CF808" w14:textId="77777777" w:rsidR="00CF2182" w:rsidRDefault="00CF2182" w:rsidP="00E578B5">
      <w:r>
        <w:separator/>
      </w:r>
    </w:p>
  </w:footnote>
  <w:footnote w:type="continuationSeparator" w:id="0">
    <w:p w14:paraId="5B1C63E5" w14:textId="77777777" w:rsidR="00CF2182" w:rsidRDefault="00CF2182" w:rsidP="00E57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CECC" w14:textId="77777777" w:rsidR="00E578B5" w:rsidRDefault="00000000">
    <w:pPr>
      <w:pStyle w:val="Header"/>
    </w:pPr>
    <w:r>
      <w:rPr>
        <w:noProof/>
      </w:rPr>
      <w:pict w14:anchorId="6B85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2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5C91" w14:textId="77777777" w:rsidR="00E578B5" w:rsidRDefault="00000000">
    <w:pPr>
      <w:pStyle w:val="Header"/>
    </w:pPr>
    <w:r>
      <w:rPr>
        <w:noProof/>
      </w:rPr>
      <w:pict w14:anchorId="325A54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3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8103" w14:textId="77777777" w:rsidR="00E578B5" w:rsidRDefault="00000000">
    <w:pPr>
      <w:pStyle w:val="Header"/>
    </w:pPr>
    <w:r>
      <w:rPr>
        <w:noProof/>
      </w:rPr>
      <w:pict w14:anchorId="65E88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2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64B5A"/>
    <w:multiLevelType w:val="multilevel"/>
    <w:tmpl w:val="2054B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FE3ED6"/>
    <w:multiLevelType w:val="hybridMultilevel"/>
    <w:tmpl w:val="57364D5C"/>
    <w:lvl w:ilvl="0" w:tplc="1A742366">
      <w:start w:val="1"/>
      <w:numFmt w:val="bullet"/>
      <w:lvlText w:val="●"/>
      <w:lvlJc w:val="left"/>
      <w:pPr>
        <w:ind w:left="720" w:hanging="360"/>
      </w:pPr>
    </w:lvl>
    <w:lvl w:ilvl="1" w:tplc="56B4A154">
      <w:start w:val="1"/>
      <w:numFmt w:val="bullet"/>
      <w:lvlText w:val="○"/>
      <w:lvlJc w:val="left"/>
      <w:pPr>
        <w:ind w:left="1440" w:hanging="360"/>
      </w:pPr>
    </w:lvl>
    <w:lvl w:ilvl="2" w:tplc="9C1A1670">
      <w:start w:val="1"/>
      <w:numFmt w:val="bullet"/>
      <w:lvlText w:val="■"/>
      <w:lvlJc w:val="left"/>
      <w:pPr>
        <w:ind w:left="2160" w:hanging="360"/>
      </w:pPr>
    </w:lvl>
    <w:lvl w:ilvl="3" w:tplc="2F02B32A">
      <w:start w:val="1"/>
      <w:numFmt w:val="bullet"/>
      <w:lvlText w:val="●"/>
      <w:lvlJc w:val="left"/>
      <w:pPr>
        <w:ind w:left="2880" w:hanging="360"/>
      </w:pPr>
    </w:lvl>
    <w:lvl w:ilvl="4" w:tplc="CBDC71E2">
      <w:start w:val="1"/>
      <w:numFmt w:val="bullet"/>
      <w:lvlText w:val="○"/>
      <w:lvlJc w:val="left"/>
      <w:pPr>
        <w:ind w:left="3600" w:hanging="360"/>
      </w:pPr>
    </w:lvl>
    <w:lvl w:ilvl="5" w:tplc="8C901374">
      <w:start w:val="1"/>
      <w:numFmt w:val="bullet"/>
      <w:lvlText w:val="■"/>
      <w:lvlJc w:val="left"/>
      <w:pPr>
        <w:ind w:left="4320" w:hanging="360"/>
      </w:pPr>
    </w:lvl>
    <w:lvl w:ilvl="6" w:tplc="B1AA4A7C">
      <w:start w:val="1"/>
      <w:numFmt w:val="bullet"/>
      <w:lvlText w:val="●"/>
      <w:lvlJc w:val="left"/>
      <w:pPr>
        <w:ind w:left="5040" w:hanging="360"/>
      </w:pPr>
    </w:lvl>
    <w:lvl w:ilvl="7" w:tplc="06BEE566">
      <w:start w:val="1"/>
      <w:numFmt w:val="bullet"/>
      <w:lvlText w:val="●"/>
      <w:lvlJc w:val="left"/>
      <w:pPr>
        <w:ind w:left="5760" w:hanging="360"/>
      </w:pPr>
    </w:lvl>
    <w:lvl w:ilvl="8" w:tplc="16C257E4">
      <w:start w:val="1"/>
      <w:numFmt w:val="bullet"/>
      <w:lvlText w:val="●"/>
      <w:lvlJc w:val="left"/>
      <w:pPr>
        <w:ind w:left="6480" w:hanging="360"/>
      </w:pPr>
    </w:lvl>
  </w:abstractNum>
  <w:num w:numId="1" w16cid:durableId="8802853">
    <w:abstractNumId w:val="1"/>
    <w:lvlOverride w:ilvl="0">
      <w:startOverride w:val="1"/>
    </w:lvlOverride>
  </w:num>
  <w:num w:numId="2" w16cid:durableId="138289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18"/>
    <w:rsid w:val="0004758B"/>
    <w:rsid w:val="002425E5"/>
    <w:rsid w:val="004565A3"/>
    <w:rsid w:val="004A1608"/>
    <w:rsid w:val="004A20D2"/>
    <w:rsid w:val="004E2118"/>
    <w:rsid w:val="00547B03"/>
    <w:rsid w:val="008D07AF"/>
    <w:rsid w:val="00906BB5"/>
    <w:rsid w:val="00A210D7"/>
    <w:rsid w:val="00CF2182"/>
    <w:rsid w:val="00E578B5"/>
    <w:rsid w:val="00F24D65"/>
    <w:rsid w:val="00F77D6F"/>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97E53"/>
  <w15:docId w15:val="{DA8C4965-36BC-4033-87D4-4AECCB4A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6"/>
      <w:szCs w:val="26"/>
    </w:rPr>
  </w:style>
  <w:style w:type="paragraph" w:styleId="Heading2">
    <w:name w:val="heading 2"/>
    <w:uiPriority w:val="9"/>
    <w:unhideWhenUsed/>
    <w:qFormat/>
    <w:pPr>
      <w:outlineLvl w:val="1"/>
    </w:pPr>
    <w:rPr>
      <w:b/>
      <w:bCs/>
    </w:rPr>
  </w:style>
  <w:style w:type="paragraph" w:styleId="Heading3">
    <w:name w:val="heading 3"/>
    <w:uiPriority w:val="9"/>
    <w:semiHidden/>
    <w:unhideWhenUsed/>
    <w:qFormat/>
    <w:pPr>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578B5"/>
    <w:pPr>
      <w:tabs>
        <w:tab w:val="center" w:pos="4680"/>
        <w:tab w:val="right" w:pos="9360"/>
      </w:tabs>
    </w:pPr>
    <w:rPr>
      <w:szCs w:val="30"/>
    </w:rPr>
  </w:style>
  <w:style w:type="character" w:customStyle="1" w:styleId="HeaderChar">
    <w:name w:val="Header Char"/>
    <w:basedOn w:val="DefaultParagraphFont"/>
    <w:link w:val="Header"/>
    <w:uiPriority w:val="99"/>
    <w:rsid w:val="00E578B5"/>
    <w:rPr>
      <w:szCs w:val="30"/>
    </w:rPr>
  </w:style>
  <w:style w:type="paragraph" w:styleId="Footer">
    <w:name w:val="footer"/>
    <w:basedOn w:val="Normal"/>
    <w:link w:val="FooterChar"/>
    <w:uiPriority w:val="99"/>
    <w:unhideWhenUsed/>
    <w:rsid w:val="00E578B5"/>
    <w:pPr>
      <w:tabs>
        <w:tab w:val="center" w:pos="4680"/>
        <w:tab w:val="right" w:pos="9360"/>
      </w:tabs>
    </w:pPr>
    <w:rPr>
      <w:szCs w:val="30"/>
    </w:rPr>
  </w:style>
  <w:style w:type="character" w:customStyle="1" w:styleId="FooterChar">
    <w:name w:val="Footer Char"/>
    <w:basedOn w:val="DefaultParagraphFont"/>
    <w:link w:val="Footer"/>
    <w:uiPriority w:val="99"/>
    <w:rsid w:val="00E578B5"/>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S0140-6736(99)04299-3" TargetMode="External"/><Relationship Id="rId21" Type="http://schemas.openxmlformats.org/officeDocument/2006/relationships/hyperlink" Target="https://doi.org/10.1093/cid/ciz789" TargetMode="External"/><Relationship Id="rId42" Type="http://schemas.openxmlformats.org/officeDocument/2006/relationships/hyperlink" Target="https://doi.org/10.1016/j.bsheal.2024.02.002" TargetMode="External"/><Relationship Id="rId47" Type="http://schemas.openxmlformats.org/officeDocument/2006/relationships/hyperlink" Target="https://doi.org/10.1016/j.jbi.2023.104440" TargetMode="External"/><Relationship Id="rId63" Type="http://schemas.openxmlformats.org/officeDocument/2006/relationships/hyperlink" Target="https://doi.org/10.3389/fmicb.2019.00418" TargetMode="External"/><Relationship Id="rId68" Type="http://schemas.openxmlformats.org/officeDocument/2006/relationships/hyperlink" Target="https://doi.org/10.1016/S1473-3099(25)00354-8" TargetMode="External"/><Relationship Id="rId84" Type="http://schemas.openxmlformats.org/officeDocument/2006/relationships/hyperlink" Target="https://doi.org/10.1016/j.ijid.2025.108263" TargetMode="External"/><Relationship Id="rId89" Type="http://schemas.openxmlformats.org/officeDocument/2006/relationships/hyperlink" Target="https://doi.org/10.1371/journal.pntd.0008699" TargetMode="External"/><Relationship Id="rId16" Type="http://schemas.openxmlformats.org/officeDocument/2006/relationships/hyperlink" Target="https://doi.org/10.1016/j.diagmicrobio.2025.117141" TargetMode="External"/><Relationship Id="rId107" Type="http://schemas.openxmlformats.org/officeDocument/2006/relationships/header" Target="header3.xml"/><Relationship Id="rId11" Type="http://schemas.openxmlformats.org/officeDocument/2006/relationships/hyperlink" Target="https://doi.org/10.1080/22221751.2026.2613510" TargetMode="External"/><Relationship Id="rId32" Type="http://schemas.openxmlformats.org/officeDocument/2006/relationships/hyperlink" Target="https://doi.org/10.1007/s10462-022-10304-3" TargetMode="External"/><Relationship Id="rId37" Type="http://schemas.openxmlformats.org/officeDocument/2006/relationships/hyperlink" Target="https://doi.org/10.1056/NEJM200004273421701" TargetMode="External"/><Relationship Id="rId53" Type="http://schemas.openxmlformats.org/officeDocument/2006/relationships/hyperlink" Target="https://doi.org/10.7326/M20-1495" TargetMode="External"/><Relationship Id="rId58" Type="http://schemas.openxmlformats.org/officeDocument/2006/relationships/hyperlink" Target="https://doi.org/10.1016/j.cmpb.2022.107161" TargetMode="External"/><Relationship Id="rId74" Type="http://schemas.openxmlformats.org/officeDocument/2006/relationships/hyperlink" Target="https://doi.org/10.1007/978-1-0716-3283-3_2" TargetMode="External"/><Relationship Id="rId79" Type="http://schemas.openxmlformats.org/officeDocument/2006/relationships/hyperlink" Target="https://doi.org/10.1002/sim.9025" TargetMode="External"/><Relationship Id="rId102" Type="http://schemas.openxmlformats.org/officeDocument/2006/relationships/hyperlink" Target="https://doi.org/10.1038/s41598-023-45282-1" TargetMode="External"/><Relationship Id="rId5" Type="http://schemas.openxmlformats.org/officeDocument/2006/relationships/footnotes" Target="footnotes.xml"/><Relationship Id="rId90" Type="http://schemas.openxmlformats.org/officeDocument/2006/relationships/hyperlink" Target="https://doi.org/10.1002/ana.10212" TargetMode="External"/><Relationship Id="rId95" Type="http://schemas.openxmlformats.org/officeDocument/2006/relationships/hyperlink" Target="https://doi.org/10.1093/cid/cit458" TargetMode="External"/><Relationship Id="rId22" Type="http://schemas.openxmlformats.org/officeDocument/2006/relationships/hyperlink" Target="https://doi.org/10.1038/s41598-018-24271-9" TargetMode="External"/><Relationship Id="rId27" Type="http://schemas.openxmlformats.org/officeDocument/2006/relationships/hyperlink" Target="https://doi.org/10.1038/s41746-022-00700-y" TargetMode="External"/><Relationship Id="rId43" Type="http://schemas.openxmlformats.org/officeDocument/2006/relationships/hyperlink" Target="https://doi.org/10.1371/journal.pone.0199534" TargetMode="External"/><Relationship Id="rId48" Type="http://schemas.openxmlformats.org/officeDocument/2006/relationships/hyperlink" Target="https://doi.org/10.1001/jama.2023.22557" TargetMode="External"/><Relationship Id="rId64" Type="http://schemas.openxmlformats.org/officeDocument/2006/relationships/hyperlink" Target="https://doi.org/10.1016/j.diagmicrobio.2025.117101" TargetMode="External"/><Relationship Id="rId69" Type="http://schemas.openxmlformats.org/officeDocument/2006/relationships/hyperlink" Target="https://doi.org/10.1038/srep30916" TargetMode="External"/><Relationship Id="rId80" Type="http://schemas.openxmlformats.org/officeDocument/2006/relationships/hyperlink" Target="https://doi.org/10.2196/53207" TargetMode="External"/><Relationship Id="rId85" Type="http://schemas.openxmlformats.org/officeDocument/2006/relationships/hyperlink" Target="https://doi.org/10.1093/aje/kww094" TargetMode="External"/><Relationship Id="rId12" Type="http://schemas.openxmlformats.org/officeDocument/2006/relationships/hyperlink" Target="https://doi.org/10.1093/cid/ciy1092" TargetMode="External"/><Relationship Id="rId17" Type="http://schemas.openxmlformats.org/officeDocument/2006/relationships/hyperlink" Target="https://doi.org/10.1186/s12911-026-03344-0" TargetMode="External"/><Relationship Id="rId33" Type="http://schemas.openxmlformats.org/officeDocument/2006/relationships/hyperlink" Target="https://doi.org/10.1056/NEJMc2104626" TargetMode="External"/><Relationship Id="rId38" Type="http://schemas.openxmlformats.org/officeDocument/2006/relationships/hyperlink" Target="https://doi.org/10.1016/j.jviromet.2004.05.018" TargetMode="External"/><Relationship Id="rId59" Type="http://schemas.openxmlformats.org/officeDocument/2006/relationships/hyperlink" Target="https://doi.org/10.1016/j.antiviral.2013.07.011" TargetMode="External"/><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hyperlink" Target="https://doi.org/10.3201/eid2505.181352" TargetMode="External"/><Relationship Id="rId70" Type="http://schemas.openxmlformats.org/officeDocument/2006/relationships/hyperlink" Target="https://doi.org/10.1186/s12939-026-02893-0" TargetMode="External"/><Relationship Id="rId75" Type="http://schemas.openxmlformats.org/officeDocument/2006/relationships/hyperlink" Target="https://doi.org/10.1093/biostatistics/kxl038" TargetMode="External"/><Relationship Id="rId91" Type="http://schemas.openxmlformats.org/officeDocument/2006/relationships/hyperlink" Target="https://doi.org/10.1016/j.micinf.2019.02.002" TargetMode="External"/><Relationship Id="rId96" Type="http://schemas.openxmlformats.org/officeDocument/2006/relationships/hyperlink" Target="https://doi.org/10.1001/jama.2024.2145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2/jmv.29559" TargetMode="External"/><Relationship Id="rId23" Type="http://schemas.openxmlformats.org/officeDocument/2006/relationships/hyperlink" Target="https://doi.org/10.1038/s41551-023-01056-8" TargetMode="External"/><Relationship Id="rId28" Type="http://schemas.openxmlformats.org/officeDocument/2006/relationships/hyperlink" Target="https://doi.org/10.1136/bmj-2023-078378" TargetMode="External"/><Relationship Id="rId36" Type="http://schemas.openxmlformats.org/officeDocument/2006/relationships/hyperlink" Target="https://doi.org/10.1080/07853890.2023.2286336" TargetMode="External"/><Relationship Id="rId49" Type="http://schemas.openxmlformats.org/officeDocument/2006/relationships/hyperlink" Target="https://doi.org/10.1038/s41746-022-00712-8" TargetMode="External"/><Relationship Id="rId57" Type="http://schemas.openxmlformats.org/officeDocument/2006/relationships/hyperlink" Target="https://doi.org/10.1371/journal.pone.0012485" TargetMode="External"/><Relationship Id="rId106" Type="http://schemas.openxmlformats.org/officeDocument/2006/relationships/footer" Target="footer2.xml"/><Relationship Id="rId10" Type="http://schemas.openxmlformats.org/officeDocument/2006/relationships/hyperlink" Target="https://doi.org/10.1016/j.lansea.2026.100729" TargetMode="External"/><Relationship Id="rId31" Type="http://schemas.openxmlformats.org/officeDocument/2006/relationships/hyperlink" Target="https://doi.org/10.1038/s41591-021-01506-3" TargetMode="External"/><Relationship Id="rId44" Type="http://schemas.openxmlformats.org/officeDocument/2006/relationships/hyperlink" Target="https://doi.org/10.3390/v17071021" TargetMode="External"/><Relationship Id="rId52" Type="http://schemas.openxmlformats.org/officeDocument/2006/relationships/hyperlink" Target="https://doi.org/10.1016/j.inffus.2024.102690" TargetMode="External"/><Relationship Id="rId60" Type="http://schemas.openxmlformats.org/officeDocument/2006/relationships/hyperlink" Target="https://doi.org/10.3201/eid1508.081237" TargetMode="External"/><Relationship Id="rId65" Type="http://schemas.openxmlformats.org/officeDocument/2006/relationships/hyperlink" Target="https://doi.org/10.1136/bmjgh-2018-001118" TargetMode="External"/><Relationship Id="rId73" Type="http://schemas.openxmlformats.org/officeDocument/2006/relationships/hyperlink" Target="https://doi.org/10.1038/s41591-020-1041-y" TargetMode="External"/><Relationship Id="rId78" Type="http://schemas.openxmlformats.org/officeDocument/2006/relationships/hyperlink" Target="https://doi.org/10.1136/bmj-2023-074820" TargetMode="External"/><Relationship Id="rId81" Type="http://schemas.openxmlformats.org/officeDocument/2006/relationships/hyperlink" Target="https://doi.org/10.1002/jmv.29920" TargetMode="External"/><Relationship Id="rId86" Type="http://schemas.openxmlformats.org/officeDocument/2006/relationships/hyperlink" Target="https://doi.org/10.1016/S0140-6736(20)30226-9" TargetMode="External"/><Relationship Id="rId94" Type="http://schemas.openxmlformats.org/officeDocument/2006/relationships/hyperlink" Target="https://doi.org/10.1136/bmj-2022-070904" TargetMode="External"/><Relationship Id="rId99" Type="http://schemas.openxmlformats.org/officeDocument/2006/relationships/hyperlink" Target="https://www.who.int/publications/m/item/priority-diagnostics-for-nipah-use-cases-and-target-product-profiles" TargetMode="External"/><Relationship Id="rId101" Type="http://schemas.openxmlformats.org/officeDocument/2006/relationships/hyperlink" Target="https://doi.org/10.1097/CCM.0000000000004550" TargetMode="External"/><Relationship Id="rId4" Type="http://schemas.openxmlformats.org/officeDocument/2006/relationships/webSettings" Target="webSettings.xml"/><Relationship Id="rId9" Type="http://schemas.openxmlformats.org/officeDocument/2006/relationships/hyperlink" Target="https://doi.org/10.3390/vaccines14060534" TargetMode="External"/><Relationship Id="rId13" Type="http://schemas.openxmlformats.org/officeDocument/2006/relationships/hyperlink" Target="https://doi.org/10.1093/infdis/jiy612" TargetMode="External"/><Relationship Id="rId18" Type="http://schemas.openxmlformats.org/officeDocument/2006/relationships/hyperlink" Target="https://doi.org/10.1080/22221751.2024.2398640" TargetMode="External"/><Relationship Id="rId39" Type="http://schemas.openxmlformats.org/officeDocument/2006/relationships/hyperlink" Target="https://doi.org/10.1016/j.soh.2023.100045" TargetMode="External"/><Relationship Id="rId109" Type="http://schemas.openxmlformats.org/officeDocument/2006/relationships/fontTable" Target="fontTable.xml"/><Relationship Id="rId34" Type="http://schemas.openxmlformats.org/officeDocument/2006/relationships/hyperlink" Target="https://doi.org/10.3390/v15102062" TargetMode="External"/><Relationship Id="rId50" Type="http://schemas.openxmlformats.org/officeDocument/2006/relationships/hyperlink" Target="https://doi.org/10.1038/s41746-020-00367-3" TargetMode="External"/><Relationship Id="rId55" Type="http://schemas.openxmlformats.org/officeDocument/2006/relationships/hyperlink" Target="https://doi.org/10.1038/s41467-020-17431-x" TargetMode="External"/><Relationship Id="rId76" Type="http://schemas.openxmlformats.org/officeDocument/2006/relationships/hyperlink" Target="https://doi.org/10.1016/S2214-109X(22)00079-1" TargetMode="External"/><Relationship Id="rId97" Type="http://schemas.openxmlformats.org/officeDocument/2006/relationships/hyperlink" Target="https://doi.org/10.3389/fpubh.2026.1776922" TargetMode="External"/><Relationship Id="rId104"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hyperlink" Target="https://doi.org/10.1016/j.jcv.2026.105931" TargetMode="External"/><Relationship Id="rId92" Type="http://schemas.openxmlformats.org/officeDocument/2006/relationships/hyperlink" Target="https://doi.org/10.1177/0272989X14547233" TargetMode="External"/><Relationship Id="rId2" Type="http://schemas.openxmlformats.org/officeDocument/2006/relationships/styles" Target="styles.xml"/><Relationship Id="rId29" Type="http://schemas.openxmlformats.org/officeDocument/2006/relationships/hyperlink" Target="https://doi.org/10.1002/sim.6218" TargetMode="External"/><Relationship Id="rId24" Type="http://schemas.openxmlformats.org/officeDocument/2006/relationships/hyperlink" Target="https://doi.org/10.1186/1743-422X-7-115" TargetMode="External"/><Relationship Id="rId40" Type="http://schemas.openxmlformats.org/officeDocument/2006/relationships/hyperlink" Target="https://doi.org/10.1136/bmjopen-2025-105903" TargetMode="External"/><Relationship Id="rId45" Type="http://schemas.openxmlformats.org/officeDocument/2006/relationships/hyperlink" Target="https://doi.org/10.1016/j.jviromet.2009.04.037" TargetMode="External"/><Relationship Id="rId66" Type="http://schemas.openxmlformats.org/officeDocument/2006/relationships/hyperlink" Target="https://doi.org/10.1038/s41587-022-01213-5" TargetMode="External"/><Relationship Id="rId87" Type="http://schemas.openxmlformats.org/officeDocument/2006/relationships/hyperlink" Target="https://doi.org/10.1001/jama.2020.8259" TargetMode="External"/><Relationship Id="rId110" Type="http://schemas.openxmlformats.org/officeDocument/2006/relationships/theme" Target="theme/theme1.xml"/><Relationship Id="rId61" Type="http://schemas.openxmlformats.org/officeDocument/2006/relationships/hyperlink" Target="https://doi.org/10.1038/s42256-019-0138-9" TargetMode="External"/><Relationship Id="rId82" Type="http://schemas.openxmlformats.org/officeDocument/2006/relationships/hyperlink" Target="https://doi.org/10.1016/j.jiph.2025.102782" TargetMode="External"/><Relationship Id="rId19" Type="http://schemas.openxmlformats.org/officeDocument/2006/relationships/hyperlink" Target="https://doi.org/10.1016/j.ebiom.2026.106207" TargetMode="External"/><Relationship Id="rId14" Type="http://schemas.openxmlformats.org/officeDocument/2006/relationships/hyperlink" Target="https://doi.org/10.1093/cid/ciz010" TargetMode="External"/><Relationship Id="rId30" Type="http://schemas.openxmlformats.org/officeDocument/2006/relationships/hyperlink" Target="https://doi.org/10.1016/S1286-4579(01)01382-X" TargetMode="External"/><Relationship Id="rId35" Type="http://schemas.openxmlformats.org/officeDocument/2006/relationships/hyperlink" Target="https://doi.org/10.1016/S2589-7500(21)00208-9" TargetMode="External"/><Relationship Id="rId56" Type="http://schemas.openxmlformats.org/officeDocument/2006/relationships/hyperlink" Target="https://doi.org/10.1016/j.ijforecast.2021.03.012" TargetMode="External"/><Relationship Id="rId77" Type="http://schemas.openxmlformats.org/officeDocument/2006/relationships/hyperlink" Target="https://doi.org/10.1038/s41746-020-00323-1" TargetMode="External"/><Relationship Id="rId100" Type="http://schemas.openxmlformats.org/officeDocument/2006/relationships/hyperlink" Target="https://www.who.int/news-room/fact-sheets/detail/nipah-virus" TargetMode="External"/><Relationship Id="rId105" Type="http://schemas.openxmlformats.org/officeDocument/2006/relationships/footer" Target="footer1.xml"/><Relationship Id="rId8" Type="http://schemas.openxmlformats.org/officeDocument/2006/relationships/hyperlink" Target="https://doi.org/10.1186/s12879-025-12274-7" TargetMode="External"/><Relationship Id="rId51" Type="http://schemas.openxmlformats.org/officeDocument/2006/relationships/hyperlink" Target="https://doi.org/10.1016/j.prevetmed.2017.01.006" TargetMode="External"/><Relationship Id="rId72" Type="http://schemas.openxmlformats.org/officeDocument/2006/relationships/hyperlink" Target="https://doi.org/10.1056/NEJMoa1805376" TargetMode="External"/><Relationship Id="rId93" Type="http://schemas.openxmlformats.org/officeDocument/2006/relationships/hyperlink" Target="https://doi.org/10.3390/v17071003" TargetMode="External"/><Relationship Id="rId98" Type="http://schemas.openxmlformats.org/officeDocument/2006/relationships/hyperlink" Target="https://doi.org/10.1136/jnnp.71.4.552" TargetMode="External"/><Relationship Id="rId3" Type="http://schemas.openxmlformats.org/officeDocument/2006/relationships/settings" Target="settings.xml"/><Relationship Id="rId25" Type="http://schemas.openxmlformats.org/officeDocument/2006/relationships/hyperlink" Target="https://doi.org/10.1093/infdis/jiad158" TargetMode="External"/><Relationship Id="rId46" Type="http://schemas.openxmlformats.org/officeDocument/2006/relationships/hyperlink" Target="https://doi.org/10.1016/j.eclinm.2024.102797" TargetMode="External"/><Relationship Id="rId67" Type="http://schemas.openxmlformats.org/officeDocument/2006/relationships/hyperlink" Target="https://doi.org/10.1016/j.virusres.2023.199130" TargetMode="External"/><Relationship Id="rId20" Type="http://schemas.openxmlformats.org/officeDocument/2006/relationships/hyperlink" Target="https://doi.org/10.3201/eid1202.051247" TargetMode="External"/><Relationship Id="rId41" Type="http://schemas.openxmlformats.org/officeDocument/2006/relationships/hyperlink" Target="https://doi.org/10.1038/s41598-025-99719-w" TargetMode="External"/><Relationship Id="rId62" Type="http://schemas.openxmlformats.org/officeDocument/2006/relationships/hyperlink" Target="https://doi.org/10.1038/s41551-018-0304-0" TargetMode="External"/><Relationship Id="rId83" Type="http://schemas.openxmlformats.org/officeDocument/2006/relationships/hyperlink" Target="https://doi.org/10.1016/j.ijid.2025.108010" TargetMode="External"/><Relationship Id="rId88" Type="http://schemas.openxmlformats.org/officeDocument/2006/relationships/hyperlink" Target="https://doi.org/10.1080/14737159.2024.23685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51</Pages>
  <Words>22222</Words>
  <Characters>126670</Characters>
  <Application>Microsoft Office Word</Application>
  <DocSecurity>0</DocSecurity>
  <Lines>1055</Lines>
  <Paragraphs>297</Paragraphs>
  <ScaleCrop>false</ScaleCrop>
  <Company>HP</Company>
  <LinksUpToDate>false</LinksUpToDate>
  <CharactersWithSpaces>148595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Editor-90</cp:lastModifiedBy>
  <cp:revision>7</cp:revision>
  <dcterms:created xsi:type="dcterms:W3CDTF">2026-09-25T15:06:00Z</dcterms:created>
  <dcterms:modified xsi:type="dcterms:W3CDTF">2026-10-01T11:28:00Z</dcterms:modified>
</cp:coreProperties>
</file>