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B97F5" w14:textId="77777777" w:rsidR="00754C9A" w:rsidRDefault="00754C9A" w:rsidP="00441B6F">
      <w:pPr>
        <w:pStyle w:val="Title"/>
        <w:spacing w:after="0"/>
        <w:jc w:val="both"/>
        <w:rPr>
          <w:rFonts w:ascii="Arial" w:hAnsi="Arial" w:cs="Arial"/>
        </w:rPr>
      </w:pPr>
    </w:p>
    <w:p w14:paraId="44C17FC6" w14:textId="77777777" w:rsidR="00A258C3" w:rsidRDefault="00A46BCD" w:rsidP="00A46BCD">
      <w:pPr>
        <w:jc w:val="center"/>
        <w:rPr>
          <w:rFonts w:ascii="Times New Roman" w:hAnsi="Times New Roman"/>
          <w:b/>
          <w:bCs/>
          <w:sz w:val="24"/>
          <w:szCs w:val="24"/>
        </w:rPr>
      </w:pPr>
      <w:r>
        <w:rPr>
          <w:rFonts w:ascii="Times New Roman" w:hAnsi="Times New Roman"/>
          <w:b/>
          <w:bCs/>
          <w:sz w:val="24"/>
          <w:szCs w:val="24"/>
        </w:rPr>
        <w:t>ASSESSMENT OF THE PHYTOREMEDIATION POTENTIAL OF WATER HYACINTH (</w:t>
      </w:r>
      <w:r>
        <w:rPr>
          <w:rFonts w:ascii="Times New Roman" w:hAnsi="Times New Roman"/>
          <w:b/>
          <w:i/>
          <w:iCs/>
          <w:sz w:val="24"/>
          <w:szCs w:val="24"/>
        </w:rPr>
        <w:t>Eichhornia crassipes</w:t>
      </w:r>
      <w:r>
        <w:rPr>
          <w:rFonts w:ascii="Times New Roman" w:hAnsi="Times New Roman"/>
          <w:b/>
          <w:bCs/>
          <w:sz w:val="24"/>
          <w:szCs w:val="24"/>
        </w:rPr>
        <w:t xml:space="preserve">) FOR THE REMOVAL OF HEAVY METALS FROM SPENT OIL-SIMULATED POLLUTED WATER </w:t>
      </w:r>
    </w:p>
    <w:p w14:paraId="4E4FACD0" w14:textId="77777777" w:rsidR="00A46BCD" w:rsidRPr="00A46BCD" w:rsidRDefault="00A46BCD" w:rsidP="00A46BCD">
      <w:pPr>
        <w:jc w:val="center"/>
        <w:rPr>
          <w:rFonts w:ascii="Times New Roman" w:hAnsi="Times New Roman"/>
          <w:b/>
          <w:bCs/>
          <w:sz w:val="24"/>
          <w:szCs w:val="24"/>
        </w:rPr>
      </w:pPr>
    </w:p>
    <w:p w14:paraId="61A59841" w14:textId="77777777" w:rsidR="00DF46E6" w:rsidRDefault="00DF46E6" w:rsidP="00441B6F">
      <w:pPr>
        <w:pStyle w:val="Copyright"/>
        <w:spacing w:after="0" w:line="240" w:lineRule="auto"/>
        <w:jc w:val="both"/>
        <w:rPr>
          <w:rFonts w:ascii="Arial" w:hAnsi="Arial" w:cs="Arial"/>
        </w:rPr>
      </w:pPr>
    </w:p>
    <w:p w14:paraId="28CED6A6" w14:textId="77777777" w:rsidR="00B01FCD" w:rsidRPr="00FB3A86" w:rsidRDefault="000050BF" w:rsidP="00441B6F">
      <w:pPr>
        <w:pStyle w:val="Copyright"/>
        <w:spacing w:after="0" w:line="240" w:lineRule="auto"/>
        <w:jc w:val="both"/>
        <w:rPr>
          <w:rFonts w:ascii="Arial" w:hAnsi="Arial" w:cs="Arial"/>
        </w:rPr>
        <w:sectPr w:rsidR="00B01FCD" w:rsidRPr="00FB3A86" w:rsidSect="00C52CA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21A4DA1" wp14:editId="762108AE">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74D17A7"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220D5A66" w14:textId="77777777" w:rsidR="00EF2EB4" w:rsidRPr="00FB3A86" w:rsidRDefault="00EF2EB4" w:rsidP="00EF2EB4">
      <w:pPr>
        <w:pStyle w:val="AbstHead"/>
        <w:spacing w:after="0"/>
        <w:jc w:val="both"/>
        <w:rPr>
          <w:rFonts w:ascii="Arial" w:hAnsi="Arial" w:cs="Arial"/>
        </w:rPr>
      </w:pPr>
      <w:r w:rsidRPr="00FB3A86">
        <w:rPr>
          <w:rFonts w:ascii="Arial" w:hAnsi="Arial" w:cs="Arial"/>
        </w:rPr>
        <w:t>ABSTRACT</w:t>
      </w:r>
      <w:r>
        <w:rPr>
          <w:rFonts w:ascii="Arial" w:hAnsi="Arial" w:cs="Arial"/>
        </w:rPr>
        <w:t xml:space="preserve"> </w:t>
      </w:r>
    </w:p>
    <w:p w14:paraId="7551C874" w14:textId="2D21F2FE" w:rsidR="00EF2EB4" w:rsidRDefault="001E716D" w:rsidP="00EF2EB4">
      <w:pPr>
        <w:jc w:val="both"/>
        <w:rPr>
          <w:rFonts w:ascii="Times New Roman" w:hAnsi="Times New Roman"/>
          <w:sz w:val="24"/>
          <w:szCs w:val="24"/>
        </w:rPr>
      </w:pPr>
      <w:r w:rsidRPr="001E716D">
        <w:rPr>
          <w:rFonts w:ascii="Times New Roman" w:hAnsi="Times New Roman"/>
          <w:sz w:val="24"/>
          <w:szCs w:val="24"/>
        </w:rPr>
        <w:t>Heavy-metal contamination of aquatic environments poses persistent ecological and public-health concerns because metals can remain in water and accumulate in biological systems. Conventional treatment methods may be costly and generate secondary waste, creating interest in plant-based remediation approaches. Water hyacinth (Eichhornia crassipes) has potential for phytoremediation because of its capacity to absorb and accumulate dissolved heavy metals from contaminated water.</w:t>
      </w:r>
      <w:r>
        <w:rPr>
          <w:rFonts w:ascii="Times New Roman" w:hAnsi="Times New Roman"/>
          <w:sz w:val="24"/>
          <w:szCs w:val="24"/>
        </w:rPr>
        <w:t xml:space="preserve"> </w:t>
      </w:r>
      <w:r w:rsidR="00EF2EB4">
        <w:rPr>
          <w:rFonts w:ascii="Times New Roman" w:hAnsi="Times New Roman"/>
          <w:sz w:val="24"/>
          <w:szCs w:val="24"/>
        </w:rPr>
        <w:t>This study assessed the potential of water hyacinth (</w:t>
      </w:r>
      <w:r w:rsidR="00EF2EB4">
        <w:rPr>
          <w:rFonts w:ascii="Times New Roman" w:hAnsi="Times New Roman"/>
          <w:i/>
          <w:iCs/>
          <w:sz w:val="24"/>
          <w:szCs w:val="24"/>
        </w:rPr>
        <w:t>Eichhornia crassipes</w:t>
      </w:r>
      <w:r w:rsidR="00EF2EB4">
        <w:rPr>
          <w:rFonts w:ascii="Times New Roman" w:hAnsi="Times New Roman"/>
          <w:sz w:val="24"/>
          <w:szCs w:val="24"/>
        </w:rPr>
        <w:t xml:space="preserve">) in the phytoremediation of </w:t>
      </w:r>
      <w:r w:rsidR="00EF2EB4">
        <w:rPr>
          <w:rFonts w:ascii="Times New Roman" w:hAnsi="Times New Roman"/>
          <w:sz w:val="24"/>
          <w:szCs w:val="24"/>
          <w:highlight w:val="yellow"/>
        </w:rPr>
        <w:t>heavy metals (</w:t>
      </w:r>
      <w:r w:rsidR="00EF2EB4">
        <w:rPr>
          <w:rFonts w:ascii="Times New Roman" w:hAnsi="Times New Roman"/>
          <w:sz w:val="24"/>
          <w:szCs w:val="24"/>
        </w:rPr>
        <w:t>HM</w:t>
      </w:r>
      <w:r w:rsidR="00EF2EB4">
        <w:rPr>
          <w:rFonts w:ascii="Times New Roman" w:hAnsi="Times New Roman"/>
          <w:sz w:val="24"/>
          <w:szCs w:val="24"/>
          <w:highlight w:val="yellow"/>
        </w:rPr>
        <w:t>s)</w:t>
      </w:r>
      <w:r w:rsidR="00EF2EB4">
        <w:rPr>
          <w:rFonts w:ascii="Times New Roman" w:hAnsi="Times New Roman"/>
          <w:sz w:val="24"/>
          <w:szCs w:val="24"/>
        </w:rPr>
        <w:t xml:space="preserve"> from simulated spent-oil-contaminated water under controlled experimental conditions. The study determined the concentrations of nickel (Ni), iron (Fe), lead (Pb), cadmium (Cd), and chromium (Cr) in slightly, moderately, and highly polluted water after </w:t>
      </w:r>
      <w:r w:rsidR="00EF2EB4">
        <w:rPr>
          <w:rFonts w:ascii="Times New Roman" w:hAnsi="Times New Roman"/>
          <w:sz w:val="24"/>
          <w:szCs w:val="24"/>
          <w:highlight w:val="yellow"/>
        </w:rPr>
        <w:t>t</w:t>
      </w:r>
      <w:r w:rsidR="00EF2EB4">
        <w:rPr>
          <w:rFonts w:ascii="Times New Roman" w:hAnsi="Times New Roman"/>
          <w:sz w:val="24"/>
          <w:szCs w:val="24"/>
        </w:rPr>
        <w:t>re</w:t>
      </w:r>
      <w:r w:rsidR="00EF2EB4">
        <w:rPr>
          <w:rFonts w:ascii="Times New Roman" w:hAnsi="Times New Roman"/>
          <w:sz w:val="24"/>
          <w:szCs w:val="24"/>
          <w:highlight w:val="yellow"/>
        </w:rPr>
        <w:t>atment</w:t>
      </w:r>
      <w:r w:rsidR="00EF2EB4">
        <w:rPr>
          <w:rFonts w:ascii="Times New Roman" w:hAnsi="Times New Roman"/>
          <w:sz w:val="24"/>
          <w:szCs w:val="24"/>
        </w:rPr>
        <w:t xml:space="preserve"> </w:t>
      </w:r>
      <w:r w:rsidR="00EF2EB4">
        <w:rPr>
          <w:rFonts w:ascii="Times New Roman" w:hAnsi="Times New Roman"/>
          <w:sz w:val="24"/>
          <w:szCs w:val="24"/>
          <w:highlight w:val="yellow"/>
        </w:rPr>
        <w:t>wi</w:t>
      </w:r>
      <w:r w:rsidR="00EF2EB4">
        <w:rPr>
          <w:rFonts w:ascii="Times New Roman" w:hAnsi="Times New Roman"/>
          <w:sz w:val="24"/>
          <w:szCs w:val="24"/>
        </w:rPr>
        <w:t>t</w:t>
      </w:r>
      <w:r w:rsidR="00EF2EB4">
        <w:rPr>
          <w:rFonts w:ascii="Times New Roman" w:hAnsi="Times New Roman"/>
          <w:sz w:val="24"/>
          <w:szCs w:val="24"/>
          <w:highlight w:val="yellow"/>
        </w:rPr>
        <w:t>h</w:t>
      </w:r>
      <w:r w:rsidR="00EF2EB4">
        <w:rPr>
          <w:rFonts w:ascii="Times New Roman" w:hAnsi="Times New Roman"/>
          <w:sz w:val="24"/>
          <w:szCs w:val="24"/>
        </w:rPr>
        <w:t xml:space="preserve"> </w:t>
      </w:r>
      <w:r w:rsidR="00EF2EB4">
        <w:rPr>
          <w:rFonts w:ascii="Times New Roman" w:hAnsi="Times New Roman"/>
          <w:i/>
          <w:iCs/>
          <w:sz w:val="24"/>
          <w:szCs w:val="24"/>
        </w:rPr>
        <w:t>E. crassipes</w:t>
      </w:r>
      <w:r w:rsidR="00EF2EB4">
        <w:rPr>
          <w:rFonts w:ascii="Times New Roman" w:hAnsi="Times New Roman"/>
          <w:sz w:val="24"/>
          <w:szCs w:val="24"/>
        </w:rPr>
        <w:t xml:space="preserve">. Healthy </w:t>
      </w:r>
      <w:r w:rsidR="00EF2EB4">
        <w:rPr>
          <w:rFonts w:ascii="Times New Roman" w:hAnsi="Times New Roman"/>
          <w:i/>
          <w:iCs/>
          <w:sz w:val="24"/>
          <w:szCs w:val="24"/>
        </w:rPr>
        <w:t>E. crassipes</w:t>
      </w:r>
      <w:r w:rsidR="00EF2EB4">
        <w:rPr>
          <w:rFonts w:ascii="Times New Roman" w:hAnsi="Times New Roman"/>
          <w:sz w:val="24"/>
          <w:szCs w:val="24"/>
        </w:rPr>
        <w:t xml:space="preserve"> plants were obtained from </w:t>
      </w:r>
      <w:proofErr w:type="spellStart"/>
      <w:r w:rsidR="00EF2EB4">
        <w:rPr>
          <w:rFonts w:ascii="Times New Roman" w:hAnsi="Times New Roman"/>
          <w:sz w:val="24"/>
          <w:szCs w:val="24"/>
        </w:rPr>
        <w:t>Anagthigha</w:t>
      </w:r>
      <w:proofErr w:type="spellEnd"/>
      <w:r w:rsidR="00EF2EB4">
        <w:rPr>
          <w:rFonts w:ascii="Times New Roman" w:hAnsi="Times New Roman"/>
          <w:sz w:val="24"/>
          <w:szCs w:val="24"/>
        </w:rPr>
        <w:t xml:space="preserve"> in Calabar South LGA, Cross River State, and </w:t>
      </w:r>
      <w:proofErr w:type="spellStart"/>
      <w:r w:rsidR="00EF2EB4">
        <w:rPr>
          <w:rFonts w:ascii="Times New Roman" w:hAnsi="Times New Roman"/>
          <w:sz w:val="24"/>
          <w:szCs w:val="24"/>
        </w:rPr>
        <w:t>acclimati</w:t>
      </w:r>
      <w:r w:rsidR="00EF2EB4">
        <w:rPr>
          <w:rFonts w:ascii="Times New Roman" w:hAnsi="Times New Roman"/>
          <w:sz w:val="24"/>
          <w:szCs w:val="24"/>
          <w:highlight w:val="yellow"/>
        </w:rPr>
        <w:t>s</w:t>
      </w:r>
      <w:r w:rsidR="00EF2EB4">
        <w:rPr>
          <w:rFonts w:ascii="Times New Roman" w:hAnsi="Times New Roman"/>
          <w:sz w:val="24"/>
          <w:szCs w:val="24"/>
        </w:rPr>
        <w:t>ed</w:t>
      </w:r>
      <w:proofErr w:type="spellEnd"/>
      <w:r w:rsidR="00EF2EB4">
        <w:rPr>
          <w:rFonts w:ascii="Times New Roman" w:hAnsi="Times New Roman"/>
          <w:sz w:val="24"/>
          <w:szCs w:val="24"/>
        </w:rPr>
        <w:t xml:space="preserve"> before </w:t>
      </w:r>
      <w:r w:rsidR="00EF2EB4">
        <w:rPr>
          <w:rFonts w:ascii="Times New Roman" w:hAnsi="Times New Roman"/>
          <w:sz w:val="24"/>
          <w:szCs w:val="24"/>
          <w:highlight w:val="yellow"/>
        </w:rPr>
        <w:t xml:space="preserve">being </w:t>
      </w:r>
      <w:r w:rsidR="00EF2EB4">
        <w:rPr>
          <w:rFonts w:ascii="Times New Roman" w:hAnsi="Times New Roman"/>
          <w:sz w:val="24"/>
          <w:szCs w:val="24"/>
        </w:rPr>
        <w:t>introduc</w:t>
      </w:r>
      <w:r w:rsidR="00EF2EB4">
        <w:rPr>
          <w:rFonts w:ascii="Times New Roman" w:hAnsi="Times New Roman"/>
          <w:sz w:val="24"/>
          <w:szCs w:val="24"/>
          <w:highlight w:val="yellow"/>
        </w:rPr>
        <w:t>ed</w:t>
      </w:r>
      <w:r w:rsidR="00EF2EB4">
        <w:rPr>
          <w:rFonts w:ascii="Times New Roman" w:hAnsi="Times New Roman"/>
          <w:sz w:val="24"/>
          <w:szCs w:val="24"/>
        </w:rPr>
        <w:t xml:space="preserve"> into simulated contaminated water. Water samples were collected on days 0, 7, and 14, while the plant samples were collected at the end of the experiment. Heavy metal concentrations were determined using an atomic absorption spectrophotometer (AAS) following appropriate sample preparation and acid digestion procedures. </w:t>
      </w:r>
      <w:r w:rsidR="00EF2EB4">
        <w:rPr>
          <w:rFonts w:ascii="Times New Roman" w:hAnsi="Times New Roman"/>
          <w:sz w:val="24"/>
          <w:szCs w:val="24"/>
          <w:highlight w:val="yellow"/>
        </w:rPr>
        <w:t>The d</w:t>
      </w:r>
      <w:r w:rsidR="00EF2EB4">
        <w:rPr>
          <w:rFonts w:ascii="Times New Roman" w:hAnsi="Times New Roman"/>
          <w:sz w:val="24"/>
          <w:szCs w:val="24"/>
        </w:rPr>
        <w:t>ata obtained were subjected to statistical analysis, specifically one-way analysis of variance</w:t>
      </w:r>
      <w:r w:rsidR="00EF2EB4">
        <w:rPr>
          <w:rFonts w:ascii="Times New Roman" w:hAnsi="Times New Roman"/>
          <w:sz w:val="24"/>
          <w:szCs w:val="24"/>
          <w:highlight w:val="yellow"/>
        </w:rPr>
        <w:t xml:space="preserve"> and</w:t>
      </w:r>
      <w:r w:rsidR="00EF2EB4">
        <w:rPr>
          <w:rFonts w:ascii="Times New Roman" w:hAnsi="Times New Roman"/>
          <w:sz w:val="24"/>
          <w:szCs w:val="24"/>
        </w:rPr>
        <w:t xml:space="preserve"> Tukey</w:t>
      </w:r>
      <w:r w:rsidR="00EF2EB4">
        <w:rPr>
          <w:rFonts w:ascii="Times New Roman" w:hAnsi="Times New Roman"/>
          <w:sz w:val="24"/>
          <w:szCs w:val="24"/>
          <w:highlight w:val="yellow"/>
        </w:rPr>
        <w:t>’</w:t>
      </w:r>
      <w:r w:rsidR="00EF2EB4">
        <w:rPr>
          <w:rFonts w:ascii="Times New Roman" w:hAnsi="Times New Roman"/>
          <w:sz w:val="24"/>
          <w:szCs w:val="24"/>
        </w:rPr>
        <w:t>s post</w:t>
      </w:r>
      <w:r w:rsidR="00EF2EB4">
        <w:rPr>
          <w:rFonts w:ascii="Times New Roman" w:hAnsi="Times New Roman"/>
          <w:sz w:val="24"/>
          <w:szCs w:val="24"/>
          <w:highlight w:val="yellow"/>
        </w:rPr>
        <w:t xml:space="preserve"> </w:t>
      </w:r>
      <w:r w:rsidR="00EF2EB4">
        <w:rPr>
          <w:rFonts w:ascii="Times New Roman" w:hAnsi="Times New Roman"/>
          <w:sz w:val="24"/>
          <w:szCs w:val="24"/>
        </w:rPr>
        <w:t xml:space="preserve">hoc test, with significance accepted at p &lt; 0.05. The results showed a decline in the concentrations of Ni, Fe, Pb, Cd, and Cr across the simulated polluted water test groups, demonstrating the </w:t>
      </w:r>
      <w:proofErr w:type="spellStart"/>
      <w:r w:rsidR="00EF2EB4">
        <w:rPr>
          <w:rFonts w:ascii="Times New Roman" w:hAnsi="Times New Roman"/>
          <w:sz w:val="24"/>
          <w:szCs w:val="24"/>
        </w:rPr>
        <w:t>phytoremediating</w:t>
      </w:r>
      <w:proofErr w:type="spellEnd"/>
      <w:r w:rsidR="00EF2EB4">
        <w:rPr>
          <w:rFonts w:ascii="Times New Roman" w:hAnsi="Times New Roman"/>
          <w:sz w:val="24"/>
          <w:szCs w:val="24"/>
        </w:rPr>
        <w:t xml:space="preserve"> ability of </w:t>
      </w:r>
      <w:r w:rsidR="00EF2EB4">
        <w:rPr>
          <w:rFonts w:ascii="Times New Roman" w:hAnsi="Times New Roman"/>
          <w:i/>
          <w:iCs/>
          <w:sz w:val="24"/>
          <w:szCs w:val="24"/>
        </w:rPr>
        <w:t>E. crassipes</w:t>
      </w:r>
      <w:r w:rsidR="00EF2EB4">
        <w:rPr>
          <w:rFonts w:ascii="Times New Roman" w:hAnsi="Times New Roman"/>
          <w:sz w:val="24"/>
          <w:szCs w:val="24"/>
        </w:rPr>
        <w:t xml:space="preserve"> to bioaccumulate heavy metals. After 14 days, Ni removal efficiencies were 9.34%, 13.11%, and 31.07% in slightly, moderately, and highly polluted water, respectively, while Fe removal efficiencies were 11.90%, 16.78%</w:t>
      </w:r>
      <w:r w:rsidR="00EF2EB4">
        <w:rPr>
          <w:rFonts w:ascii="Times New Roman" w:hAnsi="Times New Roman"/>
          <w:sz w:val="24"/>
          <w:szCs w:val="24"/>
          <w:highlight w:val="yellow"/>
        </w:rPr>
        <w:t>,</w:t>
      </w:r>
      <w:r w:rsidR="00EF2EB4">
        <w:rPr>
          <w:rFonts w:ascii="Times New Roman" w:hAnsi="Times New Roman"/>
          <w:sz w:val="24"/>
          <w:szCs w:val="24"/>
        </w:rPr>
        <w:t xml:space="preserve"> and 29.48%. Pb removal efficiencies were 8.70%, 28.89%</w:t>
      </w:r>
      <w:r w:rsidR="00EF2EB4">
        <w:rPr>
          <w:rFonts w:ascii="Times New Roman" w:hAnsi="Times New Roman"/>
          <w:sz w:val="24"/>
          <w:szCs w:val="24"/>
          <w:highlight w:val="yellow"/>
        </w:rPr>
        <w:t>,</w:t>
      </w:r>
      <w:r w:rsidR="00EF2EB4">
        <w:rPr>
          <w:rFonts w:ascii="Times New Roman" w:hAnsi="Times New Roman"/>
          <w:sz w:val="24"/>
          <w:szCs w:val="24"/>
        </w:rPr>
        <w:t xml:space="preserve"> and 28.26%, whereas Cd recorded 7.35%, 12.31%</w:t>
      </w:r>
      <w:r w:rsidR="00EF2EB4">
        <w:rPr>
          <w:rFonts w:ascii="Times New Roman" w:hAnsi="Times New Roman"/>
          <w:sz w:val="24"/>
          <w:szCs w:val="24"/>
          <w:highlight w:val="yellow"/>
        </w:rPr>
        <w:t>,</w:t>
      </w:r>
      <w:r w:rsidR="00EF2EB4">
        <w:rPr>
          <w:rFonts w:ascii="Times New Roman" w:hAnsi="Times New Roman"/>
          <w:sz w:val="24"/>
          <w:szCs w:val="24"/>
        </w:rPr>
        <w:t xml:space="preserve"> and 33.06%. Chromium removal efficiencies were 9.35%, 14.15%</w:t>
      </w:r>
      <w:r w:rsidR="00EF2EB4">
        <w:rPr>
          <w:rFonts w:ascii="Times New Roman" w:hAnsi="Times New Roman"/>
          <w:sz w:val="24"/>
          <w:szCs w:val="24"/>
          <w:highlight w:val="yellow"/>
        </w:rPr>
        <w:t>,</w:t>
      </w:r>
      <w:r w:rsidR="00EF2EB4">
        <w:rPr>
          <w:rFonts w:ascii="Times New Roman" w:hAnsi="Times New Roman"/>
          <w:sz w:val="24"/>
          <w:szCs w:val="24"/>
        </w:rPr>
        <w:t xml:space="preserve"> and 31.48%, respectively. Metal accumulation was also detected in the leaf, stalk, and root tissues of </w:t>
      </w:r>
      <w:r w:rsidR="00EF2EB4">
        <w:rPr>
          <w:rFonts w:ascii="Times New Roman" w:hAnsi="Times New Roman"/>
          <w:i/>
          <w:iCs/>
          <w:sz w:val="24"/>
          <w:szCs w:val="24"/>
        </w:rPr>
        <w:t>E. crassipes</w:t>
      </w:r>
      <w:r w:rsidR="00EF2EB4">
        <w:rPr>
          <w:rFonts w:ascii="Times New Roman" w:hAnsi="Times New Roman"/>
          <w:sz w:val="24"/>
          <w:szCs w:val="24"/>
        </w:rPr>
        <w:t xml:space="preserve">. The findings demonstrate that </w:t>
      </w:r>
      <w:r w:rsidR="00EF2EB4">
        <w:rPr>
          <w:rFonts w:ascii="Times New Roman" w:hAnsi="Times New Roman"/>
          <w:i/>
          <w:iCs/>
          <w:sz w:val="24"/>
          <w:szCs w:val="24"/>
        </w:rPr>
        <w:t>Eichhornia crassipes</w:t>
      </w:r>
      <w:r w:rsidR="00EF2EB4">
        <w:rPr>
          <w:rFonts w:ascii="Times New Roman" w:hAnsi="Times New Roman"/>
          <w:sz w:val="24"/>
          <w:szCs w:val="24"/>
        </w:rPr>
        <w:t xml:space="preserve"> has </w:t>
      </w:r>
      <w:r w:rsidR="00EF2EB4">
        <w:rPr>
          <w:rFonts w:ascii="Times New Roman" w:hAnsi="Times New Roman"/>
          <w:sz w:val="24"/>
          <w:szCs w:val="24"/>
          <w:highlight w:val="yellow"/>
        </w:rPr>
        <w:t xml:space="preserve">the </w:t>
      </w:r>
      <w:r w:rsidR="00EF2EB4">
        <w:rPr>
          <w:rFonts w:ascii="Times New Roman" w:hAnsi="Times New Roman"/>
          <w:sz w:val="24"/>
          <w:szCs w:val="24"/>
        </w:rPr>
        <w:t>potential as a low-cost, environmentally friendly phytoremediation agent for reducing Ni, Fe, Pb, Cd, and Cr in polluted water.</w:t>
      </w:r>
    </w:p>
    <w:p w14:paraId="5D83FC54" w14:textId="77777777" w:rsidR="00EF2EB4" w:rsidRDefault="00EF2EB4" w:rsidP="00EF2EB4">
      <w:pPr>
        <w:jc w:val="both"/>
        <w:rPr>
          <w:rFonts w:ascii="Times New Roman" w:hAnsi="Times New Roman"/>
          <w:sz w:val="24"/>
          <w:szCs w:val="24"/>
        </w:rPr>
      </w:pPr>
    </w:p>
    <w:p w14:paraId="2B741BD3" w14:textId="77777777" w:rsidR="00505F06" w:rsidRPr="00A24E7E" w:rsidRDefault="00EF2EB4" w:rsidP="00EF2EB4">
      <w:pPr>
        <w:pStyle w:val="Body"/>
        <w:spacing w:after="0"/>
        <w:rPr>
          <w:rFonts w:ascii="Arial" w:hAnsi="Arial" w:cs="Arial"/>
          <w:i/>
        </w:rPr>
      </w:pPr>
      <w:r>
        <w:rPr>
          <w:rFonts w:ascii="Times New Roman" w:hAnsi="Times New Roman"/>
          <w:bCs/>
          <w:sz w:val="24"/>
          <w:szCs w:val="24"/>
        </w:rPr>
        <w:t>Keywords</w:t>
      </w:r>
      <w:r>
        <w:rPr>
          <w:b/>
          <w:bCs/>
        </w:rPr>
        <w:t>:</w:t>
      </w:r>
      <w:r>
        <w:rPr>
          <w:rFonts w:ascii="Times New Roman" w:hAnsi="Times New Roman"/>
          <w:b/>
          <w:bCs/>
          <w:sz w:val="24"/>
          <w:szCs w:val="24"/>
        </w:rPr>
        <w:t xml:space="preserve"> </w:t>
      </w:r>
      <w:r>
        <w:rPr>
          <w:rStyle w:val="Strong"/>
          <w:b w:val="0"/>
        </w:rPr>
        <w:t xml:space="preserve">Water hyacinth; </w:t>
      </w:r>
      <w:r>
        <w:rPr>
          <w:rStyle w:val="Emphasis"/>
          <w:bCs/>
        </w:rPr>
        <w:t>Eichhornia crassipes</w:t>
      </w:r>
      <w:r>
        <w:rPr>
          <w:rStyle w:val="Strong"/>
          <w:b w:val="0"/>
        </w:rPr>
        <w:t>; phytoremediation; heavy metals; spent-oil contamination; bioaccumulation; polluted water</w:t>
      </w:r>
    </w:p>
    <w:p w14:paraId="205C4A6A"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0F9F9968" w14:textId="77777777" w:rsidR="00790ADA" w:rsidRPr="00FB3A86" w:rsidRDefault="00790ADA" w:rsidP="00441B6F">
      <w:pPr>
        <w:pStyle w:val="AbstHead"/>
        <w:spacing w:after="0"/>
        <w:jc w:val="both"/>
        <w:rPr>
          <w:rFonts w:ascii="Arial" w:hAnsi="Arial" w:cs="Arial"/>
        </w:rPr>
      </w:pPr>
    </w:p>
    <w:p w14:paraId="654F48F8" w14:textId="182D1341" w:rsidR="003D3C86" w:rsidRPr="001E716D" w:rsidRDefault="00D24C44" w:rsidP="001E716D">
      <w:pPr>
        <w:pStyle w:val="NormalWeb"/>
        <w:spacing w:before="0" w:beforeAutospacing="0" w:after="0" w:afterAutospacing="0" w:line="480" w:lineRule="auto"/>
        <w:jc w:val="both"/>
      </w:pPr>
      <w:r>
        <w:t xml:space="preserve">Water pollution due to industrial, agricultural, and domestic discharges remains a major global concern, particularly in developing regions where treatment infrastructure is often inadequate (Monroy-Licht </w:t>
      </w:r>
      <w:r>
        <w:rPr>
          <w:i/>
          <w:iCs/>
        </w:rPr>
        <w:t>et al.,</w:t>
      </w:r>
      <w:r>
        <w:t xml:space="preserve"> 2024). Among the most persistent and hazardous contaminants in aquatic systems are heavy metals (such as cadmium, lead, and mercury), along with excessive nutrients like nitrogen and phosphorus, which contribute to eutrophication (Briffa </w:t>
      </w:r>
      <w:r>
        <w:rPr>
          <w:i/>
          <w:iCs/>
        </w:rPr>
        <w:t>et al.,</w:t>
      </w:r>
      <w:r>
        <w:t xml:space="preserve"> 2020; Bonsdorff, 2021). The dual challenge of mitigating heavy metal toxicity and nutrient pollution has </w:t>
      </w:r>
      <w:r>
        <w:lastRenderedPageBreak/>
        <w:t xml:space="preserve">prompted a growing interest in nature-based solutions, particularly the use of phytoremediation. </w:t>
      </w:r>
      <w:r>
        <w:rPr>
          <w:rStyle w:val="Emphasis"/>
        </w:rPr>
        <w:t>Eichhornia crassipes</w:t>
      </w:r>
      <w:r>
        <w:t xml:space="preserve">, commonly known as water hyacinth, has emerged as a promising plant for bioremediation due to its exceptional ability to absorb pollutants and adapt to a variety of environmental conditions. Oil spills are major pollutants that degrade water quality, harm aquatic life, and disrupt ecosystem services (Beyer </w:t>
      </w:r>
      <w:r>
        <w:rPr>
          <w:i/>
          <w:iCs/>
        </w:rPr>
        <w:t>et al.,</w:t>
      </w:r>
      <w:r>
        <w:t xml:space="preserve"> 2016). The persistence of petroleum hydrocarbons in freshwater ecosystems leads to long-term environmental damage (Beyer </w:t>
      </w:r>
      <w:r>
        <w:rPr>
          <w:i/>
          <w:iCs/>
        </w:rPr>
        <w:t>et al.,</w:t>
      </w:r>
      <w:r>
        <w:t xml:space="preserve"> 2016). Eutrophic lakes and rivers, which suffer from nutrient overload, are particularly vulnerable to the toxic effects of oil (Beyer </w:t>
      </w:r>
      <w:r>
        <w:rPr>
          <w:i/>
          <w:iCs/>
        </w:rPr>
        <w:t>et al.,</w:t>
      </w:r>
      <w:r>
        <w:t xml:space="preserve"> 2016; Bonsdorff, 2021). The nutrient enrichment of aquatic ecosystems (eutrophication) accelerates the degradation of water quality, promoting hypoxia and algal blooms, which complicate the remediation of additional pollutants like oil that accumulate (Bonsdorff,</w:t>
      </w:r>
      <w:r>
        <w:rPr>
          <w:i/>
          <w:iCs/>
        </w:rPr>
      </w:r>
      <w:r>
        <w:t xml:space="preserve"> 2021). Water hyacinth (</w:t>
      </w:r>
      <w:r>
        <w:rPr>
          <w:i/>
          <w:iCs/>
        </w:rPr>
        <w:t>Eichhornia crassipes</w:t>
      </w:r>
      <w:r>
        <w:t xml:space="preserve">), a fast-growing aquatic plant, has demonstrated the ability to absorb heavy metals and hydrocarbons (Monroy-Licht </w:t>
      </w:r>
      <w:r>
        <w:rPr>
          <w:i/>
          <w:iCs/>
        </w:rPr>
        <w:t>et al.,</w:t>
      </w:r>
      <w:r>
        <w:t xml:space="preserve"> 2024). Its large biomass and rapid root development make it an excellent candidate for phytoremediation (Monroy-Licht </w:t>
      </w:r>
      <w:r>
        <w:rPr>
          <w:i/>
          <w:iCs/>
        </w:rPr>
        <w:t>et al.,</w:t>
      </w:r>
      <w:r>
        <w:t xml:space="preserve"> 2024). Water pollution is a global environmental issue with serious implications for human health, aquatic ecosystems, and sustainable development. </w:t>
      </w:r>
      <w:r w:rsidR="001E716D">
        <w:t xml:space="preserve"> </w:t>
      </w:r>
      <w:r w:rsidR="00000000" w:rsidRPr="001E716D">
        <w:rPr>
          <w:bCs/>
          <w:highlight w:val="yellow"/>
        </w:rPr>
        <w:t xml:space="preserve">Recent reviews further describe </w:t>
      </w:r>
      <w:r w:rsidR="00000000" w:rsidRPr="001E716D">
        <w:rPr>
          <w:bCs/>
          <w:i/>
          <w:iCs/>
          <w:highlight w:val="yellow"/>
        </w:rPr>
        <w:t>E. crassipes</w:t>
      </w:r>
      <w:r w:rsidR="00000000" w:rsidRPr="001E716D">
        <w:rPr>
          <w:bCs/>
          <w:highlight w:val="yellow"/>
        </w:rPr>
        <w:t xml:space="preserve"> as a macrophyte with broad potential for wastewater phytoremediation, including the removal of heavy metals and other aquatic pollutants (Monroy-Licht </w:t>
      </w:r>
      <w:r w:rsidR="00000000" w:rsidRPr="001E716D">
        <w:rPr>
          <w:bCs/>
          <w:i/>
          <w:highlight w:val="yellow"/>
        </w:rPr>
        <w:t>et al.</w:t>
      </w:r>
      <w:r w:rsidR="00000000" w:rsidRPr="001E716D">
        <w:rPr>
          <w:bCs/>
          <w:highlight w:val="yellow"/>
        </w:rPr>
        <w:t xml:space="preserve">, 2024). Recent experimental evidence also shows that </w:t>
      </w:r>
      <w:r w:rsidR="00000000" w:rsidRPr="001E716D">
        <w:rPr>
          <w:bCs/>
          <w:i/>
          <w:iCs/>
          <w:highlight w:val="yellow"/>
        </w:rPr>
        <w:t>E. crassipes</w:t>
      </w:r>
      <w:r w:rsidR="00000000" w:rsidRPr="001E716D">
        <w:rPr>
          <w:bCs/>
          <w:highlight w:val="yellow"/>
        </w:rPr>
        <w:t xml:space="preserve"> can accumulate Pb and Cd from prepared aqueous metal solutions, supporting its use in controlled heavy-metal phytoremediation studies (Maurya </w:t>
      </w:r>
      <w:r w:rsidR="00000000" w:rsidRPr="001E716D">
        <w:rPr>
          <w:bCs/>
          <w:i/>
          <w:highlight w:val="yellow"/>
        </w:rPr>
        <w:t>et al.</w:t>
      </w:r>
      <w:r w:rsidR="00000000" w:rsidRPr="001E716D">
        <w:rPr>
          <w:bCs/>
          <w:highlight w:val="yellow"/>
        </w:rPr>
        <w:t>, 2025).</w:t>
      </w:r>
    </w:p>
    <w:p w14:paraId="3485BDE0" w14:textId="376DD042" w:rsidR="003D3C86" w:rsidRPr="001E716D" w:rsidRDefault="004D0C72" w:rsidP="001E716D">
      <w:pPr>
        <w:pStyle w:val="NormalWeb"/>
        <w:spacing w:before="0" w:beforeAutospacing="0" w:after="0" w:afterAutospacing="0" w:line="480" w:lineRule="auto"/>
        <w:jc w:val="both"/>
        <w:rPr>
          <w:rFonts w:ascii="Arial" w:hAnsi="Arial" w:cs="Arial"/>
        </w:rPr>
      </w:pPr>
      <w:r>
        <w:t>Recent evidence from agricultural environments in Cross River State indicates that heavy metals such as Cd and Pb may persist in dissolved forms, thereby increasing their potential availability for biological uptake and highlighting the importance of phytoremediation approaches for reducing metal contamination in aquatic and agricultural systems (</w:t>
      </w:r>
      <w:proofErr w:type="spellStart"/>
      <w:r>
        <w:t>Anigbo</w:t>
      </w:r>
      <w:proofErr w:type="spellEnd"/>
      <w:r>
        <w:t xml:space="preserve"> </w:t>
      </w:r>
      <w:r>
        <w:rPr>
          <w:i/>
        </w:rPr>
        <w:t>et al</w:t>
      </w:r>
      <w:r>
        <w:t xml:space="preserve">., 2026). Common heavy metals such as cadmium (Cd), lead (Pb), arsenic (As), mercury (Hg), and chromium (Cr) enter water bodies through industrial effluents, mining activities, electroplating, battery manufacturing, and the use of agrochemicals (Briffa </w:t>
      </w:r>
      <w:r>
        <w:rPr>
          <w:i/>
          <w:iCs/>
        </w:rPr>
        <w:t>et al.,</w:t>
      </w:r>
      <w:r>
        <w:t xml:space="preserve"> 2020). These metals are known to bioaccumulate through the food chain, causing genotoxic, carcinogenic, and mutagenic effects in humans and animals even at low concentrations (Briffa </w:t>
      </w:r>
      <w:r>
        <w:rPr>
          <w:i/>
          <w:iCs/>
        </w:rPr>
        <w:t>et al.,</w:t>
      </w:r>
      <w:r>
        <w:t xml:space="preserve"> 2020). Conventional techniques used for the removal of heavy </w:t>
      </w:r>
      <w:r>
        <w:t xml:space="preserve">metals from wastewater, including ion exchange, chemical precipitation, reverse osmosis, and electrochemical treatment, are often associated with several limitations. These include high operational costs, the need for complex infrastructure, incomplete removal of metals, and the production of toxic sludge that requires additional disposal or treatment (Bayuo </w:t>
      </w:r>
      <w:r>
        <w:rPr>
          <w:i/>
          <w:iCs/>
        </w:rPr>
        <w:t>et al.,</w:t>
      </w:r>
      <w:r>
        <w:t xml:space="preserve"> 2024). These drawbacks have spurred interest in alternative, more sustainable, and environmentally friendly approaches, particularly those that can be implemented in resource-limited settings. One such alternative is </w:t>
      </w:r>
      <w:r>
        <w:rPr>
          <w:rStyle w:val="Strong"/>
          <w:b w:val="0"/>
        </w:rPr>
        <w:t>phytoremediation</w:t>
      </w:r>
      <w:r>
        <w:t xml:space="preserve">, a low-cost and green technology that uses the natural ability of certain plants to absorb, accumulate, </w:t>
      </w:r>
      <w:proofErr w:type="spellStart"/>
      <w:r>
        <w:t>stabili</w:t>
      </w:r>
      <w:r>
        <w:rPr>
          <w:highlight w:val="yellow"/>
        </w:rPr>
        <w:t>s</w:t>
      </w:r>
      <w:r>
        <w:t>e</w:t>
      </w:r>
      <w:proofErr w:type="spellEnd"/>
      <w:r>
        <w:t xml:space="preserve">, or transform pollutants, including heavy metals from contaminated water and soils (Bayuo </w:t>
      </w:r>
      <w:r>
        <w:rPr>
          <w:i/>
          <w:iCs/>
        </w:rPr>
        <w:t>et al.,</w:t>
      </w:r>
      <w:r>
        <w:t xml:space="preserve"> 2024). Phytoremediation is gaining recognition for its effectiveness in heavy metal removal, minimal environmental impact, aesthetic value, and ability to improve the ecological balance of degraded environments. Among the different forms of phytoremediation, </w:t>
      </w:r>
      <w:proofErr w:type="spellStart"/>
      <w:r>
        <w:rPr>
          <w:rStyle w:val="Strong"/>
          <w:b w:val="0"/>
        </w:rPr>
        <w:t>rhizofiltration</w:t>
      </w:r>
      <w:proofErr w:type="spellEnd"/>
      <w:r>
        <w:rPr>
          <w:rStyle w:val="Strong"/>
          <w:b w:val="0"/>
        </w:rPr>
        <w:t>,</w:t>
      </w:r>
      <w:r>
        <w:t xml:space="preserve"> the use of plant roots to absorb contaminants from aqueous solutions, is particularly applicable to treating heavy metal pollution in aquatic environments. </w:t>
      </w:r>
      <w:r>
        <w:rPr>
          <w:highlight w:val="yellow"/>
        </w:rPr>
        <w:t>E</w:t>
      </w:r>
      <w:r>
        <w:t>i</w:t>
      </w:r>
      <w:r>
        <w:rPr>
          <w:highlight w:val="yellow"/>
        </w:rPr>
        <w:t>d</w:t>
      </w:r>
      <w:r>
        <w:t xml:space="preserve"> </w:t>
      </w:r>
      <w:r>
        <w:rPr>
          <w:i/>
          <w:iCs/>
        </w:rPr>
        <w:t>et al.</w:t>
      </w:r>
      <w:r>
        <w:t xml:space="preserve"> (2021) </w:t>
      </w:r>
      <w:proofErr w:type="spellStart"/>
      <w:r>
        <w:t>emphasi</w:t>
      </w:r>
      <w:r>
        <w:rPr>
          <w:highlight w:val="yellow"/>
        </w:rPr>
        <w:t>s</w:t>
      </w:r>
      <w:r>
        <w:t>ed</w:t>
      </w:r>
      <w:proofErr w:type="spellEnd"/>
      <w:r>
        <w:t xml:space="preserve"> that water hyacinth efficiently accumulates metals such as cadmium (Cd), lead (Pb), and chromium (Cr), with higher concentrations found in roots than shoots. Furthermore, Malar </w:t>
      </w:r>
      <w:proofErr w:type="spellStart"/>
      <w:r>
        <w:rPr>
          <w:i/>
        </w:rPr>
        <w:t>et al.</w:t>
      </w:r>
      <w:proofErr w:type="spellEnd"/>
      <w:r>
        <w:t xml:space="preserve"> (2014) evaluated the role of antioxidant enzymes and stress proteins in water hyacinth during heavy metal exposure. They noted that the plant activates several detoxification pathways, allowing it to survive and grow in polluted waters, which enhances its potential for long-term remediation. In response to these challenges, </w:t>
      </w:r>
      <w:r>
        <w:rPr>
          <w:bCs/>
        </w:rPr>
        <w:t>phytoremediation,</w:t>
      </w:r>
      <w:r>
        <w:t xml:space="preserve"> the use of plants to clean up pollutants from water or soil, has emerged as a viable, cost-effective, and environmentally friendly alternative to conventional chemical and mechanical treatment methods</w:t>
      </w:r>
      <w:r>
        <w:rPr>
          <w:highlight w:val="yellow"/>
        </w:rPr>
        <w:t xml:space="preserve"> (Bayuo et al., 2024)</w:t>
      </w:r>
      <w:r>
        <w:t>. The dual-use potential of water hyacinth has gained attention in recent years as integrated pollution control strategies become more relevant in developing countries.</w:t>
      </w:r>
      <w:r w:rsidR="001E716D">
        <w:rPr>
          <w:rFonts w:ascii="Arial" w:hAnsi="Arial" w:cs="Arial"/>
        </w:rPr>
        <w:t xml:space="preserve"> </w:t>
      </w:r>
      <w:r w:rsidR="00000000" w:rsidRPr="001E716D">
        <w:rPr>
          <w:bCs/>
          <w:highlight w:val="yellow"/>
        </w:rPr>
        <w:t>Plant-based phytoremediation remains an established approach for cleaning metal-contaminated soil and water (</w:t>
      </w:r>
      <w:proofErr w:type="spellStart"/>
      <w:r w:rsidR="00000000" w:rsidRPr="001E716D">
        <w:rPr>
          <w:bCs/>
          <w:highlight w:val="yellow"/>
        </w:rPr>
        <w:t>Gunwal</w:t>
      </w:r>
      <w:proofErr w:type="spellEnd"/>
      <w:r w:rsidR="00000000" w:rsidRPr="001E716D">
        <w:rPr>
          <w:bCs/>
          <w:highlight w:val="yellow"/>
        </w:rPr>
        <w:t xml:space="preserve"> </w:t>
      </w:r>
      <w:r w:rsidR="00000000" w:rsidRPr="001E716D">
        <w:rPr>
          <w:bCs/>
          <w:i/>
          <w:highlight w:val="yellow"/>
        </w:rPr>
        <w:t>et al.</w:t>
      </w:r>
      <w:r w:rsidR="00000000" w:rsidRPr="001E716D">
        <w:rPr>
          <w:bCs/>
          <w:highlight w:val="yellow"/>
        </w:rPr>
        <w:t xml:space="preserve">, 2021). Controlled studies using synthetic contaminated water likewise confirm that </w:t>
      </w:r>
      <w:r w:rsidR="00000000" w:rsidRPr="001E716D">
        <w:rPr>
          <w:bCs/>
          <w:i/>
          <w:iCs/>
          <w:highlight w:val="yellow"/>
        </w:rPr>
        <w:t>E. crassipes</w:t>
      </w:r>
      <w:r w:rsidR="00000000" w:rsidRPr="001E716D">
        <w:rPr>
          <w:bCs/>
          <w:highlight w:val="yellow"/>
        </w:rPr>
        <w:t xml:space="preserve"> can take up heavy metals under laboratory conditions (</w:t>
      </w:r>
      <w:proofErr w:type="spellStart"/>
      <w:r w:rsidR="00000000" w:rsidRPr="001E716D">
        <w:rPr>
          <w:bCs/>
          <w:highlight w:val="yellow"/>
        </w:rPr>
        <w:t>Guayjarernpanishk</w:t>
      </w:r>
      <w:proofErr w:type="spellEnd"/>
      <w:r w:rsidR="00000000" w:rsidRPr="001E716D">
        <w:rPr>
          <w:bCs/>
          <w:highlight w:val="yellow"/>
        </w:rPr>
        <w:t xml:space="preserve"> &amp; </w:t>
      </w:r>
      <w:proofErr w:type="spellStart"/>
      <w:r w:rsidR="00000000" w:rsidRPr="001E716D">
        <w:rPr>
          <w:bCs/>
          <w:highlight w:val="yellow"/>
        </w:rPr>
        <w:t>Sampanpanish</w:t>
      </w:r>
      <w:proofErr w:type="spellEnd"/>
      <w:r w:rsidR="00000000" w:rsidRPr="001E716D">
        <w:rPr>
          <w:bCs/>
          <w:highlight w:val="yellow"/>
        </w:rPr>
        <w:t>, 2024).</w:t>
      </w:r>
    </w:p>
    <w:p w14:paraId="09D21378" w14:textId="77777777" w:rsidR="003D3C86" w:rsidRPr="001E716D" w:rsidRDefault="00000000">
      <w:pPr>
        <w:pStyle w:val="NormalWeb"/>
        <w:spacing w:after="0" w:line="480" w:lineRule="auto"/>
        <w:jc w:val="both"/>
        <w:rPr>
          <w:bCs/>
        </w:rPr>
      </w:pPr>
      <w:r w:rsidRPr="001E716D">
        <w:rPr>
          <w:bCs/>
          <w:highlight w:val="yellow"/>
        </w:rPr>
        <w:lastRenderedPageBreak/>
        <w:t xml:space="preserve">Research gap: Within the scope of the present study, the phytoremediation performance of </w:t>
      </w:r>
      <w:r w:rsidRPr="001E716D">
        <w:rPr>
          <w:bCs/>
          <w:i/>
          <w:iCs/>
          <w:highlight w:val="yellow"/>
        </w:rPr>
        <w:t>E. crassipes</w:t>
      </w:r>
      <w:r w:rsidRPr="001E716D">
        <w:rPr>
          <w:bCs/>
          <w:highlight w:val="yellow"/>
        </w:rPr>
        <w:t xml:space="preserve"> in spent-oil-simulated water containing Ni, Fe, Pb, Cd, and Cr requires direct evaluation under controlled conditions, including both changes in aqueous metal concentrations and metal accumulation in plant tissues.</w:t>
      </w:r>
    </w:p>
    <w:p w14:paraId="5B4194F2" w14:textId="77777777" w:rsidR="003D3C86" w:rsidRPr="001E716D" w:rsidRDefault="00000000">
      <w:pPr>
        <w:pStyle w:val="NormalWeb"/>
        <w:spacing w:after="0" w:line="480" w:lineRule="auto"/>
        <w:jc w:val="both"/>
        <w:rPr>
          <w:bCs/>
        </w:rPr>
      </w:pPr>
      <w:r w:rsidRPr="001E716D">
        <w:rPr>
          <w:bCs/>
          <w:highlight w:val="yellow"/>
        </w:rPr>
        <w:t xml:space="preserve">Objective of the study: Therefore, this study aimed to assess the phytoremediation potential of </w:t>
      </w:r>
      <w:r w:rsidRPr="001E716D">
        <w:rPr>
          <w:bCs/>
          <w:i/>
          <w:iCs/>
          <w:highlight w:val="yellow"/>
        </w:rPr>
        <w:t>E. crassipes</w:t>
      </w:r>
      <w:r w:rsidRPr="001E716D">
        <w:rPr>
          <w:bCs/>
          <w:highlight w:val="yellow"/>
        </w:rPr>
        <w:t xml:space="preserve"> for the removal of Ni, Fe, Pb, Cd, and Cr from spent-oil-simulated polluted water under controlled experimental conditions by monitoring metal concentrations over time and determining metal accumulation in plant tissues.</w:t>
      </w:r>
    </w:p>
    <w:p w14:paraId="7DFBE426"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436C76A6" w14:textId="77777777" w:rsidR="00790ADA" w:rsidRPr="00FB3A86" w:rsidRDefault="00790ADA" w:rsidP="00441B6F">
      <w:pPr>
        <w:pStyle w:val="AbstHead"/>
        <w:spacing w:after="0"/>
        <w:jc w:val="both"/>
        <w:rPr>
          <w:rFonts w:ascii="Arial" w:hAnsi="Arial" w:cs="Arial"/>
        </w:rPr>
      </w:pPr>
    </w:p>
    <w:p w14:paraId="33108710"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3.1 Materials</w:t>
      </w:r>
    </w:p>
    <w:p w14:paraId="1C1A329A"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The materials, chemicals</w:t>
      </w:r>
      <w:r>
        <w:rPr>
          <w:rFonts w:ascii="Times New Roman" w:hAnsi="Times New Roman"/>
          <w:sz w:val="24"/>
          <w:szCs w:val="24"/>
          <w:highlight w:val="yellow"/>
        </w:rPr>
        <w:t>,</w:t>
      </w:r>
      <w:r>
        <w:rPr>
          <w:rFonts w:ascii="Times New Roman" w:hAnsi="Times New Roman"/>
          <w:sz w:val="24"/>
          <w:szCs w:val="24"/>
        </w:rPr>
        <w:t xml:space="preserve"> and equipment used in this study were selected based on standard protocols for phytoremediation experiments. All instruments and reagents were handled according to safety and laboratory best practices.</w:t>
      </w:r>
    </w:p>
    <w:p w14:paraId="341403DB"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3.1.1 Chemicals/ Reagents</w:t>
      </w:r>
    </w:p>
    <w:p w14:paraId="7EE4AE17"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Spent oil. </w:t>
      </w:r>
    </w:p>
    <w:p w14:paraId="25F797C7"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Distilled water. </w:t>
      </w:r>
    </w:p>
    <w:p w14:paraId="268664AB"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Dechlorinated tap water. </w:t>
      </w:r>
    </w:p>
    <w:p w14:paraId="0CD0B084"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Nitric acid (HNO₃). </w:t>
      </w:r>
    </w:p>
    <w:p w14:paraId="3D107ADD"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Perchloric acid (</w:t>
      </w:r>
      <w:proofErr w:type="spellStart"/>
      <w:r>
        <w:rPr>
          <w:rFonts w:ascii="Times New Roman" w:hAnsi="Times New Roman"/>
          <w:bCs/>
          <w:sz w:val="24"/>
          <w:szCs w:val="24"/>
        </w:rPr>
        <w:t>HClO</w:t>
      </w:r>
      <w:proofErr w:type="spellEnd"/>
      <w:r>
        <w:rPr>
          <w:rFonts w:ascii="Times New Roman" w:hAnsi="Times New Roman"/>
          <w:bCs/>
          <w:sz w:val="24"/>
          <w:szCs w:val="24"/>
        </w:rPr>
        <w:t xml:space="preserve">₄). </w:t>
      </w:r>
    </w:p>
    <w:p w14:paraId="3C4651FE"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Whatman filter paper No. 42. </w:t>
      </w:r>
    </w:p>
    <w:p w14:paraId="70C451B7"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Plastic sampling bottles (500 mL). </w:t>
      </w:r>
    </w:p>
    <w:p w14:paraId="367FCE85"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Polyethylene gloves. </w:t>
      </w:r>
    </w:p>
    <w:p w14:paraId="602293AA"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Laboratory coats. </w:t>
      </w:r>
    </w:p>
    <w:p w14:paraId="2987C84F" w14:textId="77777777" w:rsidR="00D24C44" w:rsidRDefault="00D24C44" w:rsidP="00D24C44">
      <w:pPr>
        <w:numPr>
          <w:ilvl w:val="0"/>
          <w:numId w:val="31"/>
        </w:numPr>
        <w:spacing w:line="480" w:lineRule="auto"/>
        <w:jc w:val="both"/>
        <w:rPr>
          <w:rFonts w:ascii="Times New Roman" w:hAnsi="Times New Roman"/>
          <w:bCs/>
          <w:sz w:val="24"/>
          <w:szCs w:val="24"/>
        </w:rPr>
      </w:pPr>
      <w:r>
        <w:rPr>
          <w:rFonts w:ascii="Times New Roman" w:hAnsi="Times New Roman"/>
          <w:bCs/>
          <w:sz w:val="24"/>
          <w:szCs w:val="24"/>
        </w:rPr>
        <w:t xml:space="preserve">Markers. </w:t>
      </w:r>
    </w:p>
    <w:p w14:paraId="591C5996"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3.2 Equipment/Apparatus</w:t>
      </w:r>
    </w:p>
    <w:p w14:paraId="2FA5B5FF" w14:textId="77777777" w:rsidR="00D24C44" w:rsidRDefault="00D24C44" w:rsidP="00D24C44">
      <w:pPr>
        <w:spacing w:line="480" w:lineRule="auto"/>
        <w:jc w:val="both"/>
        <w:rPr>
          <w:rFonts w:ascii="Times New Roman" w:hAnsi="Times New Roman"/>
          <w:bCs/>
          <w:sz w:val="24"/>
          <w:szCs w:val="24"/>
        </w:rPr>
      </w:pPr>
      <w:r>
        <w:rPr>
          <w:rFonts w:ascii="Times New Roman" w:hAnsi="Times New Roman"/>
          <w:bCs/>
          <w:sz w:val="24"/>
          <w:szCs w:val="24"/>
        </w:rPr>
        <w:t xml:space="preserve">The following equipment </w:t>
      </w:r>
      <w:r w:rsidR="00140FBD">
        <w:rPr>
          <w:rFonts w:ascii="Times New Roman" w:hAnsi="Times New Roman"/>
          <w:bCs/>
          <w:sz w:val="24"/>
          <w:szCs w:val="24"/>
        </w:rPr>
        <w:t>was</w:t>
      </w:r>
      <w:r>
        <w:rPr>
          <w:rFonts w:ascii="Times New Roman" w:hAnsi="Times New Roman"/>
          <w:bCs/>
          <w:sz w:val="24"/>
          <w:szCs w:val="24"/>
        </w:rPr>
        <w:t xml:space="preserve"> used for the study.</w:t>
      </w:r>
    </w:p>
    <w:p w14:paraId="0343BDB3"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lastRenderedPageBreak/>
        <w:t>Cylindrical experimental tanks (capacity: 2</w:t>
      </w:r>
      <w:r>
        <w:rPr>
          <w:rFonts w:ascii="Times New Roman" w:hAnsi="Times New Roman"/>
          <w:bCs/>
          <w:sz w:val="24"/>
          <w:szCs w:val="24"/>
          <w:highlight w:val="yellow"/>
        </w:rPr>
        <w:t>–</w:t>
      </w:r>
      <w:r>
        <w:rPr>
          <w:rFonts w:ascii="Times New Roman" w:hAnsi="Times New Roman"/>
          <w:bCs/>
          <w:sz w:val="24"/>
          <w:szCs w:val="24"/>
        </w:rPr>
        <w:t xml:space="preserve">5 </w:t>
      </w:r>
      <w:proofErr w:type="spellStart"/>
      <w:r>
        <w:rPr>
          <w:rFonts w:ascii="Times New Roman" w:hAnsi="Times New Roman"/>
          <w:bCs/>
          <w:sz w:val="24"/>
          <w:szCs w:val="24"/>
        </w:rPr>
        <w:t>litres</w:t>
      </w:r>
      <w:proofErr w:type="spellEnd"/>
      <w:r>
        <w:rPr>
          <w:rFonts w:ascii="Times New Roman" w:hAnsi="Times New Roman"/>
          <w:bCs/>
          <w:sz w:val="24"/>
          <w:szCs w:val="24"/>
        </w:rPr>
        <w:t xml:space="preserve">). </w:t>
      </w:r>
    </w:p>
    <w:p w14:paraId="58D12922"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Atomic Absorption Spectrophotometer (AAS). </w:t>
      </w:r>
    </w:p>
    <w:p w14:paraId="6B23E487"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pH meter. </w:t>
      </w:r>
    </w:p>
    <w:p w14:paraId="5B030474" w14:textId="77777777" w:rsidR="00D24C44" w:rsidRDefault="00FD7640"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Laboratory oven (60</w:t>
      </w:r>
      <w:r>
        <w:rPr>
          <w:rFonts w:ascii="Times New Roman" w:hAnsi="Times New Roman"/>
          <w:bCs/>
          <w:sz w:val="24"/>
          <w:szCs w:val="24"/>
          <w:highlight w:val="yellow"/>
        </w:rPr>
        <w:t>–</w:t>
      </w:r>
      <w:r>
        <w:rPr>
          <w:rFonts w:ascii="Times New Roman" w:hAnsi="Times New Roman"/>
          <w:bCs/>
          <w:sz w:val="24"/>
          <w:szCs w:val="24"/>
        </w:rPr>
        <w:t xml:space="preserve">70°C). </w:t>
      </w:r>
    </w:p>
    <w:p w14:paraId="1DCEC842"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Analytical balance (±0.001</w:t>
      </w:r>
      <w:r>
        <w:rPr>
          <w:rFonts w:ascii="Times New Roman" w:hAnsi="Times New Roman"/>
          <w:bCs/>
          <w:sz w:val="24"/>
          <w:szCs w:val="24"/>
          <w:highlight w:val="yellow"/>
        </w:rPr>
        <w:t xml:space="preserve"> </w:t>
      </w:r>
      <w:r>
        <w:rPr>
          <w:rFonts w:ascii="Times New Roman" w:hAnsi="Times New Roman"/>
          <w:bCs/>
          <w:sz w:val="24"/>
          <w:szCs w:val="24"/>
        </w:rPr>
        <w:t xml:space="preserve">g accuracy). </w:t>
      </w:r>
    </w:p>
    <w:p w14:paraId="20E557F5"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Hot plate</w:t>
      </w:r>
    </w:p>
    <w:p w14:paraId="196C0C87"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Fume hood</w:t>
      </w:r>
    </w:p>
    <w:p w14:paraId="61294532"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Measuring cylinders. </w:t>
      </w:r>
    </w:p>
    <w:p w14:paraId="07508B2D"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Pipettes. </w:t>
      </w:r>
    </w:p>
    <w:p w14:paraId="37F7E210" w14:textId="77777777" w:rsidR="00D24C44" w:rsidRDefault="00D24C44" w:rsidP="00D24C44">
      <w:pPr>
        <w:numPr>
          <w:ilvl w:val="0"/>
          <w:numId w:val="32"/>
        </w:numPr>
        <w:spacing w:line="480" w:lineRule="auto"/>
        <w:jc w:val="both"/>
        <w:rPr>
          <w:rFonts w:ascii="Times New Roman" w:hAnsi="Times New Roman"/>
          <w:bCs/>
          <w:sz w:val="24"/>
          <w:szCs w:val="24"/>
        </w:rPr>
      </w:pPr>
      <w:r>
        <w:rPr>
          <w:rFonts w:ascii="Times New Roman" w:hAnsi="Times New Roman"/>
          <w:bCs/>
          <w:sz w:val="24"/>
          <w:szCs w:val="24"/>
        </w:rPr>
        <w:t xml:space="preserve">Stopwatch/timer. </w:t>
      </w:r>
    </w:p>
    <w:p w14:paraId="3BA859CD" w14:textId="77777777" w:rsidR="00D24C44" w:rsidRDefault="00D24C44" w:rsidP="00D24C44">
      <w:pPr>
        <w:spacing w:line="480" w:lineRule="auto"/>
        <w:jc w:val="both"/>
        <w:rPr>
          <w:rFonts w:ascii="Times New Roman" w:hAnsi="Times New Roman"/>
          <w:bCs/>
          <w:sz w:val="24"/>
          <w:szCs w:val="24"/>
        </w:rPr>
      </w:pPr>
      <w:r>
        <w:rPr>
          <w:rFonts w:ascii="Times New Roman" w:hAnsi="Times New Roman"/>
          <w:bCs/>
          <w:sz w:val="24"/>
          <w:szCs w:val="24"/>
        </w:rPr>
        <w:t>All equipment was calibrated before use and operated according to the manufacturer’s instructions to ensure the accuracy and reproducibility of the results.</w:t>
      </w:r>
    </w:p>
    <w:p w14:paraId="4489ED15"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3.2 Methods</w:t>
      </w:r>
    </w:p>
    <w:p w14:paraId="7A590FC6"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3.2.1 Study Description</w:t>
      </w:r>
    </w:p>
    <w:p w14:paraId="45BF1444" w14:textId="77777777" w:rsidR="00D24C44" w:rsidRDefault="00D24C44" w:rsidP="00D24C44">
      <w:pPr>
        <w:pStyle w:val="NormalWeb"/>
        <w:spacing w:before="0" w:beforeAutospacing="0" w:after="0" w:afterAutospacing="0" w:line="480" w:lineRule="auto"/>
        <w:jc w:val="both"/>
        <w:rPr>
          <w:rStyle w:val="Strong"/>
          <w:bCs w:val="0"/>
        </w:rPr>
      </w:pPr>
      <w:r>
        <w:t>The study was conducted in a controlled experimental setting designed to simulate polluted aquatic conditions, reflecting realistic wastewater contamination scenarios. The experimental setup was located within the premises of the Department of Biochemistry, University of Cross River State, situated in Calabar</w:t>
      </w:r>
      <w:r>
        <w:rPr>
          <w:highlight w:val="yellow"/>
        </w:rPr>
        <w:t xml:space="preserve">, </w:t>
      </w:r>
      <w:r>
        <w:t>Nigeria</w:t>
      </w:r>
      <w:r>
        <w:rPr>
          <w:highlight w:val="yellow"/>
        </w:rPr>
        <w:t>.</w:t>
      </w:r>
      <w:r>
        <w:t xml:space="preserve"> This location lies within the tropical climatic zone, </w:t>
      </w:r>
      <w:proofErr w:type="spellStart"/>
      <w:r>
        <w:t>characteri</w:t>
      </w:r>
      <w:r>
        <w:rPr>
          <w:highlight w:val="yellow"/>
        </w:rPr>
        <w:t>s</w:t>
      </w:r>
      <w:r>
        <w:t>ed</w:t>
      </w:r>
      <w:proofErr w:type="spellEnd"/>
      <w:r>
        <w:t xml:space="preserve"> by distinct wet and dry seasons. Average annual temperatures range between 24°C and 35°C, with relative humidity between 60% and 85%. These climatic conditions are ideal for the growth and survival of aquatic macrophytes such as </w:t>
      </w:r>
      <w:r>
        <w:rPr>
          <w:rStyle w:val="Emphasis"/>
        </w:rPr>
        <w:t>Eichhornia crassipes</w:t>
      </w:r>
      <w:r>
        <w:rPr>
          <w:highlight w:val="yellow"/>
        </w:rPr>
        <w:t>,</w:t>
      </w:r>
      <w:r>
        <w:t xml:space="preserve"> which was cultivated under semi-natural but controlled conditions. The experimental units consisted of large plastic tanks measuring 4 </w:t>
      </w:r>
      <w:proofErr w:type="spellStart"/>
      <w:r>
        <w:t>lit</w:t>
      </w:r>
      <w:r>
        <w:rPr>
          <w:highlight w:val="yellow"/>
        </w:rPr>
        <w:t>r</w:t>
      </w:r>
      <w:r>
        <w:t>es</w:t>
      </w:r>
      <w:proofErr w:type="spellEnd"/>
      <w:r>
        <w:t xml:space="preserve">, filled with dechlorinated tap water and spiked with spent oil at concentrations replicating those found in domestic or industrial wastewater, as obtained from previous environmental assessments. The tanks were arranged in an open area to allow exposure to natural light, yet protected from rainfall and sunlight to maintain uniformity of conditions across replicates. Water samples for contamination were prepared in the laboratory using spent oil, </w:t>
      </w:r>
      <w:r>
        <w:lastRenderedPageBreak/>
        <w:t>ensuring precise control of pollutant concentrations. This site was chosen for its accessibility, controlled infrastructure, and ecological relevance to lowland freshwater systems common to the region, where eutrophication and heavy metal contamination are prevalent due to agricultural runoff, industrial discharge, and improper waste disposal.</w:t>
      </w:r>
    </w:p>
    <w:p w14:paraId="4E795FED" w14:textId="77777777" w:rsidR="00D24C44" w:rsidRDefault="00D24C44" w:rsidP="00D24C44">
      <w:pPr>
        <w:pStyle w:val="NormalWeb"/>
        <w:spacing w:before="0" w:beforeAutospacing="0" w:after="240" w:afterAutospacing="0"/>
        <w:jc w:val="both"/>
      </w:pPr>
      <w:r>
        <w:rPr>
          <w:rStyle w:val="Strong"/>
        </w:rPr>
        <w:t>3.2.2 Experimental Design</w:t>
      </w:r>
    </w:p>
    <w:p w14:paraId="2161DE2B" w14:textId="77777777" w:rsidR="00D24C44" w:rsidRDefault="00D24C44" w:rsidP="00D24C44">
      <w:pPr>
        <w:pStyle w:val="NormalWeb"/>
        <w:spacing w:before="0" w:beforeAutospacing="0" w:after="0" w:afterAutospacing="0" w:line="480" w:lineRule="auto"/>
        <w:jc w:val="both"/>
      </w:pPr>
      <w:r>
        <w:t xml:space="preserve">The study employed a </w:t>
      </w:r>
      <w:r>
        <w:rPr>
          <w:rStyle w:val="Strong"/>
        </w:rPr>
        <w:t xml:space="preserve">completely </w:t>
      </w:r>
      <w:proofErr w:type="spellStart"/>
      <w:r>
        <w:rPr>
          <w:rStyle w:val="Strong"/>
        </w:rPr>
        <w:t>randomi</w:t>
      </w:r>
      <w:r>
        <w:rPr>
          <w:rStyle w:val="Strong"/>
          <w:highlight w:val="yellow"/>
        </w:rPr>
        <w:t>s</w:t>
      </w:r>
      <w:r>
        <w:rPr>
          <w:rStyle w:val="Strong"/>
        </w:rPr>
        <w:t>ed</w:t>
      </w:r>
      <w:proofErr w:type="spellEnd"/>
      <w:r>
        <w:rPr>
          <w:rStyle w:val="Strong"/>
        </w:rPr>
        <w:t xml:space="preserve"> design (CRD)</w:t>
      </w:r>
      <w:r>
        <w:t xml:space="preserve"> to evaluate the phytoremediation performance of </w:t>
      </w:r>
      <w:r>
        <w:rPr>
          <w:rStyle w:val="Emphasis"/>
        </w:rPr>
        <w:t>Eichhornia crassipes</w:t>
      </w:r>
      <w:r>
        <w:t xml:space="preserve"> in removing selected heavy metals from simulated polluted water over a specified treatment period. A total of </w:t>
      </w:r>
      <w:r>
        <w:rPr>
          <w:highlight w:val="yellow"/>
        </w:rPr>
        <w:t>five (5) experimental groups</w:t>
      </w:r>
      <w:r>
        <w:rPr>
          <w:highlight w:val="yellow"/>
        </w:rPr>
        <w:t xml:space="preserve"> were established, each containing equal volumes of contaminated water. The treatments were as follows:</w:t>
      </w:r>
    </w:p>
    <w:p w14:paraId="4294CDA5" w14:textId="77777777" w:rsidR="00D24C44" w:rsidRDefault="00D24C44" w:rsidP="00D24C44">
      <w:pPr>
        <w:pStyle w:val="NormalWeb"/>
        <w:spacing w:before="0" w:beforeAutospacing="0" w:after="0" w:afterAutospacing="0" w:line="480" w:lineRule="auto"/>
        <w:jc w:val="both"/>
        <w:rPr>
          <w:b/>
          <w:bCs/>
        </w:rPr>
      </w:pPr>
      <w:r>
        <w:rPr>
          <w:b/>
          <w:bCs/>
        </w:rPr>
        <w:t xml:space="preserve">Table </w:t>
      </w:r>
      <w:r w:rsidR="007C311F">
        <w:rPr>
          <w:b/>
          <w:bCs/>
        </w:rPr>
        <w:t>1</w:t>
      </w:r>
      <w:r>
        <w:rPr>
          <w:b/>
          <w:bCs/>
        </w:rPr>
        <w:t xml:space="preserve"> Experimental Design </w:t>
      </w:r>
    </w:p>
    <w:tbl>
      <w:tblPr>
        <w:tblW w:w="5000" w:type="pct"/>
        <w:tblCellSpacing w:w="0" w:type="dxa"/>
        <w:tblCellMar>
          <w:left w:w="45" w:type="dxa"/>
          <w:right w:w="45" w:type="dxa"/>
        </w:tblCellMar>
        <w:tblLook w:val="04A0" w:firstRow="1" w:lastRow="0" w:firstColumn="1" w:lastColumn="0" w:noHBand="0" w:noVBand="1"/>
      </w:tblPr>
      <w:tblGrid>
        <w:gridCol w:w="998"/>
        <w:gridCol w:w="2110"/>
        <w:gridCol w:w="3361"/>
        <w:gridCol w:w="2419"/>
        <w:gridCol w:w="1912"/>
      </w:tblGrid>
      <w:tr w:rsidR="00D24C44" w14:paraId="5A1DB2F1" w14:textId="77777777" w:rsidTr="00D24C44">
        <w:trPr>
          <w:trHeight w:val="607"/>
          <w:tblHeader/>
          <w:tblCellSpacing w:w="0" w:type="dxa"/>
        </w:trPr>
        <w:tc>
          <w:tcPr>
            <w:tcW w:w="462" w:type="pct"/>
            <w:tcBorders>
              <w:top w:val="single" w:sz="4" w:space="0" w:color="auto"/>
              <w:left w:val="nil"/>
              <w:bottom w:val="single" w:sz="4" w:space="0" w:color="auto"/>
              <w:right w:val="nil"/>
            </w:tcBorders>
            <w:hideMark/>
          </w:tcPr>
          <w:p w14:paraId="61A20B5B"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Groups</w:t>
            </w:r>
          </w:p>
        </w:tc>
        <w:tc>
          <w:tcPr>
            <w:tcW w:w="977" w:type="pct"/>
            <w:tcBorders>
              <w:top w:val="single" w:sz="4" w:space="0" w:color="auto"/>
              <w:left w:val="nil"/>
              <w:bottom w:val="single" w:sz="4" w:space="0" w:color="auto"/>
              <w:right w:val="nil"/>
            </w:tcBorders>
            <w:hideMark/>
          </w:tcPr>
          <w:p w14:paraId="209A88CA"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Pollution Level</w:t>
            </w:r>
          </w:p>
        </w:tc>
        <w:tc>
          <w:tcPr>
            <w:tcW w:w="1556" w:type="pct"/>
            <w:tcBorders>
              <w:top w:val="single" w:sz="4" w:space="0" w:color="auto"/>
              <w:left w:val="nil"/>
              <w:bottom w:val="single" w:sz="4" w:space="0" w:color="auto"/>
              <w:right w:val="nil"/>
            </w:tcBorders>
            <w:hideMark/>
          </w:tcPr>
          <w:p w14:paraId="637E61FB"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Treatment</w:t>
            </w:r>
          </w:p>
        </w:tc>
        <w:tc>
          <w:tcPr>
            <w:tcW w:w="1120" w:type="pct"/>
            <w:tcBorders>
              <w:top w:val="single" w:sz="4" w:space="0" w:color="auto"/>
              <w:left w:val="nil"/>
              <w:bottom w:val="single" w:sz="4" w:space="0" w:color="auto"/>
              <w:right w:val="nil"/>
            </w:tcBorders>
            <w:hideMark/>
          </w:tcPr>
          <w:p w14:paraId="0281C7A8"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Exposure Period</w:t>
            </w:r>
          </w:p>
        </w:tc>
        <w:tc>
          <w:tcPr>
            <w:tcW w:w="885" w:type="pct"/>
            <w:tcBorders>
              <w:top w:val="single" w:sz="4" w:space="0" w:color="auto"/>
              <w:left w:val="nil"/>
              <w:bottom w:val="single" w:sz="4" w:space="0" w:color="auto"/>
              <w:right w:val="nil"/>
            </w:tcBorders>
            <w:hideMark/>
          </w:tcPr>
          <w:p w14:paraId="47D539F8" w14:textId="77777777" w:rsidR="00D24C44" w:rsidRDefault="00D24C44">
            <w:pPr>
              <w:pStyle w:val="NormalWeb"/>
              <w:spacing w:before="0" w:beforeAutospacing="0" w:after="0" w:afterAutospacing="0" w:line="276" w:lineRule="auto"/>
              <w:rPr>
                <w:b/>
                <w:bCs/>
                <w:kern w:val="2"/>
                <w14:ligatures w14:val="standardContextual"/>
              </w:rPr>
            </w:pPr>
            <w:r>
              <w:rPr>
                <w:b/>
                <w:bCs/>
                <w:kern w:val="2"/>
                <w14:ligatures w14:val="standardContextual"/>
              </w:rPr>
              <w:t>Plant Material</w:t>
            </w:r>
          </w:p>
        </w:tc>
      </w:tr>
      <w:tr w:rsidR="00D24C44" w14:paraId="034D7783" w14:textId="77777777" w:rsidTr="00D24C44">
        <w:trPr>
          <w:trHeight w:val="1264"/>
          <w:tblCellSpacing w:w="0" w:type="dxa"/>
        </w:trPr>
        <w:tc>
          <w:tcPr>
            <w:tcW w:w="462" w:type="pct"/>
            <w:hideMark/>
          </w:tcPr>
          <w:p w14:paraId="40669BD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N C</w:t>
            </w:r>
          </w:p>
        </w:tc>
        <w:tc>
          <w:tcPr>
            <w:tcW w:w="977" w:type="pct"/>
            <w:hideMark/>
          </w:tcPr>
          <w:p w14:paraId="3B759492"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Uncontaminated water</w:t>
            </w:r>
          </w:p>
        </w:tc>
        <w:tc>
          <w:tcPr>
            <w:tcW w:w="1556" w:type="pct"/>
            <w:hideMark/>
          </w:tcPr>
          <w:p w14:paraId="28D17C7B"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Water without heavy-metal contamination and without </w:t>
            </w:r>
            <w:r>
              <w:rPr>
                <w:i/>
                <w:iCs/>
                <w:kern w:val="2"/>
                <w:sz w:val="22"/>
                <w:szCs w:val="22"/>
                <w14:ligatures w14:val="standardContextual"/>
              </w:rPr>
              <w:t>Eichhornia crassipes</w:t>
            </w:r>
          </w:p>
        </w:tc>
        <w:tc>
          <w:tcPr>
            <w:tcW w:w="1120" w:type="pct"/>
            <w:hideMark/>
          </w:tcPr>
          <w:p w14:paraId="07A1538D"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530F0C0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Nil</w:t>
            </w:r>
          </w:p>
        </w:tc>
      </w:tr>
      <w:tr w:rsidR="00D24C44" w14:paraId="2E347FBA" w14:textId="77777777" w:rsidTr="00D24C44">
        <w:trPr>
          <w:trHeight w:val="842"/>
          <w:tblCellSpacing w:w="0" w:type="dxa"/>
        </w:trPr>
        <w:tc>
          <w:tcPr>
            <w:tcW w:w="462" w:type="pct"/>
            <w:hideMark/>
          </w:tcPr>
          <w:p w14:paraId="4DEE7F95"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P C</w:t>
            </w:r>
          </w:p>
        </w:tc>
        <w:tc>
          <w:tcPr>
            <w:tcW w:w="977" w:type="pct"/>
            <w:hideMark/>
          </w:tcPr>
          <w:p w14:paraId="51A14A4D"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Contaminated water</w:t>
            </w:r>
          </w:p>
        </w:tc>
        <w:tc>
          <w:tcPr>
            <w:tcW w:w="1556" w:type="pct"/>
            <w:hideMark/>
          </w:tcPr>
          <w:p w14:paraId="33AC4E4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without </w:t>
            </w:r>
            <w:r>
              <w:rPr>
                <w:i/>
                <w:iCs/>
                <w:kern w:val="2"/>
                <w:sz w:val="22"/>
                <w:szCs w:val="22"/>
                <w14:ligatures w14:val="standardContextual"/>
              </w:rPr>
              <w:t>Eichhornia crassipes</w:t>
            </w:r>
          </w:p>
        </w:tc>
        <w:tc>
          <w:tcPr>
            <w:tcW w:w="1120" w:type="pct"/>
            <w:hideMark/>
          </w:tcPr>
          <w:p w14:paraId="7443DF9E"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6AE6AAD4"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Nil</w:t>
            </w:r>
          </w:p>
        </w:tc>
      </w:tr>
      <w:tr w:rsidR="00D24C44" w14:paraId="7134F02C" w14:textId="77777777" w:rsidTr="00D24C44">
        <w:trPr>
          <w:trHeight w:val="1137"/>
          <w:tblCellSpacing w:w="0" w:type="dxa"/>
        </w:trPr>
        <w:tc>
          <w:tcPr>
            <w:tcW w:w="462" w:type="pct"/>
            <w:hideMark/>
          </w:tcPr>
          <w:p w14:paraId="2F14CE06"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T 1</w:t>
            </w:r>
          </w:p>
        </w:tc>
        <w:tc>
          <w:tcPr>
            <w:tcW w:w="977" w:type="pct"/>
            <w:hideMark/>
          </w:tcPr>
          <w:p w14:paraId="4C3092A6"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Slightly contaminated (SC)</w:t>
            </w:r>
          </w:p>
        </w:tc>
        <w:tc>
          <w:tcPr>
            <w:tcW w:w="1556" w:type="pct"/>
            <w:hideMark/>
          </w:tcPr>
          <w:p w14:paraId="7E76B54E"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exposed to </w:t>
            </w:r>
            <w:r>
              <w:rPr>
                <w:i/>
                <w:iCs/>
                <w:kern w:val="2"/>
                <w:sz w:val="22"/>
                <w:szCs w:val="22"/>
                <w14:ligatures w14:val="standardContextual"/>
              </w:rPr>
              <w:t>Eichhornia crassipes</w:t>
            </w:r>
          </w:p>
        </w:tc>
        <w:tc>
          <w:tcPr>
            <w:tcW w:w="1120" w:type="pct"/>
            <w:hideMark/>
          </w:tcPr>
          <w:p w14:paraId="2B166AB9"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1608F894" w14:textId="77777777" w:rsidR="00D24C44" w:rsidRDefault="00D24C44">
            <w:pPr>
              <w:pStyle w:val="NormalWeb"/>
              <w:spacing w:before="0" w:beforeAutospacing="0" w:after="0" w:afterAutospacing="0" w:line="276" w:lineRule="auto"/>
              <w:rPr>
                <w:kern w:val="2"/>
                <w:sz w:val="22"/>
                <w:szCs w:val="22"/>
                <w14:ligatures w14:val="standardContextual"/>
              </w:rPr>
            </w:pPr>
            <w:r>
              <w:rPr>
                <w:i/>
                <w:iCs/>
                <w:kern w:val="2"/>
                <w:sz w:val="22"/>
                <w:szCs w:val="22"/>
                <w14:ligatures w14:val="standardContextual"/>
              </w:rPr>
              <w:t>Eichhornia crassipes</w:t>
            </w:r>
          </w:p>
        </w:tc>
      </w:tr>
      <w:tr w:rsidR="00D24C44" w14:paraId="0389C3FC" w14:textId="77777777" w:rsidTr="00D24C44">
        <w:trPr>
          <w:trHeight w:val="994"/>
          <w:tblCellSpacing w:w="0" w:type="dxa"/>
        </w:trPr>
        <w:tc>
          <w:tcPr>
            <w:tcW w:w="462" w:type="pct"/>
            <w:hideMark/>
          </w:tcPr>
          <w:p w14:paraId="16EEC0D9"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T 2</w:t>
            </w:r>
          </w:p>
        </w:tc>
        <w:tc>
          <w:tcPr>
            <w:tcW w:w="977" w:type="pct"/>
            <w:hideMark/>
          </w:tcPr>
          <w:p w14:paraId="6068F7DB"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Moderately contaminated (MC)</w:t>
            </w:r>
          </w:p>
        </w:tc>
        <w:tc>
          <w:tcPr>
            <w:tcW w:w="1556" w:type="pct"/>
            <w:hideMark/>
          </w:tcPr>
          <w:p w14:paraId="35F98126"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exposed to </w:t>
            </w:r>
            <w:r>
              <w:rPr>
                <w:i/>
                <w:iCs/>
                <w:kern w:val="2"/>
                <w:sz w:val="22"/>
                <w:szCs w:val="22"/>
                <w14:ligatures w14:val="standardContextual"/>
              </w:rPr>
              <w:t>Eichhornia crassipes</w:t>
            </w:r>
          </w:p>
        </w:tc>
        <w:tc>
          <w:tcPr>
            <w:tcW w:w="1120" w:type="pct"/>
            <w:hideMark/>
          </w:tcPr>
          <w:p w14:paraId="3FDC5A8F"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hideMark/>
          </w:tcPr>
          <w:p w14:paraId="038AEBEE" w14:textId="77777777" w:rsidR="00D24C44" w:rsidRDefault="00D24C44">
            <w:pPr>
              <w:pStyle w:val="NormalWeb"/>
              <w:spacing w:before="0" w:beforeAutospacing="0" w:after="0" w:afterAutospacing="0" w:line="276" w:lineRule="auto"/>
              <w:rPr>
                <w:kern w:val="2"/>
                <w:sz w:val="22"/>
                <w:szCs w:val="22"/>
                <w14:ligatures w14:val="standardContextual"/>
              </w:rPr>
            </w:pPr>
            <w:r>
              <w:rPr>
                <w:i/>
                <w:iCs/>
                <w:kern w:val="2"/>
                <w:sz w:val="22"/>
                <w:szCs w:val="22"/>
                <w14:ligatures w14:val="standardContextual"/>
              </w:rPr>
              <w:t>Eichhornia crassipes</w:t>
            </w:r>
          </w:p>
        </w:tc>
      </w:tr>
      <w:tr w:rsidR="00D24C44" w14:paraId="64A4DE22" w14:textId="77777777" w:rsidTr="00D24C44">
        <w:trPr>
          <w:trHeight w:val="1419"/>
          <w:tblCellSpacing w:w="0" w:type="dxa"/>
        </w:trPr>
        <w:tc>
          <w:tcPr>
            <w:tcW w:w="462" w:type="pct"/>
            <w:tcBorders>
              <w:top w:val="nil"/>
              <w:left w:val="nil"/>
              <w:bottom w:val="single" w:sz="4" w:space="0" w:color="auto"/>
              <w:right w:val="nil"/>
            </w:tcBorders>
            <w:hideMark/>
          </w:tcPr>
          <w:p w14:paraId="573048B4"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T 3</w:t>
            </w:r>
          </w:p>
        </w:tc>
        <w:tc>
          <w:tcPr>
            <w:tcW w:w="977" w:type="pct"/>
            <w:tcBorders>
              <w:top w:val="nil"/>
              <w:left w:val="nil"/>
              <w:bottom w:val="single" w:sz="4" w:space="0" w:color="auto"/>
              <w:right w:val="nil"/>
            </w:tcBorders>
            <w:hideMark/>
          </w:tcPr>
          <w:p w14:paraId="7261F70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Highly contaminated (HC)</w:t>
            </w:r>
          </w:p>
        </w:tc>
        <w:tc>
          <w:tcPr>
            <w:tcW w:w="1556" w:type="pct"/>
            <w:tcBorders>
              <w:top w:val="nil"/>
              <w:left w:val="nil"/>
              <w:bottom w:val="single" w:sz="4" w:space="0" w:color="auto"/>
              <w:right w:val="nil"/>
            </w:tcBorders>
            <w:hideMark/>
          </w:tcPr>
          <w:p w14:paraId="334EDF59"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 xml:space="preserve">Simulated contaminated water exposed to </w:t>
            </w:r>
            <w:r>
              <w:rPr>
                <w:i/>
                <w:iCs/>
                <w:kern w:val="2"/>
                <w:sz w:val="22"/>
                <w:szCs w:val="22"/>
                <w14:ligatures w14:val="standardContextual"/>
              </w:rPr>
              <w:t>Eichhornia crassipes</w:t>
            </w:r>
          </w:p>
        </w:tc>
        <w:tc>
          <w:tcPr>
            <w:tcW w:w="1120" w:type="pct"/>
            <w:tcBorders>
              <w:top w:val="nil"/>
              <w:left w:val="nil"/>
              <w:bottom w:val="single" w:sz="4" w:space="0" w:color="auto"/>
              <w:right w:val="nil"/>
            </w:tcBorders>
            <w:hideMark/>
          </w:tcPr>
          <w:p w14:paraId="73DB3378" w14:textId="77777777" w:rsidR="00D24C44" w:rsidRDefault="00D24C44">
            <w:pPr>
              <w:pStyle w:val="NormalWeb"/>
              <w:spacing w:before="0" w:beforeAutospacing="0" w:after="0" w:afterAutospacing="0" w:line="276" w:lineRule="auto"/>
              <w:rPr>
                <w:kern w:val="2"/>
                <w:sz w:val="22"/>
                <w:szCs w:val="22"/>
                <w14:ligatures w14:val="standardContextual"/>
              </w:rPr>
            </w:pPr>
            <w:r>
              <w:rPr>
                <w:kern w:val="2"/>
                <w:sz w:val="22"/>
                <w:szCs w:val="22"/>
                <w14:ligatures w14:val="standardContextual"/>
              </w:rPr>
              <w:t>Day 0, 7 and 14</w:t>
            </w:r>
          </w:p>
        </w:tc>
        <w:tc>
          <w:tcPr>
            <w:tcW w:w="885" w:type="pct"/>
            <w:tcBorders>
              <w:top w:val="nil"/>
              <w:left w:val="nil"/>
              <w:bottom w:val="single" w:sz="4" w:space="0" w:color="auto"/>
              <w:right w:val="nil"/>
            </w:tcBorders>
            <w:hideMark/>
          </w:tcPr>
          <w:p w14:paraId="3B527024" w14:textId="77777777" w:rsidR="00D24C44" w:rsidRDefault="00D24C44">
            <w:pPr>
              <w:pStyle w:val="NormalWeb"/>
              <w:spacing w:before="0" w:beforeAutospacing="0" w:after="0" w:afterAutospacing="0" w:line="276" w:lineRule="auto"/>
              <w:rPr>
                <w:kern w:val="2"/>
                <w:sz w:val="22"/>
                <w:szCs w:val="22"/>
                <w14:ligatures w14:val="standardContextual"/>
              </w:rPr>
            </w:pPr>
            <w:r>
              <w:rPr>
                <w:i/>
                <w:iCs/>
                <w:kern w:val="2"/>
                <w:sz w:val="22"/>
                <w:szCs w:val="22"/>
                <w14:ligatures w14:val="standardContextual"/>
              </w:rPr>
              <w:t>Eichhornia crassipes</w:t>
            </w:r>
          </w:p>
        </w:tc>
      </w:tr>
    </w:tbl>
    <w:p w14:paraId="23EA9C04" w14:textId="77777777" w:rsidR="00D24C44" w:rsidRDefault="00D24C44" w:rsidP="00D24C44">
      <w:pPr>
        <w:pStyle w:val="NormalWeb"/>
        <w:spacing w:before="0" w:beforeAutospacing="0" w:after="0" w:afterAutospacing="0" w:line="480" w:lineRule="auto"/>
        <w:jc w:val="both"/>
      </w:pPr>
      <w:r>
        <w:t>Where</w:t>
      </w:r>
      <w:r>
        <w:rPr>
          <w:highlight w:val="yellow"/>
        </w:rPr>
        <w:t>:</w:t>
      </w:r>
    </w:p>
    <w:p w14:paraId="7A6FFAE0" w14:textId="77777777" w:rsidR="00D24C44" w:rsidRDefault="00D24C44" w:rsidP="00D24C44">
      <w:pPr>
        <w:pStyle w:val="NormalWeb"/>
        <w:spacing w:before="0" w:beforeAutospacing="0" w:after="0" w:afterAutospacing="0" w:line="480" w:lineRule="auto"/>
        <w:jc w:val="both"/>
      </w:pPr>
      <w:r>
        <w:t xml:space="preserve">NC = Normal Control </w:t>
      </w:r>
    </w:p>
    <w:p w14:paraId="34F850C5" w14:textId="77777777" w:rsidR="00D24C44" w:rsidRDefault="00D24C44" w:rsidP="00D24C44">
      <w:pPr>
        <w:pStyle w:val="NormalWeb"/>
        <w:spacing w:before="0" w:beforeAutospacing="0" w:after="0" w:afterAutospacing="0" w:line="480" w:lineRule="auto"/>
        <w:jc w:val="both"/>
      </w:pPr>
      <w:r>
        <w:t>PC = Positive control</w:t>
      </w:r>
    </w:p>
    <w:p w14:paraId="353F76E6" w14:textId="77777777" w:rsidR="00D24C44" w:rsidRDefault="00D24C44" w:rsidP="00D24C44">
      <w:pPr>
        <w:pStyle w:val="NormalWeb"/>
        <w:spacing w:before="0" w:beforeAutospacing="0" w:after="0" w:afterAutospacing="0" w:line="480" w:lineRule="auto"/>
        <w:jc w:val="both"/>
      </w:pPr>
      <w:r>
        <w:t>T1 = Slightly contaminated</w:t>
      </w:r>
    </w:p>
    <w:p w14:paraId="5EC12D85" w14:textId="77777777" w:rsidR="00D24C44" w:rsidRDefault="00D24C44" w:rsidP="00D24C44">
      <w:pPr>
        <w:pStyle w:val="NormalWeb"/>
        <w:spacing w:before="0" w:beforeAutospacing="0" w:after="0" w:afterAutospacing="0" w:line="480" w:lineRule="auto"/>
        <w:jc w:val="both"/>
      </w:pPr>
      <w:r>
        <w:lastRenderedPageBreak/>
        <w:t>T2 = Moderately contaminated</w:t>
      </w:r>
    </w:p>
    <w:p w14:paraId="33FC2A99" w14:textId="77777777" w:rsidR="00D24C44" w:rsidRDefault="00D24C44" w:rsidP="00D24C44">
      <w:pPr>
        <w:pStyle w:val="NormalWeb"/>
        <w:spacing w:before="0" w:beforeAutospacing="0" w:after="0" w:afterAutospacing="0" w:line="480" w:lineRule="auto"/>
        <w:jc w:val="both"/>
      </w:pPr>
      <w:r>
        <w:t>T3 = Highly contaminated</w:t>
      </w:r>
    </w:p>
    <w:p w14:paraId="6BFAFCE8" w14:textId="77777777" w:rsidR="00D24C44" w:rsidRDefault="00D24C44" w:rsidP="00D24C44">
      <w:pPr>
        <w:pStyle w:val="NormalWeb"/>
        <w:spacing w:before="0" w:beforeAutospacing="0" w:after="0" w:afterAutospacing="0" w:line="480" w:lineRule="auto"/>
        <w:jc w:val="both"/>
      </w:pPr>
      <w:r>
        <w:t>Each treatment was replicated three times (n</w:t>
      </w:r>
      <w:r>
        <w:rPr>
          <w:highlight w:val="yellow"/>
        </w:rPr>
        <w:t xml:space="preserve"> </w:t>
      </w:r>
      <w:r>
        <w:t>=</w:t>
      </w:r>
      <w:r>
        <w:rPr>
          <w:highlight w:val="yellow"/>
        </w:rPr>
        <w:t xml:space="preserve"> </w:t>
      </w:r>
      <w:r>
        <w:t xml:space="preserve">3) to ensure statistical robustness. Plants of uniform size and biomass were introduced into the tanks and </w:t>
      </w:r>
      <w:proofErr w:type="spellStart"/>
      <w:r>
        <w:t>acclimati</w:t>
      </w:r>
      <w:r>
        <w:rPr>
          <w:highlight w:val="yellow"/>
        </w:rPr>
        <w:t>s</w:t>
      </w:r>
      <w:r>
        <w:t>ed</w:t>
      </w:r>
      <w:proofErr w:type="spellEnd"/>
      <w:r>
        <w:t xml:space="preserve"> for 48 hours before pollution exposure. The experimental duration lasted fourteen (14) days, during which water samples were collected at regular intervals (days 0, 7, and 14), while </w:t>
      </w:r>
      <w:r>
        <w:rPr>
          <w:highlight w:val="yellow"/>
        </w:rPr>
        <w:t xml:space="preserve">the </w:t>
      </w:r>
      <w:r>
        <w:t>plant</w:t>
      </w:r>
      <w:r>
        <w:rPr>
          <w:highlight w:val="yellow"/>
        </w:rPr>
        <w:t>s</w:t>
      </w:r>
      <w:r>
        <w:t xml:space="preserve"> w</w:t>
      </w:r>
      <w:r>
        <w:rPr>
          <w:highlight w:val="yellow"/>
        </w:rPr>
        <w:t>ere</w:t>
      </w:r>
      <w:r>
        <w:t xml:space="preserve"> harvested at the end of the experimental period.</w:t>
      </w:r>
    </w:p>
    <w:p w14:paraId="16C53B82" w14:textId="77777777" w:rsidR="00D24C44" w:rsidRDefault="00D24C44" w:rsidP="00D24C44">
      <w:pPr>
        <w:jc w:val="both"/>
        <w:rPr>
          <w:rFonts w:ascii="Times New Roman" w:hAnsi="Times New Roman"/>
          <w:b/>
          <w:sz w:val="24"/>
          <w:szCs w:val="24"/>
        </w:rPr>
      </w:pPr>
      <w:r>
        <w:rPr>
          <w:rFonts w:ascii="Times New Roman" w:hAnsi="Times New Roman"/>
          <w:b/>
          <w:sz w:val="24"/>
          <w:szCs w:val="24"/>
        </w:rPr>
        <w:t>3.3 Collection and Preparation of Plant Samples</w:t>
      </w:r>
    </w:p>
    <w:p w14:paraId="27889B02" w14:textId="77777777" w:rsidR="00D24C44" w:rsidRDefault="00D24C44" w:rsidP="00D24C44">
      <w:pPr>
        <w:pStyle w:val="NormalWeb"/>
        <w:spacing w:before="0" w:beforeAutospacing="0" w:after="0" w:afterAutospacing="0" w:line="480" w:lineRule="auto"/>
        <w:jc w:val="both"/>
      </w:pPr>
      <w:r>
        <w:t xml:space="preserve">Healthy and mature </w:t>
      </w:r>
      <w:r>
        <w:rPr>
          <w:rStyle w:val="Emphasis"/>
        </w:rPr>
        <w:t>Eichhornia crassipes</w:t>
      </w:r>
      <w:r>
        <w:t xml:space="preserve"> (water hyacinth) were collected from </w:t>
      </w:r>
      <w:proofErr w:type="spellStart"/>
      <w:r>
        <w:t>Anatingha</w:t>
      </w:r>
      <w:proofErr w:type="spellEnd"/>
      <w:r>
        <w:t xml:space="preserve"> in Calabar South Local Government Area, a natural freshwater body known to be free from industrial or chemical pollution. The collection sites were chosen based on accessibility, ecological integrity, and the absence of known anthropogenic contaminants to ensure that baseline metal concentrations in plant tissues were minimal. Immediately after collection, the plants were carefully placed in clean polyethylene bags to prevent desiccation and mechanical damage during transport. The samples were transported to the laboratory within 2 hours of collection under shaded conditions to </w:t>
      </w:r>
      <w:proofErr w:type="spellStart"/>
      <w:r>
        <w:t>minimi</w:t>
      </w:r>
      <w:r>
        <w:rPr>
          <w:highlight w:val="yellow"/>
        </w:rPr>
        <w:t>s</w:t>
      </w:r>
      <w:r>
        <w:t>e</w:t>
      </w:r>
      <w:proofErr w:type="spellEnd"/>
      <w:r>
        <w:t xml:space="preserve"> physiological stress. Upon arrival, the plants were thoroughly rinsed with deionized water to remove any adhering soil particles, debris, or epiphytic organisms. After cleaning, the plants were visually inspected to ensure uniformity in size, health status, and the absence of pests or diseases. To </w:t>
      </w:r>
      <w:proofErr w:type="spellStart"/>
      <w:r>
        <w:t>acclimati</w:t>
      </w:r>
      <w:r>
        <w:rPr>
          <w:highlight w:val="yellow"/>
        </w:rPr>
        <w:t>s</w:t>
      </w:r>
      <w:r>
        <w:t>e</w:t>
      </w:r>
      <w:proofErr w:type="spellEnd"/>
      <w:r>
        <w:t xml:space="preserve"> the plants and reduce transplant shock, they were kept in separate holding tanks filled with deionized water for a period of 5–7 days under natural light conditions. During this period, no nutrients or contaminants were added, and the water was renewed every 48 hours to maintain optimal physiological conditions. Any wilted or yellowing parts were removed to avoid decomposition that could affect water quality during the experiment. Before the start of the experiment, plant biomass was </w:t>
      </w:r>
      <w:proofErr w:type="spellStart"/>
      <w:r>
        <w:t>standardi</w:t>
      </w:r>
      <w:r>
        <w:rPr>
          <w:highlight w:val="yellow"/>
        </w:rPr>
        <w:t>s</w:t>
      </w:r>
      <w:r>
        <w:t>ed</w:t>
      </w:r>
      <w:proofErr w:type="spellEnd"/>
      <w:r>
        <w:t xml:space="preserve"> (the length and weight of the plants were taken) to ensure consistency across treatment units. The plants were then introduced into </w:t>
      </w:r>
      <w:r>
        <w:rPr>
          <w:highlight w:val="yellow"/>
        </w:rPr>
        <w:t xml:space="preserve">their </w:t>
      </w:r>
      <w:r>
        <w:t>respective treatment tanks containing simulated spent</w:t>
      </w:r>
      <w:r>
        <w:rPr>
          <w:highlight w:val="yellow"/>
        </w:rPr>
        <w:t>-</w:t>
      </w:r>
      <w:r>
        <w:t>oil</w:t>
      </w:r>
      <w:r>
        <w:rPr>
          <w:highlight w:val="yellow"/>
        </w:rPr>
        <w:t>-</w:t>
      </w:r>
      <w:r>
        <w:t xml:space="preserve">contaminated water. </w:t>
      </w:r>
      <w:r>
        <w:rPr>
          <w:highlight w:val="yellow"/>
        </w:rPr>
        <w:t>Each plant was assigned to its designated treatment group</w:t>
      </w:r>
      <w:r>
        <w:rPr>
          <w:highlight w:val="yellow"/>
        </w:rPr>
        <w:t xml:space="preserve">, and care was taken to avoid physical damage during placement. </w:t>
      </w:r>
    </w:p>
    <w:p w14:paraId="3EAF58B8" w14:textId="77777777" w:rsidR="00D24C44" w:rsidRDefault="00D24C44" w:rsidP="00D24C44">
      <w:pPr>
        <w:spacing w:line="480" w:lineRule="auto"/>
        <w:jc w:val="both"/>
        <w:rPr>
          <w:rFonts w:ascii="Times New Roman" w:hAnsi="Times New Roman"/>
          <w:b/>
          <w:bCs/>
          <w:sz w:val="24"/>
          <w:szCs w:val="24"/>
        </w:rPr>
      </w:pPr>
      <w:r>
        <w:rPr>
          <w:rFonts w:ascii="Times New Roman" w:hAnsi="Times New Roman"/>
          <w:b/>
          <w:bCs/>
          <w:sz w:val="24"/>
          <w:szCs w:val="24"/>
        </w:rPr>
        <w:t>3.4 Experimental Setup</w:t>
      </w:r>
    </w:p>
    <w:p w14:paraId="67EB5F23" w14:textId="77777777" w:rsidR="00D24C44" w:rsidRDefault="00D24C44" w:rsidP="00D24C44">
      <w:pPr>
        <w:spacing w:line="480" w:lineRule="auto"/>
        <w:jc w:val="both"/>
        <w:rPr>
          <w:rFonts w:ascii="Times New Roman" w:hAnsi="Times New Roman"/>
          <w:bCs/>
          <w:sz w:val="24"/>
          <w:szCs w:val="24"/>
        </w:rPr>
      </w:pPr>
      <w:r>
        <w:rPr>
          <w:rFonts w:ascii="Times New Roman" w:hAnsi="Times New Roman"/>
          <w:bCs/>
          <w:sz w:val="24"/>
          <w:szCs w:val="24"/>
        </w:rPr>
        <w:lastRenderedPageBreak/>
        <w:t xml:space="preserve">The experimental setup was established to evaluate the phytoremediation capacity of </w:t>
      </w:r>
      <w:r>
        <w:rPr>
          <w:rFonts w:ascii="Times New Roman" w:hAnsi="Times New Roman"/>
          <w:bCs/>
          <w:i/>
          <w:iCs/>
          <w:sz w:val="24"/>
          <w:szCs w:val="24"/>
        </w:rPr>
        <w:t>Eichhornia crassipes</w:t>
      </w:r>
      <w:r>
        <w:rPr>
          <w:rFonts w:ascii="Times New Roman" w:hAnsi="Times New Roman"/>
          <w:bCs/>
          <w:sz w:val="24"/>
          <w:szCs w:val="24"/>
        </w:rPr>
        <w:t xml:space="preserve"> (water hyacinth) in removing selected heavy metals from simulated polluted water under controlled conditions. The experimental tanks were clearly labelled according to their respective treatment groups to ensure proper identification throughout the study. Clean plastic tanks with a capacity of approximately 2–5 L were used as the experimental units. Each tank was filled with an equal volume (4 </w:t>
      </w:r>
      <w:proofErr w:type="spellStart"/>
      <w:r>
        <w:rPr>
          <w:rFonts w:ascii="Times New Roman" w:hAnsi="Times New Roman"/>
          <w:bCs/>
          <w:sz w:val="24"/>
          <w:szCs w:val="24"/>
        </w:rPr>
        <w:t>lit</w:t>
      </w:r>
      <w:r>
        <w:rPr>
          <w:rFonts w:ascii="Times New Roman" w:hAnsi="Times New Roman"/>
          <w:bCs/>
          <w:sz w:val="24"/>
          <w:szCs w:val="24"/>
          <w:highlight w:val="yellow"/>
        </w:rPr>
        <w:t>r</w:t>
      </w:r>
      <w:r>
        <w:rPr>
          <w:rFonts w:ascii="Times New Roman" w:hAnsi="Times New Roman"/>
          <w:bCs/>
          <w:sz w:val="24"/>
          <w:szCs w:val="24"/>
        </w:rPr>
        <w:t>es</w:t>
      </w:r>
      <w:proofErr w:type="spellEnd"/>
      <w:r>
        <w:rPr>
          <w:rFonts w:ascii="Times New Roman" w:hAnsi="Times New Roman"/>
          <w:bCs/>
          <w:sz w:val="24"/>
          <w:szCs w:val="24"/>
        </w:rPr>
        <w:t xml:space="preserve">) of prepared deionized water. The experimental treatments contained simulated polluted water prepared as described in 3.2.2. The polluted water was allowed to </w:t>
      </w:r>
      <w:proofErr w:type="spellStart"/>
      <w:r>
        <w:rPr>
          <w:rFonts w:ascii="Times New Roman" w:hAnsi="Times New Roman"/>
          <w:bCs/>
          <w:sz w:val="24"/>
          <w:szCs w:val="24"/>
        </w:rPr>
        <w:t>stabili</w:t>
      </w:r>
      <w:r>
        <w:rPr>
          <w:rFonts w:ascii="Times New Roman" w:hAnsi="Times New Roman"/>
          <w:bCs/>
          <w:sz w:val="24"/>
          <w:szCs w:val="24"/>
          <w:highlight w:val="yellow"/>
        </w:rPr>
        <w:t>s</w:t>
      </w:r>
      <w:r>
        <w:rPr>
          <w:rFonts w:ascii="Times New Roman" w:hAnsi="Times New Roman"/>
          <w:bCs/>
          <w:sz w:val="24"/>
          <w:szCs w:val="24"/>
        </w:rPr>
        <w:t>e</w:t>
      </w:r>
      <w:proofErr w:type="spellEnd"/>
      <w:r>
        <w:rPr>
          <w:rFonts w:ascii="Times New Roman" w:hAnsi="Times New Roman"/>
          <w:bCs/>
          <w:sz w:val="24"/>
          <w:szCs w:val="24"/>
        </w:rPr>
        <w:t xml:space="preserve"> before the introduction of the plant samples. Healthy and approximately uniform-sized </w:t>
      </w:r>
      <w:r>
        <w:rPr>
          <w:rFonts w:ascii="Times New Roman" w:hAnsi="Times New Roman"/>
          <w:bCs/>
          <w:i/>
          <w:iCs/>
          <w:sz w:val="24"/>
          <w:szCs w:val="24"/>
        </w:rPr>
        <w:t>Eichhornia crassipes</w:t>
      </w:r>
      <w:r>
        <w:rPr>
          <w:rFonts w:ascii="Times New Roman" w:hAnsi="Times New Roman"/>
          <w:bCs/>
          <w:sz w:val="24"/>
          <w:szCs w:val="24"/>
        </w:rPr>
        <w:t xml:space="preserve"> plants were selected and weighed to obtain relatively comparable initial biomass among the treatment units. The plants were carefully introduced into their respective tanks containing the prepared water. The plants were positioned so that their roots remained completely immersed in the water while the leaves and other aerial portions remained above the water surface. This arrangement provided direct contact between the extensive root system of the plant and the contaminated water, thereby facilitating the adsorption of dissolved pollutants. The experimental units were placed in an open but protected area where the plants could receive adequate natural light and atmospheric conditions while being protected from sunlight, direct rainfall</w:t>
      </w:r>
      <w:r>
        <w:rPr>
          <w:rFonts w:ascii="Times New Roman" w:hAnsi="Times New Roman"/>
          <w:bCs/>
          <w:sz w:val="24"/>
          <w:szCs w:val="24"/>
          <w:highlight w:val="yellow"/>
        </w:rPr>
        <w:t>,</w:t>
      </w:r>
      <w:r>
        <w:rPr>
          <w:rFonts w:ascii="Times New Roman" w:hAnsi="Times New Roman"/>
          <w:bCs/>
          <w:sz w:val="24"/>
          <w:szCs w:val="24"/>
        </w:rPr>
        <w:t xml:space="preserve"> and other external sources of contamination. </w:t>
      </w:r>
    </w:p>
    <w:p w14:paraId="4BADA8D1" w14:textId="77777777" w:rsidR="00D24C44" w:rsidRDefault="00D24C44" w:rsidP="00D24C44">
      <w:pPr>
        <w:rPr>
          <w:rFonts w:ascii="Times New Roman" w:hAnsi="Times New Roman"/>
          <w:b/>
          <w:bCs/>
          <w:sz w:val="24"/>
          <w:szCs w:val="24"/>
        </w:rPr>
      </w:pPr>
      <w:r>
        <w:rPr>
          <w:rFonts w:ascii="Times New Roman" w:hAnsi="Times New Roman"/>
          <w:b/>
          <w:bCs/>
          <w:sz w:val="24"/>
          <w:szCs w:val="24"/>
        </w:rPr>
        <w:br w:type="page"/>
      </w:r>
    </w:p>
    <w:p w14:paraId="6032315E" w14:textId="77777777" w:rsidR="00D24C44" w:rsidRDefault="00D24C44" w:rsidP="00D24C44">
      <w:pPr>
        <w:rPr>
          <w:rFonts w:ascii="Times New Roman" w:hAnsi="Times New Roman"/>
          <w:b/>
          <w:bCs/>
          <w:sz w:val="24"/>
          <w:szCs w:val="24"/>
        </w:rPr>
      </w:pPr>
    </w:p>
    <w:p w14:paraId="009CBC05" w14:textId="77777777" w:rsidR="00D24C44" w:rsidRDefault="00D24C44" w:rsidP="00D24C44">
      <w:pPr>
        <w:spacing w:line="480" w:lineRule="auto"/>
        <w:jc w:val="center"/>
        <w:rPr>
          <w:rFonts w:ascii="Times New Roman" w:hAnsi="Times New Roman"/>
          <w:b/>
          <w:sz w:val="24"/>
          <w:szCs w:val="24"/>
        </w:rPr>
      </w:pPr>
      <w:r>
        <w:rPr>
          <w:rFonts w:ascii="Times New Roman" w:hAnsi="Times New Roman"/>
          <w:b/>
          <w:noProof/>
          <w:sz w:val="24"/>
          <w:szCs w:val="24"/>
        </w:rPr>
        <w:drawing>
          <wp:inline distT="0" distB="0" distL="0" distR="0" wp14:anchorId="6C56EA54" wp14:editId="5D6880BD">
            <wp:extent cx="3206750" cy="187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l="26828" t="43039"/>
                    <a:stretch>
                      <a:fillRect/>
                    </a:stretch>
                  </pic:blipFill>
                  <pic:spPr bwMode="auto">
                    <a:xfrm>
                      <a:off x="0" y="0"/>
                      <a:ext cx="3206750" cy="1873250"/>
                    </a:xfrm>
                    <a:prstGeom prst="rect">
                      <a:avLst/>
                    </a:prstGeom>
                    <a:noFill/>
                    <a:ln>
                      <a:noFill/>
                    </a:ln>
                  </pic:spPr>
                </pic:pic>
              </a:graphicData>
            </a:graphic>
          </wp:inline>
        </w:drawing>
      </w:r>
      <w:r>
        <w:rPr>
          <w:rFonts w:ascii="Times New Roman" w:hAnsi="Times New Roman"/>
          <w:noProof/>
          <w:sz w:val="24"/>
          <w:szCs w:val="24"/>
        </w:rPr>
        <w:drawing>
          <wp:inline distT="0" distB="0" distL="0" distR="0" wp14:anchorId="0D1FC5FA" wp14:editId="16FAD034">
            <wp:extent cx="3187700" cy="14414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l="10555" t="38731" r="24692" b="22420"/>
                    <a:stretch>
                      <a:fillRect/>
                    </a:stretch>
                  </pic:blipFill>
                  <pic:spPr bwMode="auto">
                    <a:xfrm>
                      <a:off x="0" y="0"/>
                      <a:ext cx="3187700" cy="1441450"/>
                    </a:xfrm>
                    <a:prstGeom prst="rect">
                      <a:avLst/>
                    </a:prstGeom>
                    <a:noFill/>
                    <a:ln>
                      <a:noFill/>
                    </a:ln>
                  </pic:spPr>
                </pic:pic>
              </a:graphicData>
            </a:graphic>
          </wp:inline>
        </w:drawing>
      </w:r>
    </w:p>
    <w:p w14:paraId="17E5A944" w14:textId="77777777" w:rsidR="00D24C44" w:rsidRDefault="00D24C44" w:rsidP="00D24C44">
      <w:pPr>
        <w:spacing w:line="480" w:lineRule="auto"/>
        <w:jc w:val="both"/>
        <w:rPr>
          <w:rFonts w:ascii="Times New Roman" w:hAnsi="Times New Roman"/>
          <w:bCs/>
          <w:sz w:val="24"/>
          <w:szCs w:val="24"/>
        </w:rPr>
      </w:pPr>
      <w:r>
        <w:rPr>
          <w:rFonts w:ascii="Times New Roman" w:hAnsi="Times New Roman"/>
          <w:b/>
          <w:bCs/>
          <w:sz w:val="24"/>
          <w:szCs w:val="24"/>
        </w:rPr>
        <w:t xml:space="preserve">Plate </w:t>
      </w:r>
      <w:r w:rsidR="009255DF">
        <w:rPr>
          <w:rFonts w:ascii="Times New Roman" w:hAnsi="Times New Roman"/>
          <w:b/>
          <w:bCs/>
          <w:sz w:val="24"/>
          <w:szCs w:val="24"/>
        </w:rPr>
        <w:t>1</w:t>
      </w:r>
      <w:r>
        <w:rPr>
          <w:rFonts w:ascii="Times New Roman" w:hAnsi="Times New Roman"/>
          <w:b/>
          <w:bCs/>
          <w:sz w:val="24"/>
          <w:szCs w:val="24"/>
        </w:rPr>
        <w:t>:</w:t>
      </w:r>
      <w:r>
        <w:rPr>
          <w:rFonts w:ascii="Times New Roman" w:hAnsi="Times New Roman"/>
          <w:b/>
          <w:sz w:val="24"/>
          <w:szCs w:val="24"/>
        </w:rPr>
        <w:t xml:space="preserve"> </w:t>
      </w:r>
      <w:r>
        <w:rPr>
          <w:rFonts w:ascii="Times New Roman" w:hAnsi="Times New Roman"/>
          <w:bCs/>
          <w:sz w:val="24"/>
          <w:szCs w:val="24"/>
        </w:rPr>
        <w:t>Experimental setup during the phytoremediation period.</w:t>
      </w:r>
    </w:p>
    <w:p w14:paraId="609B57F0" w14:textId="77777777" w:rsidR="00D24C44" w:rsidRDefault="00D24C44" w:rsidP="00D24C44">
      <w:pPr>
        <w:rPr>
          <w:rFonts w:ascii="Times New Roman" w:hAnsi="Times New Roman"/>
          <w:b/>
          <w:sz w:val="24"/>
          <w:szCs w:val="24"/>
        </w:rPr>
      </w:pPr>
      <w:r>
        <w:rPr>
          <w:rFonts w:ascii="Times New Roman" w:hAnsi="Times New Roman"/>
          <w:b/>
          <w:sz w:val="24"/>
          <w:szCs w:val="24"/>
        </w:rPr>
        <w:br w:type="page"/>
      </w:r>
    </w:p>
    <w:p w14:paraId="42898D68"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lastRenderedPageBreak/>
        <w:t>3.5 Sampling and Analytical Procedures</w:t>
      </w:r>
    </w:p>
    <w:p w14:paraId="3202B0A4"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To evaluate the phytoremediation efficiency of </w:t>
      </w:r>
      <w:r>
        <w:rPr>
          <w:rFonts w:ascii="Times New Roman" w:hAnsi="Times New Roman"/>
          <w:i/>
          <w:iCs/>
          <w:sz w:val="24"/>
          <w:szCs w:val="24"/>
        </w:rPr>
        <w:t>E</w:t>
      </w:r>
      <w:r>
        <w:rPr>
          <w:rFonts w:ascii="Times New Roman" w:hAnsi="Times New Roman"/>
          <w:i/>
          <w:iCs/>
          <w:sz w:val="24"/>
          <w:szCs w:val="24"/>
          <w:highlight w:val="yellow"/>
        </w:rPr>
        <w:t>.</w:t>
      </w:r>
      <w:r>
        <w:rPr>
          <w:rFonts w:ascii="Times New Roman" w:hAnsi="Times New Roman"/>
          <w:i/>
          <w:iCs/>
          <w:sz w:val="24"/>
          <w:szCs w:val="24"/>
        </w:rPr>
        <w:t xml:space="preserve"> crassipes</w:t>
      </w:r>
      <w:r>
        <w:rPr>
          <w:rFonts w:ascii="Times New Roman" w:hAnsi="Times New Roman"/>
          <w:sz w:val="24"/>
          <w:szCs w:val="24"/>
        </w:rPr>
        <w:t xml:space="preserve"> in removing heavy metals (Pb, Cr, Ni, Cd, and Fe) from simulated polluted water, systematic sampling and </w:t>
      </w:r>
      <w:proofErr w:type="spellStart"/>
      <w:r>
        <w:rPr>
          <w:rFonts w:ascii="Times New Roman" w:hAnsi="Times New Roman"/>
          <w:sz w:val="24"/>
          <w:szCs w:val="24"/>
        </w:rPr>
        <w:t>standardi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analytical procedures were employed throughout the experimental period. Sampling was performed at regular intervals for water, and plant tissue samples were collected and </w:t>
      </w:r>
      <w:proofErr w:type="spellStart"/>
      <w:r>
        <w:rPr>
          <w:rFonts w:ascii="Times New Roman" w:hAnsi="Times New Roman"/>
          <w:sz w:val="24"/>
          <w:szCs w:val="24"/>
        </w:rPr>
        <w:t>analy</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for heavy metal concentrations at the end of the experimental period.</w:t>
      </w:r>
    </w:p>
    <w:p w14:paraId="2C3F3F99"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3.5.1 Water Sampling</w:t>
      </w:r>
    </w:p>
    <w:p w14:paraId="11779705"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Water samples were collected from each experimental tank on Day 0 (before plant introduction) and subsequently on Days 7 and 14. The procedure was as </w:t>
      </w:r>
      <w:r>
        <w:rPr>
          <w:rFonts w:ascii="Times New Roman" w:hAnsi="Times New Roman"/>
          <w:sz w:val="24"/>
          <w:szCs w:val="24"/>
          <w:highlight w:val="yellow"/>
        </w:rPr>
        <w:t>f</w:t>
      </w:r>
      <w:r>
        <w:rPr>
          <w:rFonts w:ascii="Times New Roman" w:hAnsi="Times New Roman"/>
          <w:sz w:val="24"/>
          <w:szCs w:val="24"/>
        </w:rPr>
        <w:t>ollow</w:t>
      </w:r>
      <w:r>
        <w:rPr>
          <w:rFonts w:ascii="Times New Roman" w:hAnsi="Times New Roman"/>
          <w:sz w:val="24"/>
          <w:szCs w:val="24"/>
          <w:highlight w:val="yellow"/>
        </w:rPr>
        <w:t>s</w:t>
      </w:r>
      <w:r>
        <w:rPr>
          <w:rFonts w:ascii="Times New Roman" w:hAnsi="Times New Roman"/>
          <w:sz w:val="24"/>
          <w:szCs w:val="24"/>
        </w:rPr>
        <w:t xml:space="preserve">: </w:t>
      </w:r>
      <w:r>
        <w:rPr>
          <w:rFonts w:ascii="Times New Roman" w:hAnsi="Times New Roman"/>
          <w:sz w:val="24"/>
          <w:szCs w:val="24"/>
          <w:highlight w:val="yellow"/>
        </w:rPr>
        <w:t>u</w:t>
      </w:r>
      <w:r>
        <w:rPr>
          <w:rFonts w:ascii="Times New Roman" w:hAnsi="Times New Roman"/>
          <w:sz w:val="24"/>
          <w:szCs w:val="24"/>
        </w:rPr>
        <w:t xml:space="preserve">sing </w:t>
      </w:r>
      <w:proofErr w:type="spellStart"/>
      <w:r>
        <w:rPr>
          <w:rFonts w:ascii="Times New Roman" w:hAnsi="Times New Roman"/>
          <w:sz w:val="24"/>
          <w:szCs w:val="24"/>
        </w:rPr>
        <w:t>sterili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50 mL plastic sample bottles, water was </w:t>
      </w:r>
      <w:r>
        <w:rPr>
          <w:rFonts w:ascii="Times New Roman" w:hAnsi="Times New Roman"/>
          <w:sz w:val="24"/>
          <w:szCs w:val="24"/>
          <w:highlight w:val="yellow"/>
        </w:rPr>
        <w:t>co</w:t>
      </w:r>
      <w:r>
        <w:rPr>
          <w:rFonts w:ascii="Times New Roman" w:hAnsi="Times New Roman"/>
          <w:sz w:val="24"/>
          <w:szCs w:val="24"/>
        </w:rPr>
        <w:t>l</w:t>
      </w:r>
      <w:r>
        <w:rPr>
          <w:rFonts w:ascii="Times New Roman" w:hAnsi="Times New Roman"/>
          <w:sz w:val="24"/>
          <w:szCs w:val="24"/>
          <w:highlight w:val="yellow"/>
        </w:rPr>
        <w:t>lect</w:t>
      </w:r>
      <w:r>
        <w:rPr>
          <w:rFonts w:ascii="Times New Roman" w:hAnsi="Times New Roman"/>
          <w:sz w:val="24"/>
          <w:szCs w:val="24"/>
        </w:rPr>
        <w:t>ed from mid-depth in each tank to avoid surface contamination or sediment interference. The samples were immediately acidified to pH &lt; 2 with a few drops of concentrated nitric acid (HNO₃) to prevent metal precipitation and microbial activity during storage. Acidified samples were stored at 4°C in a refrigerator until digestion. Prior to heavy metal analysis, samples were filtered through Whatman No. 42 filter paper to remove suspended solids and plant debris.</w:t>
      </w:r>
    </w:p>
    <w:p w14:paraId="33E94467"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3.5.2 Plant Tissue Sampling</w:t>
      </w:r>
    </w:p>
    <w:p w14:paraId="16F1F5FE"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Plant samples were harvested from each treatment group at the end of the experimental period. Plants were gently removed from the tanks using gloved hands to avoid mechanical damage. Each plant was rinsed </w:t>
      </w:r>
      <w:r>
        <w:rPr>
          <w:rFonts w:ascii="Times New Roman" w:hAnsi="Times New Roman"/>
          <w:sz w:val="24"/>
          <w:szCs w:val="24"/>
          <w:highlight w:val="yellow"/>
        </w:rPr>
        <w:t xml:space="preserve">with </w:t>
      </w:r>
      <w:proofErr w:type="spellStart"/>
      <w:r>
        <w:rPr>
          <w:rFonts w:ascii="Times New Roman" w:hAnsi="Times New Roman"/>
          <w:sz w:val="24"/>
          <w:szCs w:val="24"/>
        </w:rPr>
        <w:t>deioni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water to eliminate any adher</w:t>
      </w:r>
      <w:r>
        <w:rPr>
          <w:rFonts w:ascii="Times New Roman" w:hAnsi="Times New Roman"/>
          <w:sz w:val="24"/>
          <w:szCs w:val="24"/>
          <w:highlight w:val="yellow"/>
        </w:rPr>
        <w:t>ing</w:t>
      </w:r>
      <w:r>
        <w:rPr>
          <w:rFonts w:ascii="Times New Roman" w:hAnsi="Times New Roman"/>
          <w:sz w:val="24"/>
          <w:szCs w:val="24"/>
        </w:rPr>
        <w:t xml:space="preserve"> particles from the plant surface. The samples were separated into roots, stalk</w:t>
      </w:r>
      <w:r>
        <w:rPr>
          <w:rFonts w:ascii="Times New Roman" w:hAnsi="Times New Roman"/>
          <w:sz w:val="24"/>
          <w:szCs w:val="24"/>
          <w:highlight w:val="yellow"/>
        </w:rPr>
        <w:t>s,</w:t>
      </w:r>
      <w:r>
        <w:rPr>
          <w:rFonts w:ascii="Times New Roman" w:hAnsi="Times New Roman"/>
          <w:sz w:val="24"/>
          <w:szCs w:val="24"/>
        </w:rPr>
        <w:t xml:space="preserve"> and shoots, blotted dry, and weighed to record fresh biomass. The plant tissues were then oven-dried at 65–70°C to constant weight for dry biomass determination. Dried samples were ground into fine powder using a mechanical grinder and stored in airtight containers for digestion and analysis.</w:t>
      </w:r>
    </w:p>
    <w:p w14:paraId="5B76CB31"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3.5.3 Digestion of Plant Samples</w:t>
      </w:r>
    </w:p>
    <w:p w14:paraId="775E004C"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To prepare samples for heavy metal analysis, a wet digestion method was employed using concentrated nitric and perchloric acids: Accurately 0.5</w:t>
      </w:r>
      <w:r>
        <w:rPr>
          <w:rFonts w:ascii="Times New Roman" w:hAnsi="Times New Roman"/>
          <w:sz w:val="24"/>
          <w:szCs w:val="24"/>
          <w:highlight w:val="yellow"/>
        </w:rPr>
        <w:t xml:space="preserve"> </w:t>
      </w:r>
      <w:r>
        <w:rPr>
          <w:rFonts w:ascii="Times New Roman" w:hAnsi="Times New Roman"/>
          <w:sz w:val="24"/>
          <w:szCs w:val="24"/>
        </w:rPr>
        <w:t>m</w:t>
      </w:r>
      <w:r>
        <w:rPr>
          <w:rFonts w:ascii="Times New Roman" w:hAnsi="Times New Roman"/>
          <w:sz w:val="24"/>
          <w:szCs w:val="24"/>
          <w:highlight w:val="yellow"/>
        </w:rPr>
        <w:t>L</w:t>
      </w:r>
      <w:r>
        <w:rPr>
          <w:rFonts w:ascii="Times New Roman" w:hAnsi="Times New Roman"/>
          <w:sz w:val="24"/>
          <w:szCs w:val="24"/>
        </w:rPr>
        <w:t xml:space="preserve"> of the oil and water and 0.5 g of dried, ground plant material were placed in a digestion flask, and 10 mL of a mixture of concentrated HNO₃ and </w:t>
      </w:r>
      <w:proofErr w:type="spellStart"/>
      <w:r>
        <w:rPr>
          <w:rFonts w:ascii="Times New Roman" w:hAnsi="Times New Roman"/>
          <w:sz w:val="24"/>
          <w:szCs w:val="24"/>
        </w:rPr>
        <w:t>HClO</w:t>
      </w:r>
      <w:proofErr w:type="spellEnd"/>
      <w:r>
        <w:rPr>
          <w:rFonts w:ascii="Times New Roman" w:hAnsi="Times New Roman"/>
          <w:sz w:val="24"/>
          <w:szCs w:val="24"/>
        </w:rPr>
        <w:t>₄ (in a ratio of 3:1) was added. The mixture was heated on a hot plate at 120°C in a fume hood until a clear solution was obtained (approximately 2–</w:t>
      </w:r>
      <w:r>
        <w:rPr>
          <w:rFonts w:ascii="Times New Roman" w:hAnsi="Times New Roman"/>
          <w:sz w:val="24"/>
          <w:szCs w:val="24"/>
        </w:rPr>
        <w:lastRenderedPageBreak/>
        <w:t xml:space="preserve">3 hours). After cooling, the digested solution was filtered and diluted to 100 mL with distilled water in a volumetric flask. This digest was used for </w:t>
      </w:r>
      <w:r>
        <w:rPr>
          <w:rFonts w:ascii="Times New Roman" w:hAnsi="Times New Roman"/>
          <w:sz w:val="24"/>
          <w:szCs w:val="24"/>
          <w:highlight w:val="yellow"/>
        </w:rPr>
        <w:t xml:space="preserve">the </w:t>
      </w:r>
      <w:r>
        <w:rPr>
          <w:rFonts w:ascii="Times New Roman" w:hAnsi="Times New Roman"/>
          <w:sz w:val="24"/>
          <w:szCs w:val="24"/>
        </w:rPr>
        <w:t>determination of metal content in plant tissues.</w:t>
      </w:r>
    </w:p>
    <w:p w14:paraId="6C3E5A38"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3.5.4 Determination of Heavy Metals</w:t>
      </w:r>
    </w:p>
    <w:p w14:paraId="2F1804DD"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The concentrations of Pb, Cd, Ni, Cr</w:t>
      </w:r>
      <w:r>
        <w:rPr>
          <w:rFonts w:ascii="Times New Roman" w:hAnsi="Times New Roman"/>
          <w:sz w:val="24"/>
          <w:szCs w:val="24"/>
          <w:highlight w:val="yellow"/>
        </w:rPr>
        <w:t>,</w:t>
      </w:r>
      <w:r>
        <w:rPr>
          <w:rFonts w:ascii="Times New Roman" w:hAnsi="Times New Roman"/>
          <w:sz w:val="24"/>
          <w:szCs w:val="24"/>
        </w:rPr>
        <w:t xml:space="preserve"> and Fe in both water and plant digests were determined using Atomic Absorption Spectrophotometry (AAS) following standard procedures. Calibrations were performed using certified standard solutions for each metal. Blanks and standard reference materials were included for quality control. Results were expressed in mg/L for water and oil, and mg/kg dry weight for plant tissues.</w:t>
      </w:r>
    </w:p>
    <w:p w14:paraId="477F6920"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 Heavy Metal Analysis Techniques.</w:t>
      </w:r>
    </w:p>
    <w:p w14:paraId="7DF0DE77"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Accurate detection and quantification of heavy metals in water and plant tissues are essential for evaluating phytoremediation efficiency. In this study, Atomic Absorption Spectrophotometry (AAS) was employed due to its proven sensitivity, precision, and suitability for trace metal analysis in environmental matrices (</w:t>
      </w:r>
      <w:proofErr w:type="spellStart"/>
      <w:r>
        <w:rPr>
          <w:rFonts w:ascii="Times New Roman" w:hAnsi="Times New Roman"/>
          <w:sz w:val="24"/>
          <w:szCs w:val="24"/>
        </w:rPr>
        <w:t>Lagalante</w:t>
      </w:r>
      <w:proofErr w:type="spellEnd"/>
      <w:r>
        <w:rPr>
          <w:rFonts w:ascii="Times New Roman" w:hAnsi="Times New Roman"/>
          <w:sz w:val="24"/>
          <w:szCs w:val="24"/>
        </w:rPr>
      </w:r>
      <w:r>
        <w:rPr>
          <w:rFonts w:ascii="Times New Roman" w:hAnsi="Times New Roman"/>
          <w:i w:val="0"/>
          <w:iCs/>
          <w:sz w:val="24"/>
          <w:szCs w:val="24"/>
        </w:rPr>
        <w:t>,</w:t>
      </w:r>
      <w:r>
        <w:rPr>
          <w:rFonts w:ascii="Times New Roman" w:hAnsi="Times New Roman"/>
          <w:sz w:val="24"/>
          <w:szCs w:val="24"/>
        </w:rPr>
        <w:t xml:space="preserve"> 1999).</w:t>
      </w:r>
    </w:p>
    <w:p w14:paraId="1C938660"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3.6.1 Principle of Atomic Absorption Spectrophotometry (AAS)</w:t>
      </w:r>
    </w:p>
    <w:p w14:paraId="6296D030"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AAS is based on the principle that free atoms in the ground state absorb light at specific wavelengths unique to each element. When a sample containing heavy metals is </w:t>
      </w:r>
      <w:proofErr w:type="spellStart"/>
      <w:r>
        <w:rPr>
          <w:rFonts w:ascii="Times New Roman" w:hAnsi="Times New Roman"/>
          <w:sz w:val="24"/>
          <w:szCs w:val="24"/>
        </w:rPr>
        <w:t>atomi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in a flame or furnace, a beam of light from a hollow cathode lamp passes through the </w:t>
      </w:r>
      <w:proofErr w:type="spellStart"/>
      <w:r>
        <w:rPr>
          <w:rFonts w:ascii="Times New Roman" w:hAnsi="Times New Roman"/>
          <w:sz w:val="24"/>
          <w:szCs w:val="24"/>
        </w:rPr>
        <w:t>atomi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w:t>
      </w:r>
      <w:proofErr w:type="spellStart"/>
      <w:r>
        <w:rPr>
          <w:rFonts w:ascii="Times New Roman" w:hAnsi="Times New Roman"/>
          <w:sz w:val="24"/>
          <w:szCs w:val="24"/>
        </w:rPr>
        <w:t>vapo</w:t>
      </w:r>
      <w:r>
        <w:rPr>
          <w:rFonts w:ascii="Times New Roman" w:hAnsi="Times New Roman"/>
          <w:sz w:val="24"/>
          <w:szCs w:val="24"/>
          <w:highlight w:val="yellow"/>
        </w:rPr>
        <w:t>u</w:t>
      </w:r>
      <w:r>
        <w:rPr>
          <w:rFonts w:ascii="Times New Roman" w:hAnsi="Times New Roman"/>
          <w:sz w:val="24"/>
          <w:szCs w:val="24"/>
        </w:rPr>
        <w:t>r</w:t>
      </w:r>
      <w:proofErr w:type="spellEnd"/>
      <w:r>
        <w:rPr>
          <w:rFonts w:ascii="Times New Roman" w:hAnsi="Times New Roman"/>
          <w:sz w:val="24"/>
          <w:szCs w:val="24"/>
        </w:rPr>
        <w:t>. The atoms absorb part of this light, and the amount of absorption is measured. The absorbance is directly proportional to the concentration of the metal in the sample (Lagalante,</w:t>
      </w:r>
      <w:r>
        <w:rPr>
          <w:rFonts w:ascii="Times New Roman" w:hAnsi="Times New Roman"/>
          <w:i/>
          <w:iCs/>
          <w:sz w:val="24"/>
          <w:szCs w:val="24"/>
        </w:rPr>
      </w:r>
      <w:r>
        <w:rPr>
          <w:rFonts w:ascii="Times New Roman" w:hAnsi="Times New Roman"/>
          <w:sz w:val="24"/>
          <w:szCs w:val="24"/>
        </w:rPr>
        <w:t xml:space="preserve"> 1999).</w:t>
      </w:r>
    </w:p>
    <w:p w14:paraId="4EBDADEF"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3.6.2 Instrumentation</w:t>
      </w:r>
    </w:p>
    <w:p w14:paraId="5DC68443"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A flame AAS system</w:t>
      </w:r>
      <w:r>
        <w:rPr>
          <w:rFonts w:ascii="Times New Roman" w:hAnsi="Times New Roman"/>
          <w:sz w:val="24"/>
          <w:szCs w:val="24"/>
          <w:highlight w:val="yellow"/>
        </w:rPr>
        <w:t>,</w:t>
      </w:r>
      <w:r>
        <w:rPr>
          <w:rFonts w:ascii="Times New Roman" w:hAnsi="Times New Roman"/>
          <w:sz w:val="24"/>
          <w:szCs w:val="24"/>
        </w:rPr>
        <w:t xml:space="preserve"> model GBC SENSAA Serial no. A7935</w:t>
      </w:r>
      <w:r>
        <w:rPr>
          <w:rFonts w:ascii="Times New Roman" w:hAnsi="Times New Roman"/>
          <w:sz w:val="24"/>
          <w:szCs w:val="24"/>
          <w:highlight w:val="yellow"/>
        </w:rPr>
        <w:t>,</w:t>
      </w:r>
      <w:r>
        <w:rPr>
          <w:rFonts w:ascii="Times New Roman" w:hAnsi="Times New Roman"/>
          <w:sz w:val="24"/>
          <w:szCs w:val="24"/>
        </w:rPr>
        <w:t xml:space="preserve"> was </w:t>
      </w:r>
      <w:proofErr w:type="spellStart"/>
      <w:r>
        <w:rPr>
          <w:rFonts w:ascii="Times New Roman" w:hAnsi="Times New Roman"/>
          <w:sz w:val="24"/>
          <w:szCs w:val="24"/>
        </w:rPr>
        <w:t>utili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fitted with the following components:</w:t>
      </w:r>
    </w:p>
    <w:p w14:paraId="23CCE166"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Hollow Cathode Lamps (HCLs) for Pb, Hg, As, Cd, and Zn</w:t>
      </w:r>
    </w:p>
    <w:p w14:paraId="05EFBE7B"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Air-acetylene flame as the atomization source</w:t>
      </w:r>
    </w:p>
    <w:p w14:paraId="596B1F8B"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Monochromator for wavelength selection</w:t>
      </w:r>
    </w:p>
    <w:p w14:paraId="7DA5ED6F"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Photomultiplier tube for signal detection</w:t>
      </w:r>
    </w:p>
    <w:p w14:paraId="6192C8A3"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Integrated software for calibration and result computation</w:t>
      </w:r>
    </w:p>
    <w:p w14:paraId="5728053B"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lastRenderedPageBreak/>
        <w:t xml:space="preserve">Calibration was </w:t>
      </w:r>
      <w:r>
        <w:rPr>
          <w:rFonts w:ascii="Times New Roman" w:hAnsi="Times New Roman"/>
          <w:sz w:val="24"/>
          <w:szCs w:val="24"/>
          <w:highlight w:val="yellow"/>
        </w:rPr>
        <w:t>p</w:t>
      </w:r>
      <w:r>
        <w:rPr>
          <w:rFonts w:ascii="Times New Roman" w:hAnsi="Times New Roman"/>
          <w:sz w:val="24"/>
          <w:szCs w:val="24"/>
        </w:rPr>
        <w:t>e</w:t>
      </w:r>
      <w:r>
        <w:rPr>
          <w:rFonts w:ascii="Times New Roman" w:hAnsi="Times New Roman"/>
          <w:sz w:val="24"/>
          <w:szCs w:val="24"/>
          <w:highlight w:val="yellow"/>
        </w:rPr>
        <w:t>rform</w:t>
      </w:r>
      <w:r>
        <w:rPr>
          <w:rFonts w:ascii="Times New Roman" w:hAnsi="Times New Roman"/>
          <w:sz w:val="24"/>
          <w:szCs w:val="24"/>
        </w:rPr>
        <w:t xml:space="preserve">ed using a series of certified standard solutions for each metal (0.5–10 mg/L), and a calibration curve was generated for quantification according to the method of Ramal </w:t>
      </w:r>
      <w:r>
        <w:rPr>
          <w:rFonts w:ascii="Times New Roman" w:hAnsi="Times New Roman"/>
          <w:i/>
          <w:iCs/>
          <w:sz w:val="24"/>
          <w:szCs w:val="24"/>
        </w:rPr>
        <w:t>et al.</w:t>
      </w:r>
      <w:r>
        <w:rPr>
          <w:rFonts w:ascii="Times New Roman" w:hAnsi="Times New Roman"/>
          <w:sz w:val="24"/>
          <w:szCs w:val="24"/>
        </w:rPr>
        <w:t xml:space="preserve"> (2021).</w:t>
      </w:r>
    </w:p>
    <w:p w14:paraId="355D977A"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3.6.3 Sample Preparation for AAS</w:t>
      </w:r>
    </w:p>
    <w:p w14:paraId="62890480" w14:textId="77777777" w:rsidR="00D24C44" w:rsidRDefault="00D24C44" w:rsidP="00D24C44">
      <w:pPr>
        <w:spacing w:line="480" w:lineRule="auto"/>
        <w:jc w:val="both"/>
        <w:rPr>
          <w:rFonts w:ascii="Times New Roman" w:hAnsi="Times New Roman"/>
          <w:sz w:val="24"/>
          <w:szCs w:val="24"/>
        </w:rPr>
      </w:pPr>
      <w:r>
        <w:rPr>
          <w:rFonts w:ascii="Times New Roman" w:hAnsi="Times New Roman"/>
          <w:sz w:val="24"/>
          <w:szCs w:val="24"/>
        </w:rPr>
        <w:t>Water samples were filtered using Whatman No. 42 paper, acidified to pH &lt;</w:t>
      </w:r>
      <w:r>
        <w:rPr>
          <w:rFonts w:ascii="Times New Roman" w:hAnsi="Times New Roman"/>
          <w:sz w:val="24"/>
          <w:szCs w:val="24"/>
          <w:highlight w:val="yellow"/>
        </w:rPr>
        <w:t xml:space="preserve"> </w:t>
      </w:r>
      <w:r>
        <w:rPr>
          <w:rFonts w:ascii="Times New Roman" w:hAnsi="Times New Roman"/>
          <w:sz w:val="24"/>
          <w:szCs w:val="24"/>
        </w:rPr>
        <w:t xml:space="preserve">2 with HNO₃, and stored at 4°C. Plant tissue samples were dried, ground, and digested using a wet digestion method with concentrated HNO₃ and </w:t>
      </w:r>
      <w:proofErr w:type="spellStart"/>
      <w:r>
        <w:rPr>
          <w:rFonts w:ascii="Times New Roman" w:hAnsi="Times New Roman"/>
          <w:sz w:val="24"/>
          <w:szCs w:val="24"/>
        </w:rPr>
        <w:t>HClO</w:t>
      </w:r>
      <w:proofErr w:type="spellEnd"/>
      <w:r>
        <w:rPr>
          <w:rFonts w:ascii="Times New Roman" w:hAnsi="Times New Roman"/>
          <w:sz w:val="24"/>
          <w:szCs w:val="24"/>
        </w:rPr>
        <w:t xml:space="preserve">₄ (3:1). The digested solutions were filtered and diluted to a final volume of 50 mL with deionized water (Akinyele &amp; Shokunbi, 2015; Ramal </w:t>
      </w:r>
      <w:r>
        <w:rPr>
          <w:rFonts w:ascii="Times New Roman" w:hAnsi="Times New Roman"/>
          <w:i/>
          <w:iCs/>
          <w:sz w:val="24"/>
          <w:szCs w:val="24"/>
        </w:rPr>
        <w:t>et al.,</w:t>
      </w:r>
      <w:r>
        <w:rPr>
          <w:rFonts w:ascii="Times New Roman" w:hAnsi="Times New Roman"/>
          <w:sz w:val="24"/>
          <w:szCs w:val="24"/>
        </w:rPr>
        <w:t xml:space="preserve"> 2021). All samples were </w:t>
      </w:r>
      <w:proofErr w:type="spellStart"/>
      <w:r>
        <w:rPr>
          <w:rFonts w:ascii="Times New Roman" w:hAnsi="Times New Roman"/>
          <w:sz w:val="24"/>
          <w:szCs w:val="24"/>
        </w:rPr>
        <w:t>analy</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within 48 hours to prevent deterioration or contamination. Water samples were </w:t>
      </w:r>
      <w:proofErr w:type="spellStart"/>
      <w:r>
        <w:rPr>
          <w:rFonts w:ascii="Times New Roman" w:hAnsi="Times New Roman"/>
          <w:sz w:val="24"/>
          <w:szCs w:val="24"/>
        </w:rPr>
        <w:t>analy</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for residual metal concentrations using Atomic Absorption Spectrophotometry (AAS), while plant tissues were digested and </w:t>
      </w:r>
      <w:proofErr w:type="spellStart"/>
      <w:r>
        <w:rPr>
          <w:rFonts w:ascii="Times New Roman" w:hAnsi="Times New Roman"/>
          <w:sz w:val="24"/>
          <w:szCs w:val="24"/>
        </w:rPr>
        <w:t>analy</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to assess bioaccumulation. Ancillary water quality parameters such as pH, electrical conductivity, total dissolved solids (TDS), and dissolved oxygen (DO) were also recorded using </w:t>
      </w:r>
      <w:proofErr w:type="spellStart"/>
      <w:r>
        <w:rPr>
          <w:rFonts w:ascii="Times New Roman" w:hAnsi="Times New Roman"/>
          <w:sz w:val="24"/>
          <w:szCs w:val="24"/>
        </w:rPr>
        <w:t>standardi</w:t>
      </w:r>
      <w:r>
        <w:rPr>
          <w:rFonts w:ascii="Times New Roman" w:hAnsi="Times New Roman"/>
          <w:sz w:val="24"/>
          <w:szCs w:val="24"/>
          <w:highlight w:val="yellow"/>
        </w:rPr>
        <w:t>s</w:t>
      </w:r>
      <w:r>
        <w:rPr>
          <w:rFonts w:ascii="Times New Roman" w:hAnsi="Times New Roman"/>
          <w:sz w:val="24"/>
          <w:szCs w:val="24"/>
        </w:rPr>
        <w:t>ed</w:t>
      </w:r>
      <w:proofErr w:type="spellEnd"/>
      <w:r>
        <w:rPr>
          <w:rFonts w:ascii="Times New Roman" w:hAnsi="Times New Roman"/>
          <w:sz w:val="24"/>
          <w:szCs w:val="24"/>
        </w:rPr>
        <w:t xml:space="preserve"> instruments.</w:t>
      </w:r>
    </w:p>
    <w:p w14:paraId="3D7E92E5" w14:textId="77777777" w:rsidR="00D24C44" w:rsidRDefault="00D24C44" w:rsidP="00D24C44">
      <w:pPr>
        <w:pStyle w:val="NormalWeb"/>
        <w:spacing w:before="0" w:beforeAutospacing="0" w:after="0" w:afterAutospacing="0" w:line="480" w:lineRule="auto"/>
        <w:jc w:val="both"/>
        <w:rPr>
          <w:b/>
          <w:bCs/>
        </w:rPr>
      </w:pPr>
      <w:r>
        <w:rPr>
          <w:b/>
          <w:bCs/>
        </w:rPr>
        <w:t xml:space="preserve">3.6.4 Determination of Heavy Metal Concentrations in Spent Oil </w:t>
      </w:r>
    </w:p>
    <w:p w14:paraId="3BD6205A" w14:textId="77777777" w:rsidR="00D24C44" w:rsidRDefault="00D24C44" w:rsidP="00D24C44">
      <w:pPr>
        <w:pStyle w:val="NormalWeb"/>
        <w:spacing w:before="0" w:beforeAutospacing="0" w:after="0" w:afterAutospacing="0" w:line="480" w:lineRule="auto"/>
        <w:jc w:val="both"/>
      </w:pPr>
      <w:r>
        <w:t>The baseline concentrations of the selected heavy metals in the spent oil were determined before preparation of the simulated polluted water. An aliquot (0.5</w:t>
      </w:r>
      <w:r>
        <w:rPr>
          <w:highlight w:val="yellow"/>
        </w:rPr>
        <w:t xml:space="preserve"> </w:t>
      </w:r>
      <w:r>
        <w:t>m</w:t>
      </w:r>
      <w:r>
        <w:rPr>
          <w:highlight w:val="yellow"/>
        </w:rPr>
        <w:t>L</w:t>
      </w:r>
      <w:r>
        <w:t xml:space="preserve">) of the spent oil sample was collected and subjected to acid digestion to release the metals into solution. A measured volume of the spent oil was transferred into a digestion flask, followed by the addition of concentrated HNO₃ and </w:t>
      </w:r>
      <w:proofErr w:type="spellStart"/>
      <w:r>
        <w:t>HClO</w:t>
      </w:r>
      <w:proofErr w:type="spellEnd"/>
      <w:r>
        <w:t>₄ (in a ratio of 3:1). The mixture was heated gently on a hot plate until digestion was completed and a clear digest was obtained. The digest was allowed to cool and was filtered to remove insoluble materials. The filtrate was quantitatively transferred into a volumetric flask and made up to 100</w:t>
      </w:r>
      <w:r>
        <w:rPr>
          <w:highlight w:val="yellow"/>
        </w:rPr>
        <w:t xml:space="preserve"> </w:t>
      </w:r>
      <w:r>
        <w:t>m</w:t>
      </w:r>
      <w:r>
        <w:rPr>
          <w:highlight w:val="yellow"/>
        </w:rPr>
        <w:t>L</w:t>
      </w:r>
      <w:r>
        <w:t xml:space="preserve"> volume with deionized water. The concentrations of nickel (Ni), iron (Fe), lead (Pb), cadmium (Cd), and chromium (Cr) in the digested spent oil were determined using an Atomic Absorption Spectrophotometer (AAS) at the appropriate wavelength for each metal. Calibration standards of known concentrations were prepared for each element, and calibration curves were generated from the absorbance readings. Reagent blanks were also </w:t>
      </w:r>
      <w:proofErr w:type="spellStart"/>
      <w:r>
        <w:t>analysed</w:t>
      </w:r>
      <w:proofErr w:type="spellEnd"/>
      <w:r>
        <w:t xml:space="preserve"> to correct for any background contamination. The concentration of each heavy metal in the original spent oil sample was calculated from the corresponding calibration curve and </w:t>
      </w:r>
      <w:r>
        <w:lastRenderedPageBreak/>
        <w:t>expressed in mg/L. These baseline concentrations served as the reference values for preparing the different pollution levels used in the phytoremediation experiment.</w:t>
      </w:r>
    </w:p>
    <w:p w14:paraId="20A3E946" w14:textId="77777777" w:rsidR="00D24C44" w:rsidRDefault="00D24C44" w:rsidP="00D24C44">
      <w:pPr>
        <w:pStyle w:val="NormalWeb"/>
        <w:spacing w:before="0" w:beforeAutospacing="0" w:after="240" w:afterAutospacing="0"/>
        <w:jc w:val="both"/>
        <w:rPr>
          <w:b/>
          <w:bCs/>
        </w:rPr>
      </w:pPr>
      <w:r>
        <w:rPr>
          <w:b/>
          <w:bCs/>
        </w:rPr>
        <w:t xml:space="preserve">3.6.5 Determination of Heavy Metal Concentrations in </w:t>
      </w:r>
      <w:r>
        <w:rPr>
          <w:b/>
          <w:bCs/>
          <w:i/>
          <w:iCs/>
        </w:rPr>
        <w:t>Eichhornia crassipes</w:t>
      </w:r>
      <w:r>
        <w:rPr>
          <w:b/>
          <w:bCs/>
        </w:rPr>
        <w:t xml:space="preserve"> Before Experimental Exposure to Spent Oil</w:t>
      </w:r>
    </w:p>
    <w:p w14:paraId="4B38EE55" w14:textId="77777777" w:rsidR="00D24C44" w:rsidRDefault="00D24C44" w:rsidP="00D24C44">
      <w:pPr>
        <w:pStyle w:val="NormalWeb"/>
        <w:spacing w:before="0" w:beforeAutospacing="0" w:after="0" w:afterAutospacing="0" w:line="480" w:lineRule="auto"/>
        <w:jc w:val="both"/>
      </w:pPr>
      <w:r>
        <w:t xml:space="preserve">The baseline concentrations of Ni, Fe, Pb, Cd, and Cr in </w:t>
      </w:r>
      <w:r>
        <w:rPr>
          <w:i/>
          <w:iCs/>
        </w:rPr>
        <w:t>Eichhornia crassipes</w:t>
      </w:r>
      <w:r>
        <w:t xml:space="preserve"> were determined before the plants were exposed to the simulated polluted water. Healthy and mature plants were collected and thoroughly washed with clean water to remove adhering soil, sediments, and other external contaminants. The plants were subsequently rinsed with deionized water and separated into leaf, stalk, and root tissues. Each plant part was allowed to drain and was oven-dried at an appropriate temperature until a constant weight was obtained. The dried plant tissues were separately ground into fine powder using a clean laboratory mortar and pestle and stored in labelled containers until analysis. 0.5</w:t>
      </w:r>
      <w:r>
        <w:rPr>
          <w:highlight w:val="yellow"/>
        </w:rPr>
        <w:t xml:space="preserve"> </w:t>
      </w:r>
      <w:r>
        <w:t xml:space="preserve">g of each powdered plant tissue was subjected to acid digestion using concentrated HNO₃ and </w:t>
      </w:r>
      <w:proofErr w:type="spellStart"/>
      <w:r>
        <w:t>HClO</w:t>
      </w:r>
      <w:proofErr w:type="spellEnd"/>
      <w:r>
        <w:t>₄ (in a ratio of 3:1) with heating until a clear digest was obtained. The digested samples were allowed to cool, filtered, and diluted to 100</w:t>
      </w:r>
      <w:r>
        <w:rPr>
          <w:highlight w:val="yellow"/>
        </w:rPr>
        <w:t xml:space="preserve"> </w:t>
      </w:r>
      <w:r>
        <w:t>m</w:t>
      </w:r>
      <w:r>
        <w:rPr>
          <w:highlight w:val="yellow"/>
        </w:rPr>
        <w:t>L</w:t>
      </w:r>
      <w:r>
        <w:t xml:space="preserve"> volume with deionized water. The concentrations of Ni, Fe, Pb, Cd, and Cr in the digested leaf, stalk, and root samples were determined using an Atomic Absorption Spectrophotometer (AAS). Appropriate calibration standards and reagent blanks were </w:t>
      </w:r>
      <w:proofErr w:type="spellStart"/>
      <w:r>
        <w:t>analysed</w:t>
      </w:r>
      <w:proofErr w:type="spellEnd"/>
      <w:r>
        <w:t xml:space="preserve"> alongside the samples to ensure analytical accuracy and quality control. The baseline concentration of each heavy metal was calculated from the respective calibration curve and </w:t>
      </w:r>
      <w:r>
        <w:rPr>
          <w:highlight w:val="yellow"/>
        </w:rPr>
        <w:t>expressed in mg/kg dry weight</w:t>
      </w:r>
      <w:r>
        <w:rPr>
          <w:highlight w:val="yellow"/>
        </w:rPr>
        <w:t xml:space="preserve">. These baseline values represented the initial metal burden of the </w:t>
      </w:r>
      <w:r>
        <w:rPr>
          <w:i/>
          <w:iCs/>
        </w:rPr>
        <w:t>E. crassipes</w:t>
      </w:r>
      <w:r>
        <w:t xml:space="preserve"> tissues before experimental exposure and were used for comparison with the metal concentrations measured after the phytoremediation experiment.</w:t>
      </w:r>
    </w:p>
    <w:p w14:paraId="621C0CCB" w14:textId="77777777" w:rsidR="00D24C44" w:rsidRDefault="00D24C44" w:rsidP="00D24C44">
      <w:pPr>
        <w:pStyle w:val="NormalWeb"/>
        <w:spacing w:before="0" w:beforeAutospacing="0" w:after="0" w:afterAutospacing="0" w:line="480" w:lineRule="auto"/>
        <w:jc w:val="both"/>
        <w:rPr>
          <w:b/>
          <w:bCs/>
        </w:rPr>
      </w:pPr>
      <w:r>
        <w:rPr>
          <w:b/>
          <w:bCs/>
        </w:rPr>
        <w:t>3.7.1 Percentage Removal Efficiency</w:t>
      </w:r>
    </w:p>
    <w:p w14:paraId="6923A062" w14:textId="77777777" w:rsidR="00D24C44" w:rsidRDefault="00D24C44" w:rsidP="00D24C44">
      <w:pPr>
        <w:pStyle w:val="NormalWeb"/>
        <w:spacing w:before="0" w:beforeAutospacing="0" w:after="0" w:afterAutospacing="0" w:line="480" w:lineRule="auto"/>
        <w:jc w:val="both"/>
      </w:pPr>
      <w:r>
        <w:t>The phytoremediation efficiency (removal percentage) was calculated using the formula:</w:t>
      </w:r>
    </w:p>
    <w:p w14:paraId="16CCCB3C" w14:textId="77777777" w:rsidR="00D24C44" w:rsidRDefault="00D24C44" w:rsidP="00D24C44">
      <w:pPr>
        <w:spacing w:line="480" w:lineRule="auto"/>
        <w:jc w:val="center"/>
        <w:rPr>
          <w:rFonts w:ascii="Times New Roman" w:hAnsi="Times New Roman"/>
          <w:sz w:val="24"/>
          <w:szCs w:val="24"/>
        </w:rPr>
      </w:pPr>
      <w:r>
        <w:rPr>
          <w:rStyle w:val="katex-error"/>
          <w:rFonts w:ascii="Times New Roman" w:hAnsi="Times New Roman"/>
          <w:sz w:val="24"/>
          <w:szCs w:val="24"/>
        </w:rPr>
        <w:t xml:space="preserve">Removal Efficiency (%) = </w:t>
      </w:r>
      <m:oMath>
        <m:f>
          <m:fPr>
            <m:ctrlPr>
              <w:rPr>
                <w:rFonts w:ascii="Cambria Math" w:eastAsia="SimSun" w:hAnsi="Cambria Math"/>
                <w:i/>
                <w:sz w:val="24"/>
                <w:szCs w:val="24"/>
                <w:lang w:eastAsia="zh-CN"/>
              </w:rPr>
            </m:ctrlPr>
          </m:fPr>
          <m:num>
            <m:r>
              <w:rPr>
                <w:rStyle w:val="katex-error"/>
                <w:rFonts w:ascii="Cambria Math" w:hAnsi="Cambria Math"/>
                <w:sz w:val="24"/>
                <w:szCs w:val="24"/>
              </w:rPr>
              <m:t>C initial-C final</m:t>
            </m:r>
          </m:num>
          <m:den>
            <m:r>
              <w:rPr>
                <w:rStyle w:val="katex-error"/>
                <w:rFonts w:ascii="Cambria Math" w:hAnsi="Cambria Math"/>
                <w:sz w:val="24"/>
                <w:szCs w:val="24"/>
              </w:rPr>
              <m:t>C initial</m:t>
            </m:r>
          </m:den>
        </m:f>
      </m:oMath>
      <w:r>
        <w:rPr>
          <w:rStyle w:val="katex-error"/>
          <w:rFonts w:ascii="Times New Roman" w:hAnsi="Times New Roman"/>
          <w:sz w:val="24"/>
          <w:szCs w:val="24"/>
        </w:rPr>
        <w:t xml:space="preserve"> X 100</w:t>
      </w:r>
    </w:p>
    <w:p w14:paraId="499D8B65" w14:textId="77777777" w:rsidR="00D24C44" w:rsidRDefault="00D24C44" w:rsidP="00D24C44">
      <w:pPr>
        <w:pStyle w:val="NormalWeb"/>
        <w:spacing w:before="0" w:beforeAutospacing="0" w:after="0" w:afterAutospacing="0" w:line="480" w:lineRule="auto"/>
        <w:jc w:val="both"/>
      </w:pPr>
      <w:r>
        <w:t>Where:</w:t>
      </w:r>
    </w:p>
    <w:p w14:paraId="3BF99049" w14:textId="77777777" w:rsidR="00D24C44" w:rsidRDefault="00D24C44" w:rsidP="00D24C44">
      <w:pPr>
        <w:pStyle w:val="NormalWeb"/>
        <w:numPr>
          <w:ilvl w:val="0"/>
          <w:numId w:val="33"/>
        </w:numPr>
        <w:spacing w:before="0" w:beforeAutospacing="0" w:after="0" w:afterAutospacing="0" w:line="480" w:lineRule="auto"/>
        <w:jc w:val="both"/>
      </w:pPr>
      <w:proofErr w:type="spellStart"/>
      <w:r>
        <w:rPr>
          <w:rStyle w:val="katex-mathml"/>
        </w:rPr>
        <w:t>C</w:t>
      </w:r>
      <w:r>
        <w:rPr>
          <w:rStyle w:val="katex-mathml"/>
          <w:vertAlign w:val="subscript"/>
        </w:rPr>
        <w:t>initial</w:t>
      </w:r>
      <w:proofErr w:type="spellEnd"/>
      <w:r>
        <w:rPr>
          <w:rStyle w:val="vlist-s"/>
        </w:rPr>
        <w:t>​</w:t>
      </w:r>
      <w:r>
        <w:t xml:space="preserve"> = Initial concentration of the pollutant (mg/L)</w:t>
      </w:r>
    </w:p>
    <w:p w14:paraId="70211E41" w14:textId="77777777" w:rsidR="00D24C44" w:rsidRDefault="00D24C44" w:rsidP="00D24C44">
      <w:pPr>
        <w:pStyle w:val="NormalWeb"/>
        <w:numPr>
          <w:ilvl w:val="0"/>
          <w:numId w:val="33"/>
        </w:numPr>
        <w:spacing w:before="0" w:beforeAutospacing="0" w:after="0" w:afterAutospacing="0" w:line="480" w:lineRule="auto"/>
        <w:jc w:val="both"/>
      </w:pPr>
      <w:proofErr w:type="spellStart"/>
      <w:r>
        <w:rPr>
          <w:rStyle w:val="katex-mathml"/>
        </w:rPr>
        <w:t>C</w:t>
      </w:r>
      <w:r>
        <w:rPr>
          <w:rStyle w:val="katex-mathml"/>
          <w:vertAlign w:val="subscript"/>
        </w:rPr>
        <w:t>final</w:t>
      </w:r>
      <w:proofErr w:type="spellEnd"/>
      <w:r>
        <w:t xml:space="preserve"> = Final concentration of the pollutant after treatment (mg/L)</w:t>
      </w:r>
    </w:p>
    <w:p w14:paraId="4192865E" w14:textId="77777777" w:rsidR="00D24C44" w:rsidRDefault="00D24C44" w:rsidP="00D24C44">
      <w:pPr>
        <w:pStyle w:val="NormalWeb"/>
        <w:spacing w:before="0" w:beforeAutospacing="0" w:after="0" w:afterAutospacing="0" w:line="480" w:lineRule="auto"/>
        <w:jc w:val="both"/>
      </w:pPr>
      <w:r/>
      <w:r>
        <w:rPr>
          <w:highlight w:val="yellow"/>
        </w:rPr>
        <w:t>This experimental design enabled a robust comparison of phytoremediation performance across the three pollution levels under uniform and controlled conditions.</w:t>
      </w:r>
    </w:p>
    <w:p w14:paraId="2D39AD93" w14:textId="77777777" w:rsidR="00D24C44" w:rsidRDefault="00D24C44" w:rsidP="00D24C44">
      <w:pPr>
        <w:spacing w:line="480" w:lineRule="auto"/>
        <w:jc w:val="both"/>
        <w:rPr>
          <w:rFonts w:ascii="Times New Roman" w:hAnsi="Times New Roman"/>
          <w:b/>
          <w:sz w:val="24"/>
          <w:szCs w:val="24"/>
        </w:rPr>
      </w:pPr>
      <w:r>
        <w:rPr>
          <w:rFonts w:ascii="Times New Roman" w:hAnsi="Times New Roman"/>
          <w:b/>
          <w:sz w:val="24"/>
          <w:szCs w:val="24"/>
        </w:rPr>
        <w:t>3.8 Data Collection and Statistical Analysis</w:t>
      </w:r>
    </w:p>
    <w:p w14:paraId="18C4A9AF" w14:textId="77777777" w:rsidR="00AA74E0" w:rsidRPr="00D24C44" w:rsidRDefault="00D24C44" w:rsidP="00D24C44">
      <w:pPr>
        <w:spacing w:line="480" w:lineRule="auto"/>
        <w:jc w:val="both"/>
        <w:rPr>
          <w:rFonts w:ascii="Times New Roman" w:hAnsi="Times New Roman"/>
          <w:sz w:val="24"/>
          <w:szCs w:val="24"/>
        </w:rPr>
      </w:pPr>
      <w:r>
        <w:rPr>
          <w:rFonts w:ascii="Times New Roman" w:hAnsi="Times New Roman"/>
          <w:sz w:val="24"/>
          <w:szCs w:val="24"/>
        </w:rPr>
        <w:t xml:space="preserve">The collected data were subjected to statistical analysis to determine the significance of differences between treatments, the temporal changes in metal concentrations, and the </w:t>
      </w:r>
      <w:r>
        <w:rPr>
          <w:rFonts w:ascii="Times New Roman" w:hAnsi="Times New Roman"/>
          <w:sz w:val="24"/>
          <w:szCs w:val="24"/>
          <w:highlight w:val="yellow"/>
        </w:rPr>
        <w:t xml:space="preserve">phytoremediation performance of </w:t>
      </w:r>
      <w:r>
        <w:rPr>
          <w:rFonts w:ascii="Times New Roman" w:hAnsi="Times New Roman"/>
          <w:i/>
          <w:iCs/>
          <w:sz w:val="24"/>
          <w:szCs w:val="24"/>
        </w:rPr>
        <w:t>Eichhornia crassipes</w:t>
      </w:r>
      <w:r>
        <w:rPr>
          <w:rFonts w:ascii="Times New Roman" w:hAnsi="Times New Roman"/>
          <w:i w:val="0"/>
          <w:sz w:val="24"/>
          <w:szCs w:val="24"/>
          <w:highlight w:val="yellow"/>
        </w:rPr>
        <w:t xml:space="preserve"> across the pollution levels</w:t>
      </w:r>
      <w:r>
        <w:rPr>
          <w:rFonts w:ascii="Times New Roman" w:hAnsi="Times New Roman"/>
          <w:i/>
          <w:iCs/>
          <w:sz w:val="24"/>
          <w:szCs w:val="24"/>
        </w:rPr>
      </w:r>
      <w:r>
        <w:rPr>
          <w:rFonts w:ascii="Times New Roman" w:hAnsi="Times New Roman"/>
          <w:sz w:val="24"/>
          <w:szCs w:val="24"/>
        </w:rPr>
        <w:t xml:space="preserve">. Means, standard deviations (SD), and coefficients of variation were calculated for all measured parameters to </w:t>
      </w:r>
      <w:proofErr w:type="spellStart"/>
      <w:r>
        <w:rPr>
          <w:rFonts w:ascii="Times New Roman" w:hAnsi="Times New Roman"/>
          <w:sz w:val="24"/>
          <w:szCs w:val="24"/>
        </w:rPr>
        <w:t>summari</w:t>
      </w:r>
      <w:r>
        <w:rPr>
          <w:rFonts w:ascii="Times New Roman" w:hAnsi="Times New Roman"/>
          <w:sz w:val="24"/>
          <w:szCs w:val="24"/>
          <w:highlight w:val="yellow"/>
        </w:rPr>
        <w:t>s</w:t>
      </w:r>
      <w:r>
        <w:rPr>
          <w:rFonts w:ascii="Times New Roman" w:hAnsi="Times New Roman"/>
          <w:sz w:val="24"/>
          <w:szCs w:val="24"/>
        </w:rPr>
        <w:t>e</w:t>
      </w:r>
      <w:proofErr w:type="spellEnd"/>
      <w:r>
        <w:rPr>
          <w:rFonts w:ascii="Times New Roman" w:hAnsi="Times New Roman"/>
          <w:sz w:val="24"/>
          <w:szCs w:val="24"/>
        </w:rPr>
        <w:t xml:space="preserve"> the central tendencies and variability of the data. One-way ANOVA was used to test for significant differences (p &lt; 0.05) in metal concentrations across treatment groups and time intervals. Where significant differences were found, post hoc comparisons using </w:t>
      </w:r>
      <w:r>
        <w:rPr>
          <w:rFonts w:ascii="Times New Roman" w:hAnsi="Times New Roman"/>
          <w:bCs/>
          <w:sz w:val="24"/>
          <w:szCs w:val="24"/>
        </w:rPr>
        <w:t>Tukey’s Honestly Significant Difference (HSD</w:t>
      </w:r>
      <w:r>
        <w:rPr>
          <w:rFonts w:ascii="Times New Roman" w:hAnsi="Times New Roman"/>
          <w:b/>
          <w:bCs/>
          <w:sz w:val="24"/>
          <w:szCs w:val="24"/>
        </w:rPr>
        <w:t>)</w:t>
      </w:r>
      <w:r>
        <w:rPr>
          <w:rFonts w:ascii="Times New Roman" w:hAnsi="Times New Roman"/>
          <w:sz w:val="24"/>
          <w:szCs w:val="24"/>
        </w:rPr>
        <w:t xml:space="preserve"> test were conducted</w:t>
      </w:r>
      <w:r>
        <w:rPr>
          <w:rFonts w:ascii="Times New Roman" w:hAnsi="Times New Roman"/>
          <w:i/>
          <w:iCs/>
          <w:sz w:val="24"/>
          <w:szCs w:val="24"/>
        </w:rPr>
      </w:r>
      <w:r>
        <w:rPr>
          <w:rFonts w:ascii="Times New Roman" w:hAnsi="Times New Roman"/>
          <w:sz w:val="24"/>
          <w:szCs w:val="24"/>
        </w:rPr>
        <w:t xml:space="preserve">. </w:t>
      </w:r>
      <w:r>
        <w:rPr>
          <w:rFonts w:ascii="Times New Roman" w:hAnsi="Times New Roman"/>
          <w:bCs/>
          <w:sz w:val="24"/>
          <w:szCs w:val="24"/>
        </w:rPr>
        <w:t>Paired t-tests</w:t>
      </w:r>
      <w:r>
        <w:rPr>
          <w:rFonts w:ascii="Times New Roman" w:hAnsi="Times New Roman"/>
          <w:sz w:val="24"/>
          <w:szCs w:val="24"/>
        </w:rPr>
        <w:t xml:space="preserve"> were used to compare initial and final concentrations within the same treatment groups to evaluate the temporal effectiveness of phytoremediation. A significance level of </w:t>
      </w:r>
      <w:r>
        <w:rPr>
          <w:rStyle w:val="katex-mathml"/>
          <w:rFonts w:ascii="Times New Roman" w:hAnsi="Times New Roman"/>
          <w:sz w:val="24"/>
          <w:szCs w:val="24"/>
        </w:rPr>
        <w:t>p</w:t>
      </w:r>
      <w:r>
        <w:rPr>
          <w:rStyle w:val="katex-mathml"/>
          <w:rFonts w:ascii="Times New Roman" w:hAnsi="Times New Roman"/>
          <w:sz w:val="24"/>
          <w:szCs w:val="24"/>
          <w:highlight w:val="yellow"/>
        </w:rPr>
        <w:t xml:space="preserve"> </w:t>
      </w:r>
      <w:r>
        <w:rPr>
          <w:rStyle w:val="katex-mathml"/>
          <w:rFonts w:ascii="Times New Roman" w:hAnsi="Times New Roman"/>
          <w:sz w:val="24"/>
          <w:szCs w:val="24"/>
        </w:rPr>
        <w:t>&lt;</w:t>
      </w:r>
      <w:r>
        <w:rPr>
          <w:rStyle w:val="katex-mathml"/>
          <w:rFonts w:ascii="Times New Roman" w:hAnsi="Times New Roman"/>
          <w:sz w:val="24"/>
          <w:szCs w:val="24"/>
          <w:highlight w:val="yellow"/>
        </w:rPr>
        <w:t xml:space="preserve"> </w:t>
      </w:r>
      <w:r>
        <w:rPr>
          <w:rStyle w:val="katex-mathml"/>
          <w:rFonts w:ascii="Times New Roman" w:hAnsi="Times New Roman"/>
          <w:sz w:val="24"/>
          <w:szCs w:val="24"/>
        </w:rPr>
        <w:t xml:space="preserve">0.05 </w:t>
      </w:r>
      <w:r>
        <w:rPr>
          <w:rFonts w:ascii="Times New Roman" w:hAnsi="Times New Roman"/>
          <w:sz w:val="24"/>
          <w:szCs w:val="24"/>
        </w:rPr>
        <w:t>was adopted.</w:t>
      </w:r>
      <w:r>
        <w:rPr>
          <w:rFonts w:ascii="Arial" w:hAnsi="Arial" w:cs="Arial"/>
        </w:rPr>
        <w:t xml:space="preserve"> </w:t>
      </w:r>
    </w:p>
    <w:p w14:paraId="4BAE6AC7" w14:textId="77777777" w:rsidR="00790ADA" w:rsidRPr="00FB3A86" w:rsidRDefault="00790ADA" w:rsidP="00441B6F">
      <w:pPr>
        <w:pStyle w:val="Body"/>
        <w:spacing w:after="0"/>
        <w:rPr>
          <w:rFonts w:ascii="Arial" w:hAnsi="Arial" w:cs="Arial"/>
        </w:rPr>
      </w:pPr>
    </w:p>
    <w:p w14:paraId="7D4323B7"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3BE1201" w14:textId="77777777" w:rsidR="00790ADA" w:rsidRPr="00FB3A86" w:rsidRDefault="00790ADA" w:rsidP="00441B6F">
      <w:pPr>
        <w:pStyle w:val="Head1"/>
        <w:spacing w:after="0"/>
        <w:jc w:val="both"/>
        <w:rPr>
          <w:rFonts w:ascii="Arial" w:hAnsi="Arial" w:cs="Arial"/>
        </w:rPr>
      </w:pPr>
    </w:p>
    <w:p w14:paraId="7DC560D7"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t>4.1 Results</w:t>
      </w:r>
    </w:p>
    <w:p w14:paraId="182105F4"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t>4.1.1 Baseline Heavy Metal Concentrations in Spent Oil before simulation</w:t>
      </w:r>
    </w:p>
    <w:p w14:paraId="45EE2035"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highlight w:val="yellow"/>
        </w:rPr>
        <w:t>Table 2</w:t>
      </w:r>
      <w:r>
        <w:rPr>
          <w:rFonts w:ascii="Times New Roman" w:hAnsi="Times New Roman"/>
          <w:sz w:val="24"/>
          <w:szCs w:val="24"/>
          <w:highlight w:val="yellow"/>
        </w:rPr>
        <w:t xml:space="preserve"> presents the baseline concentrations of nickel (Ni), iron (Fe), lead (Pb), cadmium (Cd), and chromium (Cr) detected in the spent oil used for the preparation of the simulated polluted water. The results showed that Ni had the highest concentration (0.7864 ± 0.0008 mg/L), followed by Fe (0.5187 ± 0.0012 mg/L), Cd (0.0868 ± 0.0002 mg/L), </w:t>
      </w:r>
      <w:r>
        <w:rPr>
          <w:rFonts w:ascii="Times New Roman" w:hAnsi="Times New Roman"/>
          <w:sz w:val="24"/>
          <w:szCs w:val="24"/>
          <w:highlight w:val="yellow"/>
        </w:rPr>
        <w:t xml:space="preserve">and </w:t>
      </w:r>
      <w:r>
        <w:rPr>
          <w:rFonts w:ascii="Times New Roman" w:hAnsi="Times New Roman"/>
          <w:sz w:val="24"/>
          <w:szCs w:val="24"/>
        </w:rPr>
        <w:t>Pb (0.0186 ± 0.0004 mg/L), w</w:t>
      </w:r>
      <w:r>
        <w:rPr>
          <w:rFonts w:ascii="Times New Roman" w:hAnsi="Times New Roman"/>
          <w:sz w:val="24"/>
          <w:szCs w:val="24"/>
          <w:highlight w:val="yellow"/>
        </w:rPr>
        <w:t>it</w:t>
      </w:r>
      <w:r>
        <w:rPr>
          <w:rFonts w:ascii="Times New Roman" w:hAnsi="Times New Roman"/>
          <w:sz w:val="24"/>
          <w:szCs w:val="24"/>
        </w:rPr>
        <w:t>h Cr record</w:t>
      </w:r>
      <w:r>
        <w:rPr>
          <w:rFonts w:ascii="Times New Roman" w:hAnsi="Times New Roman"/>
          <w:sz w:val="24"/>
          <w:szCs w:val="24"/>
          <w:highlight w:val="yellow"/>
        </w:rPr>
        <w:t>ing</w:t>
      </w:r>
      <w:r>
        <w:rPr>
          <w:rFonts w:ascii="Times New Roman" w:hAnsi="Times New Roman"/>
          <w:sz w:val="24"/>
          <w:szCs w:val="24"/>
        </w:rPr>
        <w:t xml:space="preserve"> the lowest concentration (0.0149 ± 0.0003 mg/L). The relatively high concentration of Ni suggests that nickel was the predominant heavy metal in the spent oil. Nickel can originate from metallic components, engine wear, lubricating-oil additives, and combustion-related processes associated with petroleum products. The relatively high concentration of Fe may similarly be associated with abrasion and corrosion of ferrous engine components during equipment operation. The presence of Cd, Cr</w:t>
      </w:r>
      <w:r>
        <w:rPr>
          <w:rFonts w:ascii="Times New Roman" w:hAnsi="Times New Roman"/>
          <w:sz w:val="24"/>
          <w:szCs w:val="24"/>
          <w:highlight w:val="yellow"/>
        </w:rPr>
        <w:t>,</w:t>
      </w:r>
      <w:r>
        <w:rPr>
          <w:rFonts w:ascii="Times New Roman" w:hAnsi="Times New Roman"/>
          <w:sz w:val="24"/>
          <w:szCs w:val="24"/>
        </w:rPr>
        <w:t xml:space="preserve"> and Pb at lower concentrations indicates that these metals were also present in the spent oil and could potentially contribute to metal contamination when the oil enters aquatic environments.</w:t>
      </w:r>
    </w:p>
    <w:p w14:paraId="5B565E6E" w14:textId="77777777" w:rsidR="003B3A3D" w:rsidRDefault="003B3A3D" w:rsidP="003B3A3D">
      <w:pPr>
        <w:spacing w:line="480" w:lineRule="auto"/>
        <w:jc w:val="both"/>
        <w:rPr>
          <w:rFonts w:ascii="Times New Roman" w:hAnsi="Times New Roman"/>
          <w:b/>
          <w:bCs/>
          <w:sz w:val="24"/>
          <w:szCs w:val="24"/>
        </w:rPr>
      </w:pPr>
      <w:r>
        <w:rPr>
          <w:rFonts w:ascii="Times New Roman" w:hAnsi="Times New Roman"/>
          <w:b/>
          <w:bCs/>
          <w:sz w:val="24"/>
          <w:szCs w:val="24"/>
        </w:rPr>
        <w:t xml:space="preserve">4.1.2 Baseline Heavy Metal Concentrations in </w:t>
      </w:r>
      <w:r>
        <w:rPr>
          <w:rFonts w:ascii="Times New Roman" w:hAnsi="Times New Roman"/>
          <w:b/>
          <w:bCs/>
          <w:i/>
          <w:iCs/>
          <w:sz w:val="24"/>
          <w:szCs w:val="24"/>
        </w:rPr>
        <w:t>Eichhornia crassipes</w:t>
      </w:r>
      <w:r>
        <w:rPr>
          <w:rFonts w:ascii="Times New Roman" w:hAnsi="Times New Roman"/>
          <w:b/>
          <w:bCs/>
          <w:sz w:val="24"/>
          <w:szCs w:val="24"/>
        </w:rPr>
        <w:t xml:space="preserve"> Before Exposure</w:t>
      </w:r>
    </w:p>
    <w:p w14:paraId="1B717F40"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highlight w:val="yellow"/>
        </w:rPr>
        <w:t>Table 3 presents</w:t>
      </w:r>
      <w:r>
        <w:rPr>
          <w:rFonts w:ascii="Times New Roman" w:hAnsi="Times New Roman"/>
          <w:sz w:val="24"/>
          <w:szCs w:val="24"/>
          <w:highlight w:val="yellow"/>
        </w:rPr>
        <w:t xml:space="preserve"> the baseline concentrations of Ni, Fe, Pb, Cd</w:t>
      </w:r>
      <w:r>
        <w:rPr>
          <w:rFonts w:ascii="Times New Roman" w:hAnsi="Times New Roman"/>
          <w:sz w:val="24"/>
          <w:szCs w:val="24"/>
          <w:highlight w:val="yellow"/>
        </w:rPr>
        <w:t>,</w:t>
      </w:r>
      <w:r>
        <w:rPr>
          <w:rFonts w:ascii="Times New Roman" w:hAnsi="Times New Roman"/>
          <w:sz w:val="24"/>
          <w:szCs w:val="24"/>
        </w:rPr>
        <w:t xml:space="preserve"> and Cr in the leaf, stalk</w:t>
      </w:r>
      <w:r>
        <w:rPr>
          <w:rFonts w:ascii="Times New Roman" w:hAnsi="Times New Roman"/>
          <w:sz w:val="24"/>
          <w:szCs w:val="24"/>
          <w:highlight w:val="yellow"/>
        </w:rPr>
        <w:t>,</w:t>
      </w:r>
      <w:r>
        <w:rPr>
          <w:rFonts w:ascii="Times New Roman" w:hAnsi="Times New Roman"/>
          <w:sz w:val="24"/>
          <w:szCs w:val="24"/>
        </w:rPr>
        <w:t xml:space="preserve"> and root tissues of </w:t>
      </w:r>
      <w:r>
        <w:rPr>
          <w:rFonts w:ascii="Times New Roman" w:hAnsi="Times New Roman"/>
          <w:i/>
          <w:iCs/>
          <w:sz w:val="24"/>
          <w:szCs w:val="24"/>
        </w:rPr>
        <w:t>Eichhornia crassipes</w:t>
      </w:r>
      <w:r>
        <w:rPr>
          <w:rFonts w:ascii="Times New Roman" w:hAnsi="Times New Roman"/>
          <w:sz w:val="24"/>
          <w:szCs w:val="24"/>
        </w:rPr>
        <w:t xml:space="preserve"> before exposure to the simulated polluted water. The results showed that all the investigated heavy metals were present at very low concentrations in the plant tissues prior to exposure, indicating a low background metal burden in the plant. For Ni, the highest concentration was recorded in the root (0.0007 ± 0.0001 mg/kg), followed by the leaf (0.0004 ± 0.0001 mg/kg), while the stalk had the lowest concentration (0.0001 ± 0.0000 mg/kg). The concentration of Fe was highest in the root (0.0018 ± 0.0002 mg/kg), followed by the stalk (0.0013 ± 0.0002 mg/kg), while the leaf recorded the lowest concentration (0.0006 ± 0.0001 mg/kg). For Pb, the root recorded the highest concentration (0.0006 ± 0.0001 mg/kg), followed by the stalk (0.0004 ± 0.0001 mg/kg), whereas the leaf had the lowest concentration (0.0001 ± 0.0000 mg/kg). Cd showed a different distribution pattern. The stalk recorded the highest concentration (0.0009 ± 0.0002 mg/kg), followed by the leaf (0.0004 ± 0.0001 mg/kg), while the root had the lowest concentration (0.0003 ± 0.0001 mg/kg). For Cr, the highest concentration was observed in the leaf (0.0009 ± 0.0002 mg/kg), followed by the stalk (0.0006 ± 0.0001 mg/kg), while the root recorded the lowest concentration (0.0002 ± 0.0001 mg/kg). </w:t>
      </w:r>
    </w:p>
    <w:p w14:paraId="6C2B7331"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59EF20CD"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Table </w:t>
      </w:r>
      <w:r w:rsidR="007C311F">
        <w:rPr>
          <w:rFonts w:ascii="Times New Roman" w:hAnsi="Times New Roman"/>
          <w:b/>
          <w:bCs/>
          <w:sz w:val="24"/>
          <w:szCs w:val="24"/>
        </w:rPr>
        <w:t>2</w:t>
      </w:r>
      <w:r>
        <w:rPr>
          <w:rFonts w:ascii="Times New Roman" w:hAnsi="Times New Roman"/>
          <w:b/>
          <w:bCs/>
          <w:sz w:val="24"/>
          <w:szCs w:val="24"/>
        </w:rPr>
        <w:t>: Baseline Heavy Metal Concentrations in Spent Oil</w:t>
      </w:r>
    </w:p>
    <w:tbl>
      <w:tblPr>
        <w:tblW w:w="9376" w:type="dxa"/>
        <w:tblCellSpacing w:w="15" w:type="dxa"/>
        <w:tblLook w:val="04A0" w:firstRow="1" w:lastRow="0" w:firstColumn="1" w:lastColumn="0" w:noHBand="0" w:noVBand="1"/>
      </w:tblPr>
      <w:tblGrid>
        <w:gridCol w:w="3290"/>
        <w:gridCol w:w="6086"/>
      </w:tblGrid>
      <w:tr w:rsidR="003B3A3D" w14:paraId="3F528D61" w14:textId="77777777">
        <w:trPr>
          <w:trHeight w:val="799"/>
          <w:tblHeader/>
          <w:tblCellSpacing w:w="15" w:type="dxa"/>
        </w:trPr>
        <w:tc>
          <w:tcPr>
            <w:tcW w:w="3245" w:type="dxa"/>
            <w:tcBorders>
              <w:top w:val="single" w:sz="4" w:space="0" w:color="auto"/>
              <w:left w:val="nil"/>
              <w:bottom w:val="nil"/>
              <w:right w:val="nil"/>
            </w:tcBorders>
            <w:tcMar>
              <w:top w:w="15" w:type="dxa"/>
              <w:left w:w="15" w:type="dxa"/>
              <w:bottom w:w="15" w:type="dxa"/>
              <w:right w:w="15" w:type="dxa"/>
            </w:tcMar>
            <w:vAlign w:val="center"/>
            <w:hideMark/>
          </w:tcPr>
          <w:p w14:paraId="45CA3802"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 metal</w:t>
            </w:r>
          </w:p>
        </w:tc>
        <w:tc>
          <w:tcPr>
            <w:tcW w:w="6041" w:type="dxa"/>
            <w:tcBorders>
              <w:top w:val="single" w:sz="4" w:space="0" w:color="auto"/>
              <w:left w:val="nil"/>
              <w:bottom w:val="nil"/>
              <w:right w:val="nil"/>
            </w:tcBorders>
            <w:tcMar>
              <w:top w:w="15" w:type="dxa"/>
              <w:left w:w="15" w:type="dxa"/>
              <w:bottom w:w="15" w:type="dxa"/>
              <w:right w:w="15" w:type="dxa"/>
            </w:tcMar>
            <w:vAlign w:val="center"/>
            <w:hideMark/>
          </w:tcPr>
          <w:p w14:paraId="79D36EE7"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Concentration (mg/L), mean ± SD</w:t>
            </w:r>
          </w:p>
        </w:tc>
      </w:tr>
      <w:tr w:rsidR="003B3A3D" w14:paraId="65818FD8" w14:textId="77777777">
        <w:trPr>
          <w:trHeight w:val="779"/>
          <w:tblCellSpacing w:w="15" w:type="dxa"/>
        </w:trPr>
        <w:tc>
          <w:tcPr>
            <w:tcW w:w="3245" w:type="dxa"/>
            <w:tcBorders>
              <w:top w:val="single" w:sz="4" w:space="0" w:color="auto"/>
              <w:left w:val="nil"/>
              <w:bottom w:val="nil"/>
              <w:right w:val="nil"/>
            </w:tcBorders>
            <w:tcMar>
              <w:top w:w="15" w:type="dxa"/>
              <w:left w:w="15" w:type="dxa"/>
              <w:bottom w:w="15" w:type="dxa"/>
              <w:right w:w="15" w:type="dxa"/>
            </w:tcMar>
            <w:vAlign w:val="center"/>
            <w:hideMark/>
          </w:tcPr>
          <w:p w14:paraId="5D0686A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Ni</w:t>
            </w:r>
          </w:p>
        </w:tc>
        <w:tc>
          <w:tcPr>
            <w:tcW w:w="6041" w:type="dxa"/>
            <w:tcBorders>
              <w:top w:val="single" w:sz="4" w:space="0" w:color="auto"/>
              <w:left w:val="nil"/>
              <w:bottom w:val="nil"/>
              <w:right w:val="nil"/>
            </w:tcBorders>
            <w:tcMar>
              <w:top w:w="15" w:type="dxa"/>
              <w:left w:w="15" w:type="dxa"/>
              <w:bottom w:w="15" w:type="dxa"/>
              <w:right w:w="15" w:type="dxa"/>
            </w:tcMar>
            <w:vAlign w:val="center"/>
            <w:hideMark/>
          </w:tcPr>
          <w:p w14:paraId="5E6861E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0.7864 ± 0.0008</w:t>
            </w:r>
          </w:p>
        </w:tc>
      </w:tr>
      <w:tr w:rsidR="003B3A3D" w14:paraId="1E726448" w14:textId="77777777">
        <w:trPr>
          <w:trHeight w:val="799"/>
          <w:tblCellSpacing w:w="15" w:type="dxa"/>
        </w:trPr>
        <w:tc>
          <w:tcPr>
            <w:tcW w:w="3245" w:type="dxa"/>
            <w:tcMar>
              <w:top w:w="15" w:type="dxa"/>
              <w:left w:w="15" w:type="dxa"/>
              <w:bottom w:w="15" w:type="dxa"/>
              <w:right w:w="15" w:type="dxa"/>
            </w:tcMar>
            <w:vAlign w:val="center"/>
            <w:hideMark/>
          </w:tcPr>
          <w:p w14:paraId="36784E00"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Fe</w:t>
            </w:r>
          </w:p>
        </w:tc>
        <w:tc>
          <w:tcPr>
            <w:tcW w:w="6041" w:type="dxa"/>
            <w:tcMar>
              <w:top w:w="15" w:type="dxa"/>
              <w:left w:w="15" w:type="dxa"/>
              <w:bottom w:w="15" w:type="dxa"/>
              <w:right w:w="15" w:type="dxa"/>
            </w:tcMar>
            <w:vAlign w:val="center"/>
            <w:hideMark/>
          </w:tcPr>
          <w:p w14:paraId="40552B7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0.5187 ± 0.0012</w:t>
            </w:r>
          </w:p>
        </w:tc>
      </w:tr>
      <w:tr w:rsidR="003B3A3D" w14:paraId="7A0F12D2" w14:textId="77777777">
        <w:trPr>
          <w:trHeight w:val="779"/>
          <w:tblCellSpacing w:w="15" w:type="dxa"/>
        </w:trPr>
        <w:tc>
          <w:tcPr>
            <w:tcW w:w="3245" w:type="dxa"/>
            <w:tcMar>
              <w:top w:w="15" w:type="dxa"/>
              <w:left w:w="15" w:type="dxa"/>
              <w:bottom w:w="15" w:type="dxa"/>
              <w:right w:w="15" w:type="dxa"/>
            </w:tcMar>
            <w:vAlign w:val="center"/>
            <w:hideMark/>
          </w:tcPr>
          <w:p w14:paraId="257DDA0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Pb</w:t>
            </w:r>
          </w:p>
        </w:tc>
        <w:tc>
          <w:tcPr>
            <w:tcW w:w="6041" w:type="dxa"/>
            <w:tcMar>
              <w:top w:w="15" w:type="dxa"/>
              <w:left w:w="15" w:type="dxa"/>
              <w:bottom w:w="15" w:type="dxa"/>
              <w:right w:w="15" w:type="dxa"/>
            </w:tcMar>
            <w:vAlign w:val="center"/>
            <w:hideMark/>
          </w:tcPr>
          <w:p w14:paraId="6821F70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0.0186 ± 0.0004</w:t>
            </w:r>
          </w:p>
        </w:tc>
      </w:tr>
      <w:tr w:rsidR="003B3A3D" w14:paraId="43A34581" w14:textId="77777777">
        <w:trPr>
          <w:trHeight w:val="799"/>
          <w:tblCellSpacing w:w="15" w:type="dxa"/>
        </w:trPr>
        <w:tc>
          <w:tcPr>
            <w:tcW w:w="3245" w:type="dxa"/>
            <w:tcMar>
              <w:top w:w="15" w:type="dxa"/>
              <w:left w:w="15" w:type="dxa"/>
              <w:bottom w:w="15" w:type="dxa"/>
              <w:right w:w="15" w:type="dxa"/>
            </w:tcMar>
            <w:vAlign w:val="center"/>
            <w:hideMark/>
          </w:tcPr>
          <w:p w14:paraId="2F51FA7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Cd</w:t>
            </w:r>
          </w:p>
        </w:tc>
        <w:tc>
          <w:tcPr>
            <w:tcW w:w="6041" w:type="dxa"/>
            <w:tcMar>
              <w:top w:w="15" w:type="dxa"/>
              <w:left w:w="15" w:type="dxa"/>
              <w:bottom w:w="15" w:type="dxa"/>
              <w:right w:w="15" w:type="dxa"/>
            </w:tcMar>
            <w:vAlign w:val="center"/>
            <w:hideMark/>
          </w:tcPr>
          <w:p w14:paraId="7702DB48"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0.0868 ± 0.0002</w:t>
            </w:r>
          </w:p>
        </w:tc>
      </w:tr>
      <w:tr w:rsidR="003B3A3D" w14:paraId="2F8FA872" w14:textId="77777777">
        <w:trPr>
          <w:trHeight w:val="799"/>
          <w:tblCellSpacing w:w="15" w:type="dxa"/>
        </w:trPr>
        <w:tc>
          <w:tcPr>
            <w:tcW w:w="3245" w:type="dxa"/>
            <w:tcBorders>
              <w:top w:val="nil"/>
              <w:left w:val="nil"/>
              <w:bottom w:val="single" w:sz="4" w:space="0" w:color="auto"/>
              <w:right w:val="nil"/>
            </w:tcBorders>
            <w:tcMar>
              <w:top w:w="15" w:type="dxa"/>
              <w:left w:w="15" w:type="dxa"/>
              <w:bottom w:w="15" w:type="dxa"/>
              <w:right w:w="15" w:type="dxa"/>
            </w:tcMar>
            <w:vAlign w:val="center"/>
            <w:hideMark/>
          </w:tcPr>
          <w:p w14:paraId="69AE328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Cr</w:t>
            </w:r>
          </w:p>
        </w:tc>
        <w:tc>
          <w:tcPr>
            <w:tcW w:w="6041" w:type="dxa"/>
            <w:tcBorders>
              <w:top w:val="nil"/>
              <w:left w:val="nil"/>
              <w:bottom w:val="single" w:sz="4" w:space="0" w:color="auto"/>
              <w:right w:val="nil"/>
            </w:tcBorders>
            <w:tcMar>
              <w:top w:w="15" w:type="dxa"/>
              <w:left w:w="15" w:type="dxa"/>
              <w:bottom w:w="15" w:type="dxa"/>
              <w:right w:w="15" w:type="dxa"/>
            </w:tcMar>
            <w:vAlign w:val="center"/>
            <w:hideMark/>
          </w:tcPr>
          <w:p w14:paraId="5AD4C4D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0.0149 ± 0.0003</w:t>
            </w:r>
          </w:p>
        </w:tc>
      </w:tr>
    </w:tbl>
    <w:p w14:paraId="353DF66E" w14:textId="77777777" w:rsidR="003B3A3D" w:rsidRDefault="003B3A3D" w:rsidP="003B3A3D">
      <w:pPr>
        <w:jc w:val="both"/>
        <w:rPr>
          <w:rFonts w:ascii="Times New Roman" w:eastAsia="SimSun" w:hAnsi="Times New Roman"/>
          <w:b/>
          <w:bCs/>
          <w:sz w:val="24"/>
          <w:szCs w:val="24"/>
          <w:lang w:eastAsia="zh-CN"/>
        </w:rPr>
      </w:pPr>
    </w:p>
    <w:p w14:paraId="2523ABB6"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647F1F1C"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Table 3: Baseline Heavy Metal Concentrations in </w:t>
      </w:r>
      <w:r>
        <w:rPr>
          <w:rFonts w:ascii="Times New Roman" w:hAnsi="Times New Roman"/>
          <w:b/>
          <w:bCs/>
          <w:i/>
          <w:iCs/>
          <w:sz w:val="24"/>
          <w:szCs w:val="24"/>
        </w:rPr>
        <w:t>Eichhornia crassipes</w:t>
      </w:r>
      <w:r>
        <w:rPr>
          <w:rFonts w:ascii="Times New Roman" w:hAnsi="Times New Roman"/>
          <w:b/>
          <w:bCs/>
          <w:sz w:val="24"/>
          <w:szCs w:val="24"/>
        </w:rPr>
        <w:t xml:space="preserve"> Before Exposure</w:t>
      </w:r>
    </w:p>
    <w:tbl>
      <w:tblPr>
        <w:tblW w:w="9322" w:type="dxa"/>
        <w:tblCellSpacing w:w="15" w:type="dxa"/>
        <w:tblLook w:val="04A0" w:firstRow="1" w:lastRow="0" w:firstColumn="1" w:lastColumn="0" w:noHBand="0" w:noVBand="1"/>
      </w:tblPr>
      <w:tblGrid>
        <w:gridCol w:w="2017"/>
        <w:gridCol w:w="2430"/>
        <w:gridCol w:w="2430"/>
        <w:gridCol w:w="2445"/>
      </w:tblGrid>
      <w:tr w:rsidR="003B3A3D" w14:paraId="27261696" w14:textId="77777777">
        <w:trPr>
          <w:trHeight w:val="735"/>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BD965A3"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 metal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E1D10B4"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Leaf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C16B836"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Stalk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EA5BBE5"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Root (mg/kg)</w:t>
            </w:r>
          </w:p>
        </w:tc>
      </w:tr>
      <w:tr w:rsidR="003B3A3D" w14:paraId="3C19327A" w14:textId="77777777">
        <w:trPr>
          <w:trHeight w:val="718"/>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B3D3C8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Ni</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747DE2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0.0004 ± 0.0001</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B239482"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0.0001 ± 0.0000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F04F43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0.0007 ± 0.0001</w:t>
            </w:r>
          </w:p>
        </w:tc>
      </w:tr>
      <w:tr w:rsidR="003B3A3D" w14:paraId="7DA3FEE9" w14:textId="77777777">
        <w:trPr>
          <w:trHeight w:val="735"/>
          <w:tblCellSpacing w:w="15" w:type="dxa"/>
        </w:trPr>
        <w:tc>
          <w:tcPr>
            <w:tcW w:w="0" w:type="auto"/>
            <w:tcMar>
              <w:top w:w="15" w:type="dxa"/>
              <w:left w:w="15" w:type="dxa"/>
              <w:bottom w:w="15" w:type="dxa"/>
              <w:right w:w="15" w:type="dxa"/>
            </w:tcMar>
            <w:vAlign w:val="center"/>
            <w:hideMark/>
          </w:tcPr>
          <w:p w14:paraId="2DB2460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Fe</w:t>
            </w:r>
          </w:p>
        </w:tc>
        <w:tc>
          <w:tcPr>
            <w:tcW w:w="0" w:type="auto"/>
            <w:tcMar>
              <w:top w:w="15" w:type="dxa"/>
              <w:left w:w="15" w:type="dxa"/>
              <w:bottom w:w="15" w:type="dxa"/>
              <w:right w:w="15" w:type="dxa"/>
            </w:tcMar>
            <w:vAlign w:val="center"/>
            <w:hideMark/>
          </w:tcPr>
          <w:p w14:paraId="2B34DD2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0.0006 ± 0.0001</w:t>
            </w:r>
          </w:p>
        </w:tc>
        <w:tc>
          <w:tcPr>
            <w:tcW w:w="0" w:type="auto"/>
            <w:tcMar>
              <w:top w:w="15" w:type="dxa"/>
              <w:left w:w="15" w:type="dxa"/>
              <w:bottom w:w="15" w:type="dxa"/>
              <w:right w:w="15" w:type="dxa"/>
            </w:tcMar>
            <w:vAlign w:val="center"/>
            <w:hideMark/>
          </w:tcPr>
          <w:p w14:paraId="2615B308"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0.0013 ± 0.0002</w:t>
            </w:r>
          </w:p>
        </w:tc>
        <w:tc>
          <w:tcPr>
            <w:tcW w:w="0" w:type="auto"/>
            <w:tcMar>
              <w:top w:w="15" w:type="dxa"/>
              <w:left w:w="15" w:type="dxa"/>
              <w:bottom w:w="15" w:type="dxa"/>
              <w:right w:w="15" w:type="dxa"/>
            </w:tcMar>
            <w:vAlign w:val="center"/>
            <w:hideMark/>
          </w:tcPr>
          <w:p w14:paraId="29820FC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0.0018 ± 0.0002</w:t>
            </w:r>
          </w:p>
        </w:tc>
      </w:tr>
      <w:tr w:rsidR="003B3A3D" w14:paraId="64815DB6" w14:textId="77777777">
        <w:trPr>
          <w:trHeight w:val="718"/>
          <w:tblCellSpacing w:w="15" w:type="dxa"/>
        </w:trPr>
        <w:tc>
          <w:tcPr>
            <w:tcW w:w="0" w:type="auto"/>
            <w:tcMar>
              <w:top w:w="15" w:type="dxa"/>
              <w:left w:w="15" w:type="dxa"/>
              <w:bottom w:w="15" w:type="dxa"/>
              <w:right w:w="15" w:type="dxa"/>
            </w:tcMar>
            <w:vAlign w:val="center"/>
            <w:hideMark/>
          </w:tcPr>
          <w:p w14:paraId="177724A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Pb</w:t>
            </w:r>
          </w:p>
        </w:tc>
        <w:tc>
          <w:tcPr>
            <w:tcW w:w="0" w:type="auto"/>
            <w:tcMar>
              <w:top w:w="15" w:type="dxa"/>
              <w:left w:w="15" w:type="dxa"/>
              <w:bottom w:w="15" w:type="dxa"/>
              <w:right w:w="15" w:type="dxa"/>
            </w:tcMar>
            <w:vAlign w:val="center"/>
            <w:hideMark/>
          </w:tcPr>
          <w:p w14:paraId="50C53B9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0.0001 ± 0.0000</w:t>
            </w:r>
          </w:p>
        </w:tc>
        <w:tc>
          <w:tcPr>
            <w:tcW w:w="0" w:type="auto"/>
            <w:tcMar>
              <w:top w:w="15" w:type="dxa"/>
              <w:left w:w="15" w:type="dxa"/>
              <w:bottom w:w="15" w:type="dxa"/>
              <w:right w:w="15" w:type="dxa"/>
            </w:tcMar>
            <w:vAlign w:val="center"/>
            <w:hideMark/>
          </w:tcPr>
          <w:p w14:paraId="398BB01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0.0004 ± 0.0001</w:t>
            </w:r>
          </w:p>
        </w:tc>
        <w:tc>
          <w:tcPr>
            <w:tcW w:w="0" w:type="auto"/>
            <w:tcMar>
              <w:top w:w="15" w:type="dxa"/>
              <w:left w:w="15" w:type="dxa"/>
              <w:bottom w:w="15" w:type="dxa"/>
              <w:right w:w="15" w:type="dxa"/>
            </w:tcMar>
            <w:vAlign w:val="center"/>
            <w:hideMark/>
          </w:tcPr>
          <w:p w14:paraId="3EEEA6C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0.0006 ± 0.0001</w:t>
            </w:r>
          </w:p>
        </w:tc>
      </w:tr>
      <w:tr w:rsidR="003B3A3D" w14:paraId="2071D525" w14:textId="77777777">
        <w:trPr>
          <w:trHeight w:val="735"/>
          <w:tblCellSpacing w:w="15" w:type="dxa"/>
        </w:trPr>
        <w:tc>
          <w:tcPr>
            <w:tcW w:w="0" w:type="auto"/>
            <w:tcMar>
              <w:top w:w="15" w:type="dxa"/>
              <w:left w:w="15" w:type="dxa"/>
              <w:bottom w:w="15" w:type="dxa"/>
              <w:right w:w="15" w:type="dxa"/>
            </w:tcMar>
            <w:vAlign w:val="center"/>
            <w:hideMark/>
          </w:tcPr>
          <w:p w14:paraId="51F4F02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Cd</w:t>
            </w:r>
          </w:p>
        </w:tc>
        <w:tc>
          <w:tcPr>
            <w:tcW w:w="0" w:type="auto"/>
            <w:tcMar>
              <w:top w:w="15" w:type="dxa"/>
              <w:left w:w="15" w:type="dxa"/>
              <w:bottom w:w="15" w:type="dxa"/>
              <w:right w:w="15" w:type="dxa"/>
            </w:tcMar>
            <w:vAlign w:val="center"/>
            <w:hideMark/>
          </w:tcPr>
          <w:p w14:paraId="3CADC44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0.0004 ± 0.0001</w:t>
            </w:r>
          </w:p>
        </w:tc>
        <w:tc>
          <w:tcPr>
            <w:tcW w:w="0" w:type="auto"/>
            <w:tcMar>
              <w:top w:w="15" w:type="dxa"/>
              <w:left w:w="15" w:type="dxa"/>
              <w:bottom w:w="15" w:type="dxa"/>
              <w:right w:w="15" w:type="dxa"/>
            </w:tcMar>
            <w:vAlign w:val="center"/>
            <w:hideMark/>
          </w:tcPr>
          <w:p w14:paraId="714F0BBD"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0.0009 ± 0.0002</w:t>
            </w:r>
          </w:p>
        </w:tc>
        <w:tc>
          <w:tcPr>
            <w:tcW w:w="0" w:type="auto"/>
            <w:tcMar>
              <w:top w:w="15" w:type="dxa"/>
              <w:left w:w="15" w:type="dxa"/>
              <w:bottom w:w="15" w:type="dxa"/>
              <w:right w:w="15" w:type="dxa"/>
            </w:tcMar>
            <w:vAlign w:val="center"/>
            <w:hideMark/>
          </w:tcPr>
          <w:p w14:paraId="008243DB"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0.0003 ± 0.0001</w:t>
            </w:r>
          </w:p>
        </w:tc>
      </w:tr>
      <w:tr w:rsidR="003B3A3D" w14:paraId="481E8604" w14:textId="77777777">
        <w:trPr>
          <w:trHeight w:val="735"/>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A0AA2D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Cr</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515F28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0.0009 ± 0.0002</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604F950"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0.0006 ± 0.0001</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7DD194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0.0002 ± 0.0001</w:t>
            </w:r>
          </w:p>
        </w:tc>
      </w:tr>
    </w:tbl>
    <w:p w14:paraId="56081228" w14:textId="77777777" w:rsidR="003B3A3D" w:rsidRDefault="003B3A3D" w:rsidP="003B3A3D">
      <w:pPr>
        <w:rPr>
          <w:rFonts w:ascii="Times New Roman" w:eastAsia="SimSun" w:hAnsi="Times New Roman"/>
          <w:b/>
          <w:bCs/>
          <w:sz w:val="24"/>
          <w:szCs w:val="24"/>
          <w:lang w:eastAsia="zh-CN"/>
        </w:rPr>
      </w:pPr>
      <w:r>
        <w:rPr>
          <w:rFonts w:ascii="Times New Roman" w:hAnsi="Times New Roman"/>
          <w:b/>
          <w:bCs/>
          <w:sz w:val="24"/>
          <w:szCs w:val="24"/>
        </w:rPr>
        <w:br w:type="page"/>
      </w:r>
    </w:p>
    <w:p w14:paraId="0EAD660C"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lastRenderedPageBreak/>
        <w:t xml:space="preserve">4.1.3 Concentrations of Heavy Metals in Simulated Contaminated Water During 14 Days of Exposure to </w:t>
      </w:r>
      <w:r>
        <w:rPr>
          <w:rFonts w:ascii="Times New Roman" w:hAnsi="Times New Roman"/>
          <w:b/>
          <w:bCs/>
          <w:i/>
          <w:iCs/>
          <w:sz w:val="24"/>
          <w:szCs w:val="24"/>
        </w:rPr>
        <w:t>Eichhornia crassipes</w:t>
      </w:r>
    </w:p>
    <w:p w14:paraId="2D3081D9"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highlight w:val="yellow"/>
        </w:rPr>
        <w:t>Table 4 presents</w:t>
      </w:r>
      <w:r>
        <w:rPr>
          <w:rFonts w:ascii="Times New Roman" w:hAnsi="Times New Roman"/>
          <w:sz w:val="24"/>
          <w:szCs w:val="24"/>
          <w:highlight w:val="yellow"/>
        </w:rPr>
        <w:t xml:space="preserve"> the concentrations of Ni, Fe, Pb, Cd</w:t>
      </w:r>
      <w:r>
        <w:rPr>
          <w:rFonts w:ascii="Times New Roman" w:hAnsi="Times New Roman"/>
          <w:sz w:val="24"/>
          <w:szCs w:val="24"/>
          <w:highlight w:val="yellow"/>
        </w:rPr>
        <w:t>,</w:t>
      </w:r>
      <w:r>
        <w:rPr>
          <w:rFonts w:ascii="Times New Roman" w:hAnsi="Times New Roman"/>
          <w:sz w:val="24"/>
          <w:szCs w:val="24"/>
        </w:rPr>
        <w:t xml:space="preserve"> and Cr remaining in the simulated contaminated water following exposure to </w:t>
      </w:r>
      <w:r>
        <w:rPr>
          <w:rFonts w:ascii="Times New Roman" w:hAnsi="Times New Roman"/>
          <w:i/>
          <w:iCs/>
          <w:sz w:val="24"/>
          <w:szCs w:val="24"/>
        </w:rPr>
        <w:t>Eichhornia crassipes</w:t>
      </w:r>
      <w:r>
        <w:rPr>
          <w:rFonts w:ascii="Times New Roman" w:hAnsi="Times New Roman"/>
          <w:sz w:val="24"/>
          <w:szCs w:val="24"/>
        </w:rPr>
        <w:t xml:space="preserve"> for 0, 7</w:t>
      </w:r>
      <w:r>
        <w:rPr>
          <w:rFonts w:ascii="Times New Roman" w:hAnsi="Times New Roman"/>
          <w:sz w:val="24"/>
          <w:szCs w:val="24"/>
          <w:highlight w:val="yellow"/>
        </w:rPr>
        <w:t>,</w:t>
      </w:r>
      <w:r>
        <w:rPr>
          <w:rFonts w:ascii="Times New Roman" w:hAnsi="Times New Roman"/>
          <w:sz w:val="24"/>
          <w:szCs w:val="24"/>
        </w:rPr>
        <w:t xml:space="preserve"> and 14 days. The results generally show a progressive reduction in heavy-metal concentrations with increasing exposure duration, indicating that </w:t>
      </w:r>
      <w:r>
        <w:rPr>
          <w:rFonts w:ascii="Times New Roman" w:hAnsi="Times New Roman"/>
          <w:i/>
          <w:iCs/>
          <w:sz w:val="24"/>
          <w:szCs w:val="24"/>
        </w:rPr>
        <w:t>E. crassipes</w:t>
      </w:r>
      <w:r>
        <w:rPr>
          <w:rFonts w:ascii="Times New Roman" w:hAnsi="Times New Roman"/>
          <w:sz w:val="24"/>
          <w:szCs w:val="24"/>
        </w:rPr>
        <w:t xml:space="preserve"> removed or accumulated part of the metals from the contaminated water. The magnitude of reduction, however, varied among the metals and pollution levels. For nickel (Ni), the initial concentrations at Day 0 were 0.2377 ± 0.0006, 0.2304 ± 0.0006</w:t>
      </w:r>
      <w:r>
        <w:rPr>
          <w:rFonts w:ascii="Times New Roman" w:hAnsi="Times New Roman"/>
          <w:sz w:val="24"/>
          <w:szCs w:val="24"/>
          <w:highlight w:val="yellow"/>
        </w:rPr>
        <w:t>,</w:t>
      </w:r>
      <w:r>
        <w:rPr>
          <w:rFonts w:ascii="Times New Roman" w:hAnsi="Times New Roman"/>
          <w:sz w:val="24"/>
          <w:szCs w:val="24"/>
        </w:rPr>
        <w:t xml:space="preserve"> and 0.2359 ± 0.0002 mg/L for slightly, moderately and highly contaminated water, respectively. These values decreased to 0.2230 ± 0.0009, 0.2111 ± 0.0006</w:t>
      </w:r>
      <w:r>
        <w:rPr>
          <w:rFonts w:ascii="Times New Roman" w:hAnsi="Times New Roman"/>
          <w:sz w:val="24"/>
          <w:szCs w:val="24"/>
          <w:highlight w:val="yellow"/>
        </w:rPr>
        <w:t>,</w:t>
      </w:r>
      <w:r>
        <w:rPr>
          <w:rFonts w:ascii="Times New Roman" w:hAnsi="Times New Roman"/>
          <w:sz w:val="24"/>
          <w:szCs w:val="24"/>
        </w:rPr>
        <w:t xml:space="preserve"> and 0.2274 ± 0.0004 mg/L at Day 7. By Day 14, Ni concentrations further declined to 0.2155 ± 0.0004, 0.2002 ± 0.0002</w:t>
      </w:r>
      <w:r>
        <w:rPr>
          <w:rFonts w:ascii="Times New Roman" w:hAnsi="Times New Roman"/>
          <w:sz w:val="24"/>
          <w:szCs w:val="24"/>
          <w:highlight w:val="yellow"/>
        </w:rPr>
        <w:t>,</w:t>
      </w:r>
      <w:r>
        <w:rPr>
          <w:rFonts w:ascii="Times New Roman" w:hAnsi="Times New Roman"/>
          <w:sz w:val="24"/>
          <w:szCs w:val="24"/>
        </w:rPr>
        <w:t xml:space="preserve"> and 0.1626 ± 0.0004 mg/L, respectively. The highest Ni concentration at Day 14 was observed in the slightly contaminated water (0.2155 mg/L), while the lowest was recorded in the highly contaminated water (0.1626 mg/L)</w:t>
      </w:r>
      <w:r>
        <w:rPr>
          <w:rFonts w:ascii="Times New Roman" w:hAnsi="Times New Roman"/>
          <w:sz w:val="24"/>
          <w:szCs w:val="24"/>
          <w:highlight w:val="yellow"/>
        </w:rPr>
      </w:r>
      <w:r>
        <w:rPr>
          <w:rFonts w:ascii="Times New Roman" w:hAnsi="Times New Roman"/>
          <w:sz w:val="24"/>
          <w:szCs w:val="24"/>
          <w:highlight w:val="yellow"/>
        </w:rPr>
        <w:t>. Within each pollution level, Ni concentrations differed significantly across Days 0, 7, and 14, as indicated by different superscript letters (p &lt; 0.05).</w:t>
      </w:r>
      <w:r>
        <w:rPr>
          <w:rFonts w:ascii="Times New Roman" w:hAnsi="Times New Roman"/>
          <w:sz w:val="24"/>
          <w:szCs w:val="24"/>
        </w:rPr>
        <w:t xml:space="preserve"> For iron (Fe), the Day 0 concentrations were 0.1672 ± 0.0002, 0.1609 ± 0.0001</w:t>
      </w:r>
      <w:r>
        <w:rPr>
          <w:rFonts w:ascii="Times New Roman" w:hAnsi="Times New Roman"/>
          <w:sz w:val="24"/>
          <w:szCs w:val="24"/>
          <w:highlight w:val="yellow"/>
        </w:rPr>
        <w:t>,</w:t>
      </w:r>
      <w:r>
        <w:rPr>
          <w:rFonts w:ascii="Times New Roman" w:hAnsi="Times New Roman"/>
          <w:sz w:val="24"/>
          <w:szCs w:val="24"/>
        </w:rPr>
        <w:t xml:space="preserve"> and 0.1652 ± 0.0004 mg/L for slightly, moderately and highly contaminated water, respectively. These decreased at Day 7 to 0.1548 ± 0.0002, 0.1446 ± 0.0001</w:t>
      </w:r>
      <w:r>
        <w:rPr>
          <w:rFonts w:ascii="Times New Roman" w:hAnsi="Times New Roman"/>
          <w:sz w:val="24"/>
          <w:szCs w:val="24"/>
          <w:highlight w:val="yellow"/>
        </w:rPr>
        <w:t>,</w:t>
      </w:r>
      <w:r>
        <w:rPr>
          <w:rFonts w:ascii="Times New Roman" w:hAnsi="Times New Roman"/>
          <w:sz w:val="24"/>
          <w:szCs w:val="24"/>
        </w:rPr>
        <w:t xml:space="preserve"> and 0.1588 ± 0.0004 mg/L, and further declined at Day 14 to 0.1473 ± 0.0003, 0.1339 ± 0.0002</w:t>
      </w:r>
      <w:r>
        <w:rPr>
          <w:rFonts w:ascii="Times New Roman" w:hAnsi="Times New Roman"/>
          <w:sz w:val="24"/>
          <w:szCs w:val="24"/>
          <w:highlight w:val="yellow"/>
        </w:rPr>
        <w:t>,</w:t>
      </w:r>
      <w:r>
        <w:rPr>
          <w:rFonts w:ascii="Times New Roman" w:hAnsi="Times New Roman"/>
          <w:sz w:val="24"/>
          <w:szCs w:val="24"/>
        </w:rPr>
        <w:t xml:space="preserve"> and 0.1165 ± 0.0002 mg/L. The highest Fe concentration after 14 days occurred in the slightly contaminated treatment (0.1473 mg/L), whereas the lowest occurred in the highly contaminated treatment (0.1165 mg/L). For lead (Pb), the changes were relatively small compared with Ni and Fe. In the slightly contaminated treatment, Pb decreased from 0.0046 ± 0.0000 mg/L at Day 0 to 0.0044 ± 0.0000 mg/L at Day 7 and 0.0042 ± 0.0000 mg/L at Day 14</w:t>
      </w:r>
      <w:r>
        <w:rPr>
          <w:rFonts w:ascii="Times New Roman" w:hAnsi="Times New Roman"/>
          <w:sz w:val="24"/>
          <w:szCs w:val="24"/>
          <w:highlight w:val="yellow"/>
        </w:rPr>
        <w:t>; the</w:t>
      </w:r>
      <w:r>
        <w:rPr>
          <w:rFonts w:ascii="Times New Roman" w:hAnsi="Times New Roman"/>
          <w:sz w:val="24"/>
          <w:szCs w:val="24"/>
        </w:rPr>
        <w:t xml:space="preserve"> differences were not statistically significant (p &gt; 0.05). In the moderately contaminated treatment, Pb decreased from 0.0045 ± 0.0000 mg/L at Day 0 to 0.0041 ± 0.0000 mg/L at Day 7, followed by 0.0032 ± 0.0000 mg/L at Day 14. In the highly contaminated treatment, Pb remained at 0.0046 ± 0.0000 mg/L at Day 0 and 0.0044 ± 0.0000 mg/L at Day 7, before declining to 0.0033 ± 0.0000 mg/L at Day 14. The Day 14 value was significantly different from the other values. For cadmium (Cd), the slightly contaminated treatment declined from 0.0476 ± 0.0003 mg/L at Day 0 to 0.0450 ± 0.0003 mg/L at Day 7 and 0.0441 ± 0.0002 mg/L at Day 14</w:t>
      </w:r>
      <w:r>
        <w:rPr>
          <w:rFonts w:ascii="Times New Roman" w:hAnsi="Times New Roman"/>
          <w:sz w:val="24"/>
          <w:szCs w:val="24"/>
          <w:highlight w:val="yellow"/>
        </w:rPr>
        <w:t>;</w:t>
      </w:r>
      <w:r>
        <w:rPr>
          <w:rFonts w:ascii="Times New Roman" w:hAnsi="Times New Roman"/>
          <w:sz w:val="24"/>
          <w:szCs w:val="24"/>
        </w:rPr>
        <w:t xml:space="preserve"> the differences were not statistically significant (p &gt; 0.05). </w:t>
      </w:r>
      <w:r>
        <w:rPr>
          <w:rFonts w:ascii="Times New Roman" w:hAnsi="Times New Roman"/>
          <w:sz w:val="24"/>
          <w:szCs w:val="24"/>
          <w:highlight w:val="yellow"/>
        </w:rPr>
        <w:t>In the moderately contaminated treatment, Cd decreased from 0.0471 ± 0.0002 mg/L at Day 0 to 0.0431 ± 0.0001 mg/L at Day 7 and 0.0413 ± 0.0002 mg/L at Day 14. In the highly contaminated treatment, Cd decreased from 0.0496 ± 0.0001 mg/L at Day 0 to 0.0458 ± 0.0001 mg/L at Day 7 and 0.0332 ± 0.0001 mg/L at Day 14.</w:t>
      </w:r>
      <w:r>
        <w:rPr>
          <w:rFonts w:ascii="Times New Roman" w:hAnsi="Times New Roman"/>
          <w:sz w:val="24"/>
          <w:szCs w:val="24"/>
        </w:rPr>
        <w:t xml:space="preserve">  For chromium (Cr), the slightly contaminated treatment decreased from 0.0107 ± 0.0000 mg/L at Day 0 to 0.0101 ± 0.0000 mg/L at Day 7 and 0.0097 ± 0.0000 mg/L at Day 14. All three values ha</w:t>
      </w:r>
      <w:r>
        <w:rPr>
          <w:rFonts w:ascii="Times New Roman" w:hAnsi="Times New Roman"/>
          <w:sz w:val="24"/>
          <w:szCs w:val="24"/>
          <w:highlight w:val="yellow"/>
        </w:rPr>
        <w:t>d</w:t>
      </w:r>
      <w:r>
        <w:rPr>
          <w:rFonts w:ascii="Times New Roman" w:hAnsi="Times New Roman"/>
          <w:sz w:val="24"/>
          <w:szCs w:val="24"/>
        </w:rPr>
        <w:t xml:space="preserve"> the same superscript, indicating that the reduction was not statistically significant. In the moderately contaminated treatment, Cr decreased from 0.0106 ± 0.0000 mg/L at Day 0 to 0.0095 ± 0.0000 mg/L at Day 7 and 0.0091 ± 0.0000 mg/L at Day 14. </w:t>
      </w:r>
      <w:r>
        <w:rPr>
          <w:rFonts w:ascii="Times New Roman" w:hAnsi="Times New Roman"/>
          <w:sz w:val="24"/>
          <w:szCs w:val="24"/>
          <w:highlight w:val="yellow"/>
        </w:rPr>
        <w:t>In t</w:t>
      </w:r>
      <w:r>
        <w:rPr>
          <w:rFonts w:ascii="Times New Roman" w:hAnsi="Times New Roman"/>
          <w:sz w:val="24"/>
          <w:szCs w:val="24"/>
        </w:rPr>
        <w:t>he highly contaminated tank</w:t>
      </w:r>
      <w:r>
        <w:rPr>
          <w:rFonts w:ascii="Times New Roman" w:hAnsi="Times New Roman"/>
          <w:sz w:val="24"/>
          <w:szCs w:val="24"/>
          <w:highlight w:val="yellow"/>
        </w:rPr>
        <w:t>,</w:t>
      </w:r>
      <w:r>
        <w:rPr>
          <w:rFonts w:ascii="Times New Roman" w:hAnsi="Times New Roman"/>
          <w:sz w:val="24"/>
          <w:szCs w:val="24"/>
        </w:rPr>
        <w:t xml:space="preserve"> however, </w:t>
      </w:r>
      <w:r>
        <w:rPr>
          <w:rFonts w:ascii="Times New Roman" w:hAnsi="Times New Roman"/>
          <w:sz w:val="24"/>
          <w:szCs w:val="24"/>
          <w:highlight w:val="yellow"/>
        </w:rPr>
        <w:t>th</w:t>
      </w:r>
      <w:r>
        <w:rPr>
          <w:rFonts w:ascii="Times New Roman" w:hAnsi="Times New Roman"/>
          <w:sz w:val="24"/>
          <w:szCs w:val="24"/>
        </w:rPr>
        <w:t>e Cr concentration</w:t>
      </w:r>
      <w:r>
        <w:rPr>
          <w:rFonts w:ascii="Times New Roman" w:hAnsi="Times New Roman"/>
          <w:sz w:val="24"/>
          <w:szCs w:val="24"/>
          <w:highlight w:val="yellow"/>
        </w:rPr>
        <w:t xml:space="preserve"> decreased</w:t>
      </w:r>
      <w:r>
        <w:rPr>
          <w:rFonts w:ascii="Times New Roman" w:hAnsi="Times New Roman"/>
          <w:sz w:val="24"/>
          <w:szCs w:val="24"/>
        </w:rPr>
        <w:t xml:space="preserve"> from 0.0108 ± 0.0000 mg/L at Day 0 to 0.0102 ± 0.0000 mg/L at Day 7 and finally to 0.0074 ± 0.0000 mg/L at Day 14.</w:t>
      </w:r>
    </w:p>
    <w:p w14:paraId="38F2311B"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3E52B964"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highlight w:val="yellow"/>
        </w:rPr>
        <w:t>Table 4: Concentrations</w:t>
      </w:r>
      <w:r>
        <w:rPr>
          <w:rFonts w:ascii="Times New Roman" w:hAnsi="Times New Roman"/>
          <w:b/>
          <w:bCs/>
          <w:sz w:val="24"/>
          <w:szCs w:val="24"/>
          <w:highlight w:val="yellow"/>
        </w:rPr>
        <w:t xml:space="preserve"> of Heavy Metals in Simulated Contaminated Water During 14 Days of Exposure to </w:t>
      </w:r>
      <w:r>
        <w:rPr>
          <w:rFonts w:ascii="Times New Roman" w:hAnsi="Times New Roman"/>
          <w:b/>
          <w:bCs/>
          <w:i/>
          <w:iCs/>
          <w:sz w:val="24"/>
          <w:szCs w:val="24"/>
        </w:rPr>
        <w:t>Eichhornia crassipes</w:t>
      </w:r>
    </w:p>
    <w:tbl>
      <w:tblPr>
        <w:tblW w:w="9495" w:type="dxa"/>
        <w:tblCellSpacing w:w="15" w:type="dxa"/>
        <w:tblLayout w:type="fixed"/>
        <w:tblLook w:val="04A0" w:firstRow="1" w:lastRow="0" w:firstColumn="1" w:lastColumn="0" w:noHBand="0" w:noVBand="1"/>
      </w:tblPr>
      <w:tblGrid>
        <w:gridCol w:w="710"/>
        <w:gridCol w:w="427"/>
        <w:gridCol w:w="835"/>
        <w:gridCol w:w="834"/>
        <w:gridCol w:w="1006"/>
        <w:gridCol w:w="834"/>
        <w:gridCol w:w="834"/>
        <w:gridCol w:w="1006"/>
        <w:gridCol w:w="896"/>
        <w:gridCol w:w="902"/>
        <w:gridCol w:w="1211"/>
      </w:tblGrid>
      <w:tr w:rsidR="003B3A3D" w14:paraId="4E984F5D" w14:textId="77777777">
        <w:trPr>
          <w:trHeight w:val="572"/>
          <w:tblHeader/>
          <w:tblCellSpacing w:w="15" w:type="dxa"/>
        </w:trPr>
        <w:tc>
          <w:tcPr>
            <w:tcW w:w="66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9F1057"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Heavy Metal</w:t>
            </w:r>
          </w:p>
        </w:tc>
        <w:tc>
          <w:tcPr>
            <w:tcW w:w="39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F42995F"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PL</w:t>
            </w:r>
          </w:p>
        </w:tc>
        <w:tc>
          <w:tcPr>
            <w:tcW w:w="80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9029B17"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Day 0</w:t>
            </w:r>
          </w:p>
          <w:p w14:paraId="5404A96E"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 PC (mg/L)</w:t>
            </w:r>
          </w:p>
        </w:tc>
        <w:tc>
          <w:tcPr>
            <w:tcW w:w="80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1E4C643"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0 </w:t>
            </w:r>
          </w:p>
          <w:p w14:paraId="5096E85B"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NC (mg/L)</w:t>
            </w:r>
          </w:p>
        </w:tc>
        <w:tc>
          <w:tcPr>
            <w:tcW w:w="97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85CDA1A" w14:textId="77777777" w:rsidR="003B3A3D" w:rsidRDefault="003B3A3D">
            <w:pPr>
              <w:rPr>
                <w:rFonts w:ascii="Times New Roman" w:hAnsi="Times New Roman"/>
                <w:b/>
                <w:bCs/>
                <w:i/>
                <w:iCs/>
                <w:kern w:val="2"/>
                <w14:ligatures w14:val="standardContextual"/>
              </w:rPr>
            </w:pPr>
            <w:r>
              <w:rPr>
                <w:rFonts w:ascii="Times New Roman" w:hAnsi="Times New Roman"/>
                <w:b/>
                <w:bCs/>
                <w:kern w:val="2"/>
                <w14:ligatures w14:val="standardContextual"/>
              </w:rPr>
              <w:t xml:space="preserve">Day 0 </w:t>
            </w:r>
            <w:r>
              <w:rPr>
                <w:rFonts w:ascii="Times New Roman" w:hAnsi="Times New Roman"/>
                <w:b/>
                <w:bCs/>
                <w:i/>
                <w:iCs/>
                <w:kern w:val="2"/>
                <w14:ligatures w14:val="standardContextual"/>
              </w:rPr>
              <w:t>E. crassipes</w:t>
            </w:r>
          </w:p>
          <w:p w14:paraId="2D27F8A1"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(mg/L)</w:t>
            </w:r>
          </w:p>
        </w:tc>
        <w:tc>
          <w:tcPr>
            <w:tcW w:w="80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17A0284"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7 </w:t>
            </w:r>
          </w:p>
          <w:p w14:paraId="70BF6D79"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PC (mg/L)</w:t>
            </w:r>
          </w:p>
        </w:tc>
        <w:tc>
          <w:tcPr>
            <w:tcW w:w="804"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AD7ADF8"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7 </w:t>
            </w:r>
          </w:p>
          <w:p w14:paraId="3F39FC67"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NC (mg/L)</w:t>
            </w:r>
          </w:p>
        </w:tc>
        <w:tc>
          <w:tcPr>
            <w:tcW w:w="97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2E94D841" w14:textId="77777777" w:rsidR="003B3A3D" w:rsidRDefault="003B3A3D">
            <w:pPr>
              <w:rPr>
                <w:rFonts w:ascii="Times New Roman" w:hAnsi="Times New Roman"/>
                <w:b/>
                <w:bCs/>
                <w:i/>
                <w:iCs/>
                <w:kern w:val="2"/>
                <w14:ligatures w14:val="standardContextual"/>
              </w:rPr>
            </w:pPr>
            <w:r>
              <w:rPr>
                <w:rFonts w:ascii="Times New Roman" w:hAnsi="Times New Roman"/>
                <w:b/>
                <w:bCs/>
                <w:kern w:val="2"/>
                <w14:ligatures w14:val="standardContextual"/>
              </w:rPr>
              <w:t xml:space="preserve">Day 7 </w:t>
            </w:r>
            <w:r>
              <w:rPr>
                <w:rFonts w:ascii="Times New Roman" w:hAnsi="Times New Roman"/>
                <w:b/>
                <w:bCs/>
                <w:i/>
                <w:iCs/>
                <w:kern w:val="2"/>
                <w14:ligatures w14:val="standardContextual"/>
              </w:rPr>
              <w:t>E. crassipes</w:t>
            </w:r>
          </w:p>
          <w:p w14:paraId="1F39117A"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(mg/L)</w:t>
            </w:r>
          </w:p>
        </w:tc>
        <w:tc>
          <w:tcPr>
            <w:tcW w:w="86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B604351" w14:textId="77777777" w:rsidR="003B3A3D" w:rsidRDefault="003B3A3D">
            <w:pPr>
              <w:rPr>
                <w:rFonts w:ascii="Calibri" w:hAnsi="Calibri"/>
                <w:b/>
                <w:bCs/>
                <w:kern w:val="2"/>
                <w:sz w:val="22"/>
                <w:szCs w:val="22"/>
                <w14:ligatures w14:val="standardContextual"/>
              </w:rPr>
            </w:pPr>
            <w:r>
              <w:rPr>
                <w:rFonts w:ascii="Times New Roman" w:hAnsi="Times New Roman"/>
                <w:b/>
                <w:bCs/>
                <w:kern w:val="2"/>
                <w14:ligatures w14:val="standardContextual"/>
              </w:rPr>
              <w:t>Day 14 PC (mg/L)</w:t>
            </w:r>
          </w:p>
        </w:tc>
        <w:tc>
          <w:tcPr>
            <w:tcW w:w="872"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7037DFF"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Day 14 NC (mg/L)</w:t>
            </w:r>
          </w:p>
        </w:tc>
        <w:tc>
          <w:tcPr>
            <w:tcW w:w="116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C059E58" w14:textId="77777777" w:rsidR="003B3A3D" w:rsidRDefault="003B3A3D">
            <w:pPr>
              <w:rPr>
                <w:rFonts w:ascii="Times New Roman" w:hAnsi="Times New Roman"/>
                <w:b/>
                <w:bCs/>
                <w:kern w:val="2"/>
                <w14:ligatures w14:val="standardContextual"/>
              </w:rPr>
            </w:pPr>
            <w:r>
              <w:rPr>
                <w:rFonts w:ascii="Times New Roman" w:hAnsi="Times New Roman"/>
                <w:b/>
                <w:bCs/>
                <w:kern w:val="2"/>
                <w14:ligatures w14:val="standardContextual"/>
              </w:rPr>
              <w:t xml:space="preserve">Day 14 </w:t>
            </w:r>
            <w:r>
              <w:rPr>
                <w:rFonts w:ascii="Times New Roman" w:hAnsi="Times New Roman"/>
                <w:b/>
                <w:bCs/>
                <w:i/>
                <w:iCs/>
                <w:kern w:val="2"/>
                <w14:ligatures w14:val="standardContextual"/>
              </w:rPr>
              <w:t xml:space="preserve">E. crassipes </w:t>
            </w:r>
            <w:r>
              <w:rPr>
                <w:rFonts w:ascii="Times New Roman" w:hAnsi="Times New Roman"/>
                <w:b/>
                <w:bCs/>
                <w:kern w:val="2"/>
                <w14:ligatures w14:val="standardContextual"/>
              </w:rPr>
              <w:t>(mg/L)</w:t>
            </w:r>
          </w:p>
        </w:tc>
      </w:tr>
      <w:tr w:rsidR="003B3A3D" w14:paraId="285E1317" w14:textId="77777777">
        <w:trPr>
          <w:trHeight w:val="572"/>
          <w:tblCellSpacing w:w="15" w:type="dxa"/>
        </w:trPr>
        <w:tc>
          <w:tcPr>
            <w:tcW w:w="664" w:type="dxa"/>
            <w:tcMar>
              <w:top w:w="15" w:type="dxa"/>
              <w:left w:w="15" w:type="dxa"/>
              <w:bottom w:w="15" w:type="dxa"/>
              <w:right w:w="15" w:type="dxa"/>
            </w:tcMar>
            <w:vAlign w:val="center"/>
            <w:hideMark/>
          </w:tcPr>
          <w:p w14:paraId="442981D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Ni</w:t>
            </w:r>
          </w:p>
        </w:tc>
        <w:tc>
          <w:tcPr>
            <w:tcW w:w="396" w:type="dxa"/>
            <w:tcMar>
              <w:top w:w="15" w:type="dxa"/>
              <w:left w:w="15" w:type="dxa"/>
              <w:bottom w:w="15" w:type="dxa"/>
              <w:right w:w="15" w:type="dxa"/>
            </w:tcMar>
            <w:vAlign w:val="center"/>
            <w:hideMark/>
          </w:tcPr>
          <w:p w14:paraId="07680EB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3E0A7AD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0.2377 ± 0.0006</w:t>
            </w:r>
          </w:p>
        </w:tc>
        <w:tc>
          <w:tcPr>
            <w:tcW w:w="804" w:type="dxa"/>
            <w:tcMar>
              <w:top w:w="15" w:type="dxa"/>
              <w:left w:w="15" w:type="dxa"/>
              <w:bottom w:w="15" w:type="dxa"/>
              <w:right w:w="15" w:type="dxa"/>
            </w:tcMar>
            <w:vAlign w:val="center"/>
            <w:hideMark/>
          </w:tcPr>
          <w:p w14:paraId="331798E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2B52512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0.2377 ± 0.0006ᵃ</w:t>
            </w:r>
          </w:p>
        </w:tc>
        <w:tc>
          <w:tcPr>
            <w:tcW w:w="804" w:type="dxa"/>
            <w:tcMar>
              <w:top w:w="15" w:type="dxa"/>
              <w:left w:w="15" w:type="dxa"/>
              <w:bottom w:w="15" w:type="dxa"/>
              <w:right w:w="15" w:type="dxa"/>
            </w:tcMar>
            <w:vAlign w:val="center"/>
            <w:hideMark/>
          </w:tcPr>
          <w:p w14:paraId="1000209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0.2370 ± 0.0006</w:t>
            </w:r>
          </w:p>
        </w:tc>
        <w:tc>
          <w:tcPr>
            <w:tcW w:w="804" w:type="dxa"/>
            <w:tcMar>
              <w:top w:w="15" w:type="dxa"/>
              <w:left w:w="15" w:type="dxa"/>
              <w:bottom w:w="15" w:type="dxa"/>
              <w:right w:w="15" w:type="dxa"/>
            </w:tcMar>
            <w:vAlign w:val="center"/>
            <w:hideMark/>
          </w:tcPr>
          <w:p w14:paraId="6FEEBEA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35160F2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0.2230 ± 0.0009ᵇ</w:t>
            </w:r>
          </w:p>
        </w:tc>
        <w:tc>
          <w:tcPr>
            <w:tcW w:w="866" w:type="dxa"/>
            <w:tcMar>
              <w:top w:w="15" w:type="dxa"/>
              <w:left w:w="15" w:type="dxa"/>
              <w:bottom w:w="15" w:type="dxa"/>
              <w:right w:w="15" w:type="dxa"/>
            </w:tcMar>
            <w:vAlign w:val="center"/>
            <w:hideMark/>
          </w:tcPr>
          <w:p w14:paraId="2A4FFB0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0.2364 ± 0.0005</w:t>
            </w:r>
          </w:p>
        </w:tc>
        <w:tc>
          <w:tcPr>
            <w:tcW w:w="872" w:type="dxa"/>
            <w:tcMar>
              <w:top w:w="15" w:type="dxa"/>
              <w:left w:w="15" w:type="dxa"/>
              <w:bottom w:w="15" w:type="dxa"/>
              <w:right w:w="15" w:type="dxa"/>
            </w:tcMar>
            <w:vAlign w:val="center"/>
            <w:hideMark/>
          </w:tcPr>
          <w:p w14:paraId="595ED7D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1165" w:type="dxa"/>
            <w:tcMar>
              <w:top w:w="15" w:type="dxa"/>
              <w:left w:w="15" w:type="dxa"/>
              <w:bottom w:w="15" w:type="dxa"/>
              <w:right w:w="15" w:type="dxa"/>
            </w:tcMar>
            <w:vAlign w:val="center"/>
            <w:hideMark/>
          </w:tcPr>
          <w:p w14:paraId="268A72A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0.2155 ± 0.0004ᶜ</w:t>
            </w:r>
          </w:p>
        </w:tc>
      </w:tr>
      <w:tr w:rsidR="003B3A3D" w14:paraId="084F6DCD" w14:textId="77777777">
        <w:trPr>
          <w:trHeight w:val="556"/>
          <w:tblCellSpacing w:w="15" w:type="dxa"/>
        </w:trPr>
        <w:tc>
          <w:tcPr>
            <w:tcW w:w="664" w:type="dxa"/>
            <w:tcMar>
              <w:top w:w="15" w:type="dxa"/>
              <w:left w:w="15" w:type="dxa"/>
              <w:bottom w:w="15" w:type="dxa"/>
              <w:right w:w="15" w:type="dxa"/>
            </w:tcMar>
            <w:vAlign w:val="center"/>
            <w:hideMark/>
          </w:tcPr>
          <w:p w14:paraId="3C0F34B2"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2E655440"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005DEEF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0.2304 ± 0.0006</w:t>
            </w:r>
          </w:p>
        </w:tc>
        <w:tc>
          <w:tcPr>
            <w:tcW w:w="804" w:type="dxa"/>
            <w:tcMar>
              <w:top w:w="15" w:type="dxa"/>
              <w:left w:w="15" w:type="dxa"/>
              <w:bottom w:w="15" w:type="dxa"/>
              <w:right w:w="15" w:type="dxa"/>
            </w:tcMar>
            <w:vAlign w:val="center"/>
            <w:hideMark/>
          </w:tcPr>
          <w:p w14:paraId="2EA48FA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7A270BE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0.2304 ± 0.0006ᵃ</w:t>
            </w:r>
          </w:p>
        </w:tc>
        <w:tc>
          <w:tcPr>
            <w:tcW w:w="804" w:type="dxa"/>
            <w:tcMar>
              <w:top w:w="15" w:type="dxa"/>
              <w:left w:w="15" w:type="dxa"/>
              <w:bottom w:w="15" w:type="dxa"/>
              <w:right w:w="15" w:type="dxa"/>
            </w:tcMar>
            <w:vAlign w:val="center"/>
            <w:hideMark/>
          </w:tcPr>
          <w:p w14:paraId="47005AC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0.2298 ± 0.0005</w:t>
            </w:r>
          </w:p>
        </w:tc>
        <w:tc>
          <w:tcPr>
            <w:tcW w:w="804" w:type="dxa"/>
            <w:tcMar>
              <w:top w:w="15" w:type="dxa"/>
              <w:left w:w="15" w:type="dxa"/>
              <w:bottom w:w="15" w:type="dxa"/>
              <w:right w:w="15" w:type="dxa"/>
            </w:tcMar>
            <w:vAlign w:val="center"/>
            <w:hideMark/>
          </w:tcPr>
          <w:p w14:paraId="73A8928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250A7BB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0.2111 ± 0.0006ᵇ</w:t>
            </w:r>
          </w:p>
        </w:tc>
        <w:tc>
          <w:tcPr>
            <w:tcW w:w="866" w:type="dxa"/>
            <w:tcMar>
              <w:top w:w="15" w:type="dxa"/>
              <w:left w:w="15" w:type="dxa"/>
              <w:bottom w:w="15" w:type="dxa"/>
              <w:right w:w="15" w:type="dxa"/>
            </w:tcMar>
            <w:vAlign w:val="center"/>
            <w:hideMark/>
          </w:tcPr>
          <w:p w14:paraId="1E3915B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0.2291 ± 0.0006</w:t>
            </w:r>
          </w:p>
        </w:tc>
        <w:tc>
          <w:tcPr>
            <w:tcW w:w="872" w:type="dxa"/>
            <w:tcMar>
              <w:top w:w="15" w:type="dxa"/>
              <w:left w:w="15" w:type="dxa"/>
              <w:bottom w:w="15" w:type="dxa"/>
              <w:right w:w="15" w:type="dxa"/>
            </w:tcMar>
            <w:vAlign w:val="center"/>
            <w:hideMark/>
          </w:tcPr>
          <w:p w14:paraId="0F01E49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1165" w:type="dxa"/>
            <w:tcMar>
              <w:top w:w="15" w:type="dxa"/>
              <w:left w:w="15" w:type="dxa"/>
              <w:bottom w:w="15" w:type="dxa"/>
              <w:right w:w="15" w:type="dxa"/>
            </w:tcMar>
            <w:vAlign w:val="center"/>
            <w:hideMark/>
          </w:tcPr>
          <w:p w14:paraId="56AB650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0.2002 ± 0.0002ᶜ</w:t>
            </w:r>
          </w:p>
        </w:tc>
      </w:tr>
      <w:tr w:rsidR="003B3A3D" w14:paraId="4BE7FD8E" w14:textId="77777777">
        <w:trPr>
          <w:trHeight w:val="572"/>
          <w:tblCellSpacing w:w="15" w:type="dxa"/>
        </w:trPr>
        <w:tc>
          <w:tcPr>
            <w:tcW w:w="664" w:type="dxa"/>
            <w:tcMar>
              <w:top w:w="15" w:type="dxa"/>
              <w:left w:w="15" w:type="dxa"/>
              <w:bottom w:w="15" w:type="dxa"/>
              <w:right w:w="15" w:type="dxa"/>
            </w:tcMar>
            <w:vAlign w:val="center"/>
            <w:hideMark/>
          </w:tcPr>
          <w:p w14:paraId="6A34040C"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688C3180"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6553DFF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0.2359 ± 0.0002</w:t>
            </w:r>
          </w:p>
        </w:tc>
        <w:tc>
          <w:tcPr>
            <w:tcW w:w="804" w:type="dxa"/>
            <w:tcMar>
              <w:top w:w="15" w:type="dxa"/>
              <w:left w:w="15" w:type="dxa"/>
              <w:bottom w:w="15" w:type="dxa"/>
              <w:right w:w="15" w:type="dxa"/>
            </w:tcMar>
            <w:vAlign w:val="center"/>
            <w:hideMark/>
          </w:tcPr>
          <w:p w14:paraId="5DC469E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532005A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0.2359 ± 0.0002ᵃ</w:t>
            </w:r>
          </w:p>
        </w:tc>
        <w:tc>
          <w:tcPr>
            <w:tcW w:w="804" w:type="dxa"/>
            <w:tcMar>
              <w:top w:w="15" w:type="dxa"/>
              <w:left w:w="15" w:type="dxa"/>
              <w:bottom w:w="15" w:type="dxa"/>
              <w:right w:w="15" w:type="dxa"/>
            </w:tcMar>
            <w:vAlign w:val="center"/>
            <w:hideMark/>
          </w:tcPr>
          <w:p w14:paraId="0E85DB1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0.2351 ± 0.0003</w:t>
            </w:r>
          </w:p>
        </w:tc>
        <w:tc>
          <w:tcPr>
            <w:tcW w:w="804" w:type="dxa"/>
            <w:tcMar>
              <w:top w:w="15" w:type="dxa"/>
              <w:left w:w="15" w:type="dxa"/>
              <w:bottom w:w="15" w:type="dxa"/>
              <w:right w:w="15" w:type="dxa"/>
            </w:tcMar>
            <w:vAlign w:val="center"/>
            <w:hideMark/>
          </w:tcPr>
          <w:p w14:paraId="4032F21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975" w:type="dxa"/>
            <w:tcMar>
              <w:top w:w="15" w:type="dxa"/>
              <w:left w:w="15" w:type="dxa"/>
              <w:bottom w:w="15" w:type="dxa"/>
              <w:right w:w="15" w:type="dxa"/>
            </w:tcMar>
            <w:vAlign w:val="center"/>
            <w:hideMark/>
          </w:tcPr>
          <w:p w14:paraId="7D7F774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0.2274 ± 0.0004ᵇ</w:t>
            </w:r>
          </w:p>
        </w:tc>
        <w:tc>
          <w:tcPr>
            <w:tcW w:w="866" w:type="dxa"/>
            <w:tcMar>
              <w:top w:w="15" w:type="dxa"/>
              <w:left w:w="15" w:type="dxa"/>
              <w:bottom w:w="15" w:type="dxa"/>
              <w:right w:w="15" w:type="dxa"/>
            </w:tcMar>
            <w:vAlign w:val="center"/>
            <w:hideMark/>
          </w:tcPr>
          <w:p w14:paraId="1E0F23A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0.2345 ± 0.0003</w:t>
            </w:r>
          </w:p>
        </w:tc>
        <w:tc>
          <w:tcPr>
            <w:tcW w:w="872" w:type="dxa"/>
            <w:tcMar>
              <w:top w:w="15" w:type="dxa"/>
              <w:left w:w="15" w:type="dxa"/>
              <w:bottom w:w="15" w:type="dxa"/>
              <w:right w:w="15" w:type="dxa"/>
            </w:tcMar>
            <w:vAlign w:val="center"/>
            <w:hideMark/>
          </w:tcPr>
          <w:p w14:paraId="45D871B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0.0003</w:t>
            </w:r>
          </w:p>
        </w:tc>
        <w:tc>
          <w:tcPr>
            <w:tcW w:w="1165" w:type="dxa"/>
            <w:tcMar>
              <w:top w:w="15" w:type="dxa"/>
              <w:left w:w="15" w:type="dxa"/>
              <w:bottom w:w="15" w:type="dxa"/>
              <w:right w:w="15" w:type="dxa"/>
            </w:tcMar>
            <w:vAlign w:val="center"/>
            <w:hideMark/>
          </w:tcPr>
          <w:p w14:paraId="1B8EAF4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0.1626 ± 0.0004ᶜ</w:t>
            </w:r>
          </w:p>
        </w:tc>
      </w:tr>
      <w:tr w:rsidR="003B3A3D" w14:paraId="4FF97751" w14:textId="77777777">
        <w:trPr>
          <w:trHeight w:val="572"/>
          <w:tblCellSpacing w:w="15" w:type="dxa"/>
        </w:trPr>
        <w:tc>
          <w:tcPr>
            <w:tcW w:w="664" w:type="dxa"/>
            <w:tcMar>
              <w:top w:w="15" w:type="dxa"/>
              <w:left w:w="15" w:type="dxa"/>
              <w:bottom w:w="15" w:type="dxa"/>
              <w:right w:w="15" w:type="dxa"/>
            </w:tcMar>
            <w:vAlign w:val="center"/>
            <w:hideMark/>
          </w:tcPr>
          <w:p w14:paraId="1DF70F9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Fe</w:t>
            </w:r>
          </w:p>
        </w:tc>
        <w:tc>
          <w:tcPr>
            <w:tcW w:w="396" w:type="dxa"/>
            <w:tcMar>
              <w:top w:w="15" w:type="dxa"/>
              <w:left w:w="15" w:type="dxa"/>
              <w:bottom w:w="15" w:type="dxa"/>
              <w:right w:w="15" w:type="dxa"/>
            </w:tcMar>
            <w:vAlign w:val="center"/>
            <w:hideMark/>
          </w:tcPr>
          <w:p w14:paraId="2A1E205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60CBBFE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0.1672 ± 0.0002</w:t>
            </w:r>
          </w:p>
        </w:tc>
        <w:tc>
          <w:tcPr>
            <w:tcW w:w="804" w:type="dxa"/>
            <w:tcMar>
              <w:top w:w="15" w:type="dxa"/>
              <w:left w:w="15" w:type="dxa"/>
              <w:bottom w:w="15" w:type="dxa"/>
              <w:right w:w="15" w:type="dxa"/>
            </w:tcMar>
            <w:vAlign w:val="center"/>
            <w:hideMark/>
          </w:tcPr>
          <w:p w14:paraId="038E35B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01AFB92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0.1672 ± 0.0002ᵃ</w:t>
            </w:r>
          </w:p>
        </w:tc>
        <w:tc>
          <w:tcPr>
            <w:tcW w:w="804" w:type="dxa"/>
            <w:tcMar>
              <w:top w:w="15" w:type="dxa"/>
              <w:left w:w="15" w:type="dxa"/>
              <w:bottom w:w="15" w:type="dxa"/>
              <w:right w:w="15" w:type="dxa"/>
            </w:tcMar>
            <w:vAlign w:val="center"/>
            <w:hideMark/>
          </w:tcPr>
          <w:p w14:paraId="4D5EB07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0.1667 ± 0.0002</w:t>
            </w:r>
          </w:p>
        </w:tc>
        <w:tc>
          <w:tcPr>
            <w:tcW w:w="804" w:type="dxa"/>
            <w:tcMar>
              <w:top w:w="15" w:type="dxa"/>
              <w:left w:w="15" w:type="dxa"/>
              <w:bottom w:w="15" w:type="dxa"/>
              <w:right w:w="15" w:type="dxa"/>
            </w:tcMar>
            <w:vAlign w:val="center"/>
            <w:hideMark/>
          </w:tcPr>
          <w:p w14:paraId="44A4678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72255E0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0.1548 ± 0.0002ᵇ</w:t>
            </w:r>
          </w:p>
        </w:tc>
        <w:tc>
          <w:tcPr>
            <w:tcW w:w="866" w:type="dxa"/>
            <w:tcMar>
              <w:top w:w="15" w:type="dxa"/>
              <w:left w:w="15" w:type="dxa"/>
              <w:bottom w:w="15" w:type="dxa"/>
              <w:right w:w="15" w:type="dxa"/>
            </w:tcMar>
            <w:vAlign w:val="center"/>
            <w:hideMark/>
          </w:tcPr>
          <w:p w14:paraId="1E95B35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0.1661 ± 0.0002</w:t>
            </w:r>
          </w:p>
        </w:tc>
        <w:tc>
          <w:tcPr>
            <w:tcW w:w="872" w:type="dxa"/>
            <w:tcMar>
              <w:top w:w="15" w:type="dxa"/>
              <w:left w:w="15" w:type="dxa"/>
              <w:bottom w:w="15" w:type="dxa"/>
              <w:right w:w="15" w:type="dxa"/>
            </w:tcMar>
            <w:vAlign w:val="center"/>
            <w:hideMark/>
          </w:tcPr>
          <w:p w14:paraId="700D3D3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1165" w:type="dxa"/>
            <w:tcMar>
              <w:top w:w="15" w:type="dxa"/>
              <w:left w:w="15" w:type="dxa"/>
              <w:bottom w:w="15" w:type="dxa"/>
              <w:right w:w="15" w:type="dxa"/>
            </w:tcMar>
            <w:vAlign w:val="center"/>
            <w:hideMark/>
          </w:tcPr>
          <w:p w14:paraId="46F2141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0.1473 ± 0.0003ᶜ</w:t>
            </w:r>
          </w:p>
        </w:tc>
      </w:tr>
      <w:tr w:rsidR="003B3A3D" w14:paraId="40F03973" w14:textId="77777777">
        <w:trPr>
          <w:trHeight w:val="556"/>
          <w:tblCellSpacing w:w="15" w:type="dxa"/>
        </w:trPr>
        <w:tc>
          <w:tcPr>
            <w:tcW w:w="664" w:type="dxa"/>
            <w:tcMar>
              <w:top w:w="15" w:type="dxa"/>
              <w:left w:w="15" w:type="dxa"/>
              <w:bottom w:w="15" w:type="dxa"/>
              <w:right w:w="15" w:type="dxa"/>
            </w:tcMar>
            <w:vAlign w:val="center"/>
            <w:hideMark/>
          </w:tcPr>
          <w:p w14:paraId="30634AC6"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6C385A6E"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48F2194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0.1609 ± 0.0001</w:t>
            </w:r>
          </w:p>
        </w:tc>
        <w:tc>
          <w:tcPr>
            <w:tcW w:w="804" w:type="dxa"/>
            <w:tcMar>
              <w:top w:w="15" w:type="dxa"/>
              <w:left w:w="15" w:type="dxa"/>
              <w:bottom w:w="15" w:type="dxa"/>
              <w:right w:w="15" w:type="dxa"/>
            </w:tcMar>
            <w:vAlign w:val="center"/>
            <w:hideMark/>
          </w:tcPr>
          <w:p w14:paraId="0ABFD70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7CA8665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0.1609 ± 0.0001ᵃ</w:t>
            </w:r>
          </w:p>
        </w:tc>
        <w:tc>
          <w:tcPr>
            <w:tcW w:w="804" w:type="dxa"/>
            <w:tcMar>
              <w:top w:w="15" w:type="dxa"/>
              <w:left w:w="15" w:type="dxa"/>
              <w:bottom w:w="15" w:type="dxa"/>
              <w:right w:w="15" w:type="dxa"/>
            </w:tcMar>
            <w:vAlign w:val="center"/>
            <w:hideMark/>
          </w:tcPr>
          <w:p w14:paraId="636B89D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0.1604 ± 0.0001</w:t>
            </w:r>
          </w:p>
        </w:tc>
        <w:tc>
          <w:tcPr>
            <w:tcW w:w="804" w:type="dxa"/>
            <w:tcMar>
              <w:top w:w="15" w:type="dxa"/>
              <w:left w:w="15" w:type="dxa"/>
              <w:bottom w:w="15" w:type="dxa"/>
              <w:right w:w="15" w:type="dxa"/>
            </w:tcMar>
            <w:vAlign w:val="center"/>
            <w:hideMark/>
          </w:tcPr>
          <w:p w14:paraId="2F942D1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62937ED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0.1446 ± 0.0001ᵇ</w:t>
            </w:r>
          </w:p>
        </w:tc>
        <w:tc>
          <w:tcPr>
            <w:tcW w:w="866" w:type="dxa"/>
            <w:tcMar>
              <w:top w:w="15" w:type="dxa"/>
              <w:left w:w="15" w:type="dxa"/>
              <w:bottom w:w="15" w:type="dxa"/>
              <w:right w:w="15" w:type="dxa"/>
            </w:tcMar>
            <w:vAlign w:val="center"/>
            <w:hideMark/>
          </w:tcPr>
          <w:p w14:paraId="4F76A92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0.1598 ± 0.0001</w:t>
            </w:r>
          </w:p>
        </w:tc>
        <w:tc>
          <w:tcPr>
            <w:tcW w:w="872" w:type="dxa"/>
            <w:tcMar>
              <w:top w:w="15" w:type="dxa"/>
              <w:left w:w="15" w:type="dxa"/>
              <w:bottom w:w="15" w:type="dxa"/>
              <w:right w:w="15" w:type="dxa"/>
            </w:tcMar>
            <w:vAlign w:val="center"/>
            <w:hideMark/>
          </w:tcPr>
          <w:p w14:paraId="1643C78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1165" w:type="dxa"/>
            <w:tcMar>
              <w:top w:w="15" w:type="dxa"/>
              <w:left w:w="15" w:type="dxa"/>
              <w:bottom w:w="15" w:type="dxa"/>
              <w:right w:w="15" w:type="dxa"/>
            </w:tcMar>
            <w:vAlign w:val="center"/>
            <w:hideMark/>
          </w:tcPr>
          <w:p w14:paraId="4149A29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0.1339 ± 0.0002ᶜ</w:t>
            </w:r>
          </w:p>
        </w:tc>
      </w:tr>
      <w:tr w:rsidR="003B3A3D" w14:paraId="76B61E91" w14:textId="77777777">
        <w:trPr>
          <w:trHeight w:val="572"/>
          <w:tblCellSpacing w:w="15" w:type="dxa"/>
        </w:trPr>
        <w:tc>
          <w:tcPr>
            <w:tcW w:w="664" w:type="dxa"/>
            <w:tcMar>
              <w:top w:w="15" w:type="dxa"/>
              <w:left w:w="15" w:type="dxa"/>
              <w:bottom w:w="15" w:type="dxa"/>
              <w:right w:w="15" w:type="dxa"/>
            </w:tcMar>
            <w:vAlign w:val="center"/>
            <w:hideMark/>
          </w:tcPr>
          <w:p w14:paraId="5AD8D781"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4BD04AD3"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10D36E2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0.1652 ± 0.0004</w:t>
            </w:r>
          </w:p>
        </w:tc>
        <w:tc>
          <w:tcPr>
            <w:tcW w:w="804" w:type="dxa"/>
            <w:tcMar>
              <w:top w:w="15" w:type="dxa"/>
              <w:left w:w="15" w:type="dxa"/>
              <w:bottom w:w="15" w:type="dxa"/>
              <w:right w:w="15" w:type="dxa"/>
            </w:tcMar>
            <w:vAlign w:val="center"/>
            <w:hideMark/>
          </w:tcPr>
          <w:p w14:paraId="1A34839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6BA7FF2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0.1652 ± 0.0004ᵃ</w:t>
            </w:r>
          </w:p>
        </w:tc>
        <w:tc>
          <w:tcPr>
            <w:tcW w:w="804" w:type="dxa"/>
            <w:tcMar>
              <w:top w:w="15" w:type="dxa"/>
              <w:left w:w="15" w:type="dxa"/>
              <w:bottom w:w="15" w:type="dxa"/>
              <w:right w:w="15" w:type="dxa"/>
            </w:tcMar>
            <w:vAlign w:val="center"/>
            <w:hideMark/>
          </w:tcPr>
          <w:p w14:paraId="26F4853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0.1646 ± 0.0004</w:t>
            </w:r>
          </w:p>
        </w:tc>
        <w:tc>
          <w:tcPr>
            <w:tcW w:w="804" w:type="dxa"/>
            <w:tcMar>
              <w:top w:w="15" w:type="dxa"/>
              <w:left w:w="15" w:type="dxa"/>
              <w:bottom w:w="15" w:type="dxa"/>
              <w:right w:w="15" w:type="dxa"/>
            </w:tcMar>
            <w:vAlign w:val="center"/>
            <w:hideMark/>
          </w:tcPr>
          <w:p w14:paraId="0DA64C6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975" w:type="dxa"/>
            <w:tcMar>
              <w:top w:w="15" w:type="dxa"/>
              <w:left w:w="15" w:type="dxa"/>
              <w:bottom w:w="15" w:type="dxa"/>
              <w:right w:w="15" w:type="dxa"/>
            </w:tcMar>
            <w:vAlign w:val="center"/>
            <w:hideMark/>
          </w:tcPr>
          <w:p w14:paraId="3FCD7CE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0.1588 ± 0.0004ᵇ</w:t>
            </w:r>
          </w:p>
        </w:tc>
        <w:tc>
          <w:tcPr>
            <w:tcW w:w="866" w:type="dxa"/>
            <w:tcMar>
              <w:top w:w="15" w:type="dxa"/>
              <w:left w:w="15" w:type="dxa"/>
              <w:bottom w:w="15" w:type="dxa"/>
              <w:right w:w="15" w:type="dxa"/>
            </w:tcMar>
            <w:vAlign w:val="center"/>
            <w:hideMark/>
          </w:tcPr>
          <w:p w14:paraId="493CBAC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0.1640 ± 0.0003</w:t>
            </w:r>
          </w:p>
        </w:tc>
        <w:tc>
          <w:tcPr>
            <w:tcW w:w="872" w:type="dxa"/>
            <w:tcMar>
              <w:top w:w="15" w:type="dxa"/>
              <w:left w:w="15" w:type="dxa"/>
              <w:bottom w:w="15" w:type="dxa"/>
              <w:right w:w="15" w:type="dxa"/>
            </w:tcMar>
            <w:vAlign w:val="center"/>
            <w:hideMark/>
          </w:tcPr>
          <w:p w14:paraId="39D7160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0.0006 ± 0.0004</w:t>
            </w:r>
          </w:p>
        </w:tc>
        <w:tc>
          <w:tcPr>
            <w:tcW w:w="1165" w:type="dxa"/>
            <w:tcMar>
              <w:top w:w="15" w:type="dxa"/>
              <w:left w:w="15" w:type="dxa"/>
              <w:bottom w:w="15" w:type="dxa"/>
              <w:right w:w="15" w:type="dxa"/>
            </w:tcMar>
            <w:vAlign w:val="center"/>
            <w:hideMark/>
          </w:tcPr>
          <w:p w14:paraId="0B73DB7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0.1165 ± 0.0002ᶜ</w:t>
            </w:r>
          </w:p>
        </w:tc>
      </w:tr>
      <w:tr w:rsidR="003B3A3D" w14:paraId="4F5038BD" w14:textId="77777777">
        <w:trPr>
          <w:trHeight w:val="572"/>
          <w:tblCellSpacing w:w="15" w:type="dxa"/>
        </w:trPr>
        <w:tc>
          <w:tcPr>
            <w:tcW w:w="664" w:type="dxa"/>
            <w:tcMar>
              <w:top w:w="15" w:type="dxa"/>
              <w:left w:w="15" w:type="dxa"/>
              <w:bottom w:w="15" w:type="dxa"/>
              <w:right w:w="15" w:type="dxa"/>
            </w:tcMar>
            <w:vAlign w:val="center"/>
            <w:hideMark/>
          </w:tcPr>
          <w:p w14:paraId="43BF9A6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Pb</w:t>
            </w:r>
          </w:p>
        </w:tc>
        <w:tc>
          <w:tcPr>
            <w:tcW w:w="396" w:type="dxa"/>
            <w:tcMar>
              <w:top w:w="15" w:type="dxa"/>
              <w:left w:w="15" w:type="dxa"/>
              <w:bottom w:w="15" w:type="dxa"/>
              <w:right w:w="15" w:type="dxa"/>
            </w:tcMar>
            <w:vAlign w:val="center"/>
            <w:hideMark/>
          </w:tcPr>
          <w:p w14:paraId="2894749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624A47C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56B1A07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776523DB"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0.0000ᵃ</w:t>
            </w:r>
          </w:p>
        </w:tc>
        <w:tc>
          <w:tcPr>
            <w:tcW w:w="804" w:type="dxa"/>
            <w:tcMar>
              <w:top w:w="15" w:type="dxa"/>
              <w:left w:w="15" w:type="dxa"/>
              <w:bottom w:w="15" w:type="dxa"/>
              <w:right w:w="15" w:type="dxa"/>
            </w:tcMar>
            <w:vAlign w:val="center"/>
            <w:hideMark/>
          </w:tcPr>
          <w:p w14:paraId="7E1D7EB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4C9343E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48A1579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0.0044 ± 0.0000ᵃ</w:t>
            </w:r>
          </w:p>
        </w:tc>
        <w:tc>
          <w:tcPr>
            <w:tcW w:w="866" w:type="dxa"/>
            <w:tcMar>
              <w:top w:w="15" w:type="dxa"/>
              <w:left w:w="15" w:type="dxa"/>
              <w:bottom w:w="15" w:type="dxa"/>
              <w:right w:w="15" w:type="dxa"/>
            </w:tcMar>
            <w:vAlign w:val="center"/>
            <w:hideMark/>
          </w:tcPr>
          <w:p w14:paraId="70A98DF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72" w:type="dxa"/>
            <w:tcMar>
              <w:top w:w="15" w:type="dxa"/>
              <w:left w:w="15" w:type="dxa"/>
              <w:bottom w:w="15" w:type="dxa"/>
              <w:right w:w="15" w:type="dxa"/>
            </w:tcMar>
            <w:vAlign w:val="center"/>
            <w:hideMark/>
          </w:tcPr>
          <w:p w14:paraId="33B9698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1165" w:type="dxa"/>
            <w:tcMar>
              <w:top w:w="15" w:type="dxa"/>
              <w:left w:w="15" w:type="dxa"/>
              <w:bottom w:w="15" w:type="dxa"/>
              <w:right w:w="15" w:type="dxa"/>
            </w:tcMar>
            <w:vAlign w:val="center"/>
            <w:hideMark/>
          </w:tcPr>
          <w:p w14:paraId="6B12E7B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0.0042 ± 0.0000ᵃ</w:t>
            </w:r>
          </w:p>
        </w:tc>
      </w:tr>
      <w:tr w:rsidR="003B3A3D" w14:paraId="7A6C60C9" w14:textId="77777777">
        <w:trPr>
          <w:trHeight w:val="556"/>
          <w:tblCellSpacing w:w="15" w:type="dxa"/>
        </w:trPr>
        <w:tc>
          <w:tcPr>
            <w:tcW w:w="664" w:type="dxa"/>
            <w:tcMar>
              <w:top w:w="15" w:type="dxa"/>
              <w:left w:w="15" w:type="dxa"/>
              <w:bottom w:w="15" w:type="dxa"/>
              <w:right w:w="15" w:type="dxa"/>
            </w:tcMar>
            <w:vAlign w:val="center"/>
            <w:hideMark/>
          </w:tcPr>
          <w:p w14:paraId="539D7BCE"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5BA3832C"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2AEC1A0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04" w:type="dxa"/>
            <w:tcMar>
              <w:top w:w="15" w:type="dxa"/>
              <w:left w:w="15" w:type="dxa"/>
              <w:bottom w:w="15" w:type="dxa"/>
              <w:right w:w="15" w:type="dxa"/>
            </w:tcMar>
            <w:vAlign w:val="center"/>
            <w:hideMark/>
          </w:tcPr>
          <w:p w14:paraId="3EB07A9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135B646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0.0000ᵃ</w:t>
            </w:r>
          </w:p>
        </w:tc>
        <w:tc>
          <w:tcPr>
            <w:tcW w:w="804" w:type="dxa"/>
            <w:tcMar>
              <w:top w:w="15" w:type="dxa"/>
              <w:left w:w="15" w:type="dxa"/>
              <w:bottom w:w="15" w:type="dxa"/>
              <w:right w:w="15" w:type="dxa"/>
            </w:tcMar>
            <w:vAlign w:val="center"/>
            <w:hideMark/>
          </w:tcPr>
          <w:p w14:paraId="34274E5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04" w:type="dxa"/>
            <w:tcMar>
              <w:top w:w="15" w:type="dxa"/>
              <w:left w:w="15" w:type="dxa"/>
              <w:bottom w:w="15" w:type="dxa"/>
              <w:right w:w="15" w:type="dxa"/>
            </w:tcMar>
            <w:vAlign w:val="center"/>
            <w:hideMark/>
          </w:tcPr>
          <w:p w14:paraId="62F5E6D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0EA530D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0.0041 ± 0.0000ᵇ</w:t>
            </w:r>
          </w:p>
        </w:tc>
        <w:tc>
          <w:tcPr>
            <w:tcW w:w="866" w:type="dxa"/>
            <w:tcMar>
              <w:top w:w="15" w:type="dxa"/>
              <w:left w:w="15" w:type="dxa"/>
              <w:bottom w:w="15" w:type="dxa"/>
              <w:right w:w="15" w:type="dxa"/>
            </w:tcMar>
            <w:vAlign w:val="center"/>
            <w:hideMark/>
          </w:tcPr>
          <w:p w14:paraId="724EF86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0.0044 ± 0.0000</w:t>
            </w:r>
          </w:p>
        </w:tc>
        <w:tc>
          <w:tcPr>
            <w:tcW w:w="872" w:type="dxa"/>
            <w:tcMar>
              <w:top w:w="15" w:type="dxa"/>
              <w:left w:w="15" w:type="dxa"/>
              <w:bottom w:w="15" w:type="dxa"/>
              <w:right w:w="15" w:type="dxa"/>
            </w:tcMar>
            <w:vAlign w:val="center"/>
            <w:hideMark/>
          </w:tcPr>
          <w:p w14:paraId="5A9B600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1165" w:type="dxa"/>
            <w:tcMar>
              <w:top w:w="15" w:type="dxa"/>
              <w:left w:w="15" w:type="dxa"/>
              <w:bottom w:w="15" w:type="dxa"/>
              <w:right w:w="15" w:type="dxa"/>
            </w:tcMar>
            <w:vAlign w:val="center"/>
            <w:hideMark/>
          </w:tcPr>
          <w:p w14:paraId="15BFCEC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0.0032 ± 0.0000ᵃ</w:t>
            </w:r>
          </w:p>
        </w:tc>
      </w:tr>
      <w:tr w:rsidR="003B3A3D" w14:paraId="41021166" w14:textId="77777777">
        <w:trPr>
          <w:trHeight w:val="572"/>
          <w:tblCellSpacing w:w="15" w:type="dxa"/>
        </w:trPr>
        <w:tc>
          <w:tcPr>
            <w:tcW w:w="664" w:type="dxa"/>
            <w:tcMar>
              <w:top w:w="15" w:type="dxa"/>
              <w:left w:w="15" w:type="dxa"/>
              <w:bottom w:w="15" w:type="dxa"/>
              <w:right w:w="15" w:type="dxa"/>
            </w:tcMar>
            <w:vAlign w:val="center"/>
            <w:hideMark/>
          </w:tcPr>
          <w:p w14:paraId="2AC9FD93"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2211C24D"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1E57CBE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2936452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2207695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0.0000ᵃ</w:t>
            </w:r>
          </w:p>
        </w:tc>
        <w:tc>
          <w:tcPr>
            <w:tcW w:w="804" w:type="dxa"/>
            <w:tcMar>
              <w:top w:w="15" w:type="dxa"/>
              <w:left w:w="15" w:type="dxa"/>
              <w:bottom w:w="15" w:type="dxa"/>
              <w:right w:w="15" w:type="dxa"/>
            </w:tcMar>
            <w:vAlign w:val="center"/>
            <w:hideMark/>
          </w:tcPr>
          <w:p w14:paraId="1160303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0.0046 ± 0.0000</w:t>
            </w:r>
          </w:p>
        </w:tc>
        <w:tc>
          <w:tcPr>
            <w:tcW w:w="804" w:type="dxa"/>
            <w:tcMar>
              <w:top w:w="15" w:type="dxa"/>
              <w:left w:w="15" w:type="dxa"/>
              <w:bottom w:w="15" w:type="dxa"/>
              <w:right w:w="15" w:type="dxa"/>
            </w:tcMar>
            <w:vAlign w:val="center"/>
            <w:hideMark/>
          </w:tcPr>
          <w:p w14:paraId="3226045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975" w:type="dxa"/>
            <w:tcMar>
              <w:top w:w="15" w:type="dxa"/>
              <w:left w:w="15" w:type="dxa"/>
              <w:bottom w:w="15" w:type="dxa"/>
              <w:right w:w="15" w:type="dxa"/>
            </w:tcMar>
            <w:vAlign w:val="center"/>
            <w:hideMark/>
          </w:tcPr>
          <w:p w14:paraId="778097E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0.0044 ± 0.0000ᵃ</w:t>
            </w:r>
          </w:p>
        </w:tc>
        <w:tc>
          <w:tcPr>
            <w:tcW w:w="866" w:type="dxa"/>
            <w:tcMar>
              <w:top w:w="15" w:type="dxa"/>
              <w:left w:w="15" w:type="dxa"/>
              <w:bottom w:w="15" w:type="dxa"/>
              <w:right w:w="15" w:type="dxa"/>
            </w:tcMar>
            <w:vAlign w:val="center"/>
            <w:hideMark/>
          </w:tcPr>
          <w:p w14:paraId="1B514CA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0.0045 ± 0.0000</w:t>
            </w:r>
          </w:p>
        </w:tc>
        <w:tc>
          <w:tcPr>
            <w:tcW w:w="872" w:type="dxa"/>
            <w:tcMar>
              <w:top w:w="15" w:type="dxa"/>
              <w:left w:w="15" w:type="dxa"/>
              <w:bottom w:w="15" w:type="dxa"/>
              <w:right w:w="15" w:type="dxa"/>
            </w:tcMar>
            <w:vAlign w:val="center"/>
            <w:hideMark/>
          </w:tcPr>
          <w:p w14:paraId="18F61F0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0.0001 ± 0.0002</w:t>
            </w:r>
          </w:p>
        </w:tc>
        <w:tc>
          <w:tcPr>
            <w:tcW w:w="1165" w:type="dxa"/>
            <w:tcMar>
              <w:top w:w="15" w:type="dxa"/>
              <w:left w:w="15" w:type="dxa"/>
              <w:bottom w:w="15" w:type="dxa"/>
              <w:right w:w="15" w:type="dxa"/>
            </w:tcMar>
            <w:vAlign w:val="center"/>
            <w:hideMark/>
          </w:tcPr>
          <w:p w14:paraId="350FFA4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0.0033 ± 0.0000ᵇ</w:t>
            </w:r>
          </w:p>
        </w:tc>
      </w:tr>
      <w:tr w:rsidR="003B3A3D" w14:paraId="759C93D0" w14:textId="77777777">
        <w:trPr>
          <w:trHeight w:val="572"/>
          <w:tblCellSpacing w:w="15" w:type="dxa"/>
        </w:trPr>
        <w:tc>
          <w:tcPr>
            <w:tcW w:w="664" w:type="dxa"/>
            <w:tcMar>
              <w:top w:w="15" w:type="dxa"/>
              <w:left w:w="15" w:type="dxa"/>
              <w:bottom w:w="15" w:type="dxa"/>
              <w:right w:w="15" w:type="dxa"/>
            </w:tcMar>
            <w:vAlign w:val="center"/>
            <w:hideMark/>
          </w:tcPr>
          <w:p w14:paraId="07623D1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Cd</w:t>
            </w:r>
          </w:p>
        </w:tc>
        <w:tc>
          <w:tcPr>
            <w:tcW w:w="396" w:type="dxa"/>
            <w:tcMar>
              <w:top w:w="15" w:type="dxa"/>
              <w:left w:w="15" w:type="dxa"/>
              <w:bottom w:w="15" w:type="dxa"/>
              <w:right w:w="15" w:type="dxa"/>
            </w:tcMar>
            <w:vAlign w:val="center"/>
            <w:hideMark/>
          </w:tcPr>
          <w:p w14:paraId="5ECE565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2CD2861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0.0476 ± 0.0003</w:t>
            </w:r>
          </w:p>
        </w:tc>
        <w:tc>
          <w:tcPr>
            <w:tcW w:w="804" w:type="dxa"/>
            <w:tcMar>
              <w:top w:w="15" w:type="dxa"/>
              <w:left w:w="15" w:type="dxa"/>
              <w:bottom w:w="15" w:type="dxa"/>
              <w:right w:w="15" w:type="dxa"/>
            </w:tcMar>
            <w:vAlign w:val="center"/>
            <w:hideMark/>
          </w:tcPr>
          <w:p w14:paraId="2370102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1D29820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0.0476 ± 0.0003ᵃ</w:t>
            </w:r>
          </w:p>
        </w:tc>
        <w:tc>
          <w:tcPr>
            <w:tcW w:w="804" w:type="dxa"/>
            <w:tcMar>
              <w:top w:w="15" w:type="dxa"/>
              <w:left w:w="15" w:type="dxa"/>
              <w:bottom w:w="15" w:type="dxa"/>
              <w:right w:w="15" w:type="dxa"/>
            </w:tcMar>
            <w:vAlign w:val="center"/>
            <w:hideMark/>
          </w:tcPr>
          <w:p w14:paraId="5C6E7E7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0.0475 ± 0.0003</w:t>
            </w:r>
          </w:p>
        </w:tc>
        <w:tc>
          <w:tcPr>
            <w:tcW w:w="804" w:type="dxa"/>
            <w:tcMar>
              <w:top w:w="15" w:type="dxa"/>
              <w:left w:w="15" w:type="dxa"/>
              <w:bottom w:w="15" w:type="dxa"/>
              <w:right w:w="15" w:type="dxa"/>
            </w:tcMar>
            <w:vAlign w:val="center"/>
            <w:hideMark/>
          </w:tcPr>
          <w:p w14:paraId="15F77ED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52C9DA7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0.0450 ± 0.0003ᵃ</w:t>
            </w:r>
          </w:p>
        </w:tc>
        <w:tc>
          <w:tcPr>
            <w:tcW w:w="866" w:type="dxa"/>
            <w:tcMar>
              <w:top w:w="15" w:type="dxa"/>
              <w:left w:w="15" w:type="dxa"/>
              <w:bottom w:w="15" w:type="dxa"/>
              <w:right w:w="15" w:type="dxa"/>
            </w:tcMar>
            <w:vAlign w:val="center"/>
            <w:hideMark/>
          </w:tcPr>
          <w:p w14:paraId="24CFEC3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0.0473 ± 0.0003</w:t>
            </w:r>
          </w:p>
        </w:tc>
        <w:tc>
          <w:tcPr>
            <w:tcW w:w="872" w:type="dxa"/>
            <w:tcMar>
              <w:top w:w="15" w:type="dxa"/>
              <w:left w:w="15" w:type="dxa"/>
              <w:bottom w:w="15" w:type="dxa"/>
              <w:right w:w="15" w:type="dxa"/>
            </w:tcMar>
            <w:vAlign w:val="center"/>
            <w:hideMark/>
          </w:tcPr>
          <w:p w14:paraId="57A4D42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1165" w:type="dxa"/>
            <w:tcMar>
              <w:top w:w="15" w:type="dxa"/>
              <w:left w:w="15" w:type="dxa"/>
              <w:bottom w:w="15" w:type="dxa"/>
              <w:right w:w="15" w:type="dxa"/>
            </w:tcMar>
            <w:vAlign w:val="center"/>
            <w:hideMark/>
          </w:tcPr>
          <w:p w14:paraId="696C2A3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0.0441 ± 0.0002ᵃ</w:t>
            </w:r>
          </w:p>
        </w:tc>
      </w:tr>
      <w:tr w:rsidR="003B3A3D" w14:paraId="44B3419F" w14:textId="77777777">
        <w:trPr>
          <w:trHeight w:val="572"/>
          <w:tblCellSpacing w:w="15" w:type="dxa"/>
        </w:trPr>
        <w:tc>
          <w:tcPr>
            <w:tcW w:w="664" w:type="dxa"/>
            <w:tcMar>
              <w:top w:w="15" w:type="dxa"/>
              <w:left w:w="15" w:type="dxa"/>
              <w:bottom w:w="15" w:type="dxa"/>
              <w:right w:w="15" w:type="dxa"/>
            </w:tcMar>
            <w:vAlign w:val="center"/>
            <w:hideMark/>
          </w:tcPr>
          <w:p w14:paraId="12DF7ADE"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22794422"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213789A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0.0471 ± 0.0002</w:t>
            </w:r>
          </w:p>
        </w:tc>
        <w:tc>
          <w:tcPr>
            <w:tcW w:w="804" w:type="dxa"/>
            <w:tcMar>
              <w:top w:w="15" w:type="dxa"/>
              <w:left w:w="15" w:type="dxa"/>
              <w:bottom w:w="15" w:type="dxa"/>
              <w:right w:w="15" w:type="dxa"/>
            </w:tcMar>
            <w:vAlign w:val="center"/>
            <w:hideMark/>
          </w:tcPr>
          <w:p w14:paraId="6AA848B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54FB9E0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0.0471 ± 0.0002ᵃ</w:t>
            </w:r>
          </w:p>
        </w:tc>
        <w:tc>
          <w:tcPr>
            <w:tcW w:w="804" w:type="dxa"/>
            <w:tcMar>
              <w:top w:w="15" w:type="dxa"/>
              <w:left w:w="15" w:type="dxa"/>
              <w:bottom w:w="15" w:type="dxa"/>
              <w:right w:w="15" w:type="dxa"/>
            </w:tcMar>
            <w:vAlign w:val="center"/>
            <w:hideMark/>
          </w:tcPr>
          <w:p w14:paraId="53E9654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0.0470 ± 0.0002</w:t>
            </w:r>
          </w:p>
        </w:tc>
        <w:tc>
          <w:tcPr>
            <w:tcW w:w="804" w:type="dxa"/>
            <w:tcMar>
              <w:top w:w="15" w:type="dxa"/>
              <w:left w:w="15" w:type="dxa"/>
              <w:bottom w:w="15" w:type="dxa"/>
              <w:right w:w="15" w:type="dxa"/>
            </w:tcMar>
            <w:vAlign w:val="center"/>
            <w:hideMark/>
          </w:tcPr>
          <w:p w14:paraId="3BE02C1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2209390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0.0431 ± 0.0001ᵇ</w:t>
            </w:r>
          </w:p>
        </w:tc>
        <w:tc>
          <w:tcPr>
            <w:tcW w:w="866" w:type="dxa"/>
            <w:tcMar>
              <w:top w:w="15" w:type="dxa"/>
              <w:left w:w="15" w:type="dxa"/>
              <w:bottom w:w="15" w:type="dxa"/>
              <w:right w:w="15" w:type="dxa"/>
            </w:tcMar>
            <w:vAlign w:val="center"/>
            <w:hideMark/>
          </w:tcPr>
          <w:p w14:paraId="56DD182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0.0468 ± 0.0002</w:t>
            </w:r>
          </w:p>
        </w:tc>
        <w:tc>
          <w:tcPr>
            <w:tcW w:w="872" w:type="dxa"/>
            <w:tcMar>
              <w:top w:w="15" w:type="dxa"/>
              <w:left w:w="15" w:type="dxa"/>
              <w:bottom w:w="15" w:type="dxa"/>
              <w:right w:w="15" w:type="dxa"/>
            </w:tcMar>
            <w:vAlign w:val="center"/>
            <w:hideMark/>
          </w:tcPr>
          <w:p w14:paraId="7AF592B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1165" w:type="dxa"/>
            <w:tcMar>
              <w:top w:w="15" w:type="dxa"/>
              <w:left w:w="15" w:type="dxa"/>
              <w:bottom w:w="15" w:type="dxa"/>
              <w:right w:w="15" w:type="dxa"/>
            </w:tcMar>
            <w:vAlign w:val="center"/>
            <w:hideMark/>
          </w:tcPr>
          <w:p w14:paraId="3A0AA04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0.0413 ± 0.0002ᵃ</w:t>
            </w:r>
          </w:p>
        </w:tc>
      </w:tr>
      <w:tr w:rsidR="003B3A3D" w14:paraId="1C968504" w14:textId="77777777">
        <w:trPr>
          <w:trHeight w:val="556"/>
          <w:tblCellSpacing w:w="15" w:type="dxa"/>
        </w:trPr>
        <w:tc>
          <w:tcPr>
            <w:tcW w:w="664" w:type="dxa"/>
            <w:tcMar>
              <w:top w:w="15" w:type="dxa"/>
              <w:left w:w="15" w:type="dxa"/>
              <w:bottom w:w="15" w:type="dxa"/>
              <w:right w:w="15" w:type="dxa"/>
            </w:tcMar>
            <w:vAlign w:val="center"/>
            <w:hideMark/>
          </w:tcPr>
          <w:p w14:paraId="2BE94056"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2E55F956"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Mar>
              <w:top w:w="15" w:type="dxa"/>
              <w:left w:w="15" w:type="dxa"/>
              <w:bottom w:w="15" w:type="dxa"/>
              <w:right w:w="15" w:type="dxa"/>
            </w:tcMar>
            <w:vAlign w:val="center"/>
            <w:hideMark/>
          </w:tcPr>
          <w:p w14:paraId="334B26C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0.0496 ± 0.0001</w:t>
            </w:r>
          </w:p>
        </w:tc>
        <w:tc>
          <w:tcPr>
            <w:tcW w:w="804" w:type="dxa"/>
            <w:tcMar>
              <w:top w:w="15" w:type="dxa"/>
              <w:left w:w="15" w:type="dxa"/>
              <w:bottom w:w="15" w:type="dxa"/>
              <w:right w:w="15" w:type="dxa"/>
            </w:tcMar>
            <w:vAlign w:val="center"/>
            <w:hideMark/>
          </w:tcPr>
          <w:p w14:paraId="651B14D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5AFAEAD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0.0496 ± 0.0001ᵃ</w:t>
            </w:r>
          </w:p>
        </w:tc>
        <w:tc>
          <w:tcPr>
            <w:tcW w:w="804" w:type="dxa"/>
            <w:tcMar>
              <w:top w:w="15" w:type="dxa"/>
              <w:left w:w="15" w:type="dxa"/>
              <w:bottom w:w="15" w:type="dxa"/>
              <w:right w:w="15" w:type="dxa"/>
            </w:tcMar>
            <w:vAlign w:val="center"/>
            <w:hideMark/>
          </w:tcPr>
          <w:p w14:paraId="67114F6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0.0494 ± 0.0001</w:t>
            </w:r>
          </w:p>
        </w:tc>
        <w:tc>
          <w:tcPr>
            <w:tcW w:w="804" w:type="dxa"/>
            <w:tcMar>
              <w:top w:w="15" w:type="dxa"/>
              <w:left w:w="15" w:type="dxa"/>
              <w:bottom w:w="15" w:type="dxa"/>
              <w:right w:w="15" w:type="dxa"/>
            </w:tcMar>
            <w:vAlign w:val="center"/>
            <w:hideMark/>
          </w:tcPr>
          <w:p w14:paraId="1E1F9C2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975" w:type="dxa"/>
            <w:tcMar>
              <w:top w:w="15" w:type="dxa"/>
              <w:left w:w="15" w:type="dxa"/>
              <w:bottom w:w="15" w:type="dxa"/>
              <w:right w:w="15" w:type="dxa"/>
            </w:tcMar>
            <w:vAlign w:val="center"/>
            <w:hideMark/>
          </w:tcPr>
          <w:p w14:paraId="3DB54793"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0.0458 ± 0.0001ᵇ</w:t>
            </w:r>
          </w:p>
        </w:tc>
        <w:tc>
          <w:tcPr>
            <w:tcW w:w="866" w:type="dxa"/>
            <w:tcMar>
              <w:top w:w="15" w:type="dxa"/>
              <w:left w:w="15" w:type="dxa"/>
              <w:bottom w:w="15" w:type="dxa"/>
              <w:right w:w="15" w:type="dxa"/>
            </w:tcMar>
            <w:vAlign w:val="center"/>
            <w:hideMark/>
          </w:tcPr>
          <w:p w14:paraId="6E87A4F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0.0492 ± 0.0001</w:t>
            </w:r>
          </w:p>
        </w:tc>
        <w:tc>
          <w:tcPr>
            <w:tcW w:w="872" w:type="dxa"/>
            <w:tcMar>
              <w:top w:w="15" w:type="dxa"/>
              <w:left w:w="15" w:type="dxa"/>
              <w:bottom w:w="15" w:type="dxa"/>
              <w:right w:w="15" w:type="dxa"/>
            </w:tcMar>
            <w:vAlign w:val="center"/>
            <w:hideMark/>
          </w:tcPr>
          <w:p w14:paraId="64D0C4B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0.0004 ± 0.0001</w:t>
            </w:r>
          </w:p>
        </w:tc>
        <w:tc>
          <w:tcPr>
            <w:tcW w:w="1165" w:type="dxa"/>
            <w:tcMar>
              <w:top w:w="15" w:type="dxa"/>
              <w:left w:w="15" w:type="dxa"/>
              <w:bottom w:w="15" w:type="dxa"/>
              <w:right w:w="15" w:type="dxa"/>
            </w:tcMar>
            <w:vAlign w:val="center"/>
            <w:hideMark/>
          </w:tcPr>
          <w:p w14:paraId="3818703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0.0332 ± 0.0001ᶜ</w:t>
            </w:r>
          </w:p>
        </w:tc>
      </w:tr>
      <w:tr w:rsidR="003B3A3D" w14:paraId="27169C50" w14:textId="77777777">
        <w:trPr>
          <w:trHeight w:val="572"/>
          <w:tblCellSpacing w:w="15" w:type="dxa"/>
        </w:trPr>
        <w:tc>
          <w:tcPr>
            <w:tcW w:w="664" w:type="dxa"/>
            <w:tcMar>
              <w:top w:w="15" w:type="dxa"/>
              <w:left w:w="15" w:type="dxa"/>
              <w:bottom w:w="15" w:type="dxa"/>
              <w:right w:w="15" w:type="dxa"/>
            </w:tcMar>
            <w:vAlign w:val="center"/>
            <w:hideMark/>
          </w:tcPr>
          <w:p w14:paraId="5579AE6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Cr</w:t>
            </w:r>
          </w:p>
        </w:tc>
        <w:tc>
          <w:tcPr>
            <w:tcW w:w="396" w:type="dxa"/>
            <w:tcMar>
              <w:top w:w="15" w:type="dxa"/>
              <w:left w:w="15" w:type="dxa"/>
              <w:bottom w:w="15" w:type="dxa"/>
              <w:right w:w="15" w:type="dxa"/>
            </w:tcMar>
            <w:vAlign w:val="center"/>
            <w:hideMark/>
          </w:tcPr>
          <w:p w14:paraId="3824E8A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SC</w:t>
            </w:r>
          </w:p>
        </w:tc>
        <w:tc>
          <w:tcPr>
            <w:tcW w:w="805" w:type="dxa"/>
            <w:tcMar>
              <w:top w:w="15" w:type="dxa"/>
              <w:left w:w="15" w:type="dxa"/>
              <w:bottom w:w="15" w:type="dxa"/>
              <w:right w:w="15" w:type="dxa"/>
            </w:tcMar>
            <w:vAlign w:val="center"/>
            <w:hideMark/>
          </w:tcPr>
          <w:p w14:paraId="7AFF42A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w:t>
            </w:r>
          </w:p>
        </w:tc>
        <w:tc>
          <w:tcPr>
            <w:tcW w:w="804" w:type="dxa"/>
            <w:tcMar>
              <w:top w:w="15" w:type="dxa"/>
              <w:left w:w="15" w:type="dxa"/>
              <w:bottom w:w="15" w:type="dxa"/>
              <w:right w:w="15" w:type="dxa"/>
            </w:tcMar>
            <w:vAlign w:val="center"/>
            <w:hideMark/>
          </w:tcPr>
          <w:p w14:paraId="2DAE2DD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0E22152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0.0000ᵃ</w:t>
            </w:r>
          </w:p>
        </w:tc>
        <w:tc>
          <w:tcPr>
            <w:tcW w:w="804" w:type="dxa"/>
            <w:tcMar>
              <w:top w:w="15" w:type="dxa"/>
              <w:left w:w="15" w:type="dxa"/>
              <w:bottom w:w="15" w:type="dxa"/>
              <w:right w:w="15" w:type="dxa"/>
            </w:tcMar>
            <w:vAlign w:val="center"/>
            <w:hideMark/>
          </w:tcPr>
          <w:p w14:paraId="4C9371C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w:t>
            </w:r>
          </w:p>
        </w:tc>
        <w:tc>
          <w:tcPr>
            <w:tcW w:w="804" w:type="dxa"/>
            <w:tcMar>
              <w:top w:w="15" w:type="dxa"/>
              <w:left w:w="15" w:type="dxa"/>
              <w:bottom w:w="15" w:type="dxa"/>
              <w:right w:w="15" w:type="dxa"/>
            </w:tcMar>
            <w:vAlign w:val="center"/>
            <w:hideMark/>
          </w:tcPr>
          <w:p w14:paraId="4F7FF678"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7B1F2F02"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0.0101 ± 0.0000ᵃ</w:t>
            </w:r>
          </w:p>
        </w:tc>
        <w:tc>
          <w:tcPr>
            <w:tcW w:w="866" w:type="dxa"/>
            <w:tcMar>
              <w:top w:w="15" w:type="dxa"/>
              <w:left w:w="15" w:type="dxa"/>
              <w:bottom w:w="15" w:type="dxa"/>
              <w:right w:w="15" w:type="dxa"/>
            </w:tcMar>
            <w:vAlign w:val="center"/>
            <w:hideMark/>
          </w:tcPr>
          <w:p w14:paraId="765B62A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w:t>
            </w:r>
          </w:p>
        </w:tc>
        <w:tc>
          <w:tcPr>
            <w:tcW w:w="872" w:type="dxa"/>
            <w:tcMar>
              <w:top w:w="15" w:type="dxa"/>
              <w:left w:w="15" w:type="dxa"/>
              <w:bottom w:w="15" w:type="dxa"/>
              <w:right w:w="15" w:type="dxa"/>
            </w:tcMar>
            <w:vAlign w:val="center"/>
            <w:hideMark/>
          </w:tcPr>
          <w:p w14:paraId="2AE37A8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1165" w:type="dxa"/>
            <w:tcMar>
              <w:top w:w="15" w:type="dxa"/>
              <w:left w:w="15" w:type="dxa"/>
              <w:bottom w:w="15" w:type="dxa"/>
              <w:right w:w="15" w:type="dxa"/>
            </w:tcMar>
            <w:vAlign w:val="center"/>
            <w:hideMark/>
          </w:tcPr>
          <w:p w14:paraId="73E158BF"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0.0097 ± 0.0000ᵃ</w:t>
            </w:r>
          </w:p>
        </w:tc>
      </w:tr>
      <w:tr w:rsidR="003B3A3D" w14:paraId="3FA0EF5E" w14:textId="77777777">
        <w:trPr>
          <w:trHeight w:val="572"/>
          <w:tblCellSpacing w:w="15" w:type="dxa"/>
        </w:trPr>
        <w:tc>
          <w:tcPr>
            <w:tcW w:w="664" w:type="dxa"/>
            <w:tcMar>
              <w:top w:w="15" w:type="dxa"/>
              <w:left w:w="15" w:type="dxa"/>
              <w:bottom w:w="15" w:type="dxa"/>
              <w:right w:w="15" w:type="dxa"/>
            </w:tcMar>
            <w:vAlign w:val="center"/>
            <w:hideMark/>
          </w:tcPr>
          <w:p w14:paraId="29776588" w14:textId="77777777" w:rsidR="003B3A3D" w:rsidRDefault="003B3A3D">
            <w:pPr>
              <w:rPr>
                <w:rFonts w:ascii="Times New Roman" w:hAnsi="Times New Roman"/>
                <w:kern w:val="2"/>
                <w14:ligatures w14:val="standardContextual"/>
              </w:rPr>
            </w:pPr>
          </w:p>
        </w:tc>
        <w:tc>
          <w:tcPr>
            <w:tcW w:w="396" w:type="dxa"/>
            <w:tcMar>
              <w:top w:w="15" w:type="dxa"/>
              <w:left w:w="15" w:type="dxa"/>
              <w:bottom w:w="15" w:type="dxa"/>
              <w:right w:w="15" w:type="dxa"/>
            </w:tcMar>
            <w:vAlign w:val="center"/>
            <w:hideMark/>
          </w:tcPr>
          <w:p w14:paraId="647EDC49"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MC</w:t>
            </w:r>
          </w:p>
        </w:tc>
        <w:tc>
          <w:tcPr>
            <w:tcW w:w="805" w:type="dxa"/>
            <w:tcMar>
              <w:top w:w="15" w:type="dxa"/>
              <w:left w:w="15" w:type="dxa"/>
              <w:bottom w:w="15" w:type="dxa"/>
              <w:right w:w="15" w:type="dxa"/>
            </w:tcMar>
            <w:vAlign w:val="center"/>
            <w:hideMark/>
          </w:tcPr>
          <w:p w14:paraId="71D5BA1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w:t>
            </w:r>
          </w:p>
        </w:tc>
        <w:tc>
          <w:tcPr>
            <w:tcW w:w="804" w:type="dxa"/>
            <w:tcMar>
              <w:top w:w="15" w:type="dxa"/>
              <w:left w:w="15" w:type="dxa"/>
              <w:bottom w:w="15" w:type="dxa"/>
              <w:right w:w="15" w:type="dxa"/>
            </w:tcMar>
            <w:vAlign w:val="center"/>
            <w:hideMark/>
          </w:tcPr>
          <w:p w14:paraId="2F5172A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62A755A4"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0.0000ᵃ</w:t>
            </w:r>
          </w:p>
        </w:tc>
        <w:tc>
          <w:tcPr>
            <w:tcW w:w="804" w:type="dxa"/>
            <w:tcMar>
              <w:top w:w="15" w:type="dxa"/>
              <w:left w:w="15" w:type="dxa"/>
              <w:bottom w:w="15" w:type="dxa"/>
              <w:right w:w="15" w:type="dxa"/>
            </w:tcMar>
            <w:vAlign w:val="center"/>
            <w:hideMark/>
          </w:tcPr>
          <w:p w14:paraId="488D558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0.0106 ± 0.0000</w:t>
            </w:r>
          </w:p>
        </w:tc>
        <w:tc>
          <w:tcPr>
            <w:tcW w:w="804" w:type="dxa"/>
            <w:tcMar>
              <w:top w:w="15" w:type="dxa"/>
              <w:left w:w="15" w:type="dxa"/>
              <w:bottom w:w="15" w:type="dxa"/>
              <w:right w:w="15" w:type="dxa"/>
            </w:tcMar>
            <w:vAlign w:val="center"/>
            <w:hideMark/>
          </w:tcPr>
          <w:p w14:paraId="7117444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Mar>
              <w:top w:w="15" w:type="dxa"/>
              <w:left w:w="15" w:type="dxa"/>
              <w:bottom w:w="15" w:type="dxa"/>
              <w:right w:w="15" w:type="dxa"/>
            </w:tcMar>
            <w:vAlign w:val="center"/>
            <w:hideMark/>
          </w:tcPr>
          <w:p w14:paraId="24A26980"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0.0095 ± 0.0000ᵇ</w:t>
            </w:r>
          </w:p>
        </w:tc>
        <w:tc>
          <w:tcPr>
            <w:tcW w:w="866" w:type="dxa"/>
            <w:tcMar>
              <w:top w:w="15" w:type="dxa"/>
              <w:left w:w="15" w:type="dxa"/>
              <w:bottom w:w="15" w:type="dxa"/>
              <w:right w:w="15" w:type="dxa"/>
            </w:tcMar>
            <w:vAlign w:val="center"/>
            <w:hideMark/>
          </w:tcPr>
          <w:p w14:paraId="05B61EF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0.0105 ± 0.0000</w:t>
            </w:r>
          </w:p>
        </w:tc>
        <w:tc>
          <w:tcPr>
            <w:tcW w:w="872" w:type="dxa"/>
            <w:tcMar>
              <w:top w:w="15" w:type="dxa"/>
              <w:left w:w="15" w:type="dxa"/>
              <w:bottom w:w="15" w:type="dxa"/>
              <w:right w:w="15" w:type="dxa"/>
            </w:tcMar>
            <w:vAlign w:val="center"/>
            <w:hideMark/>
          </w:tcPr>
          <w:p w14:paraId="36CE4D1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1165" w:type="dxa"/>
            <w:tcMar>
              <w:top w:w="15" w:type="dxa"/>
              <w:left w:w="15" w:type="dxa"/>
              <w:bottom w:w="15" w:type="dxa"/>
              <w:right w:w="15" w:type="dxa"/>
            </w:tcMar>
            <w:vAlign w:val="center"/>
            <w:hideMark/>
          </w:tcPr>
          <w:p w14:paraId="2370F62D"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0.0091 ± 0.0000ᵃ</w:t>
            </w:r>
          </w:p>
        </w:tc>
      </w:tr>
      <w:tr w:rsidR="003B3A3D" w14:paraId="62E9308E" w14:textId="77777777">
        <w:trPr>
          <w:trHeight w:val="572"/>
          <w:tblCellSpacing w:w="15" w:type="dxa"/>
        </w:trPr>
        <w:tc>
          <w:tcPr>
            <w:tcW w:w="664" w:type="dxa"/>
            <w:tcBorders>
              <w:top w:val="nil"/>
              <w:left w:val="nil"/>
              <w:bottom w:val="single" w:sz="4" w:space="0" w:color="auto"/>
              <w:right w:val="nil"/>
            </w:tcBorders>
            <w:tcMar>
              <w:top w:w="15" w:type="dxa"/>
              <w:left w:w="15" w:type="dxa"/>
              <w:bottom w:w="15" w:type="dxa"/>
              <w:right w:w="15" w:type="dxa"/>
            </w:tcMar>
            <w:vAlign w:val="center"/>
            <w:hideMark/>
          </w:tcPr>
          <w:p w14:paraId="1C0BCCE1" w14:textId="77777777" w:rsidR="003B3A3D" w:rsidRDefault="003B3A3D">
            <w:pPr>
              <w:rPr>
                <w:rFonts w:ascii="Times New Roman" w:hAnsi="Times New Roman"/>
                <w:kern w:val="2"/>
                <w14:ligatures w14:val="standardContextual"/>
              </w:rPr>
            </w:pPr>
          </w:p>
        </w:tc>
        <w:tc>
          <w:tcPr>
            <w:tcW w:w="396" w:type="dxa"/>
            <w:tcBorders>
              <w:top w:val="nil"/>
              <w:left w:val="nil"/>
              <w:bottom w:val="single" w:sz="4" w:space="0" w:color="auto"/>
              <w:right w:val="nil"/>
            </w:tcBorders>
            <w:tcMar>
              <w:top w:w="15" w:type="dxa"/>
              <w:left w:w="15" w:type="dxa"/>
              <w:bottom w:w="15" w:type="dxa"/>
              <w:right w:w="15" w:type="dxa"/>
            </w:tcMar>
            <w:vAlign w:val="center"/>
            <w:hideMark/>
          </w:tcPr>
          <w:p w14:paraId="0BBFA484" w14:textId="77777777" w:rsidR="003B3A3D" w:rsidRDefault="003B3A3D">
            <w:pPr>
              <w:rPr>
                <w:rFonts w:ascii="Times New Roman" w:eastAsia="SimSun" w:hAnsi="Times New Roman"/>
                <w:kern w:val="2"/>
                <w:lang w:eastAsia="zh-CN"/>
                <w14:ligatures w14:val="standardContextual"/>
              </w:rPr>
            </w:pPr>
            <w:r>
              <w:rPr>
                <w:rFonts w:ascii="Times New Roman" w:hAnsi="Times New Roman"/>
                <w:kern w:val="2"/>
                <w14:ligatures w14:val="standardContextual"/>
              </w:rPr>
              <w:t>HC</w:t>
            </w:r>
          </w:p>
        </w:tc>
        <w:tc>
          <w:tcPr>
            <w:tcW w:w="805" w:type="dxa"/>
            <w:tcBorders>
              <w:top w:val="nil"/>
              <w:left w:val="nil"/>
              <w:bottom w:val="single" w:sz="4" w:space="0" w:color="auto"/>
              <w:right w:val="nil"/>
            </w:tcBorders>
            <w:tcMar>
              <w:top w:w="15" w:type="dxa"/>
              <w:left w:w="15" w:type="dxa"/>
              <w:bottom w:w="15" w:type="dxa"/>
              <w:right w:w="15" w:type="dxa"/>
            </w:tcMar>
            <w:vAlign w:val="center"/>
            <w:hideMark/>
          </w:tcPr>
          <w:p w14:paraId="52170816"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0.0108 ± 0.0000</w:t>
            </w:r>
          </w:p>
        </w:tc>
        <w:tc>
          <w:tcPr>
            <w:tcW w:w="804" w:type="dxa"/>
            <w:tcBorders>
              <w:top w:val="nil"/>
              <w:left w:val="nil"/>
              <w:bottom w:val="single" w:sz="4" w:space="0" w:color="auto"/>
              <w:right w:val="nil"/>
            </w:tcBorders>
            <w:tcMar>
              <w:top w:w="15" w:type="dxa"/>
              <w:left w:w="15" w:type="dxa"/>
              <w:bottom w:w="15" w:type="dxa"/>
              <w:right w:w="15" w:type="dxa"/>
            </w:tcMar>
            <w:vAlign w:val="center"/>
            <w:hideMark/>
          </w:tcPr>
          <w:p w14:paraId="589E0D4E"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Borders>
              <w:top w:val="nil"/>
              <w:left w:val="nil"/>
              <w:bottom w:val="single" w:sz="4" w:space="0" w:color="auto"/>
              <w:right w:val="nil"/>
            </w:tcBorders>
            <w:tcMar>
              <w:top w:w="15" w:type="dxa"/>
              <w:left w:w="15" w:type="dxa"/>
              <w:bottom w:w="15" w:type="dxa"/>
              <w:right w:w="15" w:type="dxa"/>
            </w:tcMar>
            <w:vAlign w:val="center"/>
            <w:hideMark/>
          </w:tcPr>
          <w:p w14:paraId="427156F5"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0.0108 ± 0.0000ᵃ</w:t>
            </w:r>
          </w:p>
        </w:tc>
        <w:tc>
          <w:tcPr>
            <w:tcW w:w="804" w:type="dxa"/>
            <w:tcBorders>
              <w:top w:val="nil"/>
              <w:left w:val="nil"/>
              <w:bottom w:val="single" w:sz="4" w:space="0" w:color="auto"/>
              <w:right w:val="nil"/>
            </w:tcBorders>
            <w:tcMar>
              <w:top w:w="15" w:type="dxa"/>
              <w:left w:w="15" w:type="dxa"/>
              <w:bottom w:w="15" w:type="dxa"/>
              <w:right w:w="15" w:type="dxa"/>
            </w:tcMar>
            <w:vAlign w:val="center"/>
            <w:hideMark/>
          </w:tcPr>
          <w:p w14:paraId="1121C4E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0.0108 ± 0.0000</w:t>
            </w:r>
          </w:p>
        </w:tc>
        <w:tc>
          <w:tcPr>
            <w:tcW w:w="804" w:type="dxa"/>
            <w:tcBorders>
              <w:top w:val="nil"/>
              <w:left w:val="nil"/>
              <w:bottom w:val="single" w:sz="4" w:space="0" w:color="auto"/>
              <w:right w:val="nil"/>
            </w:tcBorders>
            <w:tcMar>
              <w:top w:w="15" w:type="dxa"/>
              <w:left w:w="15" w:type="dxa"/>
              <w:bottom w:w="15" w:type="dxa"/>
              <w:right w:w="15" w:type="dxa"/>
            </w:tcMar>
            <w:vAlign w:val="center"/>
            <w:hideMark/>
          </w:tcPr>
          <w:p w14:paraId="578AB757"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975" w:type="dxa"/>
            <w:tcBorders>
              <w:top w:val="nil"/>
              <w:left w:val="nil"/>
              <w:bottom w:val="single" w:sz="4" w:space="0" w:color="auto"/>
              <w:right w:val="nil"/>
            </w:tcBorders>
            <w:tcMar>
              <w:top w:w="15" w:type="dxa"/>
              <w:left w:w="15" w:type="dxa"/>
              <w:bottom w:w="15" w:type="dxa"/>
              <w:right w:w="15" w:type="dxa"/>
            </w:tcMar>
            <w:vAlign w:val="center"/>
            <w:hideMark/>
          </w:tcPr>
          <w:p w14:paraId="7FA86901"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0.0102 ± 0.0000ᵇ</w:t>
            </w:r>
          </w:p>
        </w:tc>
        <w:tc>
          <w:tcPr>
            <w:tcW w:w="866" w:type="dxa"/>
            <w:tcBorders>
              <w:top w:val="nil"/>
              <w:left w:val="nil"/>
              <w:bottom w:val="single" w:sz="4" w:space="0" w:color="auto"/>
              <w:right w:val="nil"/>
            </w:tcBorders>
            <w:tcMar>
              <w:top w:w="15" w:type="dxa"/>
              <w:left w:w="15" w:type="dxa"/>
              <w:bottom w:w="15" w:type="dxa"/>
              <w:right w:w="15" w:type="dxa"/>
            </w:tcMar>
            <w:vAlign w:val="center"/>
            <w:hideMark/>
          </w:tcPr>
          <w:p w14:paraId="7AD15AD9"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0.0107 ± 0.0000</w:t>
            </w:r>
          </w:p>
        </w:tc>
        <w:tc>
          <w:tcPr>
            <w:tcW w:w="872" w:type="dxa"/>
            <w:tcBorders>
              <w:top w:val="nil"/>
              <w:left w:val="nil"/>
              <w:bottom w:val="single" w:sz="4" w:space="0" w:color="auto"/>
              <w:right w:val="nil"/>
            </w:tcBorders>
            <w:tcMar>
              <w:top w:w="15" w:type="dxa"/>
              <w:left w:w="15" w:type="dxa"/>
              <w:bottom w:w="15" w:type="dxa"/>
              <w:right w:w="15" w:type="dxa"/>
            </w:tcMar>
            <w:vAlign w:val="center"/>
            <w:hideMark/>
          </w:tcPr>
          <w:p w14:paraId="4C97310A"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0.0009 ± 0.0002</w:t>
            </w:r>
          </w:p>
        </w:tc>
        <w:tc>
          <w:tcPr>
            <w:tcW w:w="1165" w:type="dxa"/>
            <w:tcBorders>
              <w:top w:val="nil"/>
              <w:left w:val="nil"/>
              <w:bottom w:val="single" w:sz="4" w:space="0" w:color="auto"/>
              <w:right w:val="nil"/>
            </w:tcBorders>
            <w:tcMar>
              <w:top w:w="15" w:type="dxa"/>
              <w:left w:w="15" w:type="dxa"/>
              <w:bottom w:w="15" w:type="dxa"/>
              <w:right w:w="15" w:type="dxa"/>
            </w:tcMar>
            <w:vAlign w:val="center"/>
            <w:hideMark/>
          </w:tcPr>
          <w:p w14:paraId="5F41305C" w14:textId="77777777" w:rsidR="003B3A3D" w:rsidRDefault="003B3A3D">
            <w:pPr>
              <w:rPr>
                <w:rFonts w:ascii="Times New Roman" w:hAnsi="Times New Roman"/>
                <w:kern w:val="2"/>
                <w14:ligatures w14:val="standardContextual"/>
              </w:rPr>
            </w:pPr>
            <w:r>
              <w:rPr>
                <w:rFonts w:ascii="Times New Roman" w:hAnsi="Times New Roman"/>
                <w:kern w:val="2"/>
                <w14:ligatures w14:val="standardContextual"/>
              </w:rPr>
              <w:t>0.0074 ± 0.0000ᶜ</w:t>
            </w:r>
          </w:p>
        </w:tc>
      </w:tr>
    </w:tbl>
    <w:p w14:paraId="26F8B072" w14:textId="77777777" w:rsidR="003B3A3D" w:rsidRDefault="003B3A3D" w:rsidP="003B3A3D">
      <w:pPr>
        <w:jc w:val="both"/>
        <w:rPr>
          <w:rFonts w:ascii="Times New Roman" w:eastAsia="SimSun" w:hAnsi="Times New Roman"/>
          <w:sz w:val="24"/>
          <w:szCs w:val="24"/>
          <w:lang w:eastAsia="zh-CN"/>
        </w:rPr>
      </w:pPr>
      <w:r>
        <w:rPr>
          <w:rFonts w:ascii="Times New Roman" w:hAnsi="Times New Roman"/>
          <w:i/>
          <w:iCs/>
          <w:sz w:val="24"/>
          <w:szCs w:val="24"/>
        </w:rPr>
        <w:t>Values are presented as mean ± standard deviation (SD). Superscript letters within each pollution level indicate comparisons among days of exposure. Values bearing different superscript letters are significantly different, while values bearing the same superscript letter are not significantly different at p &lt; 0.05. HM = Heavy Metal; PL = Pollution Level; PC = Positive Control; NC = Negative Control; SC = Slightly Contaminated; MC = Moderately Contaminated; HC = Highly Contaminated.</w:t>
      </w:r>
    </w:p>
    <w:p w14:paraId="2D95DEBB" w14:textId="77777777" w:rsidR="003B3A3D" w:rsidRDefault="003B3A3D" w:rsidP="003B3A3D">
      <w:pPr>
        <w:jc w:val="both"/>
        <w:rPr>
          <w:rFonts w:ascii="Times New Roman" w:hAnsi="Times New Roman"/>
          <w:sz w:val="24"/>
          <w:szCs w:val="24"/>
        </w:rPr>
      </w:pPr>
      <w:r>
        <w:rPr>
          <w:rFonts w:ascii="Times New Roman" w:hAnsi="Times New Roman"/>
          <w:b/>
          <w:bCs/>
          <w:sz w:val="24"/>
          <w:szCs w:val="24"/>
        </w:rPr>
        <w:t xml:space="preserve">4.1.4 Heavy Metal Concentrations in </w:t>
      </w:r>
      <w:r>
        <w:rPr>
          <w:rFonts w:ascii="Times New Roman" w:hAnsi="Times New Roman"/>
          <w:b/>
          <w:bCs/>
          <w:i/>
          <w:iCs/>
          <w:sz w:val="24"/>
          <w:szCs w:val="24"/>
        </w:rPr>
        <w:t>Eichhornia crassipes</w:t>
      </w:r>
      <w:r>
        <w:rPr>
          <w:rFonts w:ascii="Times New Roman" w:hAnsi="Times New Roman"/>
          <w:b/>
          <w:bCs/>
          <w:sz w:val="24"/>
          <w:szCs w:val="24"/>
        </w:rPr>
        <w:t xml:space="preserve"> Leaf, stalk</w:t>
      </w:r>
      <w:r>
        <w:rPr>
          <w:rFonts w:ascii="Times New Roman" w:hAnsi="Times New Roman"/>
          <w:b/>
          <w:bCs/>
          <w:sz w:val="24"/>
          <w:szCs w:val="24"/>
          <w:highlight w:val="yellow"/>
        </w:rPr>
        <w:t>,</w:t>
      </w:r>
      <w:r>
        <w:rPr>
          <w:rFonts w:ascii="Times New Roman" w:hAnsi="Times New Roman"/>
          <w:b/>
          <w:bCs/>
          <w:sz w:val="24"/>
          <w:szCs w:val="24"/>
        </w:rPr>
        <w:t xml:space="preserve"> and root of </w:t>
      </w:r>
      <w:r>
        <w:rPr>
          <w:rFonts w:ascii="Times New Roman" w:hAnsi="Times New Roman"/>
          <w:b/>
          <w:bCs/>
          <w:i/>
          <w:iCs/>
          <w:sz w:val="24"/>
          <w:szCs w:val="24"/>
        </w:rPr>
        <w:t>Eichhornia crassipes</w:t>
      </w:r>
      <w:r>
        <w:rPr>
          <w:rFonts w:ascii="Times New Roman" w:hAnsi="Times New Roman"/>
          <w:b/>
          <w:bCs/>
          <w:sz w:val="24"/>
          <w:szCs w:val="24"/>
        </w:rPr>
        <w:t xml:space="preserve"> exposed to slightly, moderately</w:t>
      </w:r>
      <w:r>
        <w:rPr>
          <w:rFonts w:ascii="Times New Roman" w:hAnsi="Times New Roman"/>
          <w:b/>
          <w:bCs/>
          <w:sz w:val="24"/>
          <w:szCs w:val="24"/>
          <w:highlight w:val="yellow"/>
        </w:rPr>
        <w:t>,</w:t>
      </w:r>
      <w:r>
        <w:rPr>
          <w:rFonts w:ascii="Times New Roman" w:hAnsi="Times New Roman"/>
          <w:b/>
          <w:bCs/>
          <w:sz w:val="24"/>
          <w:szCs w:val="24"/>
        </w:rPr>
        <w:t xml:space="preserve"> and highly contaminated simulated water.</w:t>
      </w:r>
    </w:p>
    <w:p w14:paraId="698E7330" w14:textId="77777777" w:rsidR="003B3A3D" w:rsidRDefault="003B3A3D" w:rsidP="003B3A3D">
      <w:pPr>
        <w:spacing w:before="240" w:line="48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highlight w:val="yellow"/>
        </w:rPr>
        <w:t>Table 5 shows</w:t>
      </w:r>
      <w:r>
        <w:rPr>
          <w:rFonts w:ascii="Times New Roman" w:hAnsi="Times New Roman"/>
          <w:sz w:val="24"/>
          <w:szCs w:val="24"/>
          <w:highlight w:val="yellow"/>
        </w:rPr>
        <w:t xml:space="preserve"> the concentrations of Ni, Fe, Pb, Cd</w:t>
      </w:r>
      <w:r>
        <w:rPr>
          <w:rFonts w:ascii="Times New Roman" w:hAnsi="Times New Roman"/>
          <w:sz w:val="24"/>
          <w:szCs w:val="24"/>
          <w:highlight w:val="yellow"/>
        </w:rPr>
        <w:t>,</w:t>
      </w:r>
      <w:r>
        <w:rPr>
          <w:rFonts w:ascii="Times New Roman" w:hAnsi="Times New Roman"/>
          <w:sz w:val="24"/>
          <w:szCs w:val="24"/>
        </w:rPr>
        <w:t xml:space="preserve"> and Cr accumulated in the leaf, stalk</w:t>
      </w:r>
      <w:r>
        <w:rPr>
          <w:rFonts w:ascii="Times New Roman" w:hAnsi="Times New Roman"/>
          <w:sz w:val="24"/>
          <w:szCs w:val="24"/>
          <w:highlight w:val="yellow"/>
        </w:rPr>
        <w:t>,</w:t>
      </w:r>
      <w:r>
        <w:rPr>
          <w:rFonts w:ascii="Times New Roman" w:hAnsi="Times New Roman"/>
          <w:sz w:val="24"/>
          <w:szCs w:val="24"/>
        </w:rPr>
        <w:t xml:space="preserve"> and root of </w:t>
      </w:r>
      <w:r>
        <w:rPr>
          <w:rFonts w:ascii="Times New Roman" w:hAnsi="Times New Roman"/>
          <w:i/>
          <w:iCs/>
          <w:sz w:val="24"/>
          <w:szCs w:val="24"/>
        </w:rPr>
        <w:t>Eichhornia crassipes</w:t>
      </w:r>
      <w:r>
        <w:rPr>
          <w:rFonts w:ascii="Times New Roman" w:hAnsi="Times New Roman"/>
          <w:sz w:val="24"/>
          <w:szCs w:val="24"/>
        </w:rPr>
        <w:t xml:space="preserve"> exposed to slightly, moderately</w:t>
      </w:r>
      <w:r>
        <w:rPr>
          <w:rFonts w:ascii="Times New Roman" w:hAnsi="Times New Roman"/>
          <w:sz w:val="24"/>
          <w:szCs w:val="24"/>
          <w:highlight w:val="yellow"/>
        </w:rPr>
        <w:t>,</w:t>
      </w:r>
      <w:r>
        <w:rPr>
          <w:rFonts w:ascii="Times New Roman" w:hAnsi="Times New Roman"/>
          <w:sz w:val="24"/>
          <w:szCs w:val="24"/>
        </w:rPr>
        <w:t xml:space="preserve"> and highly contaminated simulated water. The results demonstrate that </w:t>
      </w:r>
      <w:r>
        <w:rPr>
          <w:rFonts w:ascii="Times New Roman" w:hAnsi="Times New Roman"/>
          <w:sz w:val="24"/>
          <w:szCs w:val="24"/>
        </w:rPr>
        <w:t xml:space="preserve">heavy-metal accumulation varied according to both pollution level and plant part. In general, </w:t>
      </w:r>
      <w:r>
        <w:rPr>
          <w:rFonts w:ascii="Times New Roman" w:hAnsi="Times New Roman"/>
          <w:sz w:val="24"/>
          <w:szCs w:val="24"/>
          <w:highlight w:val="yellow"/>
        </w:rPr>
        <w:t>the concentrations of the metals in the plants decreased as the pollution category changed from slightly to highly contaminated</w:t>
      </w:r>
      <w:r>
        <w:rPr>
          <w:rFonts w:ascii="Times New Roman" w:hAnsi="Times New Roman"/>
          <w:sz w:val="24"/>
          <w:szCs w:val="24"/>
          <w:highlight w:val="yellow"/>
        </w:rPr>
        <w:t>, although the pattern differed somewhat among the plant tissues. For nickel (Ni), the highest concentrations were generally recorded under the slightly contaminated condition. In the leaf, Ni concentration decreased from 0.1626 ± 0.0004 mg/kg at the slightly contaminated level to 0.1237 ± 0.0002 mg/kg at the moderately contaminated level and 0.1058 ± 0.0003 mg/kg at the highly contaminated level. Similarly, the stalk concentration decreased from 0.1444 ± 0.0001 mg/kg under slightly contaminated conditions to 0.1166 ± 0.0001 mg/kg under moderately contaminated conditions, although it increased slightly to 0.1178 ± 0.0002 mg/kg at the highly contaminated level. In the root, Ni decreased from 0.1613 ± 0.0003 mg/kg at the slightly contaminated level to 0.1430 ± 0.0001 mg/kg at the moderately contaminated level and 0.0609 ± 0.0002 mg/kg at the highly contaminated level. For iron (Fe), the leaf concentration decreased progressively from 0.1165 ± 0.0002 mg/kg under slightly contaminated conditions to 0.0870 ± 0.0002 mg/kg at moderate pollution and 0.0734 ± 0.0002 mg/kg at high pollution. The root similarly decreased from 0.1150 ± 0.0002 mg/kg to 0.1017 ± 0.0001 mg/kg and 0.0398 ± 0.0001 mg/kg under slightly, moderately</w:t>
      </w:r>
      <w:r>
        <w:rPr>
          <w:rFonts w:ascii="Times New Roman" w:hAnsi="Times New Roman"/>
          <w:sz w:val="24"/>
          <w:szCs w:val="24"/>
          <w:highlight w:val="yellow"/>
        </w:rPr>
        <w:t>,</w:t>
      </w:r>
      <w:r>
        <w:rPr>
          <w:rFonts w:ascii="Times New Roman" w:hAnsi="Times New Roman"/>
          <w:sz w:val="24"/>
          <w:szCs w:val="24"/>
        </w:rPr>
        <w:t xml:space="preserve"> and highly contaminated conditions, respectively. In the stalk, Fe decreased from 0.0986 ± 0.0001 mg/kg under slightly contaminated conditions to 0.0815 ± 0.0001 mg/kg under moderate pollution and remained relatively unchanged at 0.0814 ± 0.0001 mg/kg under high pollution. For lead (Pb), the concentrations were lower than those recorded for Ni and Fe. Leaf Pb decreased from 0.0033 ± 0.0000 mg/kg under slightly contaminated conditions to 0.0024 ± 0.0000 mg/kg at moderate pollution and 0.0021 ± 0.0000 mg/kg at high pollution. The root concentration decreased from 0.0031 ± 0.0000 mg/kg to 0.0028 ± 0.0000 mg/kg and 0.0012 ± 0.0000 mg/kg across the three pollution levels. In the stalk, Pb decreased from 0.0028 ± 0.0000 mg/kg under slightly contaminated conditions to 0.0023 ± 0.0000 mg/kg at moderate pollution and remained at 0.0023 ± 0.0000 mg/kg under high pollution. </w:t>
      </w:r>
      <w:r>
        <w:rPr>
          <w:rFonts w:ascii="Times New Roman" w:hAnsi="Times New Roman"/>
          <w:sz w:val="24"/>
          <w:szCs w:val="24"/>
          <w:highlight w:val="yellow"/>
        </w:rPr>
        <w:t>For c</w:t>
      </w:r>
      <w:r>
        <w:rPr>
          <w:rFonts w:ascii="Times New Roman" w:hAnsi="Times New Roman"/>
          <w:sz w:val="24"/>
          <w:szCs w:val="24"/>
        </w:rPr>
        <w:t xml:space="preserve">admium (Cd), the leaf concentration decreased from 0.0332 ± 0.0001 mg/kg under slightly contaminated conditions to 0.0250 ± 0.0001 mg/kg at moderate pollution and 0.0214 ± 0.0001 mg/kg at high pollution. Root Cd also decreased from 0.0319 ± 0.0002 mg/kg to 0.0293 ± 0.0001 mg/kg and 0.0119 ± 0.0000 mg/kg across the three pollution levels. In the stalk, Cd decreased from 0.0281 ± 0.0001 mg/kg </w:t>
      </w:r>
      <w:r>
        <w:rPr>
          <w:rFonts w:ascii="Times New Roman" w:hAnsi="Times New Roman"/>
          <w:sz w:val="24"/>
          <w:szCs w:val="24"/>
        </w:rPr>
        <w:lastRenderedPageBreak/>
        <w:t>at the slightly contaminated level to 0.0238 ± 0.0001 mg/kg at moderate pollution and 0.0234 ± 0.0001 mg/kg at high pollution. The leaf and root showed significant differences among pollution levels, whereas the moderate and highly contaminated stalk treatments were not significantly different. Chromium (Cr) concentrations also generally decreased with increasing pollution intensity. In the leaf, Cr decreased from 0.0074 ± 0.0000 mg/kg under slightly contaminated conditions to 0.0057 ± 0.0000 mg/kg at moderate pollution and 0.0047 ± 0.0000 mg/kg at high pollution. Root Cr decreased from 0.0073 ± 0.0000 mg/kg to 0.0066 ± 0.0000 mg/kg and 0.0025 ± 0.0000 mg/kg across the three pollution levels. In the stalk, Cr decreased from 0.0064 ± 0.0000 mg/kg under slightly contaminated conditions to 0.0053 ± 0.0000 mg/kg at moderate pollution and 0.0034 ± 0.0000 mg/kg at high pollution. The results therefore indicate that the concentrations of Cr in the plant tissues were generally highest under slightly contaminated conditions and lowest under highly contaminated conditions.</w:t>
      </w:r>
    </w:p>
    <w:p w14:paraId="18E5EEAD"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48022E73"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highlight w:val="yellow"/>
        </w:rPr>
        <w:t>Table 5:</w:t>
      </w:r>
      <w:r>
        <w:rPr>
          <w:rFonts w:ascii="Times New Roman" w:hAnsi="Times New Roman"/>
          <w:b/>
          <w:bCs/>
          <w:sz w:val="24"/>
          <w:szCs w:val="24"/>
          <w:highlight w:val="yellow"/>
        </w:rPr>
        <w:t xml:space="preserve"> Concentrations of Heavy Metals in the </w:t>
      </w:r>
      <w:r>
        <w:rPr>
          <w:rFonts w:ascii="Times New Roman" w:hAnsi="Times New Roman"/>
          <w:b/>
          <w:bCs/>
          <w:sz w:val="24"/>
          <w:szCs w:val="24"/>
          <w:highlight w:val="yellow"/>
        </w:rPr>
        <w:t>Leaf, Stalk and Root</w:t>
      </w:r>
      <w:r>
        <w:rPr>
          <w:rFonts w:ascii="Times New Roman" w:hAnsi="Times New Roman"/>
          <w:b/>
          <w:bCs/>
          <w:sz w:val="24"/>
          <w:szCs w:val="24"/>
          <w:highlight w:val="yellow"/>
        </w:rPr>
        <w:t xml:space="preserve"> of </w:t>
      </w:r>
      <w:r>
        <w:rPr>
          <w:rFonts w:ascii="Times New Roman" w:hAnsi="Times New Roman"/>
          <w:b/>
          <w:bCs/>
          <w:i/>
          <w:iCs/>
          <w:sz w:val="24"/>
          <w:szCs w:val="24"/>
        </w:rPr>
        <w:t>Eichhornia crassipes</w:t>
      </w:r>
    </w:p>
    <w:tbl>
      <w:tblPr>
        <w:tblW w:w="9493" w:type="dxa"/>
        <w:tblCellSpacing w:w="15" w:type="dxa"/>
        <w:tblLook w:val="04A0" w:firstRow="1" w:lastRow="0" w:firstColumn="1" w:lastColumn="0" w:noHBand="0" w:noVBand="1"/>
      </w:tblPr>
      <w:tblGrid>
        <w:gridCol w:w="1615"/>
        <w:gridCol w:w="1882"/>
        <w:gridCol w:w="1990"/>
        <w:gridCol w:w="2001"/>
        <w:gridCol w:w="2005"/>
      </w:tblGrid>
      <w:tr w:rsidR="003B3A3D" w14:paraId="73635815" w14:textId="77777777">
        <w:trPr>
          <w:trHeight w:val="575"/>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6BCD62F"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 Metal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5718BD5"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Pollution Level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00E6483"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LEAF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332D246"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STALK (mg/kg)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FB9BBB7" w14:textId="77777777" w:rsidR="003B3A3D" w:rsidRDefault="003B3A3D">
            <w:pPr>
              <w:jc w:val="both"/>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ROOT (mg/kg)</w:t>
            </w:r>
          </w:p>
        </w:tc>
      </w:tr>
      <w:tr w:rsidR="003B3A3D" w14:paraId="16DAA772" w14:textId="77777777">
        <w:trPr>
          <w:trHeight w:val="585"/>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5372074" w14:textId="77777777" w:rsidR="003B3A3D" w:rsidRDefault="003B3A3D">
            <w:pPr>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Ni</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EE4E1A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DB2740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0.1626 ± 0.0004ᵃ</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21A03C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0.1444 ± 0.0001ᵃ</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B102EA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0.1613 ± 0.0003ᵃ</w:t>
            </w:r>
          </w:p>
        </w:tc>
      </w:tr>
      <w:tr w:rsidR="003B3A3D" w14:paraId="7350FDD8" w14:textId="77777777">
        <w:trPr>
          <w:trHeight w:val="575"/>
          <w:tblCellSpacing w:w="15" w:type="dxa"/>
        </w:trPr>
        <w:tc>
          <w:tcPr>
            <w:tcW w:w="0" w:type="auto"/>
            <w:tcMar>
              <w:top w:w="15" w:type="dxa"/>
              <w:left w:w="15" w:type="dxa"/>
              <w:bottom w:w="15" w:type="dxa"/>
              <w:right w:w="15" w:type="dxa"/>
            </w:tcMar>
            <w:vAlign w:val="center"/>
            <w:hideMark/>
          </w:tcPr>
          <w:p w14:paraId="5D566DAB"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57BA2E3C"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1C8C89F8"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0.1237 ± 0.0002ᵇ</w:t>
            </w:r>
          </w:p>
        </w:tc>
        <w:tc>
          <w:tcPr>
            <w:tcW w:w="0" w:type="auto"/>
            <w:tcMar>
              <w:top w:w="15" w:type="dxa"/>
              <w:left w:w="15" w:type="dxa"/>
              <w:bottom w:w="15" w:type="dxa"/>
              <w:right w:w="15" w:type="dxa"/>
            </w:tcMar>
            <w:vAlign w:val="center"/>
            <w:hideMark/>
          </w:tcPr>
          <w:p w14:paraId="56959E3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0.1166 ± 0.0001ᵇ</w:t>
            </w:r>
          </w:p>
        </w:tc>
        <w:tc>
          <w:tcPr>
            <w:tcW w:w="0" w:type="auto"/>
            <w:tcMar>
              <w:top w:w="15" w:type="dxa"/>
              <w:left w:w="15" w:type="dxa"/>
              <w:bottom w:w="15" w:type="dxa"/>
              <w:right w:w="15" w:type="dxa"/>
            </w:tcMar>
            <w:vAlign w:val="center"/>
            <w:hideMark/>
          </w:tcPr>
          <w:p w14:paraId="44E3D43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0.1430 ± 0.0001ᵇ</w:t>
            </w:r>
          </w:p>
        </w:tc>
      </w:tr>
      <w:tr w:rsidR="003B3A3D" w14:paraId="5E48D0B5" w14:textId="77777777">
        <w:trPr>
          <w:trHeight w:val="575"/>
          <w:tblCellSpacing w:w="15" w:type="dxa"/>
        </w:trPr>
        <w:tc>
          <w:tcPr>
            <w:tcW w:w="0" w:type="auto"/>
            <w:tcMar>
              <w:top w:w="15" w:type="dxa"/>
              <w:left w:w="15" w:type="dxa"/>
              <w:bottom w:w="15" w:type="dxa"/>
              <w:right w:w="15" w:type="dxa"/>
            </w:tcMar>
            <w:vAlign w:val="center"/>
            <w:hideMark/>
          </w:tcPr>
          <w:p w14:paraId="05274CB2"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4FB5FAA4"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135D455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0.1058 ± 0.0003ᶜ</w:t>
            </w:r>
          </w:p>
        </w:tc>
        <w:tc>
          <w:tcPr>
            <w:tcW w:w="0" w:type="auto"/>
            <w:tcMar>
              <w:top w:w="15" w:type="dxa"/>
              <w:left w:w="15" w:type="dxa"/>
              <w:bottom w:w="15" w:type="dxa"/>
              <w:right w:w="15" w:type="dxa"/>
            </w:tcMar>
            <w:vAlign w:val="center"/>
            <w:hideMark/>
          </w:tcPr>
          <w:p w14:paraId="7C39D353"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0.1178 ± 0.0002ᵇ</w:t>
            </w:r>
          </w:p>
        </w:tc>
        <w:tc>
          <w:tcPr>
            <w:tcW w:w="0" w:type="auto"/>
            <w:tcMar>
              <w:top w:w="15" w:type="dxa"/>
              <w:left w:w="15" w:type="dxa"/>
              <w:bottom w:w="15" w:type="dxa"/>
              <w:right w:w="15" w:type="dxa"/>
            </w:tcMar>
            <w:vAlign w:val="center"/>
            <w:hideMark/>
          </w:tcPr>
          <w:p w14:paraId="516D043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0.0609 ± 0.0002ᶜ</w:t>
            </w:r>
          </w:p>
        </w:tc>
      </w:tr>
      <w:tr w:rsidR="003B3A3D" w14:paraId="2DFAED7B" w14:textId="77777777">
        <w:trPr>
          <w:trHeight w:val="575"/>
          <w:tblCellSpacing w:w="15" w:type="dxa"/>
        </w:trPr>
        <w:tc>
          <w:tcPr>
            <w:tcW w:w="0" w:type="auto"/>
            <w:tcMar>
              <w:top w:w="15" w:type="dxa"/>
              <w:left w:w="15" w:type="dxa"/>
              <w:bottom w:w="15" w:type="dxa"/>
              <w:right w:w="15" w:type="dxa"/>
            </w:tcMar>
            <w:vAlign w:val="center"/>
            <w:hideMark/>
          </w:tcPr>
          <w:p w14:paraId="2A7B983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Fe</w:t>
            </w:r>
          </w:p>
        </w:tc>
        <w:tc>
          <w:tcPr>
            <w:tcW w:w="0" w:type="auto"/>
            <w:tcMar>
              <w:top w:w="15" w:type="dxa"/>
              <w:left w:w="15" w:type="dxa"/>
              <w:bottom w:w="15" w:type="dxa"/>
              <w:right w:w="15" w:type="dxa"/>
            </w:tcMar>
            <w:vAlign w:val="center"/>
            <w:hideMark/>
          </w:tcPr>
          <w:p w14:paraId="628AE4A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057375E7"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0.1165 ± 0.0002ᵃ</w:t>
            </w:r>
          </w:p>
        </w:tc>
        <w:tc>
          <w:tcPr>
            <w:tcW w:w="0" w:type="auto"/>
            <w:tcMar>
              <w:top w:w="15" w:type="dxa"/>
              <w:left w:w="15" w:type="dxa"/>
              <w:bottom w:w="15" w:type="dxa"/>
              <w:right w:w="15" w:type="dxa"/>
            </w:tcMar>
            <w:vAlign w:val="center"/>
            <w:hideMark/>
          </w:tcPr>
          <w:p w14:paraId="397EC31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0.0986 ± 0.0001ᵃ</w:t>
            </w:r>
          </w:p>
        </w:tc>
        <w:tc>
          <w:tcPr>
            <w:tcW w:w="0" w:type="auto"/>
            <w:tcMar>
              <w:top w:w="15" w:type="dxa"/>
              <w:left w:w="15" w:type="dxa"/>
              <w:bottom w:w="15" w:type="dxa"/>
              <w:right w:w="15" w:type="dxa"/>
            </w:tcMar>
            <w:vAlign w:val="center"/>
            <w:hideMark/>
          </w:tcPr>
          <w:p w14:paraId="4F0FD8BF"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0.1150 ± 0.0002ᵃ</w:t>
            </w:r>
          </w:p>
        </w:tc>
      </w:tr>
      <w:tr w:rsidR="003B3A3D" w14:paraId="0E682F31" w14:textId="77777777">
        <w:trPr>
          <w:trHeight w:val="585"/>
          <w:tblCellSpacing w:w="15" w:type="dxa"/>
        </w:trPr>
        <w:tc>
          <w:tcPr>
            <w:tcW w:w="0" w:type="auto"/>
            <w:tcMar>
              <w:top w:w="15" w:type="dxa"/>
              <w:left w:w="15" w:type="dxa"/>
              <w:bottom w:w="15" w:type="dxa"/>
              <w:right w:w="15" w:type="dxa"/>
            </w:tcMar>
            <w:vAlign w:val="center"/>
            <w:hideMark/>
          </w:tcPr>
          <w:p w14:paraId="0E755636"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467916E1"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2E6F979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0.0870 ± 0.0002ᵇ</w:t>
            </w:r>
          </w:p>
        </w:tc>
        <w:tc>
          <w:tcPr>
            <w:tcW w:w="0" w:type="auto"/>
            <w:tcMar>
              <w:top w:w="15" w:type="dxa"/>
              <w:left w:w="15" w:type="dxa"/>
              <w:bottom w:w="15" w:type="dxa"/>
              <w:right w:w="15" w:type="dxa"/>
            </w:tcMar>
            <w:vAlign w:val="center"/>
            <w:hideMark/>
          </w:tcPr>
          <w:p w14:paraId="0A17849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0.0815 ± 0.0001ᵇ</w:t>
            </w:r>
          </w:p>
        </w:tc>
        <w:tc>
          <w:tcPr>
            <w:tcW w:w="0" w:type="auto"/>
            <w:tcMar>
              <w:top w:w="15" w:type="dxa"/>
              <w:left w:w="15" w:type="dxa"/>
              <w:bottom w:w="15" w:type="dxa"/>
              <w:right w:w="15" w:type="dxa"/>
            </w:tcMar>
            <w:vAlign w:val="center"/>
            <w:hideMark/>
          </w:tcPr>
          <w:p w14:paraId="4346CE6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0.1017 ± 0.0001ᵇ</w:t>
            </w:r>
          </w:p>
        </w:tc>
      </w:tr>
      <w:tr w:rsidR="003B3A3D" w14:paraId="6311C6F5" w14:textId="77777777">
        <w:trPr>
          <w:trHeight w:val="575"/>
          <w:tblCellSpacing w:w="15" w:type="dxa"/>
        </w:trPr>
        <w:tc>
          <w:tcPr>
            <w:tcW w:w="0" w:type="auto"/>
            <w:tcMar>
              <w:top w:w="15" w:type="dxa"/>
              <w:left w:w="15" w:type="dxa"/>
              <w:bottom w:w="15" w:type="dxa"/>
              <w:right w:w="15" w:type="dxa"/>
            </w:tcMar>
            <w:vAlign w:val="center"/>
            <w:hideMark/>
          </w:tcPr>
          <w:p w14:paraId="4DE71702"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356A8803"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52F09E3A"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0.0734 ± 0.0002ᶜ</w:t>
            </w:r>
          </w:p>
        </w:tc>
        <w:tc>
          <w:tcPr>
            <w:tcW w:w="0" w:type="auto"/>
            <w:tcMar>
              <w:top w:w="15" w:type="dxa"/>
              <w:left w:w="15" w:type="dxa"/>
              <w:bottom w:w="15" w:type="dxa"/>
              <w:right w:w="15" w:type="dxa"/>
            </w:tcMar>
            <w:vAlign w:val="center"/>
            <w:hideMark/>
          </w:tcPr>
          <w:p w14:paraId="73F2E75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0.0814 ± 0.0001ᵇ</w:t>
            </w:r>
          </w:p>
        </w:tc>
        <w:tc>
          <w:tcPr>
            <w:tcW w:w="0" w:type="auto"/>
            <w:tcMar>
              <w:top w:w="15" w:type="dxa"/>
              <w:left w:w="15" w:type="dxa"/>
              <w:bottom w:w="15" w:type="dxa"/>
              <w:right w:w="15" w:type="dxa"/>
            </w:tcMar>
            <w:vAlign w:val="center"/>
            <w:hideMark/>
          </w:tcPr>
          <w:p w14:paraId="48A0FCD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0.0398 ± 0.0001ᶜ</w:t>
            </w:r>
          </w:p>
        </w:tc>
      </w:tr>
      <w:tr w:rsidR="003B3A3D" w14:paraId="14D07926" w14:textId="77777777">
        <w:trPr>
          <w:trHeight w:val="575"/>
          <w:tblCellSpacing w:w="15" w:type="dxa"/>
        </w:trPr>
        <w:tc>
          <w:tcPr>
            <w:tcW w:w="0" w:type="auto"/>
            <w:tcMar>
              <w:top w:w="15" w:type="dxa"/>
              <w:left w:w="15" w:type="dxa"/>
              <w:bottom w:w="15" w:type="dxa"/>
              <w:right w:w="15" w:type="dxa"/>
            </w:tcMar>
            <w:vAlign w:val="center"/>
            <w:hideMark/>
          </w:tcPr>
          <w:p w14:paraId="3C0A9DF0"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Pb</w:t>
            </w:r>
          </w:p>
        </w:tc>
        <w:tc>
          <w:tcPr>
            <w:tcW w:w="0" w:type="auto"/>
            <w:tcMar>
              <w:top w:w="15" w:type="dxa"/>
              <w:left w:w="15" w:type="dxa"/>
              <w:bottom w:w="15" w:type="dxa"/>
              <w:right w:w="15" w:type="dxa"/>
            </w:tcMar>
            <w:vAlign w:val="center"/>
            <w:hideMark/>
          </w:tcPr>
          <w:p w14:paraId="7E59E078"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59054517"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0.0033 ± 0.0000ᵃ</w:t>
            </w:r>
          </w:p>
        </w:tc>
        <w:tc>
          <w:tcPr>
            <w:tcW w:w="0" w:type="auto"/>
            <w:tcMar>
              <w:top w:w="15" w:type="dxa"/>
              <w:left w:w="15" w:type="dxa"/>
              <w:bottom w:w="15" w:type="dxa"/>
              <w:right w:w="15" w:type="dxa"/>
            </w:tcMar>
            <w:vAlign w:val="center"/>
            <w:hideMark/>
          </w:tcPr>
          <w:p w14:paraId="3A3879F8"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0.0028 ± 0.0000ᵃ</w:t>
            </w:r>
          </w:p>
        </w:tc>
        <w:tc>
          <w:tcPr>
            <w:tcW w:w="0" w:type="auto"/>
            <w:tcMar>
              <w:top w:w="15" w:type="dxa"/>
              <w:left w:w="15" w:type="dxa"/>
              <w:bottom w:w="15" w:type="dxa"/>
              <w:right w:w="15" w:type="dxa"/>
            </w:tcMar>
            <w:vAlign w:val="center"/>
            <w:hideMark/>
          </w:tcPr>
          <w:p w14:paraId="23ABE72D"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0.0031 ± 0.0000ᵃ</w:t>
            </w:r>
          </w:p>
        </w:tc>
      </w:tr>
      <w:tr w:rsidR="003B3A3D" w14:paraId="19DA433D" w14:textId="77777777">
        <w:trPr>
          <w:trHeight w:val="575"/>
          <w:tblCellSpacing w:w="15" w:type="dxa"/>
        </w:trPr>
        <w:tc>
          <w:tcPr>
            <w:tcW w:w="0" w:type="auto"/>
            <w:tcMar>
              <w:top w:w="15" w:type="dxa"/>
              <w:left w:w="15" w:type="dxa"/>
              <w:bottom w:w="15" w:type="dxa"/>
              <w:right w:w="15" w:type="dxa"/>
            </w:tcMar>
            <w:vAlign w:val="center"/>
            <w:hideMark/>
          </w:tcPr>
          <w:p w14:paraId="1CC46B71"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365A9037"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4B5B505E"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0.0024 ± 0.0000ᵇ</w:t>
            </w:r>
          </w:p>
        </w:tc>
        <w:tc>
          <w:tcPr>
            <w:tcW w:w="0" w:type="auto"/>
            <w:tcMar>
              <w:top w:w="15" w:type="dxa"/>
              <w:left w:w="15" w:type="dxa"/>
              <w:bottom w:w="15" w:type="dxa"/>
              <w:right w:w="15" w:type="dxa"/>
            </w:tcMar>
            <w:vAlign w:val="center"/>
            <w:hideMark/>
          </w:tcPr>
          <w:p w14:paraId="0926FD72"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0.0023 ± 0.0000ᵇ</w:t>
            </w:r>
          </w:p>
        </w:tc>
        <w:tc>
          <w:tcPr>
            <w:tcW w:w="0" w:type="auto"/>
            <w:tcMar>
              <w:top w:w="15" w:type="dxa"/>
              <w:left w:w="15" w:type="dxa"/>
              <w:bottom w:w="15" w:type="dxa"/>
              <w:right w:w="15" w:type="dxa"/>
            </w:tcMar>
            <w:vAlign w:val="center"/>
            <w:hideMark/>
          </w:tcPr>
          <w:p w14:paraId="37D5A2FB"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0.0028 ± 0.0000ᵇ</w:t>
            </w:r>
          </w:p>
        </w:tc>
      </w:tr>
      <w:tr w:rsidR="003B3A3D" w14:paraId="7D2DB569" w14:textId="77777777">
        <w:trPr>
          <w:trHeight w:val="585"/>
          <w:tblCellSpacing w:w="15" w:type="dxa"/>
        </w:trPr>
        <w:tc>
          <w:tcPr>
            <w:tcW w:w="0" w:type="auto"/>
            <w:tcMar>
              <w:top w:w="15" w:type="dxa"/>
              <w:left w:w="15" w:type="dxa"/>
              <w:bottom w:w="15" w:type="dxa"/>
              <w:right w:w="15" w:type="dxa"/>
            </w:tcMar>
            <w:vAlign w:val="center"/>
            <w:hideMark/>
          </w:tcPr>
          <w:p w14:paraId="65523CA5"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1EED7CB5"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17D5DB69"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0.0021 ± 0.0000ᶜ</w:t>
            </w:r>
          </w:p>
        </w:tc>
        <w:tc>
          <w:tcPr>
            <w:tcW w:w="0" w:type="auto"/>
            <w:tcMar>
              <w:top w:w="15" w:type="dxa"/>
              <w:left w:w="15" w:type="dxa"/>
              <w:bottom w:w="15" w:type="dxa"/>
              <w:right w:w="15" w:type="dxa"/>
            </w:tcMar>
            <w:vAlign w:val="center"/>
            <w:hideMark/>
          </w:tcPr>
          <w:p w14:paraId="024F12B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0.0023 ± 0.0000ᵇ</w:t>
            </w:r>
          </w:p>
        </w:tc>
        <w:tc>
          <w:tcPr>
            <w:tcW w:w="0" w:type="auto"/>
            <w:tcMar>
              <w:top w:w="15" w:type="dxa"/>
              <w:left w:w="15" w:type="dxa"/>
              <w:bottom w:w="15" w:type="dxa"/>
              <w:right w:w="15" w:type="dxa"/>
            </w:tcMar>
            <w:vAlign w:val="center"/>
            <w:hideMark/>
          </w:tcPr>
          <w:p w14:paraId="2E8D48C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0.0012 ± 0.0000ᶜ</w:t>
            </w:r>
          </w:p>
        </w:tc>
      </w:tr>
      <w:tr w:rsidR="003B3A3D" w14:paraId="295C93C2" w14:textId="77777777">
        <w:trPr>
          <w:trHeight w:val="575"/>
          <w:tblCellSpacing w:w="15" w:type="dxa"/>
        </w:trPr>
        <w:tc>
          <w:tcPr>
            <w:tcW w:w="0" w:type="auto"/>
            <w:tcMar>
              <w:top w:w="15" w:type="dxa"/>
              <w:left w:w="15" w:type="dxa"/>
              <w:bottom w:w="15" w:type="dxa"/>
              <w:right w:w="15" w:type="dxa"/>
            </w:tcMar>
            <w:vAlign w:val="center"/>
            <w:hideMark/>
          </w:tcPr>
          <w:p w14:paraId="5D957A0C"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Cd</w:t>
            </w:r>
          </w:p>
        </w:tc>
        <w:tc>
          <w:tcPr>
            <w:tcW w:w="0" w:type="auto"/>
            <w:tcMar>
              <w:top w:w="15" w:type="dxa"/>
              <w:left w:w="15" w:type="dxa"/>
              <w:bottom w:w="15" w:type="dxa"/>
              <w:right w:w="15" w:type="dxa"/>
            </w:tcMar>
            <w:vAlign w:val="center"/>
            <w:hideMark/>
          </w:tcPr>
          <w:p w14:paraId="4A7816C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7C0E596E"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0.0332 ± 0.0001ᵃ</w:t>
            </w:r>
          </w:p>
        </w:tc>
        <w:tc>
          <w:tcPr>
            <w:tcW w:w="0" w:type="auto"/>
            <w:tcMar>
              <w:top w:w="15" w:type="dxa"/>
              <w:left w:w="15" w:type="dxa"/>
              <w:bottom w:w="15" w:type="dxa"/>
              <w:right w:w="15" w:type="dxa"/>
            </w:tcMar>
            <w:vAlign w:val="center"/>
            <w:hideMark/>
          </w:tcPr>
          <w:p w14:paraId="4D89D74F"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0.0281 ± 0.0001ᵃ</w:t>
            </w:r>
          </w:p>
        </w:tc>
        <w:tc>
          <w:tcPr>
            <w:tcW w:w="0" w:type="auto"/>
            <w:tcMar>
              <w:top w:w="15" w:type="dxa"/>
              <w:left w:w="15" w:type="dxa"/>
              <w:bottom w:w="15" w:type="dxa"/>
              <w:right w:w="15" w:type="dxa"/>
            </w:tcMar>
            <w:vAlign w:val="center"/>
            <w:hideMark/>
          </w:tcPr>
          <w:p w14:paraId="3C15BF67"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0.0319 ± 0.0002ᵃ</w:t>
            </w:r>
          </w:p>
        </w:tc>
      </w:tr>
      <w:tr w:rsidR="003B3A3D" w14:paraId="609E082F" w14:textId="77777777">
        <w:trPr>
          <w:trHeight w:val="575"/>
          <w:tblCellSpacing w:w="15" w:type="dxa"/>
        </w:trPr>
        <w:tc>
          <w:tcPr>
            <w:tcW w:w="0" w:type="auto"/>
            <w:tcMar>
              <w:top w:w="15" w:type="dxa"/>
              <w:left w:w="15" w:type="dxa"/>
              <w:bottom w:w="15" w:type="dxa"/>
              <w:right w:w="15" w:type="dxa"/>
            </w:tcMar>
            <w:vAlign w:val="center"/>
            <w:hideMark/>
          </w:tcPr>
          <w:p w14:paraId="5F9D3BF0"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2E114473"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677BB69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0.0250 ± 0.0001ᵇ</w:t>
            </w:r>
          </w:p>
        </w:tc>
        <w:tc>
          <w:tcPr>
            <w:tcW w:w="0" w:type="auto"/>
            <w:tcMar>
              <w:top w:w="15" w:type="dxa"/>
              <w:left w:w="15" w:type="dxa"/>
              <w:bottom w:w="15" w:type="dxa"/>
              <w:right w:w="15" w:type="dxa"/>
            </w:tcMar>
            <w:vAlign w:val="center"/>
            <w:hideMark/>
          </w:tcPr>
          <w:p w14:paraId="101864E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0.0238 ± 0.0001ᵇ</w:t>
            </w:r>
          </w:p>
        </w:tc>
        <w:tc>
          <w:tcPr>
            <w:tcW w:w="0" w:type="auto"/>
            <w:tcMar>
              <w:top w:w="15" w:type="dxa"/>
              <w:left w:w="15" w:type="dxa"/>
              <w:bottom w:w="15" w:type="dxa"/>
              <w:right w:w="15" w:type="dxa"/>
            </w:tcMar>
            <w:vAlign w:val="center"/>
            <w:hideMark/>
          </w:tcPr>
          <w:p w14:paraId="12E46FB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0.0293 ± 0.0001ᵇ</w:t>
            </w:r>
          </w:p>
        </w:tc>
      </w:tr>
      <w:tr w:rsidR="003B3A3D" w14:paraId="2F7AB612" w14:textId="77777777">
        <w:trPr>
          <w:trHeight w:val="575"/>
          <w:tblCellSpacing w:w="15" w:type="dxa"/>
        </w:trPr>
        <w:tc>
          <w:tcPr>
            <w:tcW w:w="0" w:type="auto"/>
            <w:tcMar>
              <w:top w:w="15" w:type="dxa"/>
              <w:left w:w="15" w:type="dxa"/>
              <w:bottom w:w="15" w:type="dxa"/>
              <w:right w:w="15" w:type="dxa"/>
            </w:tcMar>
            <w:vAlign w:val="center"/>
            <w:hideMark/>
          </w:tcPr>
          <w:p w14:paraId="29ACCAF7"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64F3420A"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Mar>
              <w:top w:w="15" w:type="dxa"/>
              <w:left w:w="15" w:type="dxa"/>
              <w:bottom w:w="15" w:type="dxa"/>
              <w:right w:w="15" w:type="dxa"/>
            </w:tcMar>
            <w:vAlign w:val="center"/>
            <w:hideMark/>
          </w:tcPr>
          <w:p w14:paraId="63397171"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0.0214 ± 0.0001ᶜ</w:t>
            </w:r>
          </w:p>
        </w:tc>
        <w:tc>
          <w:tcPr>
            <w:tcW w:w="0" w:type="auto"/>
            <w:tcMar>
              <w:top w:w="15" w:type="dxa"/>
              <w:left w:w="15" w:type="dxa"/>
              <w:bottom w:w="15" w:type="dxa"/>
              <w:right w:w="15" w:type="dxa"/>
            </w:tcMar>
            <w:vAlign w:val="center"/>
            <w:hideMark/>
          </w:tcPr>
          <w:p w14:paraId="2DC1E6E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0.0234 ± 0.0001ᵇ</w:t>
            </w:r>
          </w:p>
        </w:tc>
        <w:tc>
          <w:tcPr>
            <w:tcW w:w="0" w:type="auto"/>
            <w:tcMar>
              <w:top w:w="15" w:type="dxa"/>
              <w:left w:w="15" w:type="dxa"/>
              <w:bottom w:w="15" w:type="dxa"/>
              <w:right w:w="15" w:type="dxa"/>
            </w:tcMar>
            <w:vAlign w:val="center"/>
            <w:hideMark/>
          </w:tcPr>
          <w:p w14:paraId="02C3E026"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0.0119 ± 0.0000ᶜ</w:t>
            </w:r>
          </w:p>
        </w:tc>
      </w:tr>
      <w:tr w:rsidR="003B3A3D" w14:paraId="46F0B334" w14:textId="77777777">
        <w:trPr>
          <w:trHeight w:val="575"/>
          <w:tblCellSpacing w:w="15" w:type="dxa"/>
        </w:trPr>
        <w:tc>
          <w:tcPr>
            <w:tcW w:w="0" w:type="auto"/>
            <w:tcMar>
              <w:top w:w="15" w:type="dxa"/>
              <w:left w:w="15" w:type="dxa"/>
              <w:bottom w:w="15" w:type="dxa"/>
              <w:right w:w="15" w:type="dxa"/>
            </w:tcMar>
            <w:vAlign w:val="center"/>
            <w:hideMark/>
          </w:tcPr>
          <w:p w14:paraId="11A7A716"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b/>
                <w:bCs/>
                <w:kern w:val="2"/>
                <w:sz w:val="24"/>
                <w:szCs w:val="24"/>
                <w14:ligatures w14:val="standardContextual"/>
              </w:rPr>
              <w:t>Cr</w:t>
            </w:r>
          </w:p>
        </w:tc>
        <w:tc>
          <w:tcPr>
            <w:tcW w:w="0" w:type="auto"/>
            <w:tcMar>
              <w:top w:w="15" w:type="dxa"/>
              <w:left w:w="15" w:type="dxa"/>
              <w:bottom w:w="15" w:type="dxa"/>
              <w:right w:w="15" w:type="dxa"/>
            </w:tcMar>
            <w:vAlign w:val="center"/>
            <w:hideMark/>
          </w:tcPr>
          <w:p w14:paraId="67C1B99A"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SC</w:t>
            </w:r>
          </w:p>
        </w:tc>
        <w:tc>
          <w:tcPr>
            <w:tcW w:w="0" w:type="auto"/>
            <w:tcMar>
              <w:top w:w="15" w:type="dxa"/>
              <w:left w:w="15" w:type="dxa"/>
              <w:bottom w:w="15" w:type="dxa"/>
              <w:right w:w="15" w:type="dxa"/>
            </w:tcMar>
            <w:vAlign w:val="center"/>
            <w:hideMark/>
          </w:tcPr>
          <w:p w14:paraId="0DFA3525"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0.0074 ± 0.0000ᵃ</w:t>
            </w:r>
          </w:p>
        </w:tc>
        <w:tc>
          <w:tcPr>
            <w:tcW w:w="0" w:type="auto"/>
            <w:tcMar>
              <w:top w:w="15" w:type="dxa"/>
              <w:left w:w="15" w:type="dxa"/>
              <w:bottom w:w="15" w:type="dxa"/>
              <w:right w:w="15" w:type="dxa"/>
            </w:tcMar>
            <w:vAlign w:val="center"/>
            <w:hideMark/>
          </w:tcPr>
          <w:p w14:paraId="52D58B01"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0.0064 ± 0.0000ᵃ</w:t>
            </w:r>
          </w:p>
        </w:tc>
        <w:tc>
          <w:tcPr>
            <w:tcW w:w="0" w:type="auto"/>
            <w:tcMar>
              <w:top w:w="15" w:type="dxa"/>
              <w:left w:w="15" w:type="dxa"/>
              <w:bottom w:w="15" w:type="dxa"/>
              <w:right w:w="15" w:type="dxa"/>
            </w:tcMar>
            <w:vAlign w:val="center"/>
            <w:hideMark/>
          </w:tcPr>
          <w:p w14:paraId="654298E7" w14:textId="77777777" w:rsidR="003B3A3D" w:rsidRDefault="003B3A3D">
            <w:pPr>
              <w:spacing w:before="24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0.0073 ± 0.0000ᵃ</w:t>
            </w:r>
          </w:p>
        </w:tc>
      </w:tr>
      <w:tr w:rsidR="003B3A3D" w14:paraId="0A332D15" w14:textId="77777777">
        <w:trPr>
          <w:trHeight w:val="575"/>
          <w:tblCellSpacing w:w="15" w:type="dxa"/>
        </w:trPr>
        <w:tc>
          <w:tcPr>
            <w:tcW w:w="0" w:type="auto"/>
            <w:tcMar>
              <w:top w:w="15" w:type="dxa"/>
              <w:left w:w="15" w:type="dxa"/>
              <w:bottom w:w="15" w:type="dxa"/>
              <w:right w:w="15" w:type="dxa"/>
            </w:tcMar>
            <w:vAlign w:val="center"/>
            <w:hideMark/>
          </w:tcPr>
          <w:p w14:paraId="1B17B134" w14:textId="77777777" w:rsidR="003B3A3D" w:rsidRDefault="003B3A3D">
            <w:pPr>
              <w:rPr>
                <w:rFonts w:ascii="Times New Roman" w:hAnsi="Times New Roman"/>
                <w:kern w:val="2"/>
                <w:sz w:val="24"/>
                <w:szCs w:val="24"/>
                <w14:ligatures w14:val="standardContextual"/>
              </w:rPr>
            </w:pPr>
          </w:p>
        </w:tc>
        <w:tc>
          <w:tcPr>
            <w:tcW w:w="0" w:type="auto"/>
            <w:tcMar>
              <w:top w:w="15" w:type="dxa"/>
              <w:left w:w="15" w:type="dxa"/>
              <w:bottom w:w="15" w:type="dxa"/>
              <w:right w:w="15" w:type="dxa"/>
            </w:tcMar>
            <w:vAlign w:val="center"/>
            <w:hideMark/>
          </w:tcPr>
          <w:p w14:paraId="76F5CD29"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MC</w:t>
            </w:r>
          </w:p>
        </w:tc>
        <w:tc>
          <w:tcPr>
            <w:tcW w:w="0" w:type="auto"/>
            <w:tcMar>
              <w:top w:w="15" w:type="dxa"/>
              <w:left w:w="15" w:type="dxa"/>
              <w:bottom w:w="15" w:type="dxa"/>
              <w:right w:w="15" w:type="dxa"/>
            </w:tcMar>
            <w:vAlign w:val="center"/>
            <w:hideMark/>
          </w:tcPr>
          <w:p w14:paraId="4ECCA3B7"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0.0057 ± 0.0000ᵇ</w:t>
            </w:r>
          </w:p>
        </w:tc>
        <w:tc>
          <w:tcPr>
            <w:tcW w:w="0" w:type="auto"/>
            <w:tcMar>
              <w:top w:w="15" w:type="dxa"/>
              <w:left w:w="15" w:type="dxa"/>
              <w:bottom w:w="15" w:type="dxa"/>
              <w:right w:w="15" w:type="dxa"/>
            </w:tcMar>
            <w:vAlign w:val="center"/>
            <w:hideMark/>
          </w:tcPr>
          <w:p w14:paraId="1BB18D3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0.0053 ± 0.0000ᵇ</w:t>
            </w:r>
          </w:p>
        </w:tc>
        <w:tc>
          <w:tcPr>
            <w:tcW w:w="0" w:type="auto"/>
            <w:tcMar>
              <w:top w:w="15" w:type="dxa"/>
              <w:left w:w="15" w:type="dxa"/>
              <w:bottom w:w="15" w:type="dxa"/>
              <w:right w:w="15" w:type="dxa"/>
            </w:tcMar>
            <w:vAlign w:val="center"/>
            <w:hideMark/>
          </w:tcPr>
          <w:p w14:paraId="0582E90C"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0.0066 ± 0.0000ᵇ</w:t>
            </w:r>
          </w:p>
        </w:tc>
      </w:tr>
      <w:tr w:rsidR="003B3A3D" w14:paraId="46D81222" w14:textId="77777777">
        <w:trPr>
          <w:trHeight w:val="585"/>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8552930" w14:textId="77777777" w:rsidR="003B3A3D" w:rsidRDefault="003B3A3D">
            <w:pPr>
              <w:rPr>
                <w:rFonts w:ascii="Times New Roman" w:hAnsi="Times New Roman"/>
                <w:kern w:val="2"/>
                <w:sz w:val="24"/>
                <w:szCs w:val="24"/>
                <w14:ligatures w14:val="standardContextual"/>
              </w:rPr>
            </w:pP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619F6DF" w14:textId="77777777" w:rsidR="003B3A3D" w:rsidRDefault="003B3A3D">
            <w:pPr>
              <w:jc w:val="both"/>
              <w:rPr>
                <w:rFonts w:ascii="Times New Roman" w:eastAsia="SimSun" w:hAnsi="Times New Roman"/>
                <w:kern w:val="2"/>
                <w:sz w:val="24"/>
                <w:szCs w:val="24"/>
                <w:lang w:eastAsia="zh-CN"/>
                <w14:ligatures w14:val="standardContextual"/>
              </w:rPr>
            </w:pPr>
            <w:r>
              <w:rPr>
                <w:rFonts w:ascii="Times New Roman" w:hAnsi="Times New Roman"/>
                <w:kern w:val="2"/>
                <w:sz w:val="24"/>
                <w:szCs w:val="24"/>
                <w14:ligatures w14:val="standardContextual"/>
              </w:rPr>
              <w:t>HC</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D209A15"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0.0047 ± 0.0000ᶜ</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6C405FF"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0.0034 ± 0.0000ᵇ</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926F6D4" w14:textId="77777777" w:rsidR="003B3A3D" w:rsidRDefault="003B3A3D">
            <w:pPr>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0.0025 ± 0.0000ᶜ</w:t>
            </w:r>
          </w:p>
        </w:tc>
      </w:tr>
    </w:tbl>
    <w:p w14:paraId="6A3C8A80" w14:textId="77777777" w:rsidR="003B3A3D" w:rsidRDefault="003B3A3D" w:rsidP="003B3A3D">
      <w:pPr>
        <w:jc w:val="both"/>
        <w:rPr>
          <w:rFonts w:ascii="Times New Roman" w:eastAsia="SimSun" w:hAnsi="Times New Roman"/>
          <w:sz w:val="24"/>
          <w:szCs w:val="24"/>
          <w:lang w:eastAsia="zh-CN"/>
        </w:rPr>
      </w:pPr>
      <w:r>
        <w:rPr>
          <w:rFonts w:ascii="Times New Roman" w:hAnsi="Times New Roman"/>
          <w:i/>
          <w:iCs/>
          <w:sz w:val="24"/>
          <w:szCs w:val="24"/>
        </w:rPr>
        <w:t>Values are presented as mean ± standard deviation (SD). Different superscript letters within the same heavy metal and plant part indicate significant differences among pollution levels at p &lt; 0.05, while values bearing the same superscript letter are not significantly different.</w:t>
      </w:r>
    </w:p>
    <w:p w14:paraId="2F9A3CC6"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br w:type="page"/>
      </w:r>
    </w:p>
    <w:p w14:paraId="4B1A3D76" w14:textId="77777777" w:rsidR="003B3A3D" w:rsidRDefault="003B3A3D" w:rsidP="003B3A3D">
      <w:pPr>
        <w:jc w:val="both"/>
        <w:rPr>
          <w:rFonts w:ascii="Times New Roman" w:hAnsi="Times New Roman"/>
          <w:b/>
          <w:bCs/>
          <w:i/>
          <w:iCs/>
          <w:sz w:val="24"/>
          <w:szCs w:val="24"/>
        </w:rPr>
      </w:pPr>
      <w:r>
        <w:rPr>
          <w:rFonts w:ascii="Times New Roman" w:hAnsi="Times New Roman"/>
          <w:b/>
          <w:bCs/>
          <w:sz w:val="24"/>
          <w:szCs w:val="24"/>
        </w:rPr>
        <w:lastRenderedPageBreak/>
        <w:t xml:space="preserve">4.1.5 Removal Efficiency of Heavy Metals from Simulated Contaminated Water by </w:t>
      </w:r>
      <w:r>
        <w:rPr>
          <w:rFonts w:ascii="Times New Roman" w:hAnsi="Times New Roman"/>
          <w:b/>
          <w:bCs/>
          <w:i/>
          <w:iCs/>
          <w:sz w:val="24"/>
          <w:szCs w:val="24"/>
        </w:rPr>
        <w:t xml:space="preserve">Eichhornia </w:t>
      </w:r>
    </w:p>
    <w:p w14:paraId="48B4C749"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highlight w:val="yellow"/>
        </w:rPr>
        <w:t>Table 6 shows</w:t>
      </w:r>
      <w:r>
        <w:rPr>
          <w:rFonts w:ascii="Times New Roman" w:hAnsi="Times New Roman"/>
          <w:sz w:val="24"/>
          <w:szCs w:val="24"/>
          <w:highlight w:val="yellow"/>
        </w:rPr>
        <w:t xml:space="preserve"> the percentage removal of Ni, Fe, Pb, Cd</w:t>
      </w:r>
      <w:r>
        <w:rPr>
          <w:rFonts w:ascii="Times New Roman" w:hAnsi="Times New Roman"/>
          <w:sz w:val="24"/>
          <w:szCs w:val="24"/>
          <w:highlight w:val="yellow"/>
        </w:rPr>
        <w:t>,</w:t>
      </w:r>
      <w:r>
        <w:rPr>
          <w:rFonts w:ascii="Times New Roman" w:hAnsi="Times New Roman"/>
          <w:sz w:val="24"/>
          <w:szCs w:val="24"/>
        </w:rPr>
        <w:t xml:space="preserve"> and Cr from the simulated contaminated</w:t>
      </w:r>
      <w:r>
        <w:rPr>
          <w:rFonts w:ascii="Times New Roman" w:hAnsi="Times New Roman"/>
          <w:b/>
          <w:bCs/>
          <w:sz w:val="24"/>
          <w:szCs w:val="24"/>
        </w:rPr>
        <w:t xml:space="preserve"> </w:t>
      </w:r>
      <w:r>
        <w:rPr>
          <w:rFonts w:ascii="Times New Roman" w:hAnsi="Times New Roman"/>
          <w:sz w:val="24"/>
          <w:szCs w:val="24"/>
        </w:rPr>
        <w:t xml:space="preserve">water after 14 days of exposure to </w:t>
      </w:r>
      <w:r>
        <w:rPr>
          <w:rFonts w:ascii="Times New Roman" w:hAnsi="Times New Roman"/>
          <w:i/>
          <w:iCs/>
          <w:sz w:val="24"/>
          <w:szCs w:val="24"/>
        </w:rPr>
        <w:t>Eichhornia crassipes</w:t>
      </w:r>
      <w:r>
        <w:rPr>
          <w:rFonts w:ascii="Times New Roman" w:hAnsi="Times New Roman"/>
          <w:sz w:val="24"/>
          <w:szCs w:val="24"/>
        </w:rPr>
        <w:t>. The results demonstrate that the removal efficiency varied according to both the heavy metal and pollution condition. For Ni, removal efficiency increased from 9.34% under slightly contaminated</w:t>
      </w:r>
      <w:r>
        <w:rPr>
          <w:rFonts w:ascii="Times New Roman" w:hAnsi="Times New Roman"/>
          <w:b/>
          <w:bCs/>
          <w:sz w:val="24"/>
          <w:szCs w:val="24"/>
        </w:rPr>
        <w:t xml:space="preserve"> </w:t>
      </w:r>
      <w:r>
        <w:rPr>
          <w:rFonts w:ascii="Times New Roman" w:hAnsi="Times New Roman"/>
          <w:sz w:val="24"/>
          <w:szCs w:val="24"/>
        </w:rPr>
        <w:t xml:space="preserve">conditions to 13.11% under moderately contaminated conditions and </w:t>
      </w:r>
      <w:r>
        <w:rPr>
          <w:rFonts w:ascii="Times New Roman" w:hAnsi="Times New Roman"/>
          <w:sz w:val="24"/>
          <w:szCs w:val="24"/>
          <w:highlight w:val="yellow"/>
        </w:rPr>
        <w:t xml:space="preserve">to </w:t>
      </w:r>
      <w:r>
        <w:rPr>
          <w:rFonts w:ascii="Times New Roman" w:hAnsi="Times New Roman"/>
          <w:sz w:val="24"/>
          <w:szCs w:val="24"/>
        </w:rPr>
        <w:t>31.07% under highly contaminated</w:t>
      </w:r>
      <w:r>
        <w:rPr>
          <w:rFonts w:ascii="Times New Roman" w:hAnsi="Times New Roman"/>
          <w:b/>
          <w:bCs/>
          <w:sz w:val="24"/>
          <w:szCs w:val="24"/>
        </w:rPr>
        <w:t xml:space="preserve"> </w:t>
      </w:r>
      <w:r>
        <w:rPr>
          <w:rFonts w:ascii="Times New Roman" w:hAnsi="Times New Roman"/>
          <w:sz w:val="24"/>
          <w:szCs w:val="24"/>
        </w:rPr>
        <w:t>conditions. Thus, the highest Ni removal occurred under the highly contaminated treatment. For Fe, the removal efficiency increased from 11.90% in slightly contaminated water to 16.78% in moderately contaminated water and</w:t>
      </w:r>
      <w:r>
        <w:rPr>
          <w:rFonts w:ascii="Times New Roman" w:hAnsi="Times New Roman"/>
          <w:sz w:val="24"/>
          <w:szCs w:val="24"/>
          <w:highlight w:val="yellow"/>
        </w:rPr>
        <w:t xml:space="preserve"> to</w:t>
      </w:r>
      <w:r>
        <w:rPr>
          <w:rFonts w:ascii="Times New Roman" w:hAnsi="Times New Roman"/>
          <w:sz w:val="24"/>
          <w:szCs w:val="24"/>
        </w:rPr>
        <w:t xml:space="preserve"> 29.48% in highly contaminated water. The highest Fe removal was therefore recorded at the highly contaminated level. Pb removal efficiency was 8.70% under slightly contaminated conditions and increased substantially to 28.89% under moderately contaminated conditions. It was 28.26% under highly contaminated conditions. Thus, the moderately contaminated treatment recorded the highest Pb removal, although its value was very close to that of the highly contaminated treatment. Cd removal efficiency</w:t>
      </w:r>
      <w:r>
        <w:rPr>
          <w:rFonts w:ascii="Times New Roman" w:hAnsi="Times New Roman"/>
          <w:sz w:val="24"/>
          <w:szCs w:val="24"/>
          <w:highlight w:val="yellow"/>
        </w:rPr>
        <w:t xml:space="preserve"> increased</w:t>
      </w:r>
      <w:r>
        <w:rPr>
          <w:rFonts w:ascii="Times New Roman" w:hAnsi="Times New Roman"/>
          <w:sz w:val="24"/>
          <w:szCs w:val="24"/>
        </w:rPr>
        <w:t xml:space="preserve"> from 7.35% under slightly contaminated conditions to 12.31% under moderately contaminated conditions and reached 33.06% under highly contaminated conditions. Cd therefore showed the highest removal efficiency among all the metals, with 33.06% removal under highly contaminated conditions. For Cr, removal efficiency increased from 9.35% at the slightly contaminated level to 14.15% at the moderately contaminated level and 31.48% at the highly contaminated level. </w:t>
      </w:r>
    </w:p>
    <w:p w14:paraId="5A4E192E" w14:textId="77777777" w:rsidR="003B3A3D" w:rsidRDefault="003B3A3D" w:rsidP="003B3A3D">
      <w:pPr>
        <w:rPr>
          <w:rFonts w:ascii="Times New Roman" w:hAnsi="Times New Roman"/>
          <w:b/>
          <w:bCs/>
          <w:sz w:val="24"/>
          <w:szCs w:val="24"/>
        </w:rPr>
      </w:pPr>
      <w:r>
        <w:rPr>
          <w:rFonts w:ascii="Times New Roman" w:hAnsi="Times New Roman"/>
          <w:b/>
          <w:bCs/>
          <w:sz w:val="24"/>
          <w:szCs w:val="24"/>
        </w:rPr>
        <w:br w:type="page"/>
      </w:r>
    </w:p>
    <w:p w14:paraId="0128D581" w14:textId="77777777" w:rsidR="003B3A3D" w:rsidRDefault="003B3A3D" w:rsidP="003B3A3D">
      <w:pPr>
        <w:jc w:val="both"/>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highlight w:val="yellow"/>
        </w:rPr>
        <w:t>Table 6:</w:t>
      </w:r>
      <w:r>
        <w:rPr>
          <w:rFonts w:ascii="Times New Roman" w:hAnsi="Times New Roman"/>
          <w:b/>
          <w:bCs/>
          <w:sz w:val="24"/>
          <w:szCs w:val="24"/>
          <w:highlight w:val="yellow"/>
        </w:rPr>
        <w:t xml:space="preserve"> Removal Efficiency of Heavy Metals from Simulated Contaminated Water by </w:t>
      </w:r>
      <w:r>
        <w:rPr>
          <w:rFonts w:ascii="Times New Roman" w:hAnsi="Times New Roman"/>
          <w:b/>
          <w:bCs/>
          <w:i/>
          <w:iCs/>
          <w:sz w:val="24"/>
          <w:szCs w:val="24"/>
        </w:rPr>
        <w:t>Eichhornia crassipes</w:t>
      </w:r>
    </w:p>
    <w:tbl>
      <w:tblPr>
        <w:tblW w:w="9163" w:type="dxa"/>
        <w:tblCellSpacing w:w="15" w:type="dxa"/>
        <w:tblLook w:val="04A0" w:firstRow="1" w:lastRow="0" w:firstColumn="1" w:lastColumn="0" w:noHBand="0" w:noVBand="1"/>
      </w:tblPr>
      <w:tblGrid>
        <w:gridCol w:w="1960"/>
        <w:gridCol w:w="2260"/>
        <w:gridCol w:w="2520"/>
        <w:gridCol w:w="2423"/>
      </w:tblGrid>
      <w:tr w:rsidR="003B3A3D" w14:paraId="7350DC27" w14:textId="77777777">
        <w:trPr>
          <w:trHeight w:val="1024"/>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6935689"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Heavy</w:t>
            </w:r>
          </w:p>
          <w:p w14:paraId="2D6B80BE"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Metal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036B621"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SC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DF5DB8E"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MC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BF4A452" w14:textId="77777777" w:rsidR="003B3A3D" w:rsidRDefault="003B3A3D">
            <w:pPr>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HC (%)</w:t>
            </w:r>
          </w:p>
        </w:tc>
      </w:tr>
      <w:tr w:rsidR="003B3A3D" w14:paraId="04801460" w14:textId="77777777">
        <w:trPr>
          <w:trHeight w:val="1004"/>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01ABE3B"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Ni</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D008CDE"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9.34</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928D34D"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13.11</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E3F111A"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31.07</w:t>
            </w:r>
          </w:p>
        </w:tc>
      </w:tr>
      <w:tr w:rsidR="003B3A3D" w14:paraId="76E7B223" w14:textId="77777777">
        <w:trPr>
          <w:trHeight w:val="1024"/>
          <w:tblCellSpacing w:w="15" w:type="dxa"/>
        </w:trPr>
        <w:tc>
          <w:tcPr>
            <w:tcW w:w="0" w:type="auto"/>
            <w:tcMar>
              <w:top w:w="15" w:type="dxa"/>
              <w:left w:w="15" w:type="dxa"/>
              <w:bottom w:w="15" w:type="dxa"/>
              <w:right w:w="15" w:type="dxa"/>
            </w:tcMar>
            <w:vAlign w:val="center"/>
            <w:hideMark/>
          </w:tcPr>
          <w:p w14:paraId="409A5927"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Fe</w:t>
            </w:r>
          </w:p>
        </w:tc>
        <w:tc>
          <w:tcPr>
            <w:tcW w:w="0" w:type="auto"/>
            <w:tcMar>
              <w:top w:w="15" w:type="dxa"/>
              <w:left w:w="15" w:type="dxa"/>
              <w:bottom w:w="15" w:type="dxa"/>
              <w:right w:w="15" w:type="dxa"/>
            </w:tcMar>
            <w:vAlign w:val="center"/>
            <w:hideMark/>
          </w:tcPr>
          <w:p w14:paraId="7C5B026F"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11.90</w:t>
            </w:r>
          </w:p>
        </w:tc>
        <w:tc>
          <w:tcPr>
            <w:tcW w:w="0" w:type="auto"/>
            <w:tcMar>
              <w:top w:w="15" w:type="dxa"/>
              <w:left w:w="15" w:type="dxa"/>
              <w:bottom w:w="15" w:type="dxa"/>
              <w:right w:w="15" w:type="dxa"/>
            </w:tcMar>
            <w:vAlign w:val="center"/>
            <w:hideMark/>
          </w:tcPr>
          <w:p w14:paraId="4A795149"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16.78</w:t>
            </w:r>
          </w:p>
        </w:tc>
        <w:tc>
          <w:tcPr>
            <w:tcW w:w="0" w:type="auto"/>
            <w:tcMar>
              <w:top w:w="15" w:type="dxa"/>
              <w:left w:w="15" w:type="dxa"/>
              <w:bottom w:w="15" w:type="dxa"/>
              <w:right w:w="15" w:type="dxa"/>
            </w:tcMar>
            <w:vAlign w:val="center"/>
            <w:hideMark/>
          </w:tcPr>
          <w:p w14:paraId="2B304C31"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29.48</w:t>
            </w:r>
          </w:p>
        </w:tc>
      </w:tr>
      <w:tr w:rsidR="003B3A3D" w14:paraId="4F242B5F" w14:textId="77777777">
        <w:trPr>
          <w:trHeight w:val="1004"/>
          <w:tblCellSpacing w:w="15" w:type="dxa"/>
        </w:trPr>
        <w:tc>
          <w:tcPr>
            <w:tcW w:w="0" w:type="auto"/>
            <w:tcMar>
              <w:top w:w="15" w:type="dxa"/>
              <w:left w:w="15" w:type="dxa"/>
              <w:bottom w:w="15" w:type="dxa"/>
              <w:right w:w="15" w:type="dxa"/>
            </w:tcMar>
            <w:vAlign w:val="center"/>
            <w:hideMark/>
          </w:tcPr>
          <w:p w14:paraId="31A9EDB7"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Pb</w:t>
            </w:r>
          </w:p>
        </w:tc>
        <w:tc>
          <w:tcPr>
            <w:tcW w:w="0" w:type="auto"/>
            <w:tcMar>
              <w:top w:w="15" w:type="dxa"/>
              <w:left w:w="15" w:type="dxa"/>
              <w:bottom w:w="15" w:type="dxa"/>
              <w:right w:w="15" w:type="dxa"/>
            </w:tcMar>
            <w:vAlign w:val="center"/>
            <w:hideMark/>
          </w:tcPr>
          <w:p w14:paraId="5F1148D7"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8.70</w:t>
            </w:r>
          </w:p>
        </w:tc>
        <w:tc>
          <w:tcPr>
            <w:tcW w:w="0" w:type="auto"/>
            <w:tcMar>
              <w:top w:w="15" w:type="dxa"/>
              <w:left w:w="15" w:type="dxa"/>
              <w:bottom w:w="15" w:type="dxa"/>
              <w:right w:w="15" w:type="dxa"/>
            </w:tcMar>
            <w:vAlign w:val="center"/>
            <w:hideMark/>
          </w:tcPr>
          <w:p w14:paraId="35244542"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28.89</w:t>
            </w:r>
          </w:p>
        </w:tc>
        <w:tc>
          <w:tcPr>
            <w:tcW w:w="0" w:type="auto"/>
            <w:tcMar>
              <w:top w:w="15" w:type="dxa"/>
              <w:left w:w="15" w:type="dxa"/>
              <w:bottom w:w="15" w:type="dxa"/>
              <w:right w:w="15" w:type="dxa"/>
            </w:tcMar>
            <w:vAlign w:val="center"/>
            <w:hideMark/>
          </w:tcPr>
          <w:p w14:paraId="4B81D70F"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28.26</w:t>
            </w:r>
          </w:p>
        </w:tc>
      </w:tr>
      <w:tr w:rsidR="003B3A3D" w14:paraId="65099BA5" w14:textId="77777777">
        <w:trPr>
          <w:trHeight w:val="1004"/>
          <w:tblCellSpacing w:w="15" w:type="dxa"/>
        </w:trPr>
        <w:tc>
          <w:tcPr>
            <w:tcW w:w="0" w:type="auto"/>
            <w:tcMar>
              <w:top w:w="15" w:type="dxa"/>
              <w:left w:w="15" w:type="dxa"/>
              <w:bottom w:w="15" w:type="dxa"/>
              <w:right w:w="15" w:type="dxa"/>
            </w:tcMar>
            <w:vAlign w:val="center"/>
            <w:hideMark/>
          </w:tcPr>
          <w:p w14:paraId="39A0BBF2"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Cd</w:t>
            </w:r>
          </w:p>
        </w:tc>
        <w:tc>
          <w:tcPr>
            <w:tcW w:w="0" w:type="auto"/>
            <w:tcMar>
              <w:top w:w="15" w:type="dxa"/>
              <w:left w:w="15" w:type="dxa"/>
              <w:bottom w:w="15" w:type="dxa"/>
              <w:right w:w="15" w:type="dxa"/>
            </w:tcMar>
            <w:vAlign w:val="center"/>
            <w:hideMark/>
          </w:tcPr>
          <w:p w14:paraId="665703FC"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7.35</w:t>
            </w:r>
          </w:p>
        </w:tc>
        <w:tc>
          <w:tcPr>
            <w:tcW w:w="0" w:type="auto"/>
            <w:tcMar>
              <w:top w:w="15" w:type="dxa"/>
              <w:left w:w="15" w:type="dxa"/>
              <w:bottom w:w="15" w:type="dxa"/>
              <w:right w:w="15" w:type="dxa"/>
            </w:tcMar>
            <w:vAlign w:val="center"/>
            <w:hideMark/>
          </w:tcPr>
          <w:p w14:paraId="3340C8EB"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12.31</w:t>
            </w:r>
          </w:p>
        </w:tc>
        <w:tc>
          <w:tcPr>
            <w:tcW w:w="0" w:type="auto"/>
            <w:tcMar>
              <w:top w:w="15" w:type="dxa"/>
              <w:left w:w="15" w:type="dxa"/>
              <w:bottom w:w="15" w:type="dxa"/>
              <w:right w:w="15" w:type="dxa"/>
            </w:tcMar>
            <w:vAlign w:val="center"/>
            <w:hideMark/>
          </w:tcPr>
          <w:p w14:paraId="5768A833"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33.06</w:t>
            </w:r>
          </w:p>
        </w:tc>
      </w:tr>
      <w:tr w:rsidR="003B3A3D" w14:paraId="69309B74" w14:textId="77777777">
        <w:trPr>
          <w:trHeight w:val="1024"/>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CA4F118"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Cr</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EC1EBA1"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9.35</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0794506"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14.15</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759C03D" w14:textId="77777777" w:rsidR="003B3A3D" w:rsidRDefault="003B3A3D">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31.48</w:t>
            </w:r>
          </w:p>
        </w:tc>
      </w:tr>
    </w:tbl>
    <w:p w14:paraId="08C8B34B" w14:textId="77777777" w:rsidR="00E053D0" w:rsidRDefault="003B3A3D" w:rsidP="003B3A3D">
      <w:pPr>
        <w:rPr>
          <w:rFonts w:ascii="Times New Roman" w:hAnsi="Times New Roman"/>
          <w:bCs/>
          <w:i/>
          <w:iCs/>
          <w:sz w:val="24"/>
          <w:szCs w:val="24"/>
        </w:rPr>
      </w:pPr>
      <w:r>
        <w:rPr>
          <w:rFonts w:ascii="Times New Roman" w:hAnsi="Times New Roman"/>
          <w:bCs/>
          <w:i/>
          <w:iCs/>
          <w:sz w:val="24"/>
          <w:szCs w:val="24"/>
        </w:rPr>
        <w:t>Values are expressed as percentage (%) removal efficiency.</w:t>
      </w:r>
    </w:p>
    <w:p w14:paraId="16930B48" w14:textId="77777777" w:rsidR="003B3A3D" w:rsidRDefault="003B3A3D" w:rsidP="003B3A3D">
      <w:pPr>
        <w:spacing w:line="480" w:lineRule="auto"/>
        <w:jc w:val="both"/>
        <w:rPr>
          <w:rFonts w:ascii="Times New Roman" w:hAnsi="Times New Roman"/>
          <w:b/>
          <w:bCs/>
          <w:sz w:val="24"/>
          <w:szCs w:val="24"/>
        </w:rPr>
      </w:pPr>
      <w:r>
        <w:rPr>
          <w:rFonts w:ascii="Times New Roman" w:hAnsi="Times New Roman"/>
          <w:b/>
          <w:bCs/>
          <w:sz w:val="24"/>
          <w:szCs w:val="24"/>
        </w:rPr>
        <w:t>Discussion</w:t>
      </w:r>
    </w:p>
    <w:p w14:paraId="22248421" w14:textId="77777777"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The present study demonstrated that </w:t>
      </w:r>
      <w:r>
        <w:rPr>
          <w:rFonts w:ascii="Times New Roman" w:hAnsi="Times New Roman"/>
          <w:i/>
          <w:iCs/>
          <w:sz w:val="24"/>
          <w:szCs w:val="24"/>
        </w:rPr>
        <w:t>Eichhornia crassipes</w:t>
      </w:r>
      <w:r>
        <w:rPr>
          <w:rFonts w:ascii="Times New Roman" w:hAnsi="Times New Roman"/>
          <w:sz w:val="24"/>
          <w:szCs w:val="24"/>
        </w:rPr>
        <w:t xml:space="preserve"> was capable of reducing the concentrations of Ni, Fe, Pb, Cd</w:t>
      </w:r>
      <w:r>
        <w:rPr>
          <w:rFonts w:ascii="Times New Roman" w:hAnsi="Times New Roman"/>
          <w:sz w:val="24"/>
          <w:szCs w:val="24"/>
          <w:highlight w:val="yellow"/>
        </w:rPr>
        <w:t>,</w:t>
      </w:r>
      <w:r>
        <w:rPr>
          <w:rFonts w:ascii="Times New Roman" w:hAnsi="Times New Roman"/>
          <w:sz w:val="24"/>
          <w:szCs w:val="24"/>
        </w:rPr>
        <w:t xml:space="preserve"> and Cr in simulated spent</w:t>
      </w:r>
      <w:r>
        <w:rPr>
          <w:rFonts w:ascii="Times New Roman" w:hAnsi="Times New Roman"/>
          <w:sz w:val="24"/>
          <w:szCs w:val="24"/>
          <w:highlight w:val="yellow"/>
        </w:rPr>
        <w:t>-oil-</w:t>
      </w:r>
      <w:r>
        <w:rPr>
          <w:rFonts w:ascii="Times New Roman" w:hAnsi="Times New Roman"/>
          <w:sz w:val="24"/>
          <w:szCs w:val="24"/>
        </w:rPr>
        <w:t>polluted water o</w:t>
      </w:r>
      <w:r>
        <w:rPr>
          <w:rFonts w:ascii="Times New Roman" w:hAnsi="Times New Roman"/>
          <w:sz w:val="24"/>
          <w:szCs w:val="24"/>
          <w:highlight w:val="yellow"/>
        </w:rPr>
        <w:t>ve</w:t>
      </w:r>
      <w:r>
        <w:rPr>
          <w:rFonts w:ascii="Times New Roman" w:hAnsi="Times New Roman"/>
          <w:sz w:val="24"/>
          <w:szCs w:val="24"/>
        </w:rPr>
        <w:t>r 14 day</w:t>
      </w:r>
      <w:r>
        <w:rPr>
          <w:rFonts w:ascii="Times New Roman" w:hAnsi="Times New Roman"/>
          <w:sz w:val="24"/>
          <w:szCs w:val="24"/>
          <w:highlight w:val="yellow"/>
        </w:rPr>
        <w:t>s</w:t>
      </w:r>
      <w:r>
        <w:rPr>
          <w:rFonts w:ascii="Times New Roman" w:hAnsi="Times New Roman"/>
          <w:sz w:val="24"/>
          <w:szCs w:val="24"/>
        </w:rPr>
        <w:t>. The progressive decline in the concentrations of the investigated metals from Day 0 through Day</w:t>
      </w:r>
      <w:r>
        <w:rPr>
          <w:rFonts w:ascii="Times New Roman" w:hAnsi="Times New Roman"/>
          <w:sz w:val="24"/>
          <w:szCs w:val="24"/>
          <w:highlight w:val="yellow"/>
        </w:rPr>
        <w:t>s</w:t>
      </w:r>
      <w:r>
        <w:rPr>
          <w:rFonts w:ascii="Times New Roman" w:hAnsi="Times New Roman"/>
          <w:sz w:val="24"/>
          <w:szCs w:val="24"/>
        </w:rPr>
        <w:t xml:space="preserve"> 7 and 14 indicates that the plant participated in the removal of metals from the aqueous medium. This observation agrees with the established application of </w:t>
      </w:r>
      <w:r>
        <w:rPr>
          <w:rFonts w:ascii="Times New Roman" w:hAnsi="Times New Roman"/>
          <w:i/>
          <w:iCs/>
          <w:sz w:val="24"/>
          <w:szCs w:val="24"/>
        </w:rPr>
        <w:t>E. crassipes</w:t>
      </w:r>
      <w:r>
        <w:rPr>
          <w:rFonts w:ascii="Times New Roman" w:hAnsi="Times New Roman"/>
          <w:sz w:val="24"/>
          <w:szCs w:val="24"/>
        </w:rPr>
        <w:t xml:space="preserve"> as an aquatic phytoremediator because of its extensive root system, rapid growth</w:t>
      </w:r>
      <w:r>
        <w:rPr>
          <w:rFonts w:ascii="Times New Roman" w:hAnsi="Times New Roman"/>
          <w:sz w:val="24"/>
          <w:szCs w:val="24"/>
          <w:highlight w:val="yellow"/>
        </w:rPr>
        <w:t>,</w:t>
      </w:r>
      <w:r>
        <w:rPr>
          <w:rFonts w:ascii="Times New Roman" w:hAnsi="Times New Roman"/>
          <w:sz w:val="24"/>
          <w:szCs w:val="24"/>
        </w:rPr>
        <w:t xml:space="preserve"> and capacity to interact with dissolved contaminants in water. Saha </w:t>
      </w:r>
      <w:r>
        <w:rPr>
          <w:rFonts w:ascii="Times New Roman" w:hAnsi="Times New Roman"/>
          <w:i/>
          <w:iCs/>
          <w:sz w:val="24"/>
          <w:szCs w:val="24"/>
        </w:rPr>
        <w:t>et al.</w:t>
      </w:r>
      <w:r>
        <w:rPr>
          <w:rFonts w:ascii="Times New Roman" w:hAnsi="Times New Roman"/>
          <w:sz w:val="24"/>
          <w:szCs w:val="24"/>
        </w:rPr>
        <w:t xml:space="preserve"> (2017) reported that </w:t>
      </w:r>
      <w:r>
        <w:rPr>
          <w:rFonts w:ascii="Times New Roman" w:hAnsi="Times New Roman"/>
          <w:i/>
          <w:iCs/>
          <w:sz w:val="24"/>
          <w:szCs w:val="24"/>
        </w:rPr>
        <w:t>E. crassipes</w:t>
      </w:r>
      <w:r>
        <w:rPr>
          <w:rFonts w:ascii="Times New Roman" w:hAnsi="Times New Roman"/>
          <w:sz w:val="24"/>
          <w:szCs w:val="24"/>
        </w:rPr>
        <w:t xml:space="preserve"> is particularly effective in </w:t>
      </w:r>
      <w:proofErr w:type="spellStart"/>
      <w:r>
        <w:rPr>
          <w:rFonts w:ascii="Times New Roman" w:hAnsi="Times New Roman"/>
          <w:sz w:val="24"/>
          <w:szCs w:val="24"/>
        </w:rPr>
        <w:t>rhizofiltration</w:t>
      </w:r>
      <w:proofErr w:type="spellEnd"/>
      <w:r>
        <w:rPr>
          <w:rFonts w:ascii="Times New Roman" w:hAnsi="Times New Roman"/>
          <w:sz w:val="24"/>
          <w:szCs w:val="24"/>
        </w:rPr>
        <w:t xml:space="preserve"> of contaminated effluents, including waters containing heavy metals. The results for nickel (Ni) showed that </w:t>
      </w:r>
      <w:r>
        <w:rPr>
          <w:rFonts w:ascii="Times New Roman" w:hAnsi="Times New Roman"/>
          <w:i/>
          <w:iCs/>
          <w:sz w:val="24"/>
          <w:szCs w:val="24"/>
        </w:rPr>
        <w:t>E. crassipes</w:t>
      </w:r>
      <w:r>
        <w:rPr>
          <w:rFonts w:ascii="Times New Roman" w:hAnsi="Times New Roman"/>
          <w:sz w:val="24"/>
          <w:szCs w:val="24"/>
        </w:rPr>
        <w:t xml:space="preserve"> was capable of reducing the metal concentration under all three pollution conditions. Nickel concentrations decreased from 0.2377, 0.2304</w:t>
      </w:r>
      <w:r>
        <w:rPr>
          <w:rFonts w:ascii="Times New Roman" w:hAnsi="Times New Roman"/>
          <w:sz w:val="24"/>
          <w:szCs w:val="24"/>
          <w:highlight w:val="yellow"/>
        </w:rPr>
        <w:t>,</w:t>
      </w:r>
      <w:r>
        <w:rPr>
          <w:rFonts w:ascii="Times New Roman" w:hAnsi="Times New Roman"/>
          <w:sz w:val="24"/>
          <w:szCs w:val="24"/>
        </w:rPr>
        <w:t xml:space="preserve"> and 0.2359 mg/L at Day 0 to 0.2155, 0.2002</w:t>
      </w:r>
      <w:r>
        <w:rPr>
          <w:rFonts w:ascii="Times New Roman" w:hAnsi="Times New Roman"/>
          <w:sz w:val="24"/>
          <w:szCs w:val="24"/>
          <w:highlight w:val="yellow"/>
        </w:rPr>
        <w:t>,</w:t>
      </w:r>
      <w:r>
        <w:rPr>
          <w:rFonts w:ascii="Times New Roman" w:hAnsi="Times New Roman"/>
          <w:sz w:val="24"/>
          <w:szCs w:val="24"/>
        </w:rPr>
        <w:t xml:space="preserve"> and 0.1626 mg/L at Day 14 under slightly, moderately and highly polluted conditions, respectively. The corresponding removal efficiencies were 9.34%, 13.11%</w:t>
      </w:r>
      <w:r>
        <w:rPr>
          <w:rFonts w:ascii="Times New Roman" w:hAnsi="Times New Roman"/>
          <w:sz w:val="24"/>
          <w:szCs w:val="24"/>
          <w:highlight w:val="yellow"/>
        </w:rPr>
        <w:t>,</w:t>
      </w:r>
      <w:r>
        <w:rPr>
          <w:rFonts w:ascii="Times New Roman" w:hAnsi="Times New Roman"/>
          <w:sz w:val="24"/>
          <w:szCs w:val="24"/>
        </w:rPr>
        <w:t xml:space="preserve"> and 31.07%, indicating greater Ni removal at the higher pollution </w:t>
      </w:r>
      <w:r>
        <w:rPr>
          <w:rFonts w:ascii="Times New Roman" w:hAnsi="Times New Roman"/>
          <w:sz w:val="24"/>
          <w:szCs w:val="24"/>
        </w:rPr>
        <w:lastRenderedPageBreak/>
        <w:t>level. This result demonstrates that the plant was able to interact with and remove dissolved Ni from the simulated spent</w:t>
      </w:r>
      <w:r>
        <w:rPr>
          <w:rFonts w:ascii="Times New Roman" w:hAnsi="Times New Roman"/>
          <w:sz w:val="24"/>
          <w:szCs w:val="24"/>
          <w:highlight w:val="yellow"/>
        </w:rPr>
        <w:t>-oil-</w:t>
      </w:r>
      <w:r>
        <w:rPr>
          <w:rFonts w:ascii="Times New Roman" w:hAnsi="Times New Roman"/>
          <w:sz w:val="24"/>
          <w:szCs w:val="24"/>
        </w:rPr>
        <w:t xml:space="preserve">polluted water during the exposure period. The finding is in accordance with the report </w:t>
      </w:r>
      <w:r>
        <w:rPr>
          <w:rFonts w:ascii="Times New Roman" w:hAnsi="Times New Roman"/>
          <w:sz w:val="24"/>
          <w:szCs w:val="24"/>
          <w:highlight w:val="yellow"/>
        </w:rPr>
        <w:t>by</w:t>
      </w:r>
      <w:r>
        <w:rPr>
          <w:rFonts w:ascii="Times New Roman" w:hAnsi="Times New Roman"/>
          <w:sz w:val="24"/>
          <w:szCs w:val="24"/>
        </w:rPr>
        <w:t xml:space="preserve"> Eid </w:t>
      </w:r>
      <w:r>
        <w:rPr>
          <w:rFonts w:ascii="Times New Roman" w:hAnsi="Times New Roman"/>
          <w:i/>
          <w:iCs/>
          <w:sz w:val="24"/>
          <w:szCs w:val="24"/>
        </w:rPr>
        <w:t>et al.</w:t>
      </w:r>
      <w:r>
        <w:rPr>
          <w:rFonts w:ascii="Times New Roman" w:hAnsi="Times New Roman"/>
          <w:sz w:val="24"/>
          <w:szCs w:val="24"/>
        </w:rPr>
        <w:t xml:space="preserve"> (2021), who stud</w:t>
      </w:r>
      <w:r>
        <w:rPr>
          <w:rFonts w:ascii="Times New Roman" w:hAnsi="Times New Roman"/>
          <w:sz w:val="24"/>
          <w:szCs w:val="24"/>
          <w:highlight w:val="yellow"/>
        </w:rPr>
        <w:t>ied</w:t>
      </w:r>
      <w:r>
        <w:rPr>
          <w:rFonts w:ascii="Times New Roman" w:hAnsi="Times New Roman"/>
          <w:sz w:val="24"/>
          <w:szCs w:val="24"/>
        </w:rPr>
        <w:t xml:space="preserve"> nine heavy metals, including Ni,</w:t>
      </w:r>
      <w:r>
        <w:rPr>
          <w:rFonts w:ascii="Times New Roman" w:hAnsi="Times New Roman"/>
          <w:sz w:val="24"/>
          <w:szCs w:val="24"/>
          <w:highlight w:val="yellow"/>
        </w:rPr>
        <w:t xml:space="preserve"> and</w:t>
      </w:r>
      <w:r>
        <w:rPr>
          <w:rFonts w:ascii="Times New Roman" w:hAnsi="Times New Roman"/>
          <w:sz w:val="24"/>
          <w:szCs w:val="24"/>
        </w:rPr>
        <w:t xml:space="preserve"> reported significant relationships between metal concentrations in water and their accumulation in different organs of the plant, confirming the ability of the plant to take up metals from contaminated water. The comparatively </w:t>
      </w:r>
      <w:r>
        <w:rPr>
          <w:rFonts w:ascii="Times New Roman" w:hAnsi="Times New Roman"/>
          <w:sz w:val="24"/>
          <w:szCs w:val="24"/>
          <w:highlight w:val="yellow"/>
        </w:rPr>
        <w:t>higher Ni removal observed under the highly polluted condition</w:t>
      </w:r>
      <w:r>
        <w:rPr>
          <w:rFonts w:ascii="Times New Roman" w:hAnsi="Times New Roman"/>
          <w:sz w:val="24"/>
          <w:szCs w:val="24"/>
          <w:highlight w:val="yellow"/>
        </w:rPr>
        <w:t xml:space="preserve"> may be related to the greater availability of Ni ions in the water, which could increase the concentration gradient between the aqueous medium and the plant roots and consequently promote metal uptake through the stalks and lea</w:t>
      </w:r>
      <w:r>
        <w:rPr>
          <w:rFonts w:ascii="Times New Roman" w:hAnsi="Times New Roman"/>
          <w:sz w:val="24"/>
          <w:szCs w:val="24"/>
          <w:highlight w:val="yellow"/>
        </w:rPr>
        <w:t>ves</w:t>
      </w:r>
      <w:r>
        <w:rPr>
          <w:rFonts w:ascii="Times New Roman" w:hAnsi="Times New Roman"/>
          <w:sz w:val="24"/>
          <w:szCs w:val="24"/>
        </w:rPr>
        <w:t>. However, prolonged exposure to elevated metal concentrations may impose physiological stress on the plant and potentially limit its remediation capacity. The results demonstrate</w:t>
      </w:r>
      <w:r>
        <w:rPr>
          <w:rFonts w:ascii="Times New Roman" w:hAnsi="Times New Roman"/>
          <w:sz w:val="24"/>
          <w:szCs w:val="24"/>
          <w:highlight w:val="yellow"/>
        </w:rPr>
        <w:t xml:space="preserve"> that</w:t>
      </w:r>
      <w:r>
        <w:rPr>
          <w:rFonts w:ascii="Times New Roman" w:hAnsi="Times New Roman"/>
          <w:sz w:val="24"/>
          <w:szCs w:val="24"/>
        </w:rPr>
        <w:t xml:space="preserve"> the response of </w:t>
      </w:r>
      <w:r>
        <w:rPr>
          <w:rFonts w:ascii="Times New Roman" w:hAnsi="Times New Roman"/>
          <w:i/>
          <w:iCs/>
          <w:sz w:val="24"/>
          <w:szCs w:val="24"/>
        </w:rPr>
        <w:t>E. crassipes</w:t>
      </w:r>
      <w:r>
        <w:rPr>
          <w:rFonts w:ascii="Times New Roman" w:hAnsi="Times New Roman"/>
          <w:sz w:val="24"/>
          <w:szCs w:val="24"/>
        </w:rPr>
        <w:t xml:space="preserve"> differed among the metals. Ni and Fe showed significant reductions across the exposure periods in all pollution treatments, whereas Pb, Cd</w:t>
      </w:r>
      <w:r>
        <w:rPr>
          <w:rFonts w:ascii="Times New Roman" w:hAnsi="Times New Roman"/>
          <w:sz w:val="24"/>
          <w:szCs w:val="24"/>
          <w:highlight w:val="yellow"/>
        </w:rPr>
        <w:t>,</w:t>
      </w:r>
      <w:r>
        <w:rPr>
          <w:rFonts w:ascii="Times New Roman" w:hAnsi="Times New Roman"/>
          <w:sz w:val="24"/>
          <w:szCs w:val="24"/>
        </w:rPr>
        <w:t xml:space="preserve"> and Cr showed different patterns of statistical significance depending on pollution intensity. The distribution of metals among the leaf, stalk</w:t>
      </w:r>
      <w:r>
        <w:rPr>
          <w:rFonts w:ascii="Times New Roman" w:hAnsi="Times New Roman"/>
          <w:sz w:val="24"/>
          <w:szCs w:val="24"/>
          <w:highlight w:val="yellow"/>
        </w:rPr>
        <w:t>,</w:t>
      </w:r>
      <w:r>
        <w:rPr>
          <w:rFonts w:ascii="Times New Roman" w:hAnsi="Times New Roman"/>
          <w:sz w:val="24"/>
          <w:szCs w:val="24"/>
        </w:rPr>
        <w:t xml:space="preserve"> and root of </w:t>
      </w:r>
      <w:r>
        <w:rPr>
          <w:rFonts w:ascii="Times New Roman" w:hAnsi="Times New Roman"/>
          <w:i/>
          <w:iCs/>
          <w:sz w:val="24"/>
          <w:szCs w:val="24"/>
        </w:rPr>
        <w:t>E. crassipes</w:t>
      </w:r>
      <w:r>
        <w:rPr>
          <w:rFonts w:ascii="Times New Roman" w:hAnsi="Times New Roman"/>
          <w:sz w:val="24"/>
          <w:szCs w:val="24"/>
        </w:rPr>
        <w:t xml:space="preserve"> further confirms that metal uptake was tissue-dependent. In the present study, Ni, Fe, Pb, Cd</w:t>
      </w:r>
      <w:r>
        <w:rPr>
          <w:rFonts w:ascii="Times New Roman" w:hAnsi="Times New Roman"/>
          <w:sz w:val="24"/>
          <w:szCs w:val="24"/>
          <w:highlight w:val="yellow"/>
        </w:rPr>
        <w:t>,</w:t>
      </w:r>
      <w:r>
        <w:rPr>
          <w:rFonts w:ascii="Times New Roman" w:hAnsi="Times New Roman"/>
          <w:sz w:val="24"/>
          <w:szCs w:val="24"/>
        </w:rPr>
        <w:t xml:space="preserve"> and Cr were detected in all three plant parts, but their concentrations varied considerably according to pollution level and tissue. This tissue-specific distribution is consistent with the findings of Eid </w:t>
      </w:r>
      <w:r>
        <w:rPr>
          <w:rFonts w:ascii="Times New Roman" w:hAnsi="Times New Roman"/>
          <w:i/>
          <w:iCs/>
          <w:sz w:val="24"/>
          <w:szCs w:val="24"/>
        </w:rPr>
        <w:t>et al.</w:t>
      </w:r>
      <w:r>
        <w:rPr>
          <w:rFonts w:ascii="Times New Roman" w:hAnsi="Times New Roman"/>
          <w:sz w:val="24"/>
          <w:szCs w:val="24"/>
        </w:rPr>
        <w:t xml:space="preserve"> (2019), who reported that heavy-metal accumulation in aquatic plant</w:t>
      </w:r>
      <w:r>
        <w:rPr>
          <w:rFonts w:ascii="Times New Roman" w:hAnsi="Times New Roman"/>
          <w:sz w:val="24"/>
          <w:szCs w:val="24"/>
          <w:highlight w:val="yellow"/>
        </w:rPr>
        <w:t>s</w:t>
      </w:r>
      <w:r>
        <w:rPr>
          <w:rFonts w:ascii="Times New Roman" w:hAnsi="Times New Roman"/>
          <w:sz w:val="24"/>
          <w:szCs w:val="24"/>
        </w:rPr>
        <w:t xml:space="preserve"> differed among plant organs and that roots generally played an important role in metal accumulation. The high metal concentrations detected in the roots under several treatments may be explained by the direct contact between the extensive root system and the contaminated water. The roots of </w:t>
      </w:r>
      <w:r>
        <w:rPr>
          <w:rFonts w:ascii="Times New Roman" w:hAnsi="Times New Roman"/>
          <w:i/>
          <w:iCs/>
          <w:sz w:val="24"/>
          <w:szCs w:val="24"/>
        </w:rPr>
        <w:t>E. crassipes</w:t>
      </w:r>
      <w:r>
        <w:rPr>
          <w:rFonts w:ascii="Times New Roman" w:hAnsi="Times New Roman"/>
          <w:sz w:val="24"/>
          <w:szCs w:val="24"/>
        </w:rPr>
        <w:t xml:space="preserve"> provide a large surface area for adsorption and absorption of dissolved metal ions. Metal ions may bind to negatively charged functional groups within the root cell wall or become retained within root tissues, thereby reducing their concentration in the surrounding water. </w:t>
      </w:r>
      <w:r>
        <w:rPr>
          <w:rFonts w:ascii="Times New Roman" w:hAnsi="Times New Roman"/>
          <w:sz w:val="24"/>
          <w:szCs w:val="24"/>
          <w:highlight w:val="yellow"/>
        </w:rPr>
        <w:t>Zho</w:t>
      </w:r>
      <w:r>
        <w:rPr>
          <w:rFonts w:ascii="Times New Roman" w:hAnsi="Times New Roman"/>
          <w:sz w:val="24"/>
          <w:szCs w:val="24"/>
        </w:rPr>
        <w:t xml:space="preserve">u </w:t>
      </w:r>
      <w:r>
        <w:rPr>
          <w:rFonts w:ascii="Times New Roman" w:hAnsi="Times New Roman"/>
          <w:i/>
          <w:iCs/>
          <w:sz w:val="24"/>
          <w:szCs w:val="24"/>
        </w:rPr>
        <w:t>et al.</w:t>
      </w:r>
      <w:r>
        <w:rPr>
          <w:rFonts w:ascii="Times New Roman" w:hAnsi="Times New Roman"/>
          <w:sz w:val="24"/>
          <w:szCs w:val="24"/>
        </w:rPr>
        <w:t xml:space="preserve"> (2020) reported the accumulation of Pb, Zn, Cd, and Mn in the roots rather than in the shoots, attributing this pattern partly to the strong metal-retention capacity of the root system. </w:t>
      </w:r>
    </w:p>
    <w:p w14:paraId="6DED9797" w14:textId="77777777" w:rsidR="00790ADA" w:rsidRP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The removal-efficiency results provide a direct measure of the phytoremediation performance of </w:t>
      </w:r>
      <w:r>
        <w:rPr>
          <w:rFonts w:ascii="Times New Roman" w:hAnsi="Times New Roman"/>
          <w:i/>
          <w:iCs/>
          <w:sz w:val="24"/>
          <w:szCs w:val="24"/>
        </w:rPr>
        <w:t>E. crassipes</w:t>
      </w:r>
      <w:r>
        <w:rPr>
          <w:rFonts w:ascii="Times New Roman" w:hAnsi="Times New Roman"/>
          <w:sz w:val="24"/>
          <w:szCs w:val="24"/>
        </w:rPr>
        <w:t xml:space="preserve">. The results showed that removal generally increased with exposure duration and, for most metals, was greater </w:t>
      </w:r>
      <w:r>
        <w:rPr>
          <w:rFonts w:ascii="Times New Roman" w:hAnsi="Times New Roman"/>
          <w:sz w:val="24"/>
          <w:szCs w:val="24"/>
        </w:rPr>
        <w:lastRenderedPageBreak/>
        <w:t>under the highly polluted condition. Ni, Fe, Cd</w:t>
      </w:r>
      <w:r>
        <w:rPr>
          <w:rFonts w:ascii="Times New Roman" w:hAnsi="Times New Roman"/>
          <w:sz w:val="24"/>
          <w:szCs w:val="24"/>
          <w:highlight w:val="yellow"/>
        </w:rPr>
        <w:t>,</w:t>
      </w:r>
      <w:r>
        <w:rPr>
          <w:rFonts w:ascii="Times New Roman" w:hAnsi="Times New Roman"/>
          <w:sz w:val="24"/>
          <w:szCs w:val="24"/>
        </w:rPr>
        <w:t xml:space="preserve"> and Cr recorded their highest removal efficiencies under highly polluted conditions, with values of 31.07%, 29.48%, 33.06%</w:t>
      </w:r>
      <w:r>
        <w:rPr>
          <w:rFonts w:ascii="Times New Roman" w:hAnsi="Times New Roman"/>
          <w:sz w:val="24"/>
          <w:szCs w:val="24"/>
          <w:highlight w:val="yellow"/>
        </w:rPr>
        <w:t>,</w:t>
      </w:r>
      <w:r>
        <w:rPr>
          <w:rFonts w:ascii="Times New Roman" w:hAnsi="Times New Roman"/>
          <w:sz w:val="24"/>
          <w:szCs w:val="24"/>
        </w:rPr>
        <w:t xml:space="preserve"> and 31.48%, respectively. Pb showed its highest removal efficiency under moderately polluted conditions at 28.89%, although the value under highly polluted conditions was very similar at 28.26%. The relatively high removal efficiencies recorded after 14 days demonstrate that </w:t>
      </w:r>
      <w:r>
        <w:rPr>
          <w:rFonts w:ascii="Times New Roman" w:hAnsi="Times New Roman"/>
          <w:i/>
          <w:iCs/>
          <w:sz w:val="24"/>
          <w:szCs w:val="24"/>
        </w:rPr>
        <w:t>E. crassipes</w:t>
      </w:r>
      <w:r>
        <w:rPr>
          <w:rFonts w:ascii="Times New Roman" w:hAnsi="Times New Roman"/>
          <w:sz w:val="24"/>
          <w:szCs w:val="24"/>
        </w:rPr>
        <w:t xml:space="preserve"> was able to reduce the dissolved-metal burden in the simulated water within the experimental period. However, the removal percentages were lower than those reported in some controlled studies. Peng </w:t>
      </w:r>
      <w:r>
        <w:rPr>
          <w:rFonts w:ascii="Times New Roman" w:hAnsi="Times New Roman"/>
          <w:i/>
          <w:iCs/>
          <w:sz w:val="24"/>
          <w:szCs w:val="24"/>
        </w:rPr>
        <w:t>et al.</w:t>
      </w:r>
      <w:r>
        <w:rPr>
          <w:rFonts w:ascii="Times New Roman" w:hAnsi="Times New Roman"/>
          <w:sz w:val="24"/>
          <w:szCs w:val="24"/>
        </w:rPr>
        <w:t xml:space="preserve"> (2020), for example, reported removal exceeding 80% for Pb, Cu, Cd and </w:t>
      </w:r>
      <w:proofErr w:type="gramStart"/>
      <w:r>
        <w:rPr>
          <w:rFonts w:ascii="Times New Roman" w:hAnsi="Times New Roman"/>
          <w:sz w:val="24"/>
          <w:szCs w:val="24"/>
        </w:rPr>
        <w:t>As</w:t>
      </w:r>
      <w:proofErr w:type="gramEnd"/>
      <w:r>
        <w:rPr>
          <w:rFonts w:ascii="Times New Roman" w:hAnsi="Times New Roman"/>
          <w:sz w:val="24"/>
          <w:szCs w:val="24"/>
        </w:rPr>
        <w:t xml:space="preserve"> under their experimental conditions. Zhou </w:t>
      </w:r>
      <w:r>
        <w:rPr>
          <w:rFonts w:ascii="Times New Roman" w:hAnsi="Times New Roman"/>
          <w:i/>
          <w:iCs/>
          <w:sz w:val="24"/>
          <w:szCs w:val="24"/>
        </w:rPr>
        <w:t>et al.</w:t>
      </w:r>
      <w:r>
        <w:rPr>
          <w:rFonts w:ascii="Times New Roman" w:hAnsi="Times New Roman"/>
          <w:sz w:val="24"/>
          <w:szCs w:val="24"/>
        </w:rPr>
        <w:t xml:space="preserve"> (2020) also reported removal efficiencies exceeding 79.5% for Pb and Mn. Because Ni, Fe, Pb, Cd</w:t>
      </w:r>
      <w:r>
        <w:rPr>
          <w:rFonts w:ascii="Times New Roman" w:hAnsi="Times New Roman"/>
          <w:sz w:val="24"/>
          <w:szCs w:val="24"/>
          <w:highlight w:val="yellow"/>
        </w:rPr>
        <w:t>,</w:t>
      </w:r>
      <w:r>
        <w:rPr>
          <w:rFonts w:ascii="Times New Roman" w:hAnsi="Times New Roman"/>
          <w:sz w:val="24"/>
          <w:szCs w:val="24"/>
        </w:rPr>
        <w:t xml:space="preserve"> and Cr were present simultaneously, competition among metal ions for binding sites and uptake pathways could have affected the amount of each metal removed by the plant. Metal ions may compete for adsorption sites on the root surface and for transport mechanisms within plant tissues. Consequently, the uptake of one metal may influence the uptake of another. This could partly explain why the metals did not display identical removal patterns despite being exposed to the same plant and environmental conditions. The variation in tissue distribution observed in the present study is also consistent with the metal-specific uptake </w:t>
      </w:r>
      <w:proofErr w:type="spellStart"/>
      <w:r>
        <w:rPr>
          <w:rFonts w:ascii="Times New Roman" w:hAnsi="Times New Roman"/>
          <w:sz w:val="24"/>
          <w:szCs w:val="24"/>
        </w:rPr>
        <w:t>behaviour</w:t>
      </w:r>
      <w:proofErr w:type="spellEnd"/>
      <w:r>
        <w:rPr>
          <w:rFonts w:ascii="Times New Roman" w:hAnsi="Times New Roman"/>
          <w:sz w:val="24"/>
          <w:szCs w:val="24"/>
        </w:rPr>
        <w:t xml:space="preserve"> reported for </w:t>
      </w:r>
      <w:r>
        <w:rPr>
          <w:rFonts w:ascii="Times New Roman" w:hAnsi="Times New Roman"/>
          <w:i/>
          <w:iCs/>
          <w:sz w:val="24"/>
          <w:szCs w:val="24"/>
        </w:rPr>
        <w:t>E. crassipes</w:t>
      </w:r>
      <w:r>
        <w:rPr>
          <w:rFonts w:ascii="Times New Roman" w:hAnsi="Times New Roman"/>
          <w:sz w:val="24"/>
          <w:szCs w:val="24"/>
        </w:rPr>
        <w:t xml:space="preserve"> by Eid </w:t>
      </w:r>
      <w:r>
        <w:rPr>
          <w:rFonts w:ascii="Times New Roman" w:hAnsi="Times New Roman"/>
          <w:i/>
          <w:iCs/>
          <w:sz w:val="24"/>
          <w:szCs w:val="24"/>
        </w:rPr>
        <w:t>et al.</w:t>
      </w:r>
      <w:r>
        <w:rPr>
          <w:rFonts w:ascii="Times New Roman" w:hAnsi="Times New Roman"/>
          <w:sz w:val="24"/>
          <w:szCs w:val="24"/>
        </w:rPr>
        <w:t xml:space="preserve"> (2019) and Eid </w:t>
      </w:r>
      <w:r>
        <w:rPr>
          <w:rFonts w:ascii="Times New Roman" w:hAnsi="Times New Roman"/>
          <w:i/>
          <w:iCs/>
          <w:sz w:val="24"/>
          <w:szCs w:val="24"/>
        </w:rPr>
        <w:t>et al.</w:t>
      </w:r>
      <w:r>
        <w:rPr>
          <w:rFonts w:ascii="Times New Roman" w:hAnsi="Times New Roman"/>
          <w:sz w:val="24"/>
          <w:szCs w:val="24"/>
        </w:rPr>
        <w:t xml:space="preserve"> (2021).</w:t>
      </w:r>
    </w:p>
    <w:p w14:paraId="4EDD5F23"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1D978F1E" w14:textId="77777777" w:rsidR="00790ADA" w:rsidRPr="00FB3A86" w:rsidRDefault="00790ADA" w:rsidP="00441B6F">
      <w:pPr>
        <w:pStyle w:val="ConcHead"/>
        <w:spacing w:after="0"/>
        <w:jc w:val="both"/>
        <w:rPr>
          <w:rFonts w:ascii="Arial" w:hAnsi="Arial" w:cs="Arial"/>
        </w:rPr>
      </w:pPr>
    </w:p>
    <w:p w14:paraId="5A5A3DB9" w14:textId="1B7E6E81" w:rsidR="003B3A3D" w:rsidRDefault="003B3A3D" w:rsidP="003B3A3D">
      <w:pPr>
        <w:spacing w:line="480" w:lineRule="auto"/>
        <w:jc w:val="both"/>
        <w:rPr>
          <w:rFonts w:ascii="Times New Roman" w:hAnsi="Times New Roman"/>
          <w:sz w:val="24"/>
          <w:szCs w:val="24"/>
        </w:rPr>
      </w:pPr>
      <w:r>
        <w:rPr>
          <w:rFonts w:ascii="Times New Roman" w:hAnsi="Times New Roman"/>
          <w:sz w:val="24"/>
          <w:szCs w:val="24"/>
        </w:rPr>
        <w:t xml:space="preserve">The present study established that </w:t>
      </w:r>
      <w:r>
        <w:rPr>
          <w:rFonts w:ascii="Times New Roman" w:hAnsi="Times New Roman"/>
          <w:i/>
          <w:iCs/>
          <w:sz w:val="24"/>
          <w:szCs w:val="24"/>
        </w:rPr>
        <w:t>Eichhornia crassipes</w:t>
      </w:r>
      <w:r>
        <w:rPr>
          <w:rFonts w:ascii="Times New Roman" w:hAnsi="Times New Roman"/>
          <w:sz w:val="24"/>
          <w:szCs w:val="24"/>
        </w:rPr>
        <w:t xml:space="preserve"> has the capacity to reduce the concentrations of selected heavy metals, namely nickel (Ni), iron (Fe), lead (Pb), cadmium (Cd), and chromium (Cr), in simulated spent</w:t>
      </w:r>
      <w:r>
        <w:rPr>
          <w:rFonts w:ascii="Times New Roman" w:hAnsi="Times New Roman"/>
          <w:sz w:val="24"/>
          <w:szCs w:val="24"/>
          <w:highlight w:val="yellow"/>
        </w:rPr>
        <w:t>-oil-</w:t>
      </w:r>
      <w:r>
        <w:rPr>
          <w:rFonts w:ascii="Times New Roman" w:hAnsi="Times New Roman"/>
          <w:sz w:val="24"/>
          <w:szCs w:val="24"/>
        </w:rPr>
        <w:t xml:space="preserve">polluted water. The reduction in metal concentrations observed over the 14-day exposure period indicates that the plant was capable of removing or accumulating heavy metals from the aqueous medium. The effectiveness of the plant varied among the metals and pollution levels, suggesting that metal uptake was influenced by the concentration of the contaminants and the specific characteristics of each metal. The study further demonstrated that </w:t>
      </w:r>
      <w:r>
        <w:rPr>
          <w:rFonts w:ascii="Times New Roman" w:hAnsi="Times New Roman"/>
          <w:i/>
          <w:iCs/>
          <w:sz w:val="24"/>
          <w:szCs w:val="24"/>
        </w:rPr>
        <w:t>E. crassipes</w:t>
      </w:r>
      <w:r>
        <w:rPr>
          <w:rFonts w:ascii="Times New Roman" w:hAnsi="Times New Roman"/>
          <w:sz w:val="24"/>
          <w:szCs w:val="24"/>
        </w:rPr>
        <w:t xml:space="preserve"> can serve as a potential </w:t>
      </w:r>
      <w:proofErr w:type="spellStart"/>
      <w:r>
        <w:rPr>
          <w:rFonts w:ascii="Times New Roman" w:hAnsi="Times New Roman"/>
          <w:sz w:val="24"/>
          <w:szCs w:val="24"/>
        </w:rPr>
        <w:t>phytoremediating</w:t>
      </w:r>
      <w:proofErr w:type="spellEnd"/>
      <w:r>
        <w:rPr>
          <w:rFonts w:ascii="Times New Roman" w:hAnsi="Times New Roman"/>
          <w:sz w:val="24"/>
          <w:szCs w:val="24"/>
        </w:rPr>
        <w:t xml:space="preserve"> macrophyte for the treatment of heavy-metal-contaminated water. Its extensive root system provides a large surface area for adsorption and uptake of dissolved metals, while the accumulation of metals within the plant tissues contributes to the reduction of contaminants in </w:t>
      </w:r>
      <w:r>
        <w:rPr>
          <w:rFonts w:ascii="Times New Roman" w:hAnsi="Times New Roman"/>
          <w:sz w:val="24"/>
          <w:szCs w:val="24"/>
        </w:rPr>
        <w:lastRenderedPageBreak/>
        <w:t>the surrounding water. The observed removal of Ni, Fe, Pb, Cd</w:t>
      </w:r>
      <w:r>
        <w:rPr>
          <w:rFonts w:ascii="Times New Roman" w:hAnsi="Times New Roman"/>
          <w:sz w:val="24"/>
          <w:szCs w:val="24"/>
          <w:highlight w:val="yellow"/>
        </w:rPr>
        <w:t>,</w:t>
      </w:r>
      <w:r>
        <w:rPr>
          <w:rFonts w:ascii="Times New Roman" w:hAnsi="Times New Roman"/>
          <w:sz w:val="24"/>
          <w:szCs w:val="24"/>
        </w:rPr>
        <w:t xml:space="preserve"> and Cr after 14 days confirms the potential usefulness of </w:t>
      </w:r>
      <w:r>
        <w:rPr>
          <w:rFonts w:ascii="Times New Roman" w:hAnsi="Times New Roman"/>
          <w:i/>
          <w:iCs/>
          <w:sz w:val="24"/>
          <w:szCs w:val="24"/>
        </w:rPr>
        <w:t>E. crassipes</w:t>
      </w:r>
      <w:r>
        <w:rPr>
          <w:rFonts w:ascii="Times New Roman" w:hAnsi="Times New Roman"/>
          <w:sz w:val="24"/>
          <w:szCs w:val="24"/>
        </w:rPr>
        <w:t xml:space="preserve"> as a relatively simple and environmentally friendly approach to reducing heavy-metal pollution in contaminated aquatic systems.</w:t>
      </w:r>
      <w:r w:rsidR="001E716D">
        <w:rPr>
          <w:rFonts w:ascii="Times New Roman" w:hAnsi="Times New Roman"/>
          <w:sz w:val="24"/>
          <w:szCs w:val="24"/>
        </w:rPr>
        <w:t xml:space="preserve">  </w:t>
      </w:r>
    </w:p>
    <w:p w14:paraId="38022EC9" w14:textId="77777777" w:rsidR="001E716D" w:rsidRDefault="001E716D" w:rsidP="003B3A3D">
      <w:pPr>
        <w:spacing w:line="480" w:lineRule="auto"/>
        <w:jc w:val="both"/>
        <w:rPr>
          <w:rFonts w:ascii="Times New Roman" w:hAnsi="Times New Roman"/>
          <w:sz w:val="24"/>
          <w:szCs w:val="24"/>
        </w:rPr>
      </w:pPr>
    </w:p>
    <w:p w14:paraId="4300F61E" w14:textId="682C763F" w:rsidR="001E716D" w:rsidRPr="001E716D" w:rsidRDefault="001E716D" w:rsidP="001E716D">
      <w:pPr>
        <w:spacing w:before="100" w:beforeAutospacing="1" w:after="100" w:afterAutospacing="1"/>
        <w:outlineLvl w:val="1"/>
        <w:rPr>
          <w:rFonts w:ascii="Times New Roman" w:hAnsi="Times New Roman"/>
          <w:b/>
          <w:bCs/>
          <w:sz w:val="36"/>
          <w:szCs w:val="36"/>
        </w:rPr>
      </w:pPr>
      <w:r w:rsidRPr="001E716D">
        <w:rPr>
          <w:rFonts w:ascii="Times New Roman" w:hAnsi="Times New Roman"/>
          <w:b/>
          <w:bCs/>
          <w:sz w:val="36"/>
          <w:szCs w:val="36"/>
        </w:rPr>
        <w:t>Limitations</w:t>
      </w:r>
    </w:p>
    <w:p w14:paraId="16EEA85B" w14:textId="77777777" w:rsidR="001E716D" w:rsidRPr="001E716D" w:rsidRDefault="001E716D" w:rsidP="001E716D">
      <w:pPr>
        <w:spacing w:before="100" w:beforeAutospacing="1" w:after="100" w:afterAutospacing="1"/>
        <w:rPr>
          <w:rFonts w:ascii="Times New Roman" w:hAnsi="Times New Roman"/>
          <w:sz w:val="24"/>
          <w:szCs w:val="24"/>
        </w:rPr>
      </w:pPr>
      <w:r w:rsidRPr="001E716D">
        <w:rPr>
          <w:rFonts w:ascii="Times New Roman" w:hAnsi="Times New Roman"/>
          <w:sz w:val="24"/>
          <w:szCs w:val="24"/>
        </w:rPr>
        <w:t>The study was conducted under controlled conditions using spent-oil-simulated polluted water and a 14-day exposure period; therefore, the findings may not directly represent field conditions or longer treatment periods. The experiment focused on Ni, Fe, Pb, Cd, and Cr and assessed metal concentrations in water and plant tissues. Variations in environmental conditions, contaminant mixtures, plant growth, and exposure duration were not evaluated beyond the conditions used in this experiment. These factors should be considered when interpreting the applicability of the results to natural or operational treatment systems.</w:t>
      </w:r>
    </w:p>
    <w:p w14:paraId="4020F84C" w14:textId="77777777" w:rsidR="001E716D" w:rsidRDefault="001E716D" w:rsidP="003B3A3D">
      <w:pPr>
        <w:spacing w:line="480" w:lineRule="auto"/>
        <w:jc w:val="both"/>
        <w:rPr>
          <w:rFonts w:ascii="Times New Roman" w:hAnsi="Times New Roman"/>
          <w:sz w:val="24"/>
          <w:szCs w:val="24"/>
        </w:rPr>
      </w:pPr>
    </w:p>
    <w:p w14:paraId="52FEDB84" w14:textId="77777777" w:rsidR="00323D1B" w:rsidRDefault="00323D1B" w:rsidP="00323D1B">
      <w:pPr>
        <w:keepNext/>
        <w:spacing w:before="100" w:beforeAutospacing="1"/>
        <w:jc w:val="both"/>
        <w:rPr>
          <w:rFonts w:ascii="Arial" w:hAnsi="Arial" w:cs="Arial"/>
          <w:b/>
          <w:bCs/>
          <w:caps/>
          <w:sz w:val="22"/>
          <w:szCs w:val="22"/>
        </w:rPr>
      </w:pPr>
      <w:r>
        <w:rPr>
          <w:rFonts w:ascii="Arial" w:hAnsi="Arial" w:cs="Arial"/>
          <w:b/>
          <w:bCs/>
          <w:caps/>
          <w:sz w:val="22"/>
          <w:szCs w:val="22"/>
        </w:rPr>
        <w:t>Competing interests</w:t>
      </w:r>
    </w:p>
    <w:p w14:paraId="163833B8" w14:textId="77777777" w:rsidR="00323D1B" w:rsidRDefault="00323D1B" w:rsidP="00323D1B">
      <w:pPr>
        <w:keepNext/>
        <w:spacing w:before="100" w:beforeAutospacing="1"/>
        <w:jc w:val="both"/>
        <w:rPr>
          <w:rFonts w:ascii="Arial" w:hAnsi="Arial" w:cs="Arial"/>
        </w:rPr>
      </w:pPr>
      <w:r>
        <w:rPr>
          <w:rFonts w:ascii="Arial" w:hAnsi="Arial" w:cs="Arial"/>
        </w:rPr>
        <w:t>The authors have declared that no competing interests exist.</w:t>
      </w:r>
    </w:p>
    <w:p w14:paraId="0524C861" w14:textId="77777777" w:rsidR="004B38A9" w:rsidRDefault="004B38A9" w:rsidP="00323D1B">
      <w:pPr>
        <w:keepNext/>
        <w:spacing w:before="100" w:beforeAutospacing="1"/>
        <w:jc w:val="both"/>
        <w:rPr>
          <w:rFonts w:ascii="Arial" w:hAnsi="Arial" w:cs="Arial"/>
          <w:sz w:val="24"/>
          <w:szCs w:val="24"/>
        </w:rPr>
      </w:pPr>
    </w:p>
    <w:p w14:paraId="6F27DCFE" w14:textId="77777777" w:rsidR="00C52CAA" w:rsidRDefault="00C52CAA" w:rsidP="00C52CAA">
      <w:pPr>
        <w:rPr>
          <w:rFonts w:ascii="Times New Roman" w:hAnsi="Times New Roman"/>
          <w:b/>
        </w:rPr>
      </w:pPr>
      <w:r w:rsidRPr="000839CE">
        <w:rPr>
          <w:rFonts w:ascii="Times New Roman" w:hAnsi="Times New Roman"/>
          <w:b/>
        </w:rPr>
        <w:t>Declaration of AI Use</w:t>
      </w:r>
    </w:p>
    <w:p w14:paraId="6755FF79" w14:textId="77777777" w:rsidR="00C52CAA" w:rsidRDefault="00C52CAA" w:rsidP="00C52CAA">
      <w:pPr>
        <w:rPr>
          <w:rFonts w:ascii="Times New Roman" w:hAnsi="Times New Roman"/>
          <w:b/>
        </w:rPr>
      </w:pPr>
    </w:p>
    <w:p w14:paraId="6936A0E4" w14:textId="77777777" w:rsidR="00C52CAA" w:rsidRDefault="00C52CAA" w:rsidP="00C52CAA">
      <w:pPr>
        <w:rPr>
          <w:rFonts w:ascii="Times New Roman" w:hAnsi="Times New Roman"/>
          <w:b/>
        </w:rPr>
      </w:pPr>
    </w:p>
    <w:p w14:paraId="6FC74628" w14:textId="77777777" w:rsidR="00C52CAA" w:rsidRPr="002D08AC" w:rsidRDefault="00C52CAA" w:rsidP="00C52CA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ADB6BFC" w14:textId="77777777" w:rsidR="00C52CAA" w:rsidRDefault="00C52CAA" w:rsidP="00323D1B">
      <w:pPr>
        <w:pStyle w:val="ReferHead"/>
        <w:spacing w:after="0"/>
        <w:jc w:val="both"/>
        <w:rPr>
          <w:rFonts w:ascii="Arial" w:hAnsi="Arial" w:cs="Arial"/>
          <w:b w:val="0"/>
          <w:caps w:val="0"/>
          <w:sz w:val="20"/>
        </w:rPr>
      </w:pPr>
    </w:p>
    <w:p w14:paraId="5ECA7B56" w14:textId="77777777" w:rsidR="00860000" w:rsidRDefault="00860000" w:rsidP="00441B6F">
      <w:pPr>
        <w:pStyle w:val="ReferHead"/>
        <w:spacing w:after="0"/>
        <w:jc w:val="both"/>
        <w:rPr>
          <w:rFonts w:ascii="Arial" w:hAnsi="Arial" w:cs="Arial"/>
        </w:rPr>
      </w:pPr>
    </w:p>
    <w:p w14:paraId="18EA7573"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5A88322" w14:textId="77777777" w:rsidR="00790ADA" w:rsidRPr="00FB3A86" w:rsidRDefault="00790ADA" w:rsidP="00441B6F">
      <w:pPr>
        <w:pStyle w:val="ReferHead"/>
        <w:spacing w:after="0"/>
        <w:jc w:val="both"/>
        <w:rPr>
          <w:rFonts w:ascii="Arial" w:hAnsi="Arial" w:cs="Arial"/>
        </w:rPr>
      </w:pPr>
    </w:p>
    <w:p w14:paraId="5CBB9EB2" w14:textId="77777777" w:rsidR="00B01FCD" w:rsidRPr="00FB3A86" w:rsidRDefault="00B01FCD" w:rsidP="00441B6F">
      <w:pPr>
        <w:pStyle w:val="Appendix"/>
        <w:spacing w:after="0"/>
        <w:jc w:val="both"/>
        <w:rPr>
          <w:rFonts w:ascii="Arial" w:hAnsi="Arial" w:cs="Arial"/>
          <w:b w:val="0"/>
        </w:rPr>
      </w:pPr>
    </w:p>
    <w:p w14:paraId="24C3E982" w14:textId="77777777" w:rsidR="00807BDF" w:rsidRDefault="00807BDF" w:rsidP="00807BDF">
      <w:pPr>
        <w:pStyle w:val="NormalWeb"/>
        <w:ind w:left="720" w:hanging="720"/>
      </w:pPr>
      <w:r>
        <w:rPr>
          <w:i w:val="0"/>
        </w:rPr>
        <w:t xml:space="preserve">Akinyele, I. O., &amp; Shokunbi, O. S. (2015). Comparative analysis of dry ashing and wet digestion methods for the determination of trace and heavy metals in food samples. </w:t>
      </w:r>
      <w:r>
        <w:rPr>
          <w:i/>
        </w:rPr>
        <w:t>Food Chemistry, 173</w:t>
      </w:r>
      <w:r>
        <w:rPr>
          <w:i w:val="0"/>
        </w:rPr>
        <w:t xml:space="preserve">, 682–684. </w:t>
      </w:r>
      <w:hyperlink r:id="rId26">
        <w:r>
          <w:rPr>
            <w:color w:val="0563C1"/>
            <w:u w:val="single"/>
          </w:rPr>
          <w:t>https://doi.org/10.1016/j.foodchem.2014.10.097</w:t>
        </w:r>
      </w:hyperlink>
    </w:p>
    <w:p w14:paraId="0AE1E7B6" w14:textId="77777777" w:rsidR="00807BDF" w:rsidRDefault="00807BDF" w:rsidP="00807BDF">
      <w:pPr>
        <w:pStyle w:val="NormalWeb"/>
        <w:ind w:left="720" w:hanging="720"/>
      </w:pPr>
      <w:r>
        <w:rPr>
          <w:i w:val="0"/>
        </w:rPr>
        <w:t xml:space="preserve">Anigbo, J. C., Effiong, K. A., Ajah, B. U., Michael, M. M., Ebuta, D. O., Abegim, H. U., Ogar, J. A., Agara, S. A., &amp; Okpashi, V. (2026). Geochemical speciation and potential mobility of heavy metals in agricultural soils of Cross River State, Nigeria: A Visual MINTEQ modelling approach. </w:t>
      </w:r>
      <w:r>
        <w:rPr>
          <w:i/>
        </w:rPr>
        <w:t>Unicross Journal of Science, Engineering and Technology, 1</w:t>
      </w:r>
      <w:r>
        <w:rPr>
          <w:i w:val="0"/>
        </w:rPr>
        <w:t xml:space="preserve">(2), 31–43. </w:t>
      </w:r>
      <w:hyperlink r:id="rId27">
        <w:r>
          <w:rPr>
            <w:color w:val="0563C1"/>
            <w:u w:val="single"/>
          </w:rPr>
          <w:t>https://doi.org/10.67254/0wt7n564</w:t>
        </w:r>
      </w:hyperlink>
    </w:p>
    <w:p w14:paraId="1782EF89" w14:textId="77777777" w:rsidR="00323D1B" w:rsidRDefault="00323D1B" w:rsidP="00807BDF">
      <w:pPr>
        <w:pStyle w:val="NormalWeb"/>
        <w:ind w:left="720" w:hanging="720"/>
      </w:pPr>
      <w:r>
        <w:rPr>
          <w:i w:val="0"/>
        </w:rPr>
        <w:t xml:space="preserve">Bayuo, J., Rwiza, M. J., Choi, J. W., Njau, K. N., &amp; Mtei, K. M. (2024). Recent and sustainable advances in phytoremediation of heavy metals from wastewater using aquatic plant species: Green approach. </w:t>
      </w:r>
      <w:r>
        <w:rPr>
          <w:i/>
        </w:rPr>
        <w:t>Journal of Environmental Management, 370</w:t>
      </w:r>
      <w:r>
        <w:rPr>
          <w:i w:val="0"/>
        </w:rPr>
        <w:t xml:space="preserve">, 122523. </w:t>
      </w:r>
      <w:hyperlink r:id="rId28">
        <w:r>
          <w:rPr>
            <w:color w:val="0563C1"/>
            <w:u w:val="single"/>
          </w:rPr>
          <w:t>https://doi.org/10.1016/j.jenvman.2024.122523</w:t>
        </w:r>
      </w:hyperlink>
    </w:p>
    <w:p w14:paraId="152C1A03" w14:textId="77777777" w:rsidR="00807BDF" w:rsidRDefault="00807BDF" w:rsidP="00807BDF">
      <w:pPr>
        <w:pStyle w:val="NormalWeb"/>
        <w:ind w:left="720" w:hanging="720"/>
      </w:pPr>
      <w:r>
        <w:rPr>
          <w:i w:val="0"/>
        </w:rPr>
        <w:t xml:space="preserve">Beyer, J., Trannum, H. C., Bakke, T., Hodson, P. V., &amp; Collier, T. K. (2016). Environmental effects of the Deepwater Horizon oil spill: A review. </w:t>
      </w:r>
      <w:r>
        <w:rPr>
          <w:i/>
        </w:rPr>
        <w:t>Marine Pollution Bulletin, 110</w:t>
      </w:r>
      <w:r>
        <w:rPr>
          <w:i w:val="0"/>
        </w:rPr>
        <w:t xml:space="preserve">(1), 28–51. </w:t>
      </w:r>
      <w:hyperlink r:id="rId29">
        <w:r>
          <w:rPr>
            <w:color w:val="0563C1"/>
            <w:u w:val="single"/>
          </w:rPr>
          <w:t>https://doi.org/10.1016/j.marpolbul.2016.06.027</w:t>
        </w:r>
      </w:hyperlink>
    </w:p>
    <w:p w14:paraId="57EEA441" w14:textId="77777777" w:rsidR="00807BDF" w:rsidRDefault="00807BDF" w:rsidP="00807BDF">
      <w:pPr>
        <w:pStyle w:val="NormalWeb"/>
        <w:ind w:left="720" w:hanging="720"/>
      </w:pPr>
      <w:r>
        <w:rPr>
          <w:i w:val="0"/>
        </w:rPr>
        <w:t xml:space="preserve">Bonsdorff, E. (2021). Eutrophication: Early warning signals, ecosystem-level and societal responses, and ways forward. </w:t>
      </w:r>
      <w:r>
        <w:rPr>
          <w:i/>
        </w:rPr>
        <w:t>Ambio, 50</w:t>
      </w:r>
      <w:r>
        <w:rPr>
          <w:i w:val="0"/>
        </w:rPr>
        <w:t xml:space="preserve">(4), 753–758. </w:t>
      </w:r>
      <w:hyperlink r:id="rId30">
        <w:r>
          <w:rPr>
            <w:color w:val="0563C1"/>
            <w:u w:val="single"/>
          </w:rPr>
          <w:t>https://doi.org/10.1007/s13280-020-01432-7</w:t>
        </w:r>
      </w:hyperlink>
    </w:p>
    <w:p w14:paraId="7920302B" w14:textId="77777777" w:rsidR="00807BDF" w:rsidRDefault="00807BDF" w:rsidP="00807BDF">
      <w:pPr>
        <w:pStyle w:val="NormalWeb"/>
        <w:ind w:left="720" w:hanging="720"/>
      </w:pPr>
      <w:r>
        <w:rPr>
          <w:i w:val="0"/>
        </w:rPr>
        <w:t xml:space="preserve">Briffa, J., Sinagra, E., &amp; Blundell, R. (2020). Heavy metal pollution in the environment and their toxicological effects on humans. </w:t>
      </w:r>
      <w:r>
        <w:rPr>
          <w:i/>
        </w:rPr>
        <w:t>Heliyon, 6</w:t>
      </w:r>
      <w:r>
        <w:rPr>
          <w:i w:val="0"/>
        </w:rPr>
        <w:t xml:space="preserve">(9), e04691. </w:t>
      </w:r>
      <w:hyperlink r:id="rId31">
        <w:r>
          <w:rPr>
            <w:color w:val="0563C1"/>
            <w:u w:val="single"/>
          </w:rPr>
          <w:t>https://doi.org/10.1016/j.heliyon.2020.e04691</w:t>
        </w:r>
      </w:hyperlink>
    </w:p>
    <w:p w14:paraId="62E4EAAA" w14:textId="77777777" w:rsidR="00807BDF" w:rsidRDefault="00807BDF" w:rsidP="00807BDF">
      <w:pPr>
        <w:pStyle w:val="NormalWeb"/>
        <w:ind w:left="720" w:hanging="720"/>
      </w:pPr>
      <w:r>
        <w:rPr>
          <w:i w:val="0"/>
        </w:rPr>
        <w:t xml:space="preserve">Eid, E. M., Shaltout, K. H., Almuqrin, A. H., Aloraini, D. A., Khedher, K. H., Taher, M. A., Alfarhan, A. H., Picó, Y., &amp; Barceló, D. (2021). Uptake prediction of nine heavy metals by </w:t>
      </w:r>
      <w:r>
        <w:rPr>
          <w:i/>
        </w:rPr>
        <w:t>Eichhornia crassipes</w:t>
      </w:r>
      <w:r>
        <w:rPr>
          <w:i w:val="0"/>
        </w:rPr>
        <w:t xml:space="preserve"> grown in irrigation canals: A biomonitoring approach. </w:t>
      </w:r>
      <w:r>
        <w:rPr>
          <w:i/>
        </w:rPr>
        <w:t>Science of the Total Environment, 782</w:t>
      </w:r>
      <w:r>
        <w:rPr>
          <w:i w:val="0"/>
        </w:rPr>
        <w:t xml:space="preserve">, 146887. </w:t>
      </w:r>
      <w:hyperlink r:id="rId32">
        <w:r>
          <w:rPr>
            <w:color w:val="0563C1"/>
            <w:u w:val="single"/>
          </w:rPr>
          <w:t>https://doi.org/10.1016/j.scitotenv.2021.146887</w:t>
        </w:r>
      </w:hyperlink>
    </w:p>
    <w:p w14:paraId="030B5E25" w14:textId="77777777" w:rsidR="00807BDF" w:rsidRDefault="00807BDF" w:rsidP="00807BDF">
      <w:pPr>
        <w:pStyle w:val="NormalWeb"/>
        <w:ind w:left="720" w:hanging="720"/>
      </w:pPr>
      <w:r>
        <w:rPr>
          <w:i w:val="0"/>
        </w:rPr>
        <w:t xml:space="preserve">Eid, E. M., Shaltout, K. H., Moghanm, F. S., Youssef, M. S. G., El-Mohsnawy, E., &amp; Haroun, S. A. (2019). Bioaccumulation and translocation of nine heavy metals by </w:t>
      </w:r>
      <w:r>
        <w:rPr>
          <w:i/>
        </w:rPr>
        <w:t>Eichhornia crassipes</w:t>
      </w:r>
      <w:r>
        <w:rPr>
          <w:i w:val="0"/>
        </w:rPr>
        <w:t xml:space="preserve"> in Nile Delta, Egypt: Perspectives for phytoremediation. </w:t>
      </w:r>
      <w:r>
        <w:rPr>
          <w:i/>
        </w:rPr>
        <w:t>International Journal of Phytoremediation, 21</w:t>
      </w:r>
      <w:r>
        <w:rPr>
          <w:i w:val="0"/>
        </w:rPr>
        <w:t xml:space="preserve">(8), 821–830. </w:t>
      </w:r>
      <w:hyperlink r:id="rId33">
        <w:r>
          <w:rPr>
            <w:color w:val="0563C1"/>
            <w:u w:val="single"/>
          </w:rPr>
          <w:t>https://doi.org/10.1080/15226514.2019.1566885</w:t>
        </w:r>
      </w:hyperlink>
    </w:p>
    <w:p w14:paraId="66275182" w14:textId="77777777" w:rsidR="00807BDF" w:rsidRDefault="00807BDF" w:rsidP="00807BDF">
      <w:pPr>
        <w:pStyle w:val="NormalWeb"/>
        <w:ind w:left="720" w:hanging="720"/>
      </w:pPr>
      <w:r>
        <w:rPr>
          <w:i w:val="0"/>
        </w:rPr>
        <w:t xml:space="preserve">Guayjarernpanishk, W., &amp; Sampanpanish, P. (2024). Efficiency of sodium phytate in the remediation of As, Mn, and Cu contamination in acid mine drainage using water hyacinth. </w:t>
      </w:r>
      <w:r>
        <w:rPr>
          <w:i/>
        </w:rPr>
        <w:t>Heliyon, 10</w:t>
      </w:r>
      <w:r>
        <w:rPr>
          <w:i w:val="0"/>
        </w:rPr>
        <w:t xml:space="preserve">(4), e26590. </w:t>
      </w:r>
      <w:hyperlink r:id="rId16">
        <w:r>
          <w:rPr>
            <w:color w:val="0563C1"/>
            <w:u w:val="single"/>
          </w:rPr>
          <w:t>https://doi.org/10.1016/j.heliyon.2024.e26590</w:t>
        </w:r>
      </w:hyperlink>
    </w:p>
    <w:p w14:paraId="0D6EDE8B" w14:textId="77777777" w:rsidR="00807BDF" w:rsidRDefault="00807BDF" w:rsidP="00807BDF">
      <w:pPr>
        <w:pStyle w:val="NormalWeb"/>
        <w:ind w:left="720" w:hanging="720"/>
      </w:pPr>
      <w:r>
        <w:rPr>
          <w:i w:val="0"/>
        </w:rPr>
        <w:t xml:space="preserve">Gunwal, I., Mathur, R., Agrawal, Y., &amp; Mago, P. (2021). Plants useful for phytoremediation of soil and water in India. </w:t>
      </w:r>
      <w:r>
        <w:rPr>
          <w:i/>
        </w:rPr>
        <w:t>Asian Journal of Plant and Soil Sciences, 6</w:t>
      </w:r>
      <w:r>
        <w:rPr>
          <w:i w:val="0"/>
        </w:rPr>
        <w:t xml:space="preserve">(1), 103–110. </w:t>
      </w:r>
      <w:hyperlink r:id="rId17">
        <w:r>
          <w:rPr>
            <w:color w:val="0563C1"/>
            <w:u w:val="single"/>
          </w:rPr>
          <w:t>https://doi.org/10.56557/ajopss/2021/v6i140</w:t>
        </w:r>
      </w:hyperlink>
    </w:p>
    <w:p w14:paraId="715C3DB4" w14:textId="77777777" w:rsidR="003D3C86" w:rsidRDefault="00000000">
      <w:pPr>
        <w:pStyle w:val="NormalWeb"/>
        <w:ind w:left="720" w:hanging="720"/>
      </w:pPr>
      <w:r>
        <w:rPr>
          <w:i w:val="0"/>
        </w:rPr>
        <w:t xml:space="preserve">Lagalante, A. F. (1999). Atomic absorption spectroscopy: A tutorial review. </w:t>
      </w:r>
      <w:r>
        <w:rPr>
          <w:i/>
        </w:rPr>
        <w:t>Applied Spectroscopy Reviews, 34</w:t>
      </w:r>
      <w:r>
        <w:rPr>
          <w:i w:val="0"/>
        </w:rPr>
        <w:t xml:space="preserve">(3), 173–189. </w:t>
      </w:r>
      <w:hyperlink r:id="rId34">
        <w:r>
          <w:rPr>
            <w:color w:val="0563C1"/>
            <w:u w:val="single"/>
          </w:rPr>
          <w:t>https://doi.org/10.1081/ASR-100100844</w:t>
        </w:r>
      </w:hyperlink>
    </w:p>
    <w:p w14:paraId="7AB81FF8" w14:textId="77777777" w:rsidR="003D3C86" w:rsidRDefault="00000000">
      <w:pPr>
        <w:pStyle w:val="NormalWeb"/>
        <w:ind w:left="720" w:hanging="720"/>
      </w:pPr>
      <w:r>
        <w:rPr>
          <w:i w:val="0"/>
        </w:rPr>
        <w:t>Malar, S., Sahi, S. V., Favas, P. J. C., &amp; Perumal, V. (2014). Lead heavy metal toxicity induced changes on growth and antioxidative enzymes level in water hyacinths [</w:t>
      </w:r>
      <w:r>
        <w:rPr>
          <w:i/>
        </w:rPr>
        <w:t>Eichhornia crassipes</w:t>
      </w:r>
      <w:r>
        <w:rPr>
          <w:i w:val="0"/>
        </w:rPr>
        <w:t xml:space="preserve"> (Mart.)]. </w:t>
      </w:r>
      <w:r>
        <w:rPr>
          <w:i/>
        </w:rPr>
        <w:t>Botanical Studies, 55</w:t>
      </w:r>
      <w:r>
        <w:rPr>
          <w:i w:val="0"/>
        </w:rPr>
        <w:t xml:space="preserve">, 54. </w:t>
      </w:r>
      <w:hyperlink r:id="rId35">
        <w:r>
          <w:rPr>
            <w:color w:val="0563C1"/>
            <w:u w:val="single"/>
          </w:rPr>
          <w:t>https://doi.org/10.1186/s40529-014-0054-6</w:t>
        </w:r>
      </w:hyperlink>
    </w:p>
    <w:p w14:paraId="04AF576C" w14:textId="77777777" w:rsidR="00807BDF" w:rsidRDefault="00807BDF" w:rsidP="00807BDF">
      <w:pPr>
        <w:pStyle w:val="NormalWeb"/>
        <w:ind w:left="720" w:hanging="720"/>
      </w:pPr>
      <w:r>
        <w:rPr>
          <w:i w:val="0"/>
        </w:rPr>
        <w:t xml:space="preserve">Maurya, N. K., Shivakumar, M., Bhooleshwari, Samal, K., Jayaswal, R., Lakshmipathi, M. T., Kumar, V., &amp; Annappaswamy, T. S. (2025). Phytoremediation of metal contamination: Evaluating </w:t>
      </w:r>
      <w:r>
        <w:rPr>
          <w:i/>
        </w:rPr>
        <w:t>Pistia stratiotes</w:t>
      </w:r>
      <w:r>
        <w:rPr>
          <w:i w:val="0"/>
        </w:rPr>
        <w:t xml:space="preserve"> and </w:t>
      </w:r>
      <w:r>
        <w:rPr>
          <w:i/>
        </w:rPr>
        <w:t>Eichhornia crassipes</w:t>
      </w:r>
      <w:r>
        <w:rPr>
          <w:i w:val="0"/>
        </w:rPr>
        <w:t xml:space="preserve"> for lead and cadmium removal. </w:t>
      </w:r>
      <w:r>
        <w:rPr>
          <w:i/>
        </w:rPr>
        <w:t>International Journal of Environment and Climate Change, 15</w:t>
      </w:r>
      <w:r>
        <w:rPr>
          <w:i w:val="0"/>
        </w:rPr>
        <w:t xml:space="preserve">(4), 205–221. </w:t>
      </w:r>
      <w:hyperlink r:id="rId18">
        <w:r>
          <w:rPr>
            <w:color w:val="0563C1"/>
            <w:u w:val="single"/>
          </w:rPr>
          <w:t>https://doi.org/10.9734/ijecc/2025/v15i44804</w:t>
        </w:r>
      </w:hyperlink>
    </w:p>
    <w:p w14:paraId="55B9741E" w14:textId="77777777" w:rsidR="00807BDF" w:rsidRDefault="00807BDF" w:rsidP="00807BDF">
      <w:pPr>
        <w:pStyle w:val="NormalWeb"/>
        <w:ind w:left="720" w:hanging="720"/>
      </w:pPr>
      <w:r>
        <w:rPr>
          <w:i w:val="0"/>
        </w:rPr>
        <w:t xml:space="preserve">Monroy-Licht, A., Carranza-Lopez, L., De la Parra-Guerra, A. C., &amp; Acevedo-Barrios, R. (2024). Unlocking the potential of </w:t>
      </w:r>
      <w:r>
        <w:rPr>
          <w:i/>
        </w:rPr>
        <w:t>Eichhornia crassipes</w:t>
      </w:r>
      <w:r>
        <w:rPr>
          <w:i w:val="0"/>
        </w:rPr>
        <w:t xml:space="preserve"> for wastewater treatment: Phytoremediation of aquatic pollutants, a strategy for advancing Sustainable Development Goal-06 clean water. </w:t>
      </w:r>
      <w:r>
        <w:rPr>
          <w:i/>
        </w:rPr>
        <w:t>Environmental Science and Pollution Research, 31</w:t>
      </w:r>
      <w:r>
        <w:rPr>
          <w:i w:val="0"/>
        </w:rPr>
        <w:t xml:space="preserve">, 43561–43582. </w:t>
      </w:r>
      <w:hyperlink r:id="rId19">
        <w:r>
          <w:rPr>
            <w:color w:val="0563C1"/>
            <w:u w:val="single"/>
          </w:rPr>
          <w:t>https://doi.org/10.1007/s11356-024-33698-9</w:t>
        </w:r>
      </w:hyperlink>
    </w:p>
    <w:p w14:paraId="46A89158" w14:textId="77777777" w:rsidR="003D3C86" w:rsidRDefault="00000000">
      <w:pPr>
        <w:pStyle w:val="NormalWeb"/>
        <w:ind w:left="720" w:hanging="720"/>
      </w:pPr>
      <w:r>
        <w:rPr>
          <w:i w:val="0"/>
        </w:rPr>
        <w:t xml:space="preserve">Peng, H., Wang, Y., Tan, T. L., &amp; Chen, Z. (2020). Exploring the phytoremediation potential of water hyacinth by FTIR spectroscopy and ICP-OES for treatment of heavy metal contaminated water. </w:t>
      </w:r>
      <w:r>
        <w:rPr>
          <w:i/>
        </w:rPr>
        <w:t>International Journal of Phytoremediation, 22</w:t>
      </w:r>
      <w:r>
        <w:rPr>
          <w:i w:val="0"/>
        </w:rPr>
        <w:t xml:space="preserve">(9), 939–951. </w:t>
      </w:r>
      <w:hyperlink r:id="rId36">
        <w:r>
          <w:rPr>
            <w:color w:val="0563C1"/>
            <w:u w:val="single"/>
          </w:rPr>
          <w:t>https://doi.org/10.1080/15226514.2020.1774499</w:t>
        </w:r>
      </w:hyperlink>
    </w:p>
    <w:p w14:paraId="4BDCACC4" w14:textId="77777777" w:rsidR="003D3C86" w:rsidRDefault="00000000">
      <w:pPr>
        <w:pStyle w:val="NormalWeb"/>
        <w:ind w:left="720" w:hanging="720"/>
      </w:pPr>
      <w:r>
        <w:rPr>
          <w:i w:val="0"/>
        </w:rPr>
        <w:t xml:space="preserve">Ramal, M. M., Jalal, A. D., &amp; Abdulhameed, U. H. (2021). Heavy metal assessment in taps drinking water of Ramadi City using water quality indices, Anbar Province, Iraq. </w:t>
      </w:r>
      <w:r>
        <w:rPr>
          <w:i/>
        </w:rPr>
        <w:t>International Journal of Sustainable Development and Planning, 16</w:t>
      </w:r>
      <w:r>
        <w:rPr>
          <w:i w:val="0"/>
        </w:rPr>
        <w:t xml:space="preserve">(7), 1349–1357. </w:t>
      </w:r>
      <w:hyperlink r:id="rId37">
        <w:r>
          <w:rPr>
            <w:color w:val="0563C1"/>
            <w:u w:val="single"/>
          </w:rPr>
          <w:t>https://doi.org/10.18280/ijsdp.160715</w:t>
        </w:r>
      </w:hyperlink>
    </w:p>
    <w:p w14:paraId="6BDCC633" w14:textId="77777777" w:rsidR="00807BDF" w:rsidRDefault="00807BDF" w:rsidP="00807BDF">
      <w:pPr>
        <w:pStyle w:val="NormalWeb"/>
        <w:ind w:left="720" w:hanging="720"/>
      </w:pPr>
      <w:r>
        <w:rPr>
          <w:i w:val="0"/>
        </w:rPr>
        <w:t xml:space="preserve">Saha, P., Shinde, O., &amp; Sarkar, S. (2017). Phytoremediation of industrial mines wastewater using water hyacinth. </w:t>
      </w:r>
      <w:r>
        <w:rPr>
          <w:i/>
        </w:rPr>
        <w:t>International Journal of Phytoremediation, 19</w:t>
      </w:r>
      <w:r>
        <w:rPr>
          <w:i w:val="0"/>
        </w:rPr>
        <w:t xml:space="preserve">(1), 87–96. </w:t>
      </w:r>
      <w:hyperlink r:id="rId38">
        <w:r>
          <w:rPr>
            <w:color w:val="0563C1"/>
            <w:u w:val="single"/>
          </w:rPr>
          <w:t>https://doi.org/10.1080/15226514.2016.1216078</w:t>
        </w:r>
      </w:hyperlink>
    </w:p>
    <w:p w14:paraId="0FAC7B0E" w14:textId="77777777" w:rsidR="00807BDF" w:rsidRDefault="00807BDF" w:rsidP="00807BDF">
      <w:pPr>
        <w:pStyle w:val="NormalWeb"/>
        <w:ind w:left="720" w:hanging="720"/>
      </w:pPr>
      <w:r>
        <w:rPr>
          <w:i w:val="0"/>
        </w:rPr>
        <w:t xml:space="preserve">Zhou, J.-M., Jiang, Z.-C., Qin, X.-Q., Zhang, L.-K., Huang, Q.-B., Xu, G.-L., &amp; Dionysiou, D. D. (2020). Efficiency of Pb, Zn, Cd, and Mn removal from karst water by </w:t>
      </w:r>
      <w:r>
        <w:rPr>
          <w:i/>
        </w:rPr>
        <w:t>Eichhornia crassipes</w:t>
      </w:r>
      <w:r>
        <w:rPr>
          <w:i w:val="0"/>
        </w:rPr>
        <w:t xml:space="preserve">. </w:t>
      </w:r>
      <w:r>
        <w:rPr>
          <w:i/>
        </w:rPr>
        <w:t>International Journal of Environmental Research and Public Health, 17</w:t>
      </w:r>
      <w:r>
        <w:rPr>
          <w:i w:val="0"/>
        </w:rPr>
        <w:t xml:space="preserve">(15), 5329. </w:t>
      </w:r>
      <w:hyperlink r:id="rId39">
        <w:r>
          <w:rPr>
            <w:color w:val="0563C1"/>
            <w:u w:val="single"/>
          </w:rPr>
          <w:t>https://doi.org/10.3390/ijerph17155329</w:t>
        </w:r>
      </w:hyperlink>
    </w:p>
    <w:sectPr w:rsidR="00B01FCD" w:rsidRPr="00323D1B" w:rsidSect="00C52CAA">
      <w:headerReference w:type="even" r:id="rId20"/>
      <w:headerReference w:type="default" r:id="rId21"/>
      <w:footerReference w:type="default" r:id="rId22"/>
      <w:headerReference w:type="first" r:id="rId2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A6DB0" w14:textId="77777777" w:rsidR="001B51D4" w:rsidRDefault="001B51D4" w:rsidP="00C37E61">
      <w:r>
        <w:separator/>
      </w:r>
    </w:p>
  </w:endnote>
  <w:endnote w:type="continuationSeparator" w:id="0">
    <w:p w14:paraId="7554ADC2" w14:textId="77777777" w:rsidR="001B51D4" w:rsidRDefault="001B51D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95F4" w14:textId="77777777" w:rsidR="00DF46E6" w:rsidRDefault="00DF4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399C" w14:textId="77777777" w:rsidR="00DF46E6" w:rsidRDefault="00DF46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30AA" w14:textId="77777777" w:rsidR="00A46BCD" w:rsidRPr="00105919" w:rsidRDefault="00A46BCD" w:rsidP="001059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4301" w14:textId="77777777" w:rsidR="00A46BCD" w:rsidRPr="00C37E61" w:rsidRDefault="00A46BCD"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CCB3F" w14:textId="77777777" w:rsidR="001B51D4" w:rsidRDefault="001B51D4" w:rsidP="00C37E61">
      <w:r>
        <w:separator/>
      </w:r>
    </w:p>
  </w:footnote>
  <w:footnote w:type="continuationSeparator" w:id="0">
    <w:p w14:paraId="1AF240E8" w14:textId="77777777" w:rsidR="001B51D4" w:rsidRDefault="001B51D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1695" w14:textId="77777777" w:rsidR="00DF46E6" w:rsidRDefault="00000000">
    <w:pPr>
      <w:pStyle w:val="Header"/>
    </w:pPr>
    <w:r>
      <w:rPr>
        <w:noProof/>
      </w:rPr>
      <w:pict w14:anchorId="184A2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69"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3449" w14:textId="77777777" w:rsidR="00DF46E6" w:rsidRDefault="00000000">
    <w:pPr>
      <w:pStyle w:val="Header"/>
    </w:pPr>
    <w:r>
      <w:rPr>
        <w:noProof/>
      </w:rPr>
      <w:pict w14:anchorId="2A2CCE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0"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73D7" w14:textId="77777777" w:rsidR="00A46BCD" w:rsidRPr="00296529" w:rsidRDefault="00000000" w:rsidP="00296529">
    <w:pPr>
      <w:ind w:left="2160"/>
      <w:jc w:val="center"/>
      <w:rPr>
        <w:rFonts w:ascii="Times New Roman" w:eastAsia="Calibri" w:hAnsi="Times New Roman"/>
        <w:i/>
        <w:sz w:val="18"/>
        <w:szCs w:val="22"/>
      </w:rPr>
    </w:pPr>
    <w:r>
      <w:rPr>
        <w:noProof/>
      </w:rPr>
      <w:pict w14:anchorId="430314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68"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14DE336" w14:textId="77777777" w:rsidR="00A46BCD" w:rsidRPr="00296529" w:rsidRDefault="00A46BC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4125BDE" w14:textId="77777777" w:rsidR="00A46BCD" w:rsidRPr="00296529" w:rsidRDefault="00A46BC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F5B37E6" w14:textId="77777777" w:rsidR="00A46BCD" w:rsidRPr="00296529" w:rsidRDefault="00A46BC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97C7441" w14:textId="77777777" w:rsidR="00A46BCD" w:rsidRDefault="00A46BC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84CBA3" w14:textId="77777777" w:rsidR="00A46BCD" w:rsidRDefault="00A46BC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F8506E2" w14:textId="77777777" w:rsidR="00A46BCD" w:rsidRDefault="00A46BCD">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2330" w14:textId="77777777" w:rsidR="00DF46E6" w:rsidRDefault="00000000">
    <w:pPr>
      <w:pStyle w:val="Header"/>
    </w:pPr>
    <w:r>
      <w:rPr>
        <w:noProof/>
      </w:rPr>
      <w:pict w14:anchorId="271C12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2"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56720DF">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414F" w14:textId="77777777" w:rsidR="00DF46E6" w:rsidRDefault="00000000">
    <w:pPr>
      <w:pStyle w:val="Header"/>
    </w:pPr>
    <w:r>
      <w:rPr>
        <w:noProof/>
      </w:rPr>
      <w:pict w14:anchorId="7F06B5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3"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2230B2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6E3A5" w14:textId="77777777" w:rsidR="00DF46E6" w:rsidRPr="00296529" w:rsidRDefault="00000000" w:rsidP="00296529">
    <w:pPr>
      <w:ind w:left="2160"/>
      <w:jc w:val="center"/>
      <w:rPr>
        <w:rFonts w:ascii="Times New Roman" w:eastAsia="Calibri" w:hAnsi="Times New Roman"/>
        <w:i/>
        <w:sz w:val="18"/>
        <w:szCs w:val="22"/>
      </w:rPr>
    </w:pPr>
    <w:r>
      <w:rPr>
        <w:noProof/>
      </w:rPr>
      <w:pict w14:anchorId="71A33F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150471"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9265EE3">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4081BDE" w14:textId="77777777" w:rsidR="00DF46E6" w:rsidRPr="00296529" w:rsidRDefault="00DF46E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621CED8" w14:textId="77777777" w:rsidR="00DF46E6" w:rsidRPr="00296529" w:rsidRDefault="00DF46E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A08FAFA" w14:textId="77777777" w:rsidR="00DF46E6" w:rsidRPr="00296529" w:rsidRDefault="00DF46E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5911FBD" w14:textId="77777777" w:rsidR="00DF46E6" w:rsidRDefault="00DF46E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B7B641D" w14:textId="77777777" w:rsidR="00DF46E6" w:rsidRDefault="00DF46E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7BC66D4" w14:textId="77777777" w:rsidR="00DF46E6" w:rsidRDefault="00DF46E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A2E3903"/>
    <w:multiLevelType w:val="multilevel"/>
    <w:tmpl w:val="903CB274"/>
    <w:lvl w:ilvl="0">
      <w:start w:val="1"/>
      <w:numFmt w:val="low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D242766"/>
    <w:multiLevelType w:val="multilevel"/>
    <w:tmpl w:val="5BE26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8B50B57"/>
    <w:multiLevelType w:val="multilevel"/>
    <w:tmpl w:val="A76C50D8"/>
    <w:lvl w:ilvl="0">
      <w:start w:val="1"/>
      <w:numFmt w:val="low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1685387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52729365">
    <w:abstractNumId w:val="17"/>
  </w:num>
  <w:num w:numId="3" w16cid:durableId="587931938">
    <w:abstractNumId w:val="25"/>
  </w:num>
  <w:num w:numId="4" w16cid:durableId="147471899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7216269">
    <w:abstractNumId w:val="8"/>
  </w:num>
  <w:num w:numId="6" w16cid:durableId="2112891702">
    <w:abstractNumId w:val="7"/>
  </w:num>
  <w:num w:numId="7" w16cid:durableId="778137797">
    <w:abstractNumId w:val="1"/>
  </w:num>
  <w:num w:numId="8" w16cid:durableId="1591502261">
    <w:abstractNumId w:val="14"/>
  </w:num>
  <w:num w:numId="9" w16cid:durableId="631596132">
    <w:abstractNumId w:val="27"/>
  </w:num>
  <w:num w:numId="10" w16cid:durableId="404643866">
    <w:abstractNumId w:val="2"/>
  </w:num>
  <w:num w:numId="11" w16cid:durableId="167864736">
    <w:abstractNumId w:val="20"/>
  </w:num>
  <w:num w:numId="12" w16cid:durableId="218709903">
    <w:abstractNumId w:val="3"/>
  </w:num>
  <w:num w:numId="13" w16cid:durableId="1196113312">
    <w:abstractNumId w:val="19"/>
  </w:num>
  <w:num w:numId="14" w16cid:durableId="1947887613">
    <w:abstractNumId w:val="9"/>
  </w:num>
  <w:num w:numId="15" w16cid:durableId="399138083">
    <w:abstractNumId w:val="23"/>
  </w:num>
  <w:num w:numId="16" w16cid:durableId="211313374">
    <w:abstractNumId w:val="5"/>
  </w:num>
  <w:num w:numId="17" w16cid:durableId="796945902">
    <w:abstractNumId w:val="24"/>
  </w:num>
  <w:num w:numId="18" w16cid:durableId="38747297">
    <w:abstractNumId w:val="16"/>
  </w:num>
  <w:num w:numId="19" w16cid:durableId="1209074531">
    <w:abstractNumId w:val="31"/>
  </w:num>
  <w:num w:numId="20" w16cid:durableId="1987319675">
    <w:abstractNumId w:val="13"/>
  </w:num>
  <w:num w:numId="21" w16cid:durableId="932057734">
    <w:abstractNumId w:val="11"/>
  </w:num>
  <w:num w:numId="22" w16cid:durableId="820925321">
    <w:abstractNumId w:val="15"/>
  </w:num>
  <w:num w:numId="23" w16cid:durableId="2038463442">
    <w:abstractNumId w:val="21"/>
  </w:num>
  <w:num w:numId="24" w16cid:durableId="1390155315">
    <w:abstractNumId w:val="29"/>
  </w:num>
  <w:num w:numId="25" w16cid:durableId="538670451">
    <w:abstractNumId w:val="4"/>
  </w:num>
  <w:num w:numId="26" w16cid:durableId="1960840765">
    <w:abstractNumId w:val="18"/>
  </w:num>
  <w:num w:numId="27" w16cid:durableId="422185472">
    <w:abstractNumId w:val="22"/>
  </w:num>
  <w:num w:numId="28" w16cid:durableId="132793304">
    <w:abstractNumId w:val="30"/>
  </w:num>
  <w:num w:numId="29" w16cid:durableId="855654539">
    <w:abstractNumId w:val="26"/>
  </w:num>
  <w:num w:numId="30" w16cid:durableId="1645236768">
    <w:abstractNumId w:val="12"/>
  </w:num>
  <w:num w:numId="31" w16cid:durableId="1728435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394650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15616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50BF"/>
    <w:rsid w:val="00030174"/>
    <w:rsid w:val="0004579C"/>
    <w:rsid w:val="000A47FA"/>
    <w:rsid w:val="000A65D3"/>
    <w:rsid w:val="000B1E33"/>
    <w:rsid w:val="000D689F"/>
    <w:rsid w:val="000E7B7B"/>
    <w:rsid w:val="000E7D62"/>
    <w:rsid w:val="00103357"/>
    <w:rsid w:val="00105919"/>
    <w:rsid w:val="00123C9F"/>
    <w:rsid w:val="00126190"/>
    <w:rsid w:val="00130F17"/>
    <w:rsid w:val="001320BF"/>
    <w:rsid w:val="00140FBD"/>
    <w:rsid w:val="00163BC4"/>
    <w:rsid w:val="00191062"/>
    <w:rsid w:val="00192B72"/>
    <w:rsid w:val="001A29D8"/>
    <w:rsid w:val="001A5CAA"/>
    <w:rsid w:val="001B0427"/>
    <w:rsid w:val="001B51D4"/>
    <w:rsid w:val="001D3A51"/>
    <w:rsid w:val="001E10D2"/>
    <w:rsid w:val="001E25B4"/>
    <w:rsid w:val="001E44FE"/>
    <w:rsid w:val="001E716D"/>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23D1B"/>
    <w:rsid w:val="0033343E"/>
    <w:rsid w:val="00334C01"/>
    <w:rsid w:val="003512C2"/>
    <w:rsid w:val="00371FB6"/>
    <w:rsid w:val="003763C1"/>
    <w:rsid w:val="00376BBE"/>
    <w:rsid w:val="00382B70"/>
    <w:rsid w:val="0039224F"/>
    <w:rsid w:val="003A43A4"/>
    <w:rsid w:val="003A7E18"/>
    <w:rsid w:val="003B3A3D"/>
    <w:rsid w:val="003C4C86"/>
    <w:rsid w:val="003C6258"/>
    <w:rsid w:val="003D3C86"/>
    <w:rsid w:val="003E2904"/>
    <w:rsid w:val="00401927"/>
    <w:rsid w:val="0041027F"/>
    <w:rsid w:val="00412475"/>
    <w:rsid w:val="00423789"/>
    <w:rsid w:val="00440F43"/>
    <w:rsid w:val="00441B6F"/>
    <w:rsid w:val="00446221"/>
    <w:rsid w:val="00450E62"/>
    <w:rsid w:val="004539DB"/>
    <w:rsid w:val="00471A80"/>
    <w:rsid w:val="004B38A9"/>
    <w:rsid w:val="004D0C72"/>
    <w:rsid w:val="004D305E"/>
    <w:rsid w:val="004D4277"/>
    <w:rsid w:val="00502516"/>
    <w:rsid w:val="00505F06"/>
    <w:rsid w:val="00506828"/>
    <w:rsid w:val="0053056E"/>
    <w:rsid w:val="00554FDA"/>
    <w:rsid w:val="00575523"/>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C311F"/>
    <w:rsid w:val="007D2288"/>
    <w:rsid w:val="007E088F"/>
    <w:rsid w:val="007F7B32"/>
    <w:rsid w:val="00804BC2"/>
    <w:rsid w:val="00807BDF"/>
    <w:rsid w:val="0081431A"/>
    <w:rsid w:val="00830A3E"/>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55DF"/>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46BCD"/>
    <w:rsid w:val="00A51431"/>
    <w:rsid w:val="00A539AD"/>
    <w:rsid w:val="00A67F64"/>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51A3"/>
    <w:rsid w:val="00C37E61"/>
    <w:rsid w:val="00C52CAA"/>
    <w:rsid w:val="00C70F1B"/>
    <w:rsid w:val="00C71A47"/>
    <w:rsid w:val="00C7316B"/>
    <w:rsid w:val="00C7464C"/>
    <w:rsid w:val="00C85588"/>
    <w:rsid w:val="00C8676D"/>
    <w:rsid w:val="00CB3E2D"/>
    <w:rsid w:val="00CD6755"/>
    <w:rsid w:val="00CD6856"/>
    <w:rsid w:val="00CE0089"/>
    <w:rsid w:val="00CE793C"/>
    <w:rsid w:val="00CF193C"/>
    <w:rsid w:val="00D1611A"/>
    <w:rsid w:val="00D173F1"/>
    <w:rsid w:val="00D24C44"/>
    <w:rsid w:val="00D610B8"/>
    <w:rsid w:val="00D74CB0"/>
    <w:rsid w:val="00D8295D"/>
    <w:rsid w:val="00DC2A65"/>
    <w:rsid w:val="00DE15F0"/>
    <w:rsid w:val="00DE5663"/>
    <w:rsid w:val="00DE78AA"/>
    <w:rsid w:val="00DF46E6"/>
    <w:rsid w:val="00E053D0"/>
    <w:rsid w:val="00E150B7"/>
    <w:rsid w:val="00E15994"/>
    <w:rsid w:val="00E3114E"/>
    <w:rsid w:val="00E31A70"/>
    <w:rsid w:val="00E35B02"/>
    <w:rsid w:val="00E6529A"/>
    <w:rsid w:val="00E66496"/>
    <w:rsid w:val="00E66B35"/>
    <w:rsid w:val="00E66E10"/>
    <w:rsid w:val="00E769F6"/>
    <w:rsid w:val="00E8407C"/>
    <w:rsid w:val="00E84F3C"/>
    <w:rsid w:val="00EA012C"/>
    <w:rsid w:val="00EC6A55"/>
    <w:rsid w:val="00ED0288"/>
    <w:rsid w:val="00EE52CB"/>
    <w:rsid w:val="00EF2EB4"/>
    <w:rsid w:val="00EF581D"/>
    <w:rsid w:val="00EF7FD8"/>
    <w:rsid w:val="00F06F59"/>
    <w:rsid w:val="00F17988"/>
    <w:rsid w:val="00F469F0"/>
    <w:rsid w:val="00F53273"/>
    <w:rsid w:val="00F755E4"/>
    <w:rsid w:val="00F77D02"/>
    <w:rsid w:val="00FB3A86"/>
    <w:rsid w:val="00FD36C8"/>
    <w:rsid w:val="00FD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FE65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1E71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D24C44"/>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24C44"/>
    <w:rPr>
      <w:b/>
      <w:bCs/>
    </w:rPr>
  </w:style>
  <w:style w:type="character" w:customStyle="1" w:styleId="katex-error">
    <w:name w:val="katex-error"/>
    <w:basedOn w:val="DefaultParagraphFont"/>
    <w:rsid w:val="00D24C44"/>
  </w:style>
  <w:style w:type="character" w:customStyle="1" w:styleId="katex-mathml">
    <w:name w:val="katex-mathml"/>
    <w:basedOn w:val="DefaultParagraphFont"/>
    <w:rsid w:val="00D24C44"/>
  </w:style>
  <w:style w:type="character" w:customStyle="1" w:styleId="vlist-s">
    <w:name w:val="vlist-s"/>
    <w:basedOn w:val="DefaultParagraphFont"/>
    <w:rsid w:val="00D24C44"/>
  </w:style>
  <w:style w:type="paragraph" w:customStyle="1" w:styleId="pdq2pgselectionanchorcontainer">
    <w:name w:val="pdq2pg_selectionanchorcontainer"/>
    <w:basedOn w:val="Normal"/>
    <w:rsid w:val="00807BDF"/>
    <w:pPr>
      <w:spacing w:before="100" w:beforeAutospacing="1" w:after="100" w:afterAutospacing="1"/>
    </w:pPr>
    <w:rPr>
      <w:rFonts w:ascii="Times New Roman" w:hAnsi="Times New Roman"/>
      <w:sz w:val="24"/>
      <w:szCs w:val="24"/>
    </w:rPr>
  </w:style>
  <w:style w:type="character" w:customStyle="1" w:styleId="Heading2Char">
    <w:name w:val="Heading 2 Char"/>
    <w:basedOn w:val="DefaultParagraphFont"/>
    <w:link w:val="Heading2"/>
    <w:semiHidden/>
    <w:rsid w:val="001E716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45058601">
      <w:bodyDiv w:val="1"/>
      <w:marLeft w:val="0"/>
      <w:marRight w:val="0"/>
      <w:marTop w:val="0"/>
      <w:marBottom w:val="0"/>
      <w:divBdr>
        <w:top w:val="none" w:sz="0" w:space="0" w:color="auto"/>
        <w:left w:val="none" w:sz="0" w:space="0" w:color="auto"/>
        <w:bottom w:val="none" w:sz="0" w:space="0" w:color="auto"/>
        <w:right w:val="none" w:sz="0" w:space="0" w:color="auto"/>
      </w:divBdr>
    </w:div>
    <w:div w:id="493422880">
      <w:bodyDiv w:val="1"/>
      <w:marLeft w:val="0"/>
      <w:marRight w:val="0"/>
      <w:marTop w:val="0"/>
      <w:marBottom w:val="0"/>
      <w:divBdr>
        <w:top w:val="none" w:sz="0" w:space="0" w:color="auto"/>
        <w:left w:val="none" w:sz="0" w:space="0" w:color="auto"/>
        <w:bottom w:val="none" w:sz="0" w:space="0" w:color="auto"/>
        <w:right w:val="none" w:sz="0" w:space="0" w:color="auto"/>
      </w:divBdr>
    </w:div>
    <w:div w:id="607929557">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11079403">
      <w:bodyDiv w:val="1"/>
      <w:marLeft w:val="0"/>
      <w:marRight w:val="0"/>
      <w:marTop w:val="0"/>
      <w:marBottom w:val="0"/>
      <w:divBdr>
        <w:top w:val="none" w:sz="0" w:space="0" w:color="auto"/>
        <w:left w:val="none" w:sz="0" w:space="0" w:color="auto"/>
        <w:bottom w:val="none" w:sz="0" w:space="0" w:color="auto"/>
        <w:right w:val="none" w:sz="0" w:space="0" w:color="auto"/>
      </w:divBdr>
    </w:div>
    <w:div w:id="1413041859">
      <w:bodyDiv w:val="1"/>
      <w:marLeft w:val="0"/>
      <w:marRight w:val="0"/>
      <w:marTop w:val="0"/>
      <w:marBottom w:val="0"/>
      <w:divBdr>
        <w:top w:val="none" w:sz="0" w:space="0" w:color="auto"/>
        <w:left w:val="none" w:sz="0" w:space="0" w:color="auto"/>
        <w:bottom w:val="none" w:sz="0" w:space="0" w:color="auto"/>
        <w:right w:val="none" w:sz="0" w:space="0" w:color="auto"/>
      </w:divBdr>
    </w:div>
    <w:div w:id="1423643524">
      <w:bodyDiv w:val="1"/>
      <w:marLeft w:val="0"/>
      <w:marRight w:val="0"/>
      <w:marTop w:val="0"/>
      <w:marBottom w:val="0"/>
      <w:divBdr>
        <w:top w:val="none" w:sz="0" w:space="0" w:color="auto"/>
        <w:left w:val="none" w:sz="0" w:space="0" w:color="auto"/>
        <w:bottom w:val="none" w:sz="0" w:space="0" w:color="auto"/>
        <w:right w:val="none" w:sz="0" w:space="0" w:color="auto"/>
      </w:divBdr>
    </w:div>
    <w:div w:id="1446577374">
      <w:bodyDiv w:val="1"/>
      <w:marLeft w:val="0"/>
      <w:marRight w:val="0"/>
      <w:marTop w:val="0"/>
      <w:marBottom w:val="0"/>
      <w:divBdr>
        <w:top w:val="none" w:sz="0" w:space="0" w:color="auto"/>
        <w:left w:val="none" w:sz="0" w:space="0" w:color="auto"/>
        <w:bottom w:val="none" w:sz="0" w:space="0" w:color="auto"/>
        <w:right w:val="none" w:sz="0" w:space="0" w:color="auto"/>
      </w:divBdr>
    </w:div>
    <w:div w:id="1710496863">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7900524">
      <w:bodyDiv w:val="1"/>
      <w:marLeft w:val="0"/>
      <w:marRight w:val="0"/>
      <w:marTop w:val="0"/>
      <w:marBottom w:val="0"/>
      <w:divBdr>
        <w:top w:val="none" w:sz="0" w:space="0" w:color="auto"/>
        <w:left w:val="none" w:sz="0" w:space="0" w:color="auto"/>
        <w:bottom w:val="none" w:sz="0" w:space="0" w:color="auto"/>
        <w:right w:val="none" w:sz="0" w:space="0" w:color="auto"/>
      </w:divBdr>
    </w:div>
    <w:div w:id="21110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9734/ijecc/2025/v15i44804"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56557/ajopss/2021/v6i14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6/j.heliyon.2024.e26590"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1007/s11356-024-33698-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footer" Target="footer4.xml"/><Relationship Id="rId26" Type="http://schemas.openxmlformats.org/officeDocument/2006/relationships/hyperlink" Target="https://doi.org/10.1016/j.foodchem.2014.10.097" TargetMode="External"/><Relationship Id="rId27" Type="http://schemas.openxmlformats.org/officeDocument/2006/relationships/hyperlink" Target="https://doi.org/10.67254/0wt7n564" TargetMode="External"/><Relationship Id="rId28" Type="http://schemas.openxmlformats.org/officeDocument/2006/relationships/hyperlink" Target="https://doi.org/10.1016/j.jenvman.2024.122523" TargetMode="External"/><Relationship Id="rId29" Type="http://schemas.openxmlformats.org/officeDocument/2006/relationships/hyperlink" Target="https://doi.org/10.1016/j.marpolbul.2016.06.027" TargetMode="External"/><Relationship Id="rId30" Type="http://schemas.openxmlformats.org/officeDocument/2006/relationships/hyperlink" Target="https://doi.org/10.1007/s13280-020-01432-7" TargetMode="External"/><Relationship Id="rId31" Type="http://schemas.openxmlformats.org/officeDocument/2006/relationships/hyperlink" Target="https://doi.org/10.1016/j.heliyon.2020.e04691" TargetMode="External"/><Relationship Id="rId32" Type="http://schemas.openxmlformats.org/officeDocument/2006/relationships/hyperlink" Target="https://doi.org/10.1016/j.scitotenv.2021.146887" TargetMode="External"/><Relationship Id="rId33" Type="http://schemas.openxmlformats.org/officeDocument/2006/relationships/hyperlink" Target="https://doi.org/10.1080/15226514.2019.1566885" TargetMode="External"/><Relationship Id="rId34" Type="http://schemas.openxmlformats.org/officeDocument/2006/relationships/hyperlink" Target="https://doi.org/10.1081/ASR-100100844" TargetMode="External"/><Relationship Id="rId35" Type="http://schemas.openxmlformats.org/officeDocument/2006/relationships/hyperlink" Target="https://doi.org/10.1186/s40529-014-0054-6" TargetMode="External"/><Relationship Id="rId36" Type="http://schemas.openxmlformats.org/officeDocument/2006/relationships/hyperlink" Target="https://doi.org/10.1080/15226514.2020.1774499" TargetMode="External"/><Relationship Id="rId37" Type="http://schemas.openxmlformats.org/officeDocument/2006/relationships/hyperlink" Target="https://doi.org/10.18280/ijsdp.160715" TargetMode="External"/><Relationship Id="rId38" Type="http://schemas.openxmlformats.org/officeDocument/2006/relationships/hyperlink" Target="https://doi.org/10.1080/15226514.2016.1216078" TargetMode="External"/><Relationship Id="rId39" Type="http://schemas.openxmlformats.org/officeDocument/2006/relationships/hyperlink" Target="https://doi.org/10.3390/ijerph171553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E81B7-36D4-4B7C-A7A0-AC450C5A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73</TotalTime>
  <Pages>30</Pages>
  <Words>8743</Words>
  <Characters>49839</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58466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15</cp:revision>
  <cp:lastPrinted>1999-07-06T11:00:00Z</cp:lastPrinted>
  <dcterms:created xsi:type="dcterms:W3CDTF">2026-09-18T04:08:00Z</dcterms:created>
  <dcterms:modified xsi:type="dcterms:W3CDTF">2026-09-24T10:26:00Z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1552a516-398d-420f-bedc-ab20b7c34a8d</vt:lpwstr>
  </property>
</Properties>
</file>