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7340F" w:rsidRPr="00996200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996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996200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96200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996200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996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6B31C4C8" w:rsidR="0067340F" w:rsidRPr="00996200" w:rsidRDefault="001C1C9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Ms_JOGRESS_15815</w:t>
            </w:r>
          </w:p>
        </w:tc>
      </w:tr>
      <w:tr w:rsidR="0067340F" w:rsidRPr="00996200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996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0475A3BE" w:rsidR="0067340F" w:rsidRPr="00996200" w:rsidRDefault="001C1C9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>Theorising Prompt Humanities: Human–AI Interpretation and Postcolonial Knowledge in Amitav Ghosh's The Calcutta Chromosome</w:t>
            </w:r>
          </w:p>
        </w:tc>
      </w:tr>
      <w:tr w:rsidR="0067340F" w:rsidRPr="00996200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996200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996200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996200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996200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996200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996200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996200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7340F" w:rsidRPr="00996200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99620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96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9620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996200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34660A11" w:rsidR="0067340F" w:rsidRPr="00996200" w:rsidRDefault="002E61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</w:rPr>
              <w:t>This manuscript introduces an innovative conceptual framework, Prompt Humanities, bridging digital humanities, postcolonial theory, and generative AI studies. It addresses a critical research gap by treating prompting not merely as a technical optimization task, but as an interpretive, dialogic, and cultural act grounded in humanistic theory.</w:t>
            </w:r>
          </w:p>
        </w:tc>
        <w:tc>
          <w:tcPr>
            <w:tcW w:w="1667" w:type="pct"/>
          </w:tcPr>
          <w:p w14:paraId="02BA457E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3AB2C9" w14:textId="77777777" w:rsidR="0067340F" w:rsidRPr="00996200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99620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9620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996200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996200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996200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96200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996200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996200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996200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996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109A0580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7FD1A75C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ABC745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290E668A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28808830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65F55AEC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82F4E0E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10AE0680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FA1A7E5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7F3C0C27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7F38716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3DAB2217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694791D0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EB7E86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996200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996200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308B5380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7E91B6F7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Does the discussion relate findings to existing literature?</w:t>
            </w:r>
          </w:p>
          <w:p w14:paraId="3FCE821C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62464F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6C0F2705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0463F2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1C58DCA3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936BD0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18150966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B946DC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7A1639A9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185D07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996200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996200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249CBDD7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39A46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B5C3036" w14:textId="7145FA35" w:rsidR="0067340F" w:rsidRPr="00996200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AB2693F" w14:textId="77777777" w:rsidR="0067340F" w:rsidRPr="00996200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996200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96200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996200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7340F" w:rsidRPr="00996200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996200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996200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96200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96200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96200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996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996200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996200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5E416169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</w:rPr>
              <w:t>YES. The title accurately encapsulates the theoretical framework, primary text, and thematic focus of the study.</w:t>
            </w:r>
          </w:p>
        </w:tc>
        <w:tc>
          <w:tcPr>
            <w:tcW w:w="1667" w:type="pct"/>
          </w:tcPr>
          <w:p w14:paraId="7E9F3E03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6A7A190E" w:rsidR="0067340F" w:rsidRPr="00996200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8E19069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996200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30DA810F" w:rsidR="0067340F" w:rsidRPr="00996200" w:rsidRDefault="002E61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</w:rPr>
              <w:t>YES. The abstract summarizes the core argument, theoretical influences, methodology, and primary case study clearly.</w:t>
            </w:r>
          </w:p>
        </w:tc>
        <w:tc>
          <w:tcPr>
            <w:tcW w:w="1667" w:type="pct"/>
          </w:tcPr>
          <w:p w14:paraId="7B642AB0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996200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96200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996200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43B75B0B" w14:textId="77777777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</w:rPr>
              <w:t>NO (Needs Revision).</w:t>
            </w:r>
            <w:r w:rsidRPr="00996200">
              <w:rPr>
                <w:rFonts w:ascii="Arial" w:hAnsi="Arial" w:cs="Arial"/>
                <w:bCs/>
                <w:sz w:val="20"/>
                <w:szCs w:val="20"/>
              </w:rPr>
              <w:t xml:space="preserve"> While the theoretical reasoning is compelling, there are significant structural and citation issues that must be corrected</w:t>
            </w:r>
          </w:p>
          <w:p w14:paraId="216AE368" w14:textId="77777777" w:rsidR="00557D29" w:rsidRPr="00996200" w:rsidRDefault="00557D29" w:rsidP="00557D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•  Structural Sequencing: Section 6 ("Methodology") is placed after the primary literary analysis (Section 4) and secondary applications (Section 5). The methodology must precede the textual analysis. </w:t>
            </w:r>
          </w:p>
          <w:p w14:paraId="253F6DE5" w14:textId="1CA2E1C1" w:rsidR="00557D29" w:rsidRPr="00996200" w:rsidRDefault="00557D29" w:rsidP="00557D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•  Conceptual Over-expansion: Section 5 briefly mentions Frankenstein, Borges, Calvino, Rushdie, and Tagore without sufficient textual analysis, weakening the manuscript's rigor.</w:t>
            </w:r>
          </w:p>
        </w:tc>
        <w:tc>
          <w:tcPr>
            <w:tcW w:w="1667" w:type="pct"/>
          </w:tcPr>
          <w:p w14:paraId="0D67B712" w14:textId="77777777" w:rsidR="0067340F" w:rsidRPr="00996200" w:rsidRDefault="0067340F" w:rsidP="00557D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996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996200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996200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A33D49" w14:textId="77777777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996200">
              <w:rPr>
                <w:rFonts w:ascii="Arial" w:hAnsi="Arial" w:cs="Arial"/>
                <w:bCs/>
                <w:sz w:val="20"/>
                <w:szCs w:val="20"/>
              </w:rPr>
              <w:t xml:space="preserve"> The reference list contains severe citation errors and irrelevant entries that must be addressed immediately</w:t>
            </w:r>
          </w:p>
          <w:p w14:paraId="1A39CE44" w14:textId="77777777" w:rsidR="00557D29" w:rsidRPr="00996200" w:rsidRDefault="00557D29" w:rsidP="00557D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•  Irrelevant / Hallucinated Citations: Entries such as Guevara Hernández &amp; Mora Romero (2025) (focused on criminal chain of custody) and </w:t>
            </w:r>
            <w:proofErr w:type="spellStart"/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Myshko</w:t>
            </w:r>
            <w:proofErr w:type="spellEnd"/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(2025) (meta-monism) bear no relation to literary theory, digital humanities, or AI. </w:t>
            </w:r>
          </w:p>
          <w:p w14:paraId="36AAD754" w14:textId="77777777" w:rsidR="00557D29" w:rsidRPr="00996200" w:rsidRDefault="00557D29" w:rsidP="00557D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•  Inappropriate In-Text Sources: In Section 5.2, Jorge Luis Borges's literary work is cited using a regional student newspaper (The Southerner, 2018). Standard scholarly editions or peer-reviewed literature must be cited instead. </w:t>
            </w:r>
          </w:p>
          <w:p w14:paraId="0B59DE5E" w14:textId="53137613" w:rsidR="00557D29" w:rsidRPr="00996200" w:rsidRDefault="00557D29" w:rsidP="00557D2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•  Inappropriate Attribution: </w:t>
            </w:r>
            <w:proofErr w:type="spellStart"/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Kosmaoglou</w:t>
            </w:r>
            <w:proofErr w:type="spellEnd"/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(2016) is cited for Roland Barthes's "The Death of the Author" via a video blog post.</w:t>
            </w:r>
          </w:p>
        </w:tc>
        <w:tc>
          <w:tcPr>
            <w:tcW w:w="1667" w:type="pct"/>
          </w:tcPr>
          <w:p w14:paraId="11B4826F" w14:textId="77777777" w:rsidR="0067340F" w:rsidRPr="00996200" w:rsidRDefault="0067340F" w:rsidP="00557D2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996200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996200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996200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996200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996200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688A2BEE" w:rsidR="0067340F" w:rsidRPr="00996200" w:rsidRDefault="002E619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6200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996200">
              <w:rPr>
                <w:rFonts w:ascii="Arial" w:hAnsi="Arial" w:cs="Arial"/>
                <w:bCs/>
                <w:sz w:val="20"/>
                <w:szCs w:val="20"/>
              </w:rPr>
              <w:t xml:space="preserve"> The authors explicitly declare the use of Grammarly and ChatGPT for grammatical refinement and reference formatting in compliance with AI disclosure guidelines.</w:t>
            </w:r>
          </w:p>
        </w:tc>
        <w:tc>
          <w:tcPr>
            <w:tcW w:w="1667" w:type="pct"/>
          </w:tcPr>
          <w:p w14:paraId="4396F274" w14:textId="77777777" w:rsidR="0067340F" w:rsidRPr="00996200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845025" w14:textId="77777777" w:rsidR="00996200" w:rsidRPr="00996200" w:rsidRDefault="00996200" w:rsidP="00996200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A036DCB" w14:textId="77777777" w:rsidR="00996200" w:rsidRPr="00996200" w:rsidRDefault="00996200" w:rsidP="00996200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996200">
        <w:rPr>
          <w:rFonts w:ascii="Arial" w:hAnsi="Arial" w:cs="Arial"/>
          <w:b/>
          <w:u w:val="single"/>
        </w:rPr>
        <w:t>Reviewer details:</w:t>
      </w:r>
    </w:p>
    <w:p w14:paraId="4097B53A" w14:textId="77777777" w:rsidR="00996200" w:rsidRPr="00996200" w:rsidRDefault="00996200" w:rsidP="00996200">
      <w:pPr>
        <w:rPr>
          <w:rFonts w:ascii="Arial" w:hAnsi="Arial" w:cs="Arial"/>
          <w:sz w:val="20"/>
          <w:szCs w:val="20"/>
        </w:rPr>
      </w:pPr>
      <w:r w:rsidRPr="00996200">
        <w:rPr>
          <w:rFonts w:ascii="Arial" w:hAnsi="Arial" w:cs="Arial"/>
          <w:color w:val="000000"/>
          <w:sz w:val="20"/>
          <w:szCs w:val="20"/>
        </w:rPr>
        <w:t xml:space="preserve">Kulvinder Singh, Baba Farid College Of Engineering And Technology </w:t>
      </w:r>
      <w:r w:rsidRPr="00996200">
        <w:rPr>
          <w:rFonts w:ascii="Arial" w:hAnsi="Arial" w:cs="Arial"/>
          <w:sz w:val="20"/>
          <w:szCs w:val="20"/>
        </w:rPr>
        <w:t xml:space="preserve">, </w:t>
      </w:r>
      <w:r w:rsidRPr="00996200">
        <w:rPr>
          <w:rFonts w:ascii="Arial" w:hAnsi="Arial" w:cs="Arial"/>
          <w:color w:val="000000"/>
          <w:sz w:val="20"/>
          <w:szCs w:val="20"/>
        </w:rPr>
        <w:t>India</w:t>
      </w:r>
    </w:p>
    <w:p w14:paraId="249C0E9B" w14:textId="77777777" w:rsidR="0067340F" w:rsidRPr="00996200" w:rsidRDefault="0067340F" w:rsidP="005232ED">
      <w:pPr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99620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2F35D" w14:textId="77777777" w:rsidR="00906698" w:rsidRDefault="00906698">
      <w:r>
        <w:separator/>
      </w:r>
    </w:p>
  </w:endnote>
  <w:endnote w:type="continuationSeparator" w:id="0">
    <w:p w14:paraId="411B0CCC" w14:textId="77777777" w:rsidR="00906698" w:rsidRDefault="00906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BC840E8" w14:textId="77777777" w:rsidR="0067340F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CBE75" w14:textId="77777777" w:rsidR="00906698" w:rsidRDefault="00906698">
      <w:r>
        <w:separator/>
      </w:r>
    </w:p>
  </w:footnote>
  <w:footnote w:type="continuationSeparator" w:id="0">
    <w:p w14:paraId="22175253" w14:textId="77777777" w:rsidR="00906698" w:rsidRDefault="009066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4030913">
    <w:abstractNumId w:val="4"/>
  </w:num>
  <w:num w:numId="2" w16cid:durableId="1092623926">
    <w:abstractNumId w:val="8"/>
  </w:num>
  <w:num w:numId="3" w16cid:durableId="395395494">
    <w:abstractNumId w:val="7"/>
  </w:num>
  <w:num w:numId="4" w16cid:durableId="9110967">
    <w:abstractNumId w:val="9"/>
  </w:num>
  <w:num w:numId="5" w16cid:durableId="1657798995">
    <w:abstractNumId w:val="6"/>
  </w:num>
  <w:num w:numId="6" w16cid:durableId="1746224687">
    <w:abstractNumId w:val="0"/>
  </w:num>
  <w:num w:numId="7" w16cid:durableId="1355106601">
    <w:abstractNumId w:val="3"/>
  </w:num>
  <w:num w:numId="8" w16cid:durableId="1277953683">
    <w:abstractNumId w:val="11"/>
  </w:num>
  <w:num w:numId="9" w16cid:durableId="1320384838">
    <w:abstractNumId w:val="10"/>
  </w:num>
  <w:num w:numId="10" w16cid:durableId="604775527">
    <w:abstractNumId w:val="2"/>
  </w:num>
  <w:num w:numId="11" w16cid:durableId="21323343">
    <w:abstractNumId w:val="1"/>
  </w:num>
  <w:num w:numId="12" w16cid:durableId="226644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340F"/>
    <w:rsid w:val="0001525C"/>
    <w:rsid w:val="000419BC"/>
    <w:rsid w:val="000465E8"/>
    <w:rsid w:val="000D16BC"/>
    <w:rsid w:val="001C1C9C"/>
    <w:rsid w:val="002469AD"/>
    <w:rsid w:val="002B318F"/>
    <w:rsid w:val="002E6199"/>
    <w:rsid w:val="00366DB1"/>
    <w:rsid w:val="003A69D4"/>
    <w:rsid w:val="003B23E7"/>
    <w:rsid w:val="003D373B"/>
    <w:rsid w:val="005232ED"/>
    <w:rsid w:val="00554D7E"/>
    <w:rsid w:val="00557D29"/>
    <w:rsid w:val="00574EFE"/>
    <w:rsid w:val="00597095"/>
    <w:rsid w:val="0067340F"/>
    <w:rsid w:val="006E32EC"/>
    <w:rsid w:val="00701CC0"/>
    <w:rsid w:val="007C4AC8"/>
    <w:rsid w:val="007D04BA"/>
    <w:rsid w:val="007F6166"/>
    <w:rsid w:val="00851641"/>
    <w:rsid w:val="00906698"/>
    <w:rsid w:val="00996200"/>
    <w:rsid w:val="00A14108"/>
    <w:rsid w:val="00AD764D"/>
    <w:rsid w:val="00BB143A"/>
    <w:rsid w:val="00C2595C"/>
    <w:rsid w:val="00C97032"/>
    <w:rsid w:val="00D5248C"/>
    <w:rsid w:val="00D961FB"/>
    <w:rsid w:val="00E33ED9"/>
    <w:rsid w:val="00F15454"/>
    <w:rsid w:val="00FC47A4"/>
    <w:rsid w:val="00FD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996200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922</Words>
  <Characters>5259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6169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2026-10-09T09:58:00Z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