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297F5F" w14:textId="77777777" w:rsidR="001E1693" w:rsidRDefault="001E1693" w:rsidP="001E1693">
      <w:pPr>
        <w:spacing w:before="100" w:beforeAutospacing="1" w:after="100" w:afterAutospacing="1" w:line="240" w:lineRule="auto"/>
        <w:jc w:val="both"/>
        <w:rPr>
          <w:rFonts w:ascii="Times New Roman" w:hAnsi="Times New Roman" w:cs="Times New Roman"/>
          <w:b/>
          <w:bCs/>
          <w:sz w:val="24"/>
          <w:szCs w:val="24"/>
        </w:rPr>
      </w:pPr>
      <w:r w:rsidRPr="00AD2F60">
        <w:rPr>
          <w:rFonts w:ascii="Times New Roman" w:hAnsi="Times New Roman" w:cs="Times New Roman"/>
          <w:b/>
          <w:bCs/>
          <w:sz w:val="24"/>
          <w:szCs w:val="24"/>
        </w:rPr>
        <w:t>Integrated Physicochemical, Hydrochemical, Trace-Element and Microbiological Assessment of Groundwater across Contrasting Geological Settings</w:t>
      </w:r>
    </w:p>
    <w:p w14:paraId="047EFE1C" w14:textId="4CC68CA9" w:rsidR="007A790E" w:rsidRPr="00AD2F60" w:rsidRDefault="007A790E" w:rsidP="001E1693">
      <w:pPr>
        <w:spacing w:before="100" w:beforeAutospacing="1" w:after="100" w:afterAutospacing="1" w:line="240" w:lineRule="auto"/>
        <w:jc w:val="both"/>
        <w:rPr>
          <w:rFonts w:ascii="Times New Roman" w:hAnsi="Times New Roman" w:cs="Times New Roman"/>
          <w:b/>
          <w:bCs/>
          <w:sz w:val="24"/>
          <w:szCs w:val="24"/>
        </w:rPr>
      </w:pPr>
    </w:p>
    <w:p w14:paraId="5B081F6D"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Abstract</w:t>
      </w:r>
    </w:p>
    <w:p w14:paraId="61AA701D" w14:textId="77777777" w:rsidR="001E1693"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Groundwater is an important source of domestic water supply, but its quality may vary according to geological setting, mineral–water interactions and microbiological contamination. This study evaluated the physicochemical, hydrochemical, trace-element and microbiological characteristics of groundwater across Basement Complex, Younger Granite, shale/sedimentary and weathered-regolith geological settings. Groundwater samples were analysed for pH, electrical conductivity (EC), total dissolved solids (TDS), turbidity, total hardness, alkalinity, major ions, selected trace and potentially toxic elements, heterotrophic bacteria, total coliforms, faecal coliforms, </w:t>
      </w:r>
      <w:r w:rsidRPr="00013089">
        <w:rPr>
          <w:rFonts w:ascii="Times New Roman" w:eastAsia="Times New Roman" w:hAnsi="Times New Roman" w:cs="Times New Roman"/>
          <w:i/>
          <w:iCs/>
          <w:sz w:val="24"/>
          <w:szCs w:val="24"/>
          <w:lang w:eastAsia="en-GB"/>
        </w:rPr>
        <w:t>Escherichia coli</w:t>
      </w:r>
      <w:r w:rsidRPr="00013089">
        <w:rPr>
          <w:rFonts w:ascii="Times New Roman" w:eastAsia="Times New Roman" w:hAnsi="Times New Roman" w:cs="Times New Roman"/>
          <w:sz w:val="24"/>
          <w:szCs w:val="24"/>
          <w:lang w:eastAsia="en-GB"/>
        </w:rPr>
        <w:t xml:space="preserve"> and enterococci. Hydrochemical facies were determined from the major-ion composition, while differences among geological settings were evaluated using one-way analysis of variance and relationships between chemical and microbiological variables were assessed using Pearson's correlation analysis. The groundwater was slightly acidic to near neutral, with pH values ranging from 6.21 ± 0.14 to 6.78 ± 0.16. Basement Complex groundwater exhibited the highest EC (486 ± 42 µS/cm), TDS (312 ± 28 mg/L), total hardness (146 ± 12 mg/L), calcium (48.6 ± 4.2 mg/L), magnesium (18.4 ± 2.1 mg/L) and bicarbonate (118 ± 10 mg/L). The shale/sedimentary setting recorded the highest concentrations of several trace elements, including Pb (0.014 ± 0.003 mg/L), Cd (0.0026 ± 0.0005 mg/L), Cr (0.018 ± 0.004 mg/L) and Ni (0.021 ± 0.004 mg/L). Ca–Mg–HCO₃ was the predominant hydrochemical facies. Microbiological contamination varied spatially, with weathered-regolith groundwater recording the highest total coliforms (31 ± 7 CFU/100 mL), faecal coliforms (15 ± 4 CFU/100 mL),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(11 ± 3 CFU/100 mL) and enterococci (9 ± 3 CFU/100 mL). Significant differences occurred among geological settings for the assessed physicochemical, chemical and microbiological parameters (p &lt; 0.05). Turbidity and nitrate showed positive associations with the principal microbiological indicators. The findings demonstrate that geological setting influences groundwater mineralisation and trace-element distribution, while microbiological quality may respond to additional factors associated with groundwater vulnerability and contamination pathways. Integrated chemical and microbiological monitoring is therefore important for evaluating groundwater quality and its suitability for domestic use.</w:t>
      </w:r>
    </w:p>
    <w:p w14:paraId="629BE85E"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1.0 INTRODUCTION</w:t>
      </w:r>
    </w:p>
    <w:p w14:paraId="122E4434"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Groundwater constitutes an important component of freshwater resources and serves as a major source of water for domestic, agricultural and other human activities, particularly in areas where surface-water systems are unreliable or vulnerable to contamination. Its chemical composition is controlled by a combination of geological characteristics, mineral dissolution, water–rock interaction, recharge conditions, residence time and anthropogenic influences. Consequently, groundwater from different geological environments may exhibit substantial differences in mineralisation, ionic composition and contaminant concentrations even within relatively close geographical areas. Hydrochemical assessment therefore provides an important means of understanding the processes controlling groundwater quality and its suitability for human use.</w:t>
      </w:r>
    </w:p>
    <w:p w14:paraId="13FB4181"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lastRenderedPageBreak/>
        <w:t>The importance of groundwater quality assessment is particularly relevant in Nigeria, where increasing population, urbanisation, agricultural activities and industrial development place pressure on available water resources. Investigations of water resources in different parts of the Niger Delta have documented variations in physicochemical characteristics and contamination profiles associated with local environmental conditions. For example, hydrochemical investigations of drinking-water sources in Brass Island demonstrated the importance of evaluating both physicochemical characteristics and potentially hazardous constituents when assessing water quality in coastal environments (Ekesiobi et al., 2025). Similarly, assessment of borehole water along pipeline routes in Rivers State demonstrated the usefulness of integrated water-quality evaluation for identifying variations in groundwater conditions within urban environments (Elele et al., 2025).</w:t>
      </w:r>
    </w:p>
    <w:p w14:paraId="290CB7B3"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geological setting of an aquifer is particularly important because groundwater acquires much of its dissolved chemical load through interaction with the surrounding geological materials. Weathering of silicate and carbonate-bearing minerals can release calcium, magnesium, sodium, potassium and bicarbonate into groundwater, while dissolution of other mineral phases may contribute chloride and sulphate. The resulting ionic composition can therefore provide information about the dominant hydrogeochemical processes operating within an aquifer. Comparative hydrochemical studies in Nigerian environments have similarly demonstrated that variations in geological and environmental conditions influence the distribution of dissolved constituents in water resources (Okagbare et al., 2025; Ekpe et al., 2025).</w:t>
      </w:r>
    </w:p>
    <w:p w14:paraId="67F00C97"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Groundwater quality cannot, however, be evaluated exclusively from its mineral composition. Trace and potentially toxic elements constitute an additional concern because metals such as lead, cadmium, chromium, nickel, manganese and iron may originate from natural geological sources or anthropogenic activities. Their occurrence in aquatic systems is of environmental importance because persistent metals may accumulate in environmental matrices and biota. Studies from the Niger Delta have reported heavy-metal contamination in sediments, surface waters and aquatic organisms, illustrating the need for systematic monitoring of potentially toxic elements in water-resource systems (Anarado et al., 2023; Ekpe et al., 2026).</w:t>
      </w:r>
    </w:p>
    <w:p w14:paraId="7F1FF064"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Anthropogenic activities may further modify groundwater quality through the movement of contaminants from the land surface into subsurface systems. Petroleum-related activities, industrial discharges, agricultural practices and atmospheric deposition can introduce metals, hydrocarbons and other contaminants into aquatic environments. Evidence from Rivers State has demonstrated contamination of surface-water systems by petroleum hydrocarbons and heavy metals, while atmospheric deposition associated with gas flaring has also been identified as a potential source of soot and heavy metals to aquatic environments (Isueken et al., 2025; Aghanwa et al., 2025). These observations are relevant to groundwater investigations because contaminants introduced at the surface may migrate into groundwater depending on soil characteristics, permeability, recharge and hydrogeological conditions.</w:t>
      </w:r>
    </w:p>
    <w:p w14:paraId="07562FF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Agricultural activities represent another potential source of chemical contamination. Nutrients and pesticides introduced into agricultural environments may be transported through irrigation and drainage systems and may ultimately affect water resources. The transport of pesticides and nutrients through irrigation water has been documented in Rivers State, demonstrating the potential for agricultural activities to alter the chemical characteristics of receiving environments (Ekpe et al., 2025). Nitrate is particularly useful in groundwater assessment </w:t>
      </w:r>
      <w:r w:rsidRPr="00013089">
        <w:rPr>
          <w:rFonts w:ascii="Times New Roman" w:eastAsia="Times New Roman" w:hAnsi="Times New Roman" w:cs="Times New Roman"/>
          <w:sz w:val="24"/>
          <w:szCs w:val="24"/>
          <w:lang w:eastAsia="en-GB"/>
        </w:rPr>
        <w:lastRenderedPageBreak/>
        <w:t>because elevated concentrations may indicate anthropogenic inputs and may also reflect vulnerability to surface-derived contamination.</w:t>
      </w:r>
    </w:p>
    <w:p w14:paraId="107B6935"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Microbiological quality represents a separate but equally important dimension of groundwater safety. Groundwater is frequently regarded as naturally protected from microbial contamination; however, shallow aquifers, poorly protected wells, inadequate sanitary conditions and rapid infiltration can permit faecal microorganisms to enter groundwater. The presence of total coliforms, faecal coliforms and </w:t>
      </w:r>
      <w:r w:rsidRPr="00013089">
        <w:rPr>
          <w:rFonts w:ascii="Times New Roman" w:eastAsia="Times New Roman" w:hAnsi="Times New Roman" w:cs="Times New Roman"/>
          <w:i/>
          <w:iCs/>
          <w:sz w:val="24"/>
          <w:szCs w:val="24"/>
          <w:lang w:eastAsia="en-GB"/>
        </w:rPr>
        <w:t>Escherichia coli</w:t>
      </w:r>
      <w:r w:rsidRPr="00013089">
        <w:rPr>
          <w:rFonts w:ascii="Times New Roman" w:eastAsia="Times New Roman" w:hAnsi="Times New Roman" w:cs="Times New Roman"/>
          <w:sz w:val="24"/>
          <w:szCs w:val="24"/>
          <w:lang w:eastAsia="en-GB"/>
        </w:rPr>
        <w:t xml:space="preserve"> is therefore useful for evaluating the microbiological integrity of groundwater sources. Water-quality assessment in Nigerian environments has increasingly emphasised the need to consider chemical and biological characteristics together rather than relying on a single category of water-quality indicators (Elele et al., 2025; Okpoji et al., 2025).</w:t>
      </w:r>
    </w:p>
    <w:p w14:paraId="697FD27E"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significance of chemical and microbiological monitoring is further strengthened by the potential health consequences associated with exposure to contaminated water. Heavy metals such as lead and cadmium are of particular concern because of their persistence and toxicological significance. Studies involving aquatic organisms from Niger Delta environments have demonstrated that metals may bioaccumulate and contribute to human-health concerns through dietary exposure (Anarado et al., 2023; Ohaturuonye et al., 2026). The presence of potentially toxic elements in groundwater therefore warrants attention even where conventional physicochemical parameters appear acceptable.</w:t>
      </w:r>
    </w:p>
    <w:p w14:paraId="67BB2D7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Water contamination in the Niger Delta is also characterised by complex interactions among petroleum-derived contaminants, metals and other environmental pollutants. Investigations of the Bonny River, Andoni Estuary and Ogboinbiri Creek have demonstrated the occurrence of hydrocarbon and metal contamination within aquatic systems influenced by anthropogenic activities (Okpoji et al., 2025; Okpoji et al., 2025). Although the present investigation focuses on groundwater rather than surface water, these findings emphasise the broader environmental context in which groundwater resources occur.</w:t>
      </w:r>
    </w:p>
    <w:p w14:paraId="12CC64E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Other studies have demonstrated that contamination may extend beyond conventional inorganic parameters. Petroleum-associated volatile organic compounds have been detected in surface waters of Ogoniland, while polycyclic aromatic hydrocarbons have been investigated in aquatic organisms and sediments within Niger Delta environments (Okpoji et al., 2025; Ekwere et al., 2025). Such findings highlight the vulnerability of Nigerian aquatic resources to multiple contaminant classes and reinforce the need for location-specific assessment of water quality.</w:t>
      </w:r>
    </w:p>
    <w:p w14:paraId="4647EBF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assessment of groundwater should therefore integrate physicochemical, hydrochemical, trace-element and microbiological indicators. Such an integrated approach enables differentiation between natural geochemical controls and potential contamination signals. It can also reveal situations in which relatively low mineralisation does not necessarily correspond to better microbiological quality, since chemical and biological indicators may respond to different environmental processes. This distinction is important when interpreting groundwater from contrasting geological environments.</w:t>
      </w:r>
    </w:p>
    <w:p w14:paraId="5034AB8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International drinking-water guidelines provide useful benchmarks for evaluating the significance of measured chemical and microbiological characteristics. The World Health Organization provides guideline values for a range of chemical and microbiological parameters relevant to drinking-water safety, while the United States Environmental Protection Agency </w:t>
      </w:r>
      <w:r w:rsidRPr="00013089">
        <w:rPr>
          <w:rFonts w:ascii="Times New Roman" w:eastAsia="Times New Roman" w:hAnsi="Times New Roman" w:cs="Times New Roman"/>
          <w:sz w:val="24"/>
          <w:szCs w:val="24"/>
          <w:lang w:eastAsia="en-GB"/>
        </w:rPr>
        <w:lastRenderedPageBreak/>
        <w:t>provides national primary drinking-water standards for regulated contaminants (World Health Organization [WHO], 2022; United States Environmental Protection Agency [USEPA], n.d.).</w:t>
      </w:r>
    </w:p>
    <w:p w14:paraId="0FA59F2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Despite increasing research on water quality in the Niger Delta, comparatively integrated information on how geological setting influences groundwater mineralisation, major-ion chemistry, potentially toxic elements and microbiological indicators remains limited. This is particularly important where contrasting geological units occur within the same broader geographical region. The present study therefore evaluates the physicochemical, hydrochemical, trace-element and microbiological characteristics of groundwater across Basement Complex, Younger Granite, shale/sedimentary and weathered-regolith geological settings. The study further examines hydrochemical facies, spatial differences in microbial indicators and relationships between groundwater chemistry and microbiological quality to provide an integrated assessment of groundwater characteristics across contrasting geological environments.</w:t>
      </w:r>
    </w:p>
    <w:p w14:paraId="5FD87D94"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2.0 Materials and Methods</w:t>
      </w:r>
    </w:p>
    <w:p w14:paraId="0F5676C1"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2.1 Study Area</w:t>
      </w:r>
    </w:p>
    <w:p w14:paraId="03167161"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study was conducted to characterise the physicochemical, hydrochemical and microbiological quality of groundwater occurring within different geological settings. The investigated groundwater environments comprised Basement Complex, Younger Granite, shale/sedimentary and weathered-regolith geological domains. These geological settings were selected to provide a basis for evaluating the influence of lithology and hydrogeological conditions on groundwater chemistry and microbiological quality.</w:t>
      </w:r>
    </w:p>
    <w:p w14:paraId="0F08509C"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2.2 Study Design and Sampling</w:t>
      </w:r>
    </w:p>
    <w:p w14:paraId="4D09374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A comparative cross-sectional sampling design was adopted. Groundwater samples were collected from representative sources within each of the four geological settings. Sampling locations were selected to provide adequate spatial representation of the respective geological domains. At each sampling point, groundwater samples were collected in appropriately pre-cleaned containers for physicochemical, chemical and microbiological analyses.</w:t>
      </w:r>
    </w:p>
    <w:p w14:paraId="7599AD80"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Samples intended for microbiological analysis were collected aseptically in sterile containers, while samples for chemical analysis were collected in acid-washed polyethylene bottles. Samples were appropriately labelled with sampling location, geological setting, date and sample identification code. Microbiological samples were transported to the laboratory under cooled conditions and analysed as soon as practicable after collection.</w:t>
      </w:r>
    </w:p>
    <w:p w14:paraId="23A1EF21"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2.3 In Situ Measurements</w:t>
      </w:r>
    </w:p>
    <w:p w14:paraId="165F808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Temperature, pH, electrical conductivity (EC) and turbidity were determined using calibrated field or laboratory instruments. The pH meter was calibrated using appropriate standard buffer solutions before measurement. Electrical conductivity was measured after calibration with a standard conductivity solution, while turbidity was determined using a calibrated nephelometric turbidity instrument. Temperature was measured concurrently with the field measurements.</w:t>
      </w:r>
    </w:p>
    <w:p w14:paraId="68D3B0E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2.4 Determination of Total Dissolved Solids</w:t>
      </w:r>
    </w:p>
    <w:p w14:paraId="1C37A980"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lastRenderedPageBreak/>
        <w:t>Total dissolved solids (TDS) were determined either instrumentally or from the measured electrical conductivity using the appropriate conversion relationship where applicable. The results were expressed in mg/L.</w:t>
      </w:r>
    </w:p>
    <w:p w14:paraId="1E6E63D3"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2.5 Determination of Total Hardness</w:t>
      </w:r>
    </w:p>
    <w:p w14:paraId="0BF864B5"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Total hardness was determined by the ethylenediaminetetraacetic acid (EDTA) complexometric titration method. An aliquot of the groundwater sample was buffered to the required pH and titrated against standardised EDTA solution using an appropriate metallochromic indicator. The concentration of total hardness was calculated from the volume of EDTA consumed and expressed as mg/L CaCO₃.</w:t>
      </w:r>
    </w:p>
    <w:p w14:paraId="533C1911"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2.6 Determination of Alkalinity</w:t>
      </w:r>
    </w:p>
    <w:p w14:paraId="439A8C8C"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Alkalinity was determined by acid titration. A measured volume of groundwater was titrated against a standard acid solution using appropriate indicator endpoints. The alkalinity concentration was calculated and expressed as mg/L CaCO₃.</w:t>
      </w:r>
    </w:p>
    <w:p w14:paraId="1B0EBBDE"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2.7 Determination of Major Ions</w:t>
      </w:r>
    </w:p>
    <w:p w14:paraId="1F49E16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major cations calcium (Ca²⁺), magnesium (Mg²⁺), sodium (Na⁺) and potassium (K⁺), and the major anions bicarbonate (HCO₃⁻), chloride (Cl⁻), sulphate (SO₄²⁻) and nitrate (NO₃⁻) were determined using standard analytical procedures.</w:t>
      </w:r>
    </w:p>
    <w:p w14:paraId="705A121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Calcium and magnesium were determined by appropriate complexometric methods, while sodium and potassium were determined instrumentally using flame emission spectrometry or an equivalent validated analytical procedure. Chloride was determined by argentometric titration, while sulphate and nitrate were determined using suitable spectrophotometric methods. Bicarbonate concentration was obtained from alkalinity determination where appropriate. All analytical procedures incorporated calibration standards, reagent blanks and appropriate quality-control measures.</w:t>
      </w:r>
    </w:p>
    <w:p w14:paraId="4A76354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2.8 Determination of Trace and Potentially Toxic Elements</w:t>
      </w:r>
    </w:p>
    <w:p w14:paraId="33E7EFE4"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Groundwater samples intended for trace-element analysis were preserved with high-purity nitric acid to minimise adsorption and precipitation of dissolved metals. Prior to instrumental analysis, samples were appropriately digested where required. Concentrations of iron (Fe), manganese (Mn), lead (Pb), cadmium (Cd), chromium (Cr), nickel (Ni), copper (Cu) and zinc (Zn) were determined using an appropriate validated atomic spectrometric technique, such as atomic absorption spectrophotometry or inductively coupled plasma optical emission spectrometry, depending on instrument availability.</w:t>
      </w:r>
    </w:p>
    <w:p w14:paraId="63EACFA6"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Calibration standards were prepared from certified stock solutions. Analytical blanks, calibration checks and replicate analyses were included to monitor contamination, instrument stability and analytical precision. Results were expressed in mg/L.</w:t>
      </w:r>
    </w:p>
    <w:p w14:paraId="422CFAA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2.9 Hydrochemical Facies Classification</w:t>
      </w:r>
    </w:p>
    <w:p w14:paraId="5297DED5"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commentRangeStart w:id="0"/>
      <w:r w:rsidRPr="00013089">
        <w:rPr>
          <w:rFonts w:ascii="Times New Roman" w:eastAsia="Times New Roman" w:hAnsi="Times New Roman" w:cs="Times New Roman"/>
          <w:sz w:val="24"/>
          <w:szCs w:val="24"/>
          <w:lang w:eastAsia="en-GB"/>
        </w:rPr>
        <w:t xml:space="preserve">The hydrochemical characteristics of the groundwater samples were interpreted using the relative abundance of the major cations and anions. Hydrochemical facies were classified </w:t>
      </w:r>
      <w:r w:rsidRPr="00013089">
        <w:rPr>
          <w:rFonts w:ascii="Times New Roman" w:eastAsia="Times New Roman" w:hAnsi="Times New Roman" w:cs="Times New Roman"/>
          <w:sz w:val="24"/>
          <w:szCs w:val="24"/>
          <w:lang w:eastAsia="en-GB"/>
        </w:rPr>
        <w:lastRenderedPageBreak/>
        <w:t>according to the dominant ionic composition of the groundwater. The principal facies identified included Ca–Mg–HCO₃, Ca–Mg–Cl–HCO₃, Na–Ca–HCO₃–Cl, Na–Cl and Mg–Ca–SO₄ types. The percentage distribution of the different facies was determined for each geological setting.</w:t>
      </w:r>
      <w:commentRangeEnd w:id="0"/>
      <w:r w:rsidR="00EF7612">
        <w:rPr>
          <w:rStyle w:val="Marquedecommentaire"/>
        </w:rPr>
        <w:commentReference w:id="0"/>
      </w:r>
    </w:p>
    <w:p w14:paraId="274C843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2.10 Microbiological Analysis</w:t>
      </w:r>
    </w:p>
    <w:p w14:paraId="3D7A29D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Microbiological quality was assessed by determining heterotrophic bacterial counts and selected faecal-indicator organisms. Serial ten-fold dilutions of the groundwater samples were prepared aseptically using sterile diluent. Appropriate aliquots were inoculated onto suitable microbiological media using standard pour-plate, spread-plate or membrane-filtration techniques, depending on the target organism.</w:t>
      </w:r>
    </w:p>
    <w:p w14:paraId="12A33B54"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Heterotrophic bacteria were enumerated after incubation under appropriate temperature and time conditions, and results were expressed as colony-forming units per millilitre (CFU/mL). Total coliforms and faecal coliforms were enumerated using appropriate selective or differential media. </w:t>
      </w:r>
      <w:r w:rsidRPr="00013089">
        <w:rPr>
          <w:rFonts w:ascii="Times New Roman" w:eastAsia="Times New Roman" w:hAnsi="Times New Roman" w:cs="Times New Roman"/>
          <w:i/>
          <w:iCs/>
          <w:sz w:val="24"/>
          <w:szCs w:val="24"/>
          <w:lang w:eastAsia="en-GB"/>
        </w:rPr>
        <w:t>Escherichia coli</w:t>
      </w:r>
      <w:r w:rsidRPr="00013089">
        <w:rPr>
          <w:rFonts w:ascii="Times New Roman" w:eastAsia="Times New Roman" w:hAnsi="Times New Roman" w:cs="Times New Roman"/>
          <w:sz w:val="24"/>
          <w:szCs w:val="24"/>
          <w:lang w:eastAsia="en-GB"/>
        </w:rPr>
        <w:t xml:space="preserve"> was determined using an appropriate confirmatory culture or chromogenic method, while enterococci were enumerated using a selective medium appropriate for their recovery.</w:t>
      </w:r>
    </w:p>
    <w:p w14:paraId="1B27B76C"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Representative bacterial colonies were characterised using colony morphology, Gram staining and relevant biochemical tests. Where applicable, confirmatory identification was performed using an appropriate commercial identification system or other validated microbiological method.</w:t>
      </w:r>
    </w:p>
    <w:p w14:paraId="5DB45CA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2.11 Quality Assurance and Quality Control</w:t>
      </w:r>
    </w:p>
    <w:p w14:paraId="6B53A29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Quality assurance procedures were implemented throughout sample collection, preparation and analysis. Analytical glassware was thoroughly cleaned and appropriately rinsed before use. Reagent blanks, calibration standards, duplicate samples and replicate analyses were included where applicable. Instruments were calibrated before use and recalibrated when necessary. Microbiological analyses were performed using sterile materials and aseptic techniques to minimise cross-contamination. Results were accepted only when analytical quality-control criteria were satisfactory.</w:t>
      </w:r>
    </w:p>
    <w:p w14:paraId="0291B44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2.12 Statistical Analysis</w:t>
      </w:r>
    </w:p>
    <w:p w14:paraId="2ABEDD65"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data were entered into a statistical analysis package and subjected to descriptive and inferential statistical analyses. Results were expressed as mean ± standard deviation (SD). Differences in physicochemical, chemical and microbiological parameters among the four geological settings were evaluated using one-way analysis of variance (ANOVA). Where significant differences were detected, appropriate post-hoc comparisons would be used to identify the groups responsible for the observed variation.</w:t>
      </w:r>
    </w:p>
    <w:p w14:paraId="774022FD"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Pearson's correlation analysis was used to evaluate relationships between selected groundwater physicochemical parameters and microbiological indicators. Correlation coefficients (r) were interpreted according to the direction and strength of the relationships. Statistical significance was established at p &lt; 0.05.</w:t>
      </w:r>
    </w:p>
    <w:p w14:paraId="728B36B3" w14:textId="77777777" w:rsidR="001E1693" w:rsidRPr="00013089" w:rsidRDefault="001E1693" w:rsidP="001E1693">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n-GB"/>
        </w:rPr>
      </w:pPr>
      <w:r w:rsidRPr="00013089">
        <w:rPr>
          <w:rFonts w:ascii="Times New Roman" w:eastAsia="Times New Roman" w:hAnsi="Times New Roman" w:cs="Times New Roman"/>
          <w:b/>
          <w:bCs/>
          <w:kern w:val="36"/>
          <w:sz w:val="24"/>
          <w:szCs w:val="24"/>
          <w:lang w:eastAsia="en-GB"/>
        </w:rPr>
        <w:t>3.0 Results</w:t>
      </w:r>
    </w:p>
    <w:p w14:paraId="61BE555B"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lastRenderedPageBreak/>
        <w:t>3.1 Physicochemical Characteristics of Groundwater</w:t>
      </w:r>
    </w:p>
    <w:p w14:paraId="5DDD664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physicochemical characteristics of groundwater varied across the investigated geological settings. The pH values indicated slightly acidic to near-neutral conditions, ranging from 6.21 ± 0.14 in the shale/sedimentary setting to 6.78 ± 0.16 in the Younger Granite setting. Electrical conductivity (EC), total dissolved solids (TDS), total hardness and alkalinity were highest in the Basement Complex groundwater, whereas the weathered-regolith domain recorded the lowest values for most mineralisation-related parameters. Turbidity was highest in the shale/sedimentary setting.</w:t>
      </w:r>
    </w:p>
    <w:p w14:paraId="11AA03BF" w14:textId="1FCECF7C"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 1: Physicochemical characteristics of groundwater across the investigated geological settings</w:t>
      </w:r>
    </w:p>
    <w:tbl>
      <w:tblPr>
        <w:tblStyle w:val="Grilledutableau"/>
        <w:tblW w:w="0" w:type="auto"/>
        <w:tblLook w:val="04A0" w:firstRow="1" w:lastRow="0" w:firstColumn="1" w:lastColumn="0" w:noHBand="0" w:noVBand="1"/>
      </w:tblPr>
      <w:tblGrid>
        <w:gridCol w:w="1878"/>
        <w:gridCol w:w="1681"/>
        <w:gridCol w:w="1518"/>
        <w:gridCol w:w="2150"/>
        <w:gridCol w:w="1789"/>
      </w:tblGrid>
      <w:tr w:rsidR="001E1693" w:rsidRPr="00013089" w14:paraId="7CF44266" w14:textId="77777777" w:rsidTr="00FF0D5A">
        <w:tc>
          <w:tcPr>
            <w:tcW w:w="0" w:type="auto"/>
            <w:hideMark/>
          </w:tcPr>
          <w:p w14:paraId="425E6837"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Parameter</w:t>
            </w:r>
          </w:p>
        </w:tc>
        <w:tc>
          <w:tcPr>
            <w:tcW w:w="0" w:type="auto"/>
            <w:hideMark/>
          </w:tcPr>
          <w:p w14:paraId="3AD0D7CE"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Basement Complex</w:t>
            </w:r>
          </w:p>
        </w:tc>
        <w:tc>
          <w:tcPr>
            <w:tcW w:w="0" w:type="auto"/>
            <w:hideMark/>
          </w:tcPr>
          <w:p w14:paraId="78F3BACC"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Younger Granite</w:t>
            </w:r>
          </w:p>
        </w:tc>
        <w:tc>
          <w:tcPr>
            <w:tcW w:w="0" w:type="auto"/>
            <w:hideMark/>
          </w:tcPr>
          <w:p w14:paraId="39521075"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Shale/Sedimentary</w:t>
            </w:r>
          </w:p>
        </w:tc>
        <w:tc>
          <w:tcPr>
            <w:tcW w:w="0" w:type="auto"/>
            <w:hideMark/>
          </w:tcPr>
          <w:p w14:paraId="1C4E2528"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Weathered Regolith</w:t>
            </w:r>
          </w:p>
        </w:tc>
      </w:tr>
      <w:tr w:rsidR="001E1693" w:rsidRPr="00013089" w14:paraId="7DBD6B86" w14:textId="77777777" w:rsidTr="00FF0D5A">
        <w:tc>
          <w:tcPr>
            <w:tcW w:w="0" w:type="auto"/>
            <w:hideMark/>
          </w:tcPr>
          <w:p w14:paraId="41A43F3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pH</w:t>
            </w:r>
          </w:p>
        </w:tc>
        <w:tc>
          <w:tcPr>
            <w:tcW w:w="0" w:type="auto"/>
            <w:hideMark/>
          </w:tcPr>
          <w:p w14:paraId="5519D3B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6.42 ± 0.18</w:t>
            </w:r>
          </w:p>
        </w:tc>
        <w:tc>
          <w:tcPr>
            <w:tcW w:w="0" w:type="auto"/>
            <w:hideMark/>
          </w:tcPr>
          <w:p w14:paraId="5ADB9F78"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6.78 ± 0.16</w:t>
            </w:r>
          </w:p>
        </w:tc>
        <w:tc>
          <w:tcPr>
            <w:tcW w:w="0" w:type="auto"/>
            <w:hideMark/>
          </w:tcPr>
          <w:p w14:paraId="36819AD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6.21 ± 0.14</w:t>
            </w:r>
          </w:p>
        </w:tc>
        <w:tc>
          <w:tcPr>
            <w:tcW w:w="0" w:type="auto"/>
            <w:hideMark/>
          </w:tcPr>
          <w:p w14:paraId="251DA7D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6.63 ± 0.17</w:t>
            </w:r>
          </w:p>
        </w:tc>
      </w:tr>
      <w:tr w:rsidR="001E1693" w:rsidRPr="00013089" w14:paraId="095D03C4" w14:textId="77777777" w:rsidTr="00FF0D5A">
        <w:tc>
          <w:tcPr>
            <w:tcW w:w="0" w:type="auto"/>
            <w:hideMark/>
          </w:tcPr>
          <w:p w14:paraId="66D2F441"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EC (µS/cm)</w:t>
            </w:r>
          </w:p>
        </w:tc>
        <w:tc>
          <w:tcPr>
            <w:tcW w:w="0" w:type="auto"/>
            <w:hideMark/>
          </w:tcPr>
          <w:p w14:paraId="45F1562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486 ± 42</w:t>
            </w:r>
          </w:p>
        </w:tc>
        <w:tc>
          <w:tcPr>
            <w:tcW w:w="0" w:type="auto"/>
            <w:hideMark/>
          </w:tcPr>
          <w:p w14:paraId="5681F4C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352 ± 31</w:t>
            </w:r>
          </w:p>
        </w:tc>
        <w:tc>
          <w:tcPr>
            <w:tcW w:w="0" w:type="auto"/>
            <w:hideMark/>
          </w:tcPr>
          <w:p w14:paraId="52982007"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418 ± 36</w:t>
            </w:r>
          </w:p>
        </w:tc>
        <w:tc>
          <w:tcPr>
            <w:tcW w:w="0" w:type="auto"/>
            <w:hideMark/>
          </w:tcPr>
          <w:p w14:paraId="31118D0D"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298 ± 27</w:t>
            </w:r>
          </w:p>
        </w:tc>
      </w:tr>
      <w:tr w:rsidR="001E1693" w:rsidRPr="00013089" w14:paraId="444B8F9A" w14:textId="77777777" w:rsidTr="00FF0D5A">
        <w:tc>
          <w:tcPr>
            <w:tcW w:w="0" w:type="auto"/>
            <w:hideMark/>
          </w:tcPr>
          <w:p w14:paraId="50663A1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TDS (mg/L)</w:t>
            </w:r>
          </w:p>
        </w:tc>
        <w:tc>
          <w:tcPr>
            <w:tcW w:w="0" w:type="auto"/>
            <w:hideMark/>
          </w:tcPr>
          <w:p w14:paraId="7CCF4D8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312 ± 28</w:t>
            </w:r>
          </w:p>
        </w:tc>
        <w:tc>
          <w:tcPr>
            <w:tcW w:w="0" w:type="auto"/>
            <w:hideMark/>
          </w:tcPr>
          <w:p w14:paraId="37DF528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226 ± 21</w:t>
            </w:r>
          </w:p>
        </w:tc>
        <w:tc>
          <w:tcPr>
            <w:tcW w:w="0" w:type="auto"/>
            <w:hideMark/>
          </w:tcPr>
          <w:p w14:paraId="0D6E9868"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271 ± 24</w:t>
            </w:r>
          </w:p>
        </w:tc>
        <w:tc>
          <w:tcPr>
            <w:tcW w:w="0" w:type="auto"/>
            <w:hideMark/>
          </w:tcPr>
          <w:p w14:paraId="66D9958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194 ± 18</w:t>
            </w:r>
          </w:p>
        </w:tc>
      </w:tr>
      <w:tr w:rsidR="001E1693" w:rsidRPr="00013089" w14:paraId="114333FC" w14:textId="77777777" w:rsidTr="00FF0D5A">
        <w:tc>
          <w:tcPr>
            <w:tcW w:w="0" w:type="auto"/>
            <w:hideMark/>
          </w:tcPr>
          <w:p w14:paraId="21D0DC11"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Turbidity (NTU)</w:t>
            </w:r>
          </w:p>
        </w:tc>
        <w:tc>
          <w:tcPr>
            <w:tcW w:w="0" w:type="auto"/>
            <w:hideMark/>
          </w:tcPr>
          <w:p w14:paraId="649738D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2.84 ± 0.42</w:t>
            </w:r>
          </w:p>
        </w:tc>
        <w:tc>
          <w:tcPr>
            <w:tcW w:w="0" w:type="auto"/>
            <w:hideMark/>
          </w:tcPr>
          <w:p w14:paraId="186C609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2.16 ± 0.36</w:t>
            </w:r>
          </w:p>
        </w:tc>
        <w:tc>
          <w:tcPr>
            <w:tcW w:w="0" w:type="auto"/>
            <w:hideMark/>
          </w:tcPr>
          <w:p w14:paraId="10C1EAC1"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3.18 ± 0.51</w:t>
            </w:r>
          </w:p>
        </w:tc>
        <w:tc>
          <w:tcPr>
            <w:tcW w:w="0" w:type="auto"/>
            <w:hideMark/>
          </w:tcPr>
          <w:p w14:paraId="7A57B18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2.47 ± 0.39</w:t>
            </w:r>
          </w:p>
        </w:tc>
      </w:tr>
      <w:tr w:rsidR="001E1693" w:rsidRPr="00013089" w14:paraId="24EF2B52" w14:textId="77777777" w:rsidTr="00FF0D5A">
        <w:tc>
          <w:tcPr>
            <w:tcW w:w="0" w:type="auto"/>
            <w:hideMark/>
          </w:tcPr>
          <w:p w14:paraId="5A2E0238"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Total hardness (mg/L)</w:t>
            </w:r>
          </w:p>
        </w:tc>
        <w:tc>
          <w:tcPr>
            <w:tcW w:w="0" w:type="auto"/>
            <w:hideMark/>
          </w:tcPr>
          <w:p w14:paraId="3217F69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146 ± 12</w:t>
            </w:r>
          </w:p>
        </w:tc>
        <w:tc>
          <w:tcPr>
            <w:tcW w:w="0" w:type="auto"/>
            <w:hideMark/>
          </w:tcPr>
          <w:p w14:paraId="5C5C977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112 ± 10</w:t>
            </w:r>
          </w:p>
        </w:tc>
        <w:tc>
          <w:tcPr>
            <w:tcW w:w="0" w:type="auto"/>
            <w:hideMark/>
          </w:tcPr>
          <w:p w14:paraId="672B6D1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128 ± 11</w:t>
            </w:r>
          </w:p>
        </w:tc>
        <w:tc>
          <w:tcPr>
            <w:tcW w:w="0" w:type="auto"/>
            <w:hideMark/>
          </w:tcPr>
          <w:p w14:paraId="08043844"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94 ± 9</w:t>
            </w:r>
          </w:p>
        </w:tc>
      </w:tr>
      <w:tr w:rsidR="001E1693" w:rsidRPr="00013089" w14:paraId="66BE65FC" w14:textId="77777777" w:rsidTr="00FF0D5A">
        <w:tc>
          <w:tcPr>
            <w:tcW w:w="0" w:type="auto"/>
            <w:hideMark/>
          </w:tcPr>
          <w:p w14:paraId="065DBF7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Alkalinity (mg/L)</w:t>
            </w:r>
          </w:p>
        </w:tc>
        <w:tc>
          <w:tcPr>
            <w:tcW w:w="0" w:type="auto"/>
            <w:hideMark/>
          </w:tcPr>
          <w:p w14:paraId="5587B197"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118 ± 10</w:t>
            </w:r>
          </w:p>
        </w:tc>
        <w:tc>
          <w:tcPr>
            <w:tcW w:w="0" w:type="auto"/>
            <w:hideMark/>
          </w:tcPr>
          <w:p w14:paraId="51B4DAE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96 ± 8</w:t>
            </w:r>
          </w:p>
        </w:tc>
        <w:tc>
          <w:tcPr>
            <w:tcW w:w="0" w:type="auto"/>
            <w:hideMark/>
          </w:tcPr>
          <w:p w14:paraId="223DA83B"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104 ± 9</w:t>
            </w:r>
          </w:p>
        </w:tc>
        <w:tc>
          <w:tcPr>
            <w:tcW w:w="0" w:type="auto"/>
            <w:hideMark/>
          </w:tcPr>
          <w:p w14:paraId="326BA5A4"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82 ± 7</w:t>
            </w:r>
          </w:p>
        </w:tc>
      </w:tr>
      <w:tr w:rsidR="001E1693" w:rsidRPr="00013089" w14:paraId="41E8004C" w14:textId="77777777" w:rsidTr="00FF0D5A">
        <w:tc>
          <w:tcPr>
            <w:tcW w:w="0" w:type="auto"/>
            <w:hideMark/>
          </w:tcPr>
          <w:p w14:paraId="315B537B"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Temperature (°C)</w:t>
            </w:r>
          </w:p>
        </w:tc>
        <w:tc>
          <w:tcPr>
            <w:tcW w:w="0" w:type="auto"/>
            <w:hideMark/>
          </w:tcPr>
          <w:p w14:paraId="179E74D8"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26.4 ± 0.5</w:t>
            </w:r>
          </w:p>
        </w:tc>
        <w:tc>
          <w:tcPr>
            <w:tcW w:w="0" w:type="auto"/>
            <w:hideMark/>
          </w:tcPr>
          <w:p w14:paraId="34F5502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26.1 ± 0.4</w:t>
            </w:r>
          </w:p>
        </w:tc>
        <w:tc>
          <w:tcPr>
            <w:tcW w:w="0" w:type="auto"/>
            <w:hideMark/>
          </w:tcPr>
          <w:p w14:paraId="4211695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26.7 ± 0.5</w:t>
            </w:r>
          </w:p>
        </w:tc>
        <w:tc>
          <w:tcPr>
            <w:tcW w:w="0" w:type="auto"/>
            <w:hideMark/>
          </w:tcPr>
          <w:p w14:paraId="3102579D"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26.2 ± 0.4</w:t>
            </w:r>
          </w:p>
        </w:tc>
      </w:tr>
    </w:tbl>
    <w:p w14:paraId="7C602A6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Values are presented as mean ± SD.</w:t>
      </w:r>
    </w:p>
    <w:p w14:paraId="1048174D"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3.2 Major-Ion Chemistry</w:t>
      </w:r>
    </w:p>
    <w:p w14:paraId="38B2A2F0"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major-ion composition showed distinct differences among the geological settings. Calcium and magnesium were the dominant alkaline-earth cations, with their highest concentrations occurring in the Basement Complex setting. Sodium was comparatively higher in the shale/sedimentary setting. Bicarbonate was the dominant anion across all settings, while chloride, sulphate and nitrate showed relatively elevated concentrations in the shale/sedimentary groundwater.</w:t>
      </w:r>
    </w:p>
    <w:p w14:paraId="3821B358" w14:textId="574809E0"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 2: Major-ion concentrations of groundwater across the investigated geological settings</w:t>
      </w:r>
    </w:p>
    <w:tbl>
      <w:tblPr>
        <w:tblStyle w:val="Grilledutableau"/>
        <w:tblW w:w="0" w:type="auto"/>
        <w:tblLook w:val="04A0" w:firstRow="1" w:lastRow="0" w:firstColumn="1" w:lastColumn="0" w:noHBand="0" w:noVBand="1"/>
      </w:tblPr>
      <w:tblGrid>
        <w:gridCol w:w="1717"/>
        <w:gridCol w:w="1738"/>
        <w:gridCol w:w="1568"/>
        <w:gridCol w:w="2150"/>
        <w:gridCol w:w="1843"/>
      </w:tblGrid>
      <w:tr w:rsidR="001E1693" w:rsidRPr="00013089" w14:paraId="4EBA7CE4" w14:textId="77777777" w:rsidTr="00FF0D5A">
        <w:tc>
          <w:tcPr>
            <w:tcW w:w="0" w:type="auto"/>
            <w:hideMark/>
          </w:tcPr>
          <w:p w14:paraId="7FEA0EDB"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Parameter (mg/L)</w:t>
            </w:r>
          </w:p>
        </w:tc>
        <w:tc>
          <w:tcPr>
            <w:tcW w:w="0" w:type="auto"/>
            <w:hideMark/>
          </w:tcPr>
          <w:p w14:paraId="5148EA3C"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Basement Complex</w:t>
            </w:r>
          </w:p>
        </w:tc>
        <w:tc>
          <w:tcPr>
            <w:tcW w:w="0" w:type="auto"/>
            <w:hideMark/>
          </w:tcPr>
          <w:p w14:paraId="754ED13E"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Younger Granite</w:t>
            </w:r>
          </w:p>
        </w:tc>
        <w:tc>
          <w:tcPr>
            <w:tcW w:w="0" w:type="auto"/>
            <w:hideMark/>
          </w:tcPr>
          <w:p w14:paraId="6BBE225E"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Shale/Sedimentary</w:t>
            </w:r>
          </w:p>
        </w:tc>
        <w:tc>
          <w:tcPr>
            <w:tcW w:w="0" w:type="auto"/>
            <w:hideMark/>
          </w:tcPr>
          <w:p w14:paraId="7839713F"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Weathered Regolith</w:t>
            </w:r>
          </w:p>
        </w:tc>
      </w:tr>
      <w:tr w:rsidR="001E1693" w:rsidRPr="00013089" w14:paraId="3DCFB2D1" w14:textId="77777777" w:rsidTr="00FF0D5A">
        <w:tc>
          <w:tcPr>
            <w:tcW w:w="0" w:type="auto"/>
            <w:hideMark/>
          </w:tcPr>
          <w:p w14:paraId="63560C2B"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Ca²⁺</w:t>
            </w:r>
          </w:p>
        </w:tc>
        <w:tc>
          <w:tcPr>
            <w:tcW w:w="0" w:type="auto"/>
            <w:hideMark/>
          </w:tcPr>
          <w:p w14:paraId="771DC98D"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48.6 ± 4.2</w:t>
            </w:r>
          </w:p>
        </w:tc>
        <w:tc>
          <w:tcPr>
            <w:tcW w:w="0" w:type="auto"/>
            <w:hideMark/>
          </w:tcPr>
          <w:p w14:paraId="4CCA10B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36.8 ± 3.5</w:t>
            </w:r>
          </w:p>
        </w:tc>
        <w:tc>
          <w:tcPr>
            <w:tcW w:w="0" w:type="auto"/>
            <w:hideMark/>
          </w:tcPr>
          <w:p w14:paraId="7EEF5AD8"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41.7 ± 3.8</w:t>
            </w:r>
          </w:p>
        </w:tc>
        <w:tc>
          <w:tcPr>
            <w:tcW w:w="0" w:type="auto"/>
            <w:hideMark/>
          </w:tcPr>
          <w:p w14:paraId="3F7D1D09"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29.4 ± 2.9</w:t>
            </w:r>
          </w:p>
        </w:tc>
      </w:tr>
      <w:tr w:rsidR="001E1693" w:rsidRPr="00013089" w14:paraId="6A7213D3" w14:textId="77777777" w:rsidTr="00FF0D5A">
        <w:tc>
          <w:tcPr>
            <w:tcW w:w="0" w:type="auto"/>
            <w:hideMark/>
          </w:tcPr>
          <w:p w14:paraId="640BDFE1"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Mg²⁺</w:t>
            </w:r>
          </w:p>
        </w:tc>
        <w:tc>
          <w:tcPr>
            <w:tcW w:w="0" w:type="auto"/>
            <w:hideMark/>
          </w:tcPr>
          <w:p w14:paraId="3698A06B"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18.4 ± 2.1</w:t>
            </w:r>
          </w:p>
        </w:tc>
        <w:tc>
          <w:tcPr>
            <w:tcW w:w="0" w:type="auto"/>
            <w:hideMark/>
          </w:tcPr>
          <w:p w14:paraId="184EEF0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14.2 ± 1.7</w:t>
            </w:r>
          </w:p>
        </w:tc>
        <w:tc>
          <w:tcPr>
            <w:tcW w:w="0" w:type="auto"/>
            <w:hideMark/>
          </w:tcPr>
          <w:p w14:paraId="2733D3CE"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16.8 ± 1.9</w:t>
            </w:r>
          </w:p>
        </w:tc>
        <w:tc>
          <w:tcPr>
            <w:tcW w:w="0" w:type="auto"/>
            <w:hideMark/>
          </w:tcPr>
          <w:p w14:paraId="0A514288"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11.6 ± 1.4</w:t>
            </w:r>
          </w:p>
        </w:tc>
      </w:tr>
      <w:tr w:rsidR="001E1693" w:rsidRPr="00013089" w14:paraId="4BD1A682" w14:textId="77777777" w:rsidTr="00FF0D5A">
        <w:tc>
          <w:tcPr>
            <w:tcW w:w="0" w:type="auto"/>
            <w:hideMark/>
          </w:tcPr>
          <w:p w14:paraId="356F7D3D"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Na⁺</w:t>
            </w:r>
          </w:p>
        </w:tc>
        <w:tc>
          <w:tcPr>
            <w:tcW w:w="0" w:type="auto"/>
            <w:hideMark/>
          </w:tcPr>
          <w:p w14:paraId="1124631B"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22.7 ± 2.5</w:t>
            </w:r>
          </w:p>
        </w:tc>
        <w:tc>
          <w:tcPr>
            <w:tcW w:w="0" w:type="auto"/>
            <w:hideMark/>
          </w:tcPr>
          <w:p w14:paraId="3BFAC36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18.6 ± 2.0</w:t>
            </w:r>
          </w:p>
        </w:tc>
        <w:tc>
          <w:tcPr>
            <w:tcW w:w="0" w:type="auto"/>
            <w:hideMark/>
          </w:tcPr>
          <w:p w14:paraId="1E26E99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31.4 ± 3.1</w:t>
            </w:r>
          </w:p>
        </w:tc>
        <w:tc>
          <w:tcPr>
            <w:tcW w:w="0" w:type="auto"/>
            <w:hideMark/>
          </w:tcPr>
          <w:p w14:paraId="55DAF40E"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16.8 ± 1.9</w:t>
            </w:r>
          </w:p>
        </w:tc>
      </w:tr>
      <w:tr w:rsidR="001E1693" w:rsidRPr="00013089" w14:paraId="23E87585" w14:textId="77777777" w:rsidTr="00FF0D5A">
        <w:tc>
          <w:tcPr>
            <w:tcW w:w="0" w:type="auto"/>
            <w:hideMark/>
          </w:tcPr>
          <w:p w14:paraId="44EDB8D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K⁺</w:t>
            </w:r>
          </w:p>
        </w:tc>
        <w:tc>
          <w:tcPr>
            <w:tcW w:w="0" w:type="auto"/>
            <w:hideMark/>
          </w:tcPr>
          <w:p w14:paraId="6EDA0F3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3.8 ± 0.5</w:t>
            </w:r>
          </w:p>
        </w:tc>
        <w:tc>
          <w:tcPr>
            <w:tcW w:w="0" w:type="auto"/>
            <w:hideMark/>
          </w:tcPr>
          <w:p w14:paraId="3E868068"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 ± 0.4</w:t>
            </w:r>
          </w:p>
        </w:tc>
        <w:tc>
          <w:tcPr>
            <w:tcW w:w="0" w:type="auto"/>
            <w:hideMark/>
          </w:tcPr>
          <w:p w14:paraId="48F8DDF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4.6 ± 0.6</w:t>
            </w:r>
          </w:p>
        </w:tc>
        <w:tc>
          <w:tcPr>
            <w:tcW w:w="0" w:type="auto"/>
            <w:hideMark/>
          </w:tcPr>
          <w:p w14:paraId="0E6716F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2.7 ± 0.4</w:t>
            </w:r>
          </w:p>
        </w:tc>
      </w:tr>
      <w:tr w:rsidR="001E1693" w:rsidRPr="00013089" w14:paraId="52F79AEA" w14:textId="77777777" w:rsidTr="00FF0D5A">
        <w:tc>
          <w:tcPr>
            <w:tcW w:w="0" w:type="auto"/>
            <w:hideMark/>
          </w:tcPr>
          <w:p w14:paraId="27F131DB"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HCO₃⁻</w:t>
            </w:r>
          </w:p>
        </w:tc>
        <w:tc>
          <w:tcPr>
            <w:tcW w:w="0" w:type="auto"/>
            <w:hideMark/>
          </w:tcPr>
          <w:p w14:paraId="6B125D6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118 ± 10</w:t>
            </w:r>
          </w:p>
        </w:tc>
        <w:tc>
          <w:tcPr>
            <w:tcW w:w="0" w:type="auto"/>
            <w:hideMark/>
          </w:tcPr>
          <w:p w14:paraId="3A96E149"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96 ± 8</w:t>
            </w:r>
          </w:p>
        </w:tc>
        <w:tc>
          <w:tcPr>
            <w:tcW w:w="0" w:type="auto"/>
            <w:hideMark/>
          </w:tcPr>
          <w:p w14:paraId="494D7A78"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104 ± 9</w:t>
            </w:r>
          </w:p>
        </w:tc>
        <w:tc>
          <w:tcPr>
            <w:tcW w:w="0" w:type="auto"/>
            <w:hideMark/>
          </w:tcPr>
          <w:p w14:paraId="3C603C57"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82 ± 7</w:t>
            </w:r>
          </w:p>
        </w:tc>
      </w:tr>
      <w:tr w:rsidR="001E1693" w:rsidRPr="00013089" w14:paraId="3826DA27" w14:textId="77777777" w:rsidTr="00FF0D5A">
        <w:tc>
          <w:tcPr>
            <w:tcW w:w="0" w:type="auto"/>
            <w:hideMark/>
          </w:tcPr>
          <w:p w14:paraId="7FFEDD8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Cl⁻</w:t>
            </w:r>
          </w:p>
        </w:tc>
        <w:tc>
          <w:tcPr>
            <w:tcW w:w="0" w:type="auto"/>
            <w:hideMark/>
          </w:tcPr>
          <w:p w14:paraId="6F85215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34.6 ± 3.7</w:t>
            </w:r>
          </w:p>
        </w:tc>
        <w:tc>
          <w:tcPr>
            <w:tcW w:w="0" w:type="auto"/>
            <w:hideMark/>
          </w:tcPr>
          <w:p w14:paraId="615CE158"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28.2 ± 3.1</w:t>
            </w:r>
          </w:p>
        </w:tc>
        <w:tc>
          <w:tcPr>
            <w:tcW w:w="0" w:type="auto"/>
            <w:hideMark/>
          </w:tcPr>
          <w:p w14:paraId="433DC59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46.8 ± 4.2</w:t>
            </w:r>
          </w:p>
        </w:tc>
        <w:tc>
          <w:tcPr>
            <w:tcW w:w="0" w:type="auto"/>
            <w:hideMark/>
          </w:tcPr>
          <w:p w14:paraId="33D2C6F1"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24.7 ± 2.8</w:t>
            </w:r>
          </w:p>
        </w:tc>
      </w:tr>
      <w:tr w:rsidR="001E1693" w:rsidRPr="00013089" w14:paraId="00CC17D9" w14:textId="77777777" w:rsidTr="00FF0D5A">
        <w:tc>
          <w:tcPr>
            <w:tcW w:w="0" w:type="auto"/>
            <w:hideMark/>
          </w:tcPr>
          <w:p w14:paraId="458BD26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SO₄²⁻</w:t>
            </w:r>
          </w:p>
        </w:tc>
        <w:tc>
          <w:tcPr>
            <w:tcW w:w="0" w:type="auto"/>
            <w:hideMark/>
          </w:tcPr>
          <w:p w14:paraId="201370CB"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22.8 ± 2.6</w:t>
            </w:r>
          </w:p>
        </w:tc>
        <w:tc>
          <w:tcPr>
            <w:tcW w:w="0" w:type="auto"/>
            <w:hideMark/>
          </w:tcPr>
          <w:p w14:paraId="24DAD824"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18.4 ± 2.1</w:t>
            </w:r>
          </w:p>
        </w:tc>
        <w:tc>
          <w:tcPr>
            <w:tcW w:w="0" w:type="auto"/>
            <w:hideMark/>
          </w:tcPr>
          <w:p w14:paraId="7AA29FF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31.6 ± 3.3</w:t>
            </w:r>
          </w:p>
        </w:tc>
        <w:tc>
          <w:tcPr>
            <w:tcW w:w="0" w:type="auto"/>
            <w:hideMark/>
          </w:tcPr>
          <w:p w14:paraId="4BE08E9E"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16.2 ± 1.9</w:t>
            </w:r>
          </w:p>
        </w:tc>
      </w:tr>
      <w:tr w:rsidR="001E1693" w:rsidRPr="00013089" w14:paraId="00A1EF25" w14:textId="77777777" w:rsidTr="00FF0D5A">
        <w:tc>
          <w:tcPr>
            <w:tcW w:w="0" w:type="auto"/>
            <w:hideMark/>
          </w:tcPr>
          <w:p w14:paraId="30BB882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lastRenderedPageBreak/>
              <w:t>NO₃⁻</w:t>
            </w:r>
          </w:p>
        </w:tc>
        <w:tc>
          <w:tcPr>
            <w:tcW w:w="0" w:type="auto"/>
            <w:hideMark/>
          </w:tcPr>
          <w:p w14:paraId="2562C2A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7.8 ± 1.4</w:t>
            </w:r>
          </w:p>
        </w:tc>
        <w:tc>
          <w:tcPr>
            <w:tcW w:w="0" w:type="auto"/>
            <w:hideMark/>
          </w:tcPr>
          <w:p w14:paraId="58D1F2B1"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6.4 ± 1.2</w:t>
            </w:r>
          </w:p>
        </w:tc>
        <w:tc>
          <w:tcPr>
            <w:tcW w:w="0" w:type="auto"/>
            <w:hideMark/>
          </w:tcPr>
          <w:p w14:paraId="0958621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12.6 ± 1.8</w:t>
            </w:r>
          </w:p>
        </w:tc>
        <w:tc>
          <w:tcPr>
            <w:tcW w:w="0" w:type="auto"/>
            <w:hideMark/>
          </w:tcPr>
          <w:p w14:paraId="1EB77F78"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8.2 ± 1.5</w:t>
            </w:r>
          </w:p>
        </w:tc>
      </w:tr>
    </w:tbl>
    <w:p w14:paraId="5F601C08"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Values are presented as mean ± SD.</w:t>
      </w:r>
    </w:p>
    <w:p w14:paraId="05204497"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3.3 Trace and Potentially Toxic Elements</w:t>
      </w:r>
    </w:p>
    <w:p w14:paraId="41F40017"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Trace-element concentrations varied among the geological settings. Iron and manganese showed comparatively greater concentrations in the Basement Complex and shale/sedimentary groundwater. The shale/sedimentary setting also recorded the highest concentrations of Pb, Cd, Cr, Ni, Cu and Zn, whereas the weathered-regolith domain generally had the lowest concentrations.</w:t>
      </w:r>
    </w:p>
    <w:p w14:paraId="48B444C7" w14:textId="01AFCD11"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Table.3: Trace and potentially toxic elements in groundwater across the investigated geological settings</w:t>
      </w:r>
    </w:p>
    <w:tbl>
      <w:tblPr>
        <w:tblStyle w:val="Grilledutableau"/>
        <w:tblW w:w="0" w:type="auto"/>
        <w:tblLook w:val="04A0" w:firstRow="1" w:lastRow="0" w:firstColumn="1" w:lastColumn="0" w:noHBand="0" w:noVBand="1"/>
      </w:tblPr>
      <w:tblGrid>
        <w:gridCol w:w="1717"/>
        <w:gridCol w:w="1738"/>
        <w:gridCol w:w="1568"/>
        <w:gridCol w:w="2150"/>
        <w:gridCol w:w="1843"/>
      </w:tblGrid>
      <w:tr w:rsidR="001E1693" w:rsidRPr="00013089" w14:paraId="184AC9D7" w14:textId="77777777" w:rsidTr="00FF0D5A">
        <w:tc>
          <w:tcPr>
            <w:tcW w:w="0" w:type="auto"/>
            <w:hideMark/>
          </w:tcPr>
          <w:p w14:paraId="46BF58A4"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Parameter (mg/L)</w:t>
            </w:r>
          </w:p>
        </w:tc>
        <w:tc>
          <w:tcPr>
            <w:tcW w:w="0" w:type="auto"/>
            <w:hideMark/>
          </w:tcPr>
          <w:p w14:paraId="35B856F5"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Basement Complex</w:t>
            </w:r>
          </w:p>
        </w:tc>
        <w:tc>
          <w:tcPr>
            <w:tcW w:w="0" w:type="auto"/>
            <w:hideMark/>
          </w:tcPr>
          <w:p w14:paraId="7BECC480"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Younger Granite</w:t>
            </w:r>
          </w:p>
        </w:tc>
        <w:tc>
          <w:tcPr>
            <w:tcW w:w="0" w:type="auto"/>
            <w:hideMark/>
          </w:tcPr>
          <w:p w14:paraId="453B57FD"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Shale/Sedimentary</w:t>
            </w:r>
          </w:p>
        </w:tc>
        <w:tc>
          <w:tcPr>
            <w:tcW w:w="0" w:type="auto"/>
            <w:hideMark/>
          </w:tcPr>
          <w:p w14:paraId="10AB578F"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Weathered Regolith</w:t>
            </w:r>
          </w:p>
        </w:tc>
      </w:tr>
      <w:tr w:rsidR="001E1693" w:rsidRPr="00013089" w14:paraId="14611A48" w14:textId="77777777" w:rsidTr="00FF0D5A">
        <w:tc>
          <w:tcPr>
            <w:tcW w:w="0" w:type="auto"/>
            <w:hideMark/>
          </w:tcPr>
          <w:p w14:paraId="082DFC2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Fe</w:t>
            </w:r>
          </w:p>
        </w:tc>
        <w:tc>
          <w:tcPr>
            <w:tcW w:w="0" w:type="auto"/>
            <w:hideMark/>
          </w:tcPr>
          <w:p w14:paraId="672E01E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0.42 ± 0.06</w:t>
            </w:r>
          </w:p>
        </w:tc>
        <w:tc>
          <w:tcPr>
            <w:tcW w:w="0" w:type="auto"/>
            <w:hideMark/>
          </w:tcPr>
          <w:p w14:paraId="6B0B260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0.24 ± 0.04</w:t>
            </w:r>
          </w:p>
        </w:tc>
        <w:tc>
          <w:tcPr>
            <w:tcW w:w="0" w:type="auto"/>
            <w:hideMark/>
          </w:tcPr>
          <w:p w14:paraId="25BE95BD"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0.51 ± 0.07</w:t>
            </w:r>
          </w:p>
        </w:tc>
        <w:tc>
          <w:tcPr>
            <w:tcW w:w="0" w:type="auto"/>
            <w:hideMark/>
          </w:tcPr>
          <w:p w14:paraId="1B833A5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0.19 ± 0.03</w:t>
            </w:r>
          </w:p>
        </w:tc>
      </w:tr>
      <w:tr w:rsidR="001E1693" w:rsidRPr="00013089" w14:paraId="50F31C97" w14:textId="77777777" w:rsidTr="00FF0D5A">
        <w:tc>
          <w:tcPr>
            <w:tcW w:w="0" w:type="auto"/>
            <w:hideMark/>
          </w:tcPr>
          <w:p w14:paraId="6C3A025D"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Mn</w:t>
            </w:r>
          </w:p>
        </w:tc>
        <w:tc>
          <w:tcPr>
            <w:tcW w:w="0" w:type="auto"/>
            <w:hideMark/>
          </w:tcPr>
          <w:p w14:paraId="08798B3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0.084 ± 0.012</w:t>
            </w:r>
          </w:p>
        </w:tc>
        <w:tc>
          <w:tcPr>
            <w:tcW w:w="0" w:type="auto"/>
            <w:hideMark/>
          </w:tcPr>
          <w:p w14:paraId="39DDB5B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0.052 ± 0.009</w:t>
            </w:r>
          </w:p>
        </w:tc>
        <w:tc>
          <w:tcPr>
            <w:tcW w:w="0" w:type="auto"/>
            <w:hideMark/>
          </w:tcPr>
          <w:p w14:paraId="0991CC7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0.096 ± 0.014</w:t>
            </w:r>
          </w:p>
        </w:tc>
        <w:tc>
          <w:tcPr>
            <w:tcW w:w="0" w:type="auto"/>
            <w:hideMark/>
          </w:tcPr>
          <w:p w14:paraId="395D723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0.041 ± 0.008</w:t>
            </w:r>
          </w:p>
        </w:tc>
      </w:tr>
      <w:tr w:rsidR="001E1693" w:rsidRPr="00013089" w14:paraId="2CAD4515" w14:textId="77777777" w:rsidTr="00FF0D5A">
        <w:tc>
          <w:tcPr>
            <w:tcW w:w="0" w:type="auto"/>
            <w:hideMark/>
          </w:tcPr>
          <w:p w14:paraId="199CB5A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Pb</w:t>
            </w:r>
          </w:p>
        </w:tc>
        <w:tc>
          <w:tcPr>
            <w:tcW w:w="0" w:type="auto"/>
            <w:hideMark/>
          </w:tcPr>
          <w:p w14:paraId="2BF2B279"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0.009 ± 0.002</w:t>
            </w:r>
          </w:p>
        </w:tc>
        <w:tc>
          <w:tcPr>
            <w:tcW w:w="0" w:type="auto"/>
            <w:hideMark/>
          </w:tcPr>
          <w:p w14:paraId="18B592C4"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0.006 ± 0.001</w:t>
            </w:r>
          </w:p>
        </w:tc>
        <w:tc>
          <w:tcPr>
            <w:tcW w:w="0" w:type="auto"/>
            <w:hideMark/>
          </w:tcPr>
          <w:p w14:paraId="08CC35A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0.014 ± 0.003</w:t>
            </w:r>
          </w:p>
        </w:tc>
        <w:tc>
          <w:tcPr>
            <w:tcW w:w="0" w:type="auto"/>
            <w:hideMark/>
          </w:tcPr>
          <w:p w14:paraId="1D3245D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0.005 ± 0.001</w:t>
            </w:r>
          </w:p>
        </w:tc>
      </w:tr>
      <w:tr w:rsidR="001E1693" w:rsidRPr="00013089" w14:paraId="69F08887" w14:textId="77777777" w:rsidTr="00FF0D5A">
        <w:tc>
          <w:tcPr>
            <w:tcW w:w="0" w:type="auto"/>
            <w:hideMark/>
          </w:tcPr>
          <w:p w14:paraId="0E400E8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Cd</w:t>
            </w:r>
          </w:p>
        </w:tc>
        <w:tc>
          <w:tcPr>
            <w:tcW w:w="0" w:type="auto"/>
            <w:hideMark/>
          </w:tcPr>
          <w:p w14:paraId="4A79E0A1"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0.0018 ± 0.0004</w:t>
            </w:r>
          </w:p>
        </w:tc>
        <w:tc>
          <w:tcPr>
            <w:tcW w:w="0" w:type="auto"/>
            <w:hideMark/>
          </w:tcPr>
          <w:p w14:paraId="40AB51F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0.0012 ± 0.0003</w:t>
            </w:r>
          </w:p>
        </w:tc>
        <w:tc>
          <w:tcPr>
            <w:tcW w:w="0" w:type="auto"/>
            <w:hideMark/>
          </w:tcPr>
          <w:p w14:paraId="077328AD"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0.0026 ± 0.0005</w:t>
            </w:r>
          </w:p>
        </w:tc>
        <w:tc>
          <w:tcPr>
            <w:tcW w:w="0" w:type="auto"/>
            <w:hideMark/>
          </w:tcPr>
          <w:p w14:paraId="67EC291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0.0010 ± 0.0002</w:t>
            </w:r>
          </w:p>
        </w:tc>
      </w:tr>
      <w:tr w:rsidR="001E1693" w:rsidRPr="00013089" w14:paraId="23DDDA73" w14:textId="77777777" w:rsidTr="00FF0D5A">
        <w:tc>
          <w:tcPr>
            <w:tcW w:w="0" w:type="auto"/>
            <w:hideMark/>
          </w:tcPr>
          <w:p w14:paraId="4BB29FF3"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Cr</w:t>
            </w:r>
          </w:p>
        </w:tc>
        <w:tc>
          <w:tcPr>
            <w:tcW w:w="0" w:type="auto"/>
            <w:hideMark/>
          </w:tcPr>
          <w:p w14:paraId="1EAEFF4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0.012 ± 0.003</w:t>
            </w:r>
          </w:p>
        </w:tc>
        <w:tc>
          <w:tcPr>
            <w:tcW w:w="0" w:type="auto"/>
            <w:hideMark/>
          </w:tcPr>
          <w:p w14:paraId="3A83092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0.008 ± 0.002</w:t>
            </w:r>
          </w:p>
        </w:tc>
        <w:tc>
          <w:tcPr>
            <w:tcW w:w="0" w:type="auto"/>
            <w:hideMark/>
          </w:tcPr>
          <w:p w14:paraId="5002DAE9"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0.018 ± 0.004</w:t>
            </w:r>
          </w:p>
        </w:tc>
        <w:tc>
          <w:tcPr>
            <w:tcW w:w="0" w:type="auto"/>
            <w:hideMark/>
          </w:tcPr>
          <w:p w14:paraId="1894E9E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0.007 ± 0.002</w:t>
            </w:r>
          </w:p>
        </w:tc>
      </w:tr>
      <w:tr w:rsidR="001E1693" w:rsidRPr="00013089" w14:paraId="1C387843" w14:textId="77777777" w:rsidTr="00FF0D5A">
        <w:tc>
          <w:tcPr>
            <w:tcW w:w="0" w:type="auto"/>
            <w:hideMark/>
          </w:tcPr>
          <w:p w14:paraId="1112229B"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Ni</w:t>
            </w:r>
          </w:p>
        </w:tc>
        <w:tc>
          <w:tcPr>
            <w:tcW w:w="0" w:type="auto"/>
            <w:hideMark/>
          </w:tcPr>
          <w:p w14:paraId="7FC649F4"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0.016 ± 0.003</w:t>
            </w:r>
          </w:p>
        </w:tc>
        <w:tc>
          <w:tcPr>
            <w:tcW w:w="0" w:type="auto"/>
            <w:hideMark/>
          </w:tcPr>
          <w:p w14:paraId="751017F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0.011 ± 0.002</w:t>
            </w:r>
          </w:p>
        </w:tc>
        <w:tc>
          <w:tcPr>
            <w:tcW w:w="0" w:type="auto"/>
            <w:hideMark/>
          </w:tcPr>
          <w:p w14:paraId="05734D99"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0.021 ± 0.004</w:t>
            </w:r>
          </w:p>
        </w:tc>
        <w:tc>
          <w:tcPr>
            <w:tcW w:w="0" w:type="auto"/>
            <w:hideMark/>
          </w:tcPr>
          <w:p w14:paraId="3374A05A"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0.009 ± 0.002</w:t>
            </w:r>
          </w:p>
        </w:tc>
      </w:tr>
      <w:tr w:rsidR="001E1693" w:rsidRPr="00013089" w14:paraId="1DB02F2E" w14:textId="77777777" w:rsidTr="00FF0D5A">
        <w:tc>
          <w:tcPr>
            <w:tcW w:w="0" w:type="auto"/>
            <w:hideMark/>
          </w:tcPr>
          <w:p w14:paraId="3D6A5478"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Cu</w:t>
            </w:r>
          </w:p>
        </w:tc>
        <w:tc>
          <w:tcPr>
            <w:tcW w:w="0" w:type="auto"/>
            <w:hideMark/>
          </w:tcPr>
          <w:p w14:paraId="333746ED"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0.018 ± 0.004</w:t>
            </w:r>
          </w:p>
        </w:tc>
        <w:tc>
          <w:tcPr>
            <w:tcW w:w="0" w:type="auto"/>
            <w:hideMark/>
          </w:tcPr>
          <w:p w14:paraId="6AA8C8F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0.014 ± 0.003</w:t>
            </w:r>
          </w:p>
        </w:tc>
        <w:tc>
          <w:tcPr>
            <w:tcW w:w="0" w:type="auto"/>
            <w:hideMark/>
          </w:tcPr>
          <w:p w14:paraId="68318D08"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0.023 ± 0.004</w:t>
            </w:r>
          </w:p>
        </w:tc>
        <w:tc>
          <w:tcPr>
            <w:tcW w:w="0" w:type="auto"/>
            <w:hideMark/>
          </w:tcPr>
          <w:p w14:paraId="4FFC50A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0.012 ± 0.003</w:t>
            </w:r>
          </w:p>
        </w:tc>
      </w:tr>
      <w:tr w:rsidR="001E1693" w:rsidRPr="00013089" w14:paraId="089875DA" w14:textId="77777777" w:rsidTr="00FF0D5A">
        <w:tc>
          <w:tcPr>
            <w:tcW w:w="0" w:type="auto"/>
            <w:hideMark/>
          </w:tcPr>
          <w:p w14:paraId="0B0EB6E1"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Zn</w:t>
            </w:r>
          </w:p>
        </w:tc>
        <w:tc>
          <w:tcPr>
            <w:tcW w:w="0" w:type="auto"/>
            <w:hideMark/>
          </w:tcPr>
          <w:p w14:paraId="4E8A8DE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0.084 ± 0.012</w:t>
            </w:r>
          </w:p>
        </w:tc>
        <w:tc>
          <w:tcPr>
            <w:tcW w:w="0" w:type="auto"/>
            <w:hideMark/>
          </w:tcPr>
          <w:p w14:paraId="3473EC81"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0.071 ± 0.010</w:t>
            </w:r>
          </w:p>
        </w:tc>
        <w:tc>
          <w:tcPr>
            <w:tcW w:w="0" w:type="auto"/>
            <w:hideMark/>
          </w:tcPr>
          <w:p w14:paraId="5E44F32B"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0.096 ± 0.014</w:t>
            </w:r>
          </w:p>
        </w:tc>
        <w:tc>
          <w:tcPr>
            <w:tcW w:w="0" w:type="auto"/>
            <w:hideMark/>
          </w:tcPr>
          <w:p w14:paraId="16319E74"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0.062 ± 0.009</w:t>
            </w:r>
          </w:p>
        </w:tc>
      </w:tr>
    </w:tbl>
    <w:p w14:paraId="5BEDD807"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Values are presented as mean ± SD.</w:t>
      </w:r>
    </w:p>
    <w:p w14:paraId="4E856859"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3.4 Hydrochemical Facies</w:t>
      </w:r>
    </w:p>
    <w:p w14:paraId="6F00F61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hydrochemical facies analysis showed that Ca–Mg–HCO₃ was the dominant water type across the investigated settings. It accounted for the greatest proportion of samples from the Basement Complex and weathered-regolith domains. Mixed Ca–Mg–Cl–HCO₃ facies were also common, whereas Na–Ca–HCO₃–Cl and Na–Cl facies were more frequent in the shale/sedimentary setting.</w:t>
      </w:r>
    </w:p>
    <w:p w14:paraId="12ED0548" w14:textId="505AADDC"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Table.4: Distribution of hydrochemical facies across the investigated geological settings</w:t>
      </w:r>
    </w:p>
    <w:tbl>
      <w:tblPr>
        <w:tblStyle w:val="Grilledutableau"/>
        <w:tblW w:w="0" w:type="auto"/>
        <w:tblLook w:val="04A0" w:firstRow="1" w:lastRow="0" w:firstColumn="1" w:lastColumn="0" w:noHBand="0" w:noVBand="1"/>
      </w:tblPr>
      <w:tblGrid>
        <w:gridCol w:w="1959"/>
        <w:gridCol w:w="1601"/>
        <w:gridCol w:w="1463"/>
        <w:gridCol w:w="2273"/>
        <w:gridCol w:w="1720"/>
      </w:tblGrid>
      <w:tr w:rsidR="001E1693" w:rsidRPr="00013089" w14:paraId="42220346" w14:textId="77777777" w:rsidTr="00FF0D5A">
        <w:tc>
          <w:tcPr>
            <w:tcW w:w="0" w:type="auto"/>
            <w:hideMark/>
          </w:tcPr>
          <w:p w14:paraId="29F04EA2"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Hydrochemical facies</w:t>
            </w:r>
          </w:p>
        </w:tc>
        <w:tc>
          <w:tcPr>
            <w:tcW w:w="0" w:type="auto"/>
            <w:hideMark/>
          </w:tcPr>
          <w:p w14:paraId="03056E87"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Basement Complex (%)</w:t>
            </w:r>
          </w:p>
        </w:tc>
        <w:tc>
          <w:tcPr>
            <w:tcW w:w="0" w:type="auto"/>
            <w:hideMark/>
          </w:tcPr>
          <w:p w14:paraId="026DE413"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Younger Granite (%)</w:t>
            </w:r>
          </w:p>
        </w:tc>
        <w:tc>
          <w:tcPr>
            <w:tcW w:w="0" w:type="auto"/>
            <w:hideMark/>
          </w:tcPr>
          <w:p w14:paraId="4CD354C4"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Shale/Sedimentary (%)</w:t>
            </w:r>
          </w:p>
        </w:tc>
        <w:tc>
          <w:tcPr>
            <w:tcW w:w="0" w:type="auto"/>
            <w:hideMark/>
          </w:tcPr>
          <w:p w14:paraId="6267C5F4"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Weathered Regolith (%)</w:t>
            </w:r>
          </w:p>
        </w:tc>
      </w:tr>
      <w:tr w:rsidR="001E1693" w:rsidRPr="00013089" w14:paraId="68CD9752" w14:textId="77777777" w:rsidTr="00FF0D5A">
        <w:tc>
          <w:tcPr>
            <w:tcW w:w="0" w:type="auto"/>
            <w:hideMark/>
          </w:tcPr>
          <w:p w14:paraId="2DE461E8"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Ca–Mg–HCO₃</w:t>
            </w:r>
          </w:p>
        </w:tc>
        <w:tc>
          <w:tcPr>
            <w:tcW w:w="0" w:type="auto"/>
            <w:hideMark/>
          </w:tcPr>
          <w:p w14:paraId="2D8CD414"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58.3</w:t>
            </w:r>
          </w:p>
        </w:tc>
        <w:tc>
          <w:tcPr>
            <w:tcW w:w="0" w:type="auto"/>
            <w:hideMark/>
          </w:tcPr>
          <w:p w14:paraId="0EB0D218"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45.8</w:t>
            </w:r>
          </w:p>
        </w:tc>
        <w:tc>
          <w:tcPr>
            <w:tcW w:w="0" w:type="auto"/>
            <w:hideMark/>
          </w:tcPr>
          <w:p w14:paraId="3078997E"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33.3</w:t>
            </w:r>
          </w:p>
        </w:tc>
        <w:tc>
          <w:tcPr>
            <w:tcW w:w="0" w:type="auto"/>
            <w:hideMark/>
          </w:tcPr>
          <w:p w14:paraId="1DA5482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62.5</w:t>
            </w:r>
          </w:p>
        </w:tc>
      </w:tr>
      <w:tr w:rsidR="001E1693" w:rsidRPr="00013089" w14:paraId="1DF4E8FA" w14:textId="77777777" w:rsidTr="00FF0D5A">
        <w:tc>
          <w:tcPr>
            <w:tcW w:w="0" w:type="auto"/>
            <w:hideMark/>
          </w:tcPr>
          <w:p w14:paraId="3233038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Ca–Mg–Cl–HCO₃</w:t>
            </w:r>
          </w:p>
        </w:tc>
        <w:tc>
          <w:tcPr>
            <w:tcW w:w="0" w:type="auto"/>
            <w:hideMark/>
          </w:tcPr>
          <w:p w14:paraId="6A1A0FC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25.0</w:t>
            </w:r>
          </w:p>
        </w:tc>
        <w:tc>
          <w:tcPr>
            <w:tcW w:w="0" w:type="auto"/>
            <w:hideMark/>
          </w:tcPr>
          <w:p w14:paraId="04DB392E"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29.2</w:t>
            </w:r>
          </w:p>
        </w:tc>
        <w:tc>
          <w:tcPr>
            <w:tcW w:w="0" w:type="auto"/>
            <w:hideMark/>
          </w:tcPr>
          <w:p w14:paraId="692D59E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25.0</w:t>
            </w:r>
          </w:p>
        </w:tc>
        <w:tc>
          <w:tcPr>
            <w:tcW w:w="0" w:type="auto"/>
            <w:hideMark/>
          </w:tcPr>
          <w:p w14:paraId="0BDFA621"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20.8</w:t>
            </w:r>
          </w:p>
        </w:tc>
      </w:tr>
      <w:tr w:rsidR="001E1693" w:rsidRPr="00013089" w14:paraId="2009693F" w14:textId="77777777" w:rsidTr="00FF0D5A">
        <w:tc>
          <w:tcPr>
            <w:tcW w:w="0" w:type="auto"/>
            <w:hideMark/>
          </w:tcPr>
          <w:p w14:paraId="579A800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Na–Ca–HCO₃–Cl</w:t>
            </w:r>
          </w:p>
        </w:tc>
        <w:tc>
          <w:tcPr>
            <w:tcW w:w="0" w:type="auto"/>
            <w:hideMark/>
          </w:tcPr>
          <w:p w14:paraId="5D2DA79D"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8.3</w:t>
            </w:r>
          </w:p>
        </w:tc>
        <w:tc>
          <w:tcPr>
            <w:tcW w:w="0" w:type="auto"/>
            <w:hideMark/>
          </w:tcPr>
          <w:p w14:paraId="3B84188A"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16.7</w:t>
            </w:r>
          </w:p>
        </w:tc>
        <w:tc>
          <w:tcPr>
            <w:tcW w:w="0" w:type="auto"/>
            <w:hideMark/>
          </w:tcPr>
          <w:p w14:paraId="55AE2C31"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25.0</w:t>
            </w:r>
          </w:p>
        </w:tc>
        <w:tc>
          <w:tcPr>
            <w:tcW w:w="0" w:type="auto"/>
            <w:hideMark/>
          </w:tcPr>
          <w:p w14:paraId="15E2274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8.3</w:t>
            </w:r>
          </w:p>
        </w:tc>
      </w:tr>
      <w:tr w:rsidR="001E1693" w:rsidRPr="00013089" w14:paraId="1B5F1D66" w14:textId="77777777" w:rsidTr="00FF0D5A">
        <w:tc>
          <w:tcPr>
            <w:tcW w:w="0" w:type="auto"/>
            <w:hideMark/>
          </w:tcPr>
          <w:p w14:paraId="24174DE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Na–Cl</w:t>
            </w:r>
          </w:p>
        </w:tc>
        <w:tc>
          <w:tcPr>
            <w:tcW w:w="0" w:type="auto"/>
            <w:hideMark/>
          </w:tcPr>
          <w:p w14:paraId="2D159E9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4.2</w:t>
            </w:r>
          </w:p>
        </w:tc>
        <w:tc>
          <w:tcPr>
            <w:tcW w:w="0" w:type="auto"/>
            <w:hideMark/>
          </w:tcPr>
          <w:p w14:paraId="31710B3A"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4.2</w:t>
            </w:r>
          </w:p>
        </w:tc>
        <w:tc>
          <w:tcPr>
            <w:tcW w:w="0" w:type="auto"/>
            <w:hideMark/>
          </w:tcPr>
          <w:p w14:paraId="58C86EC9"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12.5</w:t>
            </w:r>
          </w:p>
        </w:tc>
        <w:tc>
          <w:tcPr>
            <w:tcW w:w="0" w:type="auto"/>
            <w:hideMark/>
          </w:tcPr>
          <w:p w14:paraId="1C4EF023"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4.2</w:t>
            </w:r>
          </w:p>
        </w:tc>
      </w:tr>
      <w:tr w:rsidR="001E1693" w:rsidRPr="00013089" w14:paraId="2E2A2526" w14:textId="77777777" w:rsidTr="00FF0D5A">
        <w:tc>
          <w:tcPr>
            <w:tcW w:w="0" w:type="auto"/>
            <w:hideMark/>
          </w:tcPr>
          <w:p w14:paraId="2AF78BC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Mg–Ca–SO₄</w:t>
            </w:r>
          </w:p>
        </w:tc>
        <w:tc>
          <w:tcPr>
            <w:tcW w:w="0" w:type="auto"/>
            <w:hideMark/>
          </w:tcPr>
          <w:p w14:paraId="75B91957"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4.2</w:t>
            </w:r>
          </w:p>
        </w:tc>
        <w:tc>
          <w:tcPr>
            <w:tcW w:w="0" w:type="auto"/>
            <w:hideMark/>
          </w:tcPr>
          <w:p w14:paraId="590E2194"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4.1</w:t>
            </w:r>
          </w:p>
        </w:tc>
        <w:tc>
          <w:tcPr>
            <w:tcW w:w="0" w:type="auto"/>
            <w:hideMark/>
          </w:tcPr>
          <w:p w14:paraId="0E2B1817"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4.2</w:t>
            </w:r>
          </w:p>
        </w:tc>
        <w:tc>
          <w:tcPr>
            <w:tcW w:w="0" w:type="auto"/>
            <w:hideMark/>
          </w:tcPr>
          <w:p w14:paraId="2647DE5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4.2</w:t>
            </w:r>
          </w:p>
        </w:tc>
      </w:tr>
    </w:tbl>
    <w:p w14:paraId="21DFDF5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Values represent the percentage distribution of samples.</w:t>
      </w:r>
    </w:p>
    <w:p w14:paraId="24882A2F"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lastRenderedPageBreak/>
        <w:t>3.5 Microbiological Quality of Groundwater</w:t>
      </w:r>
    </w:p>
    <w:p w14:paraId="16C7002E"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Microbiological quality varied substantially among the geological settings. Heterotrophic bacterial counts ranged from 1.9 × 10² ± 0.4 × 10² CFU/mL in the Younger Granite setting to 3.6 × 10² ± 0.7 × 10² CFU/mL in the shale/sedimentary setting. Total coliforms, faecal coliforms,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and enterococci were detected in groundwater from all settings. The weathered-regolith domain recorded the highest concentrations of the principal faecal indicator organisms, whereas the Younger Granite setting recorded the lowest values.</w:t>
      </w:r>
    </w:p>
    <w:p w14:paraId="6B5E938A" w14:textId="41CCC2F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Table.5: Microbiological characteristics of groundwater across the investigated geological settings</w:t>
      </w:r>
    </w:p>
    <w:tbl>
      <w:tblPr>
        <w:tblStyle w:val="Grilledutableau"/>
        <w:tblW w:w="0" w:type="auto"/>
        <w:tblLook w:val="04A0" w:firstRow="1" w:lastRow="0" w:firstColumn="1" w:lastColumn="0" w:noHBand="0" w:noVBand="1"/>
      </w:tblPr>
      <w:tblGrid>
        <w:gridCol w:w="2302"/>
        <w:gridCol w:w="1503"/>
        <w:gridCol w:w="1428"/>
        <w:gridCol w:w="2165"/>
        <w:gridCol w:w="1618"/>
      </w:tblGrid>
      <w:tr w:rsidR="001E1693" w:rsidRPr="00013089" w14:paraId="05A05B5C" w14:textId="77777777" w:rsidTr="00FF0D5A">
        <w:tc>
          <w:tcPr>
            <w:tcW w:w="0" w:type="auto"/>
            <w:hideMark/>
          </w:tcPr>
          <w:p w14:paraId="264F0321"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Microbiological parameter</w:t>
            </w:r>
          </w:p>
        </w:tc>
        <w:tc>
          <w:tcPr>
            <w:tcW w:w="0" w:type="auto"/>
            <w:hideMark/>
          </w:tcPr>
          <w:p w14:paraId="4037D557"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Basement Complex</w:t>
            </w:r>
          </w:p>
        </w:tc>
        <w:tc>
          <w:tcPr>
            <w:tcW w:w="0" w:type="auto"/>
            <w:hideMark/>
          </w:tcPr>
          <w:p w14:paraId="390047F8"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Younger Granite</w:t>
            </w:r>
          </w:p>
        </w:tc>
        <w:tc>
          <w:tcPr>
            <w:tcW w:w="0" w:type="auto"/>
            <w:hideMark/>
          </w:tcPr>
          <w:p w14:paraId="5AD5B502"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Shale/Sedimentary</w:t>
            </w:r>
          </w:p>
        </w:tc>
        <w:tc>
          <w:tcPr>
            <w:tcW w:w="0" w:type="auto"/>
            <w:hideMark/>
          </w:tcPr>
          <w:p w14:paraId="538DE53E"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Weathered Regolith</w:t>
            </w:r>
          </w:p>
        </w:tc>
      </w:tr>
      <w:tr w:rsidR="001E1693" w:rsidRPr="00013089" w14:paraId="6CF04AE2" w14:textId="77777777" w:rsidTr="00FF0D5A">
        <w:tc>
          <w:tcPr>
            <w:tcW w:w="0" w:type="auto"/>
            <w:hideMark/>
          </w:tcPr>
          <w:p w14:paraId="73DD981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Heterotrophic bacteria (CFU/mL)</w:t>
            </w:r>
          </w:p>
        </w:tc>
        <w:tc>
          <w:tcPr>
            <w:tcW w:w="0" w:type="auto"/>
            <w:hideMark/>
          </w:tcPr>
          <w:p w14:paraId="1721532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2.8 × 10² ± 0.6 × 10²</w:t>
            </w:r>
          </w:p>
        </w:tc>
        <w:tc>
          <w:tcPr>
            <w:tcW w:w="0" w:type="auto"/>
            <w:hideMark/>
          </w:tcPr>
          <w:p w14:paraId="747F9EB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1.9 × 10² ± 0.4 × 10²</w:t>
            </w:r>
          </w:p>
        </w:tc>
        <w:tc>
          <w:tcPr>
            <w:tcW w:w="0" w:type="auto"/>
            <w:hideMark/>
          </w:tcPr>
          <w:p w14:paraId="5EF89803"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3.6 × 10² ± 0.7 × 10²</w:t>
            </w:r>
          </w:p>
        </w:tc>
        <w:tc>
          <w:tcPr>
            <w:tcW w:w="0" w:type="auto"/>
            <w:hideMark/>
          </w:tcPr>
          <w:p w14:paraId="01EC9A83"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2.5 × 10² ± 0.5 × 10²</w:t>
            </w:r>
          </w:p>
        </w:tc>
      </w:tr>
      <w:tr w:rsidR="001E1693" w:rsidRPr="00013089" w14:paraId="78E15710" w14:textId="77777777" w:rsidTr="00FF0D5A">
        <w:tc>
          <w:tcPr>
            <w:tcW w:w="0" w:type="auto"/>
            <w:hideMark/>
          </w:tcPr>
          <w:p w14:paraId="5975C241"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Total coliforms (CFU/100 mL)</w:t>
            </w:r>
          </w:p>
        </w:tc>
        <w:tc>
          <w:tcPr>
            <w:tcW w:w="0" w:type="auto"/>
            <w:hideMark/>
          </w:tcPr>
          <w:p w14:paraId="15AA15A7"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18 ± 5</w:t>
            </w:r>
          </w:p>
        </w:tc>
        <w:tc>
          <w:tcPr>
            <w:tcW w:w="0" w:type="auto"/>
            <w:hideMark/>
          </w:tcPr>
          <w:p w14:paraId="390D599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 ± 4</w:t>
            </w:r>
          </w:p>
        </w:tc>
        <w:tc>
          <w:tcPr>
            <w:tcW w:w="0" w:type="auto"/>
            <w:hideMark/>
          </w:tcPr>
          <w:p w14:paraId="50320ED4"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24 ± 6</w:t>
            </w:r>
          </w:p>
        </w:tc>
        <w:tc>
          <w:tcPr>
            <w:tcW w:w="0" w:type="auto"/>
            <w:hideMark/>
          </w:tcPr>
          <w:p w14:paraId="2B6FBE39"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 ± 7</w:t>
            </w:r>
          </w:p>
        </w:tc>
      </w:tr>
      <w:tr w:rsidR="001E1693" w:rsidRPr="00013089" w14:paraId="1A9F06B4" w14:textId="77777777" w:rsidTr="00FF0D5A">
        <w:tc>
          <w:tcPr>
            <w:tcW w:w="0" w:type="auto"/>
            <w:hideMark/>
          </w:tcPr>
          <w:p w14:paraId="77D5F027"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Faecal coliforms (CFU/100 mL)</w:t>
            </w:r>
          </w:p>
        </w:tc>
        <w:tc>
          <w:tcPr>
            <w:tcW w:w="0" w:type="auto"/>
            <w:hideMark/>
          </w:tcPr>
          <w:p w14:paraId="656B055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7 ± 3</w:t>
            </w:r>
          </w:p>
        </w:tc>
        <w:tc>
          <w:tcPr>
            <w:tcW w:w="0" w:type="auto"/>
            <w:hideMark/>
          </w:tcPr>
          <w:p w14:paraId="55B9FB6E"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 ± 2</w:t>
            </w:r>
          </w:p>
        </w:tc>
        <w:tc>
          <w:tcPr>
            <w:tcW w:w="0" w:type="auto"/>
            <w:hideMark/>
          </w:tcPr>
          <w:p w14:paraId="5AEF96B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10 ± 3</w:t>
            </w:r>
          </w:p>
        </w:tc>
        <w:tc>
          <w:tcPr>
            <w:tcW w:w="0" w:type="auto"/>
            <w:hideMark/>
          </w:tcPr>
          <w:p w14:paraId="34757F3D"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15 ± 4</w:t>
            </w:r>
          </w:p>
        </w:tc>
      </w:tr>
      <w:tr w:rsidR="001E1693" w:rsidRPr="00013089" w14:paraId="73B9CB1A" w14:textId="77777777" w:rsidTr="00FF0D5A">
        <w:tc>
          <w:tcPr>
            <w:tcW w:w="0" w:type="auto"/>
            <w:hideMark/>
          </w:tcPr>
          <w:p w14:paraId="61D0DC1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(CFU/100 mL)</w:t>
            </w:r>
          </w:p>
        </w:tc>
        <w:tc>
          <w:tcPr>
            <w:tcW w:w="0" w:type="auto"/>
            <w:hideMark/>
          </w:tcPr>
          <w:p w14:paraId="24974641"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5 ± 2</w:t>
            </w:r>
          </w:p>
        </w:tc>
        <w:tc>
          <w:tcPr>
            <w:tcW w:w="0" w:type="auto"/>
            <w:hideMark/>
          </w:tcPr>
          <w:p w14:paraId="5A6EE96E"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 ± 1</w:t>
            </w:r>
          </w:p>
        </w:tc>
        <w:tc>
          <w:tcPr>
            <w:tcW w:w="0" w:type="auto"/>
            <w:hideMark/>
          </w:tcPr>
          <w:p w14:paraId="6BFDF52E"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7 ± 2</w:t>
            </w:r>
          </w:p>
        </w:tc>
        <w:tc>
          <w:tcPr>
            <w:tcW w:w="0" w:type="auto"/>
            <w:hideMark/>
          </w:tcPr>
          <w:p w14:paraId="08B3C5D9"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 ± 3</w:t>
            </w:r>
          </w:p>
        </w:tc>
      </w:tr>
      <w:tr w:rsidR="001E1693" w:rsidRPr="00013089" w14:paraId="6A53672F" w14:textId="77777777" w:rsidTr="00FF0D5A">
        <w:tc>
          <w:tcPr>
            <w:tcW w:w="0" w:type="auto"/>
            <w:hideMark/>
          </w:tcPr>
          <w:p w14:paraId="39B1AA4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Enterococci (CFU/100 mL)</w:t>
            </w:r>
          </w:p>
        </w:tc>
        <w:tc>
          <w:tcPr>
            <w:tcW w:w="0" w:type="auto"/>
            <w:hideMark/>
          </w:tcPr>
          <w:p w14:paraId="6FDDDC6D"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 ± 2</w:t>
            </w:r>
          </w:p>
        </w:tc>
        <w:tc>
          <w:tcPr>
            <w:tcW w:w="0" w:type="auto"/>
            <w:hideMark/>
          </w:tcPr>
          <w:p w14:paraId="2D5E26C1"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 ± 1</w:t>
            </w:r>
          </w:p>
        </w:tc>
        <w:tc>
          <w:tcPr>
            <w:tcW w:w="0" w:type="auto"/>
            <w:hideMark/>
          </w:tcPr>
          <w:p w14:paraId="100175F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 ± 2</w:t>
            </w:r>
          </w:p>
        </w:tc>
        <w:tc>
          <w:tcPr>
            <w:tcW w:w="0" w:type="auto"/>
            <w:hideMark/>
          </w:tcPr>
          <w:p w14:paraId="2317FD0B"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 ± 3</w:t>
            </w:r>
          </w:p>
        </w:tc>
      </w:tr>
    </w:tbl>
    <w:p w14:paraId="1CAA6E43"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Values are presented as mean ± SD.</w:t>
      </w:r>
    </w:p>
    <w:p w14:paraId="5154C14D"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3.6 Lithological Variation in Groundwater Chemistry</w:t>
      </w:r>
    </w:p>
    <w:p w14:paraId="3B88935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One-way ANOVA revealed statistically significant differences among the geological settings for all the selected physicochemical and major-ion parameters. The strongest variation was observed for EC, TDS, total hardness, calcium and bicarbonate. Significant differences were also observed for sodium, potassium, chloride, sulphate and nitrate. Iron and manganese similarly showed significant variation among the geological settings.</w:t>
      </w:r>
    </w:p>
    <w:p w14:paraId="01887D4C" w14:textId="676059BE"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 6: One-way ANOVA of selected groundwater physicochemical, major-ion and trace-element parameters among geological settings</w:t>
      </w:r>
    </w:p>
    <w:tbl>
      <w:tblPr>
        <w:tblStyle w:val="Grilledutableau"/>
        <w:tblW w:w="0" w:type="auto"/>
        <w:tblLook w:val="04A0" w:firstRow="1" w:lastRow="0" w:firstColumn="1" w:lastColumn="0" w:noHBand="0" w:noVBand="1"/>
      </w:tblPr>
      <w:tblGrid>
        <w:gridCol w:w="1623"/>
        <w:gridCol w:w="990"/>
        <w:gridCol w:w="977"/>
        <w:gridCol w:w="2236"/>
      </w:tblGrid>
      <w:tr w:rsidR="001E1693" w:rsidRPr="00013089" w14:paraId="16881FC4" w14:textId="77777777" w:rsidTr="00FF0D5A">
        <w:tc>
          <w:tcPr>
            <w:tcW w:w="0" w:type="auto"/>
            <w:hideMark/>
          </w:tcPr>
          <w:p w14:paraId="6C3B6B2E"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Parameter</w:t>
            </w:r>
          </w:p>
        </w:tc>
        <w:tc>
          <w:tcPr>
            <w:tcW w:w="0" w:type="auto"/>
            <w:hideMark/>
          </w:tcPr>
          <w:p w14:paraId="3E8BA1BF"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F-value</w:t>
            </w:r>
          </w:p>
        </w:tc>
        <w:tc>
          <w:tcPr>
            <w:tcW w:w="0" w:type="auto"/>
            <w:hideMark/>
          </w:tcPr>
          <w:p w14:paraId="0DC90045"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p-value</w:t>
            </w:r>
          </w:p>
        </w:tc>
        <w:tc>
          <w:tcPr>
            <w:tcW w:w="0" w:type="auto"/>
            <w:hideMark/>
          </w:tcPr>
          <w:p w14:paraId="731C0F69"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Statistical inference</w:t>
            </w:r>
          </w:p>
        </w:tc>
      </w:tr>
      <w:tr w:rsidR="001E1693" w:rsidRPr="00013089" w14:paraId="13CA7503" w14:textId="77777777" w:rsidTr="00FF0D5A">
        <w:tc>
          <w:tcPr>
            <w:tcW w:w="0" w:type="auto"/>
            <w:hideMark/>
          </w:tcPr>
          <w:p w14:paraId="7F3755FA"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pH</w:t>
            </w:r>
          </w:p>
        </w:tc>
        <w:tc>
          <w:tcPr>
            <w:tcW w:w="0" w:type="auto"/>
            <w:hideMark/>
          </w:tcPr>
          <w:p w14:paraId="08EA455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4.86</w:t>
            </w:r>
          </w:p>
        </w:tc>
        <w:tc>
          <w:tcPr>
            <w:tcW w:w="0" w:type="auto"/>
            <w:hideMark/>
          </w:tcPr>
          <w:p w14:paraId="1E73F03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0.004</w:t>
            </w:r>
          </w:p>
        </w:tc>
        <w:tc>
          <w:tcPr>
            <w:tcW w:w="0" w:type="auto"/>
            <w:hideMark/>
          </w:tcPr>
          <w:p w14:paraId="60D2D88D"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7B8B0662" w14:textId="77777777" w:rsidTr="00FF0D5A">
        <w:tc>
          <w:tcPr>
            <w:tcW w:w="0" w:type="auto"/>
            <w:hideMark/>
          </w:tcPr>
          <w:p w14:paraId="58F7BB1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EC</w:t>
            </w:r>
          </w:p>
        </w:tc>
        <w:tc>
          <w:tcPr>
            <w:tcW w:w="0" w:type="auto"/>
            <w:hideMark/>
          </w:tcPr>
          <w:p w14:paraId="32D27598"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18.74</w:t>
            </w:r>
          </w:p>
        </w:tc>
        <w:tc>
          <w:tcPr>
            <w:tcW w:w="0" w:type="auto"/>
            <w:hideMark/>
          </w:tcPr>
          <w:p w14:paraId="4EF6202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533D8E5A"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65E806C2" w14:textId="77777777" w:rsidTr="00FF0D5A">
        <w:tc>
          <w:tcPr>
            <w:tcW w:w="0" w:type="auto"/>
            <w:hideMark/>
          </w:tcPr>
          <w:p w14:paraId="1F80C8D4"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TDS</w:t>
            </w:r>
          </w:p>
        </w:tc>
        <w:tc>
          <w:tcPr>
            <w:tcW w:w="0" w:type="auto"/>
            <w:hideMark/>
          </w:tcPr>
          <w:p w14:paraId="2AA51DC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17.92</w:t>
            </w:r>
          </w:p>
        </w:tc>
        <w:tc>
          <w:tcPr>
            <w:tcW w:w="0" w:type="auto"/>
            <w:hideMark/>
          </w:tcPr>
          <w:p w14:paraId="1B74D81B"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6C9331BD"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340C3E7C" w14:textId="77777777" w:rsidTr="00FF0D5A">
        <w:tc>
          <w:tcPr>
            <w:tcW w:w="0" w:type="auto"/>
            <w:hideMark/>
          </w:tcPr>
          <w:p w14:paraId="11583E49"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Total hardness</w:t>
            </w:r>
          </w:p>
        </w:tc>
        <w:tc>
          <w:tcPr>
            <w:tcW w:w="0" w:type="auto"/>
            <w:hideMark/>
          </w:tcPr>
          <w:p w14:paraId="015A290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12.68</w:t>
            </w:r>
          </w:p>
        </w:tc>
        <w:tc>
          <w:tcPr>
            <w:tcW w:w="0" w:type="auto"/>
            <w:hideMark/>
          </w:tcPr>
          <w:p w14:paraId="7AE48EFD"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2D4E6883"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26A1EA04" w14:textId="77777777" w:rsidTr="00FF0D5A">
        <w:tc>
          <w:tcPr>
            <w:tcW w:w="0" w:type="auto"/>
            <w:hideMark/>
          </w:tcPr>
          <w:p w14:paraId="54C5ED2B"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Ca²⁺</w:t>
            </w:r>
          </w:p>
        </w:tc>
        <w:tc>
          <w:tcPr>
            <w:tcW w:w="0" w:type="auto"/>
            <w:hideMark/>
          </w:tcPr>
          <w:p w14:paraId="4828677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15.43</w:t>
            </w:r>
          </w:p>
        </w:tc>
        <w:tc>
          <w:tcPr>
            <w:tcW w:w="0" w:type="auto"/>
            <w:hideMark/>
          </w:tcPr>
          <w:p w14:paraId="5115CF5E"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4CC1172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69BF6A8C" w14:textId="77777777" w:rsidTr="00FF0D5A">
        <w:tc>
          <w:tcPr>
            <w:tcW w:w="0" w:type="auto"/>
            <w:hideMark/>
          </w:tcPr>
          <w:p w14:paraId="2C9B73C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Mg²⁺</w:t>
            </w:r>
          </w:p>
        </w:tc>
        <w:tc>
          <w:tcPr>
            <w:tcW w:w="0" w:type="auto"/>
            <w:hideMark/>
          </w:tcPr>
          <w:p w14:paraId="62B61281"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9.84</w:t>
            </w:r>
          </w:p>
        </w:tc>
        <w:tc>
          <w:tcPr>
            <w:tcW w:w="0" w:type="auto"/>
            <w:hideMark/>
          </w:tcPr>
          <w:p w14:paraId="7DF0BDF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17B3DA03"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1A41728D" w14:textId="77777777" w:rsidTr="00FF0D5A">
        <w:tc>
          <w:tcPr>
            <w:tcW w:w="0" w:type="auto"/>
            <w:hideMark/>
          </w:tcPr>
          <w:p w14:paraId="6F67654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Na⁺</w:t>
            </w:r>
          </w:p>
        </w:tc>
        <w:tc>
          <w:tcPr>
            <w:tcW w:w="0" w:type="auto"/>
            <w:hideMark/>
          </w:tcPr>
          <w:p w14:paraId="6CA6697A"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7.62</w:t>
            </w:r>
          </w:p>
        </w:tc>
        <w:tc>
          <w:tcPr>
            <w:tcW w:w="0" w:type="auto"/>
            <w:hideMark/>
          </w:tcPr>
          <w:p w14:paraId="47296F2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1B9ABC9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2092FFBC" w14:textId="77777777" w:rsidTr="00FF0D5A">
        <w:tc>
          <w:tcPr>
            <w:tcW w:w="0" w:type="auto"/>
            <w:hideMark/>
          </w:tcPr>
          <w:p w14:paraId="5BD45D91"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K⁺</w:t>
            </w:r>
          </w:p>
        </w:tc>
        <w:tc>
          <w:tcPr>
            <w:tcW w:w="0" w:type="auto"/>
            <w:hideMark/>
          </w:tcPr>
          <w:p w14:paraId="7D16756A"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5.14</w:t>
            </w:r>
          </w:p>
        </w:tc>
        <w:tc>
          <w:tcPr>
            <w:tcW w:w="0" w:type="auto"/>
            <w:hideMark/>
          </w:tcPr>
          <w:p w14:paraId="61A3595E"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0.002</w:t>
            </w:r>
          </w:p>
        </w:tc>
        <w:tc>
          <w:tcPr>
            <w:tcW w:w="0" w:type="auto"/>
            <w:hideMark/>
          </w:tcPr>
          <w:p w14:paraId="52A860B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4DBE0E1A" w14:textId="77777777" w:rsidTr="00FF0D5A">
        <w:tc>
          <w:tcPr>
            <w:tcW w:w="0" w:type="auto"/>
            <w:hideMark/>
          </w:tcPr>
          <w:p w14:paraId="42698C1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HCO₃⁻</w:t>
            </w:r>
          </w:p>
        </w:tc>
        <w:tc>
          <w:tcPr>
            <w:tcW w:w="0" w:type="auto"/>
            <w:hideMark/>
          </w:tcPr>
          <w:p w14:paraId="662F279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11.76</w:t>
            </w:r>
          </w:p>
        </w:tc>
        <w:tc>
          <w:tcPr>
            <w:tcW w:w="0" w:type="auto"/>
            <w:hideMark/>
          </w:tcPr>
          <w:p w14:paraId="3A0DB2C7"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3A90529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68C1CA4E" w14:textId="77777777" w:rsidTr="00FF0D5A">
        <w:tc>
          <w:tcPr>
            <w:tcW w:w="0" w:type="auto"/>
            <w:hideMark/>
          </w:tcPr>
          <w:p w14:paraId="0F2FD6B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Cl⁻</w:t>
            </w:r>
          </w:p>
        </w:tc>
        <w:tc>
          <w:tcPr>
            <w:tcW w:w="0" w:type="auto"/>
            <w:hideMark/>
          </w:tcPr>
          <w:p w14:paraId="394CC0B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8.93</w:t>
            </w:r>
          </w:p>
        </w:tc>
        <w:tc>
          <w:tcPr>
            <w:tcW w:w="0" w:type="auto"/>
            <w:hideMark/>
          </w:tcPr>
          <w:p w14:paraId="508AC41D"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769261E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741E80DF" w14:textId="77777777" w:rsidTr="00FF0D5A">
        <w:tc>
          <w:tcPr>
            <w:tcW w:w="0" w:type="auto"/>
            <w:hideMark/>
          </w:tcPr>
          <w:p w14:paraId="6D7AFCF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lastRenderedPageBreak/>
              <w:t>SO₄²⁻</w:t>
            </w:r>
          </w:p>
        </w:tc>
        <w:tc>
          <w:tcPr>
            <w:tcW w:w="0" w:type="auto"/>
            <w:hideMark/>
          </w:tcPr>
          <w:p w14:paraId="22472F0D"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6.87</w:t>
            </w:r>
          </w:p>
        </w:tc>
        <w:tc>
          <w:tcPr>
            <w:tcW w:w="0" w:type="auto"/>
            <w:hideMark/>
          </w:tcPr>
          <w:p w14:paraId="1FE4DCDE"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29F9EDA4"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627FA2FC" w14:textId="77777777" w:rsidTr="00FF0D5A">
        <w:tc>
          <w:tcPr>
            <w:tcW w:w="0" w:type="auto"/>
            <w:hideMark/>
          </w:tcPr>
          <w:p w14:paraId="5142D21D"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NO₃⁻</w:t>
            </w:r>
          </w:p>
        </w:tc>
        <w:tc>
          <w:tcPr>
            <w:tcW w:w="0" w:type="auto"/>
            <w:hideMark/>
          </w:tcPr>
          <w:p w14:paraId="0B8379FB"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9.42</w:t>
            </w:r>
          </w:p>
        </w:tc>
        <w:tc>
          <w:tcPr>
            <w:tcW w:w="0" w:type="auto"/>
            <w:hideMark/>
          </w:tcPr>
          <w:p w14:paraId="4DEB44A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55B6D7B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6E732323" w14:textId="77777777" w:rsidTr="00FF0D5A">
        <w:tc>
          <w:tcPr>
            <w:tcW w:w="0" w:type="auto"/>
            <w:hideMark/>
          </w:tcPr>
          <w:p w14:paraId="559C8D44"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Fe</w:t>
            </w:r>
          </w:p>
        </w:tc>
        <w:tc>
          <w:tcPr>
            <w:tcW w:w="0" w:type="auto"/>
            <w:hideMark/>
          </w:tcPr>
          <w:p w14:paraId="71E43CD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10.58</w:t>
            </w:r>
          </w:p>
        </w:tc>
        <w:tc>
          <w:tcPr>
            <w:tcW w:w="0" w:type="auto"/>
            <w:hideMark/>
          </w:tcPr>
          <w:p w14:paraId="5C0028AD"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0D2563D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7E0472EE" w14:textId="77777777" w:rsidTr="00FF0D5A">
        <w:tc>
          <w:tcPr>
            <w:tcW w:w="0" w:type="auto"/>
            <w:hideMark/>
          </w:tcPr>
          <w:p w14:paraId="5217EA3A"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Mn</w:t>
            </w:r>
          </w:p>
        </w:tc>
        <w:tc>
          <w:tcPr>
            <w:tcW w:w="0" w:type="auto"/>
            <w:hideMark/>
          </w:tcPr>
          <w:p w14:paraId="7A819E4A"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8.76</w:t>
            </w:r>
          </w:p>
        </w:tc>
        <w:tc>
          <w:tcPr>
            <w:tcW w:w="0" w:type="auto"/>
            <w:hideMark/>
          </w:tcPr>
          <w:p w14:paraId="59A27A5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493B2B99"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bl>
    <w:p w14:paraId="0BBA1950"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Statistical significance was considered at p &lt; 0.05.</w:t>
      </w:r>
    </w:p>
    <w:p w14:paraId="7D69C77C"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3.7 Spatial Variation in Microbiological Indicators</w:t>
      </w:r>
    </w:p>
    <w:p w14:paraId="5E16CD71"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microbiological indicators differed significantly among the geological settings. Total coliforms, faecal coliforms,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and enterococci were highest in the weathered-regolith domain and lowest in the Younger Granite setting. Heterotrophic bacterial counts were highest in the shale/sedimentary setting.</w:t>
      </w:r>
    </w:p>
    <w:p w14:paraId="2BD44962" w14:textId="765FA9F5"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 7: One-way ANOVA of microbiological indicators among geological settings</w:t>
      </w:r>
    </w:p>
    <w:tbl>
      <w:tblPr>
        <w:tblStyle w:val="Grilledutableau"/>
        <w:tblW w:w="0" w:type="auto"/>
        <w:tblLook w:val="04A0" w:firstRow="1" w:lastRow="0" w:firstColumn="1" w:lastColumn="0" w:noHBand="0" w:noVBand="1"/>
      </w:tblPr>
      <w:tblGrid>
        <w:gridCol w:w="2969"/>
        <w:gridCol w:w="990"/>
        <w:gridCol w:w="977"/>
        <w:gridCol w:w="2236"/>
      </w:tblGrid>
      <w:tr w:rsidR="001E1693" w:rsidRPr="00013089" w14:paraId="462A87BA" w14:textId="77777777" w:rsidTr="00FF0D5A">
        <w:tc>
          <w:tcPr>
            <w:tcW w:w="0" w:type="auto"/>
            <w:hideMark/>
          </w:tcPr>
          <w:p w14:paraId="0A100C92"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Microbiological parameter</w:t>
            </w:r>
          </w:p>
        </w:tc>
        <w:tc>
          <w:tcPr>
            <w:tcW w:w="0" w:type="auto"/>
            <w:hideMark/>
          </w:tcPr>
          <w:p w14:paraId="24BEF9F5"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F-value</w:t>
            </w:r>
          </w:p>
        </w:tc>
        <w:tc>
          <w:tcPr>
            <w:tcW w:w="0" w:type="auto"/>
            <w:hideMark/>
          </w:tcPr>
          <w:p w14:paraId="4D87F954"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p-value</w:t>
            </w:r>
          </w:p>
        </w:tc>
        <w:tc>
          <w:tcPr>
            <w:tcW w:w="0" w:type="auto"/>
            <w:hideMark/>
          </w:tcPr>
          <w:p w14:paraId="7474F6BC"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Statistical inference</w:t>
            </w:r>
          </w:p>
        </w:tc>
      </w:tr>
      <w:tr w:rsidR="001E1693" w:rsidRPr="00013089" w14:paraId="49EE30B4" w14:textId="77777777" w:rsidTr="00FF0D5A">
        <w:tc>
          <w:tcPr>
            <w:tcW w:w="0" w:type="auto"/>
            <w:hideMark/>
          </w:tcPr>
          <w:p w14:paraId="68A5C71B"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Heterotrophic bacteria</w:t>
            </w:r>
          </w:p>
        </w:tc>
        <w:tc>
          <w:tcPr>
            <w:tcW w:w="0" w:type="auto"/>
            <w:hideMark/>
          </w:tcPr>
          <w:p w14:paraId="3AD43D29"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7.84</w:t>
            </w:r>
          </w:p>
        </w:tc>
        <w:tc>
          <w:tcPr>
            <w:tcW w:w="0" w:type="auto"/>
            <w:hideMark/>
          </w:tcPr>
          <w:p w14:paraId="7B3B2C6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282260F4"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5ED9550F" w14:textId="77777777" w:rsidTr="00FF0D5A">
        <w:tc>
          <w:tcPr>
            <w:tcW w:w="0" w:type="auto"/>
            <w:hideMark/>
          </w:tcPr>
          <w:p w14:paraId="51CF4ED8"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Total coliforms</w:t>
            </w:r>
          </w:p>
        </w:tc>
        <w:tc>
          <w:tcPr>
            <w:tcW w:w="0" w:type="auto"/>
            <w:hideMark/>
          </w:tcPr>
          <w:p w14:paraId="19108C1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9.62</w:t>
            </w:r>
          </w:p>
        </w:tc>
        <w:tc>
          <w:tcPr>
            <w:tcW w:w="0" w:type="auto"/>
            <w:hideMark/>
          </w:tcPr>
          <w:p w14:paraId="2ADA0241"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0895332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591AFE2C" w14:textId="77777777" w:rsidTr="00FF0D5A">
        <w:tc>
          <w:tcPr>
            <w:tcW w:w="0" w:type="auto"/>
            <w:hideMark/>
          </w:tcPr>
          <w:p w14:paraId="52A1092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Faecal coliforms</w:t>
            </w:r>
          </w:p>
        </w:tc>
        <w:tc>
          <w:tcPr>
            <w:tcW w:w="0" w:type="auto"/>
            <w:hideMark/>
          </w:tcPr>
          <w:p w14:paraId="06E7E0F4"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8.47</w:t>
            </w:r>
          </w:p>
        </w:tc>
        <w:tc>
          <w:tcPr>
            <w:tcW w:w="0" w:type="auto"/>
            <w:hideMark/>
          </w:tcPr>
          <w:p w14:paraId="08AD995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06DFF73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38490AD5" w14:textId="77777777" w:rsidTr="00FF0D5A">
        <w:tc>
          <w:tcPr>
            <w:tcW w:w="0" w:type="auto"/>
            <w:hideMark/>
          </w:tcPr>
          <w:p w14:paraId="7B95C2F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i/>
                <w:iCs/>
                <w:sz w:val="24"/>
                <w:szCs w:val="24"/>
                <w:lang w:eastAsia="en-GB"/>
              </w:rPr>
              <w:t>E. coli</w:t>
            </w:r>
          </w:p>
        </w:tc>
        <w:tc>
          <w:tcPr>
            <w:tcW w:w="0" w:type="auto"/>
            <w:hideMark/>
          </w:tcPr>
          <w:p w14:paraId="3B66380E"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7.93</w:t>
            </w:r>
          </w:p>
        </w:tc>
        <w:tc>
          <w:tcPr>
            <w:tcW w:w="0" w:type="auto"/>
            <w:hideMark/>
          </w:tcPr>
          <w:p w14:paraId="5B814A53"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0A0D38C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r w:rsidR="001E1693" w:rsidRPr="00013089" w14:paraId="54AD0E76" w14:textId="77777777" w:rsidTr="00FF0D5A">
        <w:tc>
          <w:tcPr>
            <w:tcW w:w="0" w:type="auto"/>
            <w:hideMark/>
          </w:tcPr>
          <w:p w14:paraId="6531589B"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Enterococci</w:t>
            </w:r>
          </w:p>
        </w:tc>
        <w:tc>
          <w:tcPr>
            <w:tcW w:w="0" w:type="auto"/>
            <w:hideMark/>
          </w:tcPr>
          <w:p w14:paraId="31211A3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6.58</w:t>
            </w:r>
          </w:p>
        </w:tc>
        <w:tc>
          <w:tcPr>
            <w:tcW w:w="0" w:type="auto"/>
            <w:hideMark/>
          </w:tcPr>
          <w:p w14:paraId="5DF84729"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&lt;0.001</w:t>
            </w:r>
          </w:p>
        </w:tc>
        <w:tc>
          <w:tcPr>
            <w:tcW w:w="0" w:type="auto"/>
            <w:hideMark/>
          </w:tcPr>
          <w:p w14:paraId="18CEE828"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Significant</w:t>
            </w:r>
          </w:p>
        </w:tc>
      </w:tr>
    </w:tbl>
    <w:p w14:paraId="0E10AD1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Statistical significance was considered at p &lt; 0.05.</w:t>
      </w:r>
    </w:p>
    <w:p w14:paraId="30CD3E99"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3.8 Relationship between Groundwater Chemistry and Microbiological Quality</w:t>
      </w:r>
    </w:p>
    <w:p w14:paraId="4CE734FE"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Pearson correlation analysis showed significant relationships between selected groundwater physicochemical parameters and microbiological indicators. Turbidity exhibited strong positive correlations with total coliforms, faecal coliforms,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and enterococci. Nitrate also showed positive correlations with the microbial indicators. pH showed weak-to-moderate negative correlations with the microbiological parameters.</w:t>
      </w:r>
    </w:p>
    <w:p w14:paraId="5CE8E411" w14:textId="4F081756"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 8: Pearson correlation coefficients between selected groundwater parameters and microbiological indicators</w:t>
      </w:r>
    </w:p>
    <w:tbl>
      <w:tblPr>
        <w:tblStyle w:val="Grilledutableau"/>
        <w:tblW w:w="0" w:type="auto"/>
        <w:tblLook w:val="04A0" w:firstRow="1" w:lastRow="0" w:firstColumn="1" w:lastColumn="0" w:noHBand="0" w:noVBand="1"/>
      </w:tblPr>
      <w:tblGrid>
        <w:gridCol w:w="2756"/>
        <w:gridCol w:w="1783"/>
        <w:gridCol w:w="1902"/>
        <w:gridCol w:w="996"/>
        <w:gridCol w:w="1429"/>
      </w:tblGrid>
      <w:tr w:rsidR="001E1693" w:rsidRPr="00013089" w14:paraId="7C7046BC" w14:textId="77777777" w:rsidTr="00FF0D5A">
        <w:tc>
          <w:tcPr>
            <w:tcW w:w="0" w:type="auto"/>
            <w:hideMark/>
          </w:tcPr>
          <w:p w14:paraId="6D823A50"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Groundwater parameter</w:t>
            </w:r>
          </w:p>
        </w:tc>
        <w:tc>
          <w:tcPr>
            <w:tcW w:w="0" w:type="auto"/>
            <w:hideMark/>
          </w:tcPr>
          <w:p w14:paraId="3803FC9C"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Total coliforms</w:t>
            </w:r>
          </w:p>
        </w:tc>
        <w:tc>
          <w:tcPr>
            <w:tcW w:w="0" w:type="auto"/>
            <w:hideMark/>
          </w:tcPr>
          <w:p w14:paraId="0BFEB5BB"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Faecal coliforms</w:t>
            </w:r>
          </w:p>
        </w:tc>
        <w:tc>
          <w:tcPr>
            <w:tcW w:w="0" w:type="auto"/>
            <w:hideMark/>
          </w:tcPr>
          <w:p w14:paraId="458E7E3B"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i/>
                <w:iCs/>
                <w:sz w:val="24"/>
                <w:szCs w:val="24"/>
                <w:lang w:eastAsia="en-GB"/>
              </w:rPr>
              <w:t>E. coli</w:t>
            </w:r>
          </w:p>
        </w:tc>
        <w:tc>
          <w:tcPr>
            <w:tcW w:w="0" w:type="auto"/>
            <w:hideMark/>
          </w:tcPr>
          <w:p w14:paraId="068D7939"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Enterococci</w:t>
            </w:r>
          </w:p>
        </w:tc>
      </w:tr>
      <w:tr w:rsidR="001E1693" w:rsidRPr="00013089" w14:paraId="0DDE47CC" w14:textId="77777777" w:rsidTr="00FF0D5A">
        <w:tc>
          <w:tcPr>
            <w:tcW w:w="0" w:type="auto"/>
            <w:hideMark/>
          </w:tcPr>
          <w:p w14:paraId="7A56A1FD"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pH</w:t>
            </w:r>
          </w:p>
        </w:tc>
        <w:tc>
          <w:tcPr>
            <w:tcW w:w="0" w:type="auto"/>
            <w:hideMark/>
          </w:tcPr>
          <w:p w14:paraId="6891655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−0.42**</w:t>
            </w:r>
          </w:p>
        </w:tc>
        <w:tc>
          <w:tcPr>
            <w:tcW w:w="0" w:type="auto"/>
            <w:hideMark/>
          </w:tcPr>
          <w:p w14:paraId="2CE89863"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−0.38**</w:t>
            </w:r>
          </w:p>
        </w:tc>
        <w:tc>
          <w:tcPr>
            <w:tcW w:w="0" w:type="auto"/>
            <w:hideMark/>
          </w:tcPr>
          <w:p w14:paraId="722ADE23"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−0.35*</w:t>
            </w:r>
          </w:p>
        </w:tc>
        <w:tc>
          <w:tcPr>
            <w:tcW w:w="0" w:type="auto"/>
            <w:hideMark/>
          </w:tcPr>
          <w:p w14:paraId="7198CC3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−0.31*</w:t>
            </w:r>
          </w:p>
        </w:tc>
      </w:tr>
      <w:tr w:rsidR="001E1693" w:rsidRPr="00013089" w14:paraId="73E5941E" w14:textId="77777777" w:rsidTr="00FF0D5A">
        <w:tc>
          <w:tcPr>
            <w:tcW w:w="0" w:type="auto"/>
            <w:hideMark/>
          </w:tcPr>
          <w:p w14:paraId="2375286A"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EC</w:t>
            </w:r>
          </w:p>
        </w:tc>
        <w:tc>
          <w:tcPr>
            <w:tcW w:w="0" w:type="auto"/>
            <w:hideMark/>
          </w:tcPr>
          <w:p w14:paraId="609C3309"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0.47**</w:t>
            </w:r>
          </w:p>
        </w:tc>
        <w:tc>
          <w:tcPr>
            <w:tcW w:w="0" w:type="auto"/>
            <w:hideMark/>
          </w:tcPr>
          <w:p w14:paraId="635ED9E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0.44**</w:t>
            </w:r>
          </w:p>
        </w:tc>
        <w:tc>
          <w:tcPr>
            <w:tcW w:w="0" w:type="auto"/>
            <w:hideMark/>
          </w:tcPr>
          <w:p w14:paraId="48D95F0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0.41**</w:t>
            </w:r>
          </w:p>
        </w:tc>
        <w:tc>
          <w:tcPr>
            <w:tcW w:w="0" w:type="auto"/>
            <w:hideMark/>
          </w:tcPr>
          <w:p w14:paraId="561EBA8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0.39**</w:t>
            </w:r>
          </w:p>
        </w:tc>
      </w:tr>
      <w:tr w:rsidR="001E1693" w:rsidRPr="00013089" w14:paraId="094C2913" w14:textId="77777777" w:rsidTr="00FF0D5A">
        <w:tc>
          <w:tcPr>
            <w:tcW w:w="0" w:type="auto"/>
            <w:hideMark/>
          </w:tcPr>
          <w:p w14:paraId="49703803"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Turbidity</w:t>
            </w:r>
          </w:p>
        </w:tc>
        <w:tc>
          <w:tcPr>
            <w:tcW w:w="0" w:type="auto"/>
            <w:hideMark/>
          </w:tcPr>
          <w:p w14:paraId="7121A154"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0.72***</w:t>
            </w:r>
          </w:p>
        </w:tc>
        <w:tc>
          <w:tcPr>
            <w:tcW w:w="0" w:type="auto"/>
            <w:hideMark/>
          </w:tcPr>
          <w:p w14:paraId="32371657"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0.69***</w:t>
            </w:r>
          </w:p>
        </w:tc>
        <w:tc>
          <w:tcPr>
            <w:tcW w:w="0" w:type="auto"/>
            <w:hideMark/>
          </w:tcPr>
          <w:p w14:paraId="0660E72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0.68***</w:t>
            </w:r>
          </w:p>
        </w:tc>
        <w:tc>
          <w:tcPr>
            <w:tcW w:w="0" w:type="auto"/>
            <w:hideMark/>
          </w:tcPr>
          <w:p w14:paraId="4E901A4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0.63***</w:t>
            </w:r>
          </w:p>
        </w:tc>
      </w:tr>
      <w:tr w:rsidR="001E1693" w:rsidRPr="00013089" w14:paraId="1966F5C2" w14:textId="77777777" w:rsidTr="00FF0D5A">
        <w:tc>
          <w:tcPr>
            <w:tcW w:w="0" w:type="auto"/>
            <w:hideMark/>
          </w:tcPr>
          <w:p w14:paraId="49D0823D"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TDS</w:t>
            </w:r>
          </w:p>
        </w:tc>
        <w:tc>
          <w:tcPr>
            <w:tcW w:w="0" w:type="auto"/>
            <w:hideMark/>
          </w:tcPr>
          <w:p w14:paraId="5F212AC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0.38*</w:t>
            </w:r>
          </w:p>
        </w:tc>
        <w:tc>
          <w:tcPr>
            <w:tcW w:w="0" w:type="auto"/>
            <w:hideMark/>
          </w:tcPr>
          <w:p w14:paraId="1674407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0.35*</w:t>
            </w:r>
          </w:p>
        </w:tc>
        <w:tc>
          <w:tcPr>
            <w:tcW w:w="0" w:type="auto"/>
            <w:hideMark/>
          </w:tcPr>
          <w:p w14:paraId="04D8B81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0.32*</w:t>
            </w:r>
          </w:p>
        </w:tc>
        <w:tc>
          <w:tcPr>
            <w:tcW w:w="0" w:type="auto"/>
            <w:hideMark/>
          </w:tcPr>
          <w:p w14:paraId="091C2FEB"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0.29*</w:t>
            </w:r>
          </w:p>
        </w:tc>
      </w:tr>
      <w:tr w:rsidR="001E1693" w:rsidRPr="00013089" w14:paraId="361E11C2" w14:textId="77777777" w:rsidTr="00FF0D5A">
        <w:tc>
          <w:tcPr>
            <w:tcW w:w="0" w:type="auto"/>
            <w:hideMark/>
          </w:tcPr>
          <w:p w14:paraId="1DEECD79"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Nitrate</w:t>
            </w:r>
          </w:p>
        </w:tc>
        <w:tc>
          <w:tcPr>
            <w:tcW w:w="0" w:type="auto"/>
            <w:hideMark/>
          </w:tcPr>
          <w:p w14:paraId="6D4D650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0.61***</w:t>
            </w:r>
          </w:p>
        </w:tc>
        <w:tc>
          <w:tcPr>
            <w:tcW w:w="0" w:type="auto"/>
            <w:hideMark/>
          </w:tcPr>
          <w:p w14:paraId="4D2AE2F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0.58***</w:t>
            </w:r>
          </w:p>
        </w:tc>
        <w:tc>
          <w:tcPr>
            <w:tcW w:w="0" w:type="auto"/>
            <w:hideMark/>
          </w:tcPr>
          <w:p w14:paraId="01510003"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0.56***</w:t>
            </w:r>
          </w:p>
        </w:tc>
        <w:tc>
          <w:tcPr>
            <w:tcW w:w="0" w:type="auto"/>
            <w:hideMark/>
          </w:tcPr>
          <w:p w14:paraId="1B7A190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0.51**</w:t>
            </w:r>
          </w:p>
        </w:tc>
      </w:tr>
      <w:tr w:rsidR="001E1693" w:rsidRPr="00013089" w14:paraId="224785AD" w14:textId="77777777" w:rsidTr="00FF0D5A">
        <w:tc>
          <w:tcPr>
            <w:tcW w:w="0" w:type="auto"/>
            <w:hideMark/>
          </w:tcPr>
          <w:p w14:paraId="3A9C0F03"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Total hardness</w:t>
            </w:r>
          </w:p>
        </w:tc>
        <w:tc>
          <w:tcPr>
            <w:tcW w:w="0" w:type="auto"/>
            <w:hideMark/>
          </w:tcPr>
          <w:p w14:paraId="0FF8CBD9"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0.27</w:t>
            </w:r>
          </w:p>
        </w:tc>
        <w:tc>
          <w:tcPr>
            <w:tcW w:w="0" w:type="auto"/>
            <w:hideMark/>
          </w:tcPr>
          <w:p w14:paraId="56B0EA9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0.25</w:t>
            </w:r>
          </w:p>
        </w:tc>
        <w:tc>
          <w:tcPr>
            <w:tcW w:w="0" w:type="auto"/>
            <w:hideMark/>
          </w:tcPr>
          <w:p w14:paraId="5C23B95B"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0.22</w:t>
            </w:r>
          </w:p>
        </w:tc>
        <w:tc>
          <w:tcPr>
            <w:tcW w:w="0" w:type="auto"/>
            <w:hideMark/>
          </w:tcPr>
          <w:p w14:paraId="618ABB7D"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0.19</w:t>
            </w:r>
          </w:p>
        </w:tc>
      </w:tr>
      <w:tr w:rsidR="001E1693" w:rsidRPr="00013089" w14:paraId="780D356D" w14:textId="77777777" w:rsidTr="00FF0D5A">
        <w:tc>
          <w:tcPr>
            <w:tcW w:w="0" w:type="auto"/>
            <w:hideMark/>
          </w:tcPr>
          <w:p w14:paraId="2CDFFA77"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Fe</w:t>
            </w:r>
          </w:p>
        </w:tc>
        <w:tc>
          <w:tcPr>
            <w:tcW w:w="0" w:type="auto"/>
            <w:hideMark/>
          </w:tcPr>
          <w:p w14:paraId="27987F0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0.18</w:t>
            </w:r>
          </w:p>
        </w:tc>
        <w:tc>
          <w:tcPr>
            <w:tcW w:w="0" w:type="auto"/>
            <w:hideMark/>
          </w:tcPr>
          <w:p w14:paraId="204EC4B4"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0.16</w:t>
            </w:r>
          </w:p>
        </w:tc>
        <w:tc>
          <w:tcPr>
            <w:tcW w:w="0" w:type="auto"/>
            <w:hideMark/>
          </w:tcPr>
          <w:p w14:paraId="08DD02F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0.14</w:t>
            </w:r>
          </w:p>
        </w:tc>
        <w:tc>
          <w:tcPr>
            <w:tcW w:w="0" w:type="auto"/>
            <w:hideMark/>
          </w:tcPr>
          <w:p w14:paraId="21C75B7B"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0.12</w:t>
            </w:r>
          </w:p>
        </w:tc>
      </w:tr>
    </w:tbl>
    <w:p w14:paraId="2DC79C32" w14:textId="77777777" w:rsidR="001E1693" w:rsidRPr="00013089" w:rsidRDefault="001E1693" w:rsidP="001E169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p &lt; 0.05; ** p &lt; 0.01; *** p &lt; 0.001.</w:t>
      </w:r>
    </w:p>
    <w:p w14:paraId="5DBFFEE8"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3.9 Comparative Groundwater Mineralisation</w:t>
      </w:r>
    </w:p>
    <w:p w14:paraId="29A2F4D5"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lastRenderedPageBreak/>
        <w:t>The comparative assessment showed that Basement Complex groundwater had the highest values for EC, TDS, total hardness, calcium, magnesium and bicarbonate. Younger Granite groundwater showed intermediate mineralisation, whereas weathered-regolith groundwater had the lowest concentrations of the principal mineralisation indicators. The shale/sedimentary setting exhibited an intermediate-to-high mineralisation profile.</w:t>
      </w:r>
    </w:p>
    <w:p w14:paraId="6B974E17" w14:textId="0474177C"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Table.9: Comparative groundwater mineralisation across geological settings</w:t>
      </w:r>
    </w:p>
    <w:tbl>
      <w:tblPr>
        <w:tblStyle w:val="Grilledutableau"/>
        <w:tblW w:w="0" w:type="auto"/>
        <w:tblLook w:val="04A0" w:firstRow="1" w:lastRow="0" w:firstColumn="1" w:lastColumn="0" w:noHBand="0" w:noVBand="1"/>
      </w:tblPr>
      <w:tblGrid>
        <w:gridCol w:w="2060"/>
        <w:gridCol w:w="1128"/>
        <w:gridCol w:w="1065"/>
        <w:gridCol w:w="1508"/>
        <w:gridCol w:w="1057"/>
        <w:gridCol w:w="1072"/>
        <w:gridCol w:w="1126"/>
      </w:tblGrid>
      <w:tr w:rsidR="001E1693" w:rsidRPr="00013089" w14:paraId="42263DFB" w14:textId="77777777" w:rsidTr="00FF0D5A">
        <w:tc>
          <w:tcPr>
            <w:tcW w:w="0" w:type="auto"/>
            <w:hideMark/>
          </w:tcPr>
          <w:p w14:paraId="269BC9D5"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Geological setting</w:t>
            </w:r>
          </w:p>
        </w:tc>
        <w:tc>
          <w:tcPr>
            <w:tcW w:w="0" w:type="auto"/>
            <w:hideMark/>
          </w:tcPr>
          <w:p w14:paraId="419AC56C"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EC (µS/cm)</w:t>
            </w:r>
          </w:p>
        </w:tc>
        <w:tc>
          <w:tcPr>
            <w:tcW w:w="0" w:type="auto"/>
            <w:hideMark/>
          </w:tcPr>
          <w:p w14:paraId="6994A04A"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TDS (mg/L)</w:t>
            </w:r>
          </w:p>
        </w:tc>
        <w:tc>
          <w:tcPr>
            <w:tcW w:w="0" w:type="auto"/>
            <w:hideMark/>
          </w:tcPr>
          <w:p w14:paraId="05D631D8"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Total hardness (mg/L)</w:t>
            </w:r>
          </w:p>
        </w:tc>
        <w:tc>
          <w:tcPr>
            <w:tcW w:w="0" w:type="auto"/>
            <w:hideMark/>
          </w:tcPr>
          <w:p w14:paraId="0542E1B9"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Ca²⁺ (mg/L)</w:t>
            </w:r>
          </w:p>
        </w:tc>
        <w:tc>
          <w:tcPr>
            <w:tcW w:w="0" w:type="auto"/>
            <w:hideMark/>
          </w:tcPr>
          <w:p w14:paraId="71DA16CC"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Mg²⁺ (mg/L)</w:t>
            </w:r>
          </w:p>
        </w:tc>
        <w:tc>
          <w:tcPr>
            <w:tcW w:w="0" w:type="auto"/>
            <w:hideMark/>
          </w:tcPr>
          <w:p w14:paraId="56A990D6"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HCO₃⁻ (mg/L)</w:t>
            </w:r>
          </w:p>
        </w:tc>
      </w:tr>
      <w:tr w:rsidR="001E1693" w:rsidRPr="00013089" w14:paraId="36FE2CD8" w14:textId="77777777" w:rsidTr="00FF0D5A">
        <w:tc>
          <w:tcPr>
            <w:tcW w:w="0" w:type="auto"/>
            <w:hideMark/>
          </w:tcPr>
          <w:p w14:paraId="502490A9"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Basement Complex</w:t>
            </w:r>
          </w:p>
        </w:tc>
        <w:tc>
          <w:tcPr>
            <w:tcW w:w="0" w:type="auto"/>
            <w:hideMark/>
          </w:tcPr>
          <w:p w14:paraId="25CE925E"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486</w:t>
            </w:r>
          </w:p>
        </w:tc>
        <w:tc>
          <w:tcPr>
            <w:tcW w:w="0" w:type="auto"/>
            <w:hideMark/>
          </w:tcPr>
          <w:p w14:paraId="00D1D401"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312</w:t>
            </w:r>
          </w:p>
        </w:tc>
        <w:tc>
          <w:tcPr>
            <w:tcW w:w="0" w:type="auto"/>
            <w:hideMark/>
          </w:tcPr>
          <w:p w14:paraId="0CBED227"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146</w:t>
            </w:r>
          </w:p>
        </w:tc>
        <w:tc>
          <w:tcPr>
            <w:tcW w:w="0" w:type="auto"/>
            <w:hideMark/>
          </w:tcPr>
          <w:p w14:paraId="0F90E6F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48.6</w:t>
            </w:r>
          </w:p>
        </w:tc>
        <w:tc>
          <w:tcPr>
            <w:tcW w:w="0" w:type="auto"/>
            <w:hideMark/>
          </w:tcPr>
          <w:p w14:paraId="44F8FA3E"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18.4</w:t>
            </w:r>
          </w:p>
        </w:tc>
        <w:tc>
          <w:tcPr>
            <w:tcW w:w="0" w:type="auto"/>
            <w:hideMark/>
          </w:tcPr>
          <w:p w14:paraId="1EA4E55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118</w:t>
            </w:r>
          </w:p>
        </w:tc>
      </w:tr>
      <w:tr w:rsidR="001E1693" w:rsidRPr="00013089" w14:paraId="7DAE2F07" w14:textId="77777777" w:rsidTr="00FF0D5A">
        <w:tc>
          <w:tcPr>
            <w:tcW w:w="0" w:type="auto"/>
            <w:hideMark/>
          </w:tcPr>
          <w:p w14:paraId="500B1AD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Younger Granite</w:t>
            </w:r>
          </w:p>
        </w:tc>
        <w:tc>
          <w:tcPr>
            <w:tcW w:w="0" w:type="auto"/>
            <w:hideMark/>
          </w:tcPr>
          <w:p w14:paraId="55113857"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352</w:t>
            </w:r>
          </w:p>
        </w:tc>
        <w:tc>
          <w:tcPr>
            <w:tcW w:w="0" w:type="auto"/>
            <w:hideMark/>
          </w:tcPr>
          <w:p w14:paraId="10AB4F14"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226</w:t>
            </w:r>
          </w:p>
        </w:tc>
        <w:tc>
          <w:tcPr>
            <w:tcW w:w="0" w:type="auto"/>
            <w:hideMark/>
          </w:tcPr>
          <w:p w14:paraId="1705743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112</w:t>
            </w:r>
          </w:p>
        </w:tc>
        <w:tc>
          <w:tcPr>
            <w:tcW w:w="0" w:type="auto"/>
            <w:hideMark/>
          </w:tcPr>
          <w:p w14:paraId="4747C2B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36.8</w:t>
            </w:r>
          </w:p>
        </w:tc>
        <w:tc>
          <w:tcPr>
            <w:tcW w:w="0" w:type="auto"/>
            <w:hideMark/>
          </w:tcPr>
          <w:p w14:paraId="270689F4"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14.2</w:t>
            </w:r>
          </w:p>
        </w:tc>
        <w:tc>
          <w:tcPr>
            <w:tcW w:w="0" w:type="auto"/>
            <w:hideMark/>
          </w:tcPr>
          <w:p w14:paraId="40E71F7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96</w:t>
            </w:r>
          </w:p>
        </w:tc>
      </w:tr>
      <w:tr w:rsidR="001E1693" w:rsidRPr="00013089" w14:paraId="2E125E27" w14:textId="77777777" w:rsidTr="00FF0D5A">
        <w:tc>
          <w:tcPr>
            <w:tcW w:w="0" w:type="auto"/>
            <w:hideMark/>
          </w:tcPr>
          <w:p w14:paraId="1E4F1ED9"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Shale/Sedimentary</w:t>
            </w:r>
          </w:p>
        </w:tc>
        <w:tc>
          <w:tcPr>
            <w:tcW w:w="0" w:type="auto"/>
            <w:hideMark/>
          </w:tcPr>
          <w:p w14:paraId="5C5F35A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418</w:t>
            </w:r>
          </w:p>
        </w:tc>
        <w:tc>
          <w:tcPr>
            <w:tcW w:w="0" w:type="auto"/>
            <w:hideMark/>
          </w:tcPr>
          <w:p w14:paraId="4B9B660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271</w:t>
            </w:r>
          </w:p>
        </w:tc>
        <w:tc>
          <w:tcPr>
            <w:tcW w:w="0" w:type="auto"/>
            <w:hideMark/>
          </w:tcPr>
          <w:p w14:paraId="23A5B9CA"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128</w:t>
            </w:r>
          </w:p>
        </w:tc>
        <w:tc>
          <w:tcPr>
            <w:tcW w:w="0" w:type="auto"/>
            <w:hideMark/>
          </w:tcPr>
          <w:p w14:paraId="27D54A68"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41.7</w:t>
            </w:r>
          </w:p>
        </w:tc>
        <w:tc>
          <w:tcPr>
            <w:tcW w:w="0" w:type="auto"/>
            <w:hideMark/>
          </w:tcPr>
          <w:p w14:paraId="3C94515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16.8</w:t>
            </w:r>
          </w:p>
        </w:tc>
        <w:tc>
          <w:tcPr>
            <w:tcW w:w="0" w:type="auto"/>
            <w:hideMark/>
          </w:tcPr>
          <w:p w14:paraId="210092F4"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104</w:t>
            </w:r>
          </w:p>
        </w:tc>
      </w:tr>
      <w:tr w:rsidR="001E1693" w:rsidRPr="00013089" w14:paraId="018D4E2E" w14:textId="77777777" w:rsidTr="00FF0D5A">
        <w:tc>
          <w:tcPr>
            <w:tcW w:w="0" w:type="auto"/>
            <w:hideMark/>
          </w:tcPr>
          <w:p w14:paraId="11B2CAE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Weathered Regolith</w:t>
            </w:r>
          </w:p>
        </w:tc>
        <w:tc>
          <w:tcPr>
            <w:tcW w:w="0" w:type="auto"/>
            <w:hideMark/>
          </w:tcPr>
          <w:p w14:paraId="131E8D09"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298</w:t>
            </w:r>
          </w:p>
        </w:tc>
        <w:tc>
          <w:tcPr>
            <w:tcW w:w="0" w:type="auto"/>
            <w:hideMark/>
          </w:tcPr>
          <w:p w14:paraId="16153D9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194</w:t>
            </w:r>
          </w:p>
        </w:tc>
        <w:tc>
          <w:tcPr>
            <w:tcW w:w="0" w:type="auto"/>
            <w:hideMark/>
          </w:tcPr>
          <w:p w14:paraId="47E83028"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94</w:t>
            </w:r>
          </w:p>
        </w:tc>
        <w:tc>
          <w:tcPr>
            <w:tcW w:w="0" w:type="auto"/>
            <w:hideMark/>
          </w:tcPr>
          <w:p w14:paraId="318C3CC2"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29.4</w:t>
            </w:r>
          </w:p>
        </w:tc>
        <w:tc>
          <w:tcPr>
            <w:tcW w:w="0" w:type="auto"/>
            <w:hideMark/>
          </w:tcPr>
          <w:p w14:paraId="6C03AA3A"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11.6</w:t>
            </w:r>
          </w:p>
        </w:tc>
        <w:tc>
          <w:tcPr>
            <w:tcW w:w="0" w:type="auto"/>
            <w:hideMark/>
          </w:tcPr>
          <w:p w14:paraId="63A66569"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82</w:t>
            </w:r>
          </w:p>
        </w:tc>
      </w:tr>
    </w:tbl>
    <w:p w14:paraId="24FCF6CE" w14:textId="77777777" w:rsidR="001E1693" w:rsidRPr="00013089" w:rsidRDefault="001E1693" w:rsidP="001E1693">
      <w:pPr>
        <w:spacing w:before="100" w:beforeAutospacing="1" w:after="100" w:afterAutospacing="1" w:line="240" w:lineRule="auto"/>
        <w:jc w:val="both"/>
        <w:outlineLvl w:val="1"/>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3.10 Integrated Chemical and Microbiological Assessment</w:t>
      </w:r>
    </w:p>
    <w:p w14:paraId="17950A3E"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integrated assessment demonstrated that chemical and microbiological groundwater quality did not exhibit identical spatial patterns. Basement Complex groundwater showed the greatest degree of mineralisation but comparatively lower microbial indicator concentrations than the weathered-regolith domain. The Younger Granite setting exhibited relatively low mineralisation and the lowest microbial indicator concentrations. The shale/sedimentary setting showed elevated dissolved constituents together with increased microbial indicators, whereas the weathered-regolith domain recorded the lowest mineralisation but the highest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concentration.</w:t>
      </w:r>
    </w:p>
    <w:p w14:paraId="4BB69D7D" w14:textId="74B5B055"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Table 10: Integrated chemical and microbiological assessment of groundwater across geological settings</w:t>
      </w:r>
    </w:p>
    <w:tbl>
      <w:tblPr>
        <w:tblStyle w:val="Grilledutableau"/>
        <w:tblW w:w="0" w:type="auto"/>
        <w:tblLook w:val="04A0" w:firstRow="1" w:lastRow="0" w:firstColumn="1" w:lastColumn="0" w:noHBand="0" w:noVBand="1"/>
      </w:tblPr>
      <w:tblGrid>
        <w:gridCol w:w="1868"/>
        <w:gridCol w:w="950"/>
        <w:gridCol w:w="860"/>
        <w:gridCol w:w="1056"/>
        <w:gridCol w:w="1128"/>
        <w:gridCol w:w="1468"/>
        <w:gridCol w:w="1686"/>
      </w:tblGrid>
      <w:tr w:rsidR="001E1693" w:rsidRPr="00013089" w14:paraId="5047B259" w14:textId="77777777" w:rsidTr="00FF0D5A">
        <w:tc>
          <w:tcPr>
            <w:tcW w:w="0" w:type="auto"/>
            <w:hideMark/>
          </w:tcPr>
          <w:p w14:paraId="37C4A601"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Geological setting</w:t>
            </w:r>
          </w:p>
        </w:tc>
        <w:tc>
          <w:tcPr>
            <w:tcW w:w="0" w:type="auto"/>
            <w:hideMark/>
          </w:tcPr>
          <w:p w14:paraId="0E215194"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EC (µS/cm)</w:t>
            </w:r>
          </w:p>
        </w:tc>
        <w:tc>
          <w:tcPr>
            <w:tcW w:w="0" w:type="auto"/>
            <w:hideMark/>
          </w:tcPr>
          <w:p w14:paraId="2F434CBF"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TDS (mg/L)</w:t>
            </w:r>
          </w:p>
        </w:tc>
        <w:tc>
          <w:tcPr>
            <w:tcW w:w="0" w:type="auto"/>
            <w:hideMark/>
          </w:tcPr>
          <w:p w14:paraId="43E3F4C8"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Total hardness (mg/L)</w:t>
            </w:r>
          </w:p>
        </w:tc>
        <w:tc>
          <w:tcPr>
            <w:tcW w:w="0" w:type="auto"/>
            <w:hideMark/>
          </w:tcPr>
          <w:p w14:paraId="1B327BBE"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i/>
                <w:iCs/>
                <w:sz w:val="24"/>
                <w:szCs w:val="24"/>
                <w:lang w:eastAsia="en-GB"/>
              </w:rPr>
              <w:t>E. coli</w:t>
            </w:r>
            <w:r w:rsidRPr="00013089">
              <w:rPr>
                <w:rFonts w:ascii="Times New Roman" w:eastAsia="Times New Roman" w:hAnsi="Times New Roman" w:cs="Times New Roman"/>
                <w:b/>
                <w:bCs/>
                <w:sz w:val="24"/>
                <w:szCs w:val="24"/>
                <w:lang w:eastAsia="en-GB"/>
              </w:rPr>
              <w:t xml:space="preserve"> (CFU/100 mL)</w:t>
            </w:r>
          </w:p>
        </w:tc>
        <w:tc>
          <w:tcPr>
            <w:tcW w:w="0" w:type="auto"/>
            <w:hideMark/>
          </w:tcPr>
          <w:p w14:paraId="7AC1EEC1"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Chemical profile</w:t>
            </w:r>
          </w:p>
        </w:tc>
        <w:tc>
          <w:tcPr>
            <w:tcW w:w="0" w:type="auto"/>
            <w:hideMark/>
          </w:tcPr>
          <w:p w14:paraId="7CF14DEF" w14:textId="77777777" w:rsidR="001E1693" w:rsidRPr="00013089" w:rsidRDefault="001E1693" w:rsidP="00FF0D5A">
            <w:pPr>
              <w:jc w:val="both"/>
              <w:rPr>
                <w:rFonts w:ascii="Times New Roman" w:eastAsia="Times New Roman" w:hAnsi="Times New Roman" w:cs="Times New Roman"/>
                <w:b/>
                <w:bCs/>
                <w:sz w:val="24"/>
                <w:szCs w:val="24"/>
                <w:lang w:eastAsia="en-GB"/>
              </w:rPr>
            </w:pPr>
            <w:r w:rsidRPr="00013089">
              <w:rPr>
                <w:rFonts w:ascii="Times New Roman" w:eastAsia="Times New Roman" w:hAnsi="Times New Roman" w:cs="Times New Roman"/>
                <w:b/>
                <w:bCs/>
                <w:sz w:val="24"/>
                <w:szCs w:val="24"/>
                <w:lang w:eastAsia="en-GB"/>
              </w:rPr>
              <w:t>Microbiological profile</w:t>
            </w:r>
          </w:p>
        </w:tc>
      </w:tr>
      <w:tr w:rsidR="001E1693" w:rsidRPr="00013089" w14:paraId="4B79BFA3" w14:textId="77777777" w:rsidTr="00FF0D5A">
        <w:tc>
          <w:tcPr>
            <w:tcW w:w="0" w:type="auto"/>
            <w:hideMark/>
          </w:tcPr>
          <w:p w14:paraId="6991E928"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Basement Complex</w:t>
            </w:r>
          </w:p>
        </w:tc>
        <w:tc>
          <w:tcPr>
            <w:tcW w:w="0" w:type="auto"/>
            <w:hideMark/>
          </w:tcPr>
          <w:p w14:paraId="1DAA81CB"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486</w:t>
            </w:r>
          </w:p>
        </w:tc>
        <w:tc>
          <w:tcPr>
            <w:tcW w:w="0" w:type="auto"/>
            <w:hideMark/>
          </w:tcPr>
          <w:p w14:paraId="31420F8E"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312</w:t>
            </w:r>
          </w:p>
        </w:tc>
        <w:tc>
          <w:tcPr>
            <w:tcW w:w="0" w:type="auto"/>
            <w:hideMark/>
          </w:tcPr>
          <w:p w14:paraId="4E5B8703"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146</w:t>
            </w:r>
          </w:p>
        </w:tc>
        <w:tc>
          <w:tcPr>
            <w:tcW w:w="0" w:type="auto"/>
            <w:hideMark/>
          </w:tcPr>
          <w:p w14:paraId="2857626C"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5</w:t>
            </w:r>
          </w:p>
        </w:tc>
        <w:tc>
          <w:tcPr>
            <w:tcW w:w="0" w:type="auto"/>
            <w:hideMark/>
          </w:tcPr>
          <w:p w14:paraId="3B678507"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Relatively highly mineralised</w:t>
            </w:r>
          </w:p>
        </w:tc>
        <w:tc>
          <w:tcPr>
            <w:tcW w:w="0" w:type="auto"/>
            <w:hideMark/>
          </w:tcPr>
          <w:p w14:paraId="0D67357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Moderate microbial indicators</w:t>
            </w:r>
          </w:p>
        </w:tc>
      </w:tr>
      <w:tr w:rsidR="001E1693" w:rsidRPr="00013089" w14:paraId="1AC9CB2B" w14:textId="77777777" w:rsidTr="00FF0D5A">
        <w:tc>
          <w:tcPr>
            <w:tcW w:w="0" w:type="auto"/>
            <w:hideMark/>
          </w:tcPr>
          <w:p w14:paraId="18B9A1AA"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Younger Granite</w:t>
            </w:r>
          </w:p>
        </w:tc>
        <w:tc>
          <w:tcPr>
            <w:tcW w:w="0" w:type="auto"/>
            <w:hideMark/>
          </w:tcPr>
          <w:p w14:paraId="247BBB3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352</w:t>
            </w:r>
          </w:p>
        </w:tc>
        <w:tc>
          <w:tcPr>
            <w:tcW w:w="0" w:type="auto"/>
            <w:hideMark/>
          </w:tcPr>
          <w:p w14:paraId="39CB141D"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226</w:t>
            </w:r>
          </w:p>
        </w:tc>
        <w:tc>
          <w:tcPr>
            <w:tcW w:w="0" w:type="auto"/>
            <w:hideMark/>
          </w:tcPr>
          <w:p w14:paraId="3ECF672A"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112</w:t>
            </w:r>
          </w:p>
        </w:tc>
        <w:tc>
          <w:tcPr>
            <w:tcW w:w="0" w:type="auto"/>
            <w:hideMark/>
          </w:tcPr>
          <w:p w14:paraId="35B58CCD"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3</w:t>
            </w:r>
          </w:p>
        </w:tc>
        <w:tc>
          <w:tcPr>
            <w:tcW w:w="0" w:type="auto"/>
            <w:hideMark/>
          </w:tcPr>
          <w:p w14:paraId="10E76673"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Relatively low mineralisation</w:t>
            </w:r>
          </w:p>
        </w:tc>
        <w:tc>
          <w:tcPr>
            <w:tcW w:w="0" w:type="auto"/>
            <w:hideMark/>
          </w:tcPr>
          <w:p w14:paraId="1851F251"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Lowest microbial indicators</w:t>
            </w:r>
          </w:p>
        </w:tc>
      </w:tr>
      <w:tr w:rsidR="001E1693" w:rsidRPr="00013089" w14:paraId="02FC61E6" w14:textId="77777777" w:rsidTr="00FF0D5A">
        <w:tc>
          <w:tcPr>
            <w:tcW w:w="0" w:type="auto"/>
            <w:hideMark/>
          </w:tcPr>
          <w:p w14:paraId="4A83FDD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Shale/Sedimentary</w:t>
            </w:r>
          </w:p>
        </w:tc>
        <w:tc>
          <w:tcPr>
            <w:tcW w:w="0" w:type="auto"/>
            <w:hideMark/>
          </w:tcPr>
          <w:p w14:paraId="44AF3844"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418</w:t>
            </w:r>
          </w:p>
        </w:tc>
        <w:tc>
          <w:tcPr>
            <w:tcW w:w="0" w:type="auto"/>
            <w:hideMark/>
          </w:tcPr>
          <w:p w14:paraId="110E63E5"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271</w:t>
            </w:r>
          </w:p>
        </w:tc>
        <w:tc>
          <w:tcPr>
            <w:tcW w:w="0" w:type="auto"/>
            <w:hideMark/>
          </w:tcPr>
          <w:p w14:paraId="701AFDD6"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128</w:t>
            </w:r>
          </w:p>
        </w:tc>
        <w:tc>
          <w:tcPr>
            <w:tcW w:w="0" w:type="auto"/>
            <w:hideMark/>
          </w:tcPr>
          <w:p w14:paraId="5688FD0B"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7</w:t>
            </w:r>
          </w:p>
        </w:tc>
        <w:tc>
          <w:tcPr>
            <w:tcW w:w="0" w:type="auto"/>
            <w:hideMark/>
          </w:tcPr>
          <w:p w14:paraId="6060640A"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Elevated dissolved constituents</w:t>
            </w:r>
          </w:p>
        </w:tc>
        <w:tc>
          <w:tcPr>
            <w:tcW w:w="0" w:type="auto"/>
            <w:hideMark/>
          </w:tcPr>
          <w:p w14:paraId="6CEAB3B0"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Elevated microbial indicators</w:t>
            </w:r>
          </w:p>
        </w:tc>
      </w:tr>
      <w:tr w:rsidR="001E1693" w:rsidRPr="00013089" w14:paraId="719D156A" w14:textId="77777777" w:rsidTr="00FF0D5A">
        <w:tc>
          <w:tcPr>
            <w:tcW w:w="0" w:type="auto"/>
            <w:hideMark/>
          </w:tcPr>
          <w:p w14:paraId="27446AE1"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Weathered Regolith</w:t>
            </w:r>
          </w:p>
        </w:tc>
        <w:tc>
          <w:tcPr>
            <w:tcW w:w="0" w:type="auto"/>
            <w:hideMark/>
          </w:tcPr>
          <w:p w14:paraId="06C507AB"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298</w:t>
            </w:r>
          </w:p>
        </w:tc>
        <w:tc>
          <w:tcPr>
            <w:tcW w:w="0" w:type="auto"/>
            <w:hideMark/>
          </w:tcPr>
          <w:p w14:paraId="4FC3F201"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194</w:t>
            </w:r>
          </w:p>
        </w:tc>
        <w:tc>
          <w:tcPr>
            <w:tcW w:w="0" w:type="auto"/>
            <w:hideMark/>
          </w:tcPr>
          <w:p w14:paraId="2B27E3C3"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94</w:t>
            </w:r>
          </w:p>
        </w:tc>
        <w:tc>
          <w:tcPr>
            <w:tcW w:w="0" w:type="auto"/>
            <w:hideMark/>
          </w:tcPr>
          <w:p w14:paraId="345969AF"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11</w:t>
            </w:r>
          </w:p>
        </w:tc>
        <w:tc>
          <w:tcPr>
            <w:tcW w:w="0" w:type="auto"/>
            <w:hideMark/>
          </w:tcPr>
          <w:p w14:paraId="6538411A"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Lowest mineralisation</w:t>
            </w:r>
          </w:p>
        </w:tc>
        <w:tc>
          <w:tcPr>
            <w:tcW w:w="0" w:type="auto"/>
            <w:hideMark/>
          </w:tcPr>
          <w:p w14:paraId="3A267D2E" w14:textId="77777777" w:rsidR="001E1693" w:rsidRPr="00013089" w:rsidRDefault="001E1693" w:rsidP="00FF0D5A">
            <w:pPr>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Highest microbial indicators</w:t>
            </w:r>
          </w:p>
        </w:tc>
      </w:tr>
    </w:tbl>
    <w:p w14:paraId="324B7D31" w14:textId="25CC8D8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lastRenderedPageBreak/>
        <w:t>Note:</w:t>
      </w:r>
      <w:r w:rsidRPr="00013089">
        <w:rPr>
          <w:rFonts w:ascii="Times New Roman" w:eastAsia="Times New Roman" w:hAnsi="Times New Roman" w:cs="Times New Roman"/>
          <w:sz w:val="24"/>
          <w:szCs w:val="24"/>
          <w:lang w:eastAsia="en-GB"/>
        </w:rPr>
        <w:t xml:space="preserve"> Values in Tables 1–</w:t>
      </w:r>
      <w:r w:rsidR="00CF3AF4">
        <w:rPr>
          <w:rFonts w:ascii="Times New Roman" w:eastAsia="Times New Roman" w:hAnsi="Times New Roman" w:cs="Times New Roman"/>
          <w:sz w:val="24"/>
          <w:szCs w:val="24"/>
          <w:lang w:eastAsia="en-GB"/>
        </w:rPr>
        <w:t xml:space="preserve"> </w:t>
      </w:r>
      <w:r w:rsidRPr="00013089">
        <w:rPr>
          <w:rFonts w:ascii="Times New Roman" w:eastAsia="Times New Roman" w:hAnsi="Times New Roman" w:cs="Times New Roman"/>
          <w:sz w:val="24"/>
          <w:szCs w:val="24"/>
          <w:lang w:eastAsia="en-GB"/>
        </w:rPr>
        <w:t>3 and</w:t>
      </w:r>
      <w:r w:rsidR="00CF3AF4">
        <w:rPr>
          <w:rFonts w:ascii="Times New Roman" w:eastAsia="Times New Roman" w:hAnsi="Times New Roman" w:cs="Times New Roman"/>
          <w:sz w:val="24"/>
          <w:szCs w:val="24"/>
          <w:lang w:eastAsia="en-GB"/>
        </w:rPr>
        <w:t xml:space="preserve"> </w:t>
      </w:r>
      <w:r w:rsidRPr="00013089">
        <w:rPr>
          <w:rFonts w:ascii="Times New Roman" w:eastAsia="Times New Roman" w:hAnsi="Times New Roman" w:cs="Times New Roman"/>
          <w:sz w:val="24"/>
          <w:szCs w:val="24"/>
          <w:lang w:eastAsia="en-GB"/>
        </w:rPr>
        <w:t>5 are presented as mean ± SD. Statistical significance was evaluated at p &lt; 0.05.</w:t>
      </w:r>
    </w:p>
    <w:p w14:paraId="150E9A0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4.0 DISCUSSION</w:t>
      </w:r>
    </w:p>
    <w:p w14:paraId="6C385848"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4.1 Physicochemical Characteristics of Groundwater</w:t>
      </w:r>
    </w:p>
    <w:p w14:paraId="489FBC84"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physicochemical results demonstrated clear differences in groundwater characteristics among the four geological settings. The pH ranged from 6.21 ± 0.14 in the shale/sedimentary setting to 6.78 ± 0.16 in the Younger Granite setting, indicating slightly acidic to near-neutral groundwater conditions. The observed pH range is consistent with groundwater systems in which mineral dissolution, carbon dioxide interactions, weathering processes and local recharge conditions influence hydrogen-ion activity. The relatively lower pH observed in the shale/sedimentary environment may reflect differences in lithological composition and water–rock interaction. Comparable hydrochemical variability has been documented in Nigerian groundwater investigations, where geological and environmental conditions contributed to differences in measured water-quality parameters (Ekesiobi </w:t>
      </w:r>
      <w:r w:rsidRPr="00FF0D5A">
        <w:rPr>
          <w:rFonts w:ascii="Times New Roman" w:eastAsia="Times New Roman" w:hAnsi="Times New Roman" w:cs="Times New Roman"/>
          <w:i/>
          <w:sz w:val="24"/>
          <w:szCs w:val="24"/>
          <w:lang w:eastAsia="en-GB"/>
        </w:rPr>
        <w:t>et al</w:t>
      </w:r>
      <w:r w:rsidRPr="00013089">
        <w:rPr>
          <w:rFonts w:ascii="Times New Roman" w:eastAsia="Times New Roman" w:hAnsi="Times New Roman" w:cs="Times New Roman"/>
          <w:sz w:val="24"/>
          <w:szCs w:val="24"/>
          <w:lang w:eastAsia="en-GB"/>
        </w:rPr>
        <w:t xml:space="preserve">., 2025; Elele </w:t>
      </w:r>
      <w:r w:rsidRPr="00FF0D5A">
        <w:rPr>
          <w:rFonts w:ascii="Times New Roman" w:eastAsia="Times New Roman" w:hAnsi="Times New Roman" w:cs="Times New Roman"/>
          <w:i/>
          <w:sz w:val="24"/>
          <w:szCs w:val="24"/>
          <w:lang w:eastAsia="en-GB"/>
        </w:rPr>
        <w:t>et al</w:t>
      </w:r>
      <w:r w:rsidRPr="00013089">
        <w:rPr>
          <w:rFonts w:ascii="Times New Roman" w:eastAsia="Times New Roman" w:hAnsi="Times New Roman" w:cs="Times New Roman"/>
          <w:sz w:val="24"/>
          <w:szCs w:val="24"/>
          <w:lang w:eastAsia="en-GB"/>
        </w:rPr>
        <w:t>., 2025).</w:t>
      </w:r>
    </w:p>
    <w:p w14:paraId="330FDF4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Electrical conductivity and total dissolved solids showed a stronger geological differentiation than pH. Basement Complex groundwater recorded the highest EC (486 ± 42 µS/cm) and TDS (312 ± 28 mg/L), whereas the weathered-regolith setting had the lowest values of 298 ± 27 µS/cm and 194 ± 18 mg/L, respectively. Younger Granite groundwater recorded intermediate-to-high mineralisation, while shale/sedimentary groundwater also showed relatively elevated dissolved constituents. The significant ANOVA results for EC and TDS (p &lt; .001) indicate that these differences were not random within the study design. The higher conductivity and dissolved-solids concentrations in the Basement Complex setting suggest greater acquisition of dissolved ions through mineral weathering and water–rock interaction. Similar relationships between geological setting and groundwater chemistry have been reported in hydrochemical assessments of Nigerian water sources (Okagbare et al., 2025; Ekesiobi </w:t>
      </w:r>
      <w:r w:rsidRPr="00FF0D5A">
        <w:rPr>
          <w:rFonts w:ascii="Times New Roman" w:eastAsia="Times New Roman" w:hAnsi="Times New Roman" w:cs="Times New Roman"/>
          <w:i/>
          <w:sz w:val="24"/>
          <w:szCs w:val="24"/>
          <w:lang w:eastAsia="en-GB"/>
          <w:rPrChange w:id="1" w:author="User" w:date="2026-09-20T14:42:00Z">
            <w:rPr>
              <w:rFonts w:ascii="Times New Roman" w:eastAsia="Times New Roman" w:hAnsi="Times New Roman" w:cs="Times New Roman"/>
              <w:sz w:val="24"/>
              <w:szCs w:val="24"/>
              <w:lang w:eastAsia="en-GB"/>
            </w:rPr>
          </w:rPrChange>
        </w:rPr>
        <w:t>et al</w:t>
      </w:r>
      <w:r w:rsidRPr="00013089">
        <w:rPr>
          <w:rFonts w:ascii="Times New Roman" w:eastAsia="Times New Roman" w:hAnsi="Times New Roman" w:cs="Times New Roman"/>
          <w:sz w:val="24"/>
          <w:szCs w:val="24"/>
          <w:lang w:eastAsia="en-GB"/>
        </w:rPr>
        <w:t>., 2025).</w:t>
      </w:r>
    </w:p>
    <w:p w14:paraId="02F4AF83"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Total hardness followed the same general pattern as EC and TDS, with the highest concentration in Basement Complex groundwater (146 ± 12 mg/L) and the lowest in weathered-regolith groundwater (94 ± 9 mg/L). The corresponding calcium and magnesium concentrations also followed this pattern. This parallel behaviour indicates that calcium and magnesium contributed substantially to the observed mineralisation and hardness. Weathering and dissolution of calcium- and magnesium-bearing minerals provide plausible geochemical explanations for this pattern. The association is consistent with the dominance of Ca–Mg–HCO₃ facies observed in the hydrochemical classification. Nigerian studies have similarly identified hydrochemical signatures associated with mineral dissolution and geological controls on groundwater composition (Ekesiobi </w:t>
      </w:r>
      <w:r w:rsidRPr="00FF0D5A">
        <w:rPr>
          <w:rFonts w:ascii="Times New Roman" w:eastAsia="Times New Roman" w:hAnsi="Times New Roman" w:cs="Times New Roman"/>
          <w:i/>
          <w:sz w:val="24"/>
          <w:szCs w:val="24"/>
          <w:lang w:eastAsia="en-GB"/>
          <w:rPrChange w:id="2" w:author="User" w:date="2026-09-20T14:42:00Z">
            <w:rPr>
              <w:rFonts w:ascii="Times New Roman" w:eastAsia="Times New Roman" w:hAnsi="Times New Roman" w:cs="Times New Roman"/>
              <w:sz w:val="24"/>
              <w:szCs w:val="24"/>
              <w:lang w:eastAsia="en-GB"/>
            </w:rPr>
          </w:rPrChange>
        </w:rPr>
        <w:t>et al</w:t>
      </w:r>
      <w:r w:rsidRPr="00013089">
        <w:rPr>
          <w:rFonts w:ascii="Times New Roman" w:eastAsia="Times New Roman" w:hAnsi="Times New Roman" w:cs="Times New Roman"/>
          <w:sz w:val="24"/>
          <w:szCs w:val="24"/>
          <w:lang w:eastAsia="en-GB"/>
        </w:rPr>
        <w:t xml:space="preserve">., 2025; Okagbare </w:t>
      </w:r>
      <w:r w:rsidRPr="00FF0D5A">
        <w:rPr>
          <w:rFonts w:ascii="Times New Roman" w:eastAsia="Times New Roman" w:hAnsi="Times New Roman" w:cs="Times New Roman"/>
          <w:i/>
          <w:sz w:val="24"/>
          <w:szCs w:val="24"/>
          <w:lang w:eastAsia="en-GB"/>
          <w:rPrChange w:id="3" w:author="User" w:date="2026-09-20T14:42:00Z">
            <w:rPr>
              <w:rFonts w:ascii="Times New Roman" w:eastAsia="Times New Roman" w:hAnsi="Times New Roman" w:cs="Times New Roman"/>
              <w:sz w:val="24"/>
              <w:szCs w:val="24"/>
              <w:lang w:eastAsia="en-GB"/>
            </w:rPr>
          </w:rPrChange>
        </w:rPr>
        <w:t>et al</w:t>
      </w:r>
      <w:r w:rsidRPr="00013089">
        <w:rPr>
          <w:rFonts w:ascii="Times New Roman" w:eastAsia="Times New Roman" w:hAnsi="Times New Roman" w:cs="Times New Roman"/>
          <w:sz w:val="24"/>
          <w:szCs w:val="24"/>
          <w:lang w:eastAsia="en-GB"/>
        </w:rPr>
        <w:t>., 2025).</w:t>
      </w:r>
    </w:p>
    <w:p w14:paraId="7FFDE178"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Alkalinity ranged from 82 ± 7 mg/L in the weathered-regolith setting to 118 ± 10 mg/L in the Basement Complex setting. The close correspondence between alkalinity and bicarbonate concentrations suggests that bicarbonate constituted an important component of the alkalinity of the groundwater. Higher bicarbonate concentrations in the more mineralised settings further support the contribution of water–rock interaction to groundwater chemistry. Such hydrochemical patterns are consistent with groundwater systems in which dissolution and weathering reactions provide major contributions to dissolved inorganic constituents.</w:t>
      </w:r>
    </w:p>
    <w:p w14:paraId="49BFB13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lastRenderedPageBreak/>
        <w:t xml:space="preserve">Turbidity remained relatively low across the geological settings, ranging from 2.16 ± 0.36 to 3.18 ± 0.51 NTU. Although the absolute differences were relatively small, the microbiological results showed that turbidity was strongly and positively associated with total coliforms, faecal coliforms,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and enterococci. This relationship is environmentally important because particulate matter can provide physical protection for microorganisms and may reflect pathways through which surface-derived material enters groundwater. The association also indicates that low apparent turbidity does not necessarily imply microbiological safety. Integrated water-quality studies in Nigerian environments similarly support the value of considering physical and biological indicators together (Elele </w:t>
      </w:r>
      <w:r w:rsidRPr="00FC394B">
        <w:rPr>
          <w:rFonts w:ascii="Times New Roman" w:eastAsia="Times New Roman" w:hAnsi="Times New Roman" w:cs="Times New Roman"/>
          <w:i/>
          <w:sz w:val="24"/>
          <w:szCs w:val="24"/>
          <w:lang w:eastAsia="en-GB"/>
          <w:rPrChange w:id="4" w:author="User" w:date="2026-09-20T14:47:00Z">
            <w:rPr>
              <w:rFonts w:ascii="Times New Roman" w:eastAsia="Times New Roman" w:hAnsi="Times New Roman" w:cs="Times New Roman"/>
              <w:sz w:val="24"/>
              <w:szCs w:val="24"/>
              <w:lang w:eastAsia="en-GB"/>
            </w:rPr>
          </w:rPrChange>
        </w:rPr>
        <w:t>et al</w:t>
      </w:r>
      <w:r w:rsidRPr="00013089">
        <w:rPr>
          <w:rFonts w:ascii="Times New Roman" w:eastAsia="Times New Roman" w:hAnsi="Times New Roman" w:cs="Times New Roman"/>
          <w:sz w:val="24"/>
          <w:szCs w:val="24"/>
          <w:lang w:eastAsia="en-GB"/>
        </w:rPr>
        <w:t xml:space="preserve">., 2025; Okpoji </w:t>
      </w:r>
      <w:r w:rsidRPr="00FC394B">
        <w:rPr>
          <w:rFonts w:ascii="Times New Roman" w:eastAsia="Times New Roman" w:hAnsi="Times New Roman" w:cs="Times New Roman"/>
          <w:i/>
          <w:sz w:val="24"/>
          <w:szCs w:val="24"/>
          <w:lang w:eastAsia="en-GB"/>
          <w:rPrChange w:id="5" w:author="User" w:date="2026-09-20T14:47:00Z">
            <w:rPr>
              <w:rFonts w:ascii="Times New Roman" w:eastAsia="Times New Roman" w:hAnsi="Times New Roman" w:cs="Times New Roman"/>
              <w:sz w:val="24"/>
              <w:szCs w:val="24"/>
              <w:lang w:eastAsia="en-GB"/>
            </w:rPr>
          </w:rPrChange>
        </w:rPr>
        <w:t>et al.,</w:t>
      </w:r>
      <w:r w:rsidRPr="00013089">
        <w:rPr>
          <w:rFonts w:ascii="Times New Roman" w:eastAsia="Times New Roman" w:hAnsi="Times New Roman" w:cs="Times New Roman"/>
          <w:sz w:val="24"/>
          <w:szCs w:val="24"/>
          <w:lang w:eastAsia="en-GB"/>
        </w:rPr>
        <w:t xml:space="preserve"> 2025).</w:t>
      </w:r>
    </w:p>
    <w:p w14:paraId="59FEFFE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4.2 Major-Ion Chemistry and Mineralisation</w:t>
      </w:r>
    </w:p>
    <w:p w14:paraId="26ACD24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major-ion composition further demonstrated the influence of geological setting on groundwater chemistry. Calcium was the predominant major cation, with concentrations ranging from 29.4 ± 2.9 mg/L in weathered-regolith groundwater to 48.6 ± 4.2 mg/L in Basement Complex groundwater. Magnesium followed a similar distribution, ranging from 11.6 ± 1.4 to 18.4 ± 2.1 mg/L. The simultaneous elevation of calcium and magnesium in the more mineralised settings supports the interpretation that dissolution and weathering of mineral phases contributed significantly to groundwater composition.</w:t>
      </w:r>
    </w:p>
    <w:p w14:paraId="4F0AF96E"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Sodium and potassium exhibited comparatively lower concentrations than calcium and magnesium. Sodium ranged from 16.8 ± 1.9 mg/L in the weathered-regolith setting to 31.4 ± 3.1 mg/L in the shale/sedimentary environment, whereas potassium ranged from 2.7 ± 0.4 to 4.6 ± 0.6 mg/L. The relatively elevated sodium concentration in the shale/sedimentary setting suggests that its ionic composition was not controlled exclusively by the processes responsible for the Ca–Mg-rich groundwater in the other settings. Such differences may reflect variations in lithology, mineral assemblages and the extent of ion exchange or other geochemical processes.</w:t>
      </w:r>
    </w:p>
    <w:p w14:paraId="730FC76D"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Bicarbonate was the dominant major anion across all geological settings, ranging from 82 ± 7 mg/L in weathered regolith to 118 ± 10 mg/L in the Basement Complex. Chloride and sulphate were present at lower concentrations, while nitrate showed a comparatively distinct pattern. Nitrate was highest in the shale/sedimentary setting (12.6 ± 1.8 mg/L), compared with 7.8 ± 1.4, 6.4 ± 1.2 and 8.2 ± 1.5 mg/L in Basement Complex, Younger Granite and weathered-regolith settings, respectively. The significantly higher nitrate concentration in the shale/sedimentary environment may indicate greater exposure to surface-derived nutrient inputs or differences in groundwater vulnerability. Agricultural activities have been identified as potential pathways for the transport of nutrients into water systems in Rivers State, making nitrate an important parameter in interpreting groundwater quality (Ekpe </w:t>
      </w:r>
      <w:r w:rsidRPr="00FC394B">
        <w:rPr>
          <w:rFonts w:ascii="Times New Roman" w:eastAsia="Times New Roman" w:hAnsi="Times New Roman" w:cs="Times New Roman"/>
          <w:i/>
          <w:sz w:val="24"/>
          <w:szCs w:val="24"/>
          <w:lang w:eastAsia="en-GB"/>
          <w:rPrChange w:id="6" w:author="User" w:date="2026-09-20T14:49:00Z">
            <w:rPr>
              <w:rFonts w:ascii="Times New Roman" w:eastAsia="Times New Roman" w:hAnsi="Times New Roman" w:cs="Times New Roman"/>
              <w:sz w:val="24"/>
              <w:szCs w:val="24"/>
              <w:lang w:eastAsia="en-GB"/>
            </w:rPr>
          </w:rPrChange>
        </w:rPr>
        <w:t>et al.,</w:t>
      </w:r>
      <w:r w:rsidRPr="00013089">
        <w:rPr>
          <w:rFonts w:ascii="Times New Roman" w:eastAsia="Times New Roman" w:hAnsi="Times New Roman" w:cs="Times New Roman"/>
          <w:sz w:val="24"/>
          <w:szCs w:val="24"/>
          <w:lang w:eastAsia="en-GB"/>
        </w:rPr>
        <w:t xml:space="preserve"> 2025; Okpoji </w:t>
      </w:r>
      <w:r w:rsidRPr="00FC394B">
        <w:rPr>
          <w:rFonts w:ascii="Times New Roman" w:eastAsia="Times New Roman" w:hAnsi="Times New Roman" w:cs="Times New Roman"/>
          <w:i/>
          <w:sz w:val="24"/>
          <w:szCs w:val="24"/>
          <w:lang w:eastAsia="en-GB"/>
          <w:rPrChange w:id="7" w:author="User" w:date="2026-09-20T14:49:00Z">
            <w:rPr>
              <w:rFonts w:ascii="Times New Roman" w:eastAsia="Times New Roman" w:hAnsi="Times New Roman" w:cs="Times New Roman"/>
              <w:sz w:val="24"/>
              <w:szCs w:val="24"/>
              <w:lang w:eastAsia="en-GB"/>
            </w:rPr>
          </w:rPrChange>
        </w:rPr>
        <w:t>et al</w:t>
      </w:r>
      <w:r w:rsidRPr="00013089">
        <w:rPr>
          <w:rFonts w:ascii="Times New Roman" w:eastAsia="Times New Roman" w:hAnsi="Times New Roman" w:cs="Times New Roman"/>
          <w:sz w:val="24"/>
          <w:szCs w:val="24"/>
          <w:lang w:eastAsia="en-GB"/>
        </w:rPr>
        <w:t>., 2025).</w:t>
      </w:r>
    </w:p>
    <w:p w14:paraId="3F6291F7"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mineralisation pattern established from EC, TDS, hardness, calcium, magnesium and bicarbonate was Basement Complex &gt; Younger Granite &gt; shale/sedimentary &gt; weathered regolith. This ordering demonstrates that mineralisation was not uniform across geological environments. The Basement Complex setting had the greatest overall dissolved-ion load, whereas weathered-regolith groundwater had the lowest. Such spatial differentiation supports the interpretation that lithological characteristics and water–rock interaction exerted an important influence on groundwater chemistry.</w:t>
      </w:r>
    </w:p>
    <w:p w14:paraId="438683D3"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4.3 Trace and Potentially Toxic Elements</w:t>
      </w:r>
    </w:p>
    <w:p w14:paraId="1A7C205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lastRenderedPageBreak/>
        <w:t>The concentrations of trace and potentially toxic elements also differed among the geological settings. Iron ranged from 0.19 ± 0.03 mg/L in weathered-regolith groundwater to 0.51 ± 0.07 mg/L in the shale/sedimentary environment, while manganese ranged from 0.041 ± 0.008 to 0.096 ± 0.014 mg/L. The higher concentrations in shale/sedimentary groundwater suggest that lithological characteristics may have influenced the mobilisation of these elements. The significant ANOVA results for both iron and manganese further demonstrate measurable differences among geological settings.</w:t>
      </w:r>
    </w:p>
    <w:p w14:paraId="26F1E95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Lead, cadmium, chromium and nickel showed their highest concentrations in shale/sedimentary groundwater. Lead was 0.014 ± 0.003 mg/L, cadmium 0.0026 ± 0.0005 mg/L, chromium 0.018 ± 0.004 mg/L and nickel 0.021 ± 0.004 mg/L in this setting. Although the study results alone cannot definitively distinguish geogenic from anthropogenic sources, the concurrent elevation of several trace elements suggests that both lithological composition and environmental inputs should be considered. Heavy-metal investigations in Niger Delta aquatic systems have similarly demonstrated spatial variability in potentially toxic elements and associated environmental risks (Izuchukwu </w:t>
      </w:r>
      <w:r w:rsidRPr="00C61AA5">
        <w:rPr>
          <w:rFonts w:ascii="Times New Roman" w:eastAsia="Times New Roman" w:hAnsi="Times New Roman" w:cs="Times New Roman"/>
          <w:i/>
          <w:sz w:val="24"/>
          <w:szCs w:val="24"/>
          <w:lang w:eastAsia="en-GB"/>
          <w:rPrChange w:id="8" w:author="User" w:date="2026-09-20T14:49:00Z">
            <w:rPr>
              <w:rFonts w:ascii="Times New Roman" w:eastAsia="Times New Roman" w:hAnsi="Times New Roman" w:cs="Times New Roman"/>
              <w:sz w:val="24"/>
              <w:szCs w:val="24"/>
              <w:lang w:eastAsia="en-GB"/>
            </w:rPr>
          </w:rPrChange>
        </w:rPr>
        <w:t>et al</w:t>
      </w:r>
      <w:r w:rsidRPr="00013089">
        <w:rPr>
          <w:rFonts w:ascii="Times New Roman" w:eastAsia="Times New Roman" w:hAnsi="Times New Roman" w:cs="Times New Roman"/>
          <w:sz w:val="24"/>
          <w:szCs w:val="24"/>
          <w:lang w:eastAsia="en-GB"/>
        </w:rPr>
        <w:t xml:space="preserve">., 2026; Ekpe </w:t>
      </w:r>
      <w:r w:rsidRPr="00C61AA5">
        <w:rPr>
          <w:rFonts w:ascii="Times New Roman" w:eastAsia="Times New Roman" w:hAnsi="Times New Roman" w:cs="Times New Roman"/>
          <w:i/>
          <w:sz w:val="24"/>
          <w:szCs w:val="24"/>
          <w:lang w:eastAsia="en-GB"/>
          <w:rPrChange w:id="9" w:author="User" w:date="2026-09-20T14:49:00Z">
            <w:rPr>
              <w:rFonts w:ascii="Times New Roman" w:eastAsia="Times New Roman" w:hAnsi="Times New Roman" w:cs="Times New Roman"/>
              <w:sz w:val="24"/>
              <w:szCs w:val="24"/>
              <w:lang w:eastAsia="en-GB"/>
            </w:rPr>
          </w:rPrChange>
        </w:rPr>
        <w:t>et al</w:t>
      </w:r>
      <w:r w:rsidRPr="00013089">
        <w:rPr>
          <w:rFonts w:ascii="Times New Roman" w:eastAsia="Times New Roman" w:hAnsi="Times New Roman" w:cs="Times New Roman"/>
          <w:sz w:val="24"/>
          <w:szCs w:val="24"/>
          <w:lang w:eastAsia="en-GB"/>
        </w:rPr>
        <w:t>., 2026).</w:t>
      </w:r>
    </w:p>
    <w:p w14:paraId="2991CE34"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occurrence of trace metals in groundwater is particularly relevant because groundwater may represent a direct route of human exposure where it is consumed without adequate treatment. Studies of aquatic organisms in the Niger Delta have shown that metals such as lead, cadmium and nickel can accumulate in biological tissues, demonstrating the broader persistence and environmental significance of these contaminants (Anarado </w:t>
      </w:r>
      <w:r w:rsidRPr="00C61AA5">
        <w:rPr>
          <w:rFonts w:ascii="Times New Roman" w:eastAsia="Times New Roman" w:hAnsi="Times New Roman" w:cs="Times New Roman"/>
          <w:i/>
          <w:sz w:val="24"/>
          <w:szCs w:val="24"/>
          <w:lang w:eastAsia="en-GB"/>
          <w:rPrChange w:id="10" w:author="User" w:date="2026-09-20T14:50:00Z">
            <w:rPr>
              <w:rFonts w:ascii="Times New Roman" w:eastAsia="Times New Roman" w:hAnsi="Times New Roman" w:cs="Times New Roman"/>
              <w:sz w:val="24"/>
              <w:szCs w:val="24"/>
              <w:lang w:eastAsia="en-GB"/>
            </w:rPr>
          </w:rPrChange>
        </w:rPr>
        <w:t>et al</w:t>
      </w:r>
      <w:r w:rsidRPr="00013089">
        <w:rPr>
          <w:rFonts w:ascii="Times New Roman" w:eastAsia="Times New Roman" w:hAnsi="Times New Roman" w:cs="Times New Roman"/>
          <w:sz w:val="24"/>
          <w:szCs w:val="24"/>
          <w:lang w:eastAsia="en-GB"/>
        </w:rPr>
        <w:t xml:space="preserve">., 2023; Okpoji </w:t>
      </w:r>
      <w:r w:rsidRPr="00C61AA5">
        <w:rPr>
          <w:rFonts w:ascii="Times New Roman" w:eastAsia="Times New Roman" w:hAnsi="Times New Roman" w:cs="Times New Roman"/>
          <w:i/>
          <w:sz w:val="24"/>
          <w:szCs w:val="24"/>
          <w:lang w:eastAsia="en-GB"/>
          <w:rPrChange w:id="11" w:author="User" w:date="2026-09-20T14:50:00Z">
            <w:rPr>
              <w:rFonts w:ascii="Times New Roman" w:eastAsia="Times New Roman" w:hAnsi="Times New Roman" w:cs="Times New Roman"/>
              <w:sz w:val="24"/>
              <w:szCs w:val="24"/>
              <w:lang w:eastAsia="en-GB"/>
            </w:rPr>
          </w:rPrChange>
        </w:rPr>
        <w:t>et al</w:t>
      </w:r>
      <w:r w:rsidRPr="00013089">
        <w:rPr>
          <w:rFonts w:ascii="Times New Roman" w:eastAsia="Times New Roman" w:hAnsi="Times New Roman" w:cs="Times New Roman"/>
          <w:sz w:val="24"/>
          <w:szCs w:val="24"/>
          <w:lang w:eastAsia="en-GB"/>
        </w:rPr>
        <w:t>., 2025). The present findings therefore support continued monitoring of potentially toxic elements even where their concentrations are relatively low.</w:t>
      </w:r>
    </w:p>
    <w:p w14:paraId="59A076A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Copper and zinc showed lower concentrations than several of the other trace elements, although both varied among geological settings. The highest copper and zinc concentrations occurred in the shale/sedimentary environment. Their simultaneous elevation with other metals reinforces the broader pattern of enhanced dissolved constituents in this setting. Environmental assessments of agricultural soils and aquatic systems in the Niger Delta have similarly identified spatial variation in metal concentrations associated with local environmental conditions (Izuchukwu </w:t>
      </w:r>
      <w:r w:rsidRPr="00C61AA5">
        <w:rPr>
          <w:rFonts w:ascii="Times New Roman" w:eastAsia="Times New Roman" w:hAnsi="Times New Roman" w:cs="Times New Roman"/>
          <w:i/>
          <w:sz w:val="24"/>
          <w:szCs w:val="24"/>
          <w:lang w:eastAsia="en-GB"/>
          <w:rPrChange w:id="12" w:author="User" w:date="2026-09-20T14:51:00Z">
            <w:rPr>
              <w:rFonts w:ascii="Times New Roman" w:eastAsia="Times New Roman" w:hAnsi="Times New Roman" w:cs="Times New Roman"/>
              <w:sz w:val="24"/>
              <w:szCs w:val="24"/>
              <w:lang w:eastAsia="en-GB"/>
            </w:rPr>
          </w:rPrChange>
        </w:rPr>
        <w:t>et al.,</w:t>
      </w:r>
      <w:r w:rsidRPr="00013089">
        <w:rPr>
          <w:rFonts w:ascii="Times New Roman" w:eastAsia="Times New Roman" w:hAnsi="Times New Roman" w:cs="Times New Roman"/>
          <w:sz w:val="24"/>
          <w:szCs w:val="24"/>
          <w:lang w:eastAsia="en-GB"/>
        </w:rPr>
        <w:t xml:space="preserve"> 2026; Ohaturuonye </w:t>
      </w:r>
      <w:r w:rsidRPr="00C61AA5">
        <w:rPr>
          <w:rFonts w:ascii="Times New Roman" w:eastAsia="Times New Roman" w:hAnsi="Times New Roman" w:cs="Times New Roman"/>
          <w:i/>
          <w:sz w:val="24"/>
          <w:szCs w:val="24"/>
          <w:lang w:eastAsia="en-GB"/>
          <w:rPrChange w:id="13" w:author="User" w:date="2026-09-20T14:51:00Z">
            <w:rPr>
              <w:rFonts w:ascii="Times New Roman" w:eastAsia="Times New Roman" w:hAnsi="Times New Roman" w:cs="Times New Roman"/>
              <w:sz w:val="24"/>
              <w:szCs w:val="24"/>
              <w:lang w:eastAsia="en-GB"/>
            </w:rPr>
          </w:rPrChange>
        </w:rPr>
        <w:t>et al.,</w:t>
      </w:r>
      <w:r w:rsidRPr="00013089">
        <w:rPr>
          <w:rFonts w:ascii="Times New Roman" w:eastAsia="Times New Roman" w:hAnsi="Times New Roman" w:cs="Times New Roman"/>
          <w:sz w:val="24"/>
          <w:szCs w:val="24"/>
          <w:lang w:eastAsia="en-GB"/>
        </w:rPr>
        <w:t xml:space="preserve"> 2026).</w:t>
      </w:r>
    </w:p>
    <w:p w14:paraId="7BF5F096"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4.4 Hydrochemical Facies</w:t>
      </w:r>
    </w:p>
    <w:p w14:paraId="251BA29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hydrochemical facies classification showed that Ca–Mg–HCO₃ was the dominant facies across all four geological settings, accounting for 58.3% of Basement Complex groundwater, 45.8% of Younger Granite groundwater, 33.3% of shale/sedimentary groundwater and 62.5% of weathered-regolith groundwater. The predominance of this facies indicates that calcium, magnesium and bicarbonate constituted the principal ionic components of groundwater and supports the interpretation of mineral dissolution and water–rock interaction as major controls on groundwater chemistry.</w:t>
      </w:r>
    </w:p>
    <w:p w14:paraId="3039CE61"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relatively lower proportion of Ca–Mg–HCO₃ water in the shale/sedimentary setting was accompanied by greater representation of Na–Ca–HCO₃–Cl and Na–Cl facies. This suggests greater chemical diversification within the shale/sedimentary groundwater system. The occurrence of chloride-bearing facies may indicate contributions from additional mineral sources or environmental inputs, although the available data do not permit a definitive source apportionment. Hydrochemical investigations in Nigerian groundwater environments have </w:t>
      </w:r>
      <w:r w:rsidRPr="00013089">
        <w:rPr>
          <w:rFonts w:ascii="Times New Roman" w:eastAsia="Times New Roman" w:hAnsi="Times New Roman" w:cs="Times New Roman"/>
          <w:sz w:val="24"/>
          <w:szCs w:val="24"/>
          <w:lang w:eastAsia="en-GB"/>
        </w:rPr>
        <w:lastRenderedPageBreak/>
        <w:t xml:space="preserve">similarly demonstrated that contrasting ionic facies can occur within areas subject to different geological and environmental controls (Ekesiobi </w:t>
      </w:r>
      <w:r w:rsidRPr="00C61AA5">
        <w:rPr>
          <w:rFonts w:ascii="Times New Roman" w:eastAsia="Times New Roman" w:hAnsi="Times New Roman" w:cs="Times New Roman"/>
          <w:i/>
          <w:sz w:val="24"/>
          <w:szCs w:val="24"/>
          <w:lang w:eastAsia="en-GB"/>
          <w:rPrChange w:id="14" w:author="User" w:date="2026-09-20T14:51:00Z">
            <w:rPr>
              <w:rFonts w:ascii="Times New Roman" w:eastAsia="Times New Roman" w:hAnsi="Times New Roman" w:cs="Times New Roman"/>
              <w:sz w:val="24"/>
              <w:szCs w:val="24"/>
              <w:lang w:eastAsia="en-GB"/>
            </w:rPr>
          </w:rPrChange>
        </w:rPr>
        <w:t>et al</w:t>
      </w:r>
      <w:r w:rsidRPr="00013089">
        <w:rPr>
          <w:rFonts w:ascii="Times New Roman" w:eastAsia="Times New Roman" w:hAnsi="Times New Roman" w:cs="Times New Roman"/>
          <w:sz w:val="24"/>
          <w:szCs w:val="24"/>
          <w:lang w:eastAsia="en-GB"/>
        </w:rPr>
        <w:t xml:space="preserve">., 2025; Okagbare </w:t>
      </w:r>
      <w:r w:rsidRPr="00C61AA5">
        <w:rPr>
          <w:rFonts w:ascii="Times New Roman" w:eastAsia="Times New Roman" w:hAnsi="Times New Roman" w:cs="Times New Roman"/>
          <w:i/>
          <w:sz w:val="24"/>
          <w:szCs w:val="24"/>
          <w:lang w:eastAsia="en-GB"/>
          <w:rPrChange w:id="15" w:author="User" w:date="2026-09-20T14:51:00Z">
            <w:rPr>
              <w:rFonts w:ascii="Times New Roman" w:eastAsia="Times New Roman" w:hAnsi="Times New Roman" w:cs="Times New Roman"/>
              <w:sz w:val="24"/>
              <w:szCs w:val="24"/>
              <w:lang w:eastAsia="en-GB"/>
            </w:rPr>
          </w:rPrChange>
        </w:rPr>
        <w:t>et al</w:t>
      </w:r>
      <w:r w:rsidRPr="00013089">
        <w:rPr>
          <w:rFonts w:ascii="Times New Roman" w:eastAsia="Times New Roman" w:hAnsi="Times New Roman" w:cs="Times New Roman"/>
          <w:sz w:val="24"/>
          <w:szCs w:val="24"/>
          <w:lang w:eastAsia="en-GB"/>
        </w:rPr>
        <w:t>., 2025).</w:t>
      </w:r>
    </w:p>
    <w:p w14:paraId="34AF3050"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dominance of Ca–Mg–HCO₃ facies in weathered-regolith groundwater despite its lowest mineralisation is particularly notable. It indicates that hydrochemical facies describe the relative ionic composition rather than the absolute concentration of dissolved constituents. Therefore, a groundwater source can retain a characteristic Ca–Mg–HCO₃ signature while having relatively low EC and TDS.</w:t>
      </w:r>
    </w:p>
    <w:p w14:paraId="3FDD351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4.5 Microbiological Quality of Groundwater</w:t>
      </w:r>
    </w:p>
    <w:p w14:paraId="2449BC5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microbiological results revealed a different spatial pattern from the chemical mineralisation data. Heterotrophic bacterial counts ranged from 1.9 × 10² ± 0.4 × 10² CFU/mL in Younger Granite groundwater to 3.6 × 10² ± 0.7 × 10² CFU/mL in shale/sedimentary groundwater. The shale/sedimentary setting therefore exhibited the highest heterotrophic bacterial count, consistent with its relatively elevated concentrations of several dissolved constituents and nitrate. However, heterotrophic bacterial abundance should not be interpreted as a direct measure of faecal contamination because heterotrophic organisms include a broad range of environmental bacteria.</w:t>
      </w:r>
    </w:p>
    <w:p w14:paraId="3BCC5145"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faecal indicator organisms demonstrated a particularly important pattern. Weathered-regolith groundwater recorded the highest total coliforms (31 ± 7 CFU/100 mL), faecal coliforms (15 ± 4 CFU/100 mL),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(11 ± 3 CFU/100 mL) and enterococci (9 ± 3 CFU/100 mL). In contrast, Younger Granite groundwater recorded the lowest concentrations of these indicators. The consistently higher microbial indicators in weathered-regolith groundwater suggest greater vulnerability to microbiological contamination despite its comparatively low mineralisation.</w:t>
      </w:r>
    </w:p>
    <w:p w14:paraId="285685D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This finding demonstrates that chemical mineralisation and microbiological quality were not directly coupled in the study. Weathered-regolith groundwater had the lowest EC, TDS, hardness and major-ion concentrations but the highest microbiological indicators. This apparent divergence may reflect the greater influence of near-surface recharge and sanitary conditions on microbiological quality. It is therefore inappropriate to infer microbiological safety solely from low mineralisation. The importance of this distinction is consistent with integrated water-quality assessments that recognise the need to evaluate both chemical and biological indicators when determining water quality (Elele </w:t>
      </w:r>
      <w:r w:rsidRPr="00C61AA5">
        <w:rPr>
          <w:rFonts w:ascii="Times New Roman" w:eastAsia="Times New Roman" w:hAnsi="Times New Roman" w:cs="Times New Roman"/>
          <w:i/>
          <w:sz w:val="24"/>
          <w:szCs w:val="24"/>
          <w:lang w:eastAsia="en-GB"/>
          <w:rPrChange w:id="16" w:author="User" w:date="2026-09-20T14:52:00Z">
            <w:rPr>
              <w:rFonts w:ascii="Times New Roman" w:eastAsia="Times New Roman" w:hAnsi="Times New Roman" w:cs="Times New Roman"/>
              <w:sz w:val="24"/>
              <w:szCs w:val="24"/>
              <w:lang w:eastAsia="en-GB"/>
            </w:rPr>
          </w:rPrChange>
        </w:rPr>
        <w:t>et al</w:t>
      </w:r>
      <w:r w:rsidRPr="00013089">
        <w:rPr>
          <w:rFonts w:ascii="Times New Roman" w:eastAsia="Times New Roman" w:hAnsi="Times New Roman" w:cs="Times New Roman"/>
          <w:sz w:val="24"/>
          <w:szCs w:val="24"/>
          <w:lang w:eastAsia="en-GB"/>
        </w:rPr>
        <w:t>., 2025; WHO, 2022).</w:t>
      </w:r>
    </w:p>
    <w:p w14:paraId="1A59E878"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4.6 Relationship between Groundwater Chemistry and Microbiological Indicators</w:t>
      </w:r>
    </w:p>
    <w:p w14:paraId="0638092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correlation analysis provided additional evidence that selected physicochemical characteristics were associated with microbiological quality. Turbidity showed the strongest positive correlations with total coliforms (r = 0.72), faecal coliforms (r = 0.69),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(r = 0.68) and enterococci (r = 0.63), all at p &lt; .001. These relationships indicate that increases in turbidity were accompanied by increases in microbial indicators. The finding is environmentally plausible because particulate material can facilitate microbial transport and persistence within groundwater systems.</w:t>
      </w:r>
    </w:p>
    <w:p w14:paraId="2EC3000B"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Nitrate also demonstrated relatively strong positive correlations with total coliforms (r = 0.61), faecal coliforms (r = 0.58),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(r = 0.56) and enterococci (r = 0.51). This association suggests that nitrate and microbial indicators may have been influenced by related </w:t>
      </w:r>
      <w:r w:rsidRPr="00013089">
        <w:rPr>
          <w:rFonts w:ascii="Times New Roman" w:eastAsia="Times New Roman" w:hAnsi="Times New Roman" w:cs="Times New Roman"/>
          <w:sz w:val="24"/>
          <w:szCs w:val="24"/>
          <w:lang w:eastAsia="en-GB"/>
        </w:rPr>
        <w:lastRenderedPageBreak/>
        <w:t xml:space="preserve">environmental processes, particularly surface-derived inputs. However, correlation does not establish causation, and the relationship should therefore be interpreted as an indicator of co-variation rather than proof that nitrate directly caused microbial contamination. The relevance of nutrient transport to water quality has been demonstrated in agricultural environments of Rivers State (Ekpe </w:t>
      </w:r>
      <w:r w:rsidRPr="00C61AA5">
        <w:rPr>
          <w:rFonts w:ascii="Times New Roman" w:eastAsia="Times New Roman" w:hAnsi="Times New Roman" w:cs="Times New Roman"/>
          <w:i/>
          <w:sz w:val="24"/>
          <w:szCs w:val="24"/>
          <w:lang w:eastAsia="en-GB"/>
          <w:rPrChange w:id="17" w:author="User" w:date="2026-09-20T14:53:00Z">
            <w:rPr>
              <w:rFonts w:ascii="Times New Roman" w:eastAsia="Times New Roman" w:hAnsi="Times New Roman" w:cs="Times New Roman"/>
              <w:sz w:val="24"/>
              <w:szCs w:val="24"/>
              <w:lang w:eastAsia="en-GB"/>
            </w:rPr>
          </w:rPrChange>
        </w:rPr>
        <w:t>et al</w:t>
      </w:r>
      <w:r w:rsidRPr="00013089">
        <w:rPr>
          <w:rFonts w:ascii="Times New Roman" w:eastAsia="Times New Roman" w:hAnsi="Times New Roman" w:cs="Times New Roman"/>
          <w:sz w:val="24"/>
          <w:szCs w:val="24"/>
          <w:lang w:eastAsia="en-GB"/>
        </w:rPr>
        <w:t xml:space="preserve">., 2025; Okpoji </w:t>
      </w:r>
      <w:r w:rsidRPr="00C61AA5">
        <w:rPr>
          <w:rFonts w:ascii="Times New Roman" w:eastAsia="Times New Roman" w:hAnsi="Times New Roman" w:cs="Times New Roman"/>
          <w:i/>
          <w:sz w:val="24"/>
          <w:szCs w:val="24"/>
          <w:lang w:eastAsia="en-GB"/>
          <w:rPrChange w:id="18" w:author="User" w:date="2026-09-20T14:53:00Z">
            <w:rPr>
              <w:rFonts w:ascii="Times New Roman" w:eastAsia="Times New Roman" w:hAnsi="Times New Roman" w:cs="Times New Roman"/>
              <w:sz w:val="24"/>
              <w:szCs w:val="24"/>
              <w:lang w:eastAsia="en-GB"/>
            </w:rPr>
          </w:rPrChange>
        </w:rPr>
        <w:t>et al.,</w:t>
      </w:r>
      <w:r w:rsidRPr="00013089">
        <w:rPr>
          <w:rFonts w:ascii="Times New Roman" w:eastAsia="Times New Roman" w:hAnsi="Times New Roman" w:cs="Times New Roman"/>
          <w:sz w:val="24"/>
          <w:szCs w:val="24"/>
          <w:lang w:eastAsia="en-GB"/>
        </w:rPr>
        <w:t xml:space="preserve"> 2025).</w:t>
      </w:r>
    </w:p>
    <w:p w14:paraId="09E583A9"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Electrical conductivity also showed significant positive relationships with the microbiological indicators, although the correlations were weaker than those observed for turbidity and nitrate. The positive EC–microbial relationships suggest that some groundwater sources with greater ionic content also experienced greater microbial indicators. This pattern may reflect shared environmental influences rather than a direct effect of conductivity on microbial abundance.</w:t>
      </w:r>
    </w:p>
    <w:p w14:paraId="44F89FD2"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TDS exhibited weaker but significant positive relationships with the microbial indicators, whereas total hardness and iron showed weak, non-significant associations. The absence of significant relationships for hardness and iron indicates that not every chemical characteristic varied in parallel with microbial contamination. This further supports the need for multidimensional groundwater assessment rather than reliance on individual chemical indicators.</w:t>
      </w:r>
    </w:p>
    <w:p w14:paraId="11180253"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inverse relationships between pH and the microbiological indicators were relatively moderate, ranging from r = −0.31 for enterococci to r = −0.42 for total coliforms. These relationships suggest that the microbial indicators tended to increase as pH decreased within the observed range. Nevertheless, the relatively narrow pH range means that this relationship should be interpreted cautiously and should not be generalised beyond the study conditions.</w:t>
      </w:r>
    </w:p>
    <w:p w14:paraId="611DE51F"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4.7 Integrated Interpretation of Geological and Microbiological Controls</w:t>
      </w:r>
    </w:p>
    <w:p w14:paraId="52EBAE3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combined chemical and microbiological results demonstrate that geological setting influenced groundwater chemistry more consistently than microbiological quality. Basement Complex groundwater exhibited the greatest mineralisation, including the highest EC, TDS, hardness, calcium, magnesium and bicarbonate concentrations. Younger Granite groundwater generally showed lower mineralisation than Basement Complex groundwater, while weathered-regolith groundwater consistently recorded the lowest mineralisation. The pattern is compatible with geological control of dissolved-ion acquisition through mineral weathering and water–rock interaction.</w:t>
      </w:r>
    </w:p>
    <w:p w14:paraId="3687CA5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shale/sedimentary environment represented a distinct chemical setting because it showed relatively high concentrations of sodium, chloride, sulphate and nitrate and the highest concentrations of several trace and potentially toxic elements. The co-occurrence of elevated nitrate and microbial indicators in this setting suggests that both geochemical and environmental factors may have contributed to its groundwater characteristics. However, source identification would require additional hydrogeological and isotopic evidence.</w:t>
      </w:r>
    </w:p>
    <w:p w14:paraId="126AAC06"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Weathered-regolith groundwater presented the opposite pattern. It had the lowest mineralisation but the highest microbial indicators. This finding suggests that the shallow or near-surface nature of groundwater interaction within weathered materials may increase susceptibility to microbial infiltration even where the dissolved mineral load is relatively low. The result is particularly important for groundwater management because low EC or TDS should not be interpreted as evidence of overall water safety.</w:t>
      </w:r>
    </w:p>
    <w:p w14:paraId="2156270A"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lastRenderedPageBreak/>
        <w:t xml:space="preserve">The broader environmental literature from the Niger Delta demonstrates that water resources can be affected by multiple contaminant pathways, including metals, petroleum-derived compounds, agricultural contaminants and other anthropogenic pollutants (Okpoji </w:t>
      </w:r>
      <w:r w:rsidRPr="003D7970">
        <w:rPr>
          <w:rFonts w:ascii="Times New Roman" w:eastAsia="Times New Roman" w:hAnsi="Times New Roman" w:cs="Times New Roman"/>
          <w:i/>
          <w:sz w:val="24"/>
          <w:szCs w:val="24"/>
          <w:lang w:eastAsia="en-GB"/>
          <w:rPrChange w:id="19" w:author="User" w:date="2026-09-20T14:53:00Z">
            <w:rPr>
              <w:rFonts w:ascii="Times New Roman" w:eastAsia="Times New Roman" w:hAnsi="Times New Roman" w:cs="Times New Roman"/>
              <w:sz w:val="24"/>
              <w:szCs w:val="24"/>
              <w:lang w:eastAsia="en-GB"/>
            </w:rPr>
          </w:rPrChange>
        </w:rPr>
        <w:t>et al</w:t>
      </w:r>
      <w:r w:rsidRPr="00013089">
        <w:rPr>
          <w:rFonts w:ascii="Times New Roman" w:eastAsia="Times New Roman" w:hAnsi="Times New Roman" w:cs="Times New Roman"/>
          <w:sz w:val="24"/>
          <w:szCs w:val="24"/>
          <w:lang w:eastAsia="en-GB"/>
        </w:rPr>
        <w:t xml:space="preserve">., 2025; Ogbaji </w:t>
      </w:r>
      <w:bookmarkStart w:id="20" w:name="_GoBack"/>
      <w:r w:rsidRPr="003D7970">
        <w:rPr>
          <w:rFonts w:ascii="Times New Roman" w:eastAsia="Times New Roman" w:hAnsi="Times New Roman" w:cs="Times New Roman"/>
          <w:i/>
          <w:sz w:val="24"/>
          <w:szCs w:val="24"/>
          <w:lang w:eastAsia="en-GB"/>
          <w:rPrChange w:id="21" w:author="User" w:date="2026-09-20T14:54:00Z">
            <w:rPr>
              <w:rFonts w:ascii="Times New Roman" w:eastAsia="Times New Roman" w:hAnsi="Times New Roman" w:cs="Times New Roman"/>
              <w:sz w:val="24"/>
              <w:szCs w:val="24"/>
              <w:lang w:eastAsia="en-GB"/>
            </w:rPr>
          </w:rPrChange>
        </w:rPr>
        <w:t>et al.,</w:t>
      </w:r>
      <w:r w:rsidRPr="00013089">
        <w:rPr>
          <w:rFonts w:ascii="Times New Roman" w:eastAsia="Times New Roman" w:hAnsi="Times New Roman" w:cs="Times New Roman"/>
          <w:sz w:val="24"/>
          <w:szCs w:val="24"/>
          <w:lang w:eastAsia="en-GB"/>
        </w:rPr>
        <w:t xml:space="preserve"> </w:t>
      </w:r>
      <w:bookmarkEnd w:id="20"/>
      <w:r w:rsidRPr="00013089">
        <w:rPr>
          <w:rFonts w:ascii="Times New Roman" w:eastAsia="Times New Roman" w:hAnsi="Times New Roman" w:cs="Times New Roman"/>
          <w:sz w:val="24"/>
          <w:szCs w:val="24"/>
          <w:lang w:eastAsia="en-GB"/>
        </w:rPr>
        <w:t>2025). Although these contaminant classes were not all measured in the present groundwater investigation, their documented occurrence in surrounding environmental systems provides justification for continued surveillance of groundwater resources.</w:t>
      </w:r>
    </w:p>
    <w:p w14:paraId="012481B4"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integrated findings therefore support a groundwater-quality assessment framework in which geological controls, chemical composition and microbiological indicators are considered simultaneously. The results also demonstrate why groundwater protection strategies should be adapted to local geological and hydrogeological conditions rather than applying a uniform assumption of groundwater quality across different settings. International drinking-water guidelines remain important benchmarks for interpreting the public-health significance of measured contaminants (WHO, 2022; USEPA, n.d.).</w:t>
      </w:r>
    </w:p>
    <w:p w14:paraId="70908C69" w14:textId="77777777" w:rsidR="001E1693" w:rsidRPr="00013089" w:rsidRDefault="001E1693" w:rsidP="001E1693">
      <w:pPr>
        <w:jc w:val="both"/>
        <w:rPr>
          <w:rFonts w:ascii="Times New Roman" w:hAnsi="Times New Roman" w:cs="Times New Roman"/>
          <w:sz w:val="24"/>
          <w:szCs w:val="24"/>
        </w:rPr>
      </w:pPr>
    </w:p>
    <w:p w14:paraId="746796EC"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b/>
          <w:bCs/>
          <w:sz w:val="24"/>
          <w:szCs w:val="24"/>
          <w:lang w:eastAsia="en-GB"/>
        </w:rPr>
        <w:t>Conclusion</w:t>
      </w:r>
    </w:p>
    <w:p w14:paraId="4515CE00" w14:textId="77777777" w:rsidR="001E1693" w:rsidRPr="00013089"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The study demonstrated substantial spatial variation in the physicochemical, hydrochemical, trace-element and microbiological characteristics of groundwater across the investigated geological settings. The Basement Complex groundwater exhibited the greatest degree of mineralisation, reflected by higher EC, TDS, total hardness, calcium, magnesium and bicarbonate concentrations, whereas the weathered-regolith domain generally recorded the lowest mineralisation. The shale/sedimentary groundwater was characterised by comparatively elevated concentrations of several major ions and potentially toxic trace elements, particularly Pb, Cd, Cr, Ni, Cu and Zn.</w:t>
      </w:r>
    </w:p>
    <w:p w14:paraId="708CAFFC" w14:textId="77777777" w:rsidR="001E1693" w:rsidRDefault="001E1693"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r w:rsidRPr="00013089">
        <w:rPr>
          <w:rFonts w:ascii="Times New Roman" w:eastAsia="Times New Roman" w:hAnsi="Times New Roman" w:cs="Times New Roman"/>
          <w:sz w:val="24"/>
          <w:szCs w:val="24"/>
          <w:lang w:eastAsia="en-GB"/>
        </w:rPr>
        <w:t xml:space="preserve">The predominance of the Ca–Mg–HCO₃ hydrochemical facies indicates an important contribution of mineral dissolution and water–rock interaction to the groundwater chemistry. However, the distribution of microbiological indicators did not correspond directly with the degree of mineralisation. The weathered-regolith groundwater, despite its relatively low dissolved mineral content, recorded the highest concentrations of total coliforms, faecal coliforms, </w:t>
      </w:r>
      <w:r w:rsidRPr="00013089">
        <w:rPr>
          <w:rFonts w:ascii="Times New Roman" w:eastAsia="Times New Roman" w:hAnsi="Times New Roman" w:cs="Times New Roman"/>
          <w:i/>
          <w:iCs/>
          <w:sz w:val="24"/>
          <w:szCs w:val="24"/>
          <w:lang w:eastAsia="en-GB"/>
        </w:rPr>
        <w:t>E. coli</w:t>
      </w:r>
      <w:r w:rsidRPr="00013089">
        <w:rPr>
          <w:rFonts w:ascii="Times New Roman" w:eastAsia="Times New Roman" w:hAnsi="Times New Roman" w:cs="Times New Roman"/>
          <w:sz w:val="24"/>
          <w:szCs w:val="24"/>
          <w:lang w:eastAsia="en-GB"/>
        </w:rPr>
        <w:t xml:space="preserve"> and enterococci. This indicates that groundwater chemical quality and microbiological quality are controlled by partly different processes. The significant differences observed among geological settings and the positive relationships between turbidity, nitrate and microbial indicators further demonstrate the importance of considering both geochemical and microbiological variables in groundwater-quality assessment. </w:t>
      </w:r>
    </w:p>
    <w:p w14:paraId="4C8A1377" w14:textId="77777777" w:rsidR="00B54FE5" w:rsidRDefault="00B54FE5" w:rsidP="00B54FE5">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68199205" w14:textId="77777777" w:rsidR="00B54FE5" w:rsidRDefault="00B54FE5" w:rsidP="00B54FE5">
      <w:pPr>
        <w:spacing w:after="0" w:line="240" w:lineRule="auto"/>
        <w:rPr>
          <w:rFonts w:ascii="Times New Roman" w:hAnsi="Times New Roman" w:cs="Times New Roman"/>
          <w:b/>
        </w:rPr>
      </w:pPr>
    </w:p>
    <w:p w14:paraId="3803C932" w14:textId="77777777" w:rsidR="00B54FE5" w:rsidRDefault="00B54FE5" w:rsidP="00B54FE5">
      <w:pPr>
        <w:spacing w:after="0" w:line="240" w:lineRule="auto"/>
        <w:rPr>
          <w:rFonts w:ascii="Times New Roman" w:hAnsi="Times New Roman" w:cs="Times New Roman"/>
          <w:b/>
        </w:rPr>
      </w:pPr>
    </w:p>
    <w:p w14:paraId="044A54EA" w14:textId="77777777" w:rsidR="00B54FE5" w:rsidRDefault="00B54FE5" w:rsidP="00B54FE5">
      <w:pPr>
        <w:spacing w:after="0" w:line="240" w:lineRule="auto"/>
        <w:rPr>
          <w:rFonts w:ascii="Times New Roman" w:hAnsi="Times New Roman" w:cs="Times New Roman"/>
          <w:b/>
        </w:rPr>
      </w:pPr>
    </w:p>
    <w:p w14:paraId="32A84F01" w14:textId="77777777" w:rsidR="00B54FE5" w:rsidRPr="002D08AC" w:rsidRDefault="00B54FE5" w:rsidP="00B54FE5">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B3A0979" w14:textId="77777777" w:rsidR="00B54FE5" w:rsidRPr="00013089" w:rsidRDefault="00B54FE5" w:rsidP="001E1693">
      <w:pPr>
        <w:spacing w:before="100" w:beforeAutospacing="1" w:after="100" w:afterAutospacing="1" w:line="240" w:lineRule="auto"/>
        <w:jc w:val="both"/>
        <w:rPr>
          <w:rFonts w:ascii="Times New Roman" w:eastAsia="Times New Roman" w:hAnsi="Times New Roman" w:cs="Times New Roman"/>
          <w:sz w:val="24"/>
          <w:szCs w:val="24"/>
          <w:lang w:eastAsia="en-GB"/>
        </w:rPr>
      </w:pPr>
    </w:p>
    <w:p w14:paraId="60485C84" w14:textId="77777777" w:rsidR="001E1693" w:rsidRPr="006C43DC" w:rsidRDefault="001E1693" w:rsidP="001E1693">
      <w:pPr>
        <w:spacing w:after="0" w:line="240" w:lineRule="auto"/>
        <w:jc w:val="both"/>
        <w:rPr>
          <w:rFonts w:ascii="Times New Roman" w:eastAsia="Times New Roman" w:hAnsi="Times New Roman" w:cs="Times New Roman"/>
          <w:b/>
          <w:bCs/>
          <w:lang w:eastAsia="en-GB"/>
        </w:rPr>
      </w:pPr>
      <w:r w:rsidRPr="006C43DC">
        <w:rPr>
          <w:rFonts w:ascii="Times New Roman" w:eastAsia="Times New Roman" w:hAnsi="Times New Roman" w:cs="Times New Roman"/>
          <w:b/>
          <w:bCs/>
          <w:lang w:eastAsia="en-GB"/>
        </w:rPr>
        <w:lastRenderedPageBreak/>
        <w:t>References</w:t>
      </w:r>
    </w:p>
    <w:p w14:paraId="53122B77" w14:textId="77777777" w:rsidR="001E1693" w:rsidRPr="006C43DC" w:rsidRDefault="001E1693" w:rsidP="001E1693">
      <w:pPr>
        <w:spacing w:after="0" w:line="240" w:lineRule="auto"/>
        <w:jc w:val="both"/>
        <w:rPr>
          <w:rFonts w:ascii="Times New Roman" w:eastAsia="Times New Roman" w:hAnsi="Times New Roman" w:cs="Times New Roman"/>
          <w:b/>
          <w:bCs/>
          <w:sz w:val="20"/>
          <w:szCs w:val="20"/>
          <w:lang w:eastAsia="en-GB"/>
        </w:rPr>
      </w:pPr>
    </w:p>
    <w:p w14:paraId="7B1A4334"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Aghanwa, C. I., Umueni, U. E., Etukudo, N. J., Amachree, J. B., Okpoji, A. U., Ejeka, C. J., &amp; Ekwere, I. O. (2025). Atmospheric deposition of soot and heavy metals from gas flaring into surface waters of Ebocha, Rivers State, Nigeria. </w:t>
      </w:r>
      <w:r w:rsidRPr="00B37014">
        <w:rPr>
          <w:rFonts w:ascii="Times New Roman" w:eastAsia="Calibri" w:hAnsi="Times New Roman" w:cs="Times New Roman"/>
          <w:i/>
          <w:sz w:val="24"/>
          <w:szCs w:val="24"/>
        </w:rPr>
        <w:t>Asian Journal of Environment &amp; Ecology, 24</w:t>
      </w:r>
      <w:r w:rsidRPr="00B37014">
        <w:rPr>
          <w:rFonts w:ascii="Times New Roman" w:eastAsia="Calibri" w:hAnsi="Times New Roman" w:cs="Times New Roman"/>
          <w:sz w:val="24"/>
          <w:szCs w:val="24"/>
        </w:rPr>
        <w:t xml:space="preserve">(11), 137–147. </w:t>
      </w:r>
      <w:hyperlink r:id="rId9">
        <w:r w:rsidRPr="00B37014">
          <w:rPr>
            <w:rFonts w:ascii="Times New Roman" w:eastAsia="Calibri" w:hAnsi="Times New Roman" w:cs="Times New Roman"/>
            <w:color w:val="000000"/>
            <w:sz w:val="24"/>
            <w:szCs w:val="24"/>
          </w:rPr>
          <w:t>https://doi.org/10.9734/ajee/2025/v24i11822</w:t>
        </w:r>
      </w:hyperlink>
    </w:p>
    <w:p w14:paraId="39910CF7" w14:textId="77777777" w:rsidR="001E1693" w:rsidRPr="00B37014" w:rsidRDefault="001E1693" w:rsidP="001E1693">
      <w:pPr>
        <w:pStyle w:val="NormalWeb"/>
        <w:ind w:left="811" w:hanging="720"/>
        <w:jc w:val="both"/>
      </w:pPr>
      <w:r w:rsidRPr="00B37014">
        <w:t xml:space="preserve">Amuka, J. O., Ezike, C. C., Ogbaji, H. O., Okpoji, A. U., Ukaigwe, A. B., Ojo, C. N., Garuba, M. H., Anukam, B. N., Otuuh, A. G., Nwafor, G. U., Chigbo, C. M., &amp; Nnadozie, C. F. (2026). </w:t>
      </w:r>
      <w:r w:rsidRPr="00B37014">
        <w:rPr>
          <w:rStyle w:val="Accentuation"/>
        </w:rPr>
        <w:t>Public health risk assessment of antibiotic residues and waterborne pathogens in drinking water sources of Jos North and Barkin Ladi Local Government Areas, Plateau State, Nigeria</w:t>
      </w:r>
      <w:r w:rsidRPr="00B37014">
        <w:rPr>
          <w:i/>
          <w:iCs/>
        </w:rPr>
        <w:t>.</w:t>
      </w:r>
      <w:r w:rsidRPr="00B37014">
        <w:t xml:space="preserve"> </w:t>
      </w:r>
      <w:r w:rsidRPr="00B37014">
        <w:rPr>
          <w:rStyle w:val="Accentuation"/>
        </w:rPr>
        <w:t>Public Health Open Journal, 11</w:t>
      </w:r>
      <w:r w:rsidRPr="00B37014">
        <w:t xml:space="preserve">(1), 507–518. </w:t>
      </w:r>
      <w:hyperlink r:id="rId10" w:history="1">
        <w:r w:rsidRPr="00B37014">
          <w:rPr>
            <w:rStyle w:val="Lienhypertexte"/>
          </w:rPr>
          <w:t>https://doi.org/10.17140/PHOJ.11.01.507</w:t>
        </w:r>
      </w:hyperlink>
    </w:p>
    <w:p w14:paraId="0CAB28F0" w14:textId="77777777" w:rsidR="001E1693" w:rsidRPr="00B37014" w:rsidRDefault="001E1693" w:rsidP="001E1693">
      <w:pPr>
        <w:pStyle w:val="NormalWeb"/>
        <w:ind w:left="811" w:hanging="720"/>
        <w:jc w:val="both"/>
      </w:pPr>
      <w:r w:rsidRPr="00B37014">
        <w:t xml:space="preserve">Amuka, J. O., Okpoji, A. U., Ibanga, I. M., &amp; Akpan, N. A. (2026). </w:t>
      </w:r>
      <w:r w:rsidRPr="00B37014">
        <w:rPr>
          <w:rStyle w:val="Accentuation"/>
        </w:rPr>
        <w:t>Seasonal variation in groundwater quality of selected boreholes in Bori, Khana Local Government Area, Rivers State, Nigeria</w:t>
      </w:r>
      <w:r w:rsidRPr="00B37014">
        <w:rPr>
          <w:i/>
          <w:iCs/>
        </w:rPr>
        <w:t xml:space="preserve">. </w:t>
      </w:r>
      <w:r w:rsidRPr="00B37014">
        <w:rPr>
          <w:rStyle w:val="Accentuation"/>
        </w:rPr>
        <w:t>International Journal of Life Science and Agriculture Research, 5</w:t>
      </w:r>
      <w:r w:rsidRPr="00B37014">
        <w:t xml:space="preserve">(7), 554–562. </w:t>
      </w:r>
      <w:hyperlink r:id="rId11" w:history="1">
        <w:r w:rsidRPr="00B37014">
          <w:rPr>
            <w:rStyle w:val="Lienhypertexte"/>
          </w:rPr>
          <w:t>https://doi.org/10.55677/ijlsar/V05I07Y2026-01</w:t>
        </w:r>
      </w:hyperlink>
    </w:p>
    <w:p w14:paraId="1D4E446C"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Anarado, C. J. O., Okpoji, A. U., &amp; Anarado, C. E. (2023). Bioaccumulation and health risk assessment of lead, cadmium, arsenic, and mercury in blue crabs found in creeks in Bayelsa State of Niger Delta region of Nigeria. </w:t>
      </w:r>
      <w:r w:rsidRPr="00B37014">
        <w:rPr>
          <w:rFonts w:ascii="Times New Roman" w:eastAsia="Calibri" w:hAnsi="Times New Roman" w:cs="Times New Roman"/>
          <w:i/>
          <w:sz w:val="24"/>
          <w:szCs w:val="24"/>
        </w:rPr>
        <w:t>Asian Journal of Environment &amp; Ecology, 21</w:t>
      </w:r>
      <w:r w:rsidRPr="00B37014">
        <w:rPr>
          <w:rFonts w:ascii="Times New Roman" w:eastAsia="Calibri" w:hAnsi="Times New Roman" w:cs="Times New Roman"/>
          <w:sz w:val="24"/>
          <w:szCs w:val="24"/>
        </w:rPr>
        <w:t xml:space="preserve">(4), 46–59. </w:t>
      </w:r>
      <w:hyperlink r:id="rId12">
        <w:r w:rsidRPr="00B37014">
          <w:rPr>
            <w:rFonts w:ascii="Times New Roman" w:eastAsia="Calibri" w:hAnsi="Times New Roman" w:cs="Times New Roman"/>
            <w:color w:val="000000"/>
            <w:sz w:val="24"/>
            <w:szCs w:val="24"/>
          </w:rPr>
          <w:t>https://doi.org/10.9734/ajee/2023/v21i4469</w:t>
        </w:r>
      </w:hyperlink>
    </w:p>
    <w:p w14:paraId="5EA3B6C7"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Ekesiobi, S. U., Ekpe, J. E., Okpoji, A. U., Hassan, D. H., Ekwere, I. O., Awortu, R. C., Etesin, M. U., Nwofia, U., Okeke, C. F., &amp; Nwankwo, A. O. (2025). Hydrochemical characterisation and health-risk assessment of drinking water sources in Brass Island, Bayelsa State, Nigeria. </w:t>
      </w:r>
      <w:r w:rsidRPr="00B37014">
        <w:rPr>
          <w:rFonts w:ascii="Times New Roman" w:eastAsia="Calibri" w:hAnsi="Times New Roman" w:cs="Times New Roman"/>
          <w:i/>
          <w:sz w:val="24"/>
          <w:szCs w:val="24"/>
        </w:rPr>
        <w:t>Asian Journal of Chemical Sciences</w:t>
      </w:r>
      <w:r w:rsidRPr="00B37014">
        <w:rPr>
          <w:rFonts w:ascii="Times New Roman" w:eastAsia="Calibri" w:hAnsi="Times New Roman" w:cs="Times New Roman"/>
          <w:sz w:val="24"/>
          <w:szCs w:val="24"/>
        </w:rPr>
        <w:t>, 15(6), 64–76. https://doi.org/10.9734/ajocs/2025/v15i6406</w:t>
      </w:r>
    </w:p>
    <w:p w14:paraId="49A7DE70"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Ekpe, J. E., Ede, N. E., Okpoji, A. U., Anumaka, C. C., Awa, E. O., Akpan, N. A., Otokwala, O. N., Osuagwu, E. L., Obi, J. N., &amp; Warder, A. B. (2026). Heavy metal geochemistry and ecological risk of stream sediments in the Orashi River, Niger Delta, Nigeria. </w:t>
      </w:r>
      <w:r w:rsidRPr="00B37014">
        <w:rPr>
          <w:rFonts w:ascii="Times New Roman" w:eastAsia="Calibri" w:hAnsi="Times New Roman" w:cs="Times New Roman"/>
          <w:i/>
          <w:sz w:val="24"/>
          <w:szCs w:val="24"/>
        </w:rPr>
        <w:t>Journal of Global Ecology and Environment, 22</w:t>
      </w:r>
      <w:r w:rsidRPr="00B37014">
        <w:rPr>
          <w:rFonts w:ascii="Times New Roman" w:eastAsia="Calibri" w:hAnsi="Times New Roman" w:cs="Times New Roman"/>
          <w:sz w:val="24"/>
          <w:szCs w:val="24"/>
        </w:rPr>
        <w:t xml:space="preserve">(1), 78–88. </w:t>
      </w:r>
      <w:hyperlink r:id="rId13">
        <w:r w:rsidRPr="00B37014">
          <w:rPr>
            <w:rFonts w:ascii="Times New Roman" w:eastAsia="Calibri" w:hAnsi="Times New Roman" w:cs="Times New Roman"/>
            <w:color w:val="000000"/>
            <w:sz w:val="24"/>
            <w:szCs w:val="24"/>
          </w:rPr>
          <w:t>https://doi.org/10.56557/jogee/2026/v22i110220</w:t>
        </w:r>
      </w:hyperlink>
    </w:p>
    <w:p w14:paraId="480D48FA"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Ekpe, J. E., Okpoji, A. U., Ekwere, I. O., Anarado, C. J. O., Ewuola, A. A., Ufuoma, V. O., Okpanachi, C. B., Okonkwo, C. O., &amp; Obunezi, O. A. (2025). Physico-chemical transport of pesticides and nutrients in irrigation water and their fate in agro-ecosystems of Rivers State, Nigeria. </w:t>
      </w:r>
      <w:r w:rsidRPr="00B37014">
        <w:rPr>
          <w:rFonts w:ascii="Times New Roman" w:eastAsia="Calibri" w:hAnsi="Times New Roman" w:cs="Times New Roman"/>
          <w:i/>
          <w:sz w:val="24"/>
          <w:szCs w:val="24"/>
        </w:rPr>
        <w:t>Palgo Journal of Agriculture, 9</w:t>
      </w:r>
      <w:r w:rsidRPr="00B37014">
        <w:rPr>
          <w:rFonts w:ascii="Times New Roman" w:eastAsia="Calibri" w:hAnsi="Times New Roman" w:cs="Times New Roman"/>
          <w:sz w:val="24"/>
          <w:szCs w:val="24"/>
        </w:rPr>
        <w:t xml:space="preserve">(2), 30–37. </w:t>
      </w:r>
      <w:hyperlink r:id="rId14">
        <w:r w:rsidRPr="00B37014">
          <w:rPr>
            <w:rFonts w:ascii="Times New Roman" w:eastAsia="Calibri" w:hAnsi="Times New Roman" w:cs="Times New Roman"/>
            <w:color w:val="000000"/>
            <w:sz w:val="24"/>
            <w:szCs w:val="24"/>
          </w:rPr>
          <w:t>https://doi.org/10.5281/zenodo.17148360</w:t>
        </w:r>
      </w:hyperlink>
    </w:p>
    <w:p w14:paraId="40B573F0"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Ekwere, I. O., Okpoji, A. U., Igwegbe, K. C., Okonkwo, C. O., Yekeen, A. A., Obunezi, O. C., Okpanachi, C. B., Garuba, M. H., Ogini, O. R., &amp; Odibo, U. E. (2025). Nutritional–toxicological trade-off: Comparative study of polycyclic aromatic hydrocarbons in smoked and oven-dried Nile tilapia (</w:t>
      </w:r>
      <w:r w:rsidRPr="00B37014">
        <w:rPr>
          <w:rFonts w:ascii="Times New Roman" w:eastAsia="Calibri" w:hAnsi="Times New Roman" w:cs="Times New Roman"/>
          <w:i/>
          <w:sz w:val="24"/>
          <w:szCs w:val="24"/>
        </w:rPr>
        <w:t>Oreochromis niloticus</w:t>
      </w:r>
      <w:r w:rsidRPr="00B37014">
        <w:rPr>
          <w:rFonts w:ascii="Times New Roman" w:eastAsia="Calibri" w:hAnsi="Times New Roman" w:cs="Times New Roman"/>
          <w:sz w:val="24"/>
          <w:szCs w:val="24"/>
        </w:rPr>
        <w:t xml:space="preserve">). </w:t>
      </w:r>
      <w:r w:rsidRPr="00B37014">
        <w:rPr>
          <w:rFonts w:ascii="Times New Roman" w:eastAsia="Calibri" w:hAnsi="Times New Roman" w:cs="Times New Roman"/>
          <w:i/>
          <w:sz w:val="24"/>
          <w:szCs w:val="24"/>
        </w:rPr>
        <w:t>Journal of Environment, Climate, and Ecology, 2</w:t>
      </w:r>
      <w:r w:rsidRPr="00B37014">
        <w:rPr>
          <w:rFonts w:ascii="Times New Roman" w:eastAsia="Calibri" w:hAnsi="Times New Roman" w:cs="Times New Roman"/>
          <w:sz w:val="24"/>
          <w:szCs w:val="24"/>
        </w:rPr>
        <w:t xml:space="preserve">(2), 90–97. </w:t>
      </w:r>
      <w:hyperlink r:id="rId15">
        <w:r w:rsidRPr="00B37014">
          <w:rPr>
            <w:rFonts w:ascii="Times New Roman" w:eastAsia="Calibri" w:hAnsi="Times New Roman" w:cs="Times New Roman"/>
            <w:color w:val="000000"/>
            <w:sz w:val="24"/>
            <w:szCs w:val="24"/>
          </w:rPr>
          <w:t>https://doi.org/10.69739/jece.v2i2.952</w:t>
        </w:r>
      </w:hyperlink>
    </w:p>
    <w:p w14:paraId="0C2DA538"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Elele, N., Osuji, L. C., &amp; Nwankwoala, H. O. (2025). Water quality index of selected borehole water along pipeline routes in parts of Obio/Akpor Local Government Area, Rivers State Nigeria. </w:t>
      </w:r>
      <w:r w:rsidRPr="00B37014">
        <w:rPr>
          <w:rFonts w:ascii="Times New Roman" w:eastAsia="Calibri" w:hAnsi="Times New Roman" w:cs="Times New Roman"/>
          <w:i/>
          <w:sz w:val="24"/>
          <w:szCs w:val="24"/>
        </w:rPr>
        <w:t>Journal of Applied Chemical Science International</w:t>
      </w:r>
      <w:r w:rsidRPr="00B37014">
        <w:rPr>
          <w:rFonts w:ascii="Times New Roman" w:eastAsia="Calibri" w:hAnsi="Times New Roman" w:cs="Times New Roman"/>
          <w:sz w:val="24"/>
          <w:szCs w:val="24"/>
        </w:rPr>
        <w:t>, 16(2), 69–78. https://doi.org/10.56557/jacsi/2025/v16i29389</w:t>
      </w:r>
    </w:p>
    <w:p w14:paraId="4E27FF74"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Etesin, M. U., Ezeabsili, P. I., Agu, M. O., Okeke, C. F., Olotu, O. N., Aligwo, M. C., Eze, V. C., Nwankwo, A. O., Okpoji, A. U., &amp; Ekong, I. U. (2025). Determination of </w:t>
      </w:r>
      <w:r w:rsidRPr="00B37014">
        <w:rPr>
          <w:rFonts w:ascii="Times New Roman" w:eastAsia="Calibri" w:hAnsi="Times New Roman" w:cs="Times New Roman"/>
          <w:sz w:val="24"/>
          <w:szCs w:val="24"/>
        </w:rPr>
        <w:lastRenderedPageBreak/>
        <w:t xml:space="preserve">polychlorinated biphenyls in soils and industrial effluents and health risks assessment in Uyo, Akwa Ibom State, Nigeria. </w:t>
      </w:r>
      <w:r w:rsidRPr="00B37014">
        <w:rPr>
          <w:rFonts w:ascii="Times New Roman" w:eastAsia="Calibri" w:hAnsi="Times New Roman" w:cs="Times New Roman"/>
          <w:i/>
          <w:sz w:val="24"/>
          <w:szCs w:val="24"/>
        </w:rPr>
        <w:t>Journal of Medical Science, Biology, and Chemistry, 2</w:t>
      </w:r>
      <w:r w:rsidRPr="00B37014">
        <w:rPr>
          <w:rFonts w:ascii="Times New Roman" w:eastAsia="Calibri" w:hAnsi="Times New Roman" w:cs="Times New Roman"/>
          <w:sz w:val="24"/>
          <w:szCs w:val="24"/>
        </w:rPr>
        <w:t xml:space="preserve">(2), 285–292. </w:t>
      </w:r>
      <w:hyperlink r:id="rId16">
        <w:r w:rsidRPr="00B37014">
          <w:rPr>
            <w:rFonts w:ascii="Times New Roman" w:eastAsia="Calibri" w:hAnsi="Times New Roman" w:cs="Times New Roman"/>
            <w:color w:val="000000"/>
            <w:sz w:val="24"/>
            <w:szCs w:val="24"/>
          </w:rPr>
          <w:t>https://doi.org/10.69739/jmsbc.v2i2.1258</w:t>
        </w:r>
      </w:hyperlink>
    </w:p>
    <w:p w14:paraId="6F7FE220" w14:textId="77777777" w:rsidR="001E1693" w:rsidRPr="00B37014" w:rsidRDefault="001E1693" w:rsidP="001E1693">
      <w:pPr>
        <w:pStyle w:val="NormalWeb"/>
        <w:ind w:left="811" w:hanging="720"/>
        <w:jc w:val="both"/>
      </w:pPr>
      <w:r w:rsidRPr="00B37014">
        <w:t xml:space="preserve">Etukudo, N. J., Okoye, P. I., Nwafor, E. I., Inyang, G. E., Okpoji, A. U., Onuchukwu, E. E., &amp; Olubunmi, V. P. (2026). Hydrogeophysical delineation of coastal aquifer systems using electrical resistivity imaging in selected coastal communities of the Niger Delta, Nigeria. </w:t>
      </w:r>
      <w:r w:rsidRPr="00B37014">
        <w:rPr>
          <w:rStyle w:val="Accentuation"/>
        </w:rPr>
        <w:t>Asian Journal of Geological Research, 9</w:t>
      </w:r>
      <w:r w:rsidRPr="00B37014">
        <w:t xml:space="preserve">(3), 706–721. </w:t>
      </w:r>
      <w:hyperlink r:id="rId17" w:history="1">
        <w:r w:rsidRPr="00B37014">
          <w:rPr>
            <w:rStyle w:val="Lienhypertexte"/>
          </w:rPr>
          <w:t>https://doi.org/10.9734/ajoger/2026/v9i3270</w:t>
        </w:r>
      </w:hyperlink>
    </w:p>
    <w:p w14:paraId="1812CF6D" w14:textId="77777777" w:rsidR="001E1693" w:rsidRPr="00B37014" w:rsidRDefault="001E1693" w:rsidP="001E1693">
      <w:pPr>
        <w:pStyle w:val="NormalWeb"/>
        <w:ind w:left="811" w:hanging="720"/>
        <w:jc w:val="both"/>
      </w:pPr>
      <w:r w:rsidRPr="00B37014">
        <w:t xml:space="preserve">Etukudo, N. J., Okoye, P. I., Nwafor, E. I., Inyang, G. E., Okpoji, A. U., Onuchukwu, E. E., &amp; Olubunmi, V. P. (2026). </w:t>
      </w:r>
      <w:r w:rsidRPr="00B37014">
        <w:rPr>
          <w:rStyle w:val="Accentuation"/>
        </w:rPr>
        <w:t>Hydrogeophysical delineation of coastal aquifer systems using electrical resistivity imaging in selected coastal communities of the Niger Delta, Nigeria</w:t>
      </w:r>
      <w:r w:rsidRPr="00B37014">
        <w:rPr>
          <w:i/>
          <w:iCs/>
        </w:rPr>
        <w:t>.</w:t>
      </w:r>
      <w:r w:rsidRPr="00B37014">
        <w:t xml:space="preserve"> </w:t>
      </w:r>
      <w:r w:rsidRPr="00B37014">
        <w:rPr>
          <w:rStyle w:val="Accentuation"/>
        </w:rPr>
        <w:t>Asian Journal of Geological Research, 9</w:t>
      </w:r>
      <w:r w:rsidRPr="00B37014">
        <w:t xml:space="preserve">(3), 706–721. </w:t>
      </w:r>
      <w:hyperlink r:id="rId18" w:history="1">
        <w:r w:rsidRPr="00B37014">
          <w:rPr>
            <w:rStyle w:val="Lienhypertexte"/>
          </w:rPr>
          <w:t>https://doi.org/10.9734/ajoger/2026/v9i33270</w:t>
        </w:r>
      </w:hyperlink>
    </w:p>
    <w:p w14:paraId="24AC4E5C"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Forster, A. L. B., Wiskur, S. L., &amp; Richardson, S. D. (2025). Formation of eight classes of DBPs from chlorine, chloramine, and ozone: Mechanisms and formation pathways. </w:t>
      </w:r>
      <w:r w:rsidRPr="00B37014">
        <w:rPr>
          <w:rFonts w:ascii="Times New Roman" w:eastAsia="Calibri" w:hAnsi="Times New Roman" w:cs="Times New Roman"/>
          <w:i/>
          <w:sz w:val="24"/>
          <w:szCs w:val="24"/>
        </w:rPr>
        <w:t>Environmental Science &amp; Technology</w:t>
      </w:r>
      <w:r w:rsidRPr="00B37014">
        <w:rPr>
          <w:rFonts w:ascii="Times New Roman" w:eastAsia="Calibri" w:hAnsi="Times New Roman" w:cs="Times New Roman"/>
          <w:sz w:val="24"/>
          <w:szCs w:val="24"/>
        </w:rPr>
        <w:t>, 59(30), 15594–15611. https://doi.org/10.1021/acs.est.5c02208</w:t>
      </w:r>
    </w:p>
    <w:p w14:paraId="0146D706"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Guo, X., Ji, X., Liu, Z., Feng, Z., Zhang, Z., Du, S., Li, X., Ma, J., &amp; Sun, Z. (2024). Complex impact of metals on the fate of disinfection by-products in drinking water pipelines: A systematic review. </w:t>
      </w:r>
      <w:r w:rsidRPr="00B37014">
        <w:rPr>
          <w:rFonts w:ascii="Times New Roman" w:eastAsia="Calibri" w:hAnsi="Times New Roman" w:cs="Times New Roman"/>
          <w:i/>
          <w:sz w:val="24"/>
          <w:szCs w:val="24"/>
        </w:rPr>
        <w:t>Water Research</w:t>
      </w:r>
      <w:r w:rsidRPr="00B37014">
        <w:rPr>
          <w:rFonts w:ascii="Times New Roman" w:eastAsia="Calibri" w:hAnsi="Times New Roman" w:cs="Times New Roman"/>
          <w:sz w:val="24"/>
          <w:szCs w:val="24"/>
        </w:rPr>
        <w:t>, 261, 121991. https://doi.org/10.1016/j.watres.2024.121991</w:t>
      </w:r>
    </w:p>
    <w:p w14:paraId="15B3AC1E"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Helte, E., Söderlund, F., Säve-Söderbergh, M., Larsson, S. C., &amp; Åkesson, A. (2025). Exposure to drinking water trihalomethanes and risk of cancer: A systematic review of the epidemiologic evidence and dose-response meta-analysis. </w:t>
      </w:r>
      <w:r w:rsidRPr="00B37014">
        <w:rPr>
          <w:rFonts w:ascii="Times New Roman" w:eastAsia="Calibri" w:hAnsi="Times New Roman" w:cs="Times New Roman"/>
          <w:i/>
          <w:sz w:val="24"/>
          <w:szCs w:val="24"/>
        </w:rPr>
        <w:t>Environmental Health Perspectives</w:t>
      </w:r>
      <w:r w:rsidRPr="00B37014">
        <w:rPr>
          <w:rFonts w:ascii="Times New Roman" w:eastAsia="Calibri" w:hAnsi="Times New Roman" w:cs="Times New Roman"/>
          <w:sz w:val="24"/>
          <w:szCs w:val="24"/>
        </w:rPr>
        <w:t>, 133(1), 016001. https://doi.org/10.1289/EHP14505</w:t>
      </w:r>
    </w:p>
    <w:p w14:paraId="28DEB173"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Isueken, C. O., Asemota, P. O., Isaac, S. C., Okpoji, A. U., Nwankwo, A. O., Akpan, N. A., Ekwere, I. O., Etesin, M. U., &amp; Alieze, A. B. (2025). Assessment of petroleum hydrocarbon fractions and heavy metal contamination in surface water of Ogboinbiri Creek, Southern Ijaw, Bayelsa State, Nigeria. </w:t>
      </w:r>
      <w:r w:rsidRPr="00B37014">
        <w:rPr>
          <w:rFonts w:ascii="Times New Roman" w:eastAsia="Calibri" w:hAnsi="Times New Roman" w:cs="Times New Roman"/>
          <w:i/>
          <w:sz w:val="24"/>
          <w:szCs w:val="24"/>
        </w:rPr>
        <w:t>Scientific Journal of Engineering, and Technology, 2</w:t>
      </w:r>
      <w:r w:rsidRPr="00B37014">
        <w:rPr>
          <w:rFonts w:ascii="Times New Roman" w:eastAsia="Calibri" w:hAnsi="Times New Roman" w:cs="Times New Roman"/>
          <w:sz w:val="24"/>
          <w:szCs w:val="24"/>
        </w:rPr>
        <w:t xml:space="preserve">(2), 172–179. </w:t>
      </w:r>
      <w:hyperlink r:id="rId19">
        <w:r w:rsidRPr="00B37014">
          <w:rPr>
            <w:rFonts w:ascii="Times New Roman" w:eastAsia="Calibri" w:hAnsi="Times New Roman" w:cs="Times New Roman"/>
            <w:color w:val="000000"/>
            <w:sz w:val="24"/>
            <w:szCs w:val="24"/>
          </w:rPr>
          <w:t>https://doi.org/10.69739/sjet.v2i2.1308</w:t>
        </w:r>
      </w:hyperlink>
    </w:p>
    <w:p w14:paraId="024A50C0"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Izuchukwu, E. C., Akpan, N. A., Igwegbe, K. C., Okpoji, A. U., Ezeabasili, P. I., Obi, J. N., &amp; Anarah, S. E. (2026). Environmental and toxicological risk assessment of heavy metals in Eleme agricultural soils. </w:t>
      </w:r>
      <w:r w:rsidRPr="00B37014">
        <w:rPr>
          <w:rFonts w:ascii="Times New Roman" w:eastAsia="Calibri" w:hAnsi="Times New Roman" w:cs="Times New Roman"/>
          <w:i/>
          <w:sz w:val="24"/>
          <w:szCs w:val="24"/>
        </w:rPr>
        <w:t>Asian Journal of Agricultural and Horticultural Research, 13</w:t>
      </w:r>
      <w:r w:rsidRPr="00B37014">
        <w:rPr>
          <w:rFonts w:ascii="Times New Roman" w:eastAsia="Calibri" w:hAnsi="Times New Roman" w:cs="Times New Roman"/>
          <w:sz w:val="24"/>
          <w:szCs w:val="24"/>
        </w:rPr>
        <w:t xml:space="preserve">(1), 67–81. </w:t>
      </w:r>
      <w:hyperlink r:id="rId20">
        <w:r w:rsidRPr="00B37014">
          <w:rPr>
            <w:rFonts w:ascii="Times New Roman" w:eastAsia="Calibri" w:hAnsi="Times New Roman" w:cs="Times New Roman"/>
            <w:color w:val="000000"/>
            <w:sz w:val="24"/>
            <w:szCs w:val="24"/>
          </w:rPr>
          <w:t>https://doi.org/10.9734/ajahr/2026/v13i1436</w:t>
        </w:r>
      </w:hyperlink>
    </w:p>
    <w:p w14:paraId="780887E9"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Izuchukwu, E. C., Ebikienmo, P. J., Ekesiobi, S. U., Thompson, N. I., Okpoji, A. U., &amp; Etesin, M. U. (2026). Assessment of heavy metal contamination and its associated human health risks in the Nun River, Bayelsa State, Nigeria. </w:t>
      </w:r>
      <w:r w:rsidRPr="00B37014">
        <w:rPr>
          <w:rFonts w:ascii="Times New Roman" w:eastAsia="Calibri" w:hAnsi="Times New Roman" w:cs="Times New Roman"/>
          <w:i/>
          <w:sz w:val="24"/>
          <w:szCs w:val="24"/>
        </w:rPr>
        <w:t>Asian Journal of Research in Zoology, 9</w:t>
      </w:r>
      <w:r w:rsidRPr="00B37014">
        <w:rPr>
          <w:rFonts w:ascii="Times New Roman" w:eastAsia="Calibri" w:hAnsi="Times New Roman" w:cs="Times New Roman"/>
          <w:sz w:val="24"/>
          <w:szCs w:val="24"/>
        </w:rPr>
        <w:t xml:space="preserve">(1), 31–41. </w:t>
      </w:r>
      <w:hyperlink r:id="rId21">
        <w:r w:rsidRPr="00B37014">
          <w:rPr>
            <w:rFonts w:ascii="Times New Roman" w:eastAsia="Calibri" w:hAnsi="Times New Roman" w:cs="Times New Roman"/>
            <w:color w:val="000000"/>
            <w:sz w:val="24"/>
            <w:szCs w:val="24"/>
          </w:rPr>
          <w:t>https://doi.org/10.9734/ajriz/2026/v9i1239</w:t>
        </w:r>
      </w:hyperlink>
    </w:p>
    <w:p w14:paraId="7A52FA01" w14:textId="77777777" w:rsidR="001E1693" w:rsidRPr="00B37014" w:rsidRDefault="001E1693" w:rsidP="001E1693">
      <w:pPr>
        <w:pStyle w:val="NormalWeb"/>
        <w:ind w:left="811" w:hanging="720"/>
        <w:jc w:val="both"/>
      </w:pPr>
      <w:r w:rsidRPr="00B37014">
        <w:t xml:space="preserve">Joseph, J., Danagogo, E. B.-B., Okpoji, A. U., Osuagwu, E. L., Otuuh, A. G., Eze, V., Umeghalu, C. O., &amp; Obi, J. N. (2026). Hydrochemical characterisation and public health risk assessment of borehole water sources in selected hospitals in Rivers State, Nigeria. </w:t>
      </w:r>
      <w:r w:rsidRPr="00B37014">
        <w:rPr>
          <w:rStyle w:val="Accentuation"/>
        </w:rPr>
        <w:t>Environmental Reports: An International Journal, 8</w:t>
      </w:r>
      <w:r w:rsidRPr="00B37014">
        <w:t xml:space="preserve">(1), 191–200. </w:t>
      </w:r>
      <w:hyperlink r:id="rId22" w:history="1">
        <w:r w:rsidRPr="00B37014">
          <w:rPr>
            <w:rStyle w:val="Lienhypertexte"/>
          </w:rPr>
          <w:t>https://doi.org/10.51470/ER.2026.8.1.191</w:t>
        </w:r>
      </w:hyperlink>
    </w:p>
    <w:p w14:paraId="5C4DF75E" w14:textId="77777777" w:rsidR="001E1693" w:rsidRPr="00B37014" w:rsidRDefault="001E1693" w:rsidP="001E1693">
      <w:pPr>
        <w:pStyle w:val="NormalWeb"/>
        <w:ind w:left="811" w:hanging="720"/>
        <w:jc w:val="both"/>
      </w:pPr>
      <w:r w:rsidRPr="00B37014">
        <w:t xml:space="preserve">Joseph, J., Danagogo, E. B.-B., Okpoji, A. U., Osuagwu, E. L., Otuuh, A. G., Eze, V., Umeghalu, C. O., &amp; Obi, J. N. (2026). </w:t>
      </w:r>
      <w:r w:rsidRPr="00B37014">
        <w:rPr>
          <w:rStyle w:val="Accentuation"/>
        </w:rPr>
        <w:t xml:space="preserve">Hydrochemical characterisation and public </w:t>
      </w:r>
      <w:r w:rsidRPr="00B37014">
        <w:rPr>
          <w:rStyle w:val="Accentuation"/>
        </w:rPr>
        <w:lastRenderedPageBreak/>
        <w:t>health risk assessment of borehole water sources in selected hospitals in Rivers State, Nigeria</w:t>
      </w:r>
      <w:r w:rsidRPr="00B37014">
        <w:rPr>
          <w:i/>
          <w:iCs/>
        </w:rPr>
        <w:t xml:space="preserve">. </w:t>
      </w:r>
      <w:r w:rsidRPr="00B37014">
        <w:rPr>
          <w:rStyle w:val="Accentuation"/>
        </w:rPr>
        <w:t>Environmental Reports: An International Journal, 8</w:t>
      </w:r>
      <w:r w:rsidRPr="00B37014">
        <w:t xml:space="preserve">(1), 191–200. </w:t>
      </w:r>
      <w:hyperlink r:id="rId23" w:history="1">
        <w:r w:rsidRPr="00B37014">
          <w:rPr>
            <w:rStyle w:val="Lienhypertexte"/>
          </w:rPr>
          <w:t>https://doi.org/10.51470/ER.2026.8.1.191</w:t>
        </w:r>
      </w:hyperlink>
    </w:p>
    <w:p w14:paraId="3617A67E"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Li, X.-F., &amp; Mitch, W. A. (2018). Drinking water disinfection byproducts (DBPs) and human health effects: Multidisciplinary challenges and opportunities. </w:t>
      </w:r>
      <w:r w:rsidRPr="00B37014">
        <w:rPr>
          <w:rFonts w:ascii="Times New Roman" w:eastAsia="Calibri" w:hAnsi="Times New Roman" w:cs="Times New Roman"/>
          <w:i/>
          <w:sz w:val="24"/>
          <w:szCs w:val="24"/>
        </w:rPr>
        <w:t>Environmental Science &amp; Technology, 52</w:t>
      </w:r>
      <w:r w:rsidRPr="00B37014">
        <w:rPr>
          <w:rFonts w:ascii="Times New Roman" w:eastAsia="Calibri" w:hAnsi="Times New Roman" w:cs="Times New Roman"/>
          <w:sz w:val="24"/>
          <w:szCs w:val="24"/>
        </w:rPr>
        <w:t xml:space="preserve">(4), 1681–1689. </w:t>
      </w:r>
      <w:hyperlink r:id="rId24">
        <w:r w:rsidRPr="00B37014">
          <w:rPr>
            <w:rFonts w:ascii="Times New Roman" w:eastAsia="Calibri" w:hAnsi="Times New Roman" w:cs="Times New Roman"/>
            <w:color w:val="000000"/>
            <w:sz w:val="24"/>
            <w:szCs w:val="24"/>
          </w:rPr>
          <w:t>https://doi.org/10.1021/acs.est.7b05440</w:t>
        </w:r>
      </w:hyperlink>
    </w:p>
    <w:p w14:paraId="445B0557"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Mahmoud, A. B., Farida, G., Okpoji, A. U., Etesin, M. U., Akpan, N. A., Nosike, E. I., Obi, J. N., Ahmad, S. I., Oji, N. N., Okonkwo, P. C., &amp; Godson, A. (2026). Endocrine disruption potential of pharmaceutical residues and parasitological responses to heavy metal pollution in Ikot Abasi Estuary, Akwa Ibom State, Nigeria. </w:t>
      </w:r>
      <w:r w:rsidRPr="00B37014">
        <w:rPr>
          <w:rFonts w:ascii="Times New Roman" w:eastAsia="Calibri" w:hAnsi="Times New Roman" w:cs="Times New Roman"/>
          <w:i/>
          <w:sz w:val="24"/>
          <w:szCs w:val="24"/>
        </w:rPr>
        <w:t>Palgo Journal of Medicine and Medical Sciences, 11</w:t>
      </w:r>
      <w:r w:rsidRPr="00B37014">
        <w:rPr>
          <w:rFonts w:ascii="Times New Roman" w:eastAsia="Calibri" w:hAnsi="Times New Roman" w:cs="Times New Roman"/>
          <w:sz w:val="24"/>
          <w:szCs w:val="24"/>
        </w:rPr>
        <w:t xml:space="preserve">(1), 55–65. </w:t>
      </w:r>
      <w:hyperlink r:id="rId25">
        <w:r w:rsidRPr="00B37014">
          <w:rPr>
            <w:rFonts w:ascii="Times New Roman" w:eastAsia="Calibri" w:hAnsi="Times New Roman" w:cs="Times New Roman"/>
            <w:color w:val="000000"/>
            <w:sz w:val="24"/>
            <w:szCs w:val="24"/>
          </w:rPr>
          <w:t>https://doi.org/10.65756/pjmms.202604.009</w:t>
        </w:r>
      </w:hyperlink>
    </w:p>
    <w:p w14:paraId="72E8C513"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Ogbaji, H. O., Akpan, N. A., Ijioma, C. C., Okpoji, A. U., Eze, V. C. U., Obi, J. N., Martins, N. P., &amp; Etesin, M. U. (2025). Seasonal variation in hydrocarbon contamination of sediments and biota in Bonny Estuary, Rivers State, Nigeria. </w:t>
      </w:r>
      <w:r w:rsidRPr="00B37014">
        <w:rPr>
          <w:rFonts w:ascii="Times New Roman" w:eastAsia="Calibri" w:hAnsi="Times New Roman" w:cs="Times New Roman"/>
          <w:i/>
          <w:sz w:val="24"/>
          <w:szCs w:val="24"/>
        </w:rPr>
        <w:t>Asian Journal of Geographical Research, 8</w:t>
      </w:r>
      <w:r w:rsidRPr="00B37014">
        <w:rPr>
          <w:rFonts w:ascii="Times New Roman" w:eastAsia="Calibri" w:hAnsi="Times New Roman" w:cs="Times New Roman"/>
          <w:sz w:val="24"/>
          <w:szCs w:val="24"/>
        </w:rPr>
        <w:t xml:space="preserve">(4), 330–338. </w:t>
      </w:r>
      <w:hyperlink r:id="rId26">
        <w:r w:rsidRPr="00B37014">
          <w:rPr>
            <w:rFonts w:ascii="Times New Roman" w:eastAsia="Calibri" w:hAnsi="Times New Roman" w:cs="Times New Roman"/>
            <w:color w:val="000000"/>
            <w:sz w:val="24"/>
            <w:szCs w:val="24"/>
          </w:rPr>
          <w:t>https://doi.org/10.9734/ajgr/2025/v8i4341</w:t>
        </w:r>
      </w:hyperlink>
    </w:p>
    <w:p w14:paraId="66DD6E60"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Ohaturuonye, S. O., Ekwere, I. O., Ekesiobi, S. U., Robinson, B. E., Okpoji, A. U., Osuagwu, E. L., &amp; Okpanachi, C. B. (2026). Comparative heavy metal bioaccumulation and human health risk assessment of farmed and river-caught catfish in Rivers State, Nigeria. </w:t>
      </w:r>
      <w:r w:rsidRPr="00B37014">
        <w:rPr>
          <w:rFonts w:ascii="Times New Roman" w:eastAsia="Calibri" w:hAnsi="Times New Roman" w:cs="Times New Roman"/>
          <w:i/>
          <w:sz w:val="24"/>
          <w:szCs w:val="24"/>
        </w:rPr>
        <w:t>Asian Journal of Research in Zoology, 9</w:t>
      </w:r>
      <w:r w:rsidRPr="00B37014">
        <w:rPr>
          <w:rFonts w:ascii="Times New Roman" w:eastAsia="Calibri" w:hAnsi="Times New Roman" w:cs="Times New Roman"/>
          <w:sz w:val="24"/>
          <w:szCs w:val="24"/>
        </w:rPr>
        <w:t xml:space="preserve">(1), 62–74. </w:t>
      </w:r>
      <w:hyperlink r:id="rId27">
        <w:r w:rsidRPr="00B37014">
          <w:rPr>
            <w:rFonts w:ascii="Times New Roman" w:eastAsia="Calibri" w:hAnsi="Times New Roman" w:cs="Times New Roman"/>
            <w:color w:val="000000"/>
            <w:sz w:val="24"/>
            <w:szCs w:val="24"/>
          </w:rPr>
          <w:t>https://doi.org/10.9734/ajriz/2026/v9i1243</w:t>
        </w:r>
      </w:hyperlink>
    </w:p>
    <w:p w14:paraId="57E0381C"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Okagbare, U. V., Umueni, U. E., Ekpe, J. E., Etukudo, N. J., Okpoji, A. U., Okoye, P. I., Ekwere, I. O., Etesin, M. U., Okpanachi, C. B., &amp; Okafor, C. A. (2025). Geophysical and hydrochemical assessment of groundwater vulnerability to oil pollution in Yenagoa, Bayelsa State, Nigeria. </w:t>
      </w:r>
      <w:r w:rsidRPr="00B37014">
        <w:rPr>
          <w:rFonts w:ascii="Times New Roman" w:eastAsia="Calibri" w:hAnsi="Times New Roman" w:cs="Times New Roman"/>
          <w:i/>
          <w:sz w:val="24"/>
          <w:szCs w:val="24"/>
        </w:rPr>
        <w:t>Journal of Environment, Climate, and Ecology, 2</w:t>
      </w:r>
      <w:r w:rsidRPr="00B37014">
        <w:rPr>
          <w:rFonts w:ascii="Times New Roman" w:eastAsia="Calibri" w:hAnsi="Times New Roman" w:cs="Times New Roman"/>
          <w:sz w:val="24"/>
          <w:szCs w:val="24"/>
        </w:rPr>
        <w:t xml:space="preserve">(2), 138–146. </w:t>
      </w:r>
      <w:hyperlink r:id="rId28">
        <w:r w:rsidRPr="00B37014">
          <w:rPr>
            <w:rFonts w:ascii="Times New Roman" w:eastAsia="Calibri" w:hAnsi="Times New Roman" w:cs="Times New Roman"/>
            <w:color w:val="000000"/>
            <w:sz w:val="24"/>
            <w:szCs w:val="24"/>
          </w:rPr>
          <w:t>https://doi.org/10.69739/jece.v2i2.1078</w:t>
        </w:r>
      </w:hyperlink>
    </w:p>
    <w:p w14:paraId="4FD55ED7"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Okpoji, A. U., Akpan, N. A., Eze, V. C., Ijioma, C. C., Hassan, D. H., Kareem, M. M., Obi, A. I., Aningo, G. N., Okoye, P. I., Ogbonnaya, C. N., Ekwere, I. O., Okeke, C. F., &amp; Aligwo, M. C. (2025). Toxicity and bioaccumulation of heavy metals and polycyclic aromatic hydrocarbons in estuarine fish from the Andoni Estuary, Niger Delta, Nigeria. </w:t>
      </w:r>
      <w:r w:rsidRPr="00B37014">
        <w:rPr>
          <w:rFonts w:ascii="Times New Roman" w:eastAsia="Calibri" w:hAnsi="Times New Roman" w:cs="Times New Roman"/>
          <w:i/>
          <w:sz w:val="24"/>
          <w:szCs w:val="24"/>
        </w:rPr>
        <w:t>Journal of Applied Physical Science International, 17</w:t>
      </w:r>
      <w:r w:rsidRPr="00B37014">
        <w:rPr>
          <w:rFonts w:ascii="Times New Roman" w:eastAsia="Calibri" w:hAnsi="Times New Roman" w:cs="Times New Roman"/>
          <w:sz w:val="24"/>
          <w:szCs w:val="24"/>
        </w:rPr>
        <w:t xml:space="preserve">(2), 10–22. </w:t>
      </w:r>
      <w:hyperlink r:id="rId29">
        <w:r w:rsidRPr="00B37014">
          <w:rPr>
            <w:rFonts w:ascii="Times New Roman" w:eastAsia="Calibri" w:hAnsi="Times New Roman" w:cs="Times New Roman"/>
            <w:color w:val="000000"/>
            <w:sz w:val="24"/>
            <w:szCs w:val="24"/>
          </w:rPr>
          <w:t>https://doi.org/10.56557/japsi/2025/v17i210026</w:t>
        </w:r>
      </w:hyperlink>
    </w:p>
    <w:p w14:paraId="47A441AF"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Okpoji, A. U., Eboh-Ajoku, I. O., Mmuta, E. C., Ndubuisi, J. O., Alaekwe, I. O., Odibo, U. E., Nwoka, N. G., Okafor, C. A., &amp; Obunezi, O. C. (2025). Integrated environmental risk assessment of BTEX and PAHs in water and sediment samples from the Bonny River, Nigeria. </w:t>
      </w:r>
      <w:r w:rsidRPr="00B37014">
        <w:rPr>
          <w:rFonts w:ascii="Times New Roman" w:eastAsia="Calibri" w:hAnsi="Times New Roman" w:cs="Times New Roman"/>
          <w:i/>
          <w:sz w:val="24"/>
          <w:szCs w:val="24"/>
        </w:rPr>
        <w:t>ISA Journal of Multidisciplinary (ISAJM), 2</w:t>
      </w:r>
      <w:r w:rsidRPr="00B37014">
        <w:rPr>
          <w:rFonts w:ascii="Times New Roman" w:eastAsia="Calibri" w:hAnsi="Times New Roman" w:cs="Times New Roman"/>
          <w:sz w:val="24"/>
          <w:szCs w:val="24"/>
        </w:rPr>
        <w:t xml:space="preserve">(4), 14–21. </w:t>
      </w:r>
      <w:hyperlink r:id="rId30">
        <w:r w:rsidRPr="00B37014">
          <w:rPr>
            <w:rFonts w:ascii="Times New Roman" w:eastAsia="Calibri" w:hAnsi="Times New Roman" w:cs="Times New Roman"/>
            <w:color w:val="000000"/>
            <w:sz w:val="24"/>
            <w:szCs w:val="24"/>
          </w:rPr>
          <w:t>https://doi.org/10.5281/zenodo.16921896</w:t>
        </w:r>
      </w:hyperlink>
    </w:p>
    <w:p w14:paraId="0378BFC7"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Okpoji, A. U., Emem, J. A., Ekwere, I. O., Odibo, U. E., Aleaekwe, I. O., Warder, A. B., &amp; Eboj-Ajoku, O. I. (2025). Bioaccumulation of nickel, lead, and cadmium in tissues of </w:t>
      </w:r>
      <w:r w:rsidRPr="00B37014">
        <w:rPr>
          <w:rFonts w:ascii="Times New Roman" w:eastAsia="Calibri" w:hAnsi="Times New Roman" w:cs="Times New Roman"/>
          <w:i/>
          <w:sz w:val="24"/>
          <w:szCs w:val="24"/>
        </w:rPr>
        <w:t>Callinectes sapidus</w:t>
      </w:r>
      <w:r w:rsidRPr="00B37014">
        <w:rPr>
          <w:rFonts w:ascii="Times New Roman" w:eastAsia="Calibri" w:hAnsi="Times New Roman" w:cs="Times New Roman"/>
          <w:sz w:val="24"/>
          <w:szCs w:val="24"/>
        </w:rPr>
        <w:t xml:space="preserve"> from the Iko River, Nigeria: Implications for human health risk and environmental safety. </w:t>
      </w:r>
      <w:r w:rsidRPr="00B37014">
        <w:rPr>
          <w:rFonts w:ascii="Times New Roman" w:eastAsia="Calibri" w:hAnsi="Times New Roman" w:cs="Times New Roman"/>
          <w:i/>
          <w:sz w:val="24"/>
          <w:szCs w:val="24"/>
        </w:rPr>
        <w:t>Journal of Environment, Climate, and Ecology, 2</w:t>
      </w:r>
      <w:r w:rsidRPr="00B37014">
        <w:rPr>
          <w:rFonts w:ascii="Times New Roman" w:eastAsia="Calibri" w:hAnsi="Times New Roman" w:cs="Times New Roman"/>
          <w:sz w:val="24"/>
          <w:szCs w:val="24"/>
        </w:rPr>
        <w:t xml:space="preserve">(2), 29–37. </w:t>
      </w:r>
      <w:hyperlink r:id="rId31">
        <w:r w:rsidRPr="00B37014">
          <w:rPr>
            <w:rFonts w:ascii="Times New Roman" w:eastAsia="Calibri" w:hAnsi="Times New Roman" w:cs="Times New Roman"/>
            <w:color w:val="000000"/>
            <w:sz w:val="24"/>
            <w:szCs w:val="24"/>
          </w:rPr>
          <w:t>https://doi.org/10.69739/jece.v2i2.844</w:t>
        </w:r>
      </w:hyperlink>
    </w:p>
    <w:p w14:paraId="4A61E9AB"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Okpoji, A. U., Etesin, M. U., Ekwere, I. O., Martins, N. P., Okpanachi, C. B., Adisa, O. J., &amp; Okonkwo, C. C. (2025). Geochemical speciation and ecological risk of heavy metals in estuarine sediments of the Qua Iboe River, Nigeria. </w:t>
      </w:r>
      <w:r w:rsidRPr="00B37014">
        <w:rPr>
          <w:rFonts w:ascii="Times New Roman" w:eastAsia="Calibri" w:hAnsi="Times New Roman" w:cs="Times New Roman"/>
          <w:i/>
          <w:sz w:val="24"/>
          <w:szCs w:val="24"/>
        </w:rPr>
        <w:t>Asian Journal of Chemical Sciences, 15</w:t>
      </w:r>
      <w:r w:rsidRPr="00B37014">
        <w:rPr>
          <w:rFonts w:ascii="Times New Roman" w:eastAsia="Calibri" w:hAnsi="Times New Roman" w:cs="Times New Roman"/>
          <w:sz w:val="24"/>
          <w:szCs w:val="24"/>
        </w:rPr>
        <w:t xml:space="preserve">(6), 20–31. </w:t>
      </w:r>
      <w:hyperlink r:id="rId32">
        <w:r w:rsidRPr="00B37014">
          <w:rPr>
            <w:rFonts w:ascii="Times New Roman" w:eastAsia="Calibri" w:hAnsi="Times New Roman" w:cs="Times New Roman"/>
            <w:color w:val="000000"/>
            <w:sz w:val="24"/>
            <w:szCs w:val="24"/>
          </w:rPr>
          <w:t>https://doi.org/10.9734/ajocs/2025/v15i6402</w:t>
        </w:r>
      </w:hyperlink>
    </w:p>
    <w:p w14:paraId="294E1DB0"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Okpoji, A. U., Ogbaji, H. O., Hassan, D. H., Orji-Azuka, L. N., Rasheed, H. O., Ohaturuonye, S. O., Ejeka, J. C., Okpanachi, C. B., &amp; Ekwere, I. O. (2025). Physico-chemical transport of volatile organic compounds (VOCs) from gas flaring into surface waters of </w:t>
      </w:r>
      <w:r w:rsidRPr="00B37014">
        <w:rPr>
          <w:rFonts w:ascii="Times New Roman" w:eastAsia="Calibri" w:hAnsi="Times New Roman" w:cs="Times New Roman"/>
          <w:sz w:val="24"/>
          <w:szCs w:val="24"/>
        </w:rPr>
        <w:lastRenderedPageBreak/>
        <w:t xml:space="preserve">Ogoniland, Rivers State, Nigeria. </w:t>
      </w:r>
      <w:r w:rsidRPr="00B37014">
        <w:rPr>
          <w:rFonts w:ascii="Times New Roman" w:eastAsia="Calibri" w:hAnsi="Times New Roman" w:cs="Times New Roman"/>
          <w:i/>
          <w:sz w:val="24"/>
          <w:szCs w:val="24"/>
        </w:rPr>
        <w:t>Asian Journal of Physical and Chemical Sciences, 13</w:t>
      </w:r>
      <w:r w:rsidRPr="00B37014">
        <w:rPr>
          <w:rFonts w:ascii="Times New Roman" w:eastAsia="Calibri" w:hAnsi="Times New Roman" w:cs="Times New Roman"/>
          <w:sz w:val="24"/>
          <w:szCs w:val="24"/>
        </w:rPr>
        <w:t xml:space="preserve">(4), 151–159. </w:t>
      </w:r>
      <w:hyperlink r:id="rId33">
        <w:r w:rsidRPr="00B37014">
          <w:rPr>
            <w:rFonts w:ascii="Times New Roman" w:eastAsia="Calibri" w:hAnsi="Times New Roman" w:cs="Times New Roman"/>
            <w:color w:val="000000"/>
            <w:sz w:val="24"/>
            <w:szCs w:val="24"/>
          </w:rPr>
          <w:t>https://doi.org/10.9734/ajopacs/2025/v13i4271</w:t>
        </w:r>
      </w:hyperlink>
    </w:p>
    <w:p w14:paraId="34D5B73D"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Okpoji, A. U., Orji-Azuka, L. N., Igwegbe, K. C., Ekwere, I. O., Ewuola, A. A., Garuba, M. H., &amp; Etukudo, E. W. (2025). Water quality and ecotoxicological impacts of surfactants and heavy metals in urban rivers of Benin City, Niger Delta, Nigeria. </w:t>
      </w:r>
      <w:r w:rsidRPr="00B37014">
        <w:rPr>
          <w:rFonts w:ascii="Times New Roman" w:eastAsia="Calibri" w:hAnsi="Times New Roman" w:cs="Times New Roman"/>
          <w:i/>
          <w:sz w:val="24"/>
          <w:szCs w:val="24"/>
        </w:rPr>
        <w:t>Asian Journal of Geological Research, 8</w:t>
      </w:r>
      <w:r w:rsidRPr="00B37014">
        <w:rPr>
          <w:rFonts w:ascii="Times New Roman" w:eastAsia="Calibri" w:hAnsi="Times New Roman" w:cs="Times New Roman"/>
          <w:sz w:val="24"/>
          <w:szCs w:val="24"/>
        </w:rPr>
        <w:t xml:space="preserve">(3), 697–707. </w:t>
      </w:r>
      <w:hyperlink r:id="rId34">
        <w:r w:rsidRPr="00B37014">
          <w:rPr>
            <w:rFonts w:ascii="Times New Roman" w:eastAsia="Calibri" w:hAnsi="Times New Roman" w:cs="Times New Roman"/>
            <w:color w:val="000000"/>
            <w:sz w:val="24"/>
            <w:szCs w:val="24"/>
          </w:rPr>
          <w:t>https://doi.org/10.9734/ajoger/2025/v8i3223</w:t>
        </w:r>
      </w:hyperlink>
    </w:p>
    <w:p w14:paraId="05E371E3"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Okpoji, A. U., Umeocho, C. E., Nwokoye, J. N., Ezekwuemen, O. I., Alaekwe, I. O., Odidika, C. C., Owughara, C. N., Enyi, C. M., &amp; Kolawole, O. O. (2025). Environmental assessment of heavy metals and hydrocarbon pollution in surface waters of oil-bearing communities in Andoni, Rivers State, Nigeria. </w:t>
      </w:r>
      <w:r w:rsidRPr="00B37014">
        <w:rPr>
          <w:rFonts w:ascii="Times New Roman" w:eastAsia="Calibri" w:hAnsi="Times New Roman" w:cs="Times New Roman"/>
          <w:i/>
          <w:sz w:val="24"/>
          <w:szCs w:val="24"/>
        </w:rPr>
        <w:t>International Journal of Modern Science and Research Technology, 3</w:t>
      </w:r>
      <w:r w:rsidRPr="00B37014">
        <w:rPr>
          <w:rFonts w:ascii="Times New Roman" w:eastAsia="Calibri" w:hAnsi="Times New Roman" w:cs="Times New Roman"/>
          <w:sz w:val="24"/>
          <w:szCs w:val="24"/>
        </w:rPr>
        <w:t xml:space="preserve">(8), 22–30. </w:t>
      </w:r>
      <w:hyperlink r:id="rId35">
        <w:r w:rsidRPr="00B37014">
          <w:rPr>
            <w:rFonts w:ascii="Times New Roman" w:eastAsia="Calibri" w:hAnsi="Times New Roman" w:cs="Times New Roman"/>
            <w:color w:val="000000"/>
            <w:sz w:val="24"/>
            <w:szCs w:val="24"/>
          </w:rPr>
          <w:t>https://doi.org/10.5281/zenodo.16904018</w:t>
        </w:r>
      </w:hyperlink>
    </w:p>
    <w:p w14:paraId="0194B2F6"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Olotu, O. N., Okagbare, U. V., Okpoji, A. U., Orji-Azuka, L. N., Etesin, M. U., &amp; Ekwere, I. O. (2025). Spatio-seasonal assessment of water and sediment quality of the Imiringi River and implications for fisheries and aquatic resources in the Niger Delta. </w:t>
      </w:r>
      <w:r w:rsidRPr="00B37014">
        <w:rPr>
          <w:rFonts w:ascii="Times New Roman" w:eastAsia="Calibri" w:hAnsi="Times New Roman" w:cs="Times New Roman"/>
          <w:i/>
          <w:sz w:val="24"/>
          <w:szCs w:val="24"/>
        </w:rPr>
        <w:t>Journal of Agriculture, Aquaculture, and Animal Science, 2</w:t>
      </w:r>
      <w:r w:rsidRPr="00B37014">
        <w:rPr>
          <w:rFonts w:ascii="Times New Roman" w:eastAsia="Calibri" w:hAnsi="Times New Roman" w:cs="Times New Roman"/>
          <w:sz w:val="24"/>
          <w:szCs w:val="24"/>
        </w:rPr>
        <w:t xml:space="preserve">(2), 174–184. </w:t>
      </w:r>
      <w:hyperlink r:id="rId36">
        <w:r w:rsidRPr="00B37014">
          <w:rPr>
            <w:rFonts w:ascii="Times New Roman" w:eastAsia="Calibri" w:hAnsi="Times New Roman" w:cs="Times New Roman"/>
            <w:color w:val="000000"/>
            <w:sz w:val="24"/>
            <w:szCs w:val="24"/>
          </w:rPr>
          <w:t>https://doi.org/10.69739/jaaas.v2i2.1309</w:t>
        </w:r>
      </w:hyperlink>
    </w:p>
    <w:p w14:paraId="40A24243" w14:textId="77777777" w:rsidR="001E1693" w:rsidRPr="00B37014" w:rsidRDefault="001E1693" w:rsidP="001E1693">
      <w:pPr>
        <w:pStyle w:val="NormalWeb"/>
        <w:ind w:left="811" w:hanging="720"/>
        <w:jc w:val="both"/>
      </w:pPr>
      <w:r w:rsidRPr="00B37014">
        <w:t xml:space="preserve">Onuchukwu, E. E., Emeagubor, A. O., Anaekwe, M. U., &amp; Okpoji, A. U. (2026). Influence of gully erosion on groundwater quality in South Eastern Nigeria. </w:t>
      </w:r>
      <w:r w:rsidRPr="00B37014">
        <w:rPr>
          <w:rStyle w:val="Accentuation"/>
        </w:rPr>
        <w:t>Asian Journal of Environment &amp; Ecology, 25</w:t>
      </w:r>
      <w:r w:rsidRPr="00B37014">
        <w:t xml:space="preserve">(8), 173–185. </w:t>
      </w:r>
      <w:hyperlink r:id="rId37" w:history="1">
        <w:r w:rsidRPr="00B37014">
          <w:rPr>
            <w:rStyle w:val="Lienhypertexte"/>
          </w:rPr>
          <w:t>https://doi.org/10.9734/ajee/2026/v25i8992</w:t>
        </w:r>
      </w:hyperlink>
    </w:p>
    <w:p w14:paraId="2BD4D557"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Shi, J., Zhang, K., Xiao, T., Yang, J., Sun, Y., Yang, C., Dai, H., &amp; Yang, W. (2024). Exposure to disinfection by-products and risk of cancer: A systematic review and dose-response meta-analysis. </w:t>
      </w:r>
      <w:r w:rsidRPr="00B37014">
        <w:rPr>
          <w:rFonts w:ascii="Times New Roman" w:eastAsia="Calibri" w:hAnsi="Times New Roman" w:cs="Times New Roman"/>
          <w:i/>
          <w:sz w:val="24"/>
          <w:szCs w:val="24"/>
        </w:rPr>
        <w:t>Ecotoxicology and Environmental Safety, 270</w:t>
      </w:r>
      <w:r w:rsidRPr="00B37014">
        <w:rPr>
          <w:rFonts w:ascii="Times New Roman" w:eastAsia="Calibri" w:hAnsi="Times New Roman" w:cs="Times New Roman"/>
          <w:sz w:val="24"/>
          <w:szCs w:val="24"/>
        </w:rPr>
        <w:t xml:space="preserve">, 115925. </w:t>
      </w:r>
      <w:hyperlink r:id="rId38">
        <w:r w:rsidRPr="00B37014">
          <w:rPr>
            <w:rFonts w:ascii="Times New Roman" w:eastAsia="Calibri" w:hAnsi="Times New Roman" w:cs="Times New Roman"/>
            <w:color w:val="000000"/>
            <w:sz w:val="24"/>
            <w:szCs w:val="24"/>
          </w:rPr>
          <w:t>https://doi.org/10.1016/j.ecoenv.2023.115925</w:t>
        </w:r>
      </w:hyperlink>
    </w:p>
    <w:p w14:paraId="1F09371C" w14:textId="77777777" w:rsidR="001E1693" w:rsidRPr="00B37014" w:rsidRDefault="001E1693" w:rsidP="001E1693">
      <w:pPr>
        <w:pStyle w:val="NormalWeb"/>
        <w:ind w:left="811" w:hanging="720"/>
        <w:jc w:val="both"/>
      </w:pPr>
      <w:r w:rsidRPr="00B37014">
        <w:t xml:space="preserve">Umueni, U. E., Anaekwe, M. U., Omuluche, C. O., &amp; Okpoji, A. U. (2026). Hydrochemical evolution and seawater intrusion processes in coastal aquifers of the Niger Delta, Nigeria. </w:t>
      </w:r>
      <w:r w:rsidRPr="00B37014">
        <w:rPr>
          <w:rStyle w:val="Accentuation"/>
        </w:rPr>
        <w:t>Asian Journal of Geographical Research, 9</w:t>
      </w:r>
      <w:r w:rsidRPr="00B37014">
        <w:t xml:space="preserve">(3), 403–417. </w:t>
      </w:r>
      <w:hyperlink r:id="rId39" w:history="1">
        <w:r w:rsidRPr="00B37014">
          <w:rPr>
            <w:rStyle w:val="Lienhypertexte"/>
          </w:rPr>
          <w:t>https://doi.org/10.9734/ajgr/2026/v9i3438#</w:t>
        </w:r>
      </w:hyperlink>
    </w:p>
    <w:p w14:paraId="3F93F21B"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Umueni, U. E., Etukudo, N. J., Okoye, P. I., Okpoji, A. U., Eze, V. C., Aningo, G. N., Ekwere, I. O., &amp; Garuba, M. H. (2025). Geochemical and ecological risk assessment of petroleum hydrocarbons in sediments of Forcados River, Delta State. </w:t>
      </w:r>
      <w:r w:rsidRPr="00B37014">
        <w:rPr>
          <w:rFonts w:ascii="Times New Roman" w:eastAsia="Calibri" w:hAnsi="Times New Roman" w:cs="Times New Roman"/>
          <w:i/>
          <w:sz w:val="24"/>
          <w:szCs w:val="24"/>
        </w:rPr>
        <w:t>Asian Journal of Geographical Research, 8</w:t>
      </w:r>
      <w:r w:rsidRPr="00B37014">
        <w:rPr>
          <w:rFonts w:ascii="Times New Roman" w:eastAsia="Calibri" w:hAnsi="Times New Roman" w:cs="Times New Roman"/>
          <w:sz w:val="24"/>
          <w:szCs w:val="24"/>
        </w:rPr>
        <w:t xml:space="preserve">(4), 287–298. </w:t>
      </w:r>
      <w:hyperlink r:id="rId40">
        <w:r w:rsidRPr="00B37014">
          <w:rPr>
            <w:rFonts w:ascii="Times New Roman" w:eastAsia="Calibri" w:hAnsi="Times New Roman" w:cs="Times New Roman"/>
            <w:color w:val="000000"/>
            <w:sz w:val="24"/>
            <w:szCs w:val="24"/>
          </w:rPr>
          <w:t>https://doi.org/10.9734/ajgr/2025/v8i4337</w:t>
        </w:r>
      </w:hyperlink>
    </w:p>
    <w:p w14:paraId="29BBD3D8"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Umueni, U. E., Ogbaji, H. O., Okpoji, A. U., Osuagwu, E. L., Akpan, N. A., Ekpe, J. E., Okabekwe, V. C., Anumaka, C. C., Obiefuna, G. C., &amp; Warder, A. B. (2026). Assessing hydrological and sediment factors for ecotoxicological risk of the Orashi River, Rivers State, Nigeria. </w:t>
      </w:r>
      <w:r w:rsidRPr="00B37014">
        <w:rPr>
          <w:rFonts w:ascii="Times New Roman" w:eastAsia="Calibri" w:hAnsi="Times New Roman" w:cs="Times New Roman"/>
          <w:i/>
          <w:sz w:val="24"/>
          <w:szCs w:val="24"/>
        </w:rPr>
        <w:t>Asian Journal of Geological Research, 9</w:t>
      </w:r>
      <w:r w:rsidRPr="00B37014">
        <w:rPr>
          <w:rFonts w:ascii="Times New Roman" w:eastAsia="Calibri" w:hAnsi="Times New Roman" w:cs="Times New Roman"/>
          <w:sz w:val="24"/>
          <w:szCs w:val="24"/>
        </w:rPr>
        <w:t xml:space="preserve">(1), 101–114. </w:t>
      </w:r>
      <w:hyperlink r:id="rId41">
        <w:r w:rsidRPr="00B37014">
          <w:rPr>
            <w:rFonts w:ascii="Times New Roman" w:eastAsia="Calibri" w:hAnsi="Times New Roman" w:cs="Times New Roman"/>
            <w:color w:val="000000"/>
            <w:sz w:val="24"/>
            <w:szCs w:val="24"/>
          </w:rPr>
          <w:t>https://doi.org/10.9734/ajoger/2026/v9i1230</w:t>
        </w:r>
      </w:hyperlink>
    </w:p>
    <w:p w14:paraId="25BADDBC"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United States Environmental Protection Agency. (n.d.). </w:t>
      </w:r>
      <w:r w:rsidRPr="00B37014">
        <w:rPr>
          <w:rFonts w:ascii="Times New Roman" w:eastAsia="Calibri" w:hAnsi="Times New Roman" w:cs="Times New Roman"/>
          <w:i/>
          <w:sz w:val="24"/>
          <w:szCs w:val="24"/>
        </w:rPr>
        <w:t>National primary drinking water regulations.</w:t>
      </w:r>
      <w:r w:rsidRPr="00B37014">
        <w:rPr>
          <w:rFonts w:ascii="Times New Roman" w:eastAsia="Calibri" w:hAnsi="Times New Roman" w:cs="Times New Roman"/>
          <w:sz w:val="24"/>
          <w:szCs w:val="24"/>
        </w:rPr>
        <w:t xml:space="preserve"> </w:t>
      </w:r>
      <w:hyperlink r:id="rId42">
        <w:r w:rsidRPr="00B37014">
          <w:rPr>
            <w:rFonts w:ascii="Times New Roman" w:eastAsia="Calibri" w:hAnsi="Times New Roman" w:cs="Times New Roman"/>
            <w:color w:val="000000"/>
            <w:sz w:val="24"/>
            <w:szCs w:val="24"/>
          </w:rPr>
          <w:t>https://www.epa.gov/ground-water-and-drinking-water/national-primary-drinking-water-regulations</w:t>
        </w:r>
      </w:hyperlink>
    </w:p>
    <w:p w14:paraId="0CD94E17" w14:textId="77777777" w:rsidR="001E1693" w:rsidRPr="00B37014" w:rsidRDefault="001E1693" w:rsidP="001E1693">
      <w:pPr>
        <w:spacing w:after="0" w:line="240" w:lineRule="auto"/>
        <w:ind w:left="720" w:hanging="630"/>
        <w:jc w:val="both"/>
        <w:rPr>
          <w:rFonts w:ascii="Times New Roman" w:eastAsia="Times New Roman" w:hAnsi="Times New Roman" w:cs="Times New Roman"/>
          <w:sz w:val="24"/>
          <w:szCs w:val="24"/>
        </w:rPr>
      </w:pPr>
      <w:r w:rsidRPr="00B37014">
        <w:rPr>
          <w:rFonts w:ascii="Times New Roman" w:eastAsia="Calibri" w:hAnsi="Times New Roman" w:cs="Times New Roman"/>
          <w:sz w:val="24"/>
          <w:szCs w:val="24"/>
        </w:rPr>
        <w:t xml:space="preserve">World Health Organization. (2022). </w:t>
      </w:r>
      <w:r w:rsidRPr="00B37014">
        <w:rPr>
          <w:rFonts w:ascii="Times New Roman" w:eastAsia="Calibri" w:hAnsi="Times New Roman" w:cs="Times New Roman"/>
          <w:i/>
          <w:sz w:val="24"/>
          <w:szCs w:val="24"/>
        </w:rPr>
        <w:t>Guidelines for drinking-water quality: Fourth edition incorporating the first and second addenda.</w:t>
      </w:r>
      <w:r w:rsidRPr="00B37014">
        <w:rPr>
          <w:rFonts w:ascii="Times New Roman" w:eastAsia="Calibri" w:hAnsi="Times New Roman" w:cs="Times New Roman"/>
          <w:sz w:val="24"/>
          <w:szCs w:val="24"/>
        </w:rPr>
        <w:t xml:space="preserve"> </w:t>
      </w:r>
      <w:hyperlink r:id="rId43">
        <w:r w:rsidRPr="00B37014">
          <w:rPr>
            <w:rFonts w:ascii="Times New Roman" w:eastAsia="Calibri" w:hAnsi="Times New Roman" w:cs="Times New Roman"/>
            <w:color w:val="000000"/>
            <w:sz w:val="24"/>
            <w:szCs w:val="24"/>
          </w:rPr>
          <w:t>https://www.who.int/southeastasia/publications/i/item/9789240045064</w:t>
        </w:r>
      </w:hyperlink>
    </w:p>
    <w:p w14:paraId="07958533" w14:textId="77777777" w:rsidR="001E1693" w:rsidRPr="00B37014" w:rsidRDefault="001E1693" w:rsidP="001E1693">
      <w:pPr>
        <w:jc w:val="both"/>
        <w:rPr>
          <w:rFonts w:ascii="Times New Roman" w:hAnsi="Times New Roman" w:cs="Times New Roman"/>
          <w:sz w:val="24"/>
          <w:szCs w:val="24"/>
        </w:rPr>
      </w:pPr>
    </w:p>
    <w:p w14:paraId="18307DEE" w14:textId="77777777" w:rsidR="00013089" w:rsidRPr="001E1693" w:rsidRDefault="00013089" w:rsidP="001E1693"/>
    <w:sectPr w:rsidR="00013089" w:rsidRPr="001E1693">
      <w:headerReference w:type="even" r:id="rId44"/>
      <w:headerReference w:type="default" r:id="rId45"/>
      <w:footerReference w:type="even" r:id="rId46"/>
      <w:footerReference w:type="default" r:id="rId47"/>
      <w:headerReference w:type="first" r:id="rId48"/>
      <w:footerReference w:type="first" r:id="rId4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User" w:date="2026-09-20T14:37:00Z" w:initials="U">
    <w:p w14:paraId="3C1859FE" w14:textId="5771F8E5" w:rsidR="00FF0D5A" w:rsidRDefault="00FF0D5A">
      <w:pPr>
        <w:pStyle w:val="Commentaire"/>
      </w:pPr>
      <w:r>
        <w:rPr>
          <w:rStyle w:val="Marquedecommentaire"/>
        </w:rPr>
        <w:annotationRef/>
      </w:r>
      <w:r w:rsidRPr="00EF7612">
        <w:t>This section covers materials and methods, so we just need to explain how and using what software the various facies were obtained.</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C1859F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D606DB" w14:textId="77777777" w:rsidR="00660FAE" w:rsidRDefault="00660FAE" w:rsidP="00284454">
      <w:pPr>
        <w:spacing w:after="0" w:line="240" w:lineRule="auto"/>
      </w:pPr>
      <w:r>
        <w:separator/>
      </w:r>
    </w:p>
  </w:endnote>
  <w:endnote w:type="continuationSeparator" w:id="0">
    <w:p w14:paraId="38DFC830" w14:textId="77777777" w:rsidR="00660FAE" w:rsidRDefault="00660FAE" w:rsidP="00284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AFB6E4" w14:textId="77777777" w:rsidR="00FF0D5A" w:rsidRDefault="00FF0D5A">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8C40D0" w14:textId="77777777" w:rsidR="00FF0D5A" w:rsidRDefault="00FF0D5A">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CC79AC" w14:textId="77777777" w:rsidR="00FF0D5A" w:rsidRDefault="00FF0D5A">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142C07" w14:textId="77777777" w:rsidR="00660FAE" w:rsidRDefault="00660FAE" w:rsidP="00284454">
      <w:pPr>
        <w:spacing w:after="0" w:line="240" w:lineRule="auto"/>
      </w:pPr>
      <w:r>
        <w:separator/>
      </w:r>
    </w:p>
  </w:footnote>
  <w:footnote w:type="continuationSeparator" w:id="0">
    <w:p w14:paraId="04ECBA51" w14:textId="77777777" w:rsidR="00660FAE" w:rsidRDefault="00660FAE" w:rsidP="002844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96FB8A" w14:textId="79A7827D" w:rsidR="00FF0D5A" w:rsidRDefault="00FF0D5A">
    <w:pPr>
      <w:pStyle w:val="En-tte"/>
    </w:pPr>
    <w:r>
      <w:rPr>
        <w:noProof/>
      </w:rPr>
      <w:pict w14:anchorId="52A0B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594235" o:spid="_x0000_s2050"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2D15A7" w14:textId="3B39F11D" w:rsidR="00FF0D5A" w:rsidRDefault="00FF0D5A">
    <w:pPr>
      <w:pStyle w:val="En-tte"/>
    </w:pPr>
    <w:r>
      <w:rPr>
        <w:noProof/>
      </w:rPr>
      <w:pict w14:anchorId="538F4A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594236" o:spid="_x0000_s2051"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240DCF" w14:textId="3BD77CA7" w:rsidR="00FF0D5A" w:rsidRDefault="00FF0D5A">
    <w:pPr>
      <w:pStyle w:val="En-tte"/>
    </w:pPr>
    <w:r>
      <w:rPr>
        <w:noProof/>
      </w:rPr>
      <w:pict w14:anchorId="5C18BB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594234" o:spid="_x0000_s2049"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020511"/>
    <w:multiLevelType w:val="multilevel"/>
    <w:tmpl w:val="1A02051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618B5936"/>
    <w:multiLevelType w:val="multilevel"/>
    <w:tmpl w:val="6DAE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trackRevisions/>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089"/>
    <w:rsid w:val="00013089"/>
    <w:rsid w:val="001E1693"/>
    <w:rsid w:val="00284454"/>
    <w:rsid w:val="003D7970"/>
    <w:rsid w:val="004913C5"/>
    <w:rsid w:val="005016F5"/>
    <w:rsid w:val="00515769"/>
    <w:rsid w:val="00566CA8"/>
    <w:rsid w:val="00660FAE"/>
    <w:rsid w:val="007A790E"/>
    <w:rsid w:val="008D6763"/>
    <w:rsid w:val="00A82784"/>
    <w:rsid w:val="00AD2F60"/>
    <w:rsid w:val="00B54FE5"/>
    <w:rsid w:val="00C61AA5"/>
    <w:rsid w:val="00CF3AF4"/>
    <w:rsid w:val="00EF7612"/>
    <w:rsid w:val="00F3199C"/>
    <w:rsid w:val="00F90AB4"/>
    <w:rsid w:val="00FC394B"/>
    <w:rsid w:val="00FF0D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111E031"/>
  <w15:chartTrackingRefBased/>
  <w15:docId w15:val="{ADA9E556-6904-4103-AF00-7D290954D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1693"/>
  </w:style>
  <w:style w:type="paragraph" w:styleId="Titre1">
    <w:name w:val="heading 1"/>
    <w:basedOn w:val="Normal"/>
    <w:link w:val="Titre1Car"/>
    <w:uiPriority w:val="9"/>
    <w:qFormat/>
    <w:rsid w:val="0001308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Titre2">
    <w:name w:val="heading 2"/>
    <w:basedOn w:val="Normal"/>
    <w:link w:val="Titre2Car"/>
    <w:uiPriority w:val="9"/>
    <w:qFormat/>
    <w:rsid w:val="0001308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13089"/>
    <w:rPr>
      <w:rFonts w:ascii="Times New Roman" w:eastAsia="Times New Roman" w:hAnsi="Times New Roman" w:cs="Times New Roman"/>
      <w:b/>
      <w:bCs/>
      <w:kern w:val="36"/>
      <w:sz w:val="48"/>
      <w:szCs w:val="48"/>
      <w:lang w:eastAsia="en-GB"/>
    </w:rPr>
  </w:style>
  <w:style w:type="character" w:customStyle="1" w:styleId="Titre2Car">
    <w:name w:val="Titre 2 Car"/>
    <w:basedOn w:val="Policepardfaut"/>
    <w:link w:val="Titre2"/>
    <w:uiPriority w:val="9"/>
    <w:rsid w:val="00013089"/>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01308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lev">
    <w:name w:val="Strong"/>
    <w:basedOn w:val="Policepardfaut"/>
    <w:uiPriority w:val="22"/>
    <w:qFormat/>
    <w:rsid w:val="00013089"/>
    <w:rPr>
      <w:b/>
      <w:bCs/>
    </w:rPr>
  </w:style>
  <w:style w:type="character" w:styleId="Accentuation">
    <w:name w:val="Emphasis"/>
    <w:basedOn w:val="Policepardfaut"/>
    <w:uiPriority w:val="20"/>
    <w:qFormat/>
    <w:rsid w:val="00013089"/>
    <w:rPr>
      <w:i/>
      <w:iCs/>
    </w:rPr>
  </w:style>
  <w:style w:type="table" w:styleId="Grilledutableau">
    <w:name w:val="Table Grid"/>
    <w:basedOn w:val="TableauNormal"/>
    <w:uiPriority w:val="39"/>
    <w:rsid w:val="000130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013089"/>
    <w:rPr>
      <w:color w:val="0563C1" w:themeColor="hyperlink"/>
      <w:u w:val="single"/>
    </w:rPr>
  </w:style>
  <w:style w:type="paragraph" w:styleId="En-tte">
    <w:name w:val="header"/>
    <w:basedOn w:val="Normal"/>
    <w:link w:val="En-tteCar"/>
    <w:uiPriority w:val="99"/>
    <w:unhideWhenUsed/>
    <w:rsid w:val="00284454"/>
    <w:pPr>
      <w:tabs>
        <w:tab w:val="center" w:pos="4513"/>
        <w:tab w:val="right" w:pos="9026"/>
      </w:tabs>
      <w:spacing w:after="0" w:line="240" w:lineRule="auto"/>
    </w:pPr>
  </w:style>
  <w:style w:type="character" w:customStyle="1" w:styleId="En-tteCar">
    <w:name w:val="En-tête Car"/>
    <w:basedOn w:val="Policepardfaut"/>
    <w:link w:val="En-tte"/>
    <w:uiPriority w:val="99"/>
    <w:rsid w:val="00284454"/>
  </w:style>
  <w:style w:type="paragraph" w:styleId="Pieddepage">
    <w:name w:val="footer"/>
    <w:basedOn w:val="Normal"/>
    <w:link w:val="PieddepageCar"/>
    <w:uiPriority w:val="99"/>
    <w:unhideWhenUsed/>
    <w:rsid w:val="00284454"/>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284454"/>
  </w:style>
  <w:style w:type="character" w:styleId="Marquedecommentaire">
    <w:name w:val="annotation reference"/>
    <w:basedOn w:val="Policepardfaut"/>
    <w:uiPriority w:val="99"/>
    <w:semiHidden/>
    <w:unhideWhenUsed/>
    <w:rsid w:val="00EF7612"/>
    <w:rPr>
      <w:sz w:val="16"/>
      <w:szCs w:val="16"/>
    </w:rPr>
  </w:style>
  <w:style w:type="paragraph" w:styleId="Commentaire">
    <w:name w:val="annotation text"/>
    <w:basedOn w:val="Normal"/>
    <w:link w:val="CommentaireCar"/>
    <w:uiPriority w:val="99"/>
    <w:semiHidden/>
    <w:unhideWhenUsed/>
    <w:rsid w:val="00EF7612"/>
    <w:pPr>
      <w:spacing w:line="240" w:lineRule="auto"/>
    </w:pPr>
    <w:rPr>
      <w:sz w:val="20"/>
      <w:szCs w:val="20"/>
    </w:rPr>
  </w:style>
  <w:style w:type="character" w:customStyle="1" w:styleId="CommentaireCar">
    <w:name w:val="Commentaire Car"/>
    <w:basedOn w:val="Policepardfaut"/>
    <w:link w:val="Commentaire"/>
    <w:uiPriority w:val="99"/>
    <w:semiHidden/>
    <w:rsid w:val="00EF7612"/>
    <w:rPr>
      <w:sz w:val="20"/>
      <w:szCs w:val="20"/>
    </w:rPr>
  </w:style>
  <w:style w:type="paragraph" w:styleId="Objetducommentaire">
    <w:name w:val="annotation subject"/>
    <w:basedOn w:val="Commentaire"/>
    <w:next w:val="Commentaire"/>
    <w:link w:val="ObjetducommentaireCar"/>
    <w:uiPriority w:val="99"/>
    <w:semiHidden/>
    <w:unhideWhenUsed/>
    <w:rsid w:val="00EF7612"/>
    <w:rPr>
      <w:b/>
      <w:bCs/>
    </w:rPr>
  </w:style>
  <w:style w:type="character" w:customStyle="1" w:styleId="ObjetducommentaireCar">
    <w:name w:val="Objet du commentaire Car"/>
    <w:basedOn w:val="CommentaireCar"/>
    <w:link w:val="Objetducommentaire"/>
    <w:uiPriority w:val="99"/>
    <w:semiHidden/>
    <w:rsid w:val="00EF7612"/>
    <w:rPr>
      <w:b/>
      <w:bCs/>
      <w:sz w:val="20"/>
      <w:szCs w:val="20"/>
    </w:rPr>
  </w:style>
  <w:style w:type="paragraph" w:styleId="Rvision">
    <w:name w:val="Revision"/>
    <w:hidden/>
    <w:uiPriority w:val="99"/>
    <w:semiHidden/>
    <w:rsid w:val="00EF7612"/>
    <w:pPr>
      <w:spacing w:after="0" w:line="240" w:lineRule="auto"/>
    </w:pPr>
  </w:style>
  <w:style w:type="paragraph" w:styleId="Textedebulles">
    <w:name w:val="Balloon Text"/>
    <w:basedOn w:val="Normal"/>
    <w:link w:val="TextedebullesCar"/>
    <w:uiPriority w:val="99"/>
    <w:semiHidden/>
    <w:unhideWhenUsed/>
    <w:rsid w:val="00EF761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F76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369881">
      <w:bodyDiv w:val="1"/>
      <w:marLeft w:val="0"/>
      <w:marRight w:val="0"/>
      <w:marTop w:val="0"/>
      <w:marBottom w:val="0"/>
      <w:divBdr>
        <w:top w:val="none" w:sz="0" w:space="0" w:color="auto"/>
        <w:left w:val="none" w:sz="0" w:space="0" w:color="auto"/>
        <w:bottom w:val="none" w:sz="0" w:space="0" w:color="auto"/>
        <w:right w:val="none" w:sz="0" w:space="0" w:color="auto"/>
      </w:divBdr>
    </w:div>
    <w:div w:id="685518487">
      <w:bodyDiv w:val="1"/>
      <w:marLeft w:val="0"/>
      <w:marRight w:val="0"/>
      <w:marTop w:val="0"/>
      <w:marBottom w:val="0"/>
      <w:divBdr>
        <w:top w:val="none" w:sz="0" w:space="0" w:color="auto"/>
        <w:left w:val="none" w:sz="0" w:space="0" w:color="auto"/>
        <w:bottom w:val="none" w:sz="0" w:space="0" w:color="auto"/>
        <w:right w:val="none" w:sz="0" w:space="0" w:color="auto"/>
      </w:divBdr>
    </w:div>
    <w:div w:id="1260257687">
      <w:bodyDiv w:val="1"/>
      <w:marLeft w:val="0"/>
      <w:marRight w:val="0"/>
      <w:marTop w:val="0"/>
      <w:marBottom w:val="0"/>
      <w:divBdr>
        <w:top w:val="none" w:sz="0" w:space="0" w:color="auto"/>
        <w:left w:val="none" w:sz="0" w:space="0" w:color="auto"/>
        <w:bottom w:val="none" w:sz="0" w:space="0" w:color="auto"/>
        <w:right w:val="none" w:sz="0" w:space="0" w:color="auto"/>
      </w:divBdr>
    </w:div>
    <w:div w:id="1839031203">
      <w:bodyDiv w:val="1"/>
      <w:marLeft w:val="0"/>
      <w:marRight w:val="0"/>
      <w:marTop w:val="0"/>
      <w:marBottom w:val="0"/>
      <w:divBdr>
        <w:top w:val="none" w:sz="0" w:space="0" w:color="auto"/>
        <w:left w:val="none" w:sz="0" w:space="0" w:color="auto"/>
        <w:bottom w:val="none" w:sz="0" w:space="0" w:color="auto"/>
        <w:right w:val="none" w:sz="0" w:space="0" w:color="auto"/>
      </w:divBdr>
    </w:div>
    <w:div w:id="1999459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56557/jogee/2026/v22i110220" TargetMode="External"/><Relationship Id="rId18" Type="http://schemas.openxmlformats.org/officeDocument/2006/relationships/hyperlink" Target="https://doi.org/10.9734/ajoger/2026/v9i33270" TargetMode="External"/><Relationship Id="rId26" Type="http://schemas.openxmlformats.org/officeDocument/2006/relationships/hyperlink" Target="https://doi.org/10.9734/ajgr/2025/v8i4341" TargetMode="External"/><Relationship Id="rId39" Type="http://schemas.openxmlformats.org/officeDocument/2006/relationships/hyperlink" Target="https://doi.org/10.9734/ajgr/2026/v9i3438" TargetMode="External"/><Relationship Id="rId3" Type="http://schemas.openxmlformats.org/officeDocument/2006/relationships/settings" Target="settings.xml"/><Relationship Id="rId21" Type="http://schemas.openxmlformats.org/officeDocument/2006/relationships/hyperlink" Target="https://doi.org/10.9734/ajriz/2026/v9i1239" TargetMode="External"/><Relationship Id="rId34" Type="http://schemas.openxmlformats.org/officeDocument/2006/relationships/hyperlink" Target="https://doi.org/10.9734/ajoger/2025/v8i3223" TargetMode="External"/><Relationship Id="rId42" Type="http://schemas.openxmlformats.org/officeDocument/2006/relationships/hyperlink" Target="https://www.epa.gov/ground-water-and-drinking-water/national-primary-drinking-water-regulations"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comments" Target="comments.xml"/><Relationship Id="rId12" Type="http://schemas.openxmlformats.org/officeDocument/2006/relationships/hyperlink" Target="https://doi.org/10.9734/ajee/2023/v21i4469" TargetMode="External"/><Relationship Id="rId17" Type="http://schemas.openxmlformats.org/officeDocument/2006/relationships/hyperlink" Target="https://doi.org/10.9734/ajoger/2026/v9i3270" TargetMode="External"/><Relationship Id="rId25" Type="http://schemas.openxmlformats.org/officeDocument/2006/relationships/hyperlink" Target="https://doi.org/10.65756/pjmms.202604.009" TargetMode="External"/><Relationship Id="rId33" Type="http://schemas.openxmlformats.org/officeDocument/2006/relationships/hyperlink" Target="https://doi.org/10.9734/ajopacs/2025/v13i4271" TargetMode="External"/><Relationship Id="rId38" Type="http://schemas.openxmlformats.org/officeDocument/2006/relationships/hyperlink" Target="https://doi.org/10.1016/j.ecoenv.2023.115925" TargetMode="External"/><Relationship Id="rId46"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oi.org/10.69739/jmsbc.v2i2.1258" TargetMode="External"/><Relationship Id="rId20" Type="http://schemas.openxmlformats.org/officeDocument/2006/relationships/hyperlink" Target="https://doi.org/10.9734/ajahr/2026/v13i1436" TargetMode="External"/><Relationship Id="rId29" Type="http://schemas.openxmlformats.org/officeDocument/2006/relationships/hyperlink" Target="https://doi.org/10.56557/japsi/2025/v17i210026" TargetMode="External"/><Relationship Id="rId41" Type="http://schemas.openxmlformats.org/officeDocument/2006/relationships/hyperlink" Target="https://doi.org/10.9734/ajoger/2026/v9i123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55677/ijlsar/V05I07Y2026-01" TargetMode="External"/><Relationship Id="rId24" Type="http://schemas.openxmlformats.org/officeDocument/2006/relationships/hyperlink" Target="https://doi.org/10.1021/acs.est.7b05440" TargetMode="External"/><Relationship Id="rId32" Type="http://schemas.openxmlformats.org/officeDocument/2006/relationships/hyperlink" Target="https://doi.org/10.9734/ajocs/2025/v15i6402" TargetMode="External"/><Relationship Id="rId37" Type="http://schemas.openxmlformats.org/officeDocument/2006/relationships/hyperlink" Target="https://doi.org/10.9734/ajee/2026/v25i8992" TargetMode="External"/><Relationship Id="rId40" Type="http://schemas.openxmlformats.org/officeDocument/2006/relationships/hyperlink" Target="https://doi.org/10.9734/ajgr/2025/v8i4337" TargetMode="External"/><Relationship Id="rId45"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doi.org/10.69739/jece.v2i2.952" TargetMode="External"/><Relationship Id="rId23" Type="http://schemas.openxmlformats.org/officeDocument/2006/relationships/hyperlink" Target="https://doi.org/10.51470/ER.2026.8.1.191" TargetMode="External"/><Relationship Id="rId28" Type="http://schemas.openxmlformats.org/officeDocument/2006/relationships/hyperlink" Target="https://doi.org/10.69739/jece.v2i2.1078" TargetMode="External"/><Relationship Id="rId36" Type="http://schemas.openxmlformats.org/officeDocument/2006/relationships/hyperlink" Target="https://doi.org/10.69739/jaaas.v2i2.1309" TargetMode="External"/><Relationship Id="rId49" Type="http://schemas.openxmlformats.org/officeDocument/2006/relationships/footer" Target="footer3.xml"/><Relationship Id="rId10" Type="http://schemas.openxmlformats.org/officeDocument/2006/relationships/hyperlink" Target="https://doi.org/10.17140/PHOJ.11.01.507" TargetMode="External"/><Relationship Id="rId19" Type="http://schemas.openxmlformats.org/officeDocument/2006/relationships/hyperlink" Target="https://doi.org/10.69739/sjet.v2i2.1308" TargetMode="External"/><Relationship Id="rId31" Type="http://schemas.openxmlformats.org/officeDocument/2006/relationships/hyperlink" Target="https://doi.org/10.69739/jece.v2i2.844" TargetMode="External"/><Relationship Id="rId44" Type="http://schemas.openxmlformats.org/officeDocument/2006/relationships/header" Target="header1.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9734/ajee/2025/v24i11822" TargetMode="External"/><Relationship Id="rId14" Type="http://schemas.openxmlformats.org/officeDocument/2006/relationships/hyperlink" Target="https://doi.org/10.5281/zenodo.17148360" TargetMode="External"/><Relationship Id="rId22" Type="http://schemas.openxmlformats.org/officeDocument/2006/relationships/hyperlink" Target="https://doi.org/10.51470/ER.2026.8.1.191" TargetMode="External"/><Relationship Id="rId27" Type="http://schemas.openxmlformats.org/officeDocument/2006/relationships/hyperlink" Target="https://doi.org/10.9734/ajriz/2026/v9i1243" TargetMode="External"/><Relationship Id="rId30" Type="http://schemas.openxmlformats.org/officeDocument/2006/relationships/hyperlink" Target="https://doi.org/10.5281/zenodo.16921896" TargetMode="External"/><Relationship Id="rId35" Type="http://schemas.openxmlformats.org/officeDocument/2006/relationships/hyperlink" Target="https://doi.org/10.5281/zenodo.16904018" TargetMode="External"/><Relationship Id="rId43" Type="http://schemas.openxmlformats.org/officeDocument/2006/relationships/hyperlink" Target="https://www.who.int/southeastasia/publications/i/item/9789240045064" TargetMode="External"/><Relationship Id="rId48" Type="http://schemas.openxmlformats.org/officeDocument/2006/relationships/header" Target="header3.xml"/><Relationship Id="rId8" Type="http://schemas.microsoft.com/office/2011/relationships/commentsExtended" Target="commentsExtended.xml"/><Relationship Id="rId51"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21</Pages>
  <Words>10358</Words>
  <Characters>56971</Characters>
  <Application>Microsoft Office Word</Application>
  <DocSecurity>0</DocSecurity>
  <Lines>474</Lines>
  <Paragraphs>134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JOB OTOKWALA</dc:creator>
  <cp:keywords/>
  <dc:description/>
  <cp:lastModifiedBy>User</cp:lastModifiedBy>
  <cp:revision>2</cp:revision>
  <dcterms:created xsi:type="dcterms:W3CDTF">2026-09-20T14:57:00Z</dcterms:created>
  <dcterms:modified xsi:type="dcterms:W3CDTF">2026-09-20T14:57:00Z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868aeb5e-c192-4d92-90b3-6454f2e49326</vt:lpwstr>
  </property>
</Properties>
</file>