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2A99" w:rsidRPr="0064240C" w14:paraId="76302F4C" w14:textId="77777777">
        <w:trPr>
          <w:trHeight w:val="20"/>
          <w:jc w:val="center"/>
        </w:trPr>
        <w:tc>
          <w:tcPr>
            <w:tcW w:w="1186" w:type="pct"/>
          </w:tcPr>
          <w:p w14:paraId="1DE54112" w14:textId="77777777" w:rsidR="00F72A99" w:rsidRPr="0064240C" w:rsidRDefault="002D2A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EFE2075" w14:textId="77777777" w:rsidR="00F72A99" w:rsidRPr="0064240C" w:rsidRDefault="00F72A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4240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F72A99" w:rsidRPr="0064240C" w14:paraId="5E9F4ABD" w14:textId="77777777">
        <w:trPr>
          <w:trHeight w:val="20"/>
          <w:jc w:val="center"/>
        </w:trPr>
        <w:tc>
          <w:tcPr>
            <w:tcW w:w="1186" w:type="pct"/>
          </w:tcPr>
          <w:p w14:paraId="31936E1F" w14:textId="77777777" w:rsidR="00F72A99" w:rsidRPr="0064240C" w:rsidRDefault="002D2A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F46A4F" w14:textId="0C9D3C86" w:rsidR="00F72A99" w:rsidRPr="0064240C" w:rsidRDefault="00BC14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Ms_JOGAE_15856</w:t>
            </w:r>
          </w:p>
        </w:tc>
      </w:tr>
      <w:tr w:rsidR="00F72A99" w:rsidRPr="0064240C" w14:paraId="34590D92" w14:textId="77777777">
        <w:trPr>
          <w:trHeight w:val="20"/>
          <w:jc w:val="center"/>
        </w:trPr>
        <w:tc>
          <w:tcPr>
            <w:tcW w:w="1186" w:type="pct"/>
          </w:tcPr>
          <w:p w14:paraId="2003202F" w14:textId="77777777" w:rsidR="00F72A99" w:rsidRPr="0064240C" w:rsidRDefault="002D2A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F677A7" w14:textId="3F363B27" w:rsidR="00F72A99" w:rsidRPr="0064240C" w:rsidRDefault="00BC14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Morphological and physiological growth of coffee (Coffea arabica L.) in interaction with mycorrhiza (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Rhizophagus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intraradices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and organic fertilizers in 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Motozintla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, Chiapas.</w:t>
            </w:r>
          </w:p>
        </w:tc>
      </w:tr>
      <w:tr w:rsidR="00F72A99" w:rsidRPr="0064240C" w14:paraId="47889733" w14:textId="77777777">
        <w:trPr>
          <w:trHeight w:val="20"/>
          <w:jc w:val="center"/>
        </w:trPr>
        <w:tc>
          <w:tcPr>
            <w:tcW w:w="1186" w:type="pct"/>
          </w:tcPr>
          <w:p w14:paraId="576A73F4" w14:textId="77777777" w:rsidR="00F72A99" w:rsidRPr="0064240C" w:rsidRDefault="002D2A2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81C0F6C" w14:textId="47473E62" w:rsidR="00F72A99" w:rsidRPr="0064240C" w:rsidRDefault="000C35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E1D47C2" w14:textId="77777777" w:rsidR="00F72A99" w:rsidRPr="0064240C" w:rsidRDefault="00F72A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F75E57C" w14:textId="77777777" w:rsidR="00F72A99" w:rsidRPr="0064240C" w:rsidRDefault="002D2A2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4240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4240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8F19B3E" w14:textId="77777777" w:rsidR="00F72A99" w:rsidRPr="0064240C" w:rsidRDefault="00F72A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2A99" w:rsidRPr="0064240C" w14:paraId="5CFD79F5" w14:textId="77777777" w:rsidTr="003D4734">
        <w:trPr>
          <w:trHeight w:val="992"/>
          <w:jc w:val="center"/>
        </w:trPr>
        <w:tc>
          <w:tcPr>
            <w:tcW w:w="1666" w:type="pct"/>
            <w:noWrap/>
          </w:tcPr>
          <w:p w14:paraId="37DD6128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2E507E2" w14:textId="77777777" w:rsidR="00F72A99" w:rsidRPr="0064240C" w:rsidRDefault="002D2A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76C4676" w14:textId="77777777" w:rsidR="00F72A99" w:rsidRPr="0064240C" w:rsidRDefault="002D2A2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424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24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FD80325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64240C" w14:paraId="1B4D4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3C8BD7" w14:textId="77777777" w:rsidR="00F72A99" w:rsidRPr="0064240C" w:rsidRDefault="002D2A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4CD76CB" w14:textId="77777777" w:rsidR="00F72A99" w:rsidRPr="0064240C" w:rsidRDefault="002D2A2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95332BA" w14:textId="561D8C18" w:rsidR="00F72A99" w:rsidRPr="0064240C" w:rsidRDefault="003D4734" w:rsidP="003D4734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sz w:val="20"/>
                <w:szCs w:val="20"/>
              </w:rPr>
              <w:t xml:space="preserve">This study provides valuable scientific evidence on the potential of integrating </w:t>
            </w:r>
            <w:r w:rsidRPr="0064240C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 xml:space="preserve">arbuscular mycorrhizal fungi </w:t>
            </w:r>
            <w:r w:rsidRPr="0064240C">
              <w:rPr>
                <w:rStyle w:val="Strong"/>
                <w:rFonts w:ascii="Arial" w:eastAsia="MS Mincho" w:hAnsi="Arial" w:cs="Arial"/>
                <w:sz w:val="20"/>
                <w:szCs w:val="20"/>
              </w:rPr>
              <w:t>(</w:t>
            </w:r>
            <w:proofErr w:type="spellStart"/>
            <w:r w:rsidRPr="0064240C">
              <w:rPr>
                <w:rStyle w:val="Emphasis"/>
                <w:rFonts w:ascii="Arial" w:eastAsia="Arial Unicode MS" w:hAnsi="Arial" w:cs="Arial"/>
                <w:bCs/>
                <w:sz w:val="20"/>
                <w:szCs w:val="20"/>
              </w:rPr>
              <w:t>Rhizophagus</w:t>
            </w:r>
            <w:proofErr w:type="spellEnd"/>
            <w:r w:rsidRPr="0064240C">
              <w:rPr>
                <w:rStyle w:val="Emphasis"/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64240C">
              <w:rPr>
                <w:rStyle w:val="Emphasis"/>
                <w:rFonts w:ascii="Arial" w:eastAsia="Arial Unicode MS" w:hAnsi="Arial" w:cs="Arial"/>
                <w:bCs/>
                <w:sz w:val="20"/>
                <w:szCs w:val="20"/>
              </w:rPr>
              <w:t>intraradices</w:t>
            </w:r>
            <w:proofErr w:type="spellEnd"/>
            <w:r w:rsidRPr="0064240C">
              <w:rPr>
                <w:rStyle w:val="Strong"/>
                <w:rFonts w:ascii="Arial" w:eastAsia="MS Mincho" w:hAnsi="Arial" w:cs="Arial"/>
                <w:sz w:val="20"/>
                <w:szCs w:val="20"/>
              </w:rPr>
              <w:t>)</w:t>
            </w:r>
            <w:r w:rsidRPr="0064240C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 xml:space="preserve"> with locally available organic fertilizers</w:t>
            </w:r>
            <w:r w:rsidRPr="0064240C">
              <w:rPr>
                <w:rFonts w:ascii="Arial" w:hAnsi="Arial" w:cs="Arial"/>
                <w:sz w:val="20"/>
                <w:szCs w:val="20"/>
              </w:rPr>
              <w:t xml:space="preserve"> to improve the growth and biomass production of </w:t>
            </w:r>
            <w:r w:rsidRPr="0064240C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Coffea arabica</w:t>
            </w:r>
            <w:r w:rsidRPr="0064240C">
              <w:rPr>
                <w:rFonts w:ascii="Arial" w:hAnsi="Arial" w:cs="Arial"/>
                <w:sz w:val="20"/>
                <w:szCs w:val="20"/>
              </w:rPr>
              <w:t xml:space="preserve"> seedlings. The findings contribute to the development of </w:t>
            </w:r>
            <w:r w:rsidRPr="0064240C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sustainable, low-input and environmentally friendly coffee production systems</w:t>
            </w:r>
            <w:r w:rsidRPr="0064240C">
              <w:rPr>
                <w:rFonts w:ascii="Arial" w:hAnsi="Arial" w:cs="Arial"/>
                <w:sz w:val="20"/>
                <w:szCs w:val="20"/>
              </w:rPr>
              <w:t xml:space="preserve">, particularly in regions where organic residues are readily available. The comparative performance of fermented coffee pulp and vermicompost also offers practical insights for </w:t>
            </w:r>
            <w:r w:rsidRPr="0064240C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improving coffee nursery management, recycling agricultural wastes, and reducing dependence on synthetic inputs</w:t>
            </w:r>
            <w:r w:rsidRPr="0064240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27CDC00C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B3D4F2" w14:textId="77777777" w:rsidR="00F72A99" w:rsidRPr="0064240C" w:rsidRDefault="00F72A99">
      <w:pPr>
        <w:rPr>
          <w:rFonts w:ascii="Arial" w:hAnsi="Arial" w:cs="Arial"/>
          <w:sz w:val="20"/>
          <w:szCs w:val="20"/>
          <w:lang w:val="en-GB"/>
        </w:rPr>
      </w:pPr>
    </w:p>
    <w:p w14:paraId="36FD2041" w14:textId="77777777" w:rsidR="00F72A99" w:rsidRPr="0064240C" w:rsidRDefault="002D2A2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424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7CB3D60" w14:textId="77777777" w:rsidR="00F72A99" w:rsidRPr="0064240C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64240C" w14:paraId="74AEB6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FE4499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79A6850" w14:textId="77777777" w:rsidR="00F72A99" w:rsidRPr="0064240C" w:rsidRDefault="002D2A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9A0B0E3" w14:textId="31EB9304" w:rsidR="00F72A99" w:rsidRPr="0064240C" w:rsidRDefault="002D2A2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24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30B2D" w:rsidRPr="0064240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30B2D" w:rsidRPr="0064240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2A99" w:rsidRPr="0064240C" w14:paraId="1045C4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E2100" w14:textId="77777777" w:rsidR="00F72A99" w:rsidRPr="0064240C" w:rsidRDefault="002D2A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664FED9" w14:textId="77777777" w:rsidR="00F72A99" w:rsidRPr="0064240C" w:rsidRDefault="002D2A2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91C2CB" w14:textId="77777777" w:rsidR="00F72A99" w:rsidRPr="0064240C" w:rsidRDefault="002D2A2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EAB82B" w14:textId="72CA29B4" w:rsidR="00F72A99" w:rsidRPr="0064240C" w:rsidRDefault="003D4734" w:rsidP="003D4734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Good, </w:t>
            </w: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title of the article: ‘</w:t>
            </w: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Morphological and physiological growth of coffee (Coffea arabica L.) in interaction with mycorrhiza (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Rhizophagus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intraradices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and organic fertilizers in 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Motozintla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, Chiapas’</w:t>
            </w: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completely suitable for this manuscript. Otherwise author can use another title like: ‘</w:t>
            </w:r>
            <w:r w:rsidRPr="0064240C">
              <w:rPr>
                <w:rFonts w:ascii="Arial" w:hAnsi="Arial" w:cs="Arial"/>
                <w:b/>
                <w:sz w:val="20"/>
                <w:szCs w:val="20"/>
              </w:rPr>
              <w:t xml:space="preserve">Sustainable Coffee Seedling Production through </w:t>
            </w:r>
            <w:proofErr w:type="spellStart"/>
            <w:r w:rsidRPr="0064240C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>Rhizophagus</w:t>
            </w:r>
            <w:proofErr w:type="spellEnd"/>
            <w:r w:rsidRPr="0064240C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4240C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>intraradices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</w:rPr>
              <w:t xml:space="preserve"> Inoculation and Organic Substrate Management’ </w:t>
            </w:r>
          </w:p>
        </w:tc>
        <w:tc>
          <w:tcPr>
            <w:tcW w:w="1667" w:type="pct"/>
          </w:tcPr>
          <w:p w14:paraId="14A81BF8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3D8CF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8F2574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119CC8A2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C99B22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514E9A" w14:textId="06D5A68B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D414F53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5F6A33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0DDDA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BFBD5C0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413A0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B191C1" w14:textId="0ADAC492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C316E89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5DDB0C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578AE8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1789E68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61B122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5256A" w14:textId="10F74862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50938F6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08AFEF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8CF9CE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5835C5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13898D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90CEE7" w14:textId="79A09C15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F5E1DF3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789A77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89EDF3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67A6F07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021AA9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C5AB4C" w14:textId="0ADAB169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B495DA5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37646B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E2A891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A69A4E9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E83725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983846" w14:textId="4BEB68D5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EB380E4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525CB9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8810BB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8F6A26F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267A0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E1CCC" w14:textId="212190E4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9739660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28867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B91F6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2B7716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847656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BC97F0" w14:textId="165CE244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1D8BBC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143F3B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CE827E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710858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59F960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C0B6CF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632025C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1511F" w14:textId="193A165B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CE1F9F6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55A888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CEA50F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A9F1DA0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402931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78FAC4" w14:textId="53E573FD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139135D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325554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24160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912D152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F521A2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1844CD" w14:textId="249FA1D4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2145D8B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744808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9D0BCC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DA3A05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0B267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8D210" w14:textId="1B101198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B9F95F1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6FC701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6CC211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95DC532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62B96C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704F27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99932A" w14:textId="527FA3F3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8AF7FCF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0B3B04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A32B6F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EC61EE9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9CA577" w14:textId="77777777" w:rsidR="00B73967" w:rsidRPr="0064240C" w:rsidRDefault="00B73967" w:rsidP="00B739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1849163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CA3D90" w14:textId="05C16FCE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AA8726F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1D5711" w14:textId="77777777" w:rsidR="00F72A99" w:rsidRPr="0064240C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AA22401" w14:textId="77777777" w:rsidR="00F72A99" w:rsidRPr="0064240C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94C2BE1" w14:textId="77777777" w:rsidR="00F72A99" w:rsidRPr="0064240C" w:rsidRDefault="002D2A2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424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2A3C37B2" w14:textId="77777777" w:rsidR="00F72A99" w:rsidRPr="0064240C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64240C" w14:paraId="7B09B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18326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8140B0" w14:textId="77777777" w:rsidR="00F72A99" w:rsidRPr="0064240C" w:rsidRDefault="002D2A2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9B91C0" w14:textId="77777777" w:rsidR="00F72A99" w:rsidRPr="0064240C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336FA9" w14:textId="77777777" w:rsidR="00F72A99" w:rsidRPr="0064240C" w:rsidRDefault="002D2A2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424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4240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4240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14F5201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64240C" w14:paraId="163330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FB5172" w14:textId="77777777" w:rsidR="00F72A99" w:rsidRPr="0064240C" w:rsidRDefault="002D2A2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704FAB" w14:textId="77777777" w:rsidR="00F72A99" w:rsidRPr="0064240C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AD1104" w14:textId="77777777" w:rsidR="00F72A99" w:rsidRPr="0064240C" w:rsidRDefault="002D2A2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727B46" w14:textId="77777777" w:rsidR="00F72A99" w:rsidRPr="0064240C" w:rsidRDefault="00F72A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02ECE" w14:textId="6FD0D0D1" w:rsidR="00F72A99" w:rsidRPr="0064240C" w:rsidRDefault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Good, </w:t>
            </w: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title of the article: ‘</w:t>
            </w:r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Morphological and physiological growth of coffee (Coffea arabica L.) in interaction with mycorrhiza (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Rhizophagus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intraradices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and organic fertilizers in </w:t>
            </w:r>
            <w:proofErr w:type="spellStart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Motozintla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  <w:lang w:val="en-GB"/>
              </w:rPr>
              <w:t>, Chiapas’</w:t>
            </w: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completely suitable for this manuscript. Otherwise author can use another title like: ‘</w:t>
            </w:r>
            <w:r w:rsidRPr="0064240C">
              <w:rPr>
                <w:rFonts w:ascii="Arial" w:hAnsi="Arial" w:cs="Arial"/>
                <w:b/>
                <w:sz w:val="20"/>
                <w:szCs w:val="20"/>
              </w:rPr>
              <w:t xml:space="preserve">Sustainable Coffee Seedling Production through </w:t>
            </w:r>
            <w:proofErr w:type="spellStart"/>
            <w:r w:rsidRPr="0064240C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>Rhizophagus</w:t>
            </w:r>
            <w:proofErr w:type="spellEnd"/>
            <w:r w:rsidRPr="0064240C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4240C">
              <w:rPr>
                <w:rStyle w:val="Emphasis"/>
                <w:rFonts w:ascii="Arial" w:eastAsia="MS Mincho" w:hAnsi="Arial" w:cs="Arial"/>
                <w:b/>
                <w:sz w:val="20"/>
                <w:szCs w:val="20"/>
              </w:rPr>
              <w:t>intraradices</w:t>
            </w:r>
            <w:proofErr w:type="spellEnd"/>
            <w:r w:rsidRPr="0064240C">
              <w:rPr>
                <w:rFonts w:ascii="Arial" w:hAnsi="Arial" w:cs="Arial"/>
                <w:b/>
                <w:sz w:val="20"/>
                <w:szCs w:val="20"/>
              </w:rPr>
              <w:t xml:space="preserve"> Inoculation and Organic Substrate Management’</w:t>
            </w:r>
          </w:p>
        </w:tc>
        <w:tc>
          <w:tcPr>
            <w:tcW w:w="1667" w:type="pct"/>
          </w:tcPr>
          <w:p w14:paraId="6F4070C5" w14:textId="77777777" w:rsidR="00F72A99" w:rsidRPr="0064240C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5069F9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E7C0CB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9DC1267" w14:textId="03782FB0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BAA70C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A768F3" w14:textId="77777777" w:rsidR="00B73967" w:rsidRPr="0064240C" w:rsidRDefault="00B73967" w:rsidP="00B739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721A34" w14:textId="459114BD" w:rsidR="00B73967" w:rsidRPr="0064240C" w:rsidRDefault="00B73967" w:rsidP="00B739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abstract of the article is comprehensive</w:t>
            </w: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is no need to add or delete something in this section.</w:t>
            </w:r>
          </w:p>
        </w:tc>
        <w:tc>
          <w:tcPr>
            <w:tcW w:w="1667" w:type="pct"/>
          </w:tcPr>
          <w:p w14:paraId="2E641442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3216ED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A3CE4F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424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32E6E91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7545731" w14:textId="77777777" w:rsidR="00B73967" w:rsidRPr="0064240C" w:rsidRDefault="00B73967" w:rsidP="00B739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9A1B437" w14:textId="69D57A63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manuscript is completely scientifically correct</w:t>
            </w:r>
          </w:p>
        </w:tc>
        <w:tc>
          <w:tcPr>
            <w:tcW w:w="1667" w:type="pct"/>
          </w:tcPr>
          <w:p w14:paraId="7B8B8269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2DF21D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A53549" w14:textId="77777777" w:rsidR="00B73967" w:rsidRPr="0064240C" w:rsidRDefault="00B73967" w:rsidP="00B739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0FA0849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31CBF65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E76E98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98A7C16" w14:textId="77777777" w:rsidR="00B73967" w:rsidRPr="0064240C" w:rsidRDefault="00B73967" w:rsidP="00B739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C71AAD" w14:textId="3DC51F1A" w:rsidR="00B73967" w:rsidRPr="0064240C" w:rsidRDefault="00B73967" w:rsidP="00B739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 think this section needs modification. At least, 5 to 6 more references are needed in this manuscript. Author should incorporate more recent references like, 2025 and 2026</w:t>
            </w:r>
          </w:p>
        </w:tc>
        <w:tc>
          <w:tcPr>
            <w:tcW w:w="1667" w:type="pct"/>
          </w:tcPr>
          <w:p w14:paraId="21575204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73967" w:rsidRPr="0064240C" w14:paraId="537E61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74ADFA" w14:textId="77777777" w:rsidR="00B73967" w:rsidRPr="0064240C" w:rsidRDefault="00B73967" w:rsidP="00B739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3432576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2011150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01DDB1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8A2888C" w14:textId="77777777" w:rsidR="00B73967" w:rsidRPr="0064240C" w:rsidRDefault="00B73967" w:rsidP="00B739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5D3402" w14:textId="1415C8DE" w:rsidR="00B73967" w:rsidRPr="0064240C" w:rsidRDefault="00B73967" w:rsidP="00B7396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240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8A0FFB3" w14:textId="77777777" w:rsidR="00B73967" w:rsidRPr="0064240C" w:rsidRDefault="00B73967" w:rsidP="00B739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32BE0B" w14:textId="77777777" w:rsidR="0064240C" w:rsidRPr="0064240C" w:rsidRDefault="0064240C" w:rsidP="0064240C">
      <w:pPr>
        <w:rPr>
          <w:rFonts w:ascii="Arial" w:hAnsi="Arial" w:cs="Arial"/>
          <w:sz w:val="20"/>
          <w:szCs w:val="20"/>
        </w:rPr>
      </w:pPr>
      <w:r w:rsidRPr="0064240C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76B182E9" w14:textId="77777777" w:rsidR="0064240C" w:rsidRPr="0064240C" w:rsidRDefault="0064240C" w:rsidP="0064240C">
      <w:pPr>
        <w:rPr>
          <w:rFonts w:ascii="Arial" w:hAnsi="Arial" w:cs="Arial"/>
          <w:sz w:val="20"/>
          <w:szCs w:val="20"/>
        </w:rPr>
      </w:pPr>
      <w:r w:rsidRPr="0064240C">
        <w:rPr>
          <w:rFonts w:ascii="Arial" w:hAnsi="Arial" w:cs="Arial"/>
          <w:color w:val="000000"/>
          <w:sz w:val="20"/>
          <w:szCs w:val="20"/>
        </w:rPr>
        <w:t>Amit Kumar Kundu, University of Kalyani</w:t>
      </w:r>
      <w:r w:rsidRPr="0064240C">
        <w:rPr>
          <w:rFonts w:ascii="Arial" w:hAnsi="Arial" w:cs="Arial"/>
          <w:sz w:val="20"/>
          <w:szCs w:val="20"/>
        </w:rPr>
        <w:t xml:space="preserve">, </w:t>
      </w:r>
      <w:r w:rsidRPr="0064240C">
        <w:rPr>
          <w:rFonts w:ascii="Arial" w:hAnsi="Arial" w:cs="Arial"/>
          <w:color w:val="000000"/>
          <w:sz w:val="20"/>
          <w:szCs w:val="20"/>
        </w:rPr>
        <w:t>India</w:t>
      </w:r>
    </w:p>
    <w:p w14:paraId="12F81976" w14:textId="77777777" w:rsidR="0064240C" w:rsidRPr="0064240C" w:rsidRDefault="0064240C" w:rsidP="0064240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2F57E3C" w14:textId="77777777" w:rsidR="0064240C" w:rsidRPr="0064240C" w:rsidRDefault="0064240C" w:rsidP="0064240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25FEBA7" w14:textId="77777777" w:rsidR="00F72A99" w:rsidRPr="0064240C" w:rsidRDefault="00F72A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F72A99" w:rsidRPr="0064240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50DA5" w14:textId="77777777" w:rsidR="00AF2405" w:rsidRDefault="00AF2405">
      <w:r>
        <w:separator/>
      </w:r>
    </w:p>
  </w:endnote>
  <w:endnote w:type="continuationSeparator" w:id="0">
    <w:p w14:paraId="571DFD9B" w14:textId="77777777" w:rsidR="00AF2405" w:rsidRDefault="00AF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E128" w14:textId="77777777" w:rsidR="00F72A99" w:rsidRDefault="00F72A99">
    <w:pPr>
      <w:pStyle w:val="Footer"/>
      <w:jc w:val="right"/>
    </w:pPr>
  </w:p>
  <w:p w14:paraId="2BB16E09" w14:textId="77777777" w:rsidR="00F72A99" w:rsidRDefault="002D2A2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35D8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35D8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0D71314" w14:textId="77777777" w:rsidR="00F72A99" w:rsidRDefault="002D2A2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603CEDD" w14:textId="77777777" w:rsidR="00F72A99" w:rsidRDefault="00F72A99">
    <w:pPr>
      <w:pStyle w:val="Footer"/>
      <w:jc w:val="right"/>
    </w:pPr>
  </w:p>
  <w:p w14:paraId="3B23E401" w14:textId="77777777" w:rsidR="00F72A99" w:rsidRDefault="00F72A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7A69E" w14:textId="77777777" w:rsidR="00AF2405" w:rsidRDefault="00AF2405">
      <w:r>
        <w:separator/>
      </w:r>
    </w:p>
  </w:footnote>
  <w:footnote w:type="continuationSeparator" w:id="0">
    <w:p w14:paraId="05DBA892" w14:textId="77777777" w:rsidR="00AF2405" w:rsidRDefault="00AF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00AD" w14:textId="77777777" w:rsidR="00F72A99" w:rsidRDefault="00F72A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F0EC124" w14:textId="77777777" w:rsidR="00F72A99" w:rsidRDefault="002D2A2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B16B9"/>
    <w:multiLevelType w:val="hybridMultilevel"/>
    <w:tmpl w:val="86AE299E"/>
    <w:lvl w:ilvl="0" w:tplc="13421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8558428">
    <w:abstractNumId w:val="5"/>
  </w:num>
  <w:num w:numId="2" w16cid:durableId="1069186437">
    <w:abstractNumId w:val="9"/>
  </w:num>
  <w:num w:numId="3" w16cid:durableId="400714017">
    <w:abstractNumId w:val="8"/>
  </w:num>
  <w:num w:numId="4" w16cid:durableId="2047631958">
    <w:abstractNumId w:val="10"/>
  </w:num>
  <w:num w:numId="5" w16cid:durableId="1806311347">
    <w:abstractNumId w:val="7"/>
  </w:num>
  <w:num w:numId="6" w16cid:durableId="293565999">
    <w:abstractNumId w:val="0"/>
  </w:num>
  <w:num w:numId="7" w16cid:durableId="217665358">
    <w:abstractNumId w:val="4"/>
  </w:num>
  <w:num w:numId="8" w16cid:durableId="350569238">
    <w:abstractNumId w:val="12"/>
  </w:num>
  <w:num w:numId="9" w16cid:durableId="2004043027">
    <w:abstractNumId w:val="11"/>
  </w:num>
  <w:num w:numId="10" w16cid:durableId="1674726062">
    <w:abstractNumId w:val="2"/>
  </w:num>
  <w:num w:numId="11" w16cid:durableId="1007250320">
    <w:abstractNumId w:val="1"/>
  </w:num>
  <w:num w:numId="12" w16cid:durableId="1781220301">
    <w:abstractNumId w:val="6"/>
  </w:num>
  <w:num w:numId="13" w16cid:durableId="1195846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A99"/>
    <w:rsid w:val="000C3589"/>
    <w:rsid w:val="001F3983"/>
    <w:rsid w:val="00230B2D"/>
    <w:rsid w:val="002D2A23"/>
    <w:rsid w:val="0034606C"/>
    <w:rsid w:val="003C7D51"/>
    <w:rsid w:val="003D4734"/>
    <w:rsid w:val="003E1854"/>
    <w:rsid w:val="00435D80"/>
    <w:rsid w:val="004E51CB"/>
    <w:rsid w:val="005065C1"/>
    <w:rsid w:val="0064240C"/>
    <w:rsid w:val="00644B87"/>
    <w:rsid w:val="006B7B18"/>
    <w:rsid w:val="006F79C3"/>
    <w:rsid w:val="00AD4F84"/>
    <w:rsid w:val="00AF2405"/>
    <w:rsid w:val="00B73967"/>
    <w:rsid w:val="00BC1478"/>
    <w:rsid w:val="00BE18B4"/>
    <w:rsid w:val="00BF122F"/>
    <w:rsid w:val="00C13567"/>
    <w:rsid w:val="00C4738B"/>
    <w:rsid w:val="00CD3AD7"/>
    <w:rsid w:val="00CF2AEE"/>
    <w:rsid w:val="00D279FF"/>
    <w:rsid w:val="00D81A89"/>
    <w:rsid w:val="00E44CD5"/>
    <w:rsid w:val="00F7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6FE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D4734"/>
    <w:rPr>
      <w:b/>
      <w:bCs/>
    </w:rPr>
  </w:style>
  <w:style w:type="character" w:styleId="Emphasis">
    <w:name w:val="Emphasis"/>
    <w:uiPriority w:val="20"/>
    <w:qFormat/>
    <w:rsid w:val="003D4734"/>
    <w:rPr>
      <w:i/>
      <w:iCs/>
    </w:rPr>
  </w:style>
  <w:style w:type="character" w:styleId="UnresolvedMention">
    <w:name w:val="Unresolved Mention"/>
    <w:uiPriority w:val="99"/>
    <w:semiHidden/>
    <w:unhideWhenUsed/>
    <w:rsid w:val="0034606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4240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2026-10-12T09:56:00Z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