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D017B0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D017B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D017B0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D017B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D017B0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D017B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1BD59085" w:rsidR="006C2F99" w:rsidRPr="00D017B0" w:rsidRDefault="00504C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Ms_JOBAN_15786</w:t>
            </w:r>
          </w:p>
        </w:tc>
      </w:tr>
      <w:tr w:rsidR="006C2F99" w:rsidRPr="00D017B0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D017B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485B8AEB" w:rsidR="006C2F99" w:rsidRPr="00D017B0" w:rsidRDefault="00504C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Root colonization but no growth response in African eggplant (Solanum </w:t>
            </w:r>
            <w:proofErr w:type="spellStart"/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aethiopicum</w:t>
            </w:r>
            <w:proofErr w:type="spellEnd"/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L.) inoculated with two indigenous and one commercial arbuscular mycorrhizal fungal inoculants</w:t>
            </w:r>
          </w:p>
        </w:tc>
      </w:tr>
      <w:tr w:rsidR="006C2F99" w:rsidRPr="00D017B0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D017B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D017B0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D017B0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D017B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017B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017B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D017B0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D017B0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D017B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017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17B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D017B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619D73B1" w:rsidR="006C2F99" w:rsidRPr="00D017B0" w:rsidRDefault="002430AF" w:rsidP="002430A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5477A" w:rsidRPr="00D017B0">
              <w:rPr>
                <w:rFonts w:ascii="Arial" w:hAnsi="Arial" w:cs="Arial"/>
                <w:sz w:val="20"/>
                <w:szCs w:val="20"/>
              </w:rPr>
              <w:t>paper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has a clear experimental question, a useful comparison between indigenous and commercial AMF inoculants, and a potentially publishable result. The central finding—that inoculation resulted in root </w:t>
            </w:r>
            <w:proofErr w:type="spellStart"/>
            <w:r w:rsidR="00CB475D" w:rsidRPr="00D017B0">
              <w:rPr>
                <w:rFonts w:ascii="Arial" w:hAnsi="Arial" w:cs="Arial"/>
                <w:sz w:val="20"/>
                <w:szCs w:val="20"/>
              </w:rPr>
              <w:t>colonisation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but not a measurable growth response—is interesting.</w:t>
            </w:r>
          </w:p>
        </w:tc>
        <w:tc>
          <w:tcPr>
            <w:tcW w:w="1667" w:type="pct"/>
          </w:tcPr>
          <w:p w14:paraId="72752A66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D017B0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D017B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017B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D017B0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017B0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D017B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17B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D017B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D017B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D017B0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D017B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D017B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D017B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7D01AAFE" w:rsidR="006C2F99" w:rsidRPr="00D017B0" w:rsidRDefault="002430AF" w:rsidP="002430A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 </w:t>
            </w:r>
            <w:r w:rsidR="00CB2D52" w:rsidRPr="00D017B0">
              <w:rPr>
                <w:rFonts w:ascii="Arial" w:hAnsi="Arial" w:cs="Arial"/>
                <w:sz w:val="20"/>
                <w:szCs w:val="20"/>
                <w:lang w:val="en-GB"/>
              </w:rPr>
              <w:t>Revise</w:t>
            </w:r>
          </w:p>
        </w:tc>
        <w:tc>
          <w:tcPr>
            <w:tcW w:w="1667" w:type="pct"/>
          </w:tcPr>
          <w:p w14:paraId="1D348690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D017B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D017B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230E226A" w:rsidR="006C2F99" w:rsidRPr="00D017B0" w:rsidRDefault="002430AF" w:rsidP="00022A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022AFA"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="00D5477A" w:rsidRPr="00D017B0">
              <w:rPr>
                <w:rFonts w:ascii="Arial" w:hAnsi="Arial" w:cs="Arial"/>
                <w:sz w:val="20"/>
                <w:szCs w:val="20"/>
                <w:lang w:val="en-GB"/>
              </w:rPr>
              <w:t>paper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repeatedly says that AMF inoculation did not affect growth. Statistically, what was demonstrated is that no statistically significant treatment differences were detected.</w:t>
            </w:r>
            <w:r w:rsidR="00022AFA"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This is more precise than saying that there was no effect.</w:t>
            </w:r>
          </w:p>
        </w:tc>
        <w:tc>
          <w:tcPr>
            <w:tcW w:w="1667" w:type="pct"/>
          </w:tcPr>
          <w:p w14:paraId="110A11F6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D017B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D017B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3664BC04" w:rsidR="006C2F99" w:rsidRPr="00D017B0" w:rsidRDefault="002430AF" w:rsidP="002430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D017B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D017B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5816C931" w:rsidR="006C2F99" w:rsidRPr="00D017B0" w:rsidRDefault="0016056D" w:rsidP="001605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7567744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0FF71670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87CDA0B" w14:textId="0D8A0BCC" w:rsidR="0016056D" w:rsidRPr="00D017B0" w:rsidRDefault="00CD467A" w:rsidP="0016056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2.</w:t>
            </w:r>
            <w:r w:rsidR="0016056D" w:rsidRPr="00D017B0">
              <w:rPr>
                <w:rFonts w:ascii="Arial" w:hAnsi="Arial" w:cs="Arial"/>
                <w:sz w:val="20"/>
                <w:szCs w:val="20"/>
                <w:lang w:val="en-GB"/>
              </w:rPr>
              <w:t>AMF inoculum is poorly characterised.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 xml:space="preserve"> Statistical analysis does not adequately account for repeated measurements. </w:t>
            </w:r>
            <w:proofErr w:type="spellStart"/>
            <w:r w:rsidR="0016056D" w:rsidRPr="00D017B0">
              <w:rPr>
                <w:rFonts w:ascii="Arial" w:hAnsi="Arial" w:cs="Arial"/>
                <w:sz w:val="20"/>
                <w:szCs w:val="20"/>
              </w:rPr>
              <w:t>Colonisation</w:t>
            </w:r>
            <w:proofErr w:type="spellEnd"/>
            <w:r w:rsidR="0016056D" w:rsidRPr="00D017B0">
              <w:rPr>
                <w:rFonts w:ascii="Arial" w:hAnsi="Arial" w:cs="Arial"/>
                <w:sz w:val="20"/>
                <w:szCs w:val="20"/>
              </w:rPr>
              <w:t xml:space="preserve"> methodology is insufficiently described. “</w:t>
            </w:r>
            <w:proofErr w:type="spellStart"/>
            <w:r w:rsidR="0016056D" w:rsidRPr="00D017B0">
              <w:rPr>
                <w:rFonts w:ascii="Arial" w:hAnsi="Arial" w:cs="Arial"/>
                <w:sz w:val="20"/>
                <w:szCs w:val="20"/>
              </w:rPr>
              <w:t>Colonisation</w:t>
            </w:r>
            <w:proofErr w:type="spellEnd"/>
            <w:r w:rsidR="0016056D" w:rsidRPr="00D017B0">
              <w:rPr>
                <w:rFonts w:ascii="Arial" w:hAnsi="Arial" w:cs="Arial"/>
                <w:sz w:val="20"/>
                <w:szCs w:val="20"/>
              </w:rPr>
              <w:t xml:space="preserve"> intensity ≤10%” needs clarification. Inoculum quantities are not comparable. “No growth response” is potentially too broad.</w:t>
            </w:r>
          </w:p>
        </w:tc>
        <w:tc>
          <w:tcPr>
            <w:tcW w:w="1667" w:type="pct"/>
          </w:tcPr>
          <w:p w14:paraId="38C59BCF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01083693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AFDE9A1" w14:textId="3AC205E4" w:rsidR="0016056D" w:rsidRPr="00D017B0" w:rsidRDefault="00022AFA" w:rsidP="00CB475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06820623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C3DDBF1" w14:textId="3F6F00A1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Experimental duration is inconsistent with the crop description.</w:t>
            </w:r>
            <w:r w:rsidR="00683577"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Nutrient status of substrate is absent.</w:t>
            </w:r>
            <w:r w:rsidR="00683577"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Irrigation is described only by frequency.</w:t>
            </w:r>
          </w:p>
          <w:p w14:paraId="4B336230" w14:textId="51599B90" w:rsidR="0016056D" w:rsidRPr="00D017B0" w:rsidRDefault="0016056D" w:rsidP="0016056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4AB803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49DF8401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DF67259" w14:textId="01BB83B7" w:rsidR="0016056D" w:rsidRPr="00D017B0" w:rsidRDefault="0016056D" w:rsidP="0016056D">
            <w:pPr>
              <w:spacing w:after="160" w:line="278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AMF inoculants need much better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characterisation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. In reality, they appear to be field-derived mixed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inocula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containing soil, spores and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colonised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root fragments.</w:t>
            </w:r>
            <w:r w:rsidR="00683577" w:rsidRPr="00D017B0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D017B0">
              <w:rPr>
                <w:rFonts w:ascii="Arial" w:hAnsi="Arial" w:cs="Arial"/>
                <w:sz w:val="20"/>
                <w:szCs w:val="20"/>
              </w:rPr>
              <w:t>uggest using</w:t>
            </w:r>
            <w:r w:rsidR="00CB2D52" w:rsidRPr="00D017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3577" w:rsidRPr="00D017B0">
              <w:rPr>
                <w:rFonts w:ascii="Arial" w:hAnsi="Arial" w:cs="Arial"/>
                <w:sz w:val="20"/>
                <w:szCs w:val="20"/>
              </w:rPr>
              <w:t>‘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indigenous AMF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inocula</w:t>
            </w:r>
            <w:proofErr w:type="spellEnd"/>
            <w:r w:rsidR="00683577" w:rsidRPr="00D017B0">
              <w:rPr>
                <w:rFonts w:ascii="Arial" w:hAnsi="Arial" w:cs="Arial"/>
                <w:sz w:val="20"/>
                <w:szCs w:val="20"/>
              </w:rPr>
              <w:t>’</w:t>
            </w:r>
            <w:r w:rsidRPr="00D017B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428D82CB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2906A702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16056D" w:rsidRPr="00D017B0" w:rsidRDefault="0016056D" w:rsidP="0016056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20053BE" w14:textId="77777777" w:rsidR="0016056D" w:rsidRPr="00D017B0" w:rsidRDefault="00CB2D52" w:rsidP="00CB2D52">
            <w:pPr>
              <w:tabs>
                <w:tab w:val="num" w:pos="720"/>
              </w:tabs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The inoculum dose is a major methodological issue. The study applied:200 g indigenous inoculum containing 200 AMF spores plant</w:t>
            </w:r>
            <w:r w:rsidR="0016056D" w:rsidRPr="00D017B0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¹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15 g commercial inoculum containing 7,500 AMF spores plant</w:t>
            </w:r>
            <w:r w:rsidR="0016056D" w:rsidRPr="00D017B0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¹. This is a very important point.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The commercial treatment received approximately 37.5 times more counted spores per plant than the indigenous inoculum.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Therefore, the comparison is not an equivalent spore-dose comparison.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paper </w:t>
            </w:r>
            <w:r w:rsidR="0016056D" w:rsidRPr="00D017B0">
              <w:rPr>
                <w:rFonts w:ascii="Arial" w:hAnsi="Arial" w:cs="Arial"/>
                <w:sz w:val="20"/>
                <w:szCs w:val="20"/>
              </w:rPr>
              <w:t>should explicitly acknowledge this.</w:t>
            </w:r>
          </w:p>
          <w:p w14:paraId="38F3416F" w14:textId="5682F26C" w:rsidR="00CB475D" w:rsidRPr="00D017B0" w:rsidRDefault="00CB475D" w:rsidP="00CB475D">
            <w:pPr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D017B0">
              <w:rPr>
                <w:rFonts w:ascii="Arial" w:hAnsi="Arial" w:cs="Arial"/>
                <w:sz w:val="20"/>
                <w:szCs w:val="20"/>
              </w:rPr>
              <w:lastRenderedPageBreak/>
              <w:t>“</w:t>
            </w: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AMF </w:t>
            </w:r>
            <w:proofErr w:type="spellStart"/>
            <w:r w:rsidR="00022AFA" w:rsidRPr="00D017B0">
              <w:rPr>
                <w:rFonts w:ascii="Arial" w:hAnsi="Arial" w:cs="Arial"/>
                <w:b/>
                <w:bCs/>
                <w:sz w:val="20"/>
                <w:szCs w:val="20"/>
              </w:rPr>
              <w:t>colonised</w:t>
            </w:r>
            <w:proofErr w:type="spellEnd"/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roots but did not work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.” Would </w:t>
            </w:r>
            <w:r w:rsidR="00022AFA" w:rsidRPr="00D017B0">
              <w:rPr>
                <w:rFonts w:ascii="Arial" w:hAnsi="Arial" w:cs="Arial"/>
                <w:sz w:val="20"/>
                <w:szCs w:val="20"/>
              </w:rPr>
              <w:t>be best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revised to:</w:t>
            </w:r>
          </w:p>
          <w:p w14:paraId="0308F4F5" w14:textId="4E76FF59" w:rsidR="00CB475D" w:rsidRPr="00D017B0" w:rsidRDefault="00CB475D" w:rsidP="00CB475D">
            <w:pPr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D017B0">
              <w:rPr>
                <w:rFonts w:ascii="Arial" w:hAnsi="Arial" w:cs="Arial"/>
                <w:sz w:val="20"/>
                <w:szCs w:val="20"/>
              </w:rPr>
              <w:t xml:space="preserve">“Root </w:t>
            </w:r>
            <w:proofErr w:type="spellStart"/>
            <w:r w:rsidR="00022AFA" w:rsidRPr="00D017B0">
              <w:rPr>
                <w:rFonts w:ascii="Arial" w:hAnsi="Arial" w:cs="Arial"/>
                <w:sz w:val="20"/>
                <w:szCs w:val="20"/>
              </w:rPr>
              <w:t>colonisation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occurred, but the degree of intraradical fungal development was low and was not accompanied by detectable plant-growth promotion under the experimental conditions</w:t>
            </w: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.” </w:t>
            </w:r>
            <w:r w:rsidRPr="00D017B0">
              <w:rPr>
                <w:rFonts w:ascii="Arial" w:hAnsi="Arial" w:cs="Arial"/>
                <w:sz w:val="20"/>
                <w:szCs w:val="20"/>
              </w:rPr>
              <w:t>This is scientifically much stronger.</w:t>
            </w:r>
          </w:p>
          <w:p w14:paraId="30F274EE" w14:textId="11470BD3" w:rsidR="00CB475D" w:rsidRPr="00D017B0" w:rsidRDefault="00CB475D" w:rsidP="00CB2D52">
            <w:pPr>
              <w:tabs>
                <w:tab w:val="num" w:pos="720"/>
              </w:tabs>
              <w:spacing w:after="160" w:line="278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7CA65A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5572FBBA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E9ACF21" w14:textId="57F74C97" w:rsidR="0016056D" w:rsidRPr="00D017B0" w:rsidRDefault="00CB2D52" w:rsidP="00CB2D52">
            <w:pPr>
              <w:spacing w:after="160" w:line="278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D017B0">
              <w:rPr>
                <w:rFonts w:ascii="Arial" w:hAnsi="Arial" w:cs="Arial"/>
                <w:sz w:val="20"/>
                <w:szCs w:val="20"/>
              </w:rPr>
              <w:t>.The paper largely reports only whether differences were significant. There were only seven plants per treatment. That is not necessarily unacceptable for a greenhouse experiment, but it means the study may have limited statistical power to detect modest treatment effects. Therefore, I recommend changing language such as: “AMF inoculation did not significantly affect…” to: “No statistically significant differences were detected among treatments…” This avoids interpreting a non-significant result as proof of equivalence.</w:t>
            </w:r>
          </w:p>
        </w:tc>
        <w:tc>
          <w:tcPr>
            <w:tcW w:w="1667" w:type="pct"/>
          </w:tcPr>
          <w:p w14:paraId="3408ECD8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649E6340" w14:textId="77777777" w:rsidTr="000103C8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D0CD5B9" w14:textId="554405ED" w:rsidR="0016056D" w:rsidRPr="00D017B0" w:rsidRDefault="00CB2D52" w:rsidP="00CB2D52">
            <w:pPr>
              <w:spacing w:after="160" w:line="27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4. </w:t>
            </w:r>
            <w:r w:rsidRPr="00D017B0">
              <w:rPr>
                <w:rFonts w:ascii="Arial" w:hAnsi="Arial" w:cs="Arial"/>
                <w:sz w:val="20"/>
                <w:szCs w:val="20"/>
              </w:rPr>
              <w:t>Discussion: excellent central finding, but interpretation should be more cautious</w:t>
            </w:r>
            <w:r w:rsidR="00CD467A" w:rsidRPr="00D017B0">
              <w:rPr>
                <w:rFonts w:ascii="Arial" w:hAnsi="Arial" w:cs="Arial"/>
                <w:sz w:val="20"/>
                <w:szCs w:val="20"/>
              </w:rPr>
              <w:t>, and</w:t>
            </w:r>
            <w:r w:rsidRPr="00D017B0">
              <w:rPr>
                <w:rFonts w:ascii="Arial" w:hAnsi="Arial" w:cs="Arial"/>
                <w:sz w:val="20"/>
                <w:szCs w:val="20"/>
              </w:rPr>
              <w:t xml:space="preserve"> best if Results and Discussion are separated</w:t>
            </w:r>
            <w:r w:rsidRPr="00D017B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007005E2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11B8B337" w:rsidR="0016056D" w:rsidRPr="00D017B0" w:rsidRDefault="00683577" w:rsidP="001605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D2E3133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09589CDB" w:rsidR="0016056D" w:rsidRPr="00D017B0" w:rsidRDefault="00CB475D" w:rsidP="001605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3.</w:t>
            </w:r>
          </w:p>
        </w:tc>
        <w:tc>
          <w:tcPr>
            <w:tcW w:w="1667" w:type="pct"/>
          </w:tcPr>
          <w:p w14:paraId="2139D694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CB839A2" w14:textId="72C93D59" w:rsidR="00CB2D52" w:rsidRPr="00D017B0" w:rsidRDefault="00CB2D52" w:rsidP="00CB2D52">
            <w:pPr>
              <w:tabs>
                <w:tab w:val="num" w:pos="720"/>
              </w:tabs>
              <w:spacing w:after="160" w:line="278" w:lineRule="auto"/>
              <w:rPr>
                <w:rFonts w:ascii="Arial" w:hAnsi="Arial" w:cs="Arial"/>
                <w:sz w:val="20"/>
                <w:szCs w:val="20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4.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Berruti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et al. (2016a) and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Berruti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et al. (2016b) appear to refer to the same paper in the reference list, but the manuscript cites them as two different references: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Berruti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et al., 2016a AND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</w:rPr>
              <w:t>Berruti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</w:rPr>
              <w:t xml:space="preserve"> et al., 2016b </w:t>
            </w:r>
          </w:p>
          <w:p w14:paraId="3920DDC7" w14:textId="3287C3DC" w:rsidR="0016056D" w:rsidRPr="00D017B0" w:rsidRDefault="0016056D" w:rsidP="001605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E8F4D5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6056D" w:rsidRPr="00D017B0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16056D" w:rsidRPr="00D017B0" w:rsidRDefault="0016056D" w:rsidP="0016056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16056D" w:rsidRPr="00D017B0" w:rsidRDefault="0016056D" w:rsidP="0016056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16056D" w:rsidRPr="00D017B0" w:rsidRDefault="0016056D" w:rsidP="001605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215DF8A3" w:rsidR="0016056D" w:rsidRPr="00D017B0" w:rsidRDefault="00CB2D52" w:rsidP="0016056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4.</w:t>
            </w:r>
            <w:r w:rsidR="00683577"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Some grammatical errors</w:t>
            </w:r>
          </w:p>
        </w:tc>
        <w:tc>
          <w:tcPr>
            <w:tcW w:w="1667" w:type="pct"/>
          </w:tcPr>
          <w:p w14:paraId="13731395" w14:textId="77777777" w:rsidR="0016056D" w:rsidRPr="00D017B0" w:rsidRDefault="0016056D" w:rsidP="0016056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D017B0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D017B0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D017B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017B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D017B0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017B0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D017B0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D017B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017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017B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017B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D017B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D017B0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D017B0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40DA7E5A" w:rsidR="006C2F99" w:rsidRPr="00D017B0" w:rsidRDefault="00CB2D52" w:rsidP="00CD46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RECOMMEND: 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Root </w:t>
            </w:r>
            <w:r w:rsidR="00022AFA" w:rsidRPr="00D017B0">
              <w:rPr>
                <w:rFonts w:ascii="Arial" w:hAnsi="Arial" w:cs="Arial"/>
                <w:sz w:val="20"/>
                <w:szCs w:val="20"/>
                <w:lang w:val="en-GB"/>
              </w:rPr>
              <w:t>colonisation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and growth responses of African eggplant (Solanum </w:t>
            </w:r>
            <w:proofErr w:type="spellStart"/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aethiopicum</w:t>
            </w:r>
            <w:proofErr w:type="spellEnd"/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 xml:space="preserve"> L.) to </w:t>
            </w:r>
            <w:r w:rsidR="00D5477A" w:rsidRPr="00D017B0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ndigenous and commercial arbuscular mycorrhizal fungal inoculants</w:t>
            </w:r>
          </w:p>
        </w:tc>
        <w:tc>
          <w:tcPr>
            <w:tcW w:w="1667" w:type="pct"/>
          </w:tcPr>
          <w:p w14:paraId="49A3CC80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37E4A2D2" w14:textId="0F354A60" w:rsidR="006C2F99" w:rsidRPr="00D017B0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D017B0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33A05584" w:rsidR="006C2F99" w:rsidRPr="00D017B0" w:rsidRDefault="00683577" w:rsidP="00CD46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sz w:val="20"/>
                <w:szCs w:val="20"/>
                <w:lang w:val="en-GB"/>
              </w:rPr>
              <w:t>The abstract should mention the experimental limitation. The conclusion could be strengthened by explicitly stating that the study evaluated greenhouse growth responses under regular irrigation, rather than general agronomic effectiveness.</w:t>
            </w:r>
          </w:p>
        </w:tc>
        <w:tc>
          <w:tcPr>
            <w:tcW w:w="1667" w:type="pct"/>
          </w:tcPr>
          <w:p w14:paraId="1CE9F88B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D017B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017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D017B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1897C0F" w14:textId="77777777" w:rsidR="00683577" w:rsidRPr="00D017B0" w:rsidRDefault="00683577" w:rsidP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three changes I consider essential before submission are:</w:t>
            </w:r>
          </w:p>
          <w:p w14:paraId="32690E83" w14:textId="77777777" w:rsidR="00683577" w:rsidRPr="00D017B0" w:rsidRDefault="00683577" w:rsidP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1.</w:t>
            </w: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Reanalyse the repeated plant-growth measurements using an appropriate repeated-measures/mixed-effects approach. </w:t>
            </w:r>
          </w:p>
          <w:p w14:paraId="035E80E0" w14:textId="4619E47A" w:rsidR="00683577" w:rsidRPr="00D017B0" w:rsidRDefault="00683577" w:rsidP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2.</w:t>
            </w: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Provide a complete and reproducible description of the AMF </w:t>
            </w:r>
            <w:r w:rsidR="00022AFA"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root-colonisation</w:t>
            </w: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methodology. </w:t>
            </w:r>
          </w:p>
          <w:p w14:paraId="59B840DC" w14:textId="5B82B736" w:rsidR="006C2F99" w:rsidRPr="00D017B0" w:rsidRDefault="00683577" w:rsidP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3.</w:t>
            </w: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ab/>
              <w:t xml:space="preserve">Strengthen the characterisation and discussion of the indigenous and commercial </w:t>
            </w:r>
            <w:proofErr w:type="spellStart"/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inocula</w:t>
            </w:r>
            <w:proofErr w:type="spellEnd"/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, especially the very different spore doses.</w:t>
            </w:r>
          </w:p>
        </w:tc>
        <w:tc>
          <w:tcPr>
            <w:tcW w:w="1667" w:type="pct"/>
          </w:tcPr>
          <w:p w14:paraId="0C9D1EBA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D017B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D017B0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D017B0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076A2727" w:rsidR="006C2F99" w:rsidRPr="00D017B0" w:rsidRDefault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017B0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D017B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D017B0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D017B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D017B0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F2A7325" w:rsidR="006C2F99" w:rsidRPr="00D017B0" w:rsidRDefault="0068357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17B0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D017B0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A6554A" w14:textId="77777777" w:rsidR="00D017B0" w:rsidRPr="00D017B0" w:rsidRDefault="00D017B0" w:rsidP="00D017B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017B0">
        <w:rPr>
          <w:rFonts w:ascii="Arial" w:hAnsi="Arial" w:cs="Arial"/>
          <w:b/>
          <w:u w:val="single"/>
        </w:rPr>
        <w:t>Reviewer details:</w:t>
      </w:r>
    </w:p>
    <w:p w14:paraId="3D22D88A" w14:textId="77777777" w:rsidR="00D017B0" w:rsidRPr="00D017B0" w:rsidRDefault="00D017B0" w:rsidP="00D017B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CDA0C1B" w14:textId="77777777" w:rsidR="00D017B0" w:rsidRPr="00D017B0" w:rsidRDefault="00D017B0" w:rsidP="00D017B0">
      <w:pPr>
        <w:rPr>
          <w:rFonts w:ascii="Arial" w:hAnsi="Arial" w:cs="Arial"/>
          <w:sz w:val="20"/>
          <w:szCs w:val="20"/>
        </w:rPr>
      </w:pPr>
      <w:r w:rsidRPr="00D017B0">
        <w:rPr>
          <w:rFonts w:ascii="Arial" w:hAnsi="Arial" w:cs="Arial"/>
          <w:color w:val="000000"/>
          <w:sz w:val="20"/>
          <w:szCs w:val="20"/>
        </w:rPr>
        <w:t>Anthony Meli, University of Malta, Malta</w:t>
      </w:r>
      <w:r w:rsidRPr="00D017B0">
        <w:rPr>
          <w:rFonts w:ascii="Arial" w:hAnsi="Arial" w:cs="Arial"/>
          <w:color w:val="000000"/>
          <w:sz w:val="20"/>
          <w:szCs w:val="20"/>
        </w:rPr>
        <w:br/>
      </w:r>
    </w:p>
    <w:p w14:paraId="540F702D" w14:textId="77777777" w:rsidR="00D017B0" w:rsidRPr="00D017B0" w:rsidRDefault="00D017B0" w:rsidP="00D017B0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625594F" w14:textId="77777777" w:rsidR="006C2F99" w:rsidRPr="00D017B0" w:rsidRDefault="006C2F99" w:rsidP="005B33C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D017B0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CF3EC" w14:textId="77777777" w:rsidR="00970724" w:rsidRDefault="00970724">
      <w:r>
        <w:separator/>
      </w:r>
    </w:p>
  </w:endnote>
  <w:endnote w:type="continuationSeparator" w:id="0">
    <w:p w14:paraId="1DA0F407" w14:textId="77777777" w:rsidR="00970724" w:rsidRDefault="0097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E3423" w14:textId="77777777" w:rsidR="00970724" w:rsidRDefault="00970724">
      <w:r>
        <w:separator/>
      </w:r>
    </w:p>
  </w:footnote>
  <w:footnote w:type="continuationSeparator" w:id="0">
    <w:p w14:paraId="2C36E671" w14:textId="77777777" w:rsidR="00970724" w:rsidRDefault="0097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B3A21"/>
    <w:multiLevelType w:val="multilevel"/>
    <w:tmpl w:val="A2BE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2A31C3"/>
    <w:multiLevelType w:val="multilevel"/>
    <w:tmpl w:val="7872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5"/>
  </w:num>
  <w:num w:numId="2" w16cid:durableId="1902130795">
    <w:abstractNumId w:val="9"/>
  </w:num>
  <w:num w:numId="3" w16cid:durableId="753866109">
    <w:abstractNumId w:val="8"/>
  </w:num>
  <w:num w:numId="4" w16cid:durableId="557671728">
    <w:abstractNumId w:val="10"/>
  </w:num>
  <w:num w:numId="5" w16cid:durableId="467822970">
    <w:abstractNumId w:val="7"/>
  </w:num>
  <w:num w:numId="6" w16cid:durableId="1576665768">
    <w:abstractNumId w:val="0"/>
  </w:num>
  <w:num w:numId="7" w16cid:durableId="1442069708">
    <w:abstractNumId w:val="4"/>
  </w:num>
  <w:num w:numId="8" w16cid:durableId="1586692874">
    <w:abstractNumId w:val="13"/>
  </w:num>
  <w:num w:numId="9" w16cid:durableId="228226745">
    <w:abstractNumId w:val="11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6"/>
  </w:num>
  <w:num w:numId="13" w16cid:durableId="1016927419">
    <w:abstractNumId w:val="12"/>
  </w:num>
  <w:num w:numId="14" w16cid:durableId="354618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22AFA"/>
    <w:rsid w:val="0006104A"/>
    <w:rsid w:val="000867E2"/>
    <w:rsid w:val="000A7724"/>
    <w:rsid w:val="0016056D"/>
    <w:rsid w:val="002430AF"/>
    <w:rsid w:val="00262F8D"/>
    <w:rsid w:val="004C66D8"/>
    <w:rsid w:val="00504CC4"/>
    <w:rsid w:val="00531028"/>
    <w:rsid w:val="005B33CB"/>
    <w:rsid w:val="00683577"/>
    <w:rsid w:val="006C2F99"/>
    <w:rsid w:val="006D3D67"/>
    <w:rsid w:val="007B42DA"/>
    <w:rsid w:val="007B54C0"/>
    <w:rsid w:val="00890023"/>
    <w:rsid w:val="008F670C"/>
    <w:rsid w:val="00970724"/>
    <w:rsid w:val="009774E3"/>
    <w:rsid w:val="009B28B1"/>
    <w:rsid w:val="009F1EC4"/>
    <w:rsid w:val="00A95A60"/>
    <w:rsid w:val="00B301CF"/>
    <w:rsid w:val="00BC3321"/>
    <w:rsid w:val="00CB1508"/>
    <w:rsid w:val="00CB2D52"/>
    <w:rsid w:val="00CB475D"/>
    <w:rsid w:val="00CD2C16"/>
    <w:rsid w:val="00CD467A"/>
    <w:rsid w:val="00D017B0"/>
    <w:rsid w:val="00D15CB8"/>
    <w:rsid w:val="00D5477A"/>
    <w:rsid w:val="00E04D8D"/>
    <w:rsid w:val="00E1242F"/>
    <w:rsid w:val="00F8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017B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joban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0177B-6C8F-4222-9D1F-84E7B638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1172</Words>
  <Characters>6682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2026-09-26T09:39:00Z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