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42E7" w14:textId="77777777" w:rsidR="003637D7" w:rsidRDefault="003637D7">
      <w:pPr>
        <w:pStyle w:val="Title"/>
        <w:jc w:val="center"/>
        <w:rPr>
          <w:color w:val="auto"/>
        </w:rPr>
      </w:pPr>
      <w:r w:rsidRPr="003637D7">
        <w:rPr>
          <w:color w:val="auto"/>
        </w:rPr>
        <w:t>Review Article</w:t>
      </w:r>
    </w:p>
    <w:p w14:paraId="799F368E" w14:textId="32B259B5" w:rsidR="003E2B81" w:rsidRPr="00C078E8" w:rsidRDefault="00000000">
      <w:pPr>
        <w:pStyle w:val="Title"/>
        <w:jc w:val="center"/>
        <w:rPr>
          <w:color w:val="auto"/>
        </w:rPr>
      </w:pPr>
      <w:r w:rsidRPr="00C078E8">
        <w:rPr>
          <w:color w:val="auto"/>
        </w:rPr>
        <w:t>RNA Interference for Precision Management of Plant-Parasitic Nematodes: Mechanisms, Delivery Constraints and Translational Evidence</w:t>
      </w:r>
    </w:p>
    <w:p w14:paraId="6BFCE2A4" w14:textId="77777777" w:rsidR="003E2B81" w:rsidRPr="00C078E8" w:rsidRDefault="00000000">
      <w:pPr>
        <w:pStyle w:val="Heading1"/>
        <w:spacing w:before="100"/>
        <w:rPr>
          <w:color w:val="auto"/>
        </w:rPr>
      </w:pPr>
      <w:r w:rsidRPr="00C078E8">
        <w:rPr>
          <w:color w:val="auto"/>
        </w:rPr>
        <w:t>Abstract</w:t>
      </w:r>
    </w:p>
    <w:p w14:paraId="5F8F8D8F" w14:textId="77777777" w:rsidR="003E2B81" w:rsidRPr="00C078E8" w:rsidRDefault="00000000">
      <w:pPr>
        <w:pStyle w:val="AbstractText"/>
        <w:rPr>
          <w:color w:val="auto"/>
        </w:rPr>
      </w:pPr>
      <w:r w:rsidRPr="00C078E8">
        <w:rPr>
          <w:color w:val="auto"/>
        </w:rPr>
        <w:t>Plant-parasitic nematodes are persistent constraints on crop productivity because their behaviour, protected habitats and intimate relationships with host roots complicate both diagnosis and control. RNA interference offers sequence-guided suppression of nematode gene expression without requiring a conventional toxicant to act on a broad physiological target. Yet molecular specificity should not be conflated with biological control, and promising experiments have produced uneven results across species, life stages, delivery systems and scales. This critical narrative review examines research on double-stranded RNA exposure, target validation, host-induced gene silencing, artificial microRNAs, non-transgenic formulations, nanocarriers and translation to field use. Peer-reviewed experimental and methodological studies published through 14 August 2026 were considered, with seminal earlier work included to establish the mechanism. The strongest evidence concerns gene knockdown and reduced infection or reproduction in controlled plant systems, particularly root-knot and cyst nematodes. More recent soil-directed formulations for potato cyst nematodes and trunk-injected complexes for pine wood nematodes indicate that deployment beyond transgenic plants is technically possible, but do not establish general efficacy across agricultural soils. Critical barriers include uptake across nematode feeding structures, RNA degradation, stage-dependent susceptibility, inconsistent phenotypic reporting, poorly quantified exposure, limited off-target testing and the scarcity of replicated yield and durability data. A central distinction emerging from the synthesis is between sequence selectivity, delivery selectivity, life-stage accessibility and agronomic performance. These requirements are related but are not interchangeable. Future progress depends on experimentally linking confirmed target engagement with biologically meaningful crop protection, testing formulations under realistic soils and plant growth conditions, assessing non-target organisms and specifying manufacturing and resistance-management pathways. RNA interference is a credible complement to integrated nematode management, but its precision and readiness must be demonstrated for each pest–crop–delivery combination.</w:t>
      </w:r>
    </w:p>
    <w:p w14:paraId="21369B04" w14:textId="77777777" w:rsidR="003E2B81" w:rsidRPr="00C078E8" w:rsidRDefault="00000000">
      <w:pPr>
        <w:pStyle w:val="Heading1"/>
        <w:spacing w:before="100"/>
        <w:rPr>
          <w:color w:val="auto"/>
        </w:rPr>
      </w:pPr>
      <w:r w:rsidRPr="00C078E8">
        <w:rPr>
          <w:color w:val="auto"/>
        </w:rPr>
        <w:t>Keywords</w:t>
      </w:r>
    </w:p>
    <w:p w14:paraId="46E5A9CA" w14:textId="77777777" w:rsidR="003E2B81" w:rsidRPr="00C078E8" w:rsidRDefault="00000000">
      <w:pPr>
        <w:jc w:val="left"/>
        <w:rPr>
          <w:color w:val="auto"/>
        </w:rPr>
      </w:pPr>
      <w:r w:rsidRPr="00C078E8">
        <w:rPr>
          <w:color w:val="auto"/>
        </w:rPr>
        <w:t>Host-induced gene silencing; double-stranded RNA; root-knot nematodes; cyst nematodes; environmental RNA interference; nanocarriers; effector genes; integrated nematode management</w:t>
      </w:r>
    </w:p>
    <w:p w14:paraId="73AF9334" w14:textId="77777777" w:rsidR="003E2B81" w:rsidRPr="00C078E8" w:rsidRDefault="00000000">
      <w:pPr>
        <w:pStyle w:val="Heading1"/>
        <w:rPr>
          <w:color w:val="auto"/>
        </w:rPr>
      </w:pPr>
      <w:r w:rsidRPr="00C078E8">
        <w:rPr>
          <w:color w:val="auto"/>
        </w:rPr>
        <w:t>1. Introduction</w:t>
      </w:r>
    </w:p>
    <w:p w14:paraId="31AF3684" w14:textId="77777777" w:rsidR="003E2B81" w:rsidRPr="00C078E8" w:rsidRDefault="00000000">
      <w:pPr>
        <w:rPr>
          <w:color w:val="auto"/>
        </w:rPr>
      </w:pPr>
      <w:r w:rsidRPr="00C078E8">
        <w:rPr>
          <w:color w:val="auto"/>
        </w:rPr>
        <w:t xml:space="preserve">Plant-parasitic nematodes occupy an unusually difficult position in pest management. These microscopic animals may remain within soil, root tissue or persistent survival structures while interacting with host plants through specialised feeding apparatus. Losses are not simply a function of nematode abundance: pathogenicity depends on the species, host genotype, initial population density, plant growth stage and environmental conditions. Root-knot nematodes in the genus </w:t>
      </w:r>
      <w:r w:rsidRPr="00C078E8">
        <w:rPr>
          <w:i/>
          <w:color w:val="auto"/>
        </w:rPr>
        <w:t>Meloidogyne</w:t>
      </w:r>
      <w:r w:rsidRPr="00C078E8">
        <w:rPr>
          <w:color w:val="auto"/>
        </w:rPr>
        <w:t xml:space="preserve">, cyst nematodes in </w:t>
      </w:r>
      <w:r w:rsidRPr="00C078E8">
        <w:rPr>
          <w:i/>
          <w:color w:val="auto"/>
        </w:rPr>
        <w:t>Globodera</w:t>
      </w:r>
      <w:r w:rsidRPr="00C078E8">
        <w:rPr>
          <w:color w:val="auto"/>
        </w:rPr>
        <w:t xml:space="preserve"> and </w:t>
      </w:r>
      <w:r w:rsidRPr="00C078E8">
        <w:rPr>
          <w:i/>
          <w:color w:val="auto"/>
        </w:rPr>
        <w:t>Heterodera</w:t>
      </w:r>
      <w:r w:rsidRPr="00C078E8">
        <w:rPr>
          <w:color w:val="auto"/>
        </w:rPr>
        <w:t xml:space="preserve">, and migratory endoparasites such as </w:t>
      </w:r>
      <w:r w:rsidRPr="00C078E8">
        <w:rPr>
          <w:i/>
          <w:color w:val="auto"/>
        </w:rPr>
        <w:t>Pratylenchus</w:t>
      </w:r>
      <w:r w:rsidRPr="00C078E8">
        <w:rPr>
          <w:color w:val="auto"/>
        </w:rPr>
        <w:t xml:space="preserve"> differ sufficiently in biology that a single delivery or intervention strategy cannot be assumed to work across groups. A comparative treatment of economically important taxa demonstrates this heterogeneity and its consequences for molecular plant pathology (Jones et al., 2013). The management problem is therefore defined by the accessibility of the pest and the biological significance of its infection, rather than by the mere availability of agents capable of killing free nematodes.</w:t>
      </w:r>
    </w:p>
    <w:p w14:paraId="29CB2CE9" w14:textId="77777777" w:rsidR="003E2B81" w:rsidRPr="00C078E8" w:rsidRDefault="00000000">
      <w:pPr>
        <w:rPr>
          <w:color w:val="auto"/>
        </w:rPr>
      </w:pPr>
      <w:r w:rsidRPr="00C078E8">
        <w:rPr>
          <w:color w:val="auto"/>
        </w:rPr>
        <w:t xml:space="preserve">Chemical nematicides can suppress populations under favourable conditions, but their performance and acceptability must be considered alongside residue, occupational, ecological and resistance concerns. Host </w:t>
      </w:r>
      <w:r w:rsidRPr="00C078E8">
        <w:rPr>
          <w:color w:val="auto"/>
        </w:rPr>
        <w:lastRenderedPageBreak/>
        <w:t>resistance, crop rotation, sanitation and biological control remain important, although durability and practicality vary with the crop–pest complex. Molecular biopesticide research has consequently focused on interventions capable of exploiting nematode-specific vulnerabilities. RNA interference (RNAi) is distinctive because the biological target is specified principally through a nucleic-acid sequence. In principle, double-stranded RNA (dsRNA) entering a susceptible nematode can initiate degradation or translational repression of a corresponding messenger RNA, suppressing a gene required for host finding, parasitism, survival or reproduction. This does not imply that every sequence match is taxonomically exclusive or that silencing an essential gene will necessarily reduce damage at a field-relevant exposure (Bakhetia et al., 2005; Singh et al., 2026).</w:t>
      </w:r>
    </w:p>
    <w:p w14:paraId="7286C101" w14:textId="77777777" w:rsidR="003E2B81" w:rsidRPr="00C078E8" w:rsidRDefault="00000000">
      <w:pPr>
        <w:rPr>
          <w:color w:val="auto"/>
        </w:rPr>
      </w:pPr>
      <w:r w:rsidRPr="00C078E8">
        <w:rPr>
          <w:color w:val="auto"/>
        </w:rPr>
        <w:t xml:space="preserve">The mechanistic foundation of experimental RNAi was established through double-stranded-RNA-mediated gene interference in </w:t>
      </w:r>
      <w:r w:rsidRPr="00C078E8">
        <w:rPr>
          <w:i/>
          <w:color w:val="auto"/>
        </w:rPr>
        <w:t>Caenorhabditis elegans</w:t>
      </w:r>
      <w:r w:rsidRPr="00C078E8">
        <w:rPr>
          <w:color w:val="auto"/>
        </w:rPr>
        <w:t>, a free-living model nematode (Fire et al., 1998). In plant-parasitic species, experiments involving ingestion by preparasitic cyst-nematode juveniles demonstrated that dsRNA exposure could cause sequence-associated gene suppression (Urwin et al., 2002). Investigators subsequently used soaking approaches to interrogate candidate pathogenicity genes in both cyst and root-knot nematodes, with consequences for behaviour, invasion or secretory function (Chen et al., 2005; Rosso et al., 2005). These developments converted a reverse-genetic tool into a possible pest-control mechanism, but the conversion was neither automatic nor complete. Laboratory entry conditions, target transcriptional activity and exposure intervals were often unlike those of an infected root system.</w:t>
      </w:r>
    </w:p>
    <w:p w14:paraId="36A745D0" w14:textId="77777777" w:rsidR="003E2B81" w:rsidRPr="00C078E8" w:rsidRDefault="00000000">
      <w:pPr>
        <w:rPr>
          <w:color w:val="auto"/>
        </w:rPr>
      </w:pPr>
      <w:r w:rsidRPr="00C078E8">
        <w:rPr>
          <w:color w:val="auto"/>
        </w:rPr>
        <w:t>Host-induced gene silencing (HIGS) provided an important conceptual shift. Rather than transferring dsRNA to isolated nematodes, transgenic plants were engineered to produce RNA molecules corresponding to nematode genes. Feeding nematodes could then encounter the trigger at the host–parasite interface. Early work reported protection against root-knot species by targeting a conserved parasitism gene and suppression of soybean cyst nematode reproduction through silencing a major sperm protein gene (Huang et al., 2006; Steeves et al., 2006). Later studies examined multiple effector genes, host cultivars, plant tissues and generations, supplying evidence that host-delivered RNAi can be associated with smaller nematode populations or impaired development (Chaudhary et al., 2019; Sindhu et al., 2009; Tian et al., 2019). The essential translational question nevertheless remains whether sequence-directed molecular effects persist under variable infestations and generate crop benefit at an acceptable cost.</w:t>
      </w:r>
    </w:p>
    <w:p w14:paraId="4A2E1F8B" w14:textId="77777777" w:rsidR="003E2B81" w:rsidRPr="00C078E8" w:rsidRDefault="00000000">
      <w:pPr>
        <w:rPr>
          <w:color w:val="auto"/>
        </w:rPr>
      </w:pPr>
      <w:r w:rsidRPr="00C078E8">
        <w:rPr>
          <w:color w:val="auto"/>
        </w:rPr>
        <w:t>At least three distinctions are frequently compressed into the claim that RNAi is precise. A construct may be carefully designed against a nematode sequence but fail to reach the target tissue. A nematode may ingest dsRNA and show reduced transcript abundance without suffering a measurable loss of reproductive capacity. A greenhouse experiment may produce fewer cysts yet offer no estimate of seasonal yield protection, emergence of escape variants or exposure of beneficial soil fauna. These are separate dimensions of success, and each requires different measurements. The contrast is illustrated by host delivery that silenced a target transcript without producing a corresponding lethal phenotype in root-knot nematodes (Fairbairn et al., 2007), and by experimental interference with the RNAi machinery itself that generated reduced, unchanged or increased transcript responses across targets (Iqbal et al., 2020).</w:t>
      </w:r>
    </w:p>
    <w:p w14:paraId="667CEF4F" w14:textId="77777777" w:rsidR="003E2B81" w:rsidRPr="00C078E8" w:rsidRDefault="00000000">
      <w:pPr>
        <w:rPr>
          <w:color w:val="auto"/>
        </w:rPr>
      </w:pPr>
      <w:r w:rsidRPr="00C078E8">
        <w:rPr>
          <w:color w:val="auto"/>
        </w:rPr>
        <w:t>Existing reviews have provided valuable accounts of early soaking and host-delivered experiments, the molecular promise of RNAi and more recently the biochemical and nanotechnological approaches available for nematode suppression (Banerjee et al., 2017; Dutta et al., 2015; Opdensteinen et al., 2024). A broader molecular-biopesticide review considers dsRNA among other intervention classes and stresses delivery and commercialisation constraints (Singh et al., 2026). Together these sources establish the field's maturity as a research area, but they do not remove the need for a synthesis that treats the route from sequence selection to agronomic outcome as a chain of individually falsifiable claims. This is especially timely as non-transgenic pot experiments and a forestry field experiment have extended the delivery repertoire while introducing new, non-equivalent evidence contexts (Bairwa et al., 2026; Song et al., 2026).</w:t>
      </w:r>
    </w:p>
    <w:p w14:paraId="61F5A567" w14:textId="77777777" w:rsidR="003E2B81" w:rsidRPr="00C078E8" w:rsidRDefault="00000000">
      <w:pPr>
        <w:pStyle w:val="Heading2"/>
        <w:rPr>
          <w:color w:val="auto"/>
        </w:rPr>
      </w:pPr>
      <w:r w:rsidRPr="00C078E8">
        <w:rPr>
          <w:color w:val="auto"/>
        </w:rPr>
        <w:lastRenderedPageBreak/>
        <w:t>1.1 Scope, Research Gap and Objectives</w:t>
      </w:r>
    </w:p>
    <w:p w14:paraId="27D75C5A" w14:textId="77777777" w:rsidR="003E2B81" w:rsidRPr="00C078E8" w:rsidRDefault="00000000">
      <w:pPr>
        <w:rPr>
          <w:color w:val="auto"/>
        </w:rPr>
      </w:pPr>
      <w:r w:rsidRPr="00C078E8">
        <w:rPr>
          <w:color w:val="auto"/>
        </w:rPr>
        <w:t>This review concentrates on RNAi-based interventions intended to suppress plant-parasitic nematodes or their effects on plants. It integrates molecular mechanisms, target discovery, uptake and delivery routes, controlled and field-relevant efficacy, non-target considerations and implementation barriers. Root-knot, cyst, root-lesion and pine wood nematodes receive particular attention because the available evidence spans distinct feeding and exposure ecologies. Studies involving non-parasitic nematodes or plant viruses are discussed only when they illuminate formulation, delivery or selectivity, and they are not treated as direct demonstrations of crop-nematode control. The article does not evaluate RNAi as an alternative to all established crop-protection practices, nor does it undertake a quantitative meta-analysis of heterogeneous outcomes.</w:t>
      </w:r>
    </w:p>
    <w:p w14:paraId="0BFEACCF" w14:textId="77777777" w:rsidR="003E2B81" w:rsidRPr="00C078E8" w:rsidRDefault="00000000">
      <w:pPr>
        <w:rPr>
          <w:color w:val="auto"/>
        </w:rPr>
      </w:pPr>
      <w:r w:rsidRPr="00C078E8">
        <w:rPr>
          <w:color w:val="auto"/>
        </w:rPr>
        <w:t>The central knowledge gap concerns the poor integration of mechanistic validity, biologically effective exposure, nematode population suppression and durable plant protection. The review therefore evaluates how confidently different platforms have crossed each of these steps, identifies reasons for discordant findings and distinguishes experimental proof of concept from deployable crop-protection evidence. It develops an evidence-calibrated framework in which precision refers to validated selectivity and effectiveness across sequence, organism, delivery environment and agronomic use. Its purpose is to inform experimental design and responsible translation rather than to imply that a universally applicable RNAi nematicide has already been achieved.</w:t>
      </w:r>
    </w:p>
    <w:p w14:paraId="443838F2" w14:textId="77777777" w:rsidR="003E2B81" w:rsidRPr="00C078E8" w:rsidRDefault="00000000">
      <w:pPr>
        <w:pStyle w:val="Heading1"/>
        <w:rPr>
          <w:color w:val="auto"/>
        </w:rPr>
      </w:pPr>
      <w:r w:rsidRPr="00C078E8">
        <w:rPr>
          <w:color w:val="auto"/>
        </w:rPr>
        <w:t>2. Methods for Literature Selection</w:t>
      </w:r>
    </w:p>
    <w:p w14:paraId="3BED7B26" w14:textId="77777777" w:rsidR="003E2B81" w:rsidRPr="00C078E8" w:rsidRDefault="00000000">
      <w:pPr>
        <w:pStyle w:val="Heading2"/>
        <w:rPr>
          <w:color w:val="auto"/>
        </w:rPr>
      </w:pPr>
      <w:r w:rsidRPr="00C078E8">
        <w:rPr>
          <w:color w:val="auto"/>
        </w:rPr>
        <w:t>2.1 Review design and rationale</w:t>
      </w:r>
    </w:p>
    <w:p w14:paraId="209A357A" w14:textId="77777777" w:rsidR="003E2B81" w:rsidRPr="00C078E8" w:rsidRDefault="00000000">
      <w:pPr>
        <w:rPr>
          <w:color w:val="auto"/>
        </w:rPr>
      </w:pPr>
      <w:r w:rsidRPr="00C078E8">
        <w:rPr>
          <w:color w:val="auto"/>
        </w:rPr>
        <w:t>A critical narrative review was chosen because the relevant literature encompasses reverse-genetic functional assays, transgenic host lines, molecular measurements, container and greenhouse bioassays, materials characterisation, soil studies and a limited number of field-oriented applications. These designs address related questions but measure different outcomes and generally do not justify a common pooled treatment effect. A narrative approach permits mechanistic interpretation and comparison of evidence strength across delivery routes while retaining transparency about study selection. The SANRA framework informed attention to a clear question, appropriate referencing, scientific reasoning and balanced presentation; it was not used to create numerical quality scores for individual experiments (Baethge et al., 2019).</w:t>
      </w:r>
    </w:p>
    <w:p w14:paraId="57024689" w14:textId="77777777" w:rsidR="003E2B81" w:rsidRPr="00C078E8" w:rsidRDefault="00000000">
      <w:pPr>
        <w:rPr>
          <w:color w:val="auto"/>
        </w:rPr>
      </w:pPr>
      <w:r w:rsidRPr="00C078E8">
        <w:rPr>
          <w:color w:val="auto"/>
        </w:rPr>
        <w:t>This review is not designated a systematic review. It does not claim exhaustive capture of every publication, calibrated inter-reviewer screening or documented record counts. Conclusions are instead anchored to accessible peer-reviewed reports with verifiable bibliographic identities and sufficient descriptions of the intervention and outcome. The distinction is consequential: qualitative convergence across experiments supports mechanistic plausibility, but it cannot be expressed as a frequency or pooled efficacy estimate without a defined representative denominator and comparable endpoint data.</w:t>
      </w:r>
    </w:p>
    <w:p w14:paraId="0D58DEF9" w14:textId="77777777" w:rsidR="003E2B81" w:rsidRPr="00C078E8" w:rsidRDefault="00000000">
      <w:pPr>
        <w:pStyle w:val="Heading2"/>
        <w:rPr>
          <w:color w:val="auto"/>
        </w:rPr>
      </w:pPr>
      <w:r w:rsidRPr="00C078E8">
        <w:rPr>
          <w:color w:val="auto"/>
        </w:rPr>
        <w:t>2.2 Information sources</w:t>
      </w:r>
    </w:p>
    <w:p w14:paraId="256EAAD5" w14:textId="77777777" w:rsidR="003E2B81" w:rsidRPr="00C078E8" w:rsidRDefault="00000000">
      <w:pPr>
        <w:rPr>
          <w:color w:val="auto"/>
        </w:rPr>
      </w:pPr>
      <w:r w:rsidRPr="00C078E8">
        <w:rPr>
          <w:color w:val="auto"/>
        </w:rPr>
        <w:t>Targeted searches were made of openly accessible scholarly records indexed by PubMed, PubMed Central, Europe PMC, AGRIS, OpenAlex and the Directory of Open Access Journals. Records were cross-checked against DOI metadata and available journal-hosted abstracts or articles. Relevant references from foundational RNAi and nematology reviews were examined for backward citation tracing, while newer papers were identified through related-record searching. Search and source selection prioritised directly relevant original studies and peer-reviewed reviews, with a small number of methodological and adjacent-formulation papers retained where they defined a material boundary or limitation. The source checks were not equivalent to unrestricted searches of subscription citation databases.</w:t>
      </w:r>
    </w:p>
    <w:p w14:paraId="219C85F2" w14:textId="77777777" w:rsidR="003E2B81" w:rsidRPr="00C078E8" w:rsidRDefault="00000000">
      <w:pPr>
        <w:pStyle w:val="Heading2"/>
        <w:rPr>
          <w:color w:val="auto"/>
        </w:rPr>
      </w:pPr>
      <w:r w:rsidRPr="00C078E8">
        <w:rPr>
          <w:color w:val="auto"/>
        </w:rPr>
        <w:lastRenderedPageBreak/>
        <w:t>2.3 Search strategy and period</w:t>
      </w:r>
    </w:p>
    <w:p w14:paraId="0CCB6338" w14:textId="77777777" w:rsidR="003E2B81" w:rsidRPr="00C078E8" w:rsidRDefault="00000000">
      <w:pPr>
        <w:rPr>
          <w:color w:val="auto"/>
        </w:rPr>
      </w:pPr>
      <w:r w:rsidRPr="00C078E8">
        <w:rPr>
          <w:color w:val="auto"/>
        </w:rPr>
        <w:t xml:space="preserve">The core literature window was 2002 to 14 August 2026, beginning with the first cited experimental demonstration of RNAi in preparasitic cyst nematodes. The 1998 discovery experiment was included as a necessary mechanistic foundation. Searches combined terms for the intervention, organism, delivery system and outcome; a representative formulation was (“RNA interference” OR RNAi OR “double-stranded RNA” OR dsRNA OR “host-induced gene silencing”) AND (“plant-parasitic nematode” OR </w:t>
      </w:r>
      <w:r w:rsidRPr="00C078E8">
        <w:rPr>
          <w:i/>
          <w:color w:val="auto"/>
        </w:rPr>
        <w:t>Meloidogyne</w:t>
      </w:r>
      <w:r w:rsidRPr="00C078E8">
        <w:rPr>
          <w:color w:val="auto"/>
        </w:rPr>
        <w:t xml:space="preserve"> OR </w:t>
      </w:r>
      <w:r w:rsidRPr="00C078E8">
        <w:rPr>
          <w:i/>
          <w:color w:val="auto"/>
        </w:rPr>
        <w:t>Heterodera</w:t>
      </w:r>
      <w:r w:rsidRPr="00C078E8">
        <w:rPr>
          <w:color w:val="auto"/>
        </w:rPr>
        <w:t xml:space="preserve"> OR </w:t>
      </w:r>
      <w:r w:rsidRPr="00C078E8">
        <w:rPr>
          <w:i/>
          <w:color w:val="auto"/>
        </w:rPr>
        <w:t>Globodera</w:t>
      </w:r>
      <w:r w:rsidRPr="00C078E8">
        <w:rPr>
          <w:color w:val="auto"/>
        </w:rPr>
        <w:t xml:space="preserve"> OR </w:t>
      </w:r>
      <w:r w:rsidRPr="00C078E8">
        <w:rPr>
          <w:i/>
          <w:color w:val="auto"/>
        </w:rPr>
        <w:t>Pratylenchus</w:t>
      </w:r>
      <w:r w:rsidRPr="00C078E8">
        <w:rPr>
          <w:color w:val="auto"/>
        </w:rPr>
        <w:t xml:space="preserve"> OR </w:t>
      </w:r>
      <w:r w:rsidRPr="00C078E8">
        <w:rPr>
          <w:i/>
          <w:color w:val="auto"/>
        </w:rPr>
        <w:t>Bursaphelenchus</w:t>
      </w:r>
      <w:r w:rsidRPr="00C078E8">
        <w:rPr>
          <w:color w:val="auto"/>
        </w:rPr>
        <w:t>) AND (delivery OR soaking OR nanocarrier OR transgenic OR soil OR pathogenicity OR reproduction). Targeted searches additionally linked effectors, neuropeptide genes, survival pathways, artificial microRNAs, biosafety, soil degradation, field validation and resistance. The search vocabulary was adapted to the record system rather than asserted to be an identical query executed in every source.</w:t>
      </w:r>
    </w:p>
    <w:p w14:paraId="71AA07B3" w14:textId="77777777" w:rsidR="003E2B81" w:rsidRPr="00C078E8" w:rsidRDefault="00000000">
      <w:pPr>
        <w:pStyle w:val="Heading2"/>
        <w:rPr>
          <w:color w:val="auto"/>
        </w:rPr>
      </w:pPr>
      <w:r w:rsidRPr="00C078E8">
        <w:rPr>
          <w:color w:val="auto"/>
        </w:rPr>
        <w:t>2.4 Eligibility criteria</w:t>
      </w:r>
    </w:p>
    <w:p w14:paraId="22F64C40" w14:textId="77777777" w:rsidR="003E2B81" w:rsidRPr="00C078E8" w:rsidRDefault="00000000">
      <w:pPr>
        <w:rPr>
          <w:color w:val="auto"/>
        </w:rPr>
      </w:pPr>
      <w:r w:rsidRPr="00C078E8">
        <w:rPr>
          <w:color w:val="auto"/>
        </w:rPr>
        <w:t>Eligible sources were peer-reviewed experimental reports or substantial scientific reviews on sequence-directed nematode gene interference, target function, host delivery, external RNA application, formulation, exposure, environmental fate or intervention evaluation. Experiments in cultured or isolated nematodes were retained when their methodological constraints were relevant to interpreting crop protection. Work on other biological targets was eligible only as explicitly labelled adjacent evidence, not as proof of efficacy against plant-parasitic nematodes. English-language material with an accessible abstract or full text and independently verifiable author, publication and DOI metadata was prioritised. Non-peer-reviewed claims, unverified bibliographic entries, commercial promotional descriptions and findings lacking a clear source–claim relationship were excluded.</w:t>
      </w:r>
    </w:p>
    <w:p w14:paraId="5DD7EE38" w14:textId="77777777" w:rsidR="003E2B81" w:rsidRPr="00C078E8" w:rsidRDefault="00000000">
      <w:pPr>
        <w:pStyle w:val="Heading2"/>
        <w:rPr>
          <w:color w:val="auto"/>
        </w:rPr>
      </w:pPr>
      <w:r w:rsidRPr="00C078E8">
        <w:rPr>
          <w:color w:val="auto"/>
        </w:rPr>
        <w:t>2.5 Selection and duplicate handling</w:t>
      </w:r>
    </w:p>
    <w:p w14:paraId="3FDAB24F" w14:textId="77777777" w:rsidR="003E2B81" w:rsidRPr="00C078E8" w:rsidRDefault="00000000">
      <w:pPr>
        <w:rPr>
          <w:color w:val="auto"/>
        </w:rPr>
      </w:pPr>
      <w:r w:rsidRPr="00C078E8">
        <w:rPr>
          <w:color w:val="auto"/>
        </w:rPr>
        <w:t>Study titles and abstracts were examined for a direct link between nematode biology, RNA delivery or measured interference. Where accessible, full texts were used to distinguish soaking from plant-mediated assays, stable transgenic lines from transient or hairy-root systems, and pot or greenhouse experiments from open-field interventions. Records appearing in more than one scholarly index were treated as the same study on the basis of title, authors, year and DOI. No record totals or formal screening flow are reported because a systematic record-tracking exercise was not performed. Sources whose metadata or interpretation could not be adequately checked were not used to support specific findings.</w:t>
      </w:r>
    </w:p>
    <w:p w14:paraId="43F763FB" w14:textId="77777777" w:rsidR="003E2B81" w:rsidRPr="00C078E8" w:rsidRDefault="00000000">
      <w:pPr>
        <w:pStyle w:val="Heading2"/>
        <w:rPr>
          <w:color w:val="auto"/>
        </w:rPr>
      </w:pPr>
      <w:r w:rsidRPr="00C078E8">
        <w:rPr>
          <w:color w:val="auto"/>
        </w:rPr>
        <w:t>2.6 Critical appraisal and synthesis</w:t>
      </w:r>
    </w:p>
    <w:p w14:paraId="04C36183" w14:textId="77777777" w:rsidR="003E2B81" w:rsidRPr="00C078E8" w:rsidRDefault="00000000">
      <w:pPr>
        <w:rPr>
          <w:color w:val="auto"/>
        </w:rPr>
      </w:pPr>
      <w:r w:rsidRPr="00C078E8">
        <w:rPr>
          <w:color w:val="auto"/>
        </w:rPr>
        <w:t>Evidence was assessed according to intervention delivery, confirmation of target knockdown, use of appropriate non-targeting and untreated controls, stage specificity, biological replication, the relevance of parasitism endpoints and the distinction between root damage, nematode counts and crop performance. Stable inheritance, multiple generations, environmental exposure, off-target sequence assessment and independent replication were treated as additional confidence criteria. Comparisons were organised around biological access, target selection, delivery systems, pest guild, external validity and ecological risk. The synthesis distinguishes findings shown directly in individual experiments from mechanistic interpretations, plausible extensions and proposed development priorities; it does not allocate formal risk-of-bias scores unsupported by the heterogeneity of the reports.</w:t>
      </w:r>
    </w:p>
    <w:p w14:paraId="5680A373" w14:textId="77777777" w:rsidR="003E2B81" w:rsidRPr="00C078E8" w:rsidRDefault="00000000">
      <w:pPr>
        <w:pStyle w:val="Heading1"/>
        <w:rPr>
          <w:color w:val="auto"/>
        </w:rPr>
      </w:pPr>
      <w:r w:rsidRPr="00C078E8">
        <w:rPr>
          <w:color w:val="auto"/>
        </w:rPr>
        <w:lastRenderedPageBreak/>
        <w:t>3. Biological Foundations and Access at the Host–Nematode Interface</w:t>
      </w:r>
    </w:p>
    <w:p w14:paraId="200B49D9" w14:textId="77777777" w:rsidR="003E2B81" w:rsidRPr="00C078E8" w:rsidRDefault="00000000">
      <w:pPr>
        <w:pStyle w:val="Heading2"/>
        <w:rPr>
          <w:color w:val="auto"/>
        </w:rPr>
      </w:pPr>
      <w:r w:rsidRPr="00C078E8">
        <w:rPr>
          <w:color w:val="auto"/>
        </w:rPr>
        <w:t>3.1 What RNA interference does, and what it does not establish</w:t>
      </w:r>
    </w:p>
    <w:p w14:paraId="6C1CBFDA" w14:textId="77777777" w:rsidR="003E2B81" w:rsidRPr="00C078E8" w:rsidRDefault="00000000">
      <w:pPr>
        <w:rPr>
          <w:color w:val="auto"/>
        </w:rPr>
      </w:pPr>
      <w:r w:rsidRPr="00C078E8">
        <w:rPr>
          <w:color w:val="auto"/>
        </w:rPr>
        <w:t xml:space="preserve">RNA interference is a sequence-dependent regulatory process in which double-stranded RNA, directly or through its processing products, can guide suppression of complementary transcript sequences. In the model nematode </w:t>
      </w:r>
      <w:r w:rsidRPr="00C078E8">
        <w:rPr>
          <w:i/>
          <w:color w:val="auto"/>
        </w:rPr>
        <w:t>Caenorhabditis elegans</w:t>
      </w:r>
      <w:r w:rsidRPr="00C078E8">
        <w:rPr>
          <w:color w:val="auto"/>
        </w:rPr>
        <w:t>, introducing dsRNA produced potent and specific interference with homologous gene expression, establishing a basis for experimental reverse genetics (Fire et al., 1998). The ability to cause a molecular effect in a model organism is not evidence that the same exposure route, signal amplification or systemic spread operates equivalently in plant-parasitic species. The architecture and competence of the uptake and processing machinery, cellular access to active small interfering RNAs and stage-specific gene expression may differ. Consequently, a negative result may reflect poor entry or processing rather than dispensability of the selected gene (Bakhetia et al., 2005; Iqbal et al., 2020).</w:t>
      </w:r>
    </w:p>
    <w:p w14:paraId="25F90CFA" w14:textId="77777777" w:rsidR="003E2B81" w:rsidRPr="00C078E8" w:rsidRDefault="00000000">
      <w:pPr>
        <w:rPr>
          <w:color w:val="auto"/>
        </w:rPr>
      </w:pPr>
      <w:r w:rsidRPr="00C078E8">
        <w:rPr>
          <w:color w:val="auto"/>
        </w:rPr>
        <w:t>At the molecular level, the choice of dsRNA region governs the potential pool of gene-matched small interfering RNAs. At the organismal level, suppression depends on whether those active species accumulate in the relevant cells before the target gene has completed its biological function. An assay that measures a lower transcript concentration demonstrates target engagement only within the sampled material and period. It cannot establish depletion of a long-lived protein, permanent loss of organ function or a subsequent reduction in plant damage without additional observations. This distinction is particularly important for secreted effectors, whose functional products may already be present when silencing begins, and for targets active at a narrow transition between juveniles and established feeding stages (Rosso et al., 2005; Dutta et al., 2015).</w:t>
      </w:r>
    </w:p>
    <w:p w14:paraId="5E73932F" w14:textId="77777777" w:rsidR="003E2B81" w:rsidRPr="00C078E8" w:rsidRDefault="00000000">
      <w:pPr>
        <w:rPr>
          <w:color w:val="auto"/>
        </w:rPr>
      </w:pPr>
      <w:r w:rsidRPr="00C078E8">
        <w:rPr>
          <w:color w:val="auto"/>
        </w:rPr>
        <w:t xml:space="preserve">The term systemic RNAi is also easily overinterpreted. Evidence that one tissue responds after an externally delivered trigger does not, by itself, identify the route of intercellular transport or prove efficient amplification across nematode tissues. Inferring systemic spread requires spatial and temporal evidence, or a design that discriminates between a molecule reaching a target tissue and independently entering several tissues. Conversely, the observation that some RNAi-pathway-related transcripts were unchanged or increased after experimental targeting in </w:t>
      </w:r>
      <w:r w:rsidRPr="00C078E8">
        <w:rPr>
          <w:i/>
          <w:color w:val="auto"/>
        </w:rPr>
        <w:t>Meloidogyne incognita</w:t>
      </w:r>
      <w:r w:rsidRPr="00C078E8">
        <w:rPr>
          <w:color w:val="auto"/>
        </w:rPr>
        <w:t xml:space="preserve"> cautions against assuming that conventional gene-silencing expectations apply uniformly (Iqbal et al., 2020). A satisfactory mechanism-of-action package should therefore establish exposure, gene suppression, biologically plausible protein or functional impairment and an appropriately timed parasitism phenotype, not rely on one readout as a surrogate for the entire causal chain.</w:t>
      </w:r>
    </w:p>
    <w:p w14:paraId="12E24D0A" w14:textId="77777777" w:rsidR="003E2B81" w:rsidRPr="00C078E8" w:rsidRDefault="00000000">
      <w:pPr>
        <w:pStyle w:val="Heading2"/>
        <w:rPr>
          <w:color w:val="auto"/>
        </w:rPr>
      </w:pPr>
      <w:r w:rsidRPr="00C078E8">
        <w:rPr>
          <w:color w:val="auto"/>
        </w:rPr>
        <w:t>3.2 The exposure problem differs among nematode guilds</w:t>
      </w:r>
    </w:p>
    <w:p w14:paraId="0EB23FBE" w14:textId="77777777" w:rsidR="003E2B81" w:rsidRPr="00C078E8" w:rsidRDefault="00000000">
      <w:pPr>
        <w:rPr>
          <w:color w:val="auto"/>
        </w:rPr>
      </w:pPr>
      <w:r w:rsidRPr="00C078E8">
        <w:rPr>
          <w:color w:val="auto"/>
        </w:rPr>
        <w:t>Plant-parasitic nematode feeding behaviour determines whether and when a trigger can be encountered. Preparasitic cyst-nematode second-stage juveniles are motile in soil and may be experimentally induced to ingest fluid; at this stage the laboratory operator can expose the animal to a defined dsRNA solution. After host invasion, sedentary cyst nematodes establish specialised feeding cells and obtain nutrients through the stylet, changing both access and the physical filtering conditions at the host interface. Urwin et al. (2002) showed that dsRNA ingestion by preparasitic juveniles could produce RNAi, but that experimental observation should not be generalised into continuous, efficient uptake from every plant compartment during the nematode lifecycle (Urwin et al., 2002).</w:t>
      </w:r>
    </w:p>
    <w:p w14:paraId="67441DF5" w14:textId="77777777" w:rsidR="003E2B81" w:rsidRPr="00C078E8" w:rsidRDefault="00000000">
      <w:pPr>
        <w:rPr>
          <w:color w:val="auto"/>
        </w:rPr>
      </w:pPr>
      <w:r w:rsidRPr="00C078E8">
        <w:rPr>
          <w:color w:val="auto"/>
        </w:rPr>
        <w:t xml:space="preserve">Root-knot nematodes likewise alternate between migratory infective juveniles and sedentary stages that rely on giant-cell feeding sites. Secretions delivered into host tissue during invasion and maintenance of feeding structures provide enticing pathogenicity targets, yet accessing the molecular machinery within an established nematode is technically distinct from showing that the gene is necessary for infection. Early studies on oesophageal gland proteins and root-knot effectors helped connect silencing to infection biology, but also revealed the transient character of some responses (Rosso et al., 2005). For migratory endoparasites, repeated movement and feeding create multiple opportunities and barriers to exposure; the period over which a treated individual and its progeny </w:t>
      </w:r>
      <w:r w:rsidRPr="00C078E8">
        <w:rPr>
          <w:color w:val="auto"/>
        </w:rPr>
        <w:lastRenderedPageBreak/>
        <w:t>encounter an effective concentration may be especially variable. Tan et al. (2013) demonstrated an effect of gene interference on lesion-nematode reproduction after experimental treatment, but this cannot establish equivalent uptake after a field spray or drench.</w:t>
      </w:r>
    </w:p>
    <w:p w14:paraId="3B3E3A36" w14:textId="77777777" w:rsidR="003E2B81" w:rsidRPr="00C078E8" w:rsidRDefault="00000000">
      <w:pPr>
        <w:rPr>
          <w:color w:val="auto"/>
        </w:rPr>
      </w:pPr>
      <w:r w:rsidRPr="00C078E8">
        <w:rPr>
          <w:color w:val="auto"/>
        </w:rPr>
        <w:t>For pine wood nematodes the relevant exposure environment is the tree, not an annually cultivated root–soil interface. Pine wood nematodes can occupy internal host tissues associated with pine wilt disease, so trunk injection creates a comparatively distinct delivery opportunity. A field assay with layered double hydroxide complexes and vATPase-targeting dsRNA supplies direct evidence for that route, but the result is not automatically transferable to surface-applied products intended for subterranean root-knot or cyst nematodes (Song et al., 2026). These contexts should be analysed as different exposure problems rather than variants of one universal dsRNA platform.</w:t>
      </w:r>
    </w:p>
    <w:p w14:paraId="5D4C0D45" w14:textId="77777777" w:rsidR="003E2B81" w:rsidRPr="00C078E8" w:rsidRDefault="00000000">
      <w:pPr>
        <w:pStyle w:val="Heading2"/>
        <w:rPr>
          <w:color w:val="auto"/>
        </w:rPr>
      </w:pPr>
      <w:r w:rsidRPr="00C078E8">
        <w:rPr>
          <w:color w:val="auto"/>
        </w:rPr>
        <w:t>3.3 Distinguishing uptake, intracellular competence and phenotype</w:t>
      </w:r>
    </w:p>
    <w:p w14:paraId="49A6003C" w14:textId="77777777" w:rsidR="003E2B81" w:rsidRPr="00C078E8" w:rsidRDefault="00000000">
      <w:pPr>
        <w:rPr>
          <w:color w:val="auto"/>
        </w:rPr>
      </w:pPr>
      <w:r w:rsidRPr="00C078E8">
        <w:rPr>
          <w:color w:val="auto"/>
        </w:rPr>
        <w:t>A useful methodological distinction is between contact, ingestion, intracellular processing, gene suppression and phenotypic effect. Contact describes exposure at a potential entry surface; ingestion concerns movement into a feeding compartment; intracellular delivery concerns access to the RNAi machinery. All three may be affected by dsRNA length, formulation, ionic conditions, nucleases and nematode developmental stage, yet their relative importance is rarely quantified under realistic infection conditions. Cyst nematode soaking experiments and host-derived silencing experiments probe different parts of this chain. The former provides greater control over dose but less realistic feeding biology; the latter exposes the pest through its ecological association with the plant but often offers less information about the actual dose ingested (Chen et al., 2005; Urwin et al., 2002).</w:t>
      </w:r>
    </w:p>
    <w:p w14:paraId="0063D46B" w14:textId="77777777" w:rsidR="003E2B81" w:rsidRPr="00C078E8" w:rsidRDefault="00000000">
      <w:pPr>
        <w:rPr>
          <w:color w:val="auto"/>
        </w:rPr>
      </w:pPr>
      <w:r w:rsidRPr="00C078E8">
        <w:rPr>
          <w:color w:val="auto"/>
        </w:rPr>
        <w:t>Phenotypic endpoints also have different biological meanings. Disrupted orientation or decreased locomotion may impair the probability of reaching a host without reducing survival. Delayed juvenile development may reduce the number of females at an early sampling point but allow later compensation. A reduction in reproductive output can influence population build-up even when the present crop escapes substantial injury, whereas a reduction in gall number may represent altered symptom expression without demonstrating lower egg production. Early work on nematode sensory or amphid-associated genes, followed by studies of neuropeptide signalling, supports testing behaviour as a legitimate endpoint but not equating it with crop-level control (Chen et al., 2005; You et al., 2021). The most persuasive experiments place behavioural and molecular observations within a longitudinal infection and reproduction analysis.</w:t>
      </w:r>
    </w:p>
    <w:p w14:paraId="10D8BF73" w14:textId="77777777" w:rsidR="003E2B81" w:rsidRPr="00C078E8" w:rsidRDefault="00000000">
      <w:pPr>
        <w:pStyle w:val="Heading2"/>
        <w:rPr>
          <w:color w:val="auto"/>
        </w:rPr>
      </w:pPr>
      <w:r w:rsidRPr="00C078E8">
        <w:rPr>
          <w:color w:val="auto"/>
        </w:rPr>
        <w:t>3.4 The proposed exposure-to-benefit chain</w:t>
      </w:r>
    </w:p>
    <w:p w14:paraId="6635698E" w14:textId="77777777" w:rsidR="003E2B81" w:rsidRPr="00C078E8" w:rsidRDefault="00000000">
      <w:pPr>
        <w:rPr>
          <w:color w:val="auto"/>
        </w:rPr>
      </w:pPr>
      <w:r w:rsidRPr="00C078E8">
        <w:rPr>
          <w:color w:val="auto"/>
        </w:rPr>
        <w:t>The evidence supports a conservative causal interpretation in which sequence design enables, but does not ensure, effective silencing. Sufficient exposure at the relevant life stage must precede internal uptake and functional interference. The gene must contribute materially to a process limiting infection or multiplication under the actual crop conditions. Finally, changes in parasite function must be large and durable enough to affect a meaningful plant or population endpoint. Every link is potentially limiting, and apparent failures at later stages can arise from several mechanisms. This chain is presented as an analytical structure derived from the reviewed experiments rather than as a validated numerical prediction model. Its value is to make translational claims testable at each step.</w:t>
      </w:r>
    </w:p>
    <w:p w14:paraId="2A1F5F6F" w14:textId="77777777" w:rsidR="003E2B81" w:rsidRPr="00C078E8" w:rsidRDefault="00000000">
      <w:pPr>
        <w:rPr>
          <w:color w:val="auto"/>
        </w:rPr>
      </w:pPr>
      <w:r w:rsidRPr="00C078E8">
        <w:rPr>
          <w:color w:val="auto"/>
        </w:rPr>
        <w:t>Table 1 separates mechanistic steps that are frequently combined under the general label of RNAi efficacy. It also identifies the minimum independent measurement needed to distinguish a true biological failure from an exposure or measurement failure. Evidence in this table is representative rather than exhaustive.</w:t>
      </w:r>
    </w:p>
    <w:p w14:paraId="109CF221" w14:textId="77777777" w:rsidR="003E2B81" w:rsidRPr="00C078E8" w:rsidRDefault="00000000">
      <w:pPr>
        <w:pStyle w:val="TableCaption"/>
        <w:keepNext/>
        <w:rPr>
          <w:color w:val="auto"/>
        </w:rPr>
      </w:pPr>
      <w:r w:rsidRPr="00C078E8">
        <w:rPr>
          <w:b/>
          <w:color w:val="auto"/>
        </w:rPr>
        <w:lastRenderedPageBreak/>
        <w:t>Table 1. The sequential evidential requirements for an RNAi-based nematode intervention</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5B67F70E" w14:textId="77777777">
        <w:trPr>
          <w:cantSplit/>
          <w:tblHeader/>
          <w:jc w:val="center"/>
        </w:trPr>
        <w:tc>
          <w:tcPr>
            <w:tcW w:w="1757" w:type="dxa"/>
            <w:shd w:val="clear" w:color="auto" w:fill="E7ECF0"/>
            <w:tcMar>
              <w:top w:w="100" w:type="dxa"/>
              <w:left w:w="95" w:type="dxa"/>
              <w:bottom w:w="100" w:type="dxa"/>
              <w:right w:w="95" w:type="dxa"/>
            </w:tcMar>
            <w:vAlign w:val="center"/>
          </w:tcPr>
          <w:p w14:paraId="7001966E" w14:textId="77777777" w:rsidR="003E2B81" w:rsidRPr="00C078E8" w:rsidRDefault="00000000">
            <w:pPr>
              <w:pStyle w:val="TableHeader"/>
              <w:spacing w:after="0"/>
              <w:rPr>
                <w:color w:val="auto"/>
              </w:rPr>
            </w:pPr>
            <w:r w:rsidRPr="00C078E8">
              <w:rPr>
                <w:color w:val="auto"/>
              </w:rPr>
              <w:t>Link in the causal chain</w:t>
            </w:r>
          </w:p>
        </w:tc>
        <w:tc>
          <w:tcPr>
            <w:tcW w:w="2621" w:type="dxa"/>
            <w:shd w:val="clear" w:color="auto" w:fill="E7ECF0"/>
            <w:tcMar>
              <w:top w:w="100" w:type="dxa"/>
              <w:left w:w="95" w:type="dxa"/>
              <w:bottom w:w="100" w:type="dxa"/>
              <w:right w:w="95" w:type="dxa"/>
            </w:tcMar>
            <w:vAlign w:val="center"/>
          </w:tcPr>
          <w:p w14:paraId="07F4EDE1" w14:textId="77777777" w:rsidR="003E2B81" w:rsidRPr="00C078E8" w:rsidRDefault="00000000">
            <w:pPr>
              <w:pStyle w:val="TableHeader"/>
              <w:spacing w:after="0"/>
              <w:rPr>
                <w:color w:val="auto"/>
              </w:rPr>
            </w:pPr>
            <w:r w:rsidRPr="00C078E8">
              <w:rPr>
                <w:color w:val="auto"/>
              </w:rPr>
              <w:t>Evidence needed</w:t>
            </w:r>
          </w:p>
        </w:tc>
        <w:tc>
          <w:tcPr>
            <w:tcW w:w="3168" w:type="dxa"/>
            <w:shd w:val="clear" w:color="auto" w:fill="E7ECF0"/>
            <w:tcMar>
              <w:top w:w="100" w:type="dxa"/>
              <w:left w:w="95" w:type="dxa"/>
              <w:bottom w:w="100" w:type="dxa"/>
              <w:right w:w="95" w:type="dxa"/>
            </w:tcMar>
            <w:vAlign w:val="center"/>
          </w:tcPr>
          <w:p w14:paraId="5A568436" w14:textId="77777777" w:rsidR="003E2B81" w:rsidRPr="00C078E8" w:rsidRDefault="00000000">
            <w:pPr>
              <w:pStyle w:val="TableHeader"/>
              <w:spacing w:after="0"/>
              <w:rPr>
                <w:color w:val="auto"/>
              </w:rPr>
            </w:pPr>
            <w:r w:rsidRPr="00C078E8">
              <w:rPr>
                <w:color w:val="auto"/>
              </w:rPr>
              <w:t>Principal interpretive risk</w:t>
            </w:r>
          </w:p>
        </w:tc>
        <w:tc>
          <w:tcPr>
            <w:tcW w:w="2102" w:type="dxa"/>
            <w:shd w:val="clear" w:color="auto" w:fill="E7ECF0"/>
            <w:tcMar>
              <w:top w:w="100" w:type="dxa"/>
              <w:left w:w="95" w:type="dxa"/>
              <w:bottom w:w="100" w:type="dxa"/>
              <w:right w:w="95" w:type="dxa"/>
            </w:tcMar>
            <w:vAlign w:val="center"/>
          </w:tcPr>
          <w:p w14:paraId="441B03A7"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605BBEA8" w14:textId="77777777">
        <w:trPr>
          <w:cantSplit/>
          <w:jc w:val="center"/>
        </w:trPr>
        <w:tc>
          <w:tcPr>
            <w:tcW w:w="1757" w:type="dxa"/>
            <w:tcMar>
              <w:top w:w="75" w:type="dxa"/>
              <w:left w:w="100" w:type="dxa"/>
              <w:bottom w:w="75" w:type="dxa"/>
              <w:right w:w="100" w:type="dxa"/>
            </w:tcMar>
            <w:vAlign w:val="center"/>
          </w:tcPr>
          <w:p w14:paraId="3E7DC8AD" w14:textId="77777777" w:rsidR="003E2B81" w:rsidRPr="00C078E8" w:rsidRDefault="00000000">
            <w:pPr>
              <w:pStyle w:val="TableText"/>
              <w:spacing w:after="0"/>
              <w:rPr>
                <w:color w:val="auto"/>
              </w:rPr>
            </w:pPr>
            <w:r w:rsidRPr="00C078E8">
              <w:rPr>
                <w:color w:val="auto"/>
              </w:rPr>
              <w:t>Sequence–target relation</w:t>
            </w:r>
          </w:p>
        </w:tc>
        <w:tc>
          <w:tcPr>
            <w:tcW w:w="2621" w:type="dxa"/>
            <w:tcMar>
              <w:top w:w="75" w:type="dxa"/>
              <w:left w:w="100" w:type="dxa"/>
              <w:bottom w:w="75" w:type="dxa"/>
              <w:right w:w="100" w:type="dxa"/>
            </w:tcMar>
            <w:vAlign w:val="center"/>
          </w:tcPr>
          <w:p w14:paraId="7A886099" w14:textId="77777777" w:rsidR="003E2B81" w:rsidRPr="00C078E8" w:rsidRDefault="00000000">
            <w:pPr>
              <w:pStyle w:val="TableText"/>
              <w:spacing w:after="0"/>
              <w:rPr>
                <w:color w:val="auto"/>
              </w:rPr>
            </w:pPr>
            <w:r w:rsidRPr="00C078E8">
              <w:rPr>
                <w:color w:val="auto"/>
              </w:rPr>
              <w:t>Verified target transcript and deliberate dsRNA match; analyse plausible non-target homologues.</w:t>
            </w:r>
          </w:p>
        </w:tc>
        <w:tc>
          <w:tcPr>
            <w:tcW w:w="3168" w:type="dxa"/>
            <w:tcMar>
              <w:top w:w="75" w:type="dxa"/>
              <w:left w:w="100" w:type="dxa"/>
              <w:bottom w:w="75" w:type="dxa"/>
              <w:right w:w="100" w:type="dxa"/>
            </w:tcMar>
            <w:vAlign w:val="center"/>
          </w:tcPr>
          <w:p w14:paraId="5CEEBFEC" w14:textId="77777777" w:rsidR="003E2B81" w:rsidRPr="00C078E8" w:rsidRDefault="00000000">
            <w:pPr>
              <w:pStyle w:val="TableText"/>
              <w:spacing w:after="0"/>
              <w:rPr>
                <w:color w:val="auto"/>
              </w:rPr>
            </w:pPr>
            <w:r w:rsidRPr="00C078E8">
              <w:rPr>
                <w:color w:val="auto"/>
              </w:rPr>
              <w:t>A matched sequence is treated as equivalent to a nematode-specific toxic effect.</w:t>
            </w:r>
          </w:p>
        </w:tc>
        <w:tc>
          <w:tcPr>
            <w:tcW w:w="2102" w:type="dxa"/>
            <w:tcMar>
              <w:top w:w="75" w:type="dxa"/>
              <w:left w:w="100" w:type="dxa"/>
              <w:bottom w:w="75" w:type="dxa"/>
              <w:right w:w="100" w:type="dxa"/>
            </w:tcMar>
            <w:vAlign w:val="center"/>
          </w:tcPr>
          <w:p w14:paraId="4E45A1C4" w14:textId="77777777" w:rsidR="003E2B81" w:rsidRPr="00C078E8" w:rsidRDefault="00000000">
            <w:pPr>
              <w:pStyle w:val="TableText"/>
              <w:spacing w:after="0"/>
              <w:rPr>
                <w:color w:val="auto"/>
              </w:rPr>
            </w:pPr>
            <w:r w:rsidRPr="00C078E8">
              <w:rPr>
                <w:color w:val="auto"/>
              </w:rPr>
              <w:t>(Fire et al., 1998; Singh et al., 2026)</w:t>
            </w:r>
          </w:p>
        </w:tc>
      </w:tr>
      <w:tr w:rsidR="00C078E8" w:rsidRPr="00C078E8" w14:paraId="785D9F6D" w14:textId="77777777">
        <w:trPr>
          <w:cantSplit/>
          <w:jc w:val="center"/>
        </w:trPr>
        <w:tc>
          <w:tcPr>
            <w:tcW w:w="1757" w:type="dxa"/>
            <w:tcMar>
              <w:top w:w="75" w:type="dxa"/>
              <w:left w:w="100" w:type="dxa"/>
              <w:bottom w:w="75" w:type="dxa"/>
              <w:right w:w="100" w:type="dxa"/>
            </w:tcMar>
            <w:vAlign w:val="center"/>
          </w:tcPr>
          <w:p w14:paraId="3AAE26CC" w14:textId="77777777" w:rsidR="003E2B81" w:rsidRPr="00C078E8" w:rsidRDefault="00000000">
            <w:pPr>
              <w:pStyle w:val="TableText"/>
              <w:spacing w:after="0"/>
              <w:rPr>
                <w:color w:val="auto"/>
              </w:rPr>
            </w:pPr>
            <w:r w:rsidRPr="00C078E8">
              <w:rPr>
                <w:color w:val="auto"/>
              </w:rPr>
              <w:t>Exposure and accessibility</w:t>
            </w:r>
          </w:p>
        </w:tc>
        <w:tc>
          <w:tcPr>
            <w:tcW w:w="2621" w:type="dxa"/>
            <w:tcMar>
              <w:top w:w="75" w:type="dxa"/>
              <w:left w:w="100" w:type="dxa"/>
              <w:bottom w:w="75" w:type="dxa"/>
              <w:right w:w="100" w:type="dxa"/>
            </w:tcMar>
            <w:vAlign w:val="center"/>
          </w:tcPr>
          <w:p w14:paraId="46132BF0" w14:textId="77777777" w:rsidR="003E2B81" w:rsidRPr="00C078E8" w:rsidRDefault="00000000">
            <w:pPr>
              <w:pStyle w:val="TableText"/>
              <w:spacing w:after="0"/>
              <w:rPr>
                <w:color w:val="auto"/>
              </w:rPr>
            </w:pPr>
            <w:r w:rsidRPr="00C078E8">
              <w:rPr>
                <w:color w:val="auto"/>
              </w:rPr>
              <w:t>Intact trigger at the relevant nematode stage, host tissue or soil compartment.</w:t>
            </w:r>
          </w:p>
        </w:tc>
        <w:tc>
          <w:tcPr>
            <w:tcW w:w="3168" w:type="dxa"/>
            <w:tcMar>
              <w:top w:w="75" w:type="dxa"/>
              <w:left w:w="100" w:type="dxa"/>
              <w:bottom w:w="75" w:type="dxa"/>
              <w:right w:w="100" w:type="dxa"/>
            </w:tcMar>
            <w:vAlign w:val="center"/>
          </w:tcPr>
          <w:p w14:paraId="68896922" w14:textId="77777777" w:rsidR="003E2B81" w:rsidRPr="00C078E8" w:rsidRDefault="00000000">
            <w:pPr>
              <w:pStyle w:val="TableText"/>
              <w:spacing w:after="0"/>
              <w:rPr>
                <w:color w:val="auto"/>
              </w:rPr>
            </w:pPr>
            <w:r w:rsidRPr="00C078E8">
              <w:rPr>
                <w:color w:val="auto"/>
              </w:rPr>
              <w:t>High nominal application dose is confused with biological exposure.</w:t>
            </w:r>
          </w:p>
        </w:tc>
        <w:tc>
          <w:tcPr>
            <w:tcW w:w="2102" w:type="dxa"/>
            <w:tcMar>
              <w:top w:w="75" w:type="dxa"/>
              <w:left w:w="100" w:type="dxa"/>
              <w:bottom w:w="75" w:type="dxa"/>
              <w:right w:w="100" w:type="dxa"/>
            </w:tcMar>
            <w:vAlign w:val="center"/>
          </w:tcPr>
          <w:p w14:paraId="7A931A1C" w14:textId="77777777" w:rsidR="003E2B81" w:rsidRPr="00C078E8" w:rsidRDefault="00000000">
            <w:pPr>
              <w:pStyle w:val="TableText"/>
              <w:spacing w:after="0"/>
              <w:rPr>
                <w:color w:val="auto"/>
              </w:rPr>
            </w:pPr>
            <w:r w:rsidRPr="00C078E8">
              <w:rPr>
                <w:color w:val="auto"/>
              </w:rPr>
              <w:t>(Bakhetia et al., 2005; Urwin et al., 2002)</w:t>
            </w:r>
          </w:p>
        </w:tc>
      </w:tr>
      <w:tr w:rsidR="00C078E8" w:rsidRPr="00C078E8" w14:paraId="099389A1" w14:textId="77777777">
        <w:trPr>
          <w:cantSplit/>
          <w:jc w:val="center"/>
        </w:trPr>
        <w:tc>
          <w:tcPr>
            <w:tcW w:w="1757" w:type="dxa"/>
            <w:tcMar>
              <w:top w:w="75" w:type="dxa"/>
              <w:left w:w="100" w:type="dxa"/>
              <w:bottom w:w="75" w:type="dxa"/>
              <w:right w:w="100" w:type="dxa"/>
            </w:tcMar>
            <w:vAlign w:val="center"/>
          </w:tcPr>
          <w:p w14:paraId="3ABA1128" w14:textId="77777777" w:rsidR="003E2B81" w:rsidRPr="00C078E8" w:rsidRDefault="00000000">
            <w:pPr>
              <w:pStyle w:val="TableText"/>
              <w:spacing w:after="0"/>
              <w:rPr>
                <w:color w:val="auto"/>
              </w:rPr>
            </w:pPr>
            <w:r w:rsidRPr="00C078E8">
              <w:rPr>
                <w:color w:val="auto"/>
              </w:rPr>
              <w:t>Uptake and processing</w:t>
            </w:r>
          </w:p>
        </w:tc>
        <w:tc>
          <w:tcPr>
            <w:tcW w:w="2621" w:type="dxa"/>
            <w:tcMar>
              <w:top w:w="75" w:type="dxa"/>
              <w:left w:w="100" w:type="dxa"/>
              <w:bottom w:w="75" w:type="dxa"/>
              <w:right w:w="100" w:type="dxa"/>
            </w:tcMar>
            <w:vAlign w:val="center"/>
          </w:tcPr>
          <w:p w14:paraId="0F310F6A" w14:textId="77777777" w:rsidR="003E2B81" w:rsidRPr="00C078E8" w:rsidRDefault="00000000">
            <w:pPr>
              <w:pStyle w:val="TableText"/>
              <w:spacing w:after="0"/>
              <w:rPr>
                <w:color w:val="auto"/>
              </w:rPr>
            </w:pPr>
            <w:r w:rsidRPr="00C078E8">
              <w:rPr>
                <w:color w:val="auto"/>
              </w:rPr>
              <w:t>Evidence consistent with ingestion or cellular entry and a competent silencing response.</w:t>
            </w:r>
          </w:p>
        </w:tc>
        <w:tc>
          <w:tcPr>
            <w:tcW w:w="3168" w:type="dxa"/>
            <w:tcMar>
              <w:top w:w="75" w:type="dxa"/>
              <w:left w:w="100" w:type="dxa"/>
              <w:bottom w:w="75" w:type="dxa"/>
              <w:right w:w="100" w:type="dxa"/>
            </w:tcMar>
            <w:vAlign w:val="center"/>
          </w:tcPr>
          <w:p w14:paraId="68290DDA" w14:textId="77777777" w:rsidR="003E2B81" w:rsidRPr="00C078E8" w:rsidRDefault="00000000">
            <w:pPr>
              <w:pStyle w:val="TableText"/>
              <w:spacing w:after="0"/>
              <w:rPr>
                <w:color w:val="auto"/>
              </w:rPr>
            </w:pPr>
            <w:r w:rsidRPr="00C078E8">
              <w:rPr>
                <w:color w:val="auto"/>
              </w:rPr>
              <w:t>In vitro uptake is presumed to occur through every field feeding route.</w:t>
            </w:r>
          </w:p>
        </w:tc>
        <w:tc>
          <w:tcPr>
            <w:tcW w:w="2102" w:type="dxa"/>
            <w:tcMar>
              <w:top w:w="75" w:type="dxa"/>
              <w:left w:w="100" w:type="dxa"/>
              <w:bottom w:w="75" w:type="dxa"/>
              <w:right w:w="100" w:type="dxa"/>
            </w:tcMar>
            <w:vAlign w:val="center"/>
          </w:tcPr>
          <w:p w14:paraId="0A0554D1" w14:textId="77777777" w:rsidR="003E2B81" w:rsidRPr="00C078E8" w:rsidRDefault="00000000">
            <w:pPr>
              <w:pStyle w:val="TableText"/>
              <w:spacing w:after="0"/>
              <w:rPr>
                <w:color w:val="auto"/>
              </w:rPr>
            </w:pPr>
            <w:r w:rsidRPr="00C078E8">
              <w:rPr>
                <w:color w:val="auto"/>
              </w:rPr>
              <w:t>(Chen et al., 2005; Iqbal et al., 2020)</w:t>
            </w:r>
          </w:p>
        </w:tc>
      </w:tr>
      <w:tr w:rsidR="00C078E8" w:rsidRPr="00C078E8" w14:paraId="780E9614" w14:textId="77777777">
        <w:trPr>
          <w:cantSplit/>
          <w:jc w:val="center"/>
        </w:trPr>
        <w:tc>
          <w:tcPr>
            <w:tcW w:w="1757" w:type="dxa"/>
            <w:tcMar>
              <w:top w:w="75" w:type="dxa"/>
              <w:left w:w="100" w:type="dxa"/>
              <w:bottom w:w="75" w:type="dxa"/>
              <w:right w:w="100" w:type="dxa"/>
            </w:tcMar>
            <w:vAlign w:val="center"/>
          </w:tcPr>
          <w:p w14:paraId="7C13A5B3" w14:textId="77777777" w:rsidR="003E2B81" w:rsidRPr="00C078E8" w:rsidRDefault="00000000">
            <w:pPr>
              <w:pStyle w:val="TableText"/>
              <w:spacing w:after="0"/>
              <w:rPr>
                <w:color w:val="auto"/>
              </w:rPr>
            </w:pPr>
            <w:r w:rsidRPr="00C078E8">
              <w:rPr>
                <w:color w:val="auto"/>
              </w:rPr>
              <w:t>Target engagement</w:t>
            </w:r>
          </w:p>
        </w:tc>
        <w:tc>
          <w:tcPr>
            <w:tcW w:w="2621" w:type="dxa"/>
            <w:tcMar>
              <w:top w:w="75" w:type="dxa"/>
              <w:left w:w="100" w:type="dxa"/>
              <w:bottom w:w="75" w:type="dxa"/>
              <w:right w:w="100" w:type="dxa"/>
            </w:tcMar>
            <w:vAlign w:val="center"/>
          </w:tcPr>
          <w:p w14:paraId="18C8B76B" w14:textId="77777777" w:rsidR="003E2B81" w:rsidRPr="00C078E8" w:rsidRDefault="00000000">
            <w:pPr>
              <w:pStyle w:val="TableText"/>
              <w:spacing w:after="0"/>
              <w:rPr>
                <w:color w:val="auto"/>
              </w:rPr>
            </w:pPr>
            <w:r w:rsidRPr="00C078E8">
              <w:rPr>
                <w:color w:val="auto"/>
              </w:rPr>
              <w:t>Stage-appropriate transcript reduction with sequence and formulation controls.</w:t>
            </w:r>
          </w:p>
        </w:tc>
        <w:tc>
          <w:tcPr>
            <w:tcW w:w="3168" w:type="dxa"/>
            <w:tcMar>
              <w:top w:w="75" w:type="dxa"/>
              <w:left w:w="100" w:type="dxa"/>
              <w:bottom w:w="75" w:type="dxa"/>
              <w:right w:w="100" w:type="dxa"/>
            </w:tcMar>
            <w:vAlign w:val="center"/>
          </w:tcPr>
          <w:p w14:paraId="67315338" w14:textId="77777777" w:rsidR="003E2B81" w:rsidRPr="00C078E8" w:rsidRDefault="00000000">
            <w:pPr>
              <w:pStyle w:val="TableText"/>
              <w:spacing w:after="0"/>
              <w:rPr>
                <w:color w:val="auto"/>
              </w:rPr>
            </w:pPr>
            <w:r w:rsidRPr="00C078E8">
              <w:rPr>
                <w:color w:val="auto"/>
              </w:rPr>
              <w:t>A transcript change is assumed to equal protein depletion or loss of function.</w:t>
            </w:r>
          </w:p>
        </w:tc>
        <w:tc>
          <w:tcPr>
            <w:tcW w:w="2102" w:type="dxa"/>
            <w:tcMar>
              <w:top w:w="75" w:type="dxa"/>
              <w:left w:w="100" w:type="dxa"/>
              <w:bottom w:w="75" w:type="dxa"/>
              <w:right w:w="100" w:type="dxa"/>
            </w:tcMar>
            <w:vAlign w:val="center"/>
          </w:tcPr>
          <w:p w14:paraId="6A5272E4" w14:textId="77777777" w:rsidR="003E2B81" w:rsidRPr="00C078E8" w:rsidRDefault="00000000">
            <w:pPr>
              <w:pStyle w:val="TableText"/>
              <w:spacing w:after="0"/>
              <w:rPr>
                <w:color w:val="auto"/>
              </w:rPr>
            </w:pPr>
            <w:r w:rsidRPr="00C078E8">
              <w:rPr>
                <w:color w:val="auto"/>
              </w:rPr>
              <w:t>(Fairbairn et al., 2007; Rosso et al., 2005)</w:t>
            </w:r>
          </w:p>
        </w:tc>
      </w:tr>
      <w:tr w:rsidR="00C078E8" w:rsidRPr="00C078E8" w14:paraId="0155762E" w14:textId="77777777">
        <w:trPr>
          <w:cantSplit/>
          <w:jc w:val="center"/>
        </w:trPr>
        <w:tc>
          <w:tcPr>
            <w:tcW w:w="1757" w:type="dxa"/>
            <w:tcMar>
              <w:top w:w="75" w:type="dxa"/>
              <w:left w:w="100" w:type="dxa"/>
              <w:bottom w:w="75" w:type="dxa"/>
              <w:right w:w="100" w:type="dxa"/>
            </w:tcMar>
            <w:vAlign w:val="center"/>
          </w:tcPr>
          <w:p w14:paraId="62A063C4" w14:textId="77777777" w:rsidR="003E2B81" w:rsidRPr="00C078E8" w:rsidRDefault="00000000">
            <w:pPr>
              <w:pStyle w:val="TableText"/>
              <w:spacing w:after="0"/>
              <w:rPr>
                <w:color w:val="auto"/>
              </w:rPr>
            </w:pPr>
            <w:r w:rsidRPr="00C078E8">
              <w:rPr>
                <w:color w:val="auto"/>
              </w:rPr>
              <w:t>Nematode fitness effect</w:t>
            </w:r>
          </w:p>
        </w:tc>
        <w:tc>
          <w:tcPr>
            <w:tcW w:w="2621" w:type="dxa"/>
            <w:tcMar>
              <w:top w:w="75" w:type="dxa"/>
              <w:left w:w="100" w:type="dxa"/>
              <w:bottom w:w="75" w:type="dxa"/>
              <w:right w:w="100" w:type="dxa"/>
            </w:tcMar>
            <w:vAlign w:val="center"/>
          </w:tcPr>
          <w:p w14:paraId="3E2042A0" w14:textId="77777777" w:rsidR="003E2B81" w:rsidRPr="00C078E8" w:rsidRDefault="00000000">
            <w:pPr>
              <w:pStyle w:val="TableText"/>
              <w:spacing w:after="0"/>
              <w:rPr>
                <w:color w:val="auto"/>
              </w:rPr>
            </w:pPr>
            <w:r w:rsidRPr="00C078E8">
              <w:rPr>
                <w:color w:val="auto"/>
              </w:rPr>
              <w:t>Behaviour, establishment, development, fecundity or multiplication tested over a relevant lifecycle.</w:t>
            </w:r>
          </w:p>
        </w:tc>
        <w:tc>
          <w:tcPr>
            <w:tcW w:w="3168" w:type="dxa"/>
            <w:tcMar>
              <w:top w:w="75" w:type="dxa"/>
              <w:left w:w="100" w:type="dxa"/>
              <w:bottom w:w="75" w:type="dxa"/>
              <w:right w:w="100" w:type="dxa"/>
            </w:tcMar>
            <w:vAlign w:val="center"/>
          </w:tcPr>
          <w:p w14:paraId="76A8C798" w14:textId="77777777" w:rsidR="003E2B81" w:rsidRPr="00C078E8" w:rsidRDefault="00000000">
            <w:pPr>
              <w:pStyle w:val="TableText"/>
              <w:spacing w:after="0"/>
              <w:rPr>
                <w:color w:val="auto"/>
              </w:rPr>
            </w:pPr>
            <w:r w:rsidRPr="00C078E8">
              <w:rPr>
                <w:color w:val="auto"/>
              </w:rPr>
              <w:t>Developmental delay or nonlethal knockdown is reported as durable control.</w:t>
            </w:r>
          </w:p>
        </w:tc>
        <w:tc>
          <w:tcPr>
            <w:tcW w:w="2102" w:type="dxa"/>
            <w:tcMar>
              <w:top w:w="75" w:type="dxa"/>
              <w:left w:w="100" w:type="dxa"/>
              <w:bottom w:w="75" w:type="dxa"/>
              <w:right w:w="100" w:type="dxa"/>
            </w:tcMar>
            <w:vAlign w:val="center"/>
          </w:tcPr>
          <w:p w14:paraId="43FDF965" w14:textId="77777777" w:rsidR="003E2B81" w:rsidRPr="00C078E8" w:rsidRDefault="00000000">
            <w:pPr>
              <w:pStyle w:val="TableText"/>
              <w:spacing w:after="0"/>
              <w:rPr>
                <w:color w:val="auto"/>
              </w:rPr>
            </w:pPr>
            <w:r w:rsidRPr="00C078E8">
              <w:rPr>
                <w:color w:val="auto"/>
              </w:rPr>
              <w:t>(Charlton et al., 2010; Steeves et al., 2006)</w:t>
            </w:r>
          </w:p>
        </w:tc>
      </w:tr>
      <w:tr w:rsidR="00C078E8" w:rsidRPr="00C078E8" w14:paraId="7C1F6D61" w14:textId="77777777">
        <w:trPr>
          <w:cantSplit/>
          <w:jc w:val="center"/>
        </w:trPr>
        <w:tc>
          <w:tcPr>
            <w:tcW w:w="1757" w:type="dxa"/>
            <w:tcMar>
              <w:top w:w="75" w:type="dxa"/>
              <w:left w:w="100" w:type="dxa"/>
              <w:bottom w:w="75" w:type="dxa"/>
              <w:right w:w="100" w:type="dxa"/>
            </w:tcMar>
            <w:vAlign w:val="center"/>
          </w:tcPr>
          <w:p w14:paraId="46A3780F" w14:textId="77777777" w:rsidR="003E2B81" w:rsidRPr="00C078E8" w:rsidRDefault="00000000">
            <w:pPr>
              <w:pStyle w:val="TableText"/>
              <w:spacing w:after="0"/>
              <w:rPr>
                <w:color w:val="auto"/>
              </w:rPr>
            </w:pPr>
            <w:r w:rsidRPr="00C078E8">
              <w:rPr>
                <w:color w:val="auto"/>
              </w:rPr>
              <w:t>Crop and deployment effect</w:t>
            </w:r>
          </w:p>
        </w:tc>
        <w:tc>
          <w:tcPr>
            <w:tcW w:w="2621" w:type="dxa"/>
            <w:tcMar>
              <w:top w:w="75" w:type="dxa"/>
              <w:left w:w="100" w:type="dxa"/>
              <w:bottom w:w="75" w:type="dxa"/>
              <w:right w:w="100" w:type="dxa"/>
            </w:tcMar>
            <w:vAlign w:val="center"/>
          </w:tcPr>
          <w:p w14:paraId="0841BDE2" w14:textId="77777777" w:rsidR="003E2B81" w:rsidRPr="00C078E8" w:rsidRDefault="00000000">
            <w:pPr>
              <w:pStyle w:val="TableText"/>
              <w:spacing w:after="0"/>
              <w:rPr>
                <w:color w:val="auto"/>
              </w:rPr>
            </w:pPr>
            <w:r w:rsidRPr="00C078E8">
              <w:rPr>
                <w:color w:val="auto"/>
              </w:rPr>
              <w:t>Root injury, crop performance and population carryover measured under applicable conditions.</w:t>
            </w:r>
          </w:p>
        </w:tc>
        <w:tc>
          <w:tcPr>
            <w:tcW w:w="3168" w:type="dxa"/>
            <w:tcMar>
              <w:top w:w="75" w:type="dxa"/>
              <w:left w:w="100" w:type="dxa"/>
              <w:bottom w:w="75" w:type="dxa"/>
              <w:right w:w="100" w:type="dxa"/>
            </w:tcMar>
            <w:vAlign w:val="center"/>
          </w:tcPr>
          <w:p w14:paraId="5D1E2B4A" w14:textId="77777777" w:rsidR="003E2B81" w:rsidRPr="00C078E8" w:rsidRDefault="00000000">
            <w:pPr>
              <w:pStyle w:val="TableText"/>
              <w:spacing w:after="0"/>
              <w:rPr>
                <w:color w:val="auto"/>
              </w:rPr>
            </w:pPr>
            <w:r w:rsidRPr="00C078E8">
              <w:rPr>
                <w:color w:val="auto"/>
              </w:rPr>
              <w:t>A pot or field outcome is generalised to untested crops, soils or delivery routes.</w:t>
            </w:r>
          </w:p>
        </w:tc>
        <w:tc>
          <w:tcPr>
            <w:tcW w:w="2102" w:type="dxa"/>
            <w:tcMar>
              <w:top w:w="75" w:type="dxa"/>
              <w:left w:w="100" w:type="dxa"/>
              <w:bottom w:w="75" w:type="dxa"/>
              <w:right w:w="100" w:type="dxa"/>
            </w:tcMar>
            <w:vAlign w:val="center"/>
          </w:tcPr>
          <w:p w14:paraId="696FABD1" w14:textId="77777777" w:rsidR="003E2B81" w:rsidRPr="00C078E8" w:rsidRDefault="00000000">
            <w:pPr>
              <w:pStyle w:val="TableText"/>
              <w:spacing w:after="0"/>
              <w:rPr>
                <w:color w:val="auto"/>
              </w:rPr>
            </w:pPr>
            <w:r w:rsidRPr="00C078E8">
              <w:rPr>
                <w:color w:val="auto"/>
              </w:rPr>
              <w:t>(Bairwa et al., 2026; Song et al., 2026)</w:t>
            </w:r>
          </w:p>
        </w:tc>
      </w:tr>
    </w:tbl>
    <w:p w14:paraId="5CB41720" w14:textId="77777777" w:rsidR="003E2B81" w:rsidRPr="00C078E8" w:rsidRDefault="00000000">
      <w:pPr>
        <w:pStyle w:val="TableNote"/>
        <w:rPr>
          <w:color w:val="auto"/>
        </w:rPr>
      </w:pPr>
      <w:r w:rsidRPr="00C078E8">
        <w:rPr>
          <w:color w:val="auto"/>
        </w:rPr>
        <w:t>Note. RNAi = RNA interference; dsRNA = double-stranded RNA. Links are analytical requirements and should not be interpreted as experimentally validated universal thresholds.</w:t>
      </w:r>
    </w:p>
    <w:p w14:paraId="03E80E41" w14:textId="77777777" w:rsidR="003E2B81" w:rsidRPr="00C078E8" w:rsidRDefault="00000000">
      <w:pPr>
        <w:pStyle w:val="Heading1"/>
        <w:rPr>
          <w:color w:val="auto"/>
        </w:rPr>
      </w:pPr>
      <w:r w:rsidRPr="00C078E8">
        <w:rPr>
          <w:color w:val="auto"/>
        </w:rPr>
        <w:t>4. Target Selection as a Causal and Comparative Problem</w:t>
      </w:r>
    </w:p>
    <w:p w14:paraId="78778F1A" w14:textId="77777777" w:rsidR="003E2B81" w:rsidRPr="00C078E8" w:rsidRDefault="00000000">
      <w:pPr>
        <w:pStyle w:val="Heading2"/>
        <w:rPr>
          <w:color w:val="auto"/>
        </w:rPr>
      </w:pPr>
      <w:r w:rsidRPr="00C078E8">
        <w:rPr>
          <w:color w:val="auto"/>
        </w:rPr>
        <w:t>4.1 Effector genes: strong biological logic, variable dependency</w:t>
      </w:r>
    </w:p>
    <w:p w14:paraId="1DB9E131" w14:textId="77777777" w:rsidR="003E2B81" w:rsidRPr="00C078E8" w:rsidRDefault="00000000">
      <w:pPr>
        <w:rPr>
          <w:color w:val="auto"/>
        </w:rPr>
      </w:pPr>
      <w:r w:rsidRPr="00C078E8">
        <w:rPr>
          <w:color w:val="auto"/>
        </w:rPr>
        <w:t xml:space="preserve">Effector genes are compelling RNAi targets because many encode secreted molecules used to manipulate host physiology, maintain feeding structures or support invasion. In a host–parasite interaction mediated by comparatively specialised secretions, inhibition could conceivably reduce infection with fewer effects on unrelated organisms than suppression of highly conserved cellular processes. The 16D10 parasitism gene provided an influential proof of concept: host-expressed dsRNA directed against a conserved root-knot effector was associated with resistance to several </w:t>
      </w:r>
      <w:r w:rsidRPr="00C078E8">
        <w:rPr>
          <w:i/>
          <w:color w:val="auto"/>
        </w:rPr>
        <w:t>Meloidogyne</w:t>
      </w:r>
      <w:r w:rsidRPr="00C078E8">
        <w:rPr>
          <w:color w:val="auto"/>
        </w:rPr>
        <w:t xml:space="preserve"> species in a transgenic experimental plant (Huang et al., 2006). Subsequent cyst-nematode experiments likewise reported reduced parasitic success after plant expression of constructs targeting multiple secreted or parasitism-related genes (Sindhu et al., 2009). Such results establish candidate mechanisms but do not make every effector equally vulnerable.</w:t>
      </w:r>
    </w:p>
    <w:p w14:paraId="7F00DB4E" w14:textId="77777777" w:rsidR="003E2B81" w:rsidRPr="00C078E8" w:rsidRDefault="00000000">
      <w:pPr>
        <w:rPr>
          <w:color w:val="auto"/>
        </w:rPr>
      </w:pPr>
      <w:r w:rsidRPr="00C078E8">
        <w:rPr>
          <w:color w:val="auto"/>
        </w:rPr>
        <w:t xml:space="preserve">The timing of effector expression is decisive. A gene required predominantly before or immediately after root penetration may be difficult to inhibit through a trigger delivered only after the nematode has established a feeding site. A secreted protein might also remain active after its source transcript is depleted. Conversely, effectors repeatedly required for feeding-cell maintenance may be exposed to silencing for a longer developmental window. Early interference experiments with root-knot oesophageal gland proteins identified measurable transcript changes but highlighted that knockdown can be transient (Rosso et al., 2005). In eggplant, host-mediated silencing of Mi-msp-1 was linked to improved resistance against </w:t>
      </w:r>
      <w:r w:rsidRPr="00C078E8">
        <w:rPr>
          <w:i/>
          <w:color w:val="auto"/>
        </w:rPr>
        <w:t>M. incognita</w:t>
      </w:r>
      <w:r w:rsidRPr="00C078E8">
        <w:rPr>
          <w:color w:val="auto"/>
        </w:rPr>
        <w:t xml:space="preserve"> across the reported transgenic evaluation (Chaudhary et al., 2019). The strength of the latter result is its crop-specific host system; the unresolved issue is whether the magnitude persists across cultivars, nematode populations and growing environments.</w:t>
      </w:r>
    </w:p>
    <w:p w14:paraId="5EEA3C9D" w14:textId="77777777" w:rsidR="003E2B81" w:rsidRPr="00C078E8" w:rsidRDefault="00000000">
      <w:pPr>
        <w:rPr>
          <w:color w:val="auto"/>
        </w:rPr>
      </w:pPr>
      <w:r w:rsidRPr="00C078E8">
        <w:rPr>
          <w:color w:val="auto"/>
        </w:rPr>
        <w:t xml:space="preserve">Sequence conservation presents a strategic conflict. An effector shared by several damaging </w:t>
      </w:r>
      <w:r w:rsidRPr="00C078E8">
        <w:rPr>
          <w:i/>
          <w:color w:val="auto"/>
        </w:rPr>
        <w:t>Meloidogyne</w:t>
      </w:r>
      <w:r w:rsidRPr="00C078E8">
        <w:rPr>
          <w:color w:val="auto"/>
        </w:rPr>
        <w:t xml:space="preserve"> species can support broader pest coverage, as demonstrated conceptually by 16D10 targeting (Huang et al., 2006). Yet the </w:t>
      </w:r>
      <w:r w:rsidRPr="00C078E8">
        <w:rPr>
          <w:color w:val="auto"/>
        </w:rPr>
        <w:lastRenderedPageBreak/>
        <w:t>evolutionary variation among populations, paralogues and non-target relatives makes the boundaries of coverage difficult to infer from a small alignment or test panel. A unique region may offer greater discriminative potential but become vulnerable to sequence variation among field isolates. A conserved region may increase the probability of target engagement across pests while requiring more extensive screening of beneficial nematodes or other taxa. Therefore, claims of species-level precision need both alignment-based prediction and empirical tests in organisms that could plausibly encounter the product.</w:t>
      </w:r>
    </w:p>
    <w:p w14:paraId="5B2447D9" w14:textId="77777777" w:rsidR="003E2B81" w:rsidRPr="00C078E8" w:rsidRDefault="00000000">
      <w:pPr>
        <w:pStyle w:val="Heading2"/>
        <w:rPr>
          <w:color w:val="auto"/>
        </w:rPr>
      </w:pPr>
      <w:r w:rsidRPr="00C078E8">
        <w:rPr>
          <w:color w:val="auto"/>
        </w:rPr>
        <w:t>4.2 Essential physiological genes and the consequences of pleiotropy</w:t>
      </w:r>
    </w:p>
    <w:p w14:paraId="19E5307E" w14:textId="77777777" w:rsidR="003E2B81" w:rsidRPr="00C078E8" w:rsidRDefault="00000000">
      <w:pPr>
        <w:rPr>
          <w:color w:val="auto"/>
        </w:rPr>
      </w:pPr>
      <w:r w:rsidRPr="00C078E8">
        <w:rPr>
          <w:color w:val="auto"/>
        </w:rPr>
        <w:t xml:space="preserve">A second target class comprises genes associated with basic development, metabolism, muscular activity, protein processing, signalling and reproduction. These functions can produce larger phenotypic effects than some specialised effectors, particularly when partial loss of expression crosses a viability or fecundity threshold. Major sperm protein targeting in transgenic soybean was associated with suppression of </w:t>
      </w:r>
      <w:r w:rsidRPr="00C078E8">
        <w:rPr>
          <w:i/>
          <w:color w:val="auto"/>
        </w:rPr>
        <w:t>Heterodera glycines</w:t>
      </w:r>
      <w:r w:rsidRPr="00C078E8">
        <w:rPr>
          <w:color w:val="auto"/>
        </w:rPr>
        <w:t xml:space="preserve"> reproduction, indicating that reduced multiplication is feasible without directly targeting a canonical pathogenicity effector (Steeves et al., 2006). Experiments targeting a dual oxidase and a signal-peptidase component in root-knot nematodes also produced developmental disruption and fewer nematodes in host roots (Charlton et al., 2010). These findings expand the available target repertoire beyond molecules unique to parasitism.</w:t>
      </w:r>
    </w:p>
    <w:p w14:paraId="08821164" w14:textId="77777777" w:rsidR="003E2B81" w:rsidRPr="00C078E8" w:rsidRDefault="00000000">
      <w:pPr>
        <w:rPr>
          <w:color w:val="auto"/>
        </w:rPr>
      </w:pPr>
      <w:r w:rsidRPr="00C078E8">
        <w:rPr>
          <w:color w:val="auto"/>
        </w:rPr>
        <w:t>The price of this approach is potentially greater sequence overlap with organisms that share housekeeping machinery. A homologous target can occur in unrelated nematodes, and conserved protein domains may correspond to stretches capable of generating small interfering RNAs with unintended matches. This risk cannot be judged merely from the annotated function of the target; the precise dsRNA sequence and the resulting small-RNA population matter. Conversely, complete identity of a short sequence need not establish ecological harm if the non-target organism is unexposed or lacks an effective uptake route. Both sequence evidence and exposure evidence are required. Physiological targets also invite compensatory or homeostatic responses, particularly when experiments attempt to silence components of the RNAi pathway itself, which may alter the process used to measure the intervention (Iqbal et al., 2020).</w:t>
      </w:r>
    </w:p>
    <w:p w14:paraId="00E1E4FA" w14:textId="77777777" w:rsidR="003E2B81" w:rsidRPr="00C078E8" w:rsidRDefault="00000000">
      <w:pPr>
        <w:rPr>
          <w:color w:val="auto"/>
        </w:rPr>
      </w:pPr>
      <w:r w:rsidRPr="00C078E8">
        <w:rPr>
          <w:color w:val="auto"/>
        </w:rPr>
        <w:t xml:space="preserve">Target discovery should consider dependency in the relevant life stage rather than assuming that expression abundance alone predicts efficacy. An abundant transcript may encode a dispensable protein or one already present in excess, whereas a moderately expressed target can control a bottleneck in host orientation, feeding or oviposition. Mi-flp-18 and Mi-mpk-1 were proposed as targets after functional analysis in </w:t>
      </w:r>
      <w:r w:rsidRPr="00C078E8">
        <w:rPr>
          <w:i/>
          <w:color w:val="auto"/>
        </w:rPr>
        <w:t>M. incognita</w:t>
      </w:r>
      <w:r w:rsidRPr="00C078E8">
        <w:rPr>
          <w:color w:val="auto"/>
        </w:rPr>
        <w:t xml:space="preserve">, emphasising behavioural and signalling pathways outside the traditional effector catalogue (Dong et al., 2016). A study of an FMRFamide-like peptide in </w:t>
      </w:r>
      <w:r w:rsidRPr="00C078E8">
        <w:rPr>
          <w:i/>
          <w:color w:val="auto"/>
        </w:rPr>
        <w:t>H. glycines</w:t>
      </w:r>
      <w:r w:rsidRPr="00C078E8">
        <w:rPr>
          <w:color w:val="auto"/>
        </w:rPr>
        <w:t xml:space="preserve"> further linked neuropeptide signalling to head movement, host finding and infection (You et al., 2021).</w:t>
      </w:r>
    </w:p>
    <w:p w14:paraId="7519EE69" w14:textId="77777777" w:rsidR="003E2B81" w:rsidRPr="00C078E8" w:rsidRDefault="00000000">
      <w:pPr>
        <w:rPr>
          <w:color w:val="auto"/>
        </w:rPr>
      </w:pPr>
      <w:r w:rsidRPr="00C078E8">
        <w:rPr>
          <w:color w:val="auto"/>
        </w:rPr>
        <w:t xml:space="preserve">Rice systems add a needed comparison to target discovery based on chemosensation and neuropeptides. In transgenic rice, host-induced silencing of the Mg-flp-1 and Mg-flp-12 genes of </w:t>
      </w:r>
      <w:r w:rsidRPr="00C078E8">
        <w:rPr>
          <w:i/>
          <w:color w:val="auto"/>
        </w:rPr>
        <w:t>Meloidogyne graminicola</w:t>
      </w:r>
      <w:r w:rsidRPr="00C078E8">
        <w:rPr>
          <w:color w:val="auto"/>
        </w:rPr>
        <w:t xml:space="preserve"> was associated with reduced galling, endoparasite numbers and reproductive measures (Hada et al., 2020). By contrast, experimental knockdown of the Mg-odr-1 and Mg-odr-3 chemosensory genes disturbed juvenile responses to host-associated cues and reduced parasitic success under the tested conditions (Dutta et al., 2024). These studies address related but distinct biological stages: host-derived interference must reach the feeding nematode, whereas juvenile chemosensory interference can act before stable feeding is established. Their juxtaposition reinforces the requirement to match delivery to the developmental window in which the selected gene contributes to invasion or multiplication. These are biologically attractive control points, but the translation from altered orientation in an experimental assay to reduced crop loss has not been established as a general rule.</w:t>
      </w:r>
    </w:p>
    <w:p w14:paraId="7EDC16B2" w14:textId="77777777" w:rsidR="003E2B81" w:rsidRPr="00C078E8" w:rsidRDefault="00000000">
      <w:pPr>
        <w:pStyle w:val="Heading2"/>
        <w:rPr>
          <w:color w:val="auto"/>
        </w:rPr>
      </w:pPr>
      <w:r w:rsidRPr="00C078E8">
        <w:rPr>
          <w:color w:val="auto"/>
        </w:rPr>
        <w:lastRenderedPageBreak/>
        <w:t>4.3 Target validation should follow an evidence ladder</w:t>
      </w:r>
    </w:p>
    <w:p w14:paraId="5C5FAD43" w14:textId="77777777" w:rsidR="003E2B81" w:rsidRPr="00C078E8" w:rsidRDefault="00000000">
      <w:pPr>
        <w:rPr>
          <w:color w:val="auto"/>
        </w:rPr>
      </w:pPr>
      <w:r w:rsidRPr="00C078E8">
        <w:rPr>
          <w:color w:val="auto"/>
        </w:rPr>
        <w:t>A defensible target-validation sequence begins with credible gene identity, sequence uniqueness or intended breadth, and evidence that the gene is expressed in a stage accessible to dsRNA. It then requires direct assessment of transcript suppression against untreated and non-targeting controls, ideally supported by a dose–response relation and independent target regions. A subsequent phenotype should be consistent with the gene's proposed function. For example, silencing a host-finding factor should be connected to orientation, invasion or successful establishment, whereas a fertility factor should be evaluated by egg production or population multiplication. This distinction is not simply a request for more assays; it prevents circular reasoning in which the chosen endpoint is described as successful regardless of the biological role originally proposed for the gene (Chen et al., 2005; Steeves et al., 2006; You et al., 2021).</w:t>
      </w:r>
    </w:p>
    <w:p w14:paraId="5D86D441" w14:textId="77777777" w:rsidR="003E2B81" w:rsidRPr="00C078E8" w:rsidRDefault="00000000">
      <w:pPr>
        <w:rPr>
          <w:color w:val="auto"/>
        </w:rPr>
      </w:pPr>
      <w:r w:rsidRPr="00C078E8">
        <w:rPr>
          <w:color w:val="auto"/>
        </w:rPr>
        <w:t>Independent dsRNA fragments targeting different portions of the same transcript would reduce the chance that a phenotype arises from an unintended sequence or formulation effect. Rescue experiments can provide stronger causal evidence but are technically challenging in obligately parasitic nematodes and should not be presumed feasible in all species. Transcript-level measurement should specify sampling time, tissue or developmental stage and the reference genes used for normalisation. When whole-nematode RNA is analysed, a change in stage composition could mimic a change in expression per individual. For instance, a treatment that delays development may increase the proportion of juveniles expressing an early-stage transcript, complicating interpretation even when the treatment genuinely affects biology. Such possibilities require experimental design and not merely a statistical adjustment applied after data collection.</w:t>
      </w:r>
    </w:p>
    <w:p w14:paraId="1889B78E" w14:textId="77777777" w:rsidR="003E2B81" w:rsidRPr="00C078E8" w:rsidRDefault="00000000">
      <w:pPr>
        <w:rPr>
          <w:color w:val="auto"/>
        </w:rPr>
      </w:pPr>
      <w:r w:rsidRPr="00C078E8">
        <w:rPr>
          <w:color w:val="auto"/>
        </w:rPr>
        <w:t>Importantly, knockdown efficiency and pest suppression are distinct estimands. A 50% reduction in transcript abundance does not imply a 50% reduction in nematode survival or egg production. Gene products may act non-linearly, some cells may remain unaffected, and a response threshold may exist. Work in stable transgenic soybean suggested that siRNA abundance or distribution may influence biological efficacy, but the relationship between molecular dose and crop resistance remains incompletely resolved (Tian et al., 2019). Reporting fold change, biological variability and associated phenotypes together is therefore preferable to presenting a single percentage as an unambiguous measure of target success.</w:t>
      </w:r>
    </w:p>
    <w:p w14:paraId="76537250" w14:textId="77777777" w:rsidR="003E2B81" w:rsidRPr="00C078E8" w:rsidRDefault="00000000">
      <w:pPr>
        <w:pStyle w:val="Heading2"/>
        <w:rPr>
          <w:color w:val="auto"/>
        </w:rPr>
      </w:pPr>
      <w:r w:rsidRPr="00C078E8">
        <w:rPr>
          <w:color w:val="auto"/>
        </w:rPr>
        <w:t>4.4 Multiplexing and target combinations</w:t>
      </w:r>
    </w:p>
    <w:p w14:paraId="7A555BF3" w14:textId="77777777" w:rsidR="003E2B81" w:rsidRPr="00C078E8" w:rsidRDefault="00000000">
      <w:pPr>
        <w:rPr>
          <w:color w:val="auto"/>
        </w:rPr>
      </w:pPr>
      <w:r w:rsidRPr="00C078E8">
        <w:rPr>
          <w:color w:val="auto"/>
        </w:rPr>
        <w:t>Because nematode development depends on multiple processes, combining dsRNA targets is a plausible method of enlarging the chance that suppression reaches a biologically relevant threshold. In host-expressed constructs directed against root-knot nematodes, interference with distinct developmental genes produced additive effects on nematode development, indicating that target combinations can be effective in particular experimental settings (Charlton et al., 2010). Nevertheless, additivity demonstrated with one pair of targets does not justify assuming that any combination is superior. A combined construct might generate lower amounts of each active small RNA, introduce sequence redundancy or disrupt the timing needed to affect an earlier stage. A factorial comparison of single and combined targets is necessary to identify genuine interaction rather than an artefact of different total RNA doses.</w:t>
      </w:r>
    </w:p>
    <w:p w14:paraId="37B560E7" w14:textId="77777777" w:rsidR="003E2B81" w:rsidRPr="00C078E8" w:rsidRDefault="00000000">
      <w:pPr>
        <w:rPr>
          <w:color w:val="auto"/>
        </w:rPr>
      </w:pPr>
      <w:r w:rsidRPr="00C078E8">
        <w:rPr>
          <w:color w:val="auto"/>
        </w:rPr>
        <w:t>Mixtures intended to cover multiple species pose a second problem: the pest composition of a field may vary across space and season. A broad construct may be justified if several nematodes commonly coexist, but an RNA product designed for one dominant pest could be more economical and easier to assess for off-target activity. The selection problem is consequently not only molecular but epidemiological. It requires information on the field pest complex, infection timing, local isolate sequence variation and the baseline effectiveness of available resistance or management practices. Broad coverage that is not matched to the field's actual pest population is not precision, even if the construct has many predicted genetic targets.</w:t>
      </w:r>
    </w:p>
    <w:p w14:paraId="44535FD9" w14:textId="77777777" w:rsidR="003E2B81" w:rsidRPr="00C078E8" w:rsidRDefault="00000000">
      <w:pPr>
        <w:pStyle w:val="Heading2"/>
        <w:rPr>
          <w:color w:val="auto"/>
        </w:rPr>
      </w:pPr>
      <w:r w:rsidRPr="00C078E8">
        <w:rPr>
          <w:color w:val="auto"/>
        </w:rPr>
        <w:lastRenderedPageBreak/>
        <w:t>4.5 Off-target identification and uncertainty</w:t>
      </w:r>
    </w:p>
    <w:p w14:paraId="4D90F12E" w14:textId="77777777" w:rsidR="003E2B81" w:rsidRPr="00C078E8" w:rsidRDefault="00000000">
      <w:pPr>
        <w:rPr>
          <w:color w:val="auto"/>
        </w:rPr>
      </w:pPr>
      <w:r w:rsidRPr="00C078E8">
        <w:rPr>
          <w:color w:val="auto"/>
        </w:rPr>
        <w:t>Sequence-level assessment should consider the dsRNA precursor, the plausible set of derived small interfering RNAs and homologous regions in the crop and non-target organisms. A design screen is a risk filter, not a direct toxicological test: databases are incomplete, transcript variants may be uncharacterised, and non-target species may differ in uptake or amplification of exogenous RNA. Conversely, relying only on a short in silico match can overstate ecological hazard when real-world exposure is biologically implausible. The most informative approach combines comparative sequence analysis, exposure measurements and performance tests in carefully selected representatives of exposed taxa. Environmental persistence needs to be treated as a time-dependent exposure variable rather than a categorical property of all dsRNA molecules (Dubelman et al., 2014; Singh et al., 2026).</w:t>
      </w:r>
    </w:p>
    <w:p w14:paraId="4C815A63" w14:textId="77777777" w:rsidR="003E2B81" w:rsidRPr="00C078E8" w:rsidRDefault="00000000">
      <w:pPr>
        <w:rPr>
          <w:color w:val="auto"/>
        </w:rPr>
      </w:pPr>
      <w:r w:rsidRPr="00C078E8">
        <w:rPr>
          <w:color w:val="auto"/>
        </w:rPr>
        <w:t>Target specificity also needs distinction from pest-specific use. A root-restricted transgenic construct may reduce exposure of above-ground organisms, but could increase sustained exposure of root-associated soil fauna. A soil drench may concentrate RNA around the intended feeding area but expose more non-target nematodes than trunk injection into a tree. These routes create different exposure distributions even with identical sequence design. Consequently, environmental safety and pest spectrum cannot be inferred from sequence similarity alone. The relevant unit of evaluation is a particular active RNA sequence delivered through a particular formulation into a defined ecological compartment.</w:t>
      </w:r>
    </w:p>
    <w:p w14:paraId="1975584A" w14:textId="77777777" w:rsidR="003E2B81" w:rsidRPr="00C078E8" w:rsidRDefault="00000000">
      <w:pPr>
        <w:rPr>
          <w:color w:val="auto"/>
        </w:rPr>
      </w:pPr>
      <w:r w:rsidRPr="00C078E8">
        <w:rPr>
          <w:color w:val="auto"/>
        </w:rPr>
        <w:t>Table 2 compares representative target classes by intended biological mechanism, evidence strength and the reasons successful knockdown can fail to provide practical protection. The central inference is that target choice must be linked to an exposure stage and a prespecified field-relevant phenotype.</w:t>
      </w:r>
    </w:p>
    <w:p w14:paraId="45C8DDEF" w14:textId="77777777" w:rsidR="003E2B81" w:rsidRPr="00C078E8" w:rsidRDefault="00000000">
      <w:pPr>
        <w:pStyle w:val="TableCaption"/>
        <w:keepNext/>
        <w:rPr>
          <w:color w:val="auto"/>
        </w:rPr>
      </w:pPr>
      <w:r w:rsidRPr="00C078E8">
        <w:rPr>
          <w:b/>
          <w:color w:val="auto"/>
        </w:rPr>
        <w:t>Table 2. Representative target classes and the biological limits of target-based precision</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613"/>
        <w:gridCol w:w="2304"/>
        <w:gridCol w:w="2218"/>
        <w:gridCol w:w="1872"/>
        <w:gridCol w:w="1642"/>
      </w:tblGrid>
      <w:tr w:rsidR="00C078E8" w:rsidRPr="00C078E8" w14:paraId="51F8FC12" w14:textId="77777777">
        <w:trPr>
          <w:cantSplit/>
          <w:tblHeader/>
          <w:jc w:val="center"/>
        </w:trPr>
        <w:tc>
          <w:tcPr>
            <w:tcW w:w="1613" w:type="dxa"/>
            <w:shd w:val="clear" w:color="auto" w:fill="E7ECF0"/>
            <w:tcMar>
              <w:top w:w="100" w:type="dxa"/>
              <w:left w:w="95" w:type="dxa"/>
              <w:bottom w:w="100" w:type="dxa"/>
              <w:right w:w="95" w:type="dxa"/>
            </w:tcMar>
            <w:vAlign w:val="center"/>
          </w:tcPr>
          <w:p w14:paraId="45F6E580" w14:textId="77777777" w:rsidR="003E2B81" w:rsidRPr="00C078E8" w:rsidRDefault="00000000">
            <w:pPr>
              <w:pStyle w:val="TableHeader"/>
              <w:spacing w:after="0"/>
              <w:rPr>
                <w:color w:val="auto"/>
              </w:rPr>
            </w:pPr>
            <w:r w:rsidRPr="00C078E8">
              <w:rPr>
                <w:color w:val="auto"/>
              </w:rPr>
              <w:t>Gene or function class</w:t>
            </w:r>
          </w:p>
        </w:tc>
        <w:tc>
          <w:tcPr>
            <w:tcW w:w="2304" w:type="dxa"/>
            <w:shd w:val="clear" w:color="auto" w:fill="E7ECF0"/>
            <w:tcMar>
              <w:top w:w="100" w:type="dxa"/>
              <w:left w:w="95" w:type="dxa"/>
              <w:bottom w:w="100" w:type="dxa"/>
              <w:right w:w="95" w:type="dxa"/>
            </w:tcMar>
            <w:vAlign w:val="center"/>
          </w:tcPr>
          <w:p w14:paraId="2BCF4AE0" w14:textId="77777777" w:rsidR="003E2B81" w:rsidRPr="00C078E8" w:rsidRDefault="00000000">
            <w:pPr>
              <w:pStyle w:val="TableHeader"/>
              <w:spacing w:after="0"/>
              <w:rPr>
                <w:color w:val="auto"/>
              </w:rPr>
            </w:pPr>
            <w:r w:rsidRPr="00C078E8">
              <w:rPr>
                <w:color w:val="auto"/>
              </w:rPr>
              <w:t>Representative evidence</w:t>
            </w:r>
          </w:p>
        </w:tc>
        <w:tc>
          <w:tcPr>
            <w:tcW w:w="2218" w:type="dxa"/>
            <w:shd w:val="clear" w:color="auto" w:fill="E7ECF0"/>
            <w:tcMar>
              <w:top w:w="100" w:type="dxa"/>
              <w:left w:w="95" w:type="dxa"/>
              <w:bottom w:w="100" w:type="dxa"/>
              <w:right w:w="95" w:type="dxa"/>
            </w:tcMar>
            <w:vAlign w:val="center"/>
          </w:tcPr>
          <w:p w14:paraId="4A783204" w14:textId="77777777" w:rsidR="003E2B81" w:rsidRPr="00C078E8" w:rsidRDefault="00000000">
            <w:pPr>
              <w:pStyle w:val="TableHeader"/>
              <w:spacing w:after="0"/>
              <w:rPr>
                <w:color w:val="auto"/>
              </w:rPr>
            </w:pPr>
            <w:r w:rsidRPr="00C078E8">
              <w:rPr>
                <w:color w:val="auto"/>
              </w:rPr>
              <w:t>Why the target can be attractive</w:t>
            </w:r>
          </w:p>
        </w:tc>
        <w:tc>
          <w:tcPr>
            <w:tcW w:w="1872" w:type="dxa"/>
            <w:shd w:val="clear" w:color="auto" w:fill="E7ECF0"/>
            <w:tcMar>
              <w:top w:w="100" w:type="dxa"/>
              <w:left w:w="95" w:type="dxa"/>
              <w:bottom w:w="100" w:type="dxa"/>
              <w:right w:w="95" w:type="dxa"/>
            </w:tcMar>
            <w:vAlign w:val="center"/>
          </w:tcPr>
          <w:p w14:paraId="0023979A" w14:textId="77777777" w:rsidR="003E2B81" w:rsidRPr="00C078E8" w:rsidRDefault="00000000">
            <w:pPr>
              <w:pStyle w:val="TableHeader"/>
              <w:spacing w:after="0"/>
              <w:rPr>
                <w:color w:val="auto"/>
              </w:rPr>
            </w:pPr>
            <w:r w:rsidRPr="00C078E8">
              <w:rPr>
                <w:color w:val="auto"/>
              </w:rPr>
              <w:t>Main limitation and uncertainty</w:t>
            </w:r>
          </w:p>
        </w:tc>
        <w:tc>
          <w:tcPr>
            <w:tcW w:w="1642" w:type="dxa"/>
            <w:shd w:val="clear" w:color="auto" w:fill="E7ECF0"/>
            <w:tcMar>
              <w:top w:w="100" w:type="dxa"/>
              <w:left w:w="95" w:type="dxa"/>
              <w:bottom w:w="100" w:type="dxa"/>
              <w:right w:w="95" w:type="dxa"/>
            </w:tcMar>
            <w:vAlign w:val="center"/>
          </w:tcPr>
          <w:p w14:paraId="707BA1BE"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1D059ACB" w14:textId="77777777">
        <w:trPr>
          <w:cantSplit/>
          <w:jc w:val="center"/>
        </w:trPr>
        <w:tc>
          <w:tcPr>
            <w:tcW w:w="1613" w:type="dxa"/>
            <w:tcMar>
              <w:top w:w="75" w:type="dxa"/>
              <w:left w:w="100" w:type="dxa"/>
              <w:bottom w:w="75" w:type="dxa"/>
              <w:right w:w="100" w:type="dxa"/>
            </w:tcMar>
            <w:vAlign w:val="center"/>
          </w:tcPr>
          <w:p w14:paraId="57EB251D" w14:textId="77777777" w:rsidR="003E2B81" w:rsidRPr="00C078E8" w:rsidRDefault="00000000">
            <w:pPr>
              <w:pStyle w:val="TableText"/>
              <w:spacing w:after="0"/>
              <w:rPr>
                <w:color w:val="auto"/>
              </w:rPr>
            </w:pPr>
            <w:r w:rsidRPr="00C078E8">
              <w:rPr>
                <w:color w:val="auto"/>
              </w:rPr>
              <w:t>Secreted effectors</w:t>
            </w:r>
          </w:p>
        </w:tc>
        <w:tc>
          <w:tcPr>
            <w:tcW w:w="2304" w:type="dxa"/>
            <w:tcMar>
              <w:top w:w="75" w:type="dxa"/>
              <w:left w:w="100" w:type="dxa"/>
              <w:bottom w:w="75" w:type="dxa"/>
              <w:right w:w="100" w:type="dxa"/>
            </w:tcMar>
            <w:vAlign w:val="center"/>
          </w:tcPr>
          <w:p w14:paraId="72FBBCEC" w14:textId="77777777" w:rsidR="003E2B81" w:rsidRPr="00C078E8" w:rsidRDefault="00000000">
            <w:pPr>
              <w:pStyle w:val="TableText"/>
              <w:spacing w:after="0"/>
              <w:rPr>
                <w:color w:val="auto"/>
              </w:rPr>
            </w:pPr>
            <w:r w:rsidRPr="00C078E8">
              <w:rPr>
                <w:color w:val="auto"/>
              </w:rPr>
              <w:t>16D10, Mi-msp-1 and cyst-nematode parasitism genes in host-directed systems.</w:t>
            </w:r>
          </w:p>
        </w:tc>
        <w:tc>
          <w:tcPr>
            <w:tcW w:w="2218" w:type="dxa"/>
            <w:tcMar>
              <w:top w:w="75" w:type="dxa"/>
              <w:left w:w="100" w:type="dxa"/>
              <w:bottom w:w="75" w:type="dxa"/>
              <w:right w:w="100" w:type="dxa"/>
            </w:tcMar>
            <w:vAlign w:val="center"/>
          </w:tcPr>
          <w:p w14:paraId="3E8B9F72" w14:textId="77777777" w:rsidR="003E2B81" w:rsidRPr="00C078E8" w:rsidRDefault="00000000">
            <w:pPr>
              <w:pStyle w:val="TableText"/>
              <w:spacing w:after="0"/>
              <w:rPr>
                <w:color w:val="auto"/>
              </w:rPr>
            </w:pPr>
            <w:r w:rsidRPr="00C078E8">
              <w:rPr>
                <w:color w:val="auto"/>
              </w:rPr>
              <w:t>Links silencing to plant manipulation or feeding-site establishment.</w:t>
            </w:r>
          </w:p>
        </w:tc>
        <w:tc>
          <w:tcPr>
            <w:tcW w:w="1872" w:type="dxa"/>
            <w:tcMar>
              <w:top w:w="75" w:type="dxa"/>
              <w:left w:w="100" w:type="dxa"/>
              <w:bottom w:w="75" w:type="dxa"/>
              <w:right w:w="100" w:type="dxa"/>
            </w:tcMar>
            <w:vAlign w:val="center"/>
          </w:tcPr>
          <w:p w14:paraId="0D70C00B" w14:textId="77777777" w:rsidR="003E2B81" w:rsidRPr="00C078E8" w:rsidRDefault="00000000">
            <w:pPr>
              <w:pStyle w:val="TableText"/>
              <w:spacing w:after="0"/>
              <w:rPr>
                <w:color w:val="auto"/>
              </w:rPr>
            </w:pPr>
            <w:r w:rsidRPr="00C078E8">
              <w:rPr>
                <w:color w:val="auto"/>
              </w:rPr>
              <w:t>Expression may peak before delivery; functional redundancy and isolate variation are possible.</w:t>
            </w:r>
          </w:p>
        </w:tc>
        <w:tc>
          <w:tcPr>
            <w:tcW w:w="1642" w:type="dxa"/>
            <w:tcMar>
              <w:top w:w="75" w:type="dxa"/>
              <w:left w:w="100" w:type="dxa"/>
              <w:bottom w:w="75" w:type="dxa"/>
              <w:right w:w="100" w:type="dxa"/>
            </w:tcMar>
            <w:vAlign w:val="center"/>
          </w:tcPr>
          <w:p w14:paraId="3984217D" w14:textId="77777777" w:rsidR="003E2B81" w:rsidRPr="00C078E8" w:rsidRDefault="00000000">
            <w:pPr>
              <w:pStyle w:val="TableText"/>
              <w:spacing w:after="0"/>
              <w:rPr>
                <w:color w:val="auto"/>
              </w:rPr>
            </w:pPr>
            <w:r w:rsidRPr="00C078E8">
              <w:rPr>
                <w:color w:val="auto"/>
              </w:rPr>
              <w:t>(Chaudhary et al., 2019; Huang et al., 2006; Sindhu et al., 2009)</w:t>
            </w:r>
          </w:p>
        </w:tc>
      </w:tr>
      <w:tr w:rsidR="00C078E8" w:rsidRPr="00C078E8" w14:paraId="55FC3261" w14:textId="77777777">
        <w:trPr>
          <w:cantSplit/>
          <w:jc w:val="center"/>
        </w:trPr>
        <w:tc>
          <w:tcPr>
            <w:tcW w:w="1613" w:type="dxa"/>
            <w:tcMar>
              <w:top w:w="75" w:type="dxa"/>
              <w:left w:w="100" w:type="dxa"/>
              <w:bottom w:w="75" w:type="dxa"/>
              <w:right w:w="100" w:type="dxa"/>
            </w:tcMar>
            <w:vAlign w:val="center"/>
          </w:tcPr>
          <w:p w14:paraId="7B10242D" w14:textId="77777777" w:rsidR="003E2B81" w:rsidRPr="00C078E8" w:rsidRDefault="00000000">
            <w:pPr>
              <w:pStyle w:val="TableText"/>
              <w:spacing w:after="0"/>
              <w:rPr>
                <w:color w:val="auto"/>
              </w:rPr>
            </w:pPr>
            <w:r w:rsidRPr="00C078E8">
              <w:rPr>
                <w:color w:val="auto"/>
              </w:rPr>
              <w:t>Reproduction and fertility</w:t>
            </w:r>
          </w:p>
        </w:tc>
        <w:tc>
          <w:tcPr>
            <w:tcW w:w="2304" w:type="dxa"/>
            <w:tcMar>
              <w:top w:w="75" w:type="dxa"/>
              <w:left w:w="100" w:type="dxa"/>
              <w:bottom w:w="75" w:type="dxa"/>
              <w:right w:w="100" w:type="dxa"/>
            </w:tcMar>
            <w:vAlign w:val="center"/>
          </w:tcPr>
          <w:p w14:paraId="3548C8A9" w14:textId="77777777" w:rsidR="003E2B81" w:rsidRPr="00C078E8" w:rsidRDefault="00000000">
            <w:pPr>
              <w:pStyle w:val="TableText"/>
              <w:spacing w:after="0"/>
              <w:rPr>
                <w:color w:val="auto"/>
              </w:rPr>
            </w:pPr>
            <w:r w:rsidRPr="00C078E8">
              <w:rPr>
                <w:color w:val="auto"/>
              </w:rPr>
              <w:t>Major sperm protein and other cyst-nematode fitness-gene approaches.</w:t>
            </w:r>
          </w:p>
        </w:tc>
        <w:tc>
          <w:tcPr>
            <w:tcW w:w="2218" w:type="dxa"/>
            <w:tcMar>
              <w:top w:w="75" w:type="dxa"/>
              <w:left w:w="100" w:type="dxa"/>
              <w:bottom w:w="75" w:type="dxa"/>
              <w:right w:w="100" w:type="dxa"/>
            </w:tcMar>
            <w:vAlign w:val="center"/>
          </w:tcPr>
          <w:p w14:paraId="4446CE0A" w14:textId="77777777" w:rsidR="003E2B81" w:rsidRPr="00C078E8" w:rsidRDefault="00000000">
            <w:pPr>
              <w:pStyle w:val="TableText"/>
              <w:spacing w:after="0"/>
              <w:rPr>
                <w:color w:val="auto"/>
              </w:rPr>
            </w:pPr>
            <w:r w:rsidRPr="00C078E8">
              <w:rPr>
                <w:color w:val="auto"/>
              </w:rPr>
              <w:t>Lower reproduction could reduce subsequent population pressure.</w:t>
            </w:r>
          </w:p>
        </w:tc>
        <w:tc>
          <w:tcPr>
            <w:tcW w:w="1872" w:type="dxa"/>
            <w:tcMar>
              <w:top w:w="75" w:type="dxa"/>
              <w:left w:w="100" w:type="dxa"/>
              <w:bottom w:w="75" w:type="dxa"/>
              <w:right w:w="100" w:type="dxa"/>
            </w:tcMar>
            <w:vAlign w:val="center"/>
          </w:tcPr>
          <w:p w14:paraId="6B5B3CE2" w14:textId="77777777" w:rsidR="003E2B81" w:rsidRPr="00C078E8" w:rsidRDefault="00000000">
            <w:pPr>
              <w:pStyle w:val="TableText"/>
              <w:spacing w:after="0"/>
              <w:rPr>
                <w:color w:val="auto"/>
              </w:rPr>
            </w:pPr>
            <w:r w:rsidRPr="00C078E8">
              <w:rPr>
                <w:color w:val="auto"/>
              </w:rPr>
              <w:t>Lower egg counts may not directly translate into current-season yield gains.</w:t>
            </w:r>
          </w:p>
        </w:tc>
        <w:tc>
          <w:tcPr>
            <w:tcW w:w="1642" w:type="dxa"/>
            <w:tcMar>
              <w:top w:w="75" w:type="dxa"/>
              <w:left w:w="100" w:type="dxa"/>
              <w:bottom w:w="75" w:type="dxa"/>
              <w:right w:w="100" w:type="dxa"/>
            </w:tcMar>
            <w:vAlign w:val="center"/>
          </w:tcPr>
          <w:p w14:paraId="263B8F7B" w14:textId="77777777" w:rsidR="003E2B81" w:rsidRPr="00C078E8" w:rsidRDefault="00000000">
            <w:pPr>
              <w:pStyle w:val="TableText"/>
              <w:spacing w:after="0"/>
              <w:rPr>
                <w:color w:val="auto"/>
              </w:rPr>
            </w:pPr>
            <w:r w:rsidRPr="00C078E8">
              <w:rPr>
                <w:color w:val="auto"/>
              </w:rPr>
              <w:t>(Steeves et al., 2006; Tian et al., 2019)</w:t>
            </w:r>
          </w:p>
        </w:tc>
      </w:tr>
      <w:tr w:rsidR="00C078E8" w:rsidRPr="00C078E8" w14:paraId="0E8C257E" w14:textId="77777777">
        <w:trPr>
          <w:cantSplit/>
          <w:jc w:val="center"/>
        </w:trPr>
        <w:tc>
          <w:tcPr>
            <w:tcW w:w="1613" w:type="dxa"/>
            <w:tcMar>
              <w:top w:w="75" w:type="dxa"/>
              <w:left w:w="100" w:type="dxa"/>
              <w:bottom w:w="75" w:type="dxa"/>
              <w:right w:w="100" w:type="dxa"/>
            </w:tcMar>
            <w:vAlign w:val="center"/>
          </w:tcPr>
          <w:p w14:paraId="4725A521" w14:textId="77777777" w:rsidR="003E2B81" w:rsidRPr="00C078E8" w:rsidRDefault="00000000">
            <w:pPr>
              <w:pStyle w:val="TableText"/>
              <w:spacing w:after="0"/>
              <w:rPr>
                <w:color w:val="auto"/>
              </w:rPr>
            </w:pPr>
            <w:r w:rsidRPr="00C078E8">
              <w:rPr>
                <w:color w:val="auto"/>
              </w:rPr>
              <w:t>Development and protein processing</w:t>
            </w:r>
          </w:p>
        </w:tc>
        <w:tc>
          <w:tcPr>
            <w:tcW w:w="2304" w:type="dxa"/>
            <w:tcMar>
              <w:top w:w="75" w:type="dxa"/>
              <w:left w:w="100" w:type="dxa"/>
              <w:bottom w:w="75" w:type="dxa"/>
              <w:right w:w="100" w:type="dxa"/>
            </w:tcMar>
            <w:vAlign w:val="center"/>
          </w:tcPr>
          <w:p w14:paraId="0A3CC06D" w14:textId="77777777" w:rsidR="003E2B81" w:rsidRPr="00C078E8" w:rsidRDefault="00000000">
            <w:pPr>
              <w:pStyle w:val="TableText"/>
              <w:spacing w:after="0"/>
              <w:rPr>
                <w:color w:val="auto"/>
              </w:rPr>
            </w:pPr>
            <w:r w:rsidRPr="00C078E8">
              <w:rPr>
                <w:color w:val="auto"/>
              </w:rPr>
              <w:t>Dual oxidase and signal-peptidase components in root-knot nematodes.</w:t>
            </w:r>
          </w:p>
        </w:tc>
        <w:tc>
          <w:tcPr>
            <w:tcW w:w="2218" w:type="dxa"/>
            <w:tcMar>
              <w:top w:w="75" w:type="dxa"/>
              <w:left w:w="100" w:type="dxa"/>
              <w:bottom w:w="75" w:type="dxa"/>
              <w:right w:w="100" w:type="dxa"/>
            </w:tcMar>
            <w:vAlign w:val="center"/>
          </w:tcPr>
          <w:p w14:paraId="57AEDC7B" w14:textId="77777777" w:rsidR="003E2B81" w:rsidRPr="00C078E8" w:rsidRDefault="00000000">
            <w:pPr>
              <w:pStyle w:val="TableText"/>
              <w:spacing w:after="0"/>
              <w:rPr>
                <w:color w:val="auto"/>
              </w:rPr>
            </w:pPr>
            <w:r w:rsidRPr="00C078E8">
              <w:rPr>
                <w:color w:val="auto"/>
              </w:rPr>
              <w:t>More than one developmental bottleneck may be targeted.</w:t>
            </w:r>
          </w:p>
        </w:tc>
        <w:tc>
          <w:tcPr>
            <w:tcW w:w="1872" w:type="dxa"/>
            <w:tcMar>
              <w:top w:w="75" w:type="dxa"/>
              <w:left w:w="100" w:type="dxa"/>
              <w:bottom w:w="75" w:type="dxa"/>
              <w:right w:w="100" w:type="dxa"/>
            </w:tcMar>
            <w:vAlign w:val="center"/>
          </w:tcPr>
          <w:p w14:paraId="6A4D2E14" w14:textId="77777777" w:rsidR="003E2B81" w:rsidRPr="00C078E8" w:rsidRDefault="00000000">
            <w:pPr>
              <w:pStyle w:val="TableText"/>
              <w:spacing w:after="0"/>
              <w:rPr>
                <w:color w:val="auto"/>
              </w:rPr>
            </w:pPr>
            <w:r w:rsidRPr="00C078E8">
              <w:rPr>
                <w:color w:val="auto"/>
              </w:rPr>
              <w:t>Conserved functions can raise non-target concerns; delay is not always mortality.</w:t>
            </w:r>
          </w:p>
        </w:tc>
        <w:tc>
          <w:tcPr>
            <w:tcW w:w="1642" w:type="dxa"/>
            <w:tcMar>
              <w:top w:w="75" w:type="dxa"/>
              <w:left w:w="100" w:type="dxa"/>
              <w:bottom w:w="75" w:type="dxa"/>
              <w:right w:w="100" w:type="dxa"/>
            </w:tcMar>
            <w:vAlign w:val="center"/>
          </w:tcPr>
          <w:p w14:paraId="2DED957A" w14:textId="77777777" w:rsidR="003E2B81" w:rsidRPr="00C078E8" w:rsidRDefault="00000000">
            <w:pPr>
              <w:pStyle w:val="TableText"/>
              <w:spacing w:after="0"/>
              <w:rPr>
                <w:color w:val="auto"/>
              </w:rPr>
            </w:pPr>
            <w:r w:rsidRPr="00C078E8">
              <w:rPr>
                <w:color w:val="auto"/>
              </w:rPr>
              <w:t>(Charlton et al., 2010)</w:t>
            </w:r>
          </w:p>
        </w:tc>
      </w:tr>
      <w:tr w:rsidR="00C078E8" w:rsidRPr="00C078E8" w14:paraId="3A4AAA16" w14:textId="77777777">
        <w:trPr>
          <w:cantSplit/>
          <w:jc w:val="center"/>
        </w:trPr>
        <w:tc>
          <w:tcPr>
            <w:tcW w:w="1613" w:type="dxa"/>
            <w:tcMar>
              <w:top w:w="75" w:type="dxa"/>
              <w:left w:w="100" w:type="dxa"/>
              <w:bottom w:w="75" w:type="dxa"/>
              <w:right w:w="100" w:type="dxa"/>
            </w:tcMar>
            <w:vAlign w:val="center"/>
          </w:tcPr>
          <w:p w14:paraId="318700C8" w14:textId="77777777" w:rsidR="003E2B81" w:rsidRPr="00C078E8" w:rsidRDefault="00000000">
            <w:pPr>
              <w:pStyle w:val="TableText"/>
              <w:spacing w:after="0"/>
              <w:rPr>
                <w:color w:val="auto"/>
              </w:rPr>
            </w:pPr>
            <w:r w:rsidRPr="00C078E8">
              <w:rPr>
                <w:color w:val="auto"/>
              </w:rPr>
              <w:t>Neuropeptides and host finding</w:t>
            </w:r>
          </w:p>
        </w:tc>
        <w:tc>
          <w:tcPr>
            <w:tcW w:w="2304" w:type="dxa"/>
            <w:tcMar>
              <w:top w:w="75" w:type="dxa"/>
              <w:left w:w="100" w:type="dxa"/>
              <w:bottom w:w="75" w:type="dxa"/>
              <w:right w:w="100" w:type="dxa"/>
            </w:tcMar>
            <w:vAlign w:val="center"/>
          </w:tcPr>
          <w:p w14:paraId="2335C05D" w14:textId="77777777" w:rsidR="003E2B81" w:rsidRPr="00C078E8" w:rsidRDefault="00000000">
            <w:pPr>
              <w:pStyle w:val="TableText"/>
              <w:spacing w:after="0"/>
              <w:rPr>
                <w:color w:val="auto"/>
              </w:rPr>
            </w:pPr>
            <w:r w:rsidRPr="00C078E8">
              <w:rPr>
                <w:color w:val="auto"/>
              </w:rPr>
              <w:t>Mi-flp-18, Mg-flp-1 and Mg-flp-12, plus chemosensory Mg-odr targets in rice nematodes.</w:t>
            </w:r>
          </w:p>
        </w:tc>
        <w:tc>
          <w:tcPr>
            <w:tcW w:w="2218" w:type="dxa"/>
            <w:tcMar>
              <w:top w:w="75" w:type="dxa"/>
              <w:left w:w="100" w:type="dxa"/>
              <w:bottom w:w="75" w:type="dxa"/>
              <w:right w:w="100" w:type="dxa"/>
            </w:tcMar>
            <w:vAlign w:val="center"/>
          </w:tcPr>
          <w:p w14:paraId="6021831B" w14:textId="77777777" w:rsidR="003E2B81" w:rsidRPr="00C078E8" w:rsidRDefault="00000000">
            <w:pPr>
              <w:pStyle w:val="TableText"/>
              <w:spacing w:after="0"/>
              <w:rPr>
                <w:color w:val="auto"/>
              </w:rPr>
            </w:pPr>
            <w:r w:rsidRPr="00C078E8">
              <w:rPr>
                <w:color w:val="auto"/>
              </w:rPr>
              <w:t>Interference may affect orientation, establishment or reproductive success.</w:t>
            </w:r>
          </w:p>
        </w:tc>
        <w:tc>
          <w:tcPr>
            <w:tcW w:w="1872" w:type="dxa"/>
            <w:tcMar>
              <w:top w:w="75" w:type="dxa"/>
              <w:left w:w="100" w:type="dxa"/>
              <w:bottom w:w="75" w:type="dxa"/>
              <w:right w:w="100" w:type="dxa"/>
            </w:tcMar>
            <w:vAlign w:val="center"/>
          </w:tcPr>
          <w:p w14:paraId="00AF7C0D" w14:textId="77777777" w:rsidR="003E2B81" w:rsidRPr="00C078E8" w:rsidRDefault="00000000">
            <w:pPr>
              <w:pStyle w:val="TableText"/>
              <w:spacing w:after="0"/>
              <w:rPr>
                <w:color w:val="auto"/>
              </w:rPr>
            </w:pPr>
            <w:r w:rsidRPr="00C078E8">
              <w:rPr>
                <w:color w:val="auto"/>
              </w:rPr>
              <w:t>Gene function and availability of RNA during the appropriate developmental stage must both be tested.</w:t>
            </w:r>
          </w:p>
        </w:tc>
        <w:tc>
          <w:tcPr>
            <w:tcW w:w="1642" w:type="dxa"/>
            <w:tcMar>
              <w:top w:w="75" w:type="dxa"/>
              <w:left w:w="100" w:type="dxa"/>
              <w:bottom w:w="75" w:type="dxa"/>
              <w:right w:w="100" w:type="dxa"/>
            </w:tcMar>
            <w:vAlign w:val="center"/>
          </w:tcPr>
          <w:p w14:paraId="6736BF02" w14:textId="77777777" w:rsidR="003E2B81" w:rsidRPr="00C078E8" w:rsidRDefault="00000000">
            <w:pPr>
              <w:pStyle w:val="TableText"/>
              <w:spacing w:after="0"/>
              <w:rPr>
                <w:color w:val="auto"/>
              </w:rPr>
            </w:pPr>
            <w:r w:rsidRPr="00C078E8">
              <w:rPr>
                <w:color w:val="auto"/>
              </w:rPr>
              <w:t>(Dong et al., 2016; Dutta et al., 2024; Hada et al., 2020; You et al., 2021)</w:t>
            </w:r>
          </w:p>
        </w:tc>
      </w:tr>
      <w:tr w:rsidR="00C078E8" w:rsidRPr="00C078E8" w14:paraId="5F810733" w14:textId="77777777">
        <w:trPr>
          <w:cantSplit/>
          <w:jc w:val="center"/>
        </w:trPr>
        <w:tc>
          <w:tcPr>
            <w:tcW w:w="1613" w:type="dxa"/>
            <w:tcMar>
              <w:top w:w="75" w:type="dxa"/>
              <w:left w:w="100" w:type="dxa"/>
              <w:bottom w:w="75" w:type="dxa"/>
              <w:right w:w="100" w:type="dxa"/>
            </w:tcMar>
            <w:vAlign w:val="center"/>
          </w:tcPr>
          <w:p w14:paraId="5D6BE4AF" w14:textId="77777777" w:rsidR="003E2B81" w:rsidRPr="00C078E8" w:rsidRDefault="00000000">
            <w:pPr>
              <w:pStyle w:val="TableText"/>
              <w:spacing w:after="0"/>
              <w:rPr>
                <w:color w:val="auto"/>
              </w:rPr>
            </w:pPr>
            <w:r w:rsidRPr="00C078E8">
              <w:rPr>
                <w:color w:val="auto"/>
              </w:rPr>
              <w:t>RNAi-pathway components</w:t>
            </w:r>
          </w:p>
        </w:tc>
        <w:tc>
          <w:tcPr>
            <w:tcW w:w="2304" w:type="dxa"/>
            <w:tcMar>
              <w:top w:w="75" w:type="dxa"/>
              <w:left w:w="100" w:type="dxa"/>
              <w:bottom w:w="75" w:type="dxa"/>
              <w:right w:w="100" w:type="dxa"/>
            </w:tcMar>
            <w:vAlign w:val="center"/>
          </w:tcPr>
          <w:p w14:paraId="0F30ED7C" w14:textId="77777777" w:rsidR="003E2B81" w:rsidRPr="00C078E8" w:rsidRDefault="00000000">
            <w:pPr>
              <w:pStyle w:val="TableText"/>
              <w:spacing w:after="0"/>
              <w:rPr>
                <w:color w:val="auto"/>
              </w:rPr>
            </w:pPr>
            <w:r w:rsidRPr="00C078E8">
              <w:rPr>
                <w:color w:val="auto"/>
              </w:rPr>
              <w:t xml:space="preserve">Experimental targeting of multiple genes in </w:t>
            </w:r>
            <w:r w:rsidRPr="00C078E8">
              <w:rPr>
                <w:i/>
                <w:color w:val="auto"/>
              </w:rPr>
              <w:t>M. incognita</w:t>
            </w:r>
            <w:r w:rsidRPr="00C078E8">
              <w:rPr>
                <w:color w:val="auto"/>
              </w:rPr>
              <w:t>.</w:t>
            </w:r>
          </w:p>
        </w:tc>
        <w:tc>
          <w:tcPr>
            <w:tcW w:w="2218" w:type="dxa"/>
            <w:tcMar>
              <w:top w:w="75" w:type="dxa"/>
              <w:left w:w="100" w:type="dxa"/>
              <w:bottom w:w="75" w:type="dxa"/>
              <w:right w:w="100" w:type="dxa"/>
            </w:tcMar>
            <w:vAlign w:val="center"/>
          </w:tcPr>
          <w:p w14:paraId="631374B4" w14:textId="77777777" w:rsidR="003E2B81" w:rsidRPr="00C078E8" w:rsidRDefault="00000000">
            <w:pPr>
              <w:pStyle w:val="TableText"/>
              <w:spacing w:after="0"/>
              <w:rPr>
                <w:color w:val="auto"/>
              </w:rPr>
            </w:pPr>
            <w:r w:rsidRPr="00C078E8">
              <w:rPr>
                <w:color w:val="auto"/>
              </w:rPr>
              <w:t>Can probe the capacity and limitations of the silencing system.</w:t>
            </w:r>
          </w:p>
        </w:tc>
        <w:tc>
          <w:tcPr>
            <w:tcW w:w="1872" w:type="dxa"/>
            <w:tcMar>
              <w:top w:w="75" w:type="dxa"/>
              <w:left w:w="100" w:type="dxa"/>
              <w:bottom w:w="75" w:type="dxa"/>
              <w:right w:w="100" w:type="dxa"/>
            </w:tcMar>
            <w:vAlign w:val="center"/>
          </w:tcPr>
          <w:p w14:paraId="7C71023E" w14:textId="77777777" w:rsidR="003E2B81" w:rsidRPr="00C078E8" w:rsidRDefault="00000000">
            <w:pPr>
              <w:pStyle w:val="TableText"/>
              <w:spacing w:after="0"/>
              <w:rPr>
                <w:color w:val="auto"/>
              </w:rPr>
            </w:pPr>
            <w:r w:rsidRPr="00C078E8">
              <w:rPr>
                <w:color w:val="auto"/>
              </w:rPr>
              <w:t>Unchanged or increased target expression challenges simple target–phenotype assumptions.</w:t>
            </w:r>
          </w:p>
        </w:tc>
        <w:tc>
          <w:tcPr>
            <w:tcW w:w="1642" w:type="dxa"/>
            <w:tcMar>
              <w:top w:w="75" w:type="dxa"/>
              <w:left w:w="100" w:type="dxa"/>
              <w:bottom w:w="75" w:type="dxa"/>
              <w:right w:w="100" w:type="dxa"/>
            </w:tcMar>
            <w:vAlign w:val="center"/>
          </w:tcPr>
          <w:p w14:paraId="166FF119" w14:textId="77777777" w:rsidR="003E2B81" w:rsidRPr="00C078E8" w:rsidRDefault="00000000">
            <w:pPr>
              <w:pStyle w:val="TableText"/>
              <w:spacing w:after="0"/>
              <w:rPr>
                <w:color w:val="auto"/>
              </w:rPr>
            </w:pPr>
            <w:r w:rsidRPr="00C078E8">
              <w:rPr>
                <w:color w:val="auto"/>
              </w:rPr>
              <w:t>(Iqbal et al., 2020)</w:t>
            </w:r>
          </w:p>
        </w:tc>
      </w:tr>
    </w:tbl>
    <w:p w14:paraId="73FE156D" w14:textId="77777777" w:rsidR="003E2B81" w:rsidRPr="00C078E8" w:rsidRDefault="00000000">
      <w:pPr>
        <w:pStyle w:val="TableNote"/>
        <w:rPr>
          <w:color w:val="auto"/>
        </w:rPr>
      </w:pPr>
      <w:r w:rsidRPr="00C078E8">
        <w:rPr>
          <w:color w:val="auto"/>
        </w:rPr>
        <w:t xml:space="preserve">Note. Mi indicates a </w:t>
      </w:r>
      <w:r w:rsidRPr="00C078E8">
        <w:rPr>
          <w:i/>
          <w:color w:val="auto"/>
        </w:rPr>
        <w:t>Meloidogyne incognita</w:t>
      </w:r>
      <w:r w:rsidRPr="00C078E8">
        <w:rPr>
          <w:color w:val="auto"/>
        </w:rPr>
        <w:t xml:space="preserve"> gene prefix in the cited studies; FLP = FMRFamide-like peptide. Rows are mechanistic examples, not efficacy rankings.</w:t>
      </w:r>
    </w:p>
    <w:p w14:paraId="7588F7FF" w14:textId="77777777" w:rsidR="003E2B81" w:rsidRPr="00C078E8" w:rsidRDefault="00000000">
      <w:pPr>
        <w:pStyle w:val="Heading1"/>
        <w:rPr>
          <w:color w:val="auto"/>
        </w:rPr>
      </w:pPr>
      <w:r w:rsidRPr="00C078E8">
        <w:rPr>
          <w:color w:val="auto"/>
        </w:rPr>
        <w:lastRenderedPageBreak/>
        <w:t>5. Delivery Platforms and Formulation: From Transgenic Roots to External Application</w:t>
      </w:r>
    </w:p>
    <w:p w14:paraId="229EE627" w14:textId="77777777" w:rsidR="003E2B81" w:rsidRPr="00C078E8" w:rsidRDefault="00000000">
      <w:pPr>
        <w:pStyle w:val="Heading2"/>
        <w:rPr>
          <w:color w:val="auto"/>
        </w:rPr>
      </w:pPr>
      <w:r w:rsidRPr="00C078E8">
        <w:rPr>
          <w:color w:val="auto"/>
        </w:rPr>
        <w:t>5.1 Host-induced gene silencing in transgenic plants</w:t>
      </w:r>
    </w:p>
    <w:p w14:paraId="44F02B07" w14:textId="77777777" w:rsidR="003E2B81" w:rsidRPr="00C078E8" w:rsidRDefault="00000000">
      <w:pPr>
        <w:rPr>
          <w:color w:val="auto"/>
        </w:rPr>
      </w:pPr>
      <w:r w:rsidRPr="00C078E8">
        <w:rPr>
          <w:color w:val="auto"/>
        </w:rPr>
        <w:t>HIGS offers sustained production of a sequence-specific trigger by the plant, with uptake potentially occurring through the intimate feeding relationship. This arrangement bypasses some losses associated with broadcasting naked dsRNA onto soil and may synchronise exposure with nematode feeding. The earliest work established that host-generated dsRNA could alter nematode infection outcomes, and subsequent studies directly connected expression of parasite-targeting constructs with lower root-knot or cyst-nematode success (Huang et al., 2006; Yadav et al., 2006). Transgenic HIGS is therefore more than a hypothetical concept. It nevertheless joins two biological systems whose variation must be separated: the plant's capacity to produce and process the trigger and the nematode's capacity to acquire and respond to the relevant RNA molecules.</w:t>
      </w:r>
    </w:p>
    <w:p w14:paraId="4CAF829C" w14:textId="77777777" w:rsidR="003E2B81" w:rsidRPr="00C078E8" w:rsidRDefault="00000000">
      <w:pPr>
        <w:rPr>
          <w:color w:val="auto"/>
        </w:rPr>
      </w:pPr>
      <w:r w:rsidRPr="00C078E8">
        <w:rPr>
          <w:color w:val="auto"/>
        </w:rPr>
        <w:t>The plant can process an introduced hairpin precursor before nematode ingestion, making the effective cargo difficult to infer from transgene sequence alone. Expression level, promoter activity, RNA stability in plant tissues and the identity of small RNAs present near feeding cells may all affect exposure. Some assays report the abundance of transgene transcripts or small RNAs in leaves, but an above-ground measurement does not necessarily describe the RNA available at a nematode feeding site. Root anatomy, tissue age and pathogen-induced reprogramming may change localisation. A robust HIGS study should therefore sample the tissue most relevant to the feeding event and, where practicable, verify sequence-associated silencing within recovered nematodes (Dutta et al., 2015; Tian et al., 2019).</w:t>
      </w:r>
    </w:p>
    <w:p w14:paraId="04327710" w14:textId="77777777" w:rsidR="003E2B81" w:rsidRPr="00C078E8" w:rsidRDefault="00000000">
      <w:pPr>
        <w:rPr>
          <w:color w:val="auto"/>
        </w:rPr>
      </w:pPr>
      <w:r w:rsidRPr="00C078E8">
        <w:rPr>
          <w:color w:val="auto"/>
        </w:rPr>
        <w:t>An additional complication is the type of plant material used for early evaluation. Transient transformed tissues, composite plants with transgenic hairy roots and stable transformed plants each answer a different question. Hairy-root experiments are efficient for target screening and root-localised expression but do not by themselves demonstrate performance in a commercial cultivar over generations. Stable plant lines add evidence about heritability and developmental consistency, yet independent insertion events can exhibit variable transcript production and phenotypes. The stable soybean work of Tian et al. (2019) is important because it moves beyond short-lived constructs to test resistance through plant generations. The evidence should still be interpreted within its reported experimental conditions rather than as a guarantee of performance across production environments.</w:t>
      </w:r>
    </w:p>
    <w:p w14:paraId="1F0E52DE" w14:textId="77777777" w:rsidR="003E2B81" w:rsidRPr="00C078E8" w:rsidRDefault="00000000">
      <w:pPr>
        <w:rPr>
          <w:color w:val="auto"/>
        </w:rPr>
      </w:pPr>
      <w:r w:rsidRPr="00C078E8">
        <w:rPr>
          <w:color w:val="auto"/>
        </w:rPr>
        <w:t>The host system may also impose costs. Constitutive expression of a long hairpin molecule, insertional variation and altered small-RNA metabolism may influence plant development independently of the nematode target. Such effects need controls using near-isogenic material and independent transformation events, not merely comparison with a wild-type cultivar that differs in several respects. A reduction in nematode reproduction accompanied by weakened root growth may be agronomically unattractive. Conversely, a modest decrease in reproduction could be valuable where suppression of initial inoculum reduces damage in subsequent crop cycles. This is why plant growth, harvestable yield and nematode population metrics should be considered together rather than treating an egg-count endpoint as sufficient proof of crop benefit (Steeves et al., 2006; Zhang et al., 2022).</w:t>
      </w:r>
    </w:p>
    <w:p w14:paraId="038DCF04" w14:textId="77777777" w:rsidR="003E2B81" w:rsidRPr="00C078E8" w:rsidRDefault="00000000">
      <w:pPr>
        <w:pStyle w:val="Heading2"/>
        <w:rPr>
          <w:color w:val="auto"/>
        </w:rPr>
      </w:pPr>
      <w:r w:rsidRPr="00C078E8">
        <w:rPr>
          <w:color w:val="auto"/>
        </w:rPr>
        <w:t>5.2 Promoter targeting and artificial microRNAs</w:t>
      </w:r>
    </w:p>
    <w:p w14:paraId="724B810D" w14:textId="77777777" w:rsidR="003E2B81" w:rsidRPr="00C078E8" w:rsidRDefault="00000000">
      <w:pPr>
        <w:rPr>
          <w:color w:val="auto"/>
        </w:rPr>
      </w:pPr>
      <w:r w:rsidRPr="00C078E8">
        <w:rPr>
          <w:color w:val="auto"/>
        </w:rPr>
        <w:t xml:space="preserve">Root-specific and nematode-responsive promoters may limit trigger production to the tissue and period where the target pest is expected, improving the correspondence between exposure and the desired control event. Experiments identifying nematode-responsive root promoters in </w:t>
      </w:r>
      <w:r w:rsidRPr="00C078E8">
        <w:rPr>
          <w:i/>
          <w:color w:val="auto"/>
        </w:rPr>
        <w:t>Arabidopsis</w:t>
      </w:r>
      <w:r w:rsidRPr="00C078E8">
        <w:rPr>
          <w:color w:val="auto"/>
        </w:rPr>
        <w:t xml:space="preserve"> illustrate the technical feasibility of this approach for host-delivered root-knot nematode resistance (Kakrana et al., 2017). Tissue restriction has two competing implications: it may spare tissues with little relevance to parasitism, but a promoter induced only after substantial infection may miss a target whose critical function occurs during invasion. Promoter evaluation must therefore be made against the temporal expression of the nematode gene, not against plant expression strength in isolation.</w:t>
      </w:r>
    </w:p>
    <w:p w14:paraId="55A2BD31" w14:textId="77777777" w:rsidR="003E2B81" w:rsidRPr="00C078E8" w:rsidRDefault="00000000">
      <w:pPr>
        <w:rPr>
          <w:color w:val="auto"/>
        </w:rPr>
      </w:pPr>
      <w:r w:rsidRPr="00C078E8">
        <w:rPr>
          <w:color w:val="auto"/>
        </w:rPr>
        <w:lastRenderedPageBreak/>
        <w:t>Artificial microRNAs offer an alternative means of generating smaller and more defined targeting sequences. In soybean, a host-derived artificial microRNA system was assessed as a strategy to improve resistance to soybean cyst nematode, providing a complementary design route to conventional long hairpin RNA (Tian et al., 2016). The potential advantage is more deliberate selection of the intended guide sequence, which could simplify some specificity assessments. Its limitation is that a narrowly designed guide may be less tolerant of target sequence variation, and competition within plant small-RNA pathways may still affect accumulation. Evidence from composite or root-based assays should not be conflated with field validation in stable lines. A platform comparison must include molecular expression, actual nematode response and the cost of producing appropriate plant material.</w:t>
      </w:r>
    </w:p>
    <w:p w14:paraId="5F40E92D" w14:textId="77777777" w:rsidR="003E2B81" w:rsidRPr="00C078E8" w:rsidRDefault="00000000">
      <w:pPr>
        <w:rPr>
          <w:color w:val="auto"/>
        </w:rPr>
      </w:pPr>
      <w:r w:rsidRPr="00C078E8">
        <w:rPr>
          <w:color w:val="auto"/>
        </w:rPr>
        <w:t>Transgenic approaches also raise governance and market-access issues independent of laboratory efficacy. Crop transformation may be difficult for particular species, the time required to produce stable elite cultivars may be substantial, and environmental assessments will depend on local regulatory frameworks and intended cultivation. It would be misleading to treat an RNAi transgene as automatically equivalent to a non-transgenic dsRNA application because both use sequence-specific silencing. The routes differ in duration, possible plant inheritance, expression geography and monitoring. The distinction matters for breeder decisions, product stewardship and public evaluation even where the active RNA sequence is identical (Banerjee et al., 2017; Singh et al., 2026).</w:t>
      </w:r>
    </w:p>
    <w:p w14:paraId="583E3E29" w14:textId="77777777" w:rsidR="003E2B81" w:rsidRPr="00C078E8" w:rsidRDefault="00000000">
      <w:pPr>
        <w:pStyle w:val="Heading2"/>
        <w:rPr>
          <w:color w:val="auto"/>
        </w:rPr>
      </w:pPr>
      <w:r w:rsidRPr="00C078E8">
        <w:rPr>
          <w:color w:val="auto"/>
        </w:rPr>
        <w:t>5.3 Exogenous RNA and soil application</w:t>
      </w:r>
    </w:p>
    <w:p w14:paraId="66E38A6D" w14:textId="77777777" w:rsidR="003E2B81" w:rsidRPr="00C078E8" w:rsidRDefault="00000000">
      <w:pPr>
        <w:rPr>
          <w:color w:val="auto"/>
        </w:rPr>
      </w:pPr>
      <w:r w:rsidRPr="00C078E8">
        <w:rPr>
          <w:color w:val="auto"/>
        </w:rPr>
        <w:t>Non-transgenic delivery is attractive because the crop need not be engineered to produce the trigger. RNA may instead be applied to the root zone, foliage, seed or other tissues, subject to uptake and transport. For soil-borne nematodes, this approach faces a difficult compartmentalisation problem. The product must persist against nucleases and sorption, move through heterogeneous soil pore spaces, reach nematodes or biologically active plant tissues and remain available during an appropriate feeding stage. High apparent laboratory exposure is not evidence that these events occur under irrigation, microbial activity and naturally variable soil chemistry. The environmental fate study of an agricultural dsRNA used for insect control illustrates that RNA can dissipate in soil, but does not provide a universal degradation constant for every sequence or formulation and does not directly establish nematode efficacy (Dubelman et al., 2014).</w:t>
      </w:r>
    </w:p>
    <w:p w14:paraId="42426824" w14:textId="77777777" w:rsidR="003E2B81" w:rsidRPr="00C078E8" w:rsidRDefault="00000000">
      <w:pPr>
        <w:rPr>
          <w:color w:val="auto"/>
        </w:rPr>
      </w:pPr>
      <w:r w:rsidRPr="00C078E8">
        <w:rPr>
          <w:color w:val="auto"/>
        </w:rPr>
        <w:t>At least two external application strategies should be kept separate. Direct nematode exposure attempts to deliver dsRNA to an animal in soil or host tissue. Plant-mediated exogenous delivery attempts to move applied RNA into the plant and subsequently to the feeding interface. These routes differ in the required barriers, spatial transport and exposure timing. A formulation that protects dsRNA in bulk soil might not facilitate internal uptake, and a compound that enables uptake by isolated juveniles might never reach sufficient concentrations near a root system. Comparative experiments should specify which barrier is intended to be solved and use tracer, persistence or localisation measurements that directly address that barrier (Opdensteinen et al., 2024; Singh et al., 2026).</w:t>
      </w:r>
    </w:p>
    <w:p w14:paraId="08A2002D" w14:textId="77777777" w:rsidR="003E2B81" w:rsidRPr="00C078E8" w:rsidRDefault="00000000">
      <w:pPr>
        <w:pStyle w:val="Heading2"/>
        <w:rPr>
          <w:color w:val="auto"/>
        </w:rPr>
      </w:pPr>
      <w:r w:rsidRPr="00C078E8">
        <w:rPr>
          <w:color w:val="auto"/>
        </w:rPr>
        <w:t>5.4 Nanoclay, polymer and hybrid carrier systems</w:t>
      </w:r>
    </w:p>
    <w:p w14:paraId="49ED82AF" w14:textId="77777777" w:rsidR="003E2B81" w:rsidRPr="00C078E8" w:rsidRDefault="00000000">
      <w:pPr>
        <w:rPr>
          <w:color w:val="auto"/>
        </w:rPr>
      </w:pPr>
      <w:r w:rsidRPr="00C078E8">
        <w:rPr>
          <w:color w:val="auto"/>
        </w:rPr>
        <w:t>Carriers are intended to modify the residence time, mobility, release profile or biological uptake of dsRNA. Clay nanosheets used in topical protection against plant viruses established a carrier concept in which RNA can be stabilised and released in a plant-associated environment, but these results did not demonstrate nematode control in soil or within roots (Mitter et al., 2017). Transfer of the approach to nematology requires new evidence because soil mineral binding, water flow and the physical barriers posed by nematodes are different. Broad accounts of biochemical and nanotechnological strategies have therefore emphasised that stability and bioavailability, not sequence design alone, are primary translation barriers (Opdensteinen et al., 2024).</w:t>
      </w:r>
    </w:p>
    <w:p w14:paraId="37BB403A" w14:textId="77777777" w:rsidR="003E2B81" w:rsidRPr="00C078E8" w:rsidRDefault="00000000">
      <w:pPr>
        <w:rPr>
          <w:color w:val="auto"/>
        </w:rPr>
      </w:pPr>
      <w:r w:rsidRPr="00C078E8">
        <w:rPr>
          <w:color w:val="auto"/>
        </w:rPr>
        <w:t xml:space="preserve">A relevant newer example is the use of kaolinite-associated dsRNA directed at ams-1 of </w:t>
      </w:r>
      <w:r w:rsidRPr="00C078E8">
        <w:rPr>
          <w:i/>
          <w:color w:val="auto"/>
        </w:rPr>
        <w:t>Globodera rostochiensis</w:t>
      </w:r>
      <w:r w:rsidRPr="00C078E8">
        <w:rPr>
          <w:color w:val="auto"/>
        </w:rPr>
        <w:t xml:space="preserve">. Bairwa et al. (2026) reported reduced infestation following treatment, including application through soil </w:t>
      </w:r>
      <w:r w:rsidRPr="00C078E8">
        <w:rPr>
          <w:color w:val="auto"/>
        </w:rPr>
        <w:lastRenderedPageBreak/>
        <w:t>drenching, and investigated the protective association between the clay material and the RNA. This is materially stronger evidence for a crop-nematode delivery concept than a carrier tested exclusively against a plant virus. However, the reported results remain tied to the selected target, crop, formulation and controlled experimental circumstances. They do not by themselves establish seasonal field persistence, comparable performance in contrasting soils or general effectiveness across cyst-nematode populations. The distinction between formulation success and broad agronomic validation is essential to interpreting the study fairly.</w:t>
      </w:r>
    </w:p>
    <w:p w14:paraId="259BC3F1" w14:textId="77777777" w:rsidR="003E2B81" w:rsidRPr="00C078E8" w:rsidRDefault="00000000">
      <w:pPr>
        <w:rPr>
          <w:color w:val="auto"/>
        </w:rPr>
      </w:pPr>
      <w:r w:rsidRPr="00C078E8">
        <w:rPr>
          <w:color w:val="auto"/>
        </w:rPr>
        <w:t xml:space="preserve">Work on polymer complexes and dsRNA-like small-interfering-RNA assemblies for </w:t>
      </w:r>
      <w:r w:rsidRPr="00C078E8">
        <w:rPr>
          <w:i/>
          <w:color w:val="auto"/>
        </w:rPr>
        <w:t>Bursaphelenchus xylophilus</w:t>
      </w:r>
      <w:r w:rsidRPr="00C078E8">
        <w:rPr>
          <w:color w:val="auto"/>
        </w:rPr>
        <w:t xml:space="preserve"> illustrates alternative physical solutions to an uptake challenge (Guo et al., 2024; Tao et al., 2026). Formulation can influence particle charge, aggregation and interaction with biological membranes. Yet a nanometre-scale particle label is not a mechanism of delivery. The useful question is whether a well-characterised carrier improves the relevant exposure or functional endpoint over naked RNA and an appropriate carrier-only control. Formulation studies should report particle stability under the actual assay medium, RNA loading, release characteristics, degradation, dose normalisation and biological effects attributable independently to the carrier and its cargo. Without those controls, enhanced mortality may reflect carrier toxicity, altered osmotic conditions or delivery of a larger biologically available RNA dose rather than an intrinsically improved RNAi response.</w:t>
      </w:r>
    </w:p>
    <w:p w14:paraId="63B8CA58" w14:textId="77777777" w:rsidR="003E2B81" w:rsidRPr="00C078E8" w:rsidRDefault="00000000">
      <w:pPr>
        <w:pStyle w:val="Heading2"/>
        <w:rPr>
          <w:color w:val="auto"/>
        </w:rPr>
      </w:pPr>
      <w:r w:rsidRPr="00C078E8">
        <w:rPr>
          <w:color w:val="auto"/>
        </w:rPr>
        <w:t>5.5 Trunk injection and why delivery context matters</w:t>
      </w:r>
    </w:p>
    <w:p w14:paraId="43376AFC" w14:textId="77777777" w:rsidR="003E2B81" w:rsidRPr="00C078E8" w:rsidRDefault="00000000">
      <w:pPr>
        <w:rPr>
          <w:color w:val="auto"/>
        </w:rPr>
      </w:pPr>
      <w:r w:rsidRPr="00C078E8">
        <w:rPr>
          <w:color w:val="auto"/>
        </w:rPr>
        <w:t>Trunk injection offers a delivery geometry quite unlike agricultural soil drenching: the formulated dsRNA is introduced directly into the tree system associated with pine wood nematode infection. The 2026 field assay of layered double hydroxide-formulated dsRNA targeting a vacuolar ATPase-related transcript reported disease-control outcomes after injection in pine trees (Song et al., 2026). This is an important translational development because it includes a field-oriented intervention rather than merely a molecular or greenhouse phenotype. It remains inappropriate to describe the finding as proof that sprayed or drenched RNA products can move through agricultural soil into sedentary cyst or root-knot nematodes. The target species, transport matrix, application equipment and exposure duration differ substantially.</w:t>
      </w:r>
    </w:p>
    <w:p w14:paraId="4010174B" w14:textId="77777777" w:rsidR="003E2B81" w:rsidRPr="00C078E8" w:rsidRDefault="00000000">
      <w:pPr>
        <w:rPr>
          <w:color w:val="auto"/>
        </w:rPr>
      </w:pPr>
      <w:r w:rsidRPr="00C078E8">
        <w:rPr>
          <w:color w:val="auto"/>
        </w:rPr>
        <w:t>The forestry example also clarifies the meaning of precision in delivery. Needle, trunk and vascular architecture may constrain where the formulation travels, potentially concentrating the treatment in tissues relevant to the disease. The same localisation can create incomplete exposure if the target nematode population occupies compartments beyond the distribution of the injection. Consequently, even apparently successful field intervention needs spatial measurements and repeated evaluation under different tree age, infection timing and water status. A control rate obtained under one field design should be interpreted alongside its untreated baseline and comparator, not detached from the study into a general product efficacy figure (Song et al., 2026).</w:t>
      </w:r>
    </w:p>
    <w:p w14:paraId="445A789B" w14:textId="77777777" w:rsidR="003E2B81" w:rsidRPr="00C078E8" w:rsidRDefault="00000000">
      <w:pPr>
        <w:pStyle w:val="Heading2"/>
        <w:rPr>
          <w:color w:val="auto"/>
        </w:rPr>
      </w:pPr>
      <w:r w:rsidRPr="00C078E8">
        <w:rPr>
          <w:color w:val="auto"/>
        </w:rPr>
        <w:t>5.6 Manufacturing, stability and comparability of dose</w:t>
      </w:r>
    </w:p>
    <w:p w14:paraId="5DD19C69" w14:textId="77777777" w:rsidR="003E2B81" w:rsidRPr="00C078E8" w:rsidRDefault="00000000">
      <w:pPr>
        <w:rPr>
          <w:color w:val="auto"/>
        </w:rPr>
      </w:pPr>
      <w:r w:rsidRPr="00C078E8">
        <w:rPr>
          <w:color w:val="auto"/>
        </w:rPr>
        <w:t>Translation also requires a clear definition of dose. Mass of dsRNA added to a soaking solution, mass applied per pot, concentration in a carrier preparation and mass injected per tree are not interchangeable quantities. They describe input material rather than the dose that actually reaches an intracellular silencing pathway. The experimentally relevant exposure may be more closely related to the fraction of intact dsRNA contacting susceptible individuals over time, but measuring that quantity is challenging. Comparative reporting should therefore include both administered dose and appropriate surrogate exposure metrics, together with treatment duration, soil moisture or injection context, and the molecular integrity of the recovered RNA where feasible.</w:t>
      </w:r>
    </w:p>
    <w:p w14:paraId="4D6A5AA2" w14:textId="77777777" w:rsidR="003E2B81" w:rsidRPr="00C078E8" w:rsidRDefault="00000000">
      <w:pPr>
        <w:rPr>
          <w:color w:val="auto"/>
        </w:rPr>
      </w:pPr>
      <w:r w:rsidRPr="00C078E8">
        <w:rPr>
          <w:color w:val="auto"/>
        </w:rPr>
        <w:t xml:space="preserve">Manufacturing introduces further variables: the molecular length and purity of dsRNA, residual host-derived material, microbial contaminants, structural heterogeneity and consistency between batches. A formulation that performs well in a small proof-of-concept batch may change during storage, dilution or application. These concerns are not evidence that non-transgenic dsRNA cannot be deployed; they identify specific analytical </w:t>
      </w:r>
      <w:r w:rsidRPr="00C078E8">
        <w:rPr>
          <w:color w:val="auto"/>
        </w:rPr>
        <w:lastRenderedPageBreak/>
        <w:t>controls needed before safety and efficacy claims can be reproduced. For HIGS, the analogue is genetic and expression stability across breeding generations and environments. Both systems ultimately need specifications for what constitutes an effective, reproducible and quality-controlled active ingredient (Opdensteinen et al., 2024; Singh et al., 2026).</w:t>
      </w:r>
    </w:p>
    <w:p w14:paraId="0423E7AD" w14:textId="77777777" w:rsidR="003E2B81" w:rsidRPr="00C078E8" w:rsidRDefault="00000000">
      <w:pPr>
        <w:rPr>
          <w:color w:val="auto"/>
        </w:rPr>
      </w:pPr>
      <w:r w:rsidRPr="00C078E8">
        <w:rPr>
          <w:color w:val="auto"/>
        </w:rPr>
        <w:t>Table 3 contrasts the principal delivery strategies by their evidence contexts and operational constraints. The prominent difference is not whether they use RNAi, but which biological barriers they solve and which still remain untested.</w:t>
      </w:r>
    </w:p>
    <w:p w14:paraId="707B7DC2" w14:textId="77777777" w:rsidR="003E2B81" w:rsidRPr="00C078E8" w:rsidRDefault="00000000">
      <w:pPr>
        <w:pStyle w:val="TableCaption"/>
        <w:keepNext/>
        <w:rPr>
          <w:color w:val="auto"/>
        </w:rPr>
      </w:pPr>
      <w:r w:rsidRPr="00C078E8">
        <w:rPr>
          <w:b/>
          <w:color w:val="auto"/>
        </w:rPr>
        <w:t>Table 3. Delivery routes evaluated for nematode-directed RNA interference</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5275E70E" w14:textId="77777777">
        <w:trPr>
          <w:cantSplit/>
          <w:tblHeader/>
          <w:jc w:val="center"/>
        </w:trPr>
        <w:tc>
          <w:tcPr>
            <w:tcW w:w="1757" w:type="dxa"/>
            <w:shd w:val="clear" w:color="auto" w:fill="E7ECF0"/>
            <w:tcMar>
              <w:top w:w="100" w:type="dxa"/>
              <w:left w:w="95" w:type="dxa"/>
              <w:bottom w:w="100" w:type="dxa"/>
              <w:right w:w="95" w:type="dxa"/>
            </w:tcMar>
            <w:vAlign w:val="center"/>
          </w:tcPr>
          <w:p w14:paraId="4C94783B" w14:textId="77777777" w:rsidR="003E2B81" w:rsidRPr="00C078E8" w:rsidRDefault="00000000">
            <w:pPr>
              <w:pStyle w:val="TableHeader"/>
              <w:spacing w:after="0"/>
              <w:rPr>
                <w:color w:val="auto"/>
              </w:rPr>
            </w:pPr>
            <w:r w:rsidRPr="00C078E8">
              <w:rPr>
                <w:color w:val="auto"/>
              </w:rPr>
              <w:t>Route</w:t>
            </w:r>
          </w:p>
        </w:tc>
        <w:tc>
          <w:tcPr>
            <w:tcW w:w="2621" w:type="dxa"/>
            <w:shd w:val="clear" w:color="auto" w:fill="E7ECF0"/>
            <w:tcMar>
              <w:top w:w="100" w:type="dxa"/>
              <w:left w:w="95" w:type="dxa"/>
              <w:bottom w:w="100" w:type="dxa"/>
              <w:right w:w="95" w:type="dxa"/>
            </w:tcMar>
            <w:vAlign w:val="center"/>
          </w:tcPr>
          <w:p w14:paraId="76D559E7" w14:textId="77777777" w:rsidR="003E2B81" w:rsidRPr="00C078E8" w:rsidRDefault="00000000">
            <w:pPr>
              <w:pStyle w:val="TableHeader"/>
              <w:spacing w:after="0"/>
              <w:rPr>
                <w:color w:val="auto"/>
              </w:rPr>
            </w:pPr>
            <w:r w:rsidRPr="00C078E8">
              <w:rPr>
                <w:color w:val="auto"/>
              </w:rPr>
              <w:t>Strength of accessible evidence</w:t>
            </w:r>
          </w:p>
        </w:tc>
        <w:tc>
          <w:tcPr>
            <w:tcW w:w="3168" w:type="dxa"/>
            <w:shd w:val="clear" w:color="auto" w:fill="E7ECF0"/>
            <w:tcMar>
              <w:top w:w="100" w:type="dxa"/>
              <w:left w:w="95" w:type="dxa"/>
              <w:bottom w:w="100" w:type="dxa"/>
              <w:right w:w="95" w:type="dxa"/>
            </w:tcMar>
            <w:vAlign w:val="center"/>
          </w:tcPr>
          <w:p w14:paraId="71E6F763" w14:textId="77777777" w:rsidR="003E2B81" w:rsidRPr="00C078E8" w:rsidRDefault="00000000">
            <w:pPr>
              <w:pStyle w:val="TableHeader"/>
              <w:spacing w:after="0"/>
              <w:rPr>
                <w:color w:val="auto"/>
              </w:rPr>
            </w:pPr>
            <w:r w:rsidRPr="00C078E8">
              <w:rPr>
                <w:color w:val="auto"/>
              </w:rPr>
              <w:t>Major unresolved barrier</w:t>
            </w:r>
          </w:p>
        </w:tc>
        <w:tc>
          <w:tcPr>
            <w:tcW w:w="2102" w:type="dxa"/>
            <w:shd w:val="clear" w:color="auto" w:fill="E7ECF0"/>
            <w:tcMar>
              <w:top w:w="100" w:type="dxa"/>
              <w:left w:w="95" w:type="dxa"/>
              <w:bottom w:w="100" w:type="dxa"/>
              <w:right w:w="95" w:type="dxa"/>
            </w:tcMar>
            <w:vAlign w:val="center"/>
          </w:tcPr>
          <w:p w14:paraId="44AD9690"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7C4C7378" w14:textId="77777777">
        <w:trPr>
          <w:cantSplit/>
          <w:jc w:val="center"/>
        </w:trPr>
        <w:tc>
          <w:tcPr>
            <w:tcW w:w="1757" w:type="dxa"/>
            <w:tcMar>
              <w:top w:w="75" w:type="dxa"/>
              <w:left w:w="100" w:type="dxa"/>
              <w:bottom w:w="75" w:type="dxa"/>
              <w:right w:w="100" w:type="dxa"/>
            </w:tcMar>
            <w:vAlign w:val="center"/>
          </w:tcPr>
          <w:p w14:paraId="102DEEA3" w14:textId="77777777" w:rsidR="003E2B81" w:rsidRPr="00C078E8" w:rsidRDefault="00000000">
            <w:pPr>
              <w:pStyle w:val="TableText"/>
              <w:spacing w:after="0"/>
              <w:rPr>
                <w:color w:val="auto"/>
              </w:rPr>
            </w:pPr>
            <w:r w:rsidRPr="00C078E8">
              <w:rPr>
                <w:color w:val="auto"/>
              </w:rPr>
              <w:t>Juvenile soaking</w:t>
            </w:r>
          </w:p>
        </w:tc>
        <w:tc>
          <w:tcPr>
            <w:tcW w:w="2621" w:type="dxa"/>
            <w:tcMar>
              <w:top w:w="75" w:type="dxa"/>
              <w:left w:w="100" w:type="dxa"/>
              <w:bottom w:w="75" w:type="dxa"/>
              <w:right w:w="100" w:type="dxa"/>
            </w:tcMar>
            <w:vAlign w:val="center"/>
          </w:tcPr>
          <w:p w14:paraId="4D28A1EE" w14:textId="77777777" w:rsidR="003E2B81" w:rsidRPr="00C078E8" w:rsidRDefault="00000000">
            <w:pPr>
              <w:pStyle w:val="TableText"/>
              <w:spacing w:after="0"/>
              <w:rPr>
                <w:color w:val="auto"/>
              </w:rPr>
            </w:pPr>
            <w:r w:rsidRPr="00C078E8">
              <w:rPr>
                <w:color w:val="auto"/>
              </w:rPr>
              <w:t>Direct experimentally induced uptake and gene-function phenotypes in several nematodes.</w:t>
            </w:r>
          </w:p>
        </w:tc>
        <w:tc>
          <w:tcPr>
            <w:tcW w:w="3168" w:type="dxa"/>
            <w:tcMar>
              <w:top w:w="75" w:type="dxa"/>
              <w:left w:w="100" w:type="dxa"/>
              <w:bottom w:w="75" w:type="dxa"/>
              <w:right w:w="100" w:type="dxa"/>
            </w:tcMar>
            <w:vAlign w:val="center"/>
          </w:tcPr>
          <w:p w14:paraId="2AD90293" w14:textId="77777777" w:rsidR="003E2B81" w:rsidRPr="00C078E8" w:rsidRDefault="00000000">
            <w:pPr>
              <w:pStyle w:val="TableText"/>
              <w:spacing w:after="0"/>
              <w:rPr>
                <w:color w:val="auto"/>
              </w:rPr>
            </w:pPr>
            <w:r w:rsidRPr="00C078E8">
              <w:rPr>
                <w:color w:val="auto"/>
              </w:rPr>
              <w:t>Dose and entry conditions diverge from those of naturally feeding nematodes.</w:t>
            </w:r>
          </w:p>
        </w:tc>
        <w:tc>
          <w:tcPr>
            <w:tcW w:w="2102" w:type="dxa"/>
            <w:tcMar>
              <w:top w:w="75" w:type="dxa"/>
              <w:left w:w="100" w:type="dxa"/>
              <w:bottom w:w="75" w:type="dxa"/>
              <w:right w:w="100" w:type="dxa"/>
            </w:tcMar>
            <w:vAlign w:val="center"/>
          </w:tcPr>
          <w:p w14:paraId="62449672" w14:textId="77777777" w:rsidR="003E2B81" w:rsidRPr="00C078E8" w:rsidRDefault="00000000">
            <w:pPr>
              <w:pStyle w:val="TableText"/>
              <w:spacing w:after="0"/>
              <w:rPr>
                <w:color w:val="auto"/>
              </w:rPr>
            </w:pPr>
            <w:r w:rsidRPr="00C078E8">
              <w:rPr>
                <w:color w:val="auto"/>
              </w:rPr>
              <w:t>(Chen et al., 2005; Rosso et al., 2005; Urwin et al., 2002)</w:t>
            </w:r>
          </w:p>
        </w:tc>
      </w:tr>
      <w:tr w:rsidR="00C078E8" w:rsidRPr="00C078E8" w14:paraId="4FFAD79E" w14:textId="77777777">
        <w:trPr>
          <w:cantSplit/>
          <w:jc w:val="center"/>
        </w:trPr>
        <w:tc>
          <w:tcPr>
            <w:tcW w:w="1757" w:type="dxa"/>
            <w:tcMar>
              <w:top w:w="75" w:type="dxa"/>
              <w:left w:w="100" w:type="dxa"/>
              <w:bottom w:w="75" w:type="dxa"/>
              <w:right w:w="100" w:type="dxa"/>
            </w:tcMar>
            <w:vAlign w:val="center"/>
          </w:tcPr>
          <w:p w14:paraId="1BF6BD8E" w14:textId="77777777" w:rsidR="003E2B81" w:rsidRPr="00C078E8" w:rsidRDefault="00000000">
            <w:pPr>
              <w:pStyle w:val="TableText"/>
              <w:spacing w:after="0"/>
              <w:rPr>
                <w:color w:val="auto"/>
              </w:rPr>
            </w:pPr>
            <w:r w:rsidRPr="00C078E8">
              <w:rPr>
                <w:color w:val="auto"/>
              </w:rPr>
              <w:t>Stable transgenic HIGS</w:t>
            </w:r>
          </w:p>
        </w:tc>
        <w:tc>
          <w:tcPr>
            <w:tcW w:w="2621" w:type="dxa"/>
            <w:tcMar>
              <w:top w:w="75" w:type="dxa"/>
              <w:left w:w="100" w:type="dxa"/>
              <w:bottom w:w="75" w:type="dxa"/>
              <w:right w:w="100" w:type="dxa"/>
            </w:tcMar>
            <w:vAlign w:val="center"/>
          </w:tcPr>
          <w:p w14:paraId="63D2A6E8" w14:textId="77777777" w:rsidR="003E2B81" w:rsidRPr="00C078E8" w:rsidRDefault="00000000">
            <w:pPr>
              <w:pStyle w:val="TableText"/>
              <w:spacing w:after="0"/>
              <w:rPr>
                <w:color w:val="auto"/>
              </w:rPr>
            </w:pPr>
            <w:r w:rsidRPr="00C078E8">
              <w:rPr>
                <w:color w:val="auto"/>
              </w:rPr>
              <w:t>Host-related reductions in infection or reproduction; evidence in soybean, eggplant and model hosts.</w:t>
            </w:r>
          </w:p>
        </w:tc>
        <w:tc>
          <w:tcPr>
            <w:tcW w:w="3168" w:type="dxa"/>
            <w:tcMar>
              <w:top w:w="75" w:type="dxa"/>
              <w:left w:w="100" w:type="dxa"/>
              <w:bottom w:w="75" w:type="dxa"/>
              <w:right w:w="100" w:type="dxa"/>
            </w:tcMar>
            <w:vAlign w:val="center"/>
          </w:tcPr>
          <w:p w14:paraId="235A0692" w14:textId="77777777" w:rsidR="003E2B81" w:rsidRPr="00C078E8" w:rsidRDefault="00000000">
            <w:pPr>
              <w:pStyle w:val="TableText"/>
              <w:spacing w:after="0"/>
              <w:rPr>
                <w:color w:val="auto"/>
              </w:rPr>
            </w:pPr>
            <w:r w:rsidRPr="00C078E8">
              <w:rPr>
                <w:color w:val="auto"/>
              </w:rPr>
              <w:t>Expression at feeding sites, event variation and multiseason agronomic performance.</w:t>
            </w:r>
          </w:p>
        </w:tc>
        <w:tc>
          <w:tcPr>
            <w:tcW w:w="2102" w:type="dxa"/>
            <w:tcMar>
              <w:top w:w="75" w:type="dxa"/>
              <w:left w:w="100" w:type="dxa"/>
              <w:bottom w:w="75" w:type="dxa"/>
              <w:right w:w="100" w:type="dxa"/>
            </w:tcMar>
            <w:vAlign w:val="center"/>
          </w:tcPr>
          <w:p w14:paraId="4FBAE548" w14:textId="77777777" w:rsidR="003E2B81" w:rsidRPr="00C078E8" w:rsidRDefault="00000000">
            <w:pPr>
              <w:pStyle w:val="TableText"/>
              <w:spacing w:after="0"/>
              <w:rPr>
                <w:color w:val="auto"/>
              </w:rPr>
            </w:pPr>
            <w:r w:rsidRPr="00C078E8">
              <w:rPr>
                <w:color w:val="auto"/>
              </w:rPr>
              <w:t>(Chaudhary et al., 2019; Huang et al., 2006; Tian et al., 2019)</w:t>
            </w:r>
          </w:p>
        </w:tc>
      </w:tr>
      <w:tr w:rsidR="00C078E8" w:rsidRPr="00C078E8" w14:paraId="074B8ECF" w14:textId="77777777">
        <w:trPr>
          <w:cantSplit/>
          <w:jc w:val="center"/>
        </w:trPr>
        <w:tc>
          <w:tcPr>
            <w:tcW w:w="1757" w:type="dxa"/>
            <w:tcMar>
              <w:top w:w="75" w:type="dxa"/>
              <w:left w:w="100" w:type="dxa"/>
              <w:bottom w:w="75" w:type="dxa"/>
              <w:right w:w="100" w:type="dxa"/>
            </w:tcMar>
            <w:vAlign w:val="center"/>
          </w:tcPr>
          <w:p w14:paraId="652EA7C8" w14:textId="77777777" w:rsidR="003E2B81" w:rsidRPr="00C078E8" w:rsidRDefault="00000000">
            <w:pPr>
              <w:pStyle w:val="TableText"/>
              <w:spacing w:after="0"/>
              <w:rPr>
                <w:color w:val="auto"/>
              </w:rPr>
            </w:pPr>
            <w:r w:rsidRPr="00C078E8">
              <w:rPr>
                <w:color w:val="auto"/>
              </w:rPr>
              <w:t>Root-specific promoter / artificial microRNA</w:t>
            </w:r>
          </w:p>
        </w:tc>
        <w:tc>
          <w:tcPr>
            <w:tcW w:w="2621" w:type="dxa"/>
            <w:tcMar>
              <w:top w:w="75" w:type="dxa"/>
              <w:left w:w="100" w:type="dxa"/>
              <w:bottom w:w="75" w:type="dxa"/>
              <w:right w:w="100" w:type="dxa"/>
            </w:tcMar>
            <w:vAlign w:val="center"/>
          </w:tcPr>
          <w:p w14:paraId="49E78643" w14:textId="77777777" w:rsidR="003E2B81" w:rsidRPr="00C078E8" w:rsidRDefault="00000000">
            <w:pPr>
              <w:pStyle w:val="TableText"/>
              <w:spacing w:after="0"/>
              <w:rPr>
                <w:color w:val="auto"/>
              </w:rPr>
            </w:pPr>
            <w:r w:rsidRPr="00C078E8">
              <w:rPr>
                <w:color w:val="auto"/>
              </w:rPr>
              <w:t>Feasible targeting of expression location or small-RNA guide design in controlled plant studies.</w:t>
            </w:r>
          </w:p>
        </w:tc>
        <w:tc>
          <w:tcPr>
            <w:tcW w:w="3168" w:type="dxa"/>
            <w:tcMar>
              <w:top w:w="75" w:type="dxa"/>
              <w:left w:w="100" w:type="dxa"/>
              <w:bottom w:w="75" w:type="dxa"/>
              <w:right w:w="100" w:type="dxa"/>
            </w:tcMar>
            <w:vAlign w:val="center"/>
          </w:tcPr>
          <w:p w14:paraId="521693AD" w14:textId="77777777" w:rsidR="003E2B81" w:rsidRPr="00C078E8" w:rsidRDefault="00000000">
            <w:pPr>
              <w:pStyle w:val="TableText"/>
              <w:spacing w:after="0"/>
              <w:rPr>
                <w:color w:val="auto"/>
              </w:rPr>
            </w:pPr>
            <w:r w:rsidRPr="00C078E8">
              <w:rPr>
                <w:color w:val="auto"/>
              </w:rPr>
              <w:t>Stage matching, guide robustness and commercial cultivar validation.</w:t>
            </w:r>
          </w:p>
        </w:tc>
        <w:tc>
          <w:tcPr>
            <w:tcW w:w="2102" w:type="dxa"/>
            <w:tcMar>
              <w:top w:w="75" w:type="dxa"/>
              <w:left w:w="100" w:type="dxa"/>
              <w:bottom w:w="75" w:type="dxa"/>
              <w:right w:w="100" w:type="dxa"/>
            </w:tcMar>
            <w:vAlign w:val="center"/>
          </w:tcPr>
          <w:p w14:paraId="472C3DCC" w14:textId="77777777" w:rsidR="003E2B81" w:rsidRPr="00C078E8" w:rsidRDefault="00000000">
            <w:pPr>
              <w:pStyle w:val="TableText"/>
              <w:spacing w:after="0"/>
              <w:rPr>
                <w:color w:val="auto"/>
              </w:rPr>
            </w:pPr>
            <w:r w:rsidRPr="00C078E8">
              <w:rPr>
                <w:color w:val="auto"/>
              </w:rPr>
              <w:t>(Kakrana et al., 2017; Tian et al., 2016)</w:t>
            </w:r>
          </w:p>
        </w:tc>
      </w:tr>
      <w:tr w:rsidR="00C078E8" w:rsidRPr="00C078E8" w14:paraId="4D692967" w14:textId="77777777">
        <w:trPr>
          <w:cantSplit/>
          <w:jc w:val="center"/>
        </w:trPr>
        <w:tc>
          <w:tcPr>
            <w:tcW w:w="1757" w:type="dxa"/>
            <w:tcMar>
              <w:top w:w="75" w:type="dxa"/>
              <w:left w:w="100" w:type="dxa"/>
              <w:bottom w:w="75" w:type="dxa"/>
              <w:right w:w="100" w:type="dxa"/>
            </w:tcMar>
            <w:vAlign w:val="center"/>
          </w:tcPr>
          <w:p w14:paraId="78B24A8D" w14:textId="77777777" w:rsidR="003E2B81" w:rsidRPr="00C078E8" w:rsidRDefault="00000000">
            <w:pPr>
              <w:pStyle w:val="TableText"/>
              <w:spacing w:after="0"/>
              <w:rPr>
                <w:color w:val="auto"/>
              </w:rPr>
            </w:pPr>
            <w:r w:rsidRPr="00C078E8">
              <w:rPr>
                <w:color w:val="auto"/>
              </w:rPr>
              <w:t>Clay-protected soil drench</w:t>
            </w:r>
          </w:p>
        </w:tc>
        <w:tc>
          <w:tcPr>
            <w:tcW w:w="2621" w:type="dxa"/>
            <w:tcMar>
              <w:top w:w="75" w:type="dxa"/>
              <w:left w:w="100" w:type="dxa"/>
              <w:bottom w:w="75" w:type="dxa"/>
              <w:right w:w="100" w:type="dxa"/>
            </w:tcMar>
            <w:vAlign w:val="center"/>
          </w:tcPr>
          <w:p w14:paraId="6AE2FBA1" w14:textId="77777777" w:rsidR="003E2B81" w:rsidRPr="00C078E8" w:rsidRDefault="00000000">
            <w:pPr>
              <w:pStyle w:val="TableText"/>
              <w:spacing w:after="0"/>
              <w:rPr>
                <w:color w:val="auto"/>
              </w:rPr>
            </w:pPr>
            <w:r w:rsidRPr="00C078E8">
              <w:rPr>
                <w:color w:val="auto"/>
              </w:rPr>
              <w:t>Crop-directed pot-system reduction in potato cyst-nematode infestation.</w:t>
            </w:r>
          </w:p>
        </w:tc>
        <w:tc>
          <w:tcPr>
            <w:tcW w:w="3168" w:type="dxa"/>
            <w:tcMar>
              <w:top w:w="75" w:type="dxa"/>
              <w:left w:w="100" w:type="dxa"/>
              <w:bottom w:w="75" w:type="dxa"/>
              <w:right w:w="100" w:type="dxa"/>
            </w:tcMar>
            <w:vAlign w:val="center"/>
          </w:tcPr>
          <w:p w14:paraId="20DC4BCC" w14:textId="77777777" w:rsidR="003E2B81" w:rsidRPr="00C078E8" w:rsidRDefault="00000000">
            <w:pPr>
              <w:pStyle w:val="TableText"/>
              <w:spacing w:after="0"/>
              <w:rPr>
                <w:color w:val="auto"/>
              </w:rPr>
            </w:pPr>
            <w:r w:rsidRPr="00C078E8">
              <w:rPr>
                <w:color w:val="auto"/>
              </w:rPr>
              <w:t>Transport and persistence across soil types, nematode isolates and seasons.</w:t>
            </w:r>
          </w:p>
        </w:tc>
        <w:tc>
          <w:tcPr>
            <w:tcW w:w="2102" w:type="dxa"/>
            <w:tcMar>
              <w:top w:w="75" w:type="dxa"/>
              <w:left w:w="100" w:type="dxa"/>
              <w:bottom w:w="75" w:type="dxa"/>
              <w:right w:w="100" w:type="dxa"/>
            </w:tcMar>
            <w:vAlign w:val="center"/>
          </w:tcPr>
          <w:p w14:paraId="3E5491C6" w14:textId="77777777" w:rsidR="003E2B81" w:rsidRPr="00C078E8" w:rsidRDefault="00000000">
            <w:pPr>
              <w:pStyle w:val="TableText"/>
              <w:spacing w:after="0"/>
              <w:rPr>
                <w:color w:val="auto"/>
              </w:rPr>
            </w:pPr>
            <w:r w:rsidRPr="00C078E8">
              <w:rPr>
                <w:color w:val="auto"/>
              </w:rPr>
              <w:t>(Bairwa et al., 2026)</w:t>
            </w:r>
          </w:p>
        </w:tc>
      </w:tr>
      <w:tr w:rsidR="00C078E8" w:rsidRPr="00C078E8" w14:paraId="75FFF614" w14:textId="77777777">
        <w:trPr>
          <w:cantSplit/>
          <w:jc w:val="center"/>
        </w:trPr>
        <w:tc>
          <w:tcPr>
            <w:tcW w:w="1757" w:type="dxa"/>
            <w:tcMar>
              <w:top w:w="75" w:type="dxa"/>
              <w:left w:w="100" w:type="dxa"/>
              <w:bottom w:w="75" w:type="dxa"/>
              <w:right w:w="100" w:type="dxa"/>
            </w:tcMar>
            <w:vAlign w:val="center"/>
          </w:tcPr>
          <w:p w14:paraId="56663167" w14:textId="77777777" w:rsidR="003E2B81" w:rsidRPr="00C078E8" w:rsidRDefault="00000000">
            <w:pPr>
              <w:pStyle w:val="TableText"/>
              <w:spacing w:after="0"/>
              <w:rPr>
                <w:color w:val="auto"/>
              </w:rPr>
            </w:pPr>
            <w:r w:rsidRPr="00C078E8">
              <w:rPr>
                <w:color w:val="auto"/>
              </w:rPr>
              <w:t>Nanocarrier or hybrid constructs</w:t>
            </w:r>
          </w:p>
        </w:tc>
        <w:tc>
          <w:tcPr>
            <w:tcW w:w="2621" w:type="dxa"/>
            <w:tcMar>
              <w:top w:w="75" w:type="dxa"/>
              <w:left w:w="100" w:type="dxa"/>
              <w:bottom w:w="75" w:type="dxa"/>
              <w:right w:w="100" w:type="dxa"/>
            </w:tcMar>
            <w:vAlign w:val="center"/>
          </w:tcPr>
          <w:p w14:paraId="29822638" w14:textId="77777777" w:rsidR="003E2B81" w:rsidRPr="00C078E8" w:rsidRDefault="00000000">
            <w:pPr>
              <w:pStyle w:val="TableText"/>
              <w:spacing w:after="0"/>
              <w:rPr>
                <w:color w:val="auto"/>
              </w:rPr>
            </w:pPr>
            <w:r w:rsidRPr="00C078E8">
              <w:rPr>
                <w:color w:val="auto"/>
              </w:rPr>
              <w:t>Targeted experimental effects against pine wood nematode and related functional assays.</w:t>
            </w:r>
          </w:p>
        </w:tc>
        <w:tc>
          <w:tcPr>
            <w:tcW w:w="3168" w:type="dxa"/>
            <w:tcMar>
              <w:top w:w="75" w:type="dxa"/>
              <w:left w:w="100" w:type="dxa"/>
              <w:bottom w:w="75" w:type="dxa"/>
              <w:right w:w="100" w:type="dxa"/>
            </w:tcMar>
            <w:vAlign w:val="center"/>
          </w:tcPr>
          <w:p w14:paraId="0100F81B" w14:textId="77777777" w:rsidR="003E2B81" w:rsidRPr="00C078E8" w:rsidRDefault="00000000">
            <w:pPr>
              <w:pStyle w:val="TableText"/>
              <w:spacing w:after="0"/>
              <w:rPr>
                <w:color w:val="auto"/>
              </w:rPr>
            </w:pPr>
            <w:r w:rsidRPr="00C078E8">
              <w:rPr>
                <w:color w:val="auto"/>
              </w:rPr>
              <w:t>Disentangling carrier-only effects from RNA sequence effects and maintaining activity.</w:t>
            </w:r>
          </w:p>
        </w:tc>
        <w:tc>
          <w:tcPr>
            <w:tcW w:w="2102" w:type="dxa"/>
            <w:tcMar>
              <w:top w:w="75" w:type="dxa"/>
              <w:left w:w="100" w:type="dxa"/>
              <w:bottom w:w="75" w:type="dxa"/>
              <w:right w:w="100" w:type="dxa"/>
            </w:tcMar>
            <w:vAlign w:val="center"/>
          </w:tcPr>
          <w:p w14:paraId="1D3ADB68" w14:textId="77777777" w:rsidR="003E2B81" w:rsidRPr="00C078E8" w:rsidRDefault="00000000">
            <w:pPr>
              <w:pStyle w:val="TableText"/>
              <w:spacing w:after="0"/>
              <w:rPr>
                <w:color w:val="auto"/>
              </w:rPr>
            </w:pPr>
            <w:r w:rsidRPr="00C078E8">
              <w:rPr>
                <w:color w:val="auto"/>
              </w:rPr>
              <w:t>(Guo et al., 2024; Tao et al., 2026)</w:t>
            </w:r>
          </w:p>
        </w:tc>
      </w:tr>
      <w:tr w:rsidR="00C078E8" w:rsidRPr="00C078E8" w14:paraId="75403BDF" w14:textId="77777777">
        <w:trPr>
          <w:cantSplit/>
          <w:jc w:val="center"/>
        </w:trPr>
        <w:tc>
          <w:tcPr>
            <w:tcW w:w="1757" w:type="dxa"/>
            <w:tcMar>
              <w:top w:w="75" w:type="dxa"/>
              <w:left w:w="100" w:type="dxa"/>
              <w:bottom w:w="75" w:type="dxa"/>
              <w:right w:w="100" w:type="dxa"/>
            </w:tcMar>
            <w:vAlign w:val="center"/>
          </w:tcPr>
          <w:p w14:paraId="779045AD" w14:textId="77777777" w:rsidR="003E2B81" w:rsidRPr="00C078E8" w:rsidRDefault="00000000">
            <w:pPr>
              <w:pStyle w:val="TableText"/>
              <w:spacing w:after="0"/>
              <w:rPr>
                <w:color w:val="auto"/>
              </w:rPr>
            </w:pPr>
            <w:r w:rsidRPr="00C078E8">
              <w:rPr>
                <w:color w:val="auto"/>
              </w:rPr>
              <w:t>Trunk-injected LDH complex</w:t>
            </w:r>
          </w:p>
        </w:tc>
        <w:tc>
          <w:tcPr>
            <w:tcW w:w="2621" w:type="dxa"/>
            <w:tcMar>
              <w:top w:w="75" w:type="dxa"/>
              <w:left w:w="100" w:type="dxa"/>
              <w:bottom w:w="75" w:type="dxa"/>
              <w:right w:w="100" w:type="dxa"/>
            </w:tcMar>
            <w:vAlign w:val="center"/>
          </w:tcPr>
          <w:p w14:paraId="74CDEF5C" w14:textId="77777777" w:rsidR="003E2B81" w:rsidRPr="00C078E8" w:rsidRDefault="00000000">
            <w:pPr>
              <w:pStyle w:val="TableText"/>
              <w:spacing w:after="0"/>
              <w:rPr>
                <w:color w:val="auto"/>
              </w:rPr>
            </w:pPr>
            <w:r w:rsidRPr="00C078E8">
              <w:rPr>
                <w:color w:val="auto"/>
              </w:rPr>
              <w:t>A field-oriented pine wood nematode control experiment in trees.</w:t>
            </w:r>
          </w:p>
        </w:tc>
        <w:tc>
          <w:tcPr>
            <w:tcW w:w="3168" w:type="dxa"/>
            <w:tcMar>
              <w:top w:w="75" w:type="dxa"/>
              <w:left w:w="100" w:type="dxa"/>
              <w:bottom w:w="75" w:type="dxa"/>
              <w:right w:w="100" w:type="dxa"/>
            </w:tcMar>
            <w:vAlign w:val="center"/>
          </w:tcPr>
          <w:p w14:paraId="1B64A3D2" w14:textId="77777777" w:rsidR="003E2B81" w:rsidRPr="00C078E8" w:rsidRDefault="00000000">
            <w:pPr>
              <w:pStyle w:val="TableText"/>
              <w:spacing w:after="0"/>
              <w:rPr>
                <w:color w:val="auto"/>
              </w:rPr>
            </w:pPr>
            <w:r w:rsidRPr="00C078E8">
              <w:rPr>
                <w:color w:val="auto"/>
              </w:rPr>
              <w:t>Wood-tissue distribution, repeatability and relevance to other delivery geometries.</w:t>
            </w:r>
          </w:p>
        </w:tc>
        <w:tc>
          <w:tcPr>
            <w:tcW w:w="2102" w:type="dxa"/>
            <w:tcMar>
              <w:top w:w="75" w:type="dxa"/>
              <w:left w:w="100" w:type="dxa"/>
              <w:bottom w:w="75" w:type="dxa"/>
              <w:right w:w="100" w:type="dxa"/>
            </w:tcMar>
            <w:vAlign w:val="center"/>
          </w:tcPr>
          <w:p w14:paraId="7EED6B74" w14:textId="77777777" w:rsidR="003E2B81" w:rsidRPr="00C078E8" w:rsidRDefault="00000000">
            <w:pPr>
              <w:pStyle w:val="TableText"/>
              <w:spacing w:after="0"/>
              <w:rPr>
                <w:color w:val="auto"/>
              </w:rPr>
            </w:pPr>
            <w:r w:rsidRPr="00C078E8">
              <w:rPr>
                <w:color w:val="auto"/>
              </w:rPr>
              <w:t>(Song et al., 2026)</w:t>
            </w:r>
          </w:p>
        </w:tc>
      </w:tr>
      <w:tr w:rsidR="00C078E8" w:rsidRPr="00C078E8" w14:paraId="4709FE3E" w14:textId="77777777">
        <w:trPr>
          <w:cantSplit/>
          <w:jc w:val="center"/>
        </w:trPr>
        <w:tc>
          <w:tcPr>
            <w:tcW w:w="1757" w:type="dxa"/>
            <w:tcMar>
              <w:top w:w="75" w:type="dxa"/>
              <w:left w:w="100" w:type="dxa"/>
              <w:bottom w:w="75" w:type="dxa"/>
              <w:right w:w="100" w:type="dxa"/>
            </w:tcMar>
            <w:vAlign w:val="center"/>
          </w:tcPr>
          <w:p w14:paraId="3C45C83B" w14:textId="77777777" w:rsidR="003E2B81" w:rsidRPr="00C078E8" w:rsidRDefault="00000000">
            <w:pPr>
              <w:pStyle w:val="TableText"/>
              <w:spacing w:after="0"/>
              <w:rPr>
                <w:color w:val="auto"/>
              </w:rPr>
            </w:pPr>
            <w:r w:rsidRPr="00C078E8">
              <w:rPr>
                <w:color w:val="auto"/>
              </w:rPr>
              <w:t>Topical clay for plant viruses</w:t>
            </w:r>
          </w:p>
        </w:tc>
        <w:tc>
          <w:tcPr>
            <w:tcW w:w="2621" w:type="dxa"/>
            <w:tcMar>
              <w:top w:w="75" w:type="dxa"/>
              <w:left w:w="100" w:type="dxa"/>
              <w:bottom w:w="75" w:type="dxa"/>
              <w:right w:w="100" w:type="dxa"/>
            </w:tcMar>
            <w:vAlign w:val="center"/>
          </w:tcPr>
          <w:p w14:paraId="5C1F60C4" w14:textId="77777777" w:rsidR="003E2B81" w:rsidRPr="00C078E8" w:rsidRDefault="00000000">
            <w:pPr>
              <w:pStyle w:val="TableText"/>
              <w:spacing w:after="0"/>
              <w:rPr>
                <w:color w:val="auto"/>
              </w:rPr>
            </w:pPr>
            <w:r w:rsidRPr="00C078E8">
              <w:rPr>
                <w:color w:val="auto"/>
              </w:rPr>
              <w:t>Demonstrates an RNA-carrier principle in a different target system.</w:t>
            </w:r>
          </w:p>
        </w:tc>
        <w:tc>
          <w:tcPr>
            <w:tcW w:w="3168" w:type="dxa"/>
            <w:tcMar>
              <w:top w:w="75" w:type="dxa"/>
              <w:left w:w="100" w:type="dxa"/>
              <w:bottom w:w="75" w:type="dxa"/>
              <w:right w:w="100" w:type="dxa"/>
            </w:tcMar>
            <w:vAlign w:val="center"/>
          </w:tcPr>
          <w:p w14:paraId="3AD0172B" w14:textId="77777777" w:rsidR="003E2B81" w:rsidRPr="00C078E8" w:rsidRDefault="00000000">
            <w:pPr>
              <w:pStyle w:val="TableText"/>
              <w:spacing w:after="0"/>
              <w:rPr>
                <w:color w:val="auto"/>
              </w:rPr>
            </w:pPr>
            <w:r w:rsidRPr="00C078E8">
              <w:rPr>
                <w:color w:val="auto"/>
              </w:rPr>
              <w:t>It does not demonstrate control of plant-parasitic nematodes.</w:t>
            </w:r>
          </w:p>
        </w:tc>
        <w:tc>
          <w:tcPr>
            <w:tcW w:w="2102" w:type="dxa"/>
            <w:tcMar>
              <w:top w:w="75" w:type="dxa"/>
              <w:left w:w="100" w:type="dxa"/>
              <w:bottom w:w="75" w:type="dxa"/>
              <w:right w:w="100" w:type="dxa"/>
            </w:tcMar>
            <w:vAlign w:val="center"/>
          </w:tcPr>
          <w:p w14:paraId="5C15AFE6" w14:textId="77777777" w:rsidR="003E2B81" w:rsidRPr="00C078E8" w:rsidRDefault="00000000">
            <w:pPr>
              <w:pStyle w:val="TableText"/>
              <w:spacing w:after="0"/>
              <w:rPr>
                <w:color w:val="auto"/>
              </w:rPr>
            </w:pPr>
            <w:r w:rsidRPr="00C078E8">
              <w:rPr>
                <w:color w:val="auto"/>
              </w:rPr>
              <w:t>(Mitter et al., 2017)</w:t>
            </w:r>
          </w:p>
        </w:tc>
      </w:tr>
    </w:tbl>
    <w:p w14:paraId="656B7BBE" w14:textId="77777777" w:rsidR="003E2B81" w:rsidRPr="00C078E8" w:rsidRDefault="00000000">
      <w:pPr>
        <w:pStyle w:val="TableNote"/>
        <w:rPr>
          <w:color w:val="auto"/>
        </w:rPr>
      </w:pPr>
      <w:r w:rsidRPr="00C078E8">
        <w:rPr>
          <w:color w:val="auto"/>
        </w:rPr>
        <w:t>Note. HIGS = host-induced gene silencing; LDH = layered double hydroxide. Delivery evidence from plant viruses is included only to mark a boundary of inference.</w:t>
      </w:r>
    </w:p>
    <w:p w14:paraId="67772574" w14:textId="77777777" w:rsidR="003E2B81" w:rsidRPr="00C078E8" w:rsidRDefault="00000000">
      <w:pPr>
        <w:pStyle w:val="Heading1"/>
        <w:rPr>
          <w:color w:val="auto"/>
        </w:rPr>
      </w:pPr>
      <w:r w:rsidRPr="00C078E8">
        <w:rPr>
          <w:color w:val="auto"/>
        </w:rPr>
        <w:t>6. Pest Guilds, Crop Contexts and the Quality of Efficacy Evidence</w:t>
      </w:r>
    </w:p>
    <w:p w14:paraId="60E4AF87" w14:textId="77777777" w:rsidR="003E2B81" w:rsidRPr="00C078E8" w:rsidRDefault="00000000">
      <w:pPr>
        <w:pStyle w:val="Heading2"/>
        <w:rPr>
          <w:color w:val="auto"/>
        </w:rPr>
      </w:pPr>
      <w:r w:rsidRPr="00C078E8">
        <w:rPr>
          <w:color w:val="auto"/>
        </w:rPr>
        <w:t>6.1 Root-knot nematodes: the most elaborated crop-interaction evidence</w:t>
      </w:r>
    </w:p>
    <w:p w14:paraId="402EA675" w14:textId="77777777" w:rsidR="003E2B81" w:rsidRPr="00C078E8" w:rsidRDefault="00000000">
      <w:pPr>
        <w:rPr>
          <w:color w:val="auto"/>
        </w:rPr>
      </w:pPr>
      <w:r w:rsidRPr="00C078E8">
        <w:rPr>
          <w:color w:val="auto"/>
        </w:rPr>
        <w:t>The root-knot literature contains several of the most convincing demonstrations that RNAi can alter a crop-relevant parasitic process. Host-expressed interference with the 16D10 parasitism gene reduced susceptibility to multiple root-knot species in a transgenic model system, offering a particularly clear link between a conserved secreted target and resistance (Huang et al., 2006). Experiments targeting developmental genes reported fewer nematodes and arrested development in roots (Charlton et al., 2010). In eggplant, silencing of Mi-msp-1 was evaluated in the context of a crop host across plant generations, which strengthens relevance relative to isolated juvenile soaking (Chaudhary et al., 2019). These studies do not use identical target classes, constructs or biological endpoints, but together support the proposition that host-mediated interference can alter parasitic fitness in root-knot nematodes.</w:t>
      </w:r>
    </w:p>
    <w:p w14:paraId="58B4BD3B" w14:textId="77777777" w:rsidR="003E2B81" w:rsidRPr="00C078E8" w:rsidRDefault="00000000">
      <w:pPr>
        <w:rPr>
          <w:color w:val="auto"/>
        </w:rPr>
      </w:pPr>
      <w:r w:rsidRPr="00C078E8">
        <w:rPr>
          <w:color w:val="auto"/>
        </w:rPr>
        <w:t xml:space="preserve">The evidence also includes cereal cropping systems. In rice, transgenic lines delivering double-stranded RNA against two FMRFamide-like peptide genes of </w:t>
      </w:r>
      <w:r w:rsidRPr="00C078E8">
        <w:rPr>
          <w:i/>
          <w:color w:val="auto"/>
        </w:rPr>
        <w:t>Meloidogyne graminicola</w:t>
      </w:r>
      <w:r w:rsidRPr="00C078E8">
        <w:rPr>
          <w:color w:val="auto"/>
        </w:rPr>
        <w:t xml:space="preserve"> exhibited reductions in galling and measures of parasitic reproduction (Hada et al., 2020). The result broadens the host range of demonstrated HIGS phenotypes beyond the heavily investigated dicotyledonous systems. It does not establish tolerance across all rice </w:t>
      </w:r>
      <w:r w:rsidRPr="00C078E8">
        <w:rPr>
          <w:color w:val="auto"/>
        </w:rPr>
        <w:lastRenderedPageBreak/>
        <w:t>genotypes or all root-knot populations. Complementary work using experimentally treated juveniles showed that interference with Mg-odr-1 and Mg-odr-3 altered chemosensory behaviour and the ability to exploit the rice host (Dutta et al., 2024). The distinction between plant-expressed triggers during feeding and direct RNA exposure of juveniles before infection is especially important when proposing management for rice production systems where infection timing, water regime and plant growth stage may vary.</w:t>
      </w:r>
    </w:p>
    <w:p w14:paraId="28CC5B66" w14:textId="77777777" w:rsidR="003E2B81" w:rsidRPr="00C078E8" w:rsidRDefault="00000000">
      <w:pPr>
        <w:rPr>
          <w:color w:val="auto"/>
        </w:rPr>
      </w:pPr>
      <w:r w:rsidRPr="00C078E8">
        <w:rPr>
          <w:color w:val="auto"/>
        </w:rPr>
        <w:t xml:space="preserve">Evidence is nevertheless selective rather than uniformly positive. Host-delivered silencing of MjTis11 in </w:t>
      </w:r>
      <w:r w:rsidRPr="00C078E8">
        <w:rPr>
          <w:i/>
          <w:color w:val="auto"/>
        </w:rPr>
        <w:t>Meloidogyne javanica</w:t>
      </w:r>
      <w:r w:rsidRPr="00C078E8">
        <w:rPr>
          <w:color w:val="auto"/>
        </w:rPr>
        <w:t xml:space="preserve"> confirmed transcript interference without the straightforward lethal phenotype that might be inferred from the word 'silencing' (Fairbairn et al., 2007). Targeting RNAi-pathway components in </w:t>
      </w:r>
      <w:r w:rsidRPr="00C078E8">
        <w:rPr>
          <w:i/>
          <w:color w:val="auto"/>
        </w:rPr>
        <w:t>M. incognita</w:t>
      </w:r>
      <w:r w:rsidRPr="00C078E8">
        <w:rPr>
          <w:color w:val="auto"/>
        </w:rPr>
        <w:t xml:space="preserve"> produced diverse expression responses, including unchanged and increased transcript amounts, undermining the assumption that each selected pathway gene is predictably suppressible (Iqbal et al., 2020). These findings are not minor exceptions to be discarded. They demonstrate that target knockdown, functional redundancy, stage-specific compensation and RNAi competence can vary in ways not captured by target annotation. A balanced research programme needs to publish and interpret ineffective constructs, particularly when those constructs appear mechanistically plausible.</w:t>
      </w:r>
    </w:p>
    <w:p w14:paraId="42DB1F29" w14:textId="77777777" w:rsidR="003E2B81" w:rsidRPr="00C078E8" w:rsidRDefault="00000000">
      <w:pPr>
        <w:rPr>
          <w:color w:val="auto"/>
        </w:rPr>
      </w:pPr>
      <w:r w:rsidRPr="00C078E8">
        <w:rPr>
          <w:color w:val="auto"/>
        </w:rPr>
        <w:t>Galling and egg production should also be distinguished. Galls reflect the establishment or maintenance of altered root structures but are influenced by plant genotype and the timing of observation. A treatment reducing gall severity may be agronomically beneficial if it protects root function, but that is not the same claim as reducing subsequent nematode inoculum. Conversely, fewer eggs per root system may contribute to population suppression across seasons while showing only modest benefit to the current harvest. Studies should therefore make the primary hypothesis explicit: protection of the treated plant, prevention of nematode reproduction, or both. Root biomass and root injury should be measured alongside nematode counts because lower numbers of feeding sites in a smaller root system can confound simple comparisons unless the analysis accounts for the denominator.</w:t>
      </w:r>
    </w:p>
    <w:p w14:paraId="6B475031" w14:textId="77777777" w:rsidR="003E2B81" w:rsidRPr="00C078E8" w:rsidRDefault="00000000">
      <w:pPr>
        <w:pStyle w:val="Heading2"/>
        <w:rPr>
          <w:color w:val="auto"/>
        </w:rPr>
      </w:pPr>
      <w:r w:rsidRPr="00C078E8">
        <w:rPr>
          <w:color w:val="auto"/>
        </w:rPr>
        <w:t>6.2 Cyst nematodes: functional evidence plus crop-line development</w:t>
      </w:r>
    </w:p>
    <w:p w14:paraId="29DC6203" w14:textId="77777777" w:rsidR="003E2B81" w:rsidRPr="00C078E8" w:rsidRDefault="00000000">
      <w:pPr>
        <w:rPr>
          <w:color w:val="auto"/>
        </w:rPr>
      </w:pPr>
      <w:r w:rsidRPr="00C078E8">
        <w:rPr>
          <w:color w:val="auto"/>
        </w:rPr>
        <w:t xml:space="preserve">Cyst nematodes provide a complementary test of RNAi because their life cycle includes durable survival structures and obligate sedentary feeding stages. The initial demonstration of dsRNA ingestion by preparasitic juveniles was followed by gene-function experiments in </w:t>
      </w:r>
      <w:r w:rsidRPr="00C078E8">
        <w:rPr>
          <w:i/>
          <w:color w:val="auto"/>
        </w:rPr>
        <w:t>Globodera rostochiensis</w:t>
      </w:r>
      <w:r w:rsidRPr="00C078E8">
        <w:rPr>
          <w:color w:val="auto"/>
        </w:rPr>
        <w:t xml:space="preserve"> and host-expressed constructs targeting </w:t>
      </w:r>
      <w:r w:rsidRPr="00C078E8">
        <w:rPr>
          <w:i/>
          <w:color w:val="auto"/>
        </w:rPr>
        <w:t>Heterodera</w:t>
      </w:r>
      <w:r w:rsidRPr="00C078E8">
        <w:rPr>
          <w:color w:val="auto"/>
        </w:rPr>
        <w:t xml:space="preserve"> spp. (Chen et al., 2005; Urwin et al., 2002). In </w:t>
      </w:r>
      <w:r w:rsidRPr="00C078E8">
        <w:rPr>
          <w:i/>
          <w:color w:val="auto"/>
        </w:rPr>
        <w:t>Arabidopsis</w:t>
      </w:r>
      <w:r w:rsidRPr="00C078E8">
        <w:rPr>
          <w:color w:val="auto"/>
        </w:rPr>
        <w:t>, interruption of several cyst-nematode parasitism genes reduced parasitic success, demonstrating that targetable functions extend beyond a single effector (Sindhu et al., 2009). Yet an experimentally treated juvenile and a cyst nematode feeding inside a mature crop root experience different entry conditions. Comparisons between these systems should focus on which stages were actually exposed and whether a later population metric was measured.</w:t>
      </w:r>
    </w:p>
    <w:p w14:paraId="06A8CA76" w14:textId="77777777" w:rsidR="003E2B81" w:rsidRPr="00C078E8" w:rsidRDefault="00000000">
      <w:pPr>
        <w:rPr>
          <w:color w:val="auto"/>
        </w:rPr>
      </w:pPr>
      <w:r w:rsidRPr="00C078E8">
        <w:rPr>
          <w:color w:val="auto"/>
        </w:rPr>
        <w:t xml:space="preserve">Soybean studies are particularly informative because they include progressively more crop-relevant genetic systems. Early transgenic soybeans producing siRNAs against a major sperm protein gene showed reduced </w:t>
      </w:r>
      <w:r w:rsidRPr="00C078E8">
        <w:rPr>
          <w:i/>
          <w:color w:val="auto"/>
        </w:rPr>
        <w:t>H. glycines</w:t>
      </w:r>
      <w:r w:rsidRPr="00C078E8">
        <w:rPr>
          <w:color w:val="auto"/>
        </w:rPr>
        <w:t xml:space="preserve"> reproduction (Steeves et al., 2006). A subsequent artificial-microRNA investigation provided a more constrained guide-RNA design, while stable transgenic soybean lines directed against parasite fitness genes extended the evaluation to heritable plant material (Tian et al., 2016, 2019). Further work used additional vital gene targets and reported enhanced soybean resistance to cyst nematodes in transgenic lines (Zhang et al., 2022). The convergence across several laboratories and target functions increases confidence that host delivery is not restricted to one unique construct. Nevertheless, differences in line backgrounds, infection pressure and assay timing prevent simple comparison of percentages across these reports.</w:t>
      </w:r>
    </w:p>
    <w:p w14:paraId="146BBB48" w14:textId="77777777" w:rsidR="003E2B81" w:rsidRPr="00C078E8" w:rsidRDefault="00000000">
      <w:pPr>
        <w:rPr>
          <w:color w:val="auto"/>
        </w:rPr>
      </w:pPr>
      <w:r w:rsidRPr="00C078E8">
        <w:rPr>
          <w:color w:val="auto"/>
        </w:rPr>
        <w:t xml:space="preserve">Wheat cyst nematodes illustrate the value of a staged screening process. Dutta et al. (2020) selected conserved </w:t>
      </w:r>
      <w:r w:rsidRPr="00C078E8">
        <w:rPr>
          <w:i/>
          <w:color w:val="auto"/>
        </w:rPr>
        <w:t>Heterodera avenae</w:t>
      </w:r>
      <w:r w:rsidRPr="00C078E8">
        <w:rPr>
          <w:color w:val="auto"/>
        </w:rPr>
        <w:t xml:space="preserve"> genes for interference and assessed parasitic success in </w:t>
      </w:r>
      <w:r w:rsidRPr="00C078E8">
        <w:rPr>
          <w:i/>
          <w:color w:val="auto"/>
        </w:rPr>
        <w:t>Triticum aestivum</w:t>
      </w:r>
      <w:r w:rsidRPr="00C078E8">
        <w:rPr>
          <w:color w:val="auto"/>
        </w:rPr>
        <w:t xml:space="preserve">. The use of a cereal host broadens the crop context, but a construct effective in one wheat–nematode combination still faces questions about field race diversity, baseline cultivar susceptibility and the interaction with existing resistance genes. </w:t>
      </w:r>
      <w:r w:rsidRPr="00C078E8">
        <w:rPr>
          <w:color w:val="auto"/>
        </w:rPr>
        <w:lastRenderedPageBreak/>
        <w:t>Evidence concerning cyst formation should also be linked to subsequent hatching and the ability of cysts to carry viable inoculum into another crop season. It is not sufficient to assume that a reduction in cyst count during the experimental cycle produces proportional reductions in future infection; the viability and persistence of the remaining population matter.</w:t>
      </w:r>
    </w:p>
    <w:p w14:paraId="03FC654B" w14:textId="77777777" w:rsidR="003E2B81" w:rsidRPr="00C078E8" w:rsidRDefault="00000000">
      <w:pPr>
        <w:rPr>
          <w:color w:val="auto"/>
        </w:rPr>
      </w:pPr>
      <w:r w:rsidRPr="00C078E8">
        <w:rPr>
          <w:color w:val="auto"/>
        </w:rPr>
        <w:t xml:space="preserve">The kaolinite-associated ams-1 work in </w:t>
      </w:r>
      <w:r w:rsidRPr="00C078E8">
        <w:rPr>
          <w:i/>
          <w:color w:val="auto"/>
        </w:rPr>
        <w:t>G. rostochiensis</w:t>
      </w:r>
      <w:r w:rsidRPr="00C078E8">
        <w:rPr>
          <w:color w:val="auto"/>
        </w:rPr>
        <w:t xml:space="preserve"> is a useful cross-platform comparator. Unlike host-expressed HIGS, it attempts exogenous delivery, including a soil-drench route, and reports a reduction in infestation in the studied potato system (Bairwa et al., 2026). This provides a plausible bridge between laboratory RNAi and crop-directed formulation. Its evidential contribution is strongest for the tested formulation and exposure circumstances. A rigorous next study would compare naked and formulated RNA at equivalent intact-RNA doses in multiple soils, monitor soil moisture and persistence, distinguish juvenile mortality from reduced host finding, and quantify yield and viable cyst production across a complete crop cycle. Such work would test whether improved RNA stability is the causal mechanism of improved control rather than an accompanying observation.</w:t>
      </w:r>
    </w:p>
    <w:p w14:paraId="04C6A134" w14:textId="77777777" w:rsidR="003E2B81" w:rsidRPr="00C078E8" w:rsidRDefault="00000000">
      <w:pPr>
        <w:pStyle w:val="Heading2"/>
        <w:rPr>
          <w:color w:val="auto"/>
        </w:rPr>
      </w:pPr>
      <w:r w:rsidRPr="00C078E8">
        <w:rPr>
          <w:color w:val="auto"/>
        </w:rPr>
        <w:t>6.3 Migratory lesion nematodes and underexplored guilds</w:t>
      </w:r>
    </w:p>
    <w:p w14:paraId="5322E8C9" w14:textId="77777777" w:rsidR="003E2B81" w:rsidRPr="00C078E8" w:rsidRDefault="00000000">
      <w:pPr>
        <w:rPr>
          <w:color w:val="auto"/>
        </w:rPr>
      </w:pPr>
      <w:r w:rsidRPr="00C078E8">
        <w:rPr>
          <w:color w:val="auto"/>
        </w:rPr>
        <w:t xml:space="preserve">Migratory root-lesion nematodes are economically relevant and biologically distinct from sedentary endoparasites because they move through root tissues, damage cells and may leave and re-enter roots. This behaviour changes both the timing of exposure and the feasibility of maintaining effective concentrations. Gene silencing in </w:t>
      </w:r>
      <w:r w:rsidRPr="00C078E8">
        <w:rPr>
          <w:i/>
          <w:color w:val="auto"/>
        </w:rPr>
        <w:t>Pratylenchus</w:t>
      </w:r>
      <w:r w:rsidRPr="00C078E8">
        <w:rPr>
          <w:color w:val="auto"/>
        </w:rPr>
        <w:t xml:space="preserve"> species was associated with reduced reproduction on a plant host following experimental treatment, supporting the presence of vulnerable molecular functions (Tan et al., 2013). However, a pretreated population introduced to a plant represents a different intervention from continuous exposure of an already established, naturally dispersed nematode population. The current evidence cannot justify treating root-lesion nematodes as equally advanced candidates for routine HIGS or drench-based management.</w:t>
      </w:r>
    </w:p>
    <w:p w14:paraId="7D4936E4" w14:textId="77777777" w:rsidR="003E2B81" w:rsidRPr="00C078E8" w:rsidRDefault="00000000">
      <w:pPr>
        <w:rPr>
          <w:color w:val="auto"/>
        </w:rPr>
      </w:pPr>
      <w:r w:rsidRPr="00C078E8">
        <w:rPr>
          <w:color w:val="auto"/>
        </w:rPr>
        <w:t xml:space="preserve">Other important plant-parasitic guilds receive comparatively little direct validation in the cited intervention studies. That imbalance is not evidence that their RNAi mechanisms are absent. It reflects the practical constraints of rearing, delivering triggers, maintaining host plants and measuring fitness in divergent nematode systems. For migratory species, repeated within-root movement may offer exposure opportunities but also increases uncertainty about local RNA concentration. For ectoparasites, accessibility in soil may be greater than for established endoparasites, yet the routes of dsRNA ingestion may be less predictable. Research priorities should follow the biology of each guild, rather than simply transferring a construct from </w:t>
      </w:r>
      <w:r w:rsidRPr="00C078E8">
        <w:rPr>
          <w:i/>
          <w:color w:val="auto"/>
        </w:rPr>
        <w:t>Meloidogyne</w:t>
      </w:r>
      <w:r w:rsidRPr="00C078E8">
        <w:rPr>
          <w:color w:val="auto"/>
        </w:rPr>
        <w:t xml:space="preserve"> because its target annotation appears conserved.</w:t>
      </w:r>
    </w:p>
    <w:p w14:paraId="7CCBBACA" w14:textId="77777777" w:rsidR="003E2B81" w:rsidRPr="00C078E8" w:rsidRDefault="00000000">
      <w:pPr>
        <w:pStyle w:val="Heading2"/>
        <w:rPr>
          <w:color w:val="auto"/>
        </w:rPr>
      </w:pPr>
      <w:r w:rsidRPr="00C078E8">
        <w:rPr>
          <w:color w:val="auto"/>
        </w:rPr>
        <w:t>6.4 Pine wood nematodes: a different translation pathway</w:t>
      </w:r>
    </w:p>
    <w:p w14:paraId="2EC9E23A" w14:textId="77777777" w:rsidR="003E2B81" w:rsidRPr="00C078E8" w:rsidRDefault="00000000">
      <w:pPr>
        <w:rPr>
          <w:color w:val="auto"/>
        </w:rPr>
      </w:pPr>
      <w:r w:rsidRPr="00C078E8">
        <w:rPr>
          <w:color w:val="auto"/>
        </w:rPr>
        <w:t xml:space="preserve">Pine wood nematode work provides a contrasting trajectory in which the target occupies internal tree tissues and delivery can be localised by trunk injection. Sequence-directed formulations targeting metabolism or signalling in </w:t>
      </w:r>
      <w:r w:rsidRPr="00C078E8">
        <w:rPr>
          <w:i/>
          <w:color w:val="auto"/>
        </w:rPr>
        <w:t>Bursaphelenchus xylophilus</w:t>
      </w:r>
      <w:r w:rsidRPr="00C078E8">
        <w:rPr>
          <w:color w:val="auto"/>
        </w:rPr>
        <w:t xml:space="preserve"> have been examined in experimental systems (Guo et al., 2024; Tao et al., 2026). The reported field assay of a layered double hydroxide formulation targeting vATPase is therefore notable as a move beyond pot-scale molecular demonstration (Song et al., 2026). Its importance is methodological: a field-relevant intervention was tested in the environment where the target nematode and disease occur. This is a stronger type of evidence than inference from juvenile soak mortality alone, although a single context does not establish broad reproducibility.</w:t>
      </w:r>
    </w:p>
    <w:p w14:paraId="11F894E1" w14:textId="77777777" w:rsidR="003E2B81" w:rsidRPr="00C078E8" w:rsidRDefault="00000000">
      <w:pPr>
        <w:rPr>
          <w:color w:val="auto"/>
        </w:rPr>
      </w:pPr>
      <w:r w:rsidRPr="00C078E8">
        <w:rPr>
          <w:color w:val="auto"/>
        </w:rPr>
        <w:t xml:space="preserve">Forestry delivery has its own unanswered questions. Distribution of an injected formulation may depend on tree size, xylem function, infection severity and environmental conditions. Trees can be subject to repeated exposures or years of risk, so durable management would require information about the longevity of a treatment and the practicality of retreatment. Ecological exposure pathways also differ from those of soil drenching, including </w:t>
      </w:r>
      <w:r w:rsidRPr="00C078E8">
        <w:rPr>
          <w:color w:val="auto"/>
        </w:rPr>
        <w:lastRenderedPageBreak/>
        <w:t>potential effects on organisms within or associated with the treated tree. A product intended for perennial trees cannot simply be evaluated with the same one-season efficacy criteria used for annual crops. Conversely, outcomes in pine trees should not be used to claim that a formulation has solved the soil-root delivery barrier for root-knot nematodes.</w:t>
      </w:r>
    </w:p>
    <w:p w14:paraId="08742BFF" w14:textId="77777777" w:rsidR="003E2B81" w:rsidRPr="00C078E8" w:rsidRDefault="00000000">
      <w:pPr>
        <w:pStyle w:val="Heading2"/>
        <w:rPr>
          <w:color w:val="auto"/>
        </w:rPr>
      </w:pPr>
      <w:r w:rsidRPr="00C078E8">
        <w:rPr>
          <w:color w:val="auto"/>
        </w:rPr>
        <w:t>6.5 An adjacent nematode is not necessarily a target pest</w:t>
      </w:r>
    </w:p>
    <w:p w14:paraId="6BC88836" w14:textId="77777777" w:rsidR="003E2B81" w:rsidRPr="00C078E8" w:rsidRDefault="00000000">
      <w:pPr>
        <w:rPr>
          <w:color w:val="auto"/>
        </w:rPr>
      </w:pPr>
      <w:r w:rsidRPr="00C078E8">
        <w:rPr>
          <w:color w:val="auto"/>
        </w:rPr>
        <w:t xml:space="preserve">A particularly instructive boundary case is a soil-drench formulation tested against </w:t>
      </w:r>
      <w:r w:rsidRPr="00C078E8">
        <w:rPr>
          <w:i/>
          <w:color w:val="auto"/>
        </w:rPr>
        <w:t>Acrobeloides nanus</w:t>
      </w:r>
      <w:r w:rsidRPr="00C078E8">
        <w:rPr>
          <w:color w:val="auto"/>
        </w:rPr>
        <w:t>, a free-living, bacterivorous nematode rather than an obligate plant-parasitic nematode. The study provides information about a chitosan-associated RNA formulation and nematode responsiveness under the conditions tested (Song et al., 2025). It does not demonstrate suppression of a plant pathogen or protection of a crop. Treating all nematodes as interchangeable test subjects would conceal precisely the feeding and habitat differences that determine whether RNAi reaches the intended pest. At the same time, responsiveness of non-parasitic nematodes is a reason to give serious attention to non-target exposure. The result is relevant to delivery feasibility and ecological selectivity, but not an efficacy estimate for root-knot, cyst or lesion nematodes.</w:t>
      </w:r>
    </w:p>
    <w:p w14:paraId="071E70C3" w14:textId="77777777" w:rsidR="003E2B81" w:rsidRPr="00C078E8" w:rsidRDefault="00000000">
      <w:pPr>
        <w:rPr>
          <w:color w:val="auto"/>
        </w:rPr>
      </w:pPr>
      <w:r w:rsidRPr="00C078E8">
        <w:rPr>
          <w:color w:val="auto"/>
        </w:rPr>
        <w:t>Table 4 summarises representative evidence by nematode guild while keeping laboratory target engagement, greenhouse or crop-system outcomes and field-oriented outcomes separate. Its main implication is that the strongest evidence concerns specific host–nematode combinations and that apparent breadth is inflated when these levels are combined.</w:t>
      </w:r>
    </w:p>
    <w:p w14:paraId="35D8A71B" w14:textId="77777777" w:rsidR="003E2B81" w:rsidRPr="00C078E8" w:rsidRDefault="00000000">
      <w:pPr>
        <w:pStyle w:val="TableCaption"/>
        <w:keepNext/>
        <w:rPr>
          <w:color w:val="auto"/>
        </w:rPr>
      </w:pPr>
      <w:r w:rsidRPr="00C078E8">
        <w:rPr>
          <w:b/>
          <w:color w:val="auto"/>
        </w:rPr>
        <w:t>Table 4. What the evidence demonstrates across nematode guilds and host contexts</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5343CA85" w14:textId="77777777">
        <w:trPr>
          <w:cantSplit/>
          <w:tblHeader/>
          <w:jc w:val="center"/>
        </w:trPr>
        <w:tc>
          <w:tcPr>
            <w:tcW w:w="1757" w:type="dxa"/>
            <w:shd w:val="clear" w:color="auto" w:fill="E7ECF0"/>
            <w:tcMar>
              <w:top w:w="100" w:type="dxa"/>
              <w:left w:w="95" w:type="dxa"/>
              <w:bottom w:w="100" w:type="dxa"/>
              <w:right w:w="95" w:type="dxa"/>
            </w:tcMar>
            <w:vAlign w:val="center"/>
          </w:tcPr>
          <w:p w14:paraId="538F8E79" w14:textId="77777777" w:rsidR="003E2B81" w:rsidRPr="00C078E8" w:rsidRDefault="00000000">
            <w:pPr>
              <w:pStyle w:val="TableHeader"/>
              <w:spacing w:after="0"/>
              <w:rPr>
                <w:color w:val="auto"/>
              </w:rPr>
            </w:pPr>
            <w:r w:rsidRPr="00C078E8">
              <w:rPr>
                <w:color w:val="auto"/>
              </w:rPr>
              <w:t>Guild and biological context</w:t>
            </w:r>
          </w:p>
        </w:tc>
        <w:tc>
          <w:tcPr>
            <w:tcW w:w="2621" w:type="dxa"/>
            <w:shd w:val="clear" w:color="auto" w:fill="E7ECF0"/>
            <w:tcMar>
              <w:top w:w="100" w:type="dxa"/>
              <w:left w:w="95" w:type="dxa"/>
              <w:bottom w:w="100" w:type="dxa"/>
              <w:right w:w="95" w:type="dxa"/>
            </w:tcMar>
            <w:vAlign w:val="center"/>
          </w:tcPr>
          <w:p w14:paraId="4559A5BA" w14:textId="77777777" w:rsidR="003E2B81" w:rsidRPr="00C078E8" w:rsidRDefault="00000000">
            <w:pPr>
              <w:pStyle w:val="TableHeader"/>
              <w:spacing w:after="0"/>
              <w:rPr>
                <w:color w:val="auto"/>
              </w:rPr>
            </w:pPr>
            <w:r w:rsidRPr="00C078E8">
              <w:rPr>
                <w:color w:val="auto"/>
              </w:rPr>
              <w:t>Demonstrated level</w:t>
            </w:r>
          </w:p>
        </w:tc>
        <w:tc>
          <w:tcPr>
            <w:tcW w:w="3168" w:type="dxa"/>
            <w:shd w:val="clear" w:color="auto" w:fill="E7ECF0"/>
            <w:tcMar>
              <w:top w:w="100" w:type="dxa"/>
              <w:left w:w="95" w:type="dxa"/>
              <w:bottom w:w="100" w:type="dxa"/>
              <w:right w:w="95" w:type="dxa"/>
            </w:tcMar>
            <w:vAlign w:val="center"/>
          </w:tcPr>
          <w:p w14:paraId="1B37AE62" w14:textId="77777777" w:rsidR="003E2B81" w:rsidRPr="00C078E8" w:rsidRDefault="00000000">
            <w:pPr>
              <w:pStyle w:val="TableHeader"/>
              <w:spacing w:after="0"/>
              <w:rPr>
                <w:color w:val="auto"/>
              </w:rPr>
            </w:pPr>
            <w:r w:rsidRPr="00C078E8">
              <w:rPr>
                <w:color w:val="auto"/>
              </w:rPr>
              <w:t>Transferability caution</w:t>
            </w:r>
          </w:p>
        </w:tc>
        <w:tc>
          <w:tcPr>
            <w:tcW w:w="2102" w:type="dxa"/>
            <w:shd w:val="clear" w:color="auto" w:fill="E7ECF0"/>
            <w:tcMar>
              <w:top w:w="100" w:type="dxa"/>
              <w:left w:w="95" w:type="dxa"/>
              <w:bottom w:w="100" w:type="dxa"/>
              <w:right w:w="95" w:type="dxa"/>
            </w:tcMar>
            <w:vAlign w:val="center"/>
          </w:tcPr>
          <w:p w14:paraId="4229A8F6"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52D93BD0" w14:textId="77777777">
        <w:trPr>
          <w:cantSplit/>
          <w:jc w:val="center"/>
        </w:trPr>
        <w:tc>
          <w:tcPr>
            <w:tcW w:w="1757" w:type="dxa"/>
            <w:tcMar>
              <w:top w:w="75" w:type="dxa"/>
              <w:left w:w="100" w:type="dxa"/>
              <w:bottom w:w="75" w:type="dxa"/>
              <w:right w:w="100" w:type="dxa"/>
            </w:tcMar>
            <w:vAlign w:val="center"/>
          </w:tcPr>
          <w:p w14:paraId="6ABD3265" w14:textId="77777777" w:rsidR="003E2B81" w:rsidRPr="00C078E8" w:rsidRDefault="00000000">
            <w:pPr>
              <w:pStyle w:val="TableText"/>
              <w:spacing w:after="0"/>
              <w:rPr>
                <w:color w:val="auto"/>
              </w:rPr>
            </w:pPr>
            <w:r w:rsidRPr="00C078E8">
              <w:rPr>
                <w:color w:val="auto"/>
              </w:rPr>
              <w:t xml:space="preserve">Root-knot; </w:t>
            </w:r>
            <w:r w:rsidRPr="00C078E8">
              <w:rPr>
                <w:i/>
                <w:color w:val="auto"/>
              </w:rPr>
              <w:t>Meloidogyne</w:t>
            </w:r>
            <w:r w:rsidRPr="00C078E8">
              <w:rPr>
                <w:color w:val="auto"/>
              </w:rPr>
              <w:t xml:space="preserve"> spp.</w:t>
            </w:r>
          </w:p>
        </w:tc>
        <w:tc>
          <w:tcPr>
            <w:tcW w:w="2621" w:type="dxa"/>
            <w:tcMar>
              <w:top w:w="75" w:type="dxa"/>
              <w:left w:w="100" w:type="dxa"/>
              <w:bottom w:w="75" w:type="dxa"/>
              <w:right w:w="100" w:type="dxa"/>
            </w:tcMar>
            <w:vAlign w:val="center"/>
          </w:tcPr>
          <w:p w14:paraId="774343F9" w14:textId="77777777" w:rsidR="003E2B81" w:rsidRPr="00C078E8" w:rsidRDefault="00000000">
            <w:pPr>
              <w:pStyle w:val="TableText"/>
              <w:spacing w:after="0"/>
              <w:rPr>
                <w:color w:val="auto"/>
              </w:rPr>
            </w:pPr>
            <w:r w:rsidRPr="00C078E8">
              <w:rPr>
                <w:color w:val="auto"/>
              </w:rPr>
              <w:t>Host-based gene interference in model plants, eggplant and rice; juvenile chemosensory assays in rice nematodes.</w:t>
            </w:r>
          </w:p>
        </w:tc>
        <w:tc>
          <w:tcPr>
            <w:tcW w:w="3168" w:type="dxa"/>
            <w:tcMar>
              <w:top w:w="75" w:type="dxa"/>
              <w:left w:w="100" w:type="dxa"/>
              <w:bottom w:w="75" w:type="dxa"/>
              <w:right w:w="100" w:type="dxa"/>
            </w:tcMar>
            <w:vAlign w:val="center"/>
          </w:tcPr>
          <w:p w14:paraId="6A93AE40" w14:textId="77777777" w:rsidR="003E2B81" w:rsidRPr="00C078E8" w:rsidRDefault="00000000">
            <w:pPr>
              <w:pStyle w:val="TableText"/>
              <w:spacing w:after="0"/>
              <w:rPr>
                <w:color w:val="auto"/>
              </w:rPr>
            </w:pPr>
            <w:r w:rsidRPr="00C078E8">
              <w:rPr>
                <w:color w:val="auto"/>
              </w:rPr>
              <w:t>The different triggers, hosts, stages and endpoints prevent universal efficacy claims.</w:t>
            </w:r>
          </w:p>
        </w:tc>
        <w:tc>
          <w:tcPr>
            <w:tcW w:w="2102" w:type="dxa"/>
            <w:tcMar>
              <w:top w:w="75" w:type="dxa"/>
              <w:left w:w="100" w:type="dxa"/>
              <w:bottom w:w="75" w:type="dxa"/>
              <w:right w:w="100" w:type="dxa"/>
            </w:tcMar>
            <w:vAlign w:val="center"/>
          </w:tcPr>
          <w:p w14:paraId="3E90C4C3" w14:textId="77777777" w:rsidR="003E2B81" w:rsidRPr="00C078E8" w:rsidRDefault="00000000">
            <w:pPr>
              <w:pStyle w:val="TableText"/>
              <w:spacing w:after="0"/>
              <w:rPr>
                <w:color w:val="auto"/>
              </w:rPr>
            </w:pPr>
            <w:r w:rsidRPr="00C078E8">
              <w:rPr>
                <w:color w:val="auto"/>
              </w:rPr>
              <w:t>(Chaudhary et al., 2019; Dutta et al., 2024; Hada et al., 2020; Huang et al., 2006)</w:t>
            </w:r>
          </w:p>
        </w:tc>
      </w:tr>
      <w:tr w:rsidR="00C078E8" w:rsidRPr="00C078E8" w14:paraId="56C52687" w14:textId="77777777">
        <w:trPr>
          <w:cantSplit/>
          <w:jc w:val="center"/>
        </w:trPr>
        <w:tc>
          <w:tcPr>
            <w:tcW w:w="1757" w:type="dxa"/>
            <w:tcMar>
              <w:top w:w="75" w:type="dxa"/>
              <w:left w:w="100" w:type="dxa"/>
              <w:bottom w:w="75" w:type="dxa"/>
              <w:right w:w="100" w:type="dxa"/>
            </w:tcMar>
            <w:vAlign w:val="center"/>
          </w:tcPr>
          <w:p w14:paraId="72D885A2" w14:textId="77777777" w:rsidR="003E2B81" w:rsidRPr="00C078E8" w:rsidRDefault="00000000">
            <w:pPr>
              <w:pStyle w:val="TableText"/>
              <w:spacing w:after="0"/>
              <w:rPr>
                <w:color w:val="auto"/>
              </w:rPr>
            </w:pPr>
            <w:r w:rsidRPr="00C078E8">
              <w:rPr>
                <w:color w:val="auto"/>
              </w:rPr>
              <w:t xml:space="preserve">Soybean cyst; </w:t>
            </w:r>
            <w:proofErr w:type="spellStart"/>
            <w:r w:rsidRPr="00C078E8">
              <w:rPr>
                <w:i/>
                <w:color w:val="auto"/>
              </w:rPr>
              <w:t>Heterodera</w:t>
            </w:r>
            <w:proofErr w:type="spellEnd"/>
            <w:r w:rsidRPr="00C078E8">
              <w:rPr>
                <w:i/>
                <w:color w:val="auto"/>
              </w:rPr>
              <w:t xml:space="preserve"> </w:t>
            </w:r>
            <w:proofErr w:type="spellStart"/>
            <w:r w:rsidRPr="00C078E8">
              <w:rPr>
                <w:i/>
                <w:color w:val="auto"/>
              </w:rPr>
              <w:t>glycines</w:t>
            </w:r>
            <w:proofErr w:type="spellEnd"/>
          </w:p>
        </w:tc>
        <w:tc>
          <w:tcPr>
            <w:tcW w:w="2621" w:type="dxa"/>
            <w:tcMar>
              <w:top w:w="75" w:type="dxa"/>
              <w:left w:w="100" w:type="dxa"/>
              <w:bottom w:w="75" w:type="dxa"/>
              <w:right w:w="100" w:type="dxa"/>
            </w:tcMar>
            <w:vAlign w:val="center"/>
          </w:tcPr>
          <w:p w14:paraId="778B8757" w14:textId="77777777" w:rsidR="003E2B81" w:rsidRPr="00C078E8" w:rsidRDefault="00000000">
            <w:pPr>
              <w:pStyle w:val="TableText"/>
              <w:spacing w:after="0"/>
              <w:rPr>
                <w:color w:val="auto"/>
              </w:rPr>
            </w:pPr>
            <w:r w:rsidRPr="00C078E8">
              <w:rPr>
                <w:color w:val="auto"/>
              </w:rPr>
              <w:t>Reproduction suppression and resistance outcomes in artificial-microRNA and stable host-line studies.</w:t>
            </w:r>
          </w:p>
        </w:tc>
        <w:tc>
          <w:tcPr>
            <w:tcW w:w="3168" w:type="dxa"/>
            <w:tcMar>
              <w:top w:w="75" w:type="dxa"/>
              <w:left w:w="100" w:type="dxa"/>
              <w:bottom w:w="75" w:type="dxa"/>
              <w:right w:w="100" w:type="dxa"/>
            </w:tcMar>
            <w:vAlign w:val="center"/>
          </w:tcPr>
          <w:p w14:paraId="3ED41F99" w14:textId="77777777" w:rsidR="003E2B81" w:rsidRPr="00C078E8" w:rsidRDefault="00000000">
            <w:pPr>
              <w:pStyle w:val="TableText"/>
              <w:spacing w:after="0"/>
              <w:rPr>
                <w:color w:val="auto"/>
              </w:rPr>
            </w:pPr>
            <w:r w:rsidRPr="00C078E8">
              <w:rPr>
                <w:color w:val="auto"/>
              </w:rPr>
              <w:t>Field races, isolines, pest inoculum and yield require broader validation.</w:t>
            </w:r>
          </w:p>
        </w:tc>
        <w:tc>
          <w:tcPr>
            <w:tcW w:w="2102" w:type="dxa"/>
            <w:tcMar>
              <w:top w:w="75" w:type="dxa"/>
              <w:left w:w="100" w:type="dxa"/>
              <w:bottom w:w="75" w:type="dxa"/>
              <w:right w:w="100" w:type="dxa"/>
            </w:tcMar>
            <w:vAlign w:val="center"/>
          </w:tcPr>
          <w:p w14:paraId="6ACD0852" w14:textId="77777777" w:rsidR="003E2B81" w:rsidRPr="00C078E8" w:rsidRDefault="00000000">
            <w:pPr>
              <w:pStyle w:val="TableText"/>
              <w:spacing w:after="0"/>
              <w:rPr>
                <w:color w:val="auto"/>
              </w:rPr>
            </w:pPr>
            <w:r w:rsidRPr="00C078E8">
              <w:rPr>
                <w:color w:val="auto"/>
              </w:rPr>
              <w:t>(Steeves et al., 2006; Tian et al., 2016, 2019; Zhang et al., 2022)</w:t>
            </w:r>
          </w:p>
        </w:tc>
      </w:tr>
      <w:tr w:rsidR="00C078E8" w:rsidRPr="00C078E8" w14:paraId="43697735" w14:textId="77777777">
        <w:trPr>
          <w:cantSplit/>
          <w:jc w:val="center"/>
        </w:trPr>
        <w:tc>
          <w:tcPr>
            <w:tcW w:w="1757" w:type="dxa"/>
            <w:tcMar>
              <w:top w:w="75" w:type="dxa"/>
              <w:left w:w="100" w:type="dxa"/>
              <w:bottom w:w="75" w:type="dxa"/>
              <w:right w:w="100" w:type="dxa"/>
            </w:tcMar>
            <w:vAlign w:val="center"/>
          </w:tcPr>
          <w:p w14:paraId="6463E2E1" w14:textId="77777777" w:rsidR="003E2B81" w:rsidRPr="00C078E8" w:rsidRDefault="00000000">
            <w:pPr>
              <w:pStyle w:val="TableText"/>
              <w:spacing w:after="0"/>
              <w:rPr>
                <w:color w:val="auto"/>
              </w:rPr>
            </w:pPr>
            <w:r w:rsidRPr="00C078E8">
              <w:rPr>
                <w:color w:val="auto"/>
              </w:rPr>
              <w:t xml:space="preserve">Cereal cyst; </w:t>
            </w:r>
            <w:proofErr w:type="spellStart"/>
            <w:r w:rsidRPr="00C078E8">
              <w:rPr>
                <w:i/>
                <w:color w:val="auto"/>
              </w:rPr>
              <w:t>Heterodera</w:t>
            </w:r>
            <w:proofErr w:type="spellEnd"/>
            <w:r w:rsidRPr="00C078E8">
              <w:rPr>
                <w:i/>
                <w:color w:val="auto"/>
              </w:rPr>
              <w:t xml:space="preserve"> </w:t>
            </w:r>
            <w:proofErr w:type="spellStart"/>
            <w:r w:rsidRPr="00C078E8">
              <w:rPr>
                <w:i/>
                <w:color w:val="auto"/>
              </w:rPr>
              <w:t>avenae</w:t>
            </w:r>
            <w:proofErr w:type="spellEnd"/>
          </w:p>
        </w:tc>
        <w:tc>
          <w:tcPr>
            <w:tcW w:w="2621" w:type="dxa"/>
            <w:tcMar>
              <w:top w:w="75" w:type="dxa"/>
              <w:left w:w="100" w:type="dxa"/>
              <w:bottom w:w="75" w:type="dxa"/>
              <w:right w:w="100" w:type="dxa"/>
            </w:tcMar>
            <w:vAlign w:val="center"/>
          </w:tcPr>
          <w:p w14:paraId="6703C9C5" w14:textId="77777777" w:rsidR="003E2B81" w:rsidRPr="00C078E8" w:rsidRDefault="00000000">
            <w:pPr>
              <w:pStyle w:val="TableText"/>
              <w:spacing w:after="0"/>
              <w:rPr>
                <w:color w:val="auto"/>
              </w:rPr>
            </w:pPr>
            <w:r w:rsidRPr="00C078E8">
              <w:rPr>
                <w:color w:val="auto"/>
              </w:rPr>
              <w:t>Gene interference associated with reduced parasitic success in a wheat host system.</w:t>
            </w:r>
          </w:p>
        </w:tc>
        <w:tc>
          <w:tcPr>
            <w:tcW w:w="3168" w:type="dxa"/>
            <w:tcMar>
              <w:top w:w="75" w:type="dxa"/>
              <w:left w:w="100" w:type="dxa"/>
              <w:bottom w:w="75" w:type="dxa"/>
              <w:right w:w="100" w:type="dxa"/>
            </w:tcMar>
            <w:vAlign w:val="center"/>
          </w:tcPr>
          <w:p w14:paraId="17608A52" w14:textId="77777777" w:rsidR="003E2B81" w:rsidRPr="00C078E8" w:rsidRDefault="00000000">
            <w:pPr>
              <w:pStyle w:val="TableText"/>
              <w:spacing w:after="0"/>
              <w:rPr>
                <w:color w:val="auto"/>
              </w:rPr>
            </w:pPr>
            <w:r w:rsidRPr="00C078E8">
              <w:rPr>
                <w:color w:val="auto"/>
              </w:rPr>
              <w:t>Crop genotypes and seasonal cyst persistence remain important.</w:t>
            </w:r>
          </w:p>
        </w:tc>
        <w:tc>
          <w:tcPr>
            <w:tcW w:w="2102" w:type="dxa"/>
            <w:tcMar>
              <w:top w:w="75" w:type="dxa"/>
              <w:left w:w="100" w:type="dxa"/>
              <w:bottom w:w="75" w:type="dxa"/>
              <w:right w:w="100" w:type="dxa"/>
            </w:tcMar>
            <w:vAlign w:val="center"/>
          </w:tcPr>
          <w:p w14:paraId="6DA73A03" w14:textId="77777777" w:rsidR="003E2B81" w:rsidRPr="00C078E8" w:rsidRDefault="00000000">
            <w:pPr>
              <w:pStyle w:val="TableText"/>
              <w:spacing w:after="0"/>
              <w:rPr>
                <w:color w:val="auto"/>
              </w:rPr>
            </w:pPr>
            <w:r w:rsidRPr="00C078E8">
              <w:rPr>
                <w:color w:val="auto"/>
              </w:rPr>
              <w:t>(Dutta et al., 2020)</w:t>
            </w:r>
          </w:p>
        </w:tc>
      </w:tr>
      <w:tr w:rsidR="00C078E8" w:rsidRPr="00C078E8" w14:paraId="43712465" w14:textId="77777777">
        <w:trPr>
          <w:cantSplit/>
          <w:jc w:val="center"/>
        </w:trPr>
        <w:tc>
          <w:tcPr>
            <w:tcW w:w="1757" w:type="dxa"/>
            <w:tcMar>
              <w:top w:w="75" w:type="dxa"/>
              <w:left w:w="100" w:type="dxa"/>
              <w:bottom w:w="75" w:type="dxa"/>
              <w:right w:w="100" w:type="dxa"/>
            </w:tcMar>
            <w:vAlign w:val="center"/>
          </w:tcPr>
          <w:p w14:paraId="400EF84E" w14:textId="77777777" w:rsidR="003E2B81" w:rsidRPr="00C078E8" w:rsidRDefault="00000000">
            <w:pPr>
              <w:pStyle w:val="TableText"/>
              <w:spacing w:after="0"/>
              <w:rPr>
                <w:color w:val="auto"/>
              </w:rPr>
            </w:pPr>
            <w:r w:rsidRPr="00C078E8">
              <w:rPr>
                <w:color w:val="auto"/>
              </w:rPr>
              <w:t xml:space="preserve">Potato cyst; </w:t>
            </w:r>
            <w:proofErr w:type="spellStart"/>
            <w:r w:rsidRPr="00C078E8">
              <w:rPr>
                <w:i/>
                <w:color w:val="auto"/>
              </w:rPr>
              <w:t>Globodera</w:t>
            </w:r>
            <w:proofErr w:type="spellEnd"/>
            <w:r w:rsidRPr="00C078E8">
              <w:rPr>
                <w:i/>
                <w:color w:val="auto"/>
              </w:rPr>
              <w:t xml:space="preserve"> </w:t>
            </w:r>
            <w:proofErr w:type="spellStart"/>
            <w:r w:rsidRPr="00C078E8">
              <w:rPr>
                <w:i/>
                <w:color w:val="auto"/>
              </w:rPr>
              <w:t>rostochiensis</w:t>
            </w:r>
            <w:proofErr w:type="spellEnd"/>
          </w:p>
        </w:tc>
        <w:tc>
          <w:tcPr>
            <w:tcW w:w="2621" w:type="dxa"/>
            <w:tcMar>
              <w:top w:w="75" w:type="dxa"/>
              <w:left w:w="100" w:type="dxa"/>
              <w:bottom w:w="75" w:type="dxa"/>
              <w:right w:w="100" w:type="dxa"/>
            </w:tcMar>
            <w:vAlign w:val="center"/>
          </w:tcPr>
          <w:p w14:paraId="1958B030" w14:textId="77777777" w:rsidR="003E2B81" w:rsidRPr="00C078E8" w:rsidRDefault="00000000">
            <w:pPr>
              <w:pStyle w:val="TableText"/>
              <w:spacing w:after="0"/>
              <w:rPr>
                <w:color w:val="auto"/>
              </w:rPr>
            </w:pPr>
            <w:r w:rsidRPr="00C078E8">
              <w:rPr>
                <w:color w:val="auto"/>
              </w:rPr>
              <w:t>Functional assays and a kaolinite-associated soil-drench pot study.</w:t>
            </w:r>
          </w:p>
        </w:tc>
        <w:tc>
          <w:tcPr>
            <w:tcW w:w="3168" w:type="dxa"/>
            <w:tcMar>
              <w:top w:w="75" w:type="dxa"/>
              <w:left w:w="100" w:type="dxa"/>
              <w:bottom w:w="75" w:type="dxa"/>
              <w:right w:w="100" w:type="dxa"/>
            </w:tcMar>
            <w:vAlign w:val="center"/>
          </w:tcPr>
          <w:p w14:paraId="7A6BF1D5" w14:textId="77777777" w:rsidR="003E2B81" w:rsidRPr="00C078E8" w:rsidRDefault="00000000">
            <w:pPr>
              <w:pStyle w:val="TableText"/>
              <w:spacing w:after="0"/>
              <w:rPr>
                <w:color w:val="auto"/>
              </w:rPr>
            </w:pPr>
            <w:r w:rsidRPr="00C078E8">
              <w:rPr>
                <w:color w:val="auto"/>
              </w:rPr>
              <w:t>One formulation and study context do not establish multisoil field performance.</w:t>
            </w:r>
          </w:p>
        </w:tc>
        <w:tc>
          <w:tcPr>
            <w:tcW w:w="2102" w:type="dxa"/>
            <w:tcMar>
              <w:top w:w="75" w:type="dxa"/>
              <w:left w:w="100" w:type="dxa"/>
              <w:bottom w:w="75" w:type="dxa"/>
              <w:right w:w="100" w:type="dxa"/>
            </w:tcMar>
            <w:vAlign w:val="center"/>
          </w:tcPr>
          <w:p w14:paraId="1A2974C3" w14:textId="77777777" w:rsidR="003E2B81" w:rsidRPr="00C078E8" w:rsidRDefault="00000000">
            <w:pPr>
              <w:pStyle w:val="TableText"/>
              <w:spacing w:after="0"/>
              <w:rPr>
                <w:color w:val="auto"/>
              </w:rPr>
            </w:pPr>
            <w:r w:rsidRPr="00C078E8">
              <w:rPr>
                <w:color w:val="auto"/>
              </w:rPr>
              <w:t>(Bairwa et al., 2026; Chen et al., 2005)</w:t>
            </w:r>
          </w:p>
        </w:tc>
      </w:tr>
      <w:tr w:rsidR="00C078E8" w:rsidRPr="00C078E8" w14:paraId="481F96EB" w14:textId="77777777">
        <w:trPr>
          <w:cantSplit/>
          <w:jc w:val="center"/>
        </w:trPr>
        <w:tc>
          <w:tcPr>
            <w:tcW w:w="1757" w:type="dxa"/>
            <w:tcMar>
              <w:top w:w="75" w:type="dxa"/>
              <w:left w:w="100" w:type="dxa"/>
              <w:bottom w:w="75" w:type="dxa"/>
              <w:right w:w="100" w:type="dxa"/>
            </w:tcMar>
            <w:vAlign w:val="center"/>
          </w:tcPr>
          <w:p w14:paraId="668E2270" w14:textId="77777777" w:rsidR="003E2B81" w:rsidRPr="00C078E8" w:rsidRDefault="00000000">
            <w:pPr>
              <w:pStyle w:val="TableText"/>
              <w:spacing w:after="0"/>
              <w:rPr>
                <w:color w:val="auto"/>
              </w:rPr>
            </w:pPr>
            <w:r w:rsidRPr="00C078E8">
              <w:rPr>
                <w:color w:val="auto"/>
              </w:rPr>
              <w:t xml:space="preserve">Migratory lesion; </w:t>
            </w:r>
            <w:proofErr w:type="spellStart"/>
            <w:r w:rsidRPr="00C078E8">
              <w:rPr>
                <w:i/>
                <w:color w:val="auto"/>
              </w:rPr>
              <w:t>Pratylenchus</w:t>
            </w:r>
            <w:proofErr w:type="spellEnd"/>
            <w:r w:rsidRPr="00C078E8">
              <w:rPr>
                <w:color w:val="auto"/>
              </w:rPr>
              <w:t xml:space="preserve"> spp.</w:t>
            </w:r>
          </w:p>
        </w:tc>
        <w:tc>
          <w:tcPr>
            <w:tcW w:w="2621" w:type="dxa"/>
            <w:tcMar>
              <w:top w:w="75" w:type="dxa"/>
              <w:left w:w="100" w:type="dxa"/>
              <w:bottom w:w="75" w:type="dxa"/>
              <w:right w:w="100" w:type="dxa"/>
            </w:tcMar>
            <w:vAlign w:val="center"/>
          </w:tcPr>
          <w:p w14:paraId="75CC042B" w14:textId="77777777" w:rsidR="003E2B81" w:rsidRPr="00C078E8" w:rsidRDefault="00000000">
            <w:pPr>
              <w:pStyle w:val="TableText"/>
              <w:spacing w:after="0"/>
              <w:rPr>
                <w:color w:val="auto"/>
              </w:rPr>
            </w:pPr>
            <w:r w:rsidRPr="00C078E8">
              <w:rPr>
                <w:color w:val="auto"/>
              </w:rPr>
              <w:t>Pretreatment gene silencing affected reproduction on plant hosts.</w:t>
            </w:r>
          </w:p>
        </w:tc>
        <w:tc>
          <w:tcPr>
            <w:tcW w:w="3168" w:type="dxa"/>
            <w:tcMar>
              <w:top w:w="75" w:type="dxa"/>
              <w:left w:w="100" w:type="dxa"/>
              <w:bottom w:w="75" w:type="dxa"/>
              <w:right w:w="100" w:type="dxa"/>
            </w:tcMar>
            <w:vAlign w:val="center"/>
          </w:tcPr>
          <w:p w14:paraId="2EC8CB86" w14:textId="77777777" w:rsidR="003E2B81" w:rsidRPr="00C078E8" w:rsidRDefault="00000000">
            <w:pPr>
              <w:pStyle w:val="TableText"/>
              <w:spacing w:after="0"/>
              <w:rPr>
                <w:color w:val="auto"/>
              </w:rPr>
            </w:pPr>
            <w:r w:rsidRPr="00C078E8">
              <w:rPr>
                <w:color w:val="auto"/>
              </w:rPr>
              <w:t>Initial direct treatment differs from realistic root-zone application.</w:t>
            </w:r>
          </w:p>
        </w:tc>
        <w:tc>
          <w:tcPr>
            <w:tcW w:w="2102" w:type="dxa"/>
            <w:tcMar>
              <w:top w:w="75" w:type="dxa"/>
              <w:left w:w="100" w:type="dxa"/>
              <w:bottom w:w="75" w:type="dxa"/>
              <w:right w:w="100" w:type="dxa"/>
            </w:tcMar>
            <w:vAlign w:val="center"/>
          </w:tcPr>
          <w:p w14:paraId="6834AEB7" w14:textId="77777777" w:rsidR="003E2B81" w:rsidRPr="00C078E8" w:rsidRDefault="00000000">
            <w:pPr>
              <w:pStyle w:val="TableText"/>
              <w:spacing w:after="0"/>
              <w:rPr>
                <w:color w:val="auto"/>
              </w:rPr>
            </w:pPr>
            <w:r w:rsidRPr="00C078E8">
              <w:rPr>
                <w:color w:val="auto"/>
              </w:rPr>
              <w:t>(Tan et al., 2013)</w:t>
            </w:r>
          </w:p>
        </w:tc>
      </w:tr>
      <w:tr w:rsidR="00C078E8" w:rsidRPr="00C078E8" w14:paraId="795BEC93" w14:textId="77777777">
        <w:trPr>
          <w:cantSplit/>
          <w:jc w:val="center"/>
        </w:trPr>
        <w:tc>
          <w:tcPr>
            <w:tcW w:w="1757" w:type="dxa"/>
            <w:tcMar>
              <w:top w:w="75" w:type="dxa"/>
              <w:left w:w="100" w:type="dxa"/>
              <w:bottom w:w="75" w:type="dxa"/>
              <w:right w:w="100" w:type="dxa"/>
            </w:tcMar>
            <w:vAlign w:val="center"/>
          </w:tcPr>
          <w:p w14:paraId="7EED998C" w14:textId="77777777" w:rsidR="003E2B81" w:rsidRPr="00C078E8" w:rsidRDefault="00000000">
            <w:pPr>
              <w:pStyle w:val="TableText"/>
              <w:spacing w:after="0"/>
              <w:rPr>
                <w:color w:val="auto"/>
              </w:rPr>
            </w:pPr>
            <w:r w:rsidRPr="00C078E8">
              <w:rPr>
                <w:color w:val="auto"/>
              </w:rPr>
              <w:t xml:space="preserve">Pine wood; </w:t>
            </w:r>
            <w:proofErr w:type="spellStart"/>
            <w:r w:rsidRPr="00C078E8">
              <w:rPr>
                <w:i/>
                <w:color w:val="auto"/>
              </w:rPr>
              <w:t>Bursaphelenchus</w:t>
            </w:r>
            <w:proofErr w:type="spellEnd"/>
            <w:r w:rsidRPr="00C078E8">
              <w:rPr>
                <w:i/>
                <w:color w:val="auto"/>
              </w:rPr>
              <w:t xml:space="preserve"> </w:t>
            </w:r>
            <w:proofErr w:type="spellStart"/>
            <w:r w:rsidRPr="00C078E8">
              <w:rPr>
                <w:i/>
                <w:color w:val="auto"/>
              </w:rPr>
              <w:t>xylophilus</w:t>
            </w:r>
            <w:proofErr w:type="spellEnd"/>
          </w:p>
        </w:tc>
        <w:tc>
          <w:tcPr>
            <w:tcW w:w="2621" w:type="dxa"/>
            <w:tcMar>
              <w:top w:w="75" w:type="dxa"/>
              <w:left w:w="100" w:type="dxa"/>
              <w:bottom w:w="75" w:type="dxa"/>
              <w:right w:w="100" w:type="dxa"/>
            </w:tcMar>
            <w:vAlign w:val="center"/>
          </w:tcPr>
          <w:p w14:paraId="7C288A70" w14:textId="77777777" w:rsidR="003E2B81" w:rsidRPr="00C078E8" w:rsidRDefault="00000000">
            <w:pPr>
              <w:pStyle w:val="TableText"/>
              <w:spacing w:after="0"/>
              <w:rPr>
                <w:color w:val="auto"/>
              </w:rPr>
            </w:pPr>
            <w:r w:rsidRPr="00C078E8">
              <w:rPr>
                <w:color w:val="auto"/>
              </w:rPr>
              <w:t>Experimental nanoconstructs and a field-oriented trunk-injection assay.</w:t>
            </w:r>
          </w:p>
        </w:tc>
        <w:tc>
          <w:tcPr>
            <w:tcW w:w="3168" w:type="dxa"/>
            <w:tcMar>
              <w:top w:w="75" w:type="dxa"/>
              <w:left w:w="100" w:type="dxa"/>
              <w:bottom w:w="75" w:type="dxa"/>
              <w:right w:w="100" w:type="dxa"/>
            </w:tcMar>
            <w:vAlign w:val="center"/>
          </w:tcPr>
          <w:p w14:paraId="3A53F12F" w14:textId="77777777" w:rsidR="003E2B81" w:rsidRPr="00C078E8" w:rsidRDefault="00000000">
            <w:pPr>
              <w:pStyle w:val="TableText"/>
              <w:spacing w:after="0"/>
              <w:rPr>
                <w:color w:val="auto"/>
              </w:rPr>
            </w:pPr>
            <w:r w:rsidRPr="00C078E8">
              <w:rPr>
                <w:color w:val="auto"/>
              </w:rPr>
              <w:t>Woody-tissue delivery is not directly generalisable to annual crop soils.</w:t>
            </w:r>
          </w:p>
        </w:tc>
        <w:tc>
          <w:tcPr>
            <w:tcW w:w="2102" w:type="dxa"/>
            <w:tcMar>
              <w:top w:w="75" w:type="dxa"/>
              <w:left w:w="100" w:type="dxa"/>
              <w:bottom w:w="75" w:type="dxa"/>
              <w:right w:w="100" w:type="dxa"/>
            </w:tcMar>
            <w:vAlign w:val="center"/>
          </w:tcPr>
          <w:p w14:paraId="415873B6" w14:textId="77777777" w:rsidR="003E2B81" w:rsidRPr="00C078E8" w:rsidRDefault="00000000">
            <w:pPr>
              <w:pStyle w:val="TableText"/>
              <w:spacing w:after="0"/>
              <w:rPr>
                <w:color w:val="auto"/>
              </w:rPr>
            </w:pPr>
            <w:r w:rsidRPr="00C078E8">
              <w:rPr>
                <w:color w:val="auto"/>
              </w:rPr>
              <w:t>(Guo et al., 2024; Song et al., 2026; Tao et al., 2026)</w:t>
            </w:r>
          </w:p>
        </w:tc>
      </w:tr>
      <w:tr w:rsidR="00C078E8" w:rsidRPr="00C078E8" w14:paraId="1DD49C02" w14:textId="77777777">
        <w:trPr>
          <w:cantSplit/>
          <w:jc w:val="center"/>
        </w:trPr>
        <w:tc>
          <w:tcPr>
            <w:tcW w:w="1757" w:type="dxa"/>
            <w:tcMar>
              <w:top w:w="75" w:type="dxa"/>
              <w:left w:w="100" w:type="dxa"/>
              <w:bottom w:w="75" w:type="dxa"/>
              <w:right w:w="100" w:type="dxa"/>
            </w:tcMar>
            <w:vAlign w:val="center"/>
          </w:tcPr>
          <w:p w14:paraId="568FACFA" w14:textId="77777777" w:rsidR="003E2B81" w:rsidRPr="00C078E8" w:rsidRDefault="00000000">
            <w:pPr>
              <w:pStyle w:val="TableText"/>
              <w:spacing w:after="0"/>
              <w:rPr>
                <w:color w:val="auto"/>
              </w:rPr>
            </w:pPr>
            <w:r w:rsidRPr="00C078E8">
              <w:rPr>
                <w:color w:val="auto"/>
              </w:rPr>
              <w:t xml:space="preserve">Free-living </w:t>
            </w:r>
            <w:proofErr w:type="spellStart"/>
            <w:r w:rsidRPr="00C078E8">
              <w:rPr>
                <w:i/>
                <w:color w:val="auto"/>
              </w:rPr>
              <w:t>Acrobeloides</w:t>
            </w:r>
            <w:proofErr w:type="spellEnd"/>
            <w:r w:rsidRPr="00C078E8">
              <w:rPr>
                <w:i/>
                <w:color w:val="auto"/>
              </w:rPr>
              <w:t xml:space="preserve"> nanus</w:t>
            </w:r>
          </w:p>
        </w:tc>
        <w:tc>
          <w:tcPr>
            <w:tcW w:w="2621" w:type="dxa"/>
            <w:tcMar>
              <w:top w:w="75" w:type="dxa"/>
              <w:left w:w="100" w:type="dxa"/>
              <w:bottom w:w="75" w:type="dxa"/>
              <w:right w:w="100" w:type="dxa"/>
            </w:tcMar>
            <w:vAlign w:val="center"/>
          </w:tcPr>
          <w:p w14:paraId="60EBCA1C" w14:textId="77777777" w:rsidR="003E2B81" w:rsidRPr="00C078E8" w:rsidRDefault="00000000">
            <w:pPr>
              <w:pStyle w:val="TableText"/>
              <w:spacing w:after="0"/>
              <w:rPr>
                <w:color w:val="auto"/>
              </w:rPr>
            </w:pPr>
            <w:r w:rsidRPr="00C078E8">
              <w:rPr>
                <w:color w:val="auto"/>
              </w:rPr>
              <w:t>Soil drench formulation activity against a non-parasitic nematode.</w:t>
            </w:r>
          </w:p>
        </w:tc>
        <w:tc>
          <w:tcPr>
            <w:tcW w:w="3168" w:type="dxa"/>
            <w:tcMar>
              <w:top w:w="75" w:type="dxa"/>
              <w:left w:w="100" w:type="dxa"/>
              <w:bottom w:w="75" w:type="dxa"/>
              <w:right w:w="100" w:type="dxa"/>
            </w:tcMar>
            <w:vAlign w:val="center"/>
          </w:tcPr>
          <w:p w14:paraId="50B58576" w14:textId="77777777" w:rsidR="003E2B81" w:rsidRPr="00C078E8" w:rsidRDefault="00000000">
            <w:pPr>
              <w:pStyle w:val="TableText"/>
              <w:spacing w:after="0"/>
              <w:rPr>
                <w:color w:val="auto"/>
              </w:rPr>
            </w:pPr>
            <w:r w:rsidRPr="00C078E8">
              <w:rPr>
                <w:color w:val="auto"/>
              </w:rPr>
              <w:t>This is not plant-pest control evidence; it bears on exposure and selectivity.</w:t>
            </w:r>
          </w:p>
        </w:tc>
        <w:tc>
          <w:tcPr>
            <w:tcW w:w="2102" w:type="dxa"/>
            <w:tcMar>
              <w:top w:w="75" w:type="dxa"/>
              <w:left w:w="100" w:type="dxa"/>
              <w:bottom w:w="75" w:type="dxa"/>
              <w:right w:w="100" w:type="dxa"/>
            </w:tcMar>
            <w:vAlign w:val="center"/>
          </w:tcPr>
          <w:p w14:paraId="5ECDF248" w14:textId="77777777" w:rsidR="003E2B81" w:rsidRPr="00C078E8" w:rsidRDefault="00000000">
            <w:pPr>
              <w:pStyle w:val="TableText"/>
              <w:spacing w:after="0"/>
              <w:rPr>
                <w:color w:val="auto"/>
              </w:rPr>
            </w:pPr>
            <w:r w:rsidRPr="00C078E8">
              <w:rPr>
                <w:color w:val="auto"/>
              </w:rPr>
              <w:t>(Song et al., 2025)</w:t>
            </w:r>
          </w:p>
        </w:tc>
      </w:tr>
    </w:tbl>
    <w:p w14:paraId="0071C921" w14:textId="77777777" w:rsidR="003E2B81" w:rsidRPr="00C078E8" w:rsidRDefault="00000000">
      <w:pPr>
        <w:pStyle w:val="TableNote"/>
        <w:rPr>
          <w:color w:val="auto"/>
        </w:rPr>
      </w:pPr>
      <w:r w:rsidRPr="00C078E8">
        <w:rPr>
          <w:color w:val="auto"/>
        </w:rPr>
        <w:t>Note. Each row refers to representative evidence, not every published study for that guild. Nematode stages and host systems are not interchangeable.</w:t>
      </w:r>
    </w:p>
    <w:p w14:paraId="283DA6A5" w14:textId="77777777" w:rsidR="003E2B81" w:rsidRPr="00C078E8" w:rsidRDefault="00000000">
      <w:pPr>
        <w:pStyle w:val="Heading1"/>
        <w:rPr>
          <w:color w:val="auto"/>
        </w:rPr>
      </w:pPr>
      <w:r w:rsidRPr="00C078E8">
        <w:rPr>
          <w:color w:val="auto"/>
        </w:rPr>
        <w:lastRenderedPageBreak/>
        <w:t>7. Evidence Quality, Reproducibility and Scaling to Agronomic Performance</w:t>
      </w:r>
    </w:p>
    <w:p w14:paraId="602ECF7F" w14:textId="77777777" w:rsidR="003E2B81" w:rsidRPr="00C078E8" w:rsidRDefault="00000000">
      <w:pPr>
        <w:pStyle w:val="Heading2"/>
        <w:rPr>
          <w:color w:val="auto"/>
        </w:rPr>
      </w:pPr>
      <w:r w:rsidRPr="00C078E8">
        <w:rPr>
          <w:color w:val="auto"/>
        </w:rPr>
        <w:t>7.1 A hierarchy of endpoints, not a single efficacy percentage</w:t>
      </w:r>
    </w:p>
    <w:p w14:paraId="7EDB3262" w14:textId="77777777" w:rsidR="003E2B81" w:rsidRPr="00C078E8" w:rsidRDefault="00000000">
      <w:pPr>
        <w:rPr>
          <w:color w:val="auto"/>
        </w:rPr>
      </w:pPr>
      <w:r w:rsidRPr="00C078E8">
        <w:rPr>
          <w:color w:val="auto"/>
        </w:rPr>
        <w:t>Published RNAi studies report quantities as varied as percentage reduction in messenger RNA, juvenile survival, root penetration, gall number, female count, egg production, cyst development, reproduction factor and disease-control rate. These observations answer different questions. A molecular reduction demonstrates biochemical engagement; a behavioural change can support a plausible mechanism; a lower reproductive index indicates suppression of population multiplication; and a yield response addresses the farmer's immediate economic objective. They are not convertible by a common scaling factor. When studies present large percentage reductions without clear definitions of the denominator and timing, apparent differences may reflect choice of outcome rather than actual differences in product quality (Chaudhary et al., 2019; Tian et al., 2019; Zhang et al., 2022).</w:t>
      </w:r>
    </w:p>
    <w:p w14:paraId="3A28C9B2" w14:textId="77777777" w:rsidR="003E2B81" w:rsidRPr="00C078E8" w:rsidRDefault="00000000">
      <w:pPr>
        <w:rPr>
          <w:color w:val="auto"/>
        </w:rPr>
      </w:pPr>
      <w:r w:rsidRPr="00C078E8">
        <w:rPr>
          <w:color w:val="auto"/>
        </w:rPr>
        <w:t>A suitable endpoint hierarchy starts with the intervention being present and intact in the relevant compartment, followed by evidence of nematode uptake and silencing, then a biologically relevant phenotype, infection or population reduction, and crop benefit. All components do not have to be measured in every preliminary experiment, but stronger translational claims demand evidence from more of the chain. Where field control is the stated goal, treatment effects need a comparator consistent with practice, such as a recognised integrated-management regime, not only an untreated control. The results also need uncertainty estimates based on independent experimental units. Treating individual nematodes from the same root system as independent replicates risks exaggerating precision when the experimental treatment was applied at the plant or pot level.</w:t>
      </w:r>
    </w:p>
    <w:p w14:paraId="49CE8150" w14:textId="77777777" w:rsidR="003E2B81" w:rsidRPr="00C078E8" w:rsidRDefault="00000000">
      <w:pPr>
        <w:pStyle w:val="Heading2"/>
        <w:rPr>
          <w:color w:val="auto"/>
        </w:rPr>
      </w:pPr>
      <w:r w:rsidRPr="00C078E8">
        <w:rPr>
          <w:color w:val="auto"/>
        </w:rPr>
        <w:t>7.2 Confounding by plant development and assay timing</w:t>
      </w:r>
    </w:p>
    <w:p w14:paraId="1243B720" w14:textId="77777777" w:rsidR="003E2B81" w:rsidRPr="00C078E8" w:rsidRDefault="00000000">
      <w:pPr>
        <w:rPr>
          <w:color w:val="auto"/>
        </w:rPr>
      </w:pPr>
      <w:r w:rsidRPr="00C078E8">
        <w:rPr>
          <w:color w:val="auto"/>
        </w:rPr>
        <w:t>Plant growth is both an outcome and a determinant of measured nematode burden. A large, vigorous root system may sustain more total nematodes while suffering less damage per unit root mass; a stunted root system may support fewer nematodes simply because fewer feeding sites are available. Depending on the hypothesis, counts per plant, per mass of root, or per unit sampled soil may all be informative, but they should not be conflated. Studies of transgenic plants have an additional potential source of confounding in transformation event and genetic background. Comparing several independent lines with appropriate controls can help distinguish silencing-associated effects from plant-line artefacts (Steeves et al., 2006; Tian et al., 2019).</w:t>
      </w:r>
    </w:p>
    <w:p w14:paraId="4AD51107" w14:textId="77777777" w:rsidR="003E2B81" w:rsidRPr="00C078E8" w:rsidRDefault="00000000">
      <w:pPr>
        <w:rPr>
          <w:color w:val="auto"/>
        </w:rPr>
      </w:pPr>
      <w:r w:rsidRPr="00C078E8">
        <w:rPr>
          <w:color w:val="auto"/>
        </w:rPr>
        <w:t>The time of observation matters particularly when a treatment retards rather than prevents development. A snapshot shortly before the expected appearance of gravid females could show a large reduction in egg-bearing nematodes even if many delayed individuals reproduce later. Repeated sampling or an appropriately complete lifecycle observation provides a clearer estimate of reproductive impact. For transient soaking interventions, researchers should test whether an initially suppressed transcript remains low as the juvenile enters or establishes a feeding site. Similarly, field studies of injected or soil-applied RNA should document the interval from application to inoculation and outcome because efficacy may diminish as intact RNA becomes unavailable (Rosso et al., 2005; Song et al., 2026).</w:t>
      </w:r>
    </w:p>
    <w:p w14:paraId="6AFB218B" w14:textId="77777777" w:rsidR="003E2B81" w:rsidRPr="00C078E8" w:rsidRDefault="00000000">
      <w:pPr>
        <w:pStyle w:val="Heading2"/>
        <w:rPr>
          <w:color w:val="auto"/>
        </w:rPr>
      </w:pPr>
      <w:r w:rsidRPr="00C078E8">
        <w:rPr>
          <w:color w:val="auto"/>
        </w:rPr>
        <w:t>7.3 Heterogeneity is a scientific result</w:t>
      </w:r>
    </w:p>
    <w:p w14:paraId="3F42AFD5" w14:textId="77777777" w:rsidR="003E2B81" w:rsidRPr="00C078E8" w:rsidRDefault="00000000">
      <w:pPr>
        <w:rPr>
          <w:color w:val="auto"/>
        </w:rPr>
      </w:pPr>
      <w:r w:rsidRPr="00C078E8">
        <w:rPr>
          <w:color w:val="auto"/>
        </w:rPr>
        <w:t>The literature contains cases of effective host-induced protection, partial suppression, nonlethal gene silencing and unexpectedly heterogeneous transcript responses (Charlton et al., 2010; Fairbairn et al., 2007; Iqbal et al., 2020). These findings cannot be averaged conceptually into the statement that RNAi generally works. Divergence can arise from target biology, different dsRNA fragments, exposure duration, nematode stage, the competence of the RNAi apparatus, plant processing and measurement conditions. Without experiments that hold most variables constant, a strong result in one study and a weak result in another rarely support a direct causal explanation for the discrepancy.</w:t>
      </w:r>
    </w:p>
    <w:p w14:paraId="7C604C3A" w14:textId="77777777" w:rsidR="003E2B81" w:rsidRPr="00C078E8" w:rsidRDefault="00000000">
      <w:pPr>
        <w:rPr>
          <w:color w:val="auto"/>
        </w:rPr>
      </w:pPr>
      <w:r w:rsidRPr="00C078E8">
        <w:rPr>
          <w:color w:val="auto"/>
        </w:rPr>
        <w:lastRenderedPageBreak/>
        <w:t>Independent replication should be designed to separate robustness from optimisation. Repeating an assay in the same laboratory with the same nematode isolate establishes technical or local biological reproducibility, whereas reproducing the effect in another isolate, cultivar, soil and season addresses transferability. In a product-development context, both are necessary. The absence of multienvironment yield trials cannot be repaired by reporting molecular expression from additional plant lines, although those data strengthen the case for stable target engagement. Conversely, a field reduction in disease symptoms without measured RNA uptake cannot definitively assign the mechanism to sequence-specific silencing. A strong programme combines orthogonal evidence rather than merely increasing the number of observations of one type.</w:t>
      </w:r>
    </w:p>
    <w:p w14:paraId="155942B6" w14:textId="77777777" w:rsidR="003E2B81" w:rsidRPr="00C078E8" w:rsidRDefault="00000000">
      <w:pPr>
        <w:pStyle w:val="Heading2"/>
        <w:rPr>
          <w:color w:val="auto"/>
        </w:rPr>
      </w:pPr>
      <w:r w:rsidRPr="00C078E8">
        <w:rPr>
          <w:color w:val="auto"/>
        </w:rPr>
        <w:t>7.4 Field conditions change the limiting step</w:t>
      </w:r>
    </w:p>
    <w:p w14:paraId="1C60FA7D" w14:textId="77777777" w:rsidR="003E2B81" w:rsidRPr="00C078E8" w:rsidRDefault="00000000">
      <w:pPr>
        <w:rPr>
          <w:color w:val="auto"/>
        </w:rPr>
      </w:pPr>
      <w:r w:rsidRPr="00C078E8">
        <w:rPr>
          <w:color w:val="auto"/>
        </w:rPr>
        <w:t>In a laboratory soaking experiment, target competence may be the principal source of variation because contact with dsRNA is deliberately ensured. In soil, the limiting step may shift to environmental persistence, spatial dispersion or nematode encounter. In transgenic roots, it may shift to local trigger expression and movement across the feeding interface. In forestry trunk injection, it may shift to distribution through woody tissues and persistence in infected zones. This changing identity of the limiting step explains why a molecule with excellent laboratory potency can disappoint after deployment without invalidating the RNAi mechanism itself. It also explains why delivery-focused formulations deserve evaluation as experimental interventions, rather than as mere packaging of an already established active ingredient (Bairwa et al., 2026; Opdensteinen et al., 2024; Song et al., 2026).</w:t>
      </w:r>
    </w:p>
    <w:p w14:paraId="4F7653FE" w14:textId="77777777" w:rsidR="003E2B81" w:rsidRPr="00C078E8" w:rsidRDefault="00000000">
      <w:pPr>
        <w:rPr>
          <w:color w:val="auto"/>
        </w:rPr>
      </w:pPr>
      <w:r w:rsidRPr="00C078E8">
        <w:rPr>
          <w:color w:val="auto"/>
        </w:rPr>
        <w:t>Experimental comparability would improve if reports routinely documented cultivar, nematode isolate, initial density, life stage, treatment sequence, dsRNA dose and integrity, experimental unit, duration, primary outcome and variation. Molecular silencing should be linked to nematodes recovered from the exposure context wherever feasible. For greenhouse or field trials, at least one nematode population endpoint and one plant-performance endpoint should be preselected. This approach would not force every study into an identical protocol, but it would make efficacy claims interpretable and make future synthesis less vulnerable to selective reporting.</w:t>
      </w:r>
    </w:p>
    <w:p w14:paraId="0981152A" w14:textId="77777777" w:rsidR="003E2B81" w:rsidRPr="00C078E8" w:rsidRDefault="00000000">
      <w:pPr>
        <w:pStyle w:val="Heading1"/>
        <w:rPr>
          <w:color w:val="auto"/>
        </w:rPr>
      </w:pPr>
      <w:r w:rsidRPr="00C078E8">
        <w:rPr>
          <w:color w:val="auto"/>
        </w:rPr>
        <w:t>8. Ecological Selectivity, Resistance and Responsible Deployment</w:t>
      </w:r>
    </w:p>
    <w:p w14:paraId="38159039" w14:textId="77777777" w:rsidR="003E2B81" w:rsidRPr="00C078E8" w:rsidRDefault="00000000">
      <w:pPr>
        <w:pStyle w:val="Heading2"/>
        <w:rPr>
          <w:color w:val="auto"/>
        </w:rPr>
      </w:pPr>
      <w:r w:rsidRPr="00C078E8">
        <w:rPr>
          <w:color w:val="auto"/>
        </w:rPr>
        <w:t>8.1 Sequence-specific activity does not prove ecological safety</w:t>
      </w:r>
    </w:p>
    <w:p w14:paraId="2E4ABBBE" w14:textId="77777777" w:rsidR="003E2B81" w:rsidRPr="00C078E8" w:rsidRDefault="00000000">
      <w:pPr>
        <w:rPr>
          <w:color w:val="auto"/>
        </w:rPr>
      </w:pPr>
      <w:r w:rsidRPr="00C078E8">
        <w:rPr>
          <w:color w:val="auto"/>
        </w:rPr>
        <w:t xml:space="preserve">RNAi is often described as intrinsically selective because its recognition step depends on sequence complementarity. That principle is legitimate, but ecological risk depends on more than complementarity. The same dsRNA can encounter target and non-target organisms at different concentrations, and those organisms may vary in uptake, processing and physiological sensitivity. The risk assessment therefore has at least three components: the presence of potentially active sequence matches, exposure to biologically available RNA and adverse biological effects under plausible exposure. A claim of 'no off-targets' derived only from a limited alignment is weaker than a conclusion supported by tests of representative exposed organisms. The free-living </w:t>
      </w:r>
      <w:r w:rsidRPr="00C078E8">
        <w:rPr>
          <w:i/>
          <w:color w:val="auto"/>
        </w:rPr>
        <w:t>Acrobeloides</w:t>
      </w:r>
      <w:r w:rsidRPr="00C078E8">
        <w:rPr>
          <w:color w:val="auto"/>
        </w:rPr>
        <w:t xml:space="preserve"> formulation study is relevant to this point because it shows that experimental activity against a nematode does not necessarily imply desired pest selectivity (Song et al., 2025).</w:t>
      </w:r>
    </w:p>
    <w:p w14:paraId="0411241F" w14:textId="77777777" w:rsidR="003E2B81" w:rsidRPr="00C078E8" w:rsidRDefault="00000000">
      <w:pPr>
        <w:rPr>
          <w:color w:val="auto"/>
        </w:rPr>
      </w:pPr>
      <w:r w:rsidRPr="00C078E8">
        <w:rPr>
          <w:color w:val="auto"/>
        </w:rPr>
        <w:t xml:space="preserve">Beneficial bacterivorous, fungivorous and predatory nematodes contribute to soil food webs, and their possible exposure differs among a systemic transgenic root, soil drench and trunk injection. Assessments should consider organisms selected according to likely exposure and ecological role, not merely those most convenient to rear. If a dsRNA target belongs to a broadly conserved gene family, a wider phylogenetic panel is warranted. If the sequence is confined to a narrow effector region, testing can prioritise species in which shorter matches or shared pathways remain plausible. This tiered approach avoids both the unrealistic demand that every organism be tested </w:t>
      </w:r>
      <w:r w:rsidRPr="00C078E8">
        <w:rPr>
          <w:color w:val="auto"/>
        </w:rPr>
        <w:lastRenderedPageBreak/>
        <w:t>and the equally weak inference that a sequence-specific target cannot affect non-targets (Opdensteinen et al., 2024; Singh et al., 2026).</w:t>
      </w:r>
    </w:p>
    <w:p w14:paraId="20A3604D" w14:textId="77777777" w:rsidR="003E2B81" w:rsidRPr="00C078E8" w:rsidRDefault="00000000">
      <w:pPr>
        <w:pStyle w:val="Heading2"/>
        <w:rPr>
          <w:color w:val="auto"/>
        </w:rPr>
      </w:pPr>
      <w:r w:rsidRPr="00C078E8">
        <w:rPr>
          <w:color w:val="auto"/>
        </w:rPr>
        <w:t>8.2 Environmental fate must be formulation- and site-specific</w:t>
      </w:r>
    </w:p>
    <w:p w14:paraId="36B235CD" w14:textId="77777777" w:rsidR="003E2B81" w:rsidRPr="00C078E8" w:rsidRDefault="00000000">
      <w:pPr>
        <w:rPr>
          <w:color w:val="auto"/>
        </w:rPr>
      </w:pPr>
      <w:r w:rsidRPr="00C078E8">
        <w:rPr>
          <w:color w:val="auto"/>
        </w:rPr>
        <w:t>Naked dsRNA may be degraded by environmental nucleases and microbial activity, while mineral surfaces, polymers and other carrier materials may change protection, transport and retention. An agricultural soil study found rapid dissipation for the particular tested dsRNA under its experimental conditions, supporting the general need to assess environmental fate rather than infer indefinite persistence (Dubelman et al., 2014). It does not establish a universal half-life or validate the exposure of plant-parasitic nematodes to a different formulation. A protected carrier may extend the time during which the RNA remains intact, which is beneficial for target control but may also extend opportunities for unintended exposure. Stability is thus both an efficacy design variable and a component of ecological risk assessment.</w:t>
      </w:r>
    </w:p>
    <w:p w14:paraId="6DC6CC6A" w14:textId="77777777" w:rsidR="003E2B81" w:rsidRPr="00C078E8" w:rsidRDefault="00000000">
      <w:pPr>
        <w:rPr>
          <w:color w:val="auto"/>
        </w:rPr>
      </w:pPr>
      <w:r w:rsidRPr="00C078E8">
        <w:rPr>
          <w:color w:val="auto"/>
        </w:rPr>
        <w:t>Longer persistence should not automatically be considered superior. A field with brief juvenile emergence might require only a short, well-timed pulse, whereas a long-lived expression system could create unnecessary exposure outside the critical window. Conversely, durable nematode populations emerging over weeks could defeat a short-lived application even if the initial dose is large. Research should characterise the release pattern, recovery of intact dsRNA, biologically active fractions and the interval over which susceptible nematode stages are present. Soil texture, organic matter, water content and microbial activity may all alter outcomes, so single-soil results are best treated as site-specific evidence unless a broader environmental gradient has actually been tested (Bairwa et al., 2026; Dubelman et al., 2014).</w:t>
      </w:r>
    </w:p>
    <w:p w14:paraId="7E9D01A1" w14:textId="77777777" w:rsidR="003E2B81" w:rsidRPr="00C078E8" w:rsidRDefault="00000000">
      <w:pPr>
        <w:pStyle w:val="Heading2"/>
        <w:rPr>
          <w:color w:val="auto"/>
        </w:rPr>
      </w:pPr>
      <w:r w:rsidRPr="00C078E8">
        <w:rPr>
          <w:color w:val="auto"/>
        </w:rPr>
        <w:t>8.3 Selection pressure, escape and resistance management</w:t>
      </w:r>
    </w:p>
    <w:p w14:paraId="685478E5" w14:textId="77777777" w:rsidR="003E2B81" w:rsidRPr="00C078E8" w:rsidRDefault="00000000">
      <w:pPr>
        <w:rPr>
          <w:color w:val="auto"/>
        </w:rPr>
      </w:pPr>
      <w:r w:rsidRPr="00C078E8">
        <w:rPr>
          <w:color w:val="auto"/>
        </w:rPr>
        <w:t>The prospect of resistant nematodes follows logically from sustained selection, but the evidence reviewed here does not establish a quantified field rate of resistance to a commercial RNAi nematicide. Potential routes include variation in target sequence, gene expression or function, changed uptake, altered intracellular RNA-processing capacity and avoidance of the exposure window. These mechanisms are hypotheses for investigation, not established descriptions of resistance evolving under routine agricultural deployment. Gene families, sequence diversity among isolates and stage-specific responses make resistance biologically plausible, particularly where a single target is applied repeatedly (Iqbal et al., 2020; Singh et al., 2026).</w:t>
      </w:r>
    </w:p>
    <w:p w14:paraId="0BAEC954" w14:textId="77777777" w:rsidR="003E2B81" w:rsidRPr="00C078E8" w:rsidRDefault="00000000">
      <w:pPr>
        <w:rPr>
          <w:color w:val="auto"/>
        </w:rPr>
      </w:pPr>
      <w:r w:rsidRPr="00C078E8">
        <w:rPr>
          <w:color w:val="auto"/>
        </w:rPr>
        <w:t>Stacking targets may lower reliance on one molecular vulnerability, but only if both are effectively engaged and sufficiently independent in function. A combined construct in which one target dominates the phenotype may create much the same selective pressure as a single-gene product. Rotation or combination with crop resistance, rotation, sanitation and compatible biological measures is therefore a rational stewardship principle, although the optimum sequence of interventions remains empirically unresolved. Surveillance should use isolates collected before and after exposure and assess both target sequences and susceptibility under standardised assays. An apparent reduction in field efficacy must first be separated from differences in weather, application timing or initial infestation before being attributed to evolved resistance.</w:t>
      </w:r>
    </w:p>
    <w:p w14:paraId="4B6E50B7" w14:textId="77777777" w:rsidR="003E2B81" w:rsidRPr="00C078E8" w:rsidRDefault="00000000">
      <w:pPr>
        <w:pStyle w:val="Heading2"/>
        <w:rPr>
          <w:color w:val="auto"/>
        </w:rPr>
      </w:pPr>
      <w:r w:rsidRPr="00C078E8">
        <w:rPr>
          <w:color w:val="auto"/>
        </w:rPr>
        <w:t>8.4 Equity, cost and implementation feasibility</w:t>
      </w:r>
    </w:p>
    <w:p w14:paraId="621B54F8" w14:textId="77777777" w:rsidR="003E2B81" w:rsidRPr="00C078E8" w:rsidRDefault="00000000">
      <w:pPr>
        <w:rPr>
          <w:color w:val="auto"/>
        </w:rPr>
      </w:pPr>
      <w:r w:rsidRPr="00C078E8">
        <w:rPr>
          <w:color w:val="auto"/>
        </w:rPr>
        <w:t xml:space="preserve">Precision technologies can fail in practice even where they are biologically successful. Transgenic deployment entails access to suitable plant material, breeding capacity and acceptance within local seed systems. Exogenous formulations entail production costs, storage conditions, application equipment, worker training and product stability after dilution. A technique suited to high-value perennial trees may not be economically appropriate for low-margin annual field crops, even if per-treatment biological effectiveness is similar. These differences are not secondary administrative issues; they determine whether the intervention can replace or usefully complement </w:t>
      </w:r>
      <w:r w:rsidRPr="00C078E8">
        <w:rPr>
          <w:color w:val="auto"/>
        </w:rPr>
        <w:lastRenderedPageBreak/>
        <w:t>current practices. The literature's emphasis on dsRNA manufacturing and nanocarrier development indicates that these constraints are integral to product readiness (Opdensteinen et al., 2024; Singh et al., 2026).</w:t>
      </w:r>
    </w:p>
    <w:p w14:paraId="4D979BCA" w14:textId="77777777" w:rsidR="003E2B81" w:rsidRPr="00C078E8" w:rsidRDefault="00000000">
      <w:pPr>
        <w:rPr>
          <w:color w:val="auto"/>
        </w:rPr>
      </w:pPr>
      <w:r w:rsidRPr="00C078E8">
        <w:rPr>
          <w:color w:val="auto"/>
        </w:rPr>
        <w:t>A credible economic evaluation should compare incremental yield or avoided damage with full product and application costs, including repeated applications, monitoring and any crop-development expense. Where nematode suppression mainly reduces future population pressure rather than current-season damage, multiseason benefits and discounting matter. Trial design should avoid assuming that a reduction in an experimental reproduction factor has an immediately monetisable yield equivalent. Market uptake will depend partly on whether RNAi improves a particular difficult management situation, such as a resistance-breaking population, rather than on whether it exhibits the greatest molecular specificity in laboratory tests.</w:t>
      </w:r>
    </w:p>
    <w:p w14:paraId="4C406B39" w14:textId="77777777" w:rsidR="003E2B81" w:rsidRPr="00C078E8" w:rsidRDefault="00000000">
      <w:pPr>
        <w:rPr>
          <w:color w:val="auto"/>
        </w:rPr>
      </w:pPr>
      <w:r w:rsidRPr="00C078E8">
        <w:rPr>
          <w:color w:val="auto"/>
        </w:rPr>
        <w:t>Table 5 integrates the principal developmental risks with measurements and decisions that could reduce uncertainty. It is organised by evidence gap rather than presenting unverified numerical risk scores, because quantitative comparisons across current platforms would imply more standardisation than the studies provide.</w:t>
      </w:r>
    </w:p>
    <w:p w14:paraId="5E5E578D" w14:textId="77777777" w:rsidR="003E2B81" w:rsidRPr="00C078E8" w:rsidRDefault="00000000">
      <w:pPr>
        <w:pStyle w:val="TableCaption"/>
        <w:keepNext/>
        <w:rPr>
          <w:color w:val="auto"/>
        </w:rPr>
      </w:pPr>
      <w:r w:rsidRPr="00C078E8">
        <w:rPr>
          <w:b/>
          <w:color w:val="auto"/>
        </w:rPr>
        <w:t>Table 5. Priority sources of uncertainty and the corresponding validation requirements</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6C0B15C8" w14:textId="77777777">
        <w:trPr>
          <w:cantSplit/>
          <w:tblHeader/>
          <w:jc w:val="center"/>
        </w:trPr>
        <w:tc>
          <w:tcPr>
            <w:tcW w:w="1757" w:type="dxa"/>
            <w:shd w:val="clear" w:color="auto" w:fill="E7ECF0"/>
            <w:tcMar>
              <w:top w:w="100" w:type="dxa"/>
              <w:left w:w="95" w:type="dxa"/>
              <w:bottom w:w="100" w:type="dxa"/>
              <w:right w:w="95" w:type="dxa"/>
            </w:tcMar>
            <w:vAlign w:val="center"/>
          </w:tcPr>
          <w:p w14:paraId="6451A100" w14:textId="77777777" w:rsidR="003E2B81" w:rsidRPr="00C078E8" w:rsidRDefault="00000000">
            <w:pPr>
              <w:pStyle w:val="TableHeader"/>
              <w:spacing w:after="0"/>
              <w:rPr>
                <w:color w:val="auto"/>
              </w:rPr>
            </w:pPr>
            <w:r w:rsidRPr="00C078E8">
              <w:rPr>
                <w:color w:val="auto"/>
              </w:rPr>
              <w:t>Translational uncertainty</w:t>
            </w:r>
          </w:p>
        </w:tc>
        <w:tc>
          <w:tcPr>
            <w:tcW w:w="2621" w:type="dxa"/>
            <w:shd w:val="clear" w:color="auto" w:fill="E7ECF0"/>
            <w:tcMar>
              <w:top w:w="100" w:type="dxa"/>
              <w:left w:w="95" w:type="dxa"/>
              <w:bottom w:w="100" w:type="dxa"/>
              <w:right w:w="95" w:type="dxa"/>
            </w:tcMar>
            <w:vAlign w:val="center"/>
          </w:tcPr>
          <w:p w14:paraId="2A9A629B" w14:textId="77777777" w:rsidR="003E2B81" w:rsidRPr="00C078E8" w:rsidRDefault="00000000">
            <w:pPr>
              <w:pStyle w:val="TableHeader"/>
              <w:spacing w:after="0"/>
              <w:rPr>
                <w:color w:val="auto"/>
              </w:rPr>
            </w:pPr>
            <w:r w:rsidRPr="00C078E8">
              <w:rPr>
                <w:color w:val="auto"/>
              </w:rPr>
              <w:t>Recommended empirical test</w:t>
            </w:r>
          </w:p>
        </w:tc>
        <w:tc>
          <w:tcPr>
            <w:tcW w:w="3168" w:type="dxa"/>
            <w:shd w:val="clear" w:color="auto" w:fill="E7ECF0"/>
            <w:tcMar>
              <w:top w:w="100" w:type="dxa"/>
              <w:left w:w="95" w:type="dxa"/>
              <w:bottom w:w="100" w:type="dxa"/>
              <w:right w:w="95" w:type="dxa"/>
            </w:tcMar>
            <w:vAlign w:val="center"/>
          </w:tcPr>
          <w:p w14:paraId="7FC59378" w14:textId="77777777" w:rsidR="003E2B81" w:rsidRPr="00C078E8" w:rsidRDefault="00000000">
            <w:pPr>
              <w:pStyle w:val="TableHeader"/>
              <w:spacing w:after="0"/>
              <w:rPr>
                <w:color w:val="auto"/>
              </w:rPr>
            </w:pPr>
            <w:r w:rsidRPr="00C078E8">
              <w:rPr>
                <w:color w:val="auto"/>
              </w:rPr>
              <w:t>Interpretive or deployment decision</w:t>
            </w:r>
          </w:p>
        </w:tc>
        <w:tc>
          <w:tcPr>
            <w:tcW w:w="2102" w:type="dxa"/>
            <w:shd w:val="clear" w:color="auto" w:fill="E7ECF0"/>
            <w:tcMar>
              <w:top w:w="100" w:type="dxa"/>
              <w:left w:w="95" w:type="dxa"/>
              <w:bottom w:w="100" w:type="dxa"/>
              <w:right w:w="95" w:type="dxa"/>
            </w:tcMar>
            <w:vAlign w:val="center"/>
          </w:tcPr>
          <w:p w14:paraId="59B76784"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36A53B4E" w14:textId="77777777">
        <w:trPr>
          <w:cantSplit/>
          <w:jc w:val="center"/>
        </w:trPr>
        <w:tc>
          <w:tcPr>
            <w:tcW w:w="1757" w:type="dxa"/>
            <w:tcMar>
              <w:top w:w="75" w:type="dxa"/>
              <w:left w:w="100" w:type="dxa"/>
              <w:bottom w:w="75" w:type="dxa"/>
              <w:right w:w="100" w:type="dxa"/>
            </w:tcMar>
            <w:vAlign w:val="center"/>
          </w:tcPr>
          <w:p w14:paraId="004F89E7" w14:textId="77777777" w:rsidR="003E2B81" w:rsidRPr="00C078E8" w:rsidRDefault="00000000">
            <w:pPr>
              <w:pStyle w:val="TableText"/>
              <w:spacing w:after="0"/>
              <w:rPr>
                <w:color w:val="auto"/>
              </w:rPr>
            </w:pPr>
            <w:r w:rsidRPr="00C078E8">
              <w:rPr>
                <w:color w:val="auto"/>
              </w:rPr>
              <w:t>RNA degradation and spatial access</w:t>
            </w:r>
          </w:p>
        </w:tc>
        <w:tc>
          <w:tcPr>
            <w:tcW w:w="2621" w:type="dxa"/>
            <w:tcMar>
              <w:top w:w="75" w:type="dxa"/>
              <w:left w:w="100" w:type="dxa"/>
              <w:bottom w:w="75" w:type="dxa"/>
              <w:right w:w="100" w:type="dxa"/>
            </w:tcMar>
            <w:vAlign w:val="center"/>
          </w:tcPr>
          <w:p w14:paraId="066A1A4B" w14:textId="77777777" w:rsidR="003E2B81" w:rsidRPr="00C078E8" w:rsidRDefault="00000000">
            <w:pPr>
              <w:pStyle w:val="TableText"/>
              <w:spacing w:after="0"/>
              <w:rPr>
                <w:color w:val="auto"/>
              </w:rPr>
            </w:pPr>
            <w:r w:rsidRPr="00C078E8">
              <w:rPr>
                <w:color w:val="auto"/>
              </w:rPr>
              <w:t>Quantify intact active RNA across soil or host compartments and time.</w:t>
            </w:r>
          </w:p>
        </w:tc>
        <w:tc>
          <w:tcPr>
            <w:tcW w:w="3168" w:type="dxa"/>
            <w:tcMar>
              <w:top w:w="75" w:type="dxa"/>
              <w:left w:w="100" w:type="dxa"/>
              <w:bottom w:w="75" w:type="dxa"/>
              <w:right w:w="100" w:type="dxa"/>
            </w:tcMar>
            <w:vAlign w:val="center"/>
          </w:tcPr>
          <w:p w14:paraId="2F7F6BA4" w14:textId="77777777" w:rsidR="003E2B81" w:rsidRPr="00C078E8" w:rsidRDefault="00000000">
            <w:pPr>
              <w:pStyle w:val="TableText"/>
              <w:spacing w:after="0"/>
              <w:rPr>
                <w:color w:val="auto"/>
              </w:rPr>
            </w:pPr>
            <w:r w:rsidRPr="00C078E8">
              <w:rPr>
                <w:color w:val="auto"/>
              </w:rPr>
              <w:t>Claims of improved delivery require proof of exposure to the target pest.</w:t>
            </w:r>
          </w:p>
        </w:tc>
        <w:tc>
          <w:tcPr>
            <w:tcW w:w="2102" w:type="dxa"/>
            <w:tcMar>
              <w:top w:w="75" w:type="dxa"/>
              <w:left w:w="100" w:type="dxa"/>
              <w:bottom w:w="75" w:type="dxa"/>
              <w:right w:w="100" w:type="dxa"/>
            </w:tcMar>
            <w:vAlign w:val="center"/>
          </w:tcPr>
          <w:p w14:paraId="465143DC" w14:textId="77777777" w:rsidR="003E2B81" w:rsidRPr="00C078E8" w:rsidRDefault="00000000">
            <w:pPr>
              <w:pStyle w:val="TableText"/>
              <w:spacing w:after="0"/>
              <w:rPr>
                <w:color w:val="auto"/>
              </w:rPr>
            </w:pPr>
            <w:r w:rsidRPr="00C078E8">
              <w:rPr>
                <w:color w:val="auto"/>
              </w:rPr>
              <w:t>(Bairwa et al., 2026; Dubelman et al., 2014)</w:t>
            </w:r>
          </w:p>
        </w:tc>
      </w:tr>
      <w:tr w:rsidR="00C078E8" w:rsidRPr="00C078E8" w14:paraId="66308174" w14:textId="77777777">
        <w:trPr>
          <w:cantSplit/>
          <w:jc w:val="center"/>
        </w:trPr>
        <w:tc>
          <w:tcPr>
            <w:tcW w:w="1757" w:type="dxa"/>
            <w:tcMar>
              <w:top w:w="75" w:type="dxa"/>
              <w:left w:w="100" w:type="dxa"/>
              <w:bottom w:w="75" w:type="dxa"/>
              <w:right w:w="100" w:type="dxa"/>
            </w:tcMar>
            <w:vAlign w:val="center"/>
          </w:tcPr>
          <w:p w14:paraId="7BE1028A" w14:textId="77777777" w:rsidR="003E2B81" w:rsidRPr="00C078E8" w:rsidRDefault="00000000">
            <w:pPr>
              <w:pStyle w:val="TableText"/>
              <w:spacing w:after="0"/>
              <w:rPr>
                <w:color w:val="auto"/>
              </w:rPr>
            </w:pPr>
            <w:r w:rsidRPr="00C078E8">
              <w:rPr>
                <w:color w:val="auto"/>
              </w:rPr>
              <w:t>Uncertain target dependence</w:t>
            </w:r>
          </w:p>
        </w:tc>
        <w:tc>
          <w:tcPr>
            <w:tcW w:w="2621" w:type="dxa"/>
            <w:tcMar>
              <w:top w:w="75" w:type="dxa"/>
              <w:left w:w="100" w:type="dxa"/>
              <w:bottom w:w="75" w:type="dxa"/>
              <w:right w:w="100" w:type="dxa"/>
            </w:tcMar>
            <w:vAlign w:val="center"/>
          </w:tcPr>
          <w:p w14:paraId="022B54DC" w14:textId="77777777" w:rsidR="003E2B81" w:rsidRPr="00C078E8" w:rsidRDefault="00000000">
            <w:pPr>
              <w:pStyle w:val="TableText"/>
              <w:spacing w:after="0"/>
              <w:rPr>
                <w:color w:val="auto"/>
              </w:rPr>
            </w:pPr>
            <w:r w:rsidRPr="00C078E8">
              <w:rPr>
                <w:color w:val="auto"/>
              </w:rPr>
              <w:t>Use independent sequence fragments, time series, molecular and fitness endpoints.</w:t>
            </w:r>
          </w:p>
        </w:tc>
        <w:tc>
          <w:tcPr>
            <w:tcW w:w="3168" w:type="dxa"/>
            <w:tcMar>
              <w:top w:w="75" w:type="dxa"/>
              <w:left w:w="100" w:type="dxa"/>
              <w:bottom w:w="75" w:type="dxa"/>
              <w:right w:w="100" w:type="dxa"/>
            </w:tcMar>
            <w:vAlign w:val="center"/>
          </w:tcPr>
          <w:p w14:paraId="53631E9D" w14:textId="77777777" w:rsidR="003E2B81" w:rsidRPr="00C078E8" w:rsidRDefault="00000000">
            <w:pPr>
              <w:pStyle w:val="TableText"/>
              <w:spacing w:after="0"/>
              <w:rPr>
                <w:color w:val="auto"/>
              </w:rPr>
            </w:pPr>
            <w:r w:rsidRPr="00C078E8">
              <w:rPr>
                <w:color w:val="auto"/>
              </w:rPr>
              <w:t>Reject transcript knockdown as the sole criterion of pest control.</w:t>
            </w:r>
          </w:p>
        </w:tc>
        <w:tc>
          <w:tcPr>
            <w:tcW w:w="2102" w:type="dxa"/>
            <w:tcMar>
              <w:top w:w="75" w:type="dxa"/>
              <w:left w:w="100" w:type="dxa"/>
              <w:bottom w:w="75" w:type="dxa"/>
              <w:right w:w="100" w:type="dxa"/>
            </w:tcMar>
            <w:vAlign w:val="center"/>
          </w:tcPr>
          <w:p w14:paraId="1C9A4AB3" w14:textId="77777777" w:rsidR="003E2B81" w:rsidRPr="00C078E8" w:rsidRDefault="00000000">
            <w:pPr>
              <w:pStyle w:val="TableText"/>
              <w:spacing w:after="0"/>
              <w:rPr>
                <w:color w:val="auto"/>
              </w:rPr>
            </w:pPr>
            <w:r w:rsidRPr="00C078E8">
              <w:rPr>
                <w:color w:val="auto"/>
              </w:rPr>
              <w:t>(Fairbairn et al., 2007; Iqbal et al., 2020)</w:t>
            </w:r>
          </w:p>
        </w:tc>
      </w:tr>
      <w:tr w:rsidR="00C078E8" w:rsidRPr="00C078E8" w14:paraId="572B4C0E" w14:textId="77777777">
        <w:trPr>
          <w:cantSplit/>
          <w:jc w:val="center"/>
        </w:trPr>
        <w:tc>
          <w:tcPr>
            <w:tcW w:w="1757" w:type="dxa"/>
            <w:tcMar>
              <w:top w:w="75" w:type="dxa"/>
              <w:left w:w="100" w:type="dxa"/>
              <w:bottom w:w="75" w:type="dxa"/>
              <w:right w:w="100" w:type="dxa"/>
            </w:tcMar>
            <w:vAlign w:val="center"/>
          </w:tcPr>
          <w:p w14:paraId="6DE32378" w14:textId="77777777" w:rsidR="003E2B81" w:rsidRPr="00C078E8" w:rsidRDefault="00000000">
            <w:pPr>
              <w:pStyle w:val="TableText"/>
              <w:spacing w:after="0"/>
              <w:rPr>
                <w:color w:val="auto"/>
              </w:rPr>
            </w:pPr>
            <w:r w:rsidRPr="00C078E8">
              <w:rPr>
                <w:color w:val="auto"/>
              </w:rPr>
              <w:t>Pest sequence heterogeneity</w:t>
            </w:r>
          </w:p>
        </w:tc>
        <w:tc>
          <w:tcPr>
            <w:tcW w:w="2621" w:type="dxa"/>
            <w:tcMar>
              <w:top w:w="75" w:type="dxa"/>
              <w:left w:w="100" w:type="dxa"/>
              <w:bottom w:w="75" w:type="dxa"/>
              <w:right w:w="100" w:type="dxa"/>
            </w:tcMar>
            <w:vAlign w:val="center"/>
          </w:tcPr>
          <w:p w14:paraId="3DD494C0" w14:textId="77777777" w:rsidR="003E2B81" w:rsidRPr="00C078E8" w:rsidRDefault="00000000">
            <w:pPr>
              <w:pStyle w:val="TableText"/>
              <w:spacing w:after="0"/>
              <w:rPr>
                <w:color w:val="auto"/>
              </w:rPr>
            </w:pPr>
            <w:r w:rsidRPr="00C078E8">
              <w:rPr>
                <w:color w:val="auto"/>
              </w:rPr>
              <w:t>Compare field isolates and test cross-isolate functional suppression.</w:t>
            </w:r>
          </w:p>
        </w:tc>
        <w:tc>
          <w:tcPr>
            <w:tcW w:w="3168" w:type="dxa"/>
            <w:tcMar>
              <w:top w:w="75" w:type="dxa"/>
              <w:left w:w="100" w:type="dxa"/>
              <w:bottom w:w="75" w:type="dxa"/>
              <w:right w:w="100" w:type="dxa"/>
            </w:tcMar>
            <w:vAlign w:val="center"/>
          </w:tcPr>
          <w:p w14:paraId="1F5B61CB" w14:textId="77777777" w:rsidR="003E2B81" w:rsidRPr="00C078E8" w:rsidRDefault="00000000">
            <w:pPr>
              <w:pStyle w:val="TableText"/>
              <w:spacing w:after="0"/>
              <w:rPr>
                <w:color w:val="auto"/>
              </w:rPr>
            </w:pPr>
            <w:r w:rsidRPr="00C078E8">
              <w:rPr>
                <w:color w:val="auto"/>
              </w:rPr>
              <w:t>Define the actual intended pest spectrum and likely escape routes.</w:t>
            </w:r>
          </w:p>
        </w:tc>
        <w:tc>
          <w:tcPr>
            <w:tcW w:w="2102" w:type="dxa"/>
            <w:tcMar>
              <w:top w:w="75" w:type="dxa"/>
              <w:left w:w="100" w:type="dxa"/>
              <w:bottom w:w="75" w:type="dxa"/>
              <w:right w:w="100" w:type="dxa"/>
            </w:tcMar>
            <w:vAlign w:val="center"/>
          </w:tcPr>
          <w:p w14:paraId="0FC36CA2" w14:textId="77777777" w:rsidR="003E2B81" w:rsidRPr="00C078E8" w:rsidRDefault="00000000">
            <w:pPr>
              <w:pStyle w:val="TableText"/>
              <w:spacing w:after="0"/>
              <w:rPr>
                <w:color w:val="auto"/>
              </w:rPr>
            </w:pPr>
            <w:r w:rsidRPr="00C078E8">
              <w:rPr>
                <w:color w:val="auto"/>
              </w:rPr>
              <w:t>(Huang et al., 2006; Singh et al., 2026)</w:t>
            </w:r>
          </w:p>
        </w:tc>
      </w:tr>
      <w:tr w:rsidR="00C078E8" w:rsidRPr="00C078E8" w14:paraId="1132BBA4" w14:textId="77777777">
        <w:trPr>
          <w:cantSplit/>
          <w:jc w:val="center"/>
        </w:trPr>
        <w:tc>
          <w:tcPr>
            <w:tcW w:w="1757" w:type="dxa"/>
            <w:tcMar>
              <w:top w:w="75" w:type="dxa"/>
              <w:left w:w="100" w:type="dxa"/>
              <w:bottom w:w="75" w:type="dxa"/>
              <w:right w:w="100" w:type="dxa"/>
            </w:tcMar>
            <w:vAlign w:val="center"/>
          </w:tcPr>
          <w:p w14:paraId="3311A0AF" w14:textId="77777777" w:rsidR="003E2B81" w:rsidRPr="00C078E8" w:rsidRDefault="00000000">
            <w:pPr>
              <w:pStyle w:val="TableText"/>
              <w:spacing w:after="0"/>
              <w:rPr>
                <w:color w:val="auto"/>
              </w:rPr>
            </w:pPr>
            <w:r w:rsidRPr="00C078E8">
              <w:rPr>
                <w:color w:val="auto"/>
              </w:rPr>
              <w:t>Non-target organisms</w:t>
            </w:r>
          </w:p>
        </w:tc>
        <w:tc>
          <w:tcPr>
            <w:tcW w:w="2621" w:type="dxa"/>
            <w:tcMar>
              <w:top w:w="75" w:type="dxa"/>
              <w:left w:w="100" w:type="dxa"/>
              <w:bottom w:w="75" w:type="dxa"/>
              <w:right w:w="100" w:type="dxa"/>
            </w:tcMar>
            <w:vAlign w:val="center"/>
          </w:tcPr>
          <w:p w14:paraId="464E2D1F" w14:textId="77777777" w:rsidR="003E2B81" w:rsidRPr="00C078E8" w:rsidRDefault="00000000">
            <w:pPr>
              <w:pStyle w:val="TableText"/>
              <w:spacing w:after="0"/>
              <w:rPr>
                <w:color w:val="auto"/>
              </w:rPr>
            </w:pPr>
            <w:r w:rsidRPr="00C078E8">
              <w:rPr>
                <w:color w:val="auto"/>
              </w:rPr>
              <w:t>Use sequence screening plus exposure-relevant tests of representative soil fauna.</w:t>
            </w:r>
          </w:p>
        </w:tc>
        <w:tc>
          <w:tcPr>
            <w:tcW w:w="3168" w:type="dxa"/>
            <w:tcMar>
              <w:top w:w="75" w:type="dxa"/>
              <w:left w:w="100" w:type="dxa"/>
              <w:bottom w:w="75" w:type="dxa"/>
              <w:right w:w="100" w:type="dxa"/>
            </w:tcMar>
            <w:vAlign w:val="center"/>
          </w:tcPr>
          <w:p w14:paraId="4025C60B" w14:textId="77777777" w:rsidR="003E2B81" w:rsidRPr="00C078E8" w:rsidRDefault="00000000">
            <w:pPr>
              <w:pStyle w:val="TableText"/>
              <w:spacing w:after="0"/>
              <w:rPr>
                <w:color w:val="auto"/>
              </w:rPr>
            </w:pPr>
            <w:r w:rsidRPr="00C078E8">
              <w:rPr>
                <w:color w:val="auto"/>
              </w:rPr>
              <w:t>Ecological selectivity requires demonstrated effects, not just alignments.</w:t>
            </w:r>
          </w:p>
        </w:tc>
        <w:tc>
          <w:tcPr>
            <w:tcW w:w="2102" w:type="dxa"/>
            <w:tcMar>
              <w:top w:w="75" w:type="dxa"/>
              <w:left w:w="100" w:type="dxa"/>
              <w:bottom w:w="75" w:type="dxa"/>
              <w:right w:w="100" w:type="dxa"/>
            </w:tcMar>
            <w:vAlign w:val="center"/>
          </w:tcPr>
          <w:p w14:paraId="042B6E4A" w14:textId="77777777" w:rsidR="003E2B81" w:rsidRPr="00C078E8" w:rsidRDefault="00000000">
            <w:pPr>
              <w:pStyle w:val="TableText"/>
              <w:spacing w:after="0"/>
              <w:rPr>
                <w:color w:val="auto"/>
              </w:rPr>
            </w:pPr>
            <w:r w:rsidRPr="00C078E8">
              <w:rPr>
                <w:color w:val="auto"/>
              </w:rPr>
              <w:t>(Song et al., 2025; Singh et al., 2026)</w:t>
            </w:r>
          </w:p>
        </w:tc>
      </w:tr>
      <w:tr w:rsidR="00C078E8" w:rsidRPr="00C078E8" w14:paraId="57FC02F1" w14:textId="77777777">
        <w:trPr>
          <w:cantSplit/>
          <w:jc w:val="center"/>
        </w:trPr>
        <w:tc>
          <w:tcPr>
            <w:tcW w:w="1757" w:type="dxa"/>
            <w:tcMar>
              <w:top w:w="75" w:type="dxa"/>
              <w:left w:w="100" w:type="dxa"/>
              <w:bottom w:w="75" w:type="dxa"/>
              <w:right w:w="100" w:type="dxa"/>
            </w:tcMar>
            <w:vAlign w:val="center"/>
          </w:tcPr>
          <w:p w14:paraId="6255433D" w14:textId="77777777" w:rsidR="003E2B81" w:rsidRPr="00C078E8" w:rsidRDefault="00000000">
            <w:pPr>
              <w:pStyle w:val="TableText"/>
              <w:spacing w:after="0"/>
              <w:rPr>
                <w:color w:val="auto"/>
              </w:rPr>
            </w:pPr>
            <w:r w:rsidRPr="00C078E8">
              <w:rPr>
                <w:color w:val="auto"/>
              </w:rPr>
              <w:t>Carrier-specific confounding</w:t>
            </w:r>
          </w:p>
        </w:tc>
        <w:tc>
          <w:tcPr>
            <w:tcW w:w="2621" w:type="dxa"/>
            <w:tcMar>
              <w:top w:w="75" w:type="dxa"/>
              <w:left w:w="100" w:type="dxa"/>
              <w:bottom w:w="75" w:type="dxa"/>
              <w:right w:w="100" w:type="dxa"/>
            </w:tcMar>
            <w:vAlign w:val="center"/>
          </w:tcPr>
          <w:p w14:paraId="7C0171FE" w14:textId="77777777" w:rsidR="003E2B81" w:rsidRPr="00C078E8" w:rsidRDefault="00000000">
            <w:pPr>
              <w:pStyle w:val="TableText"/>
              <w:spacing w:after="0"/>
              <w:rPr>
                <w:color w:val="auto"/>
              </w:rPr>
            </w:pPr>
            <w:r w:rsidRPr="00C078E8">
              <w:rPr>
                <w:color w:val="auto"/>
              </w:rPr>
              <w:t>Match intact RNA doses, include carrier-only and non-targeting controls.</w:t>
            </w:r>
          </w:p>
        </w:tc>
        <w:tc>
          <w:tcPr>
            <w:tcW w:w="3168" w:type="dxa"/>
            <w:tcMar>
              <w:top w:w="75" w:type="dxa"/>
              <w:left w:w="100" w:type="dxa"/>
              <w:bottom w:w="75" w:type="dxa"/>
              <w:right w:w="100" w:type="dxa"/>
            </w:tcMar>
            <w:vAlign w:val="center"/>
          </w:tcPr>
          <w:p w14:paraId="5E7F209F" w14:textId="77777777" w:rsidR="003E2B81" w:rsidRPr="00C078E8" w:rsidRDefault="00000000">
            <w:pPr>
              <w:pStyle w:val="TableText"/>
              <w:spacing w:after="0"/>
              <w:rPr>
                <w:color w:val="auto"/>
              </w:rPr>
            </w:pPr>
            <w:r w:rsidRPr="00C078E8">
              <w:rPr>
                <w:color w:val="auto"/>
              </w:rPr>
              <w:t>Separate RNAi-dependent suppression from carrier activity.</w:t>
            </w:r>
          </w:p>
        </w:tc>
        <w:tc>
          <w:tcPr>
            <w:tcW w:w="2102" w:type="dxa"/>
            <w:tcMar>
              <w:top w:w="75" w:type="dxa"/>
              <w:left w:w="100" w:type="dxa"/>
              <w:bottom w:w="75" w:type="dxa"/>
              <w:right w:w="100" w:type="dxa"/>
            </w:tcMar>
            <w:vAlign w:val="center"/>
          </w:tcPr>
          <w:p w14:paraId="4E135DA3" w14:textId="77777777" w:rsidR="003E2B81" w:rsidRPr="00C078E8" w:rsidRDefault="00000000">
            <w:pPr>
              <w:pStyle w:val="TableText"/>
              <w:spacing w:after="0"/>
              <w:rPr>
                <w:color w:val="auto"/>
              </w:rPr>
            </w:pPr>
            <w:r w:rsidRPr="00C078E8">
              <w:rPr>
                <w:color w:val="auto"/>
              </w:rPr>
              <w:t>(Guo et al., 2024; Opdensteinen et al., 2024)</w:t>
            </w:r>
          </w:p>
        </w:tc>
      </w:tr>
      <w:tr w:rsidR="00C078E8" w:rsidRPr="00C078E8" w14:paraId="43AA311F" w14:textId="77777777">
        <w:trPr>
          <w:cantSplit/>
          <w:jc w:val="center"/>
        </w:trPr>
        <w:tc>
          <w:tcPr>
            <w:tcW w:w="1757" w:type="dxa"/>
            <w:tcMar>
              <w:top w:w="75" w:type="dxa"/>
              <w:left w:w="100" w:type="dxa"/>
              <w:bottom w:w="75" w:type="dxa"/>
              <w:right w:w="100" w:type="dxa"/>
            </w:tcMar>
            <w:vAlign w:val="center"/>
          </w:tcPr>
          <w:p w14:paraId="7A09B163" w14:textId="77777777" w:rsidR="003E2B81" w:rsidRPr="00C078E8" w:rsidRDefault="00000000">
            <w:pPr>
              <w:pStyle w:val="TableText"/>
              <w:spacing w:after="0"/>
              <w:rPr>
                <w:color w:val="auto"/>
              </w:rPr>
            </w:pPr>
            <w:r w:rsidRPr="00C078E8">
              <w:rPr>
                <w:color w:val="auto"/>
              </w:rPr>
              <w:t>Crop performance and durability</w:t>
            </w:r>
          </w:p>
        </w:tc>
        <w:tc>
          <w:tcPr>
            <w:tcW w:w="2621" w:type="dxa"/>
            <w:tcMar>
              <w:top w:w="75" w:type="dxa"/>
              <w:left w:w="100" w:type="dxa"/>
              <w:bottom w:w="75" w:type="dxa"/>
              <w:right w:w="100" w:type="dxa"/>
            </w:tcMar>
            <w:vAlign w:val="center"/>
          </w:tcPr>
          <w:p w14:paraId="60E71B00" w14:textId="77777777" w:rsidR="003E2B81" w:rsidRPr="00C078E8" w:rsidRDefault="00000000">
            <w:pPr>
              <w:pStyle w:val="TableText"/>
              <w:spacing w:after="0"/>
              <w:rPr>
                <w:color w:val="auto"/>
              </w:rPr>
            </w:pPr>
            <w:r w:rsidRPr="00C078E8">
              <w:rPr>
                <w:color w:val="auto"/>
              </w:rPr>
              <w:t>Replicate multiple cultivars, pest isolates, soils and seasons; measure yield and viable inoculum.</w:t>
            </w:r>
          </w:p>
        </w:tc>
        <w:tc>
          <w:tcPr>
            <w:tcW w:w="3168" w:type="dxa"/>
            <w:tcMar>
              <w:top w:w="75" w:type="dxa"/>
              <w:left w:w="100" w:type="dxa"/>
              <w:bottom w:w="75" w:type="dxa"/>
              <w:right w:w="100" w:type="dxa"/>
            </w:tcMar>
            <w:vAlign w:val="center"/>
          </w:tcPr>
          <w:p w14:paraId="1D03A88B" w14:textId="77777777" w:rsidR="003E2B81" w:rsidRPr="00C078E8" w:rsidRDefault="00000000">
            <w:pPr>
              <w:pStyle w:val="TableText"/>
              <w:spacing w:after="0"/>
              <w:rPr>
                <w:color w:val="auto"/>
              </w:rPr>
            </w:pPr>
            <w:r w:rsidRPr="00C078E8">
              <w:rPr>
                <w:color w:val="auto"/>
              </w:rPr>
              <w:t>Advance towards deployment only when realistic benefits are reproducible.</w:t>
            </w:r>
          </w:p>
        </w:tc>
        <w:tc>
          <w:tcPr>
            <w:tcW w:w="2102" w:type="dxa"/>
            <w:tcMar>
              <w:top w:w="75" w:type="dxa"/>
              <w:left w:w="100" w:type="dxa"/>
              <w:bottom w:w="75" w:type="dxa"/>
              <w:right w:w="100" w:type="dxa"/>
            </w:tcMar>
            <w:vAlign w:val="center"/>
          </w:tcPr>
          <w:p w14:paraId="3065924C" w14:textId="77777777" w:rsidR="003E2B81" w:rsidRPr="00C078E8" w:rsidRDefault="00000000">
            <w:pPr>
              <w:pStyle w:val="TableText"/>
              <w:spacing w:after="0"/>
              <w:rPr>
                <w:color w:val="auto"/>
              </w:rPr>
            </w:pPr>
            <w:r w:rsidRPr="00C078E8">
              <w:rPr>
                <w:color w:val="auto"/>
              </w:rPr>
              <w:t>(Tian et al., 2019; Zhang et al., 2022)</w:t>
            </w:r>
          </w:p>
        </w:tc>
      </w:tr>
      <w:tr w:rsidR="00C078E8" w:rsidRPr="00C078E8" w14:paraId="78DF163D" w14:textId="77777777">
        <w:trPr>
          <w:cantSplit/>
          <w:jc w:val="center"/>
        </w:trPr>
        <w:tc>
          <w:tcPr>
            <w:tcW w:w="1757" w:type="dxa"/>
            <w:tcMar>
              <w:top w:w="75" w:type="dxa"/>
              <w:left w:w="100" w:type="dxa"/>
              <w:bottom w:w="75" w:type="dxa"/>
              <w:right w:w="100" w:type="dxa"/>
            </w:tcMar>
            <w:vAlign w:val="center"/>
          </w:tcPr>
          <w:p w14:paraId="732B3EFC" w14:textId="77777777" w:rsidR="003E2B81" w:rsidRPr="00C078E8" w:rsidRDefault="00000000">
            <w:pPr>
              <w:pStyle w:val="TableText"/>
              <w:spacing w:after="0"/>
              <w:rPr>
                <w:color w:val="auto"/>
              </w:rPr>
            </w:pPr>
            <w:r w:rsidRPr="00C078E8">
              <w:rPr>
                <w:color w:val="auto"/>
              </w:rPr>
              <w:t>Quality, cost and stewardship</w:t>
            </w:r>
          </w:p>
        </w:tc>
        <w:tc>
          <w:tcPr>
            <w:tcW w:w="2621" w:type="dxa"/>
            <w:tcMar>
              <w:top w:w="75" w:type="dxa"/>
              <w:left w:w="100" w:type="dxa"/>
              <w:bottom w:w="75" w:type="dxa"/>
              <w:right w:w="100" w:type="dxa"/>
            </w:tcMar>
            <w:vAlign w:val="center"/>
          </w:tcPr>
          <w:p w14:paraId="5D1C49BF" w14:textId="77777777" w:rsidR="003E2B81" w:rsidRPr="00C078E8" w:rsidRDefault="00000000">
            <w:pPr>
              <w:pStyle w:val="TableText"/>
              <w:spacing w:after="0"/>
              <w:rPr>
                <w:color w:val="auto"/>
              </w:rPr>
            </w:pPr>
            <w:r w:rsidRPr="00C078E8">
              <w:rPr>
                <w:color w:val="auto"/>
              </w:rPr>
              <w:t>Set manufacturing, storage and expression specifications; compare integrated-management options.</w:t>
            </w:r>
          </w:p>
        </w:tc>
        <w:tc>
          <w:tcPr>
            <w:tcW w:w="3168" w:type="dxa"/>
            <w:tcMar>
              <w:top w:w="75" w:type="dxa"/>
              <w:left w:w="100" w:type="dxa"/>
              <w:bottom w:w="75" w:type="dxa"/>
              <w:right w:w="100" w:type="dxa"/>
            </w:tcMar>
            <w:vAlign w:val="center"/>
          </w:tcPr>
          <w:p w14:paraId="21461C80" w14:textId="77777777" w:rsidR="003E2B81" w:rsidRPr="00C078E8" w:rsidRDefault="00000000">
            <w:pPr>
              <w:pStyle w:val="TableText"/>
              <w:spacing w:after="0"/>
              <w:rPr>
                <w:color w:val="auto"/>
              </w:rPr>
            </w:pPr>
            <w:r w:rsidRPr="00C078E8">
              <w:rPr>
                <w:color w:val="auto"/>
              </w:rPr>
              <w:t>Market value and resistance management depend on product consistency.</w:t>
            </w:r>
          </w:p>
        </w:tc>
        <w:tc>
          <w:tcPr>
            <w:tcW w:w="2102" w:type="dxa"/>
            <w:tcMar>
              <w:top w:w="75" w:type="dxa"/>
              <w:left w:w="100" w:type="dxa"/>
              <w:bottom w:w="75" w:type="dxa"/>
              <w:right w:w="100" w:type="dxa"/>
            </w:tcMar>
            <w:vAlign w:val="center"/>
          </w:tcPr>
          <w:p w14:paraId="19C0147F" w14:textId="77777777" w:rsidR="003E2B81" w:rsidRPr="00C078E8" w:rsidRDefault="00000000">
            <w:pPr>
              <w:pStyle w:val="TableText"/>
              <w:spacing w:after="0"/>
              <w:rPr>
                <w:color w:val="auto"/>
              </w:rPr>
            </w:pPr>
            <w:r w:rsidRPr="00C078E8">
              <w:rPr>
                <w:color w:val="auto"/>
              </w:rPr>
              <w:t>(Dutta et al., 2015; Singh et al., 2026)</w:t>
            </w:r>
          </w:p>
        </w:tc>
      </w:tr>
    </w:tbl>
    <w:p w14:paraId="216514A7" w14:textId="77777777" w:rsidR="003E2B81" w:rsidRPr="00C078E8" w:rsidRDefault="00000000">
      <w:pPr>
        <w:pStyle w:val="TableNote"/>
        <w:rPr>
          <w:color w:val="auto"/>
        </w:rPr>
      </w:pPr>
      <w:r w:rsidRPr="00C078E8">
        <w:rPr>
          <w:color w:val="auto"/>
        </w:rPr>
        <w:t>Note. These are prioritised study-design safeguards, not formally graded risk-of-bias or regulatory scores.</w:t>
      </w:r>
    </w:p>
    <w:p w14:paraId="3DD61320" w14:textId="77777777" w:rsidR="003E2B81" w:rsidRPr="00C078E8" w:rsidRDefault="00000000">
      <w:pPr>
        <w:pStyle w:val="Heading1"/>
        <w:rPr>
          <w:color w:val="auto"/>
        </w:rPr>
      </w:pPr>
      <w:r w:rsidRPr="00C078E8">
        <w:rPr>
          <w:color w:val="auto"/>
        </w:rPr>
        <w:t>9. Integrative Interpretation: What Counts as Precision?</w:t>
      </w:r>
    </w:p>
    <w:p w14:paraId="58A87EE7" w14:textId="77777777" w:rsidR="003E2B81" w:rsidRPr="00C078E8" w:rsidRDefault="00000000">
      <w:pPr>
        <w:rPr>
          <w:color w:val="auto"/>
        </w:rPr>
      </w:pPr>
      <w:r w:rsidRPr="00C078E8">
        <w:rPr>
          <w:color w:val="auto"/>
        </w:rPr>
        <w:t>Precision should be understood as a property of the complete intervention, not a synonym for sequence complementarity. The first dimension is sequence selectivity: the active RNA should have a reasoned molecular relationship to a damaging species or defined group, with relevant off-target risks investigated. The second is delivery selectivity: sufficient biologically available RNA should reach the desired compartment while avoiding unnecessary dissemination. The third is temporal and developmental selectivity: the target must be accessible and functional during exposure. The fourth is agronomic selectivity: a change in nematode fitness must protect the intended crop or management objective without unacceptable effects elsewhere. These dimensions are proposed here as an analytical framework distilled from the reviewed evidence, not as an already validated composite index.</w:t>
      </w:r>
    </w:p>
    <w:p w14:paraId="53193A4F" w14:textId="77777777" w:rsidR="003E2B81" w:rsidRPr="00C078E8" w:rsidRDefault="00000000">
      <w:pPr>
        <w:rPr>
          <w:color w:val="auto"/>
        </w:rPr>
      </w:pPr>
      <w:r w:rsidRPr="00C078E8">
        <w:rPr>
          <w:color w:val="auto"/>
        </w:rPr>
        <w:lastRenderedPageBreak/>
        <w:t>The framework exposes several routes to false optimism. A highly discriminating sequence can be functionally useless if it is degraded before contact with the pest. A robust carrier can deliver a broad physiological target to non-target nematodes. A well-expressed HIGS construct can fail if its target is required only before plant feeding begins. An impressive laboratory mortality result can be irrelevant if the field population is dominated by protected stages that never encounter the trigger. The empirical record contains examples of successful crop-host suppression, nonlethal silencing, heterogeneous transcript responses and context-dependent formulation progress, so the framework is consistent with, rather than imposed in place of, the observed diversity of outcomes (Bairwa et al., 2026; Fairbairn et al., 2007; Iqbal et al., 2020; Tian et al., 2019).</w:t>
      </w:r>
    </w:p>
    <w:p w14:paraId="09DED31A" w14:textId="77777777" w:rsidR="003E2B81" w:rsidRPr="00C078E8" w:rsidRDefault="00000000">
      <w:pPr>
        <w:rPr>
          <w:color w:val="auto"/>
        </w:rPr>
      </w:pPr>
      <w:r w:rsidRPr="00C078E8">
        <w:rPr>
          <w:color w:val="auto"/>
        </w:rPr>
        <w:t>An informative comparison across platforms asks what claim has actually been demonstrated. For a juvenile soaking experiment, the defensible conclusion may be that a gene is responsive to experimental RNA interference and that its suppression is associated with impaired behaviour or reproduction. For a stable HIGS plant, the conclusion can extend to host-associated resistance under the tested conditions, with stronger evidence where generations and independent lines have been examined. For a protected soil formulation, it may extend to improved persistence and reduced infestation in a specific crop system. For trunk injection, it may extend to disease control in the tested tree setting. None of these conclusions should be inflated to encompass an untested pest, crop or route merely because the underlying silencing chemistry is shared (Chaudhary et al., 2019; Song et al., 2026; Urwin et al., 2002).</w:t>
      </w:r>
    </w:p>
    <w:p w14:paraId="44553D39" w14:textId="77777777" w:rsidR="003E2B81" w:rsidRPr="00C078E8" w:rsidRDefault="00000000">
      <w:pPr>
        <w:rPr>
          <w:color w:val="auto"/>
        </w:rPr>
      </w:pPr>
      <w:r w:rsidRPr="00C078E8">
        <w:rPr>
          <w:color w:val="auto"/>
        </w:rPr>
        <w:t>The resulting research question is not whether RNAi has any nematicidal potential. Numerous independent experiments already establish that it can interfere with nematode genes and, in appropriate contexts, reduce parasitic fitness. The unresolved question is which combinations of target, sequence, formulation, crop and application timing yield durable, economically valuable protection while meeting credible ecological safety standards. A shift towards this systems-level question does not diminish molecular research. It strengthens it by requiring the target to be validated within the exposure and outcome that actually matter for plant protection.</w:t>
      </w:r>
    </w:p>
    <w:p w14:paraId="151A9711" w14:textId="77777777" w:rsidR="003E2B81" w:rsidRPr="00C078E8" w:rsidRDefault="00000000">
      <w:pPr>
        <w:pStyle w:val="Heading1"/>
        <w:rPr>
          <w:color w:val="auto"/>
        </w:rPr>
      </w:pPr>
      <w:r w:rsidRPr="00C078E8">
        <w:rPr>
          <w:color w:val="auto"/>
        </w:rPr>
        <w:t>10. Future Directions</w:t>
      </w:r>
    </w:p>
    <w:p w14:paraId="3822151C" w14:textId="77777777" w:rsidR="003E2B81" w:rsidRPr="00C078E8" w:rsidRDefault="00000000">
      <w:pPr>
        <w:pStyle w:val="Heading2"/>
        <w:rPr>
          <w:color w:val="auto"/>
        </w:rPr>
      </w:pPr>
      <w:r w:rsidRPr="00C078E8">
        <w:rPr>
          <w:color w:val="auto"/>
        </w:rPr>
        <w:t>10.1 Immediate priority: paired molecular and agronomic validation</w:t>
      </w:r>
    </w:p>
    <w:p w14:paraId="0E9093EA" w14:textId="77777777" w:rsidR="003E2B81" w:rsidRPr="00C078E8" w:rsidRDefault="00000000">
      <w:pPr>
        <w:rPr>
          <w:color w:val="auto"/>
        </w:rPr>
      </w:pPr>
      <w:r w:rsidRPr="00C078E8">
        <w:rPr>
          <w:color w:val="auto"/>
        </w:rPr>
        <w:t>The most urgent need is to connect measured molecular target engagement with a prespecified crop-relevant phenotype in the same experiment. New studies should quantify intact dsRNA in the relevant application compartment, recover nematodes at informative intervals, measure target transcript changes and follow infection or reproduction through an appropriate life stage. Non-targeting dsRNA, carrier-only and untreated controls are essential for distinguishing sequence effects from formulation effects. For HIGS, multiple independent plant events and genetic segregation or matched backgrounds should be considered. For drenches, equivalent delivered mass of intact naked and formulated RNA should be compared under identical conditions. The outcome should be reported with biological replication at the actual treatment unit, not just technical subsampling (Bairwa et al., 2026; Iqbal et al., 2020; Tian et al., 2019).</w:t>
      </w:r>
    </w:p>
    <w:p w14:paraId="5B872916" w14:textId="77777777" w:rsidR="003E2B81" w:rsidRPr="00C078E8" w:rsidRDefault="00000000">
      <w:pPr>
        <w:pStyle w:val="Heading2"/>
        <w:rPr>
          <w:color w:val="auto"/>
        </w:rPr>
      </w:pPr>
      <w:r w:rsidRPr="00C078E8">
        <w:rPr>
          <w:color w:val="auto"/>
        </w:rPr>
        <w:t>10.2 Immediate priority: ecological realism in delivery studies</w:t>
      </w:r>
    </w:p>
    <w:p w14:paraId="6B4009DB" w14:textId="77777777" w:rsidR="003E2B81" w:rsidRPr="00C078E8" w:rsidRDefault="00000000">
      <w:pPr>
        <w:rPr>
          <w:color w:val="auto"/>
        </w:rPr>
      </w:pPr>
      <w:r w:rsidRPr="00C078E8">
        <w:rPr>
          <w:color w:val="auto"/>
        </w:rPr>
        <w:t>Soil-based products need controlled multisoil experiments before claims of wide applicability. Texture, pH, organic matter, water regime and microbial activity should be selected to test plausible mechanisms of RNA loss or transport. Rather than presenting persistence as a single laboratory value, experiments should map intact RNA and bioactivity in time and space relative to juvenile emergence and the root surface. Trunk-injection systems require a comparable assessment of distribution through host tissues, disease stage and post-treatment protection intervals. These designs would establish whether delivery improvements observed in one environment solve a general barrier or an unusually favourable local one (Dubelman et al., 2014; Song et al., 2026).</w:t>
      </w:r>
    </w:p>
    <w:p w14:paraId="12C700BC" w14:textId="77777777" w:rsidR="003E2B81" w:rsidRPr="00C078E8" w:rsidRDefault="00000000">
      <w:pPr>
        <w:pStyle w:val="Heading2"/>
        <w:rPr>
          <w:color w:val="auto"/>
        </w:rPr>
      </w:pPr>
      <w:r w:rsidRPr="00C078E8">
        <w:rPr>
          <w:color w:val="auto"/>
        </w:rPr>
        <w:lastRenderedPageBreak/>
        <w:t>10.3 Immediate priority: sequence diversity and non-target panels</w:t>
      </w:r>
    </w:p>
    <w:p w14:paraId="7773EE9B" w14:textId="77777777" w:rsidR="003E2B81" w:rsidRPr="00C078E8" w:rsidRDefault="00000000">
      <w:pPr>
        <w:rPr>
          <w:color w:val="auto"/>
        </w:rPr>
      </w:pPr>
      <w:r w:rsidRPr="00C078E8">
        <w:rPr>
          <w:color w:val="auto"/>
        </w:rPr>
        <w:t>Candidate regions should be assessed against field-isolate sequence variation before expensive crop-line development or formulation scale-up. A practical target discovery dataset would encompass the intended species, co-occurring pest species, the crop genome and selected non-target nematodes whose habitat overlaps the treatment. The resulting sequence screen should guide, but not replace, exposure-relevant bioassays. Because soil communities include many beneficial nematodes, non-target panels should represent feeding guilds and likely contact pathways rather than only phylogenetic closeness. Testing should discriminate between no uptake and tolerance after uptake, since these have different implications for novel delivery formulations (Song et al., 2025; Singh et al., 2026).</w:t>
      </w:r>
    </w:p>
    <w:p w14:paraId="3595A6FF" w14:textId="77777777" w:rsidR="003E2B81" w:rsidRPr="00C078E8" w:rsidRDefault="00000000">
      <w:pPr>
        <w:pStyle w:val="Heading2"/>
        <w:rPr>
          <w:color w:val="auto"/>
        </w:rPr>
      </w:pPr>
      <w:r w:rsidRPr="00C078E8">
        <w:rPr>
          <w:color w:val="auto"/>
        </w:rPr>
        <w:t>10.4 Medium-term priority: independent, multiseason product trials</w:t>
      </w:r>
    </w:p>
    <w:p w14:paraId="493453B0" w14:textId="77777777" w:rsidR="003E2B81" w:rsidRPr="00C078E8" w:rsidRDefault="00000000">
      <w:pPr>
        <w:rPr>
          <w:color w:val="auto"/>
        </w:rPr>
      </w:pPr>
      <w:r w:rsidRPr="00C078E8">
        <w:rPr>
          <w:color w:val="auto"/>
        </w:rPr>
        <w:t>Promising constructs and formulations need trials spanning nematode isolates, plant cultivars, inoculum densities and cropping environments. A useful design would combine nematode reproduction metrics with root function and marketable yield over more than one growing period where population carryover is important. Analyses should specify a principal endpoint in advance and avoid selecting the most favourable of multiple nematode indices after observation. Existing field-oriented pine results and controlled potato-cyst formulations justify investment in such work but not claims that performance will remain consistent without it (Bairwa et al., 2026; Song et al., 2026).</w:t>
      </w:r>
    </w:p>
    <w:p w14:paraId="777B529D" w14:textId="77777777" w:rsidR="003E2B81" w:rsidRPr="00C078E8" w:rsidRDefault="00000000">
      <w:pPr>
        <w:pStyle w:val="Heading2"/>
        <w:rPr>
          <w:color w:val="auto"/>
        </w:rPr>
      </w:pPr>
      <w:r w:rsidRPr="00C078E8">
        <w:rPr>
          <w:color w:val="auto"/>
        </w:rPr>
        <w:t>10.5 Medium-term priority: compare RNAi with realistic integrated management</w:t>
      </w:r>
    </w:p>
    <w:p w14:paraId="511D3C68" w14:textId="77777777" w:rsidR="003E2B81" w:rsidRPr="00C078E8" w:rsidRDefault="00000000">
      <w:pPr>
        <w:rPr>
          <w:color w:val="auto"/>
        </w:rPr>
      </w:pPr>
      <w:r w:rsidRPr="00C078E8">
        <w:rPr>
          <w:color w:val="auto"/>
        </w:rPr>
        <w:t>The decision to adopt RNAi depends on its incremental value relative to feasible controls. Trials should therefore include a practicable management comparator and, where possible, combined strategies such as resistant cultivar plus RNAi or crop rotation plus targeted application. This can reveal whether the technology reduces reliance on a less desirable intervention, protects against damaging nematode populations not managed by existing measures, or merely reproduces an attainable outcome at greater cost. Pest population dynamics should be measured because a modest reduction in reproduction may have greater long-term value than its immediate yield effect suggests. The analysis must still account for the actual duration and cost of protection.</w:t>
      </w:r>
    </w:p>
    <w:p w14:paraId="69A346DB" w14:textId="77777777" w:rsidR="003E2B81" w:rsidRPr="00C078E8" w:rsidRDefault="00000000">
      <w:pPr>
        <w:pStyle w:val="Heading2"/>
        <w:rPr>
          <w:color w:val="auto"/>
        </w:rPr>
      </w:pPr>
      <w:r w:rsidRPr="00C078E8">
        <w:rPr>
          <w:color w:val="auto"/>
        </w:rPr>
        <w:t>10.6 Longer-term priority: resistance surveillance and product stewardship</w:t>
      </w:r>
    </w:p>
    <w:p w14:paraId="37E24109" w14:textId="77777777" w:rsidR="003E2B81" w:rsidRPr="00C078E8" w:rsidRDefault="00000000">
      <w:pPr>
        <w:rPr>
          <w:color w:val="auto"/>
        </w:rPr>
      </w:pPr>
      <w:r w:rsidRPr="00C078E8">
        <w:rPr>
          <w:color w:val="auto"/>
        </w:rPr>
        <w:t>Once repeated exposure becomes realistic, studies should quantify susceptibility differences across isolates and investigate target polymorphisms, uptake capacity and RNAi-pathway responses. Experimental evolution may identify possible escape routes, but results must be distinguished from resistance confirmed after use in agricultural or forestry environments. Product specifications should cover sequence identity, dsRNA integrity, active concentration, carrier consistency and shelf life. For transgenic material, parallel specifications are needed for expression stability, construct identity and persistence of the resistance phenotype through breeding generations. Such measures would help convert proof of concept into an intervention whose quality and performance can be independently reproduced (Dutta et al., 2015; Singh et al., 2026).</w:t>
      </w:r>
    </w:p>
    <w:p w14:paraId="7DE5CB4F" w14:textId="77777777" w:rsidR="003E2B81" w:rsidRPr="00C078E8" w:rsidRDefault="00000000">
      <w:pPr>
        <w:pStyle w:val="Heading1"/>
        <w:rPr>
          <w:color w:val="auto"/>
        </w:rPr>
      </w:pPr>
      <w:r w:rsidRPr="00C078E8">
        <w:rPr>
          <w:color w:val="auto"/>
        </w:rPr>
        <w:t>11. Conclusions</w:t>
      </w:r>
    </w:p>
    <w:p w14:paraId="73B59C1E" w14:textId="77777777" w:rsidR="003E2B81" w:rsidRPr="00C078E8" w:rsidRDefault="00000000">
      <w:pPr>
        <w:rPr>
          <w:color w:val="auto"/>
        </w:rPr>
      </w:pPr>
      <w:r w:rsidRPr="00C078E8">
        <w:rPr>
          <w:color w:val="auto"/>
        </w:rPr>
        <w:t xml:space="preserve">RNA interference has progressed from an experimental means of suppressing nematode genes to an intervention strategy capable of reducing infection or reproduction in selected plant–nematode systems. The evidence is strongest for defined targets in controlled root-knot and cyst-nematode settings, with stable host-delivered systems providing important demonstrations beyond transient soaking. Recent formulated dsRNA experiments extend the range of practical delivery concepts, including crop-directed soil application and field-oriented treatment of pine </w:t>
      </w:r>
      <w:r w:rsidRPr="00C078E8">
        <w:rPr>
          <w:color w:val="auto"/>
        </w:rPr>
        <w:lastRenderedPageBreak/>
        <w:t>wood nematodes. These developments show genuine technical progress, but their distinct biological contexts preclude a single universal judgement about field readiness.</w:t>
      </w:r>
    </w:p>
    <w:p w14:paraId="19332602" w14:textId="77777777" w:rsidR="003E2B81" w:rsidRPr="00C078E8" w:rsidRDefault="00000000">
      <w:pPr>
        <w:rPr>
          <w:color w:val="auto"/>
        </w:rPr>
      </w:pPr>
      <w:r w:rsidRPr="00C078E8">
        <w:rPr>
          <w:color w:val="auto"/>
        </w:rPr>
        <w:t>The critical constraint is not simply the discovery of more candidate genes. Effective management depends on a sequence reaching a susceptible life stage, producing biologically meaningful interference and delivering durable plant benefit without unacceptable off-target effects or implementation costs. Molecular knockdown, impaired nematode behaviour, reduced reproduction and crop protection are connected but non-equivalent outcomes. Precision should therefore be demonstrated across sequence, exposure, development and agronomic effectiveness. RNAi is best understood as a potentially valuable component of integrated nematode management whose deployability must be established for each pest–host–delivery configuration.</w:t>
      </w:r>
    </w:p>
    <w:p w14:paraId="5A45DEFC" w14:textId="77777777" w:rsidR="003E2B81" w:rsidRPr="00C078E8" w:rsidRDefault="00000000">
      <w:pPr>
        <w:pStyle w:val="Heading1"/>
        <w:rPr>
          <w:color w:val="auto"/>
        </w:rPr>
      </w:pPr>
      <w:r w:rsidRPr="00C078E8">
        <w:rPr>
          <w:color w:val="auto"/>
        </w:rPr>
        <w:t>12. Limitations</w:t>
      </w:r>
    </w:p>
    <w:p w14:paraId="45885598" w14:textId="77777777" w:rsidR="003E2B81" w:rsidRPr="00C078E8" w:rsidRDefault="00000000">
      <w:pPr>
        <w:rPr>
          <w:color w:val="auto"/>
        </w:rPr>
      </w:pPr>
      <w:r w:rsidRPr="00C078E8">
        <w:rPr>
          <w:color w:val="auto"/>
        </w:rPr>
        <w:t>As a critical narrative review, this article remains vulnerable to selection and interpretive bias despite transparent search concepts, explicit eligibility boundaries and emphasis on verifiable publications. The evidence base was not assembled through a prospectively registered systematic review with independent duplicate screening, and no exhaustive record counts or pooled effect estimates are claimed. Access to the full text of some publications was incomplete, so selected interpretations relied on verified abstracts or accessible sections rather than complete methodological detail. English-language emphasis and uneven indexing may underrepresent locally important work on crop–nematode combinations in regions where the literature is less accessible.</w:t>
      </w:r>
    </w:p>
    <w:p w14:paraId="1A487F37" w14:textId="77777777" w:rsidR="003E2B81" w:rsidRDefault="00000000">
      <w:pPr>
        <w:rPr>
          <w:color w:val="auto"/>
        </w:rPr>
      </w:pPr>
      <w:r w:rsidRPr="00C078E8">
        <w:rPr>
          <w:color w:val="auto"/>
        </w:rPr>
        <w:t>A second limitation is the pronounced heterogeneity of target genes, dsRNA constructs, plant hosts, parasite species, formulations, assay conditions and reported endpoints. This prevents direct ranking of platforms by percentage effectiveness and constrains generalisation from model or greenhouse experiments to commercial crops. Much of the crop literature lacks independent multiseason field replication, standardised environmental exposure measurements and comprehensive non-target testing. Recently published formulation and field-oriented studies are promising but too new and context-specific to establish durability, regulatory suitability or cost-effectiveness across settings. Finally, rapid developments in the field mean that later trials may materially change the assessment of individual platforms without invalidating the underlying distinction between molecular activity and deployable control.</w:t>
      </w:r>
    </w:p>
    <w:p w14:paraId="3FAA2FB6" w14:textId="77777777" w:rsidR="003637D7" w:rsidRPr="003637D7" w:rsidRDefault="003637D7" w:rsidP="003637D7">
      <w:pPr>
        <w:rPr>
          <w:color w:val="auto"/>
        </w:rPr>
      </w:pPr>
      <w:r w:rsidRPr="003637D7">
        <w:rPr>
          <w:color w:val="auto"/>
        </w:rPr>
        <w:t>Declaration of AI Use</w:t>
      </w:r>
    </w:p>
    <w:p w14:paraId="7EF54190" w14:textId="77777777" w:rsidR="003637D7" w:rsidRPr="003637D7" w:rsidRDefault="003637D7" w:rsidP="003637D7">
      <w:pPr>
        <w:rPr>
          <w:color w:val="auto"/>
        </w:rPr>
      </w:pPr>
    </w:p>
    <w:p w14:paraId="21E13976" w14:textId="77777777" w:rsidR="003637D7" w:rsidRPr="003637D7" w:rsidRDefault="003637D7" w:rsidP="003637D7">
      <w:pPr>
        <w:rPr>
          <w:color w:val="auto"/>
        </w:rPr>
      </w:pPr>
    </w:p>
    <w:p w14:paraId="586618FD" w14:textId="77777777" w:rsidR="003637D7" w:rsidRPr="003637D7" w:rsidRDefault="003637D7" w:rsidP="003637D7">
      <w:pPr>
        <w:rPr>
          <w:color w:val="auto"/>
        </w:rPr>
      </w:pPr>
    </w:p>
    <w:p w14:paraId="7E45EFE1" w14:textId="5FD999CB" w:rsidR="003637D7" w:rsidRPr="00C078E8" w:rsidRDefault="003637D7" w:rsidP="003637D7">
      <w:pPr>
        <w:rPr>
          <w:color w:val="auto"/>
        </w:rPr>
      </w:pPr>
      <w:r w:rsidRPr="003637D7">
        <w:rPr>
          <w:color w:val="auto"/>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451008" w14:textId="77777777" w:rsidR="003E2B81" w:rsidRPr="00C078E8" w:rsidRDefault="00000000">
      <w:pPr>
        <w:pStyle w:val="Heading1"/>
        <w:rPr>
          <w:color w:val="auto"/>
        </w:rPr>
      </w:pPr>
      <w:r w:rsidRPr="00C078E8">
        <w:rPr>
          <w:color w:val="auto"/>
        </w:rPr>
        <w:t>References</w:t>
      </w:r>
    </w:p>
    <w:p w14:paraId="768505CE" w14:textId="6769693B" w:rsidR="003E2B81" w:rsidRPr="00C078E8" w:rsidRDefault="00000000">
      <w:pPr>
        <w:pStyle w:val="ReferenceText"/>
        <w:rPr>
          <w:color w:val="auto"/>
        </w:rPr>
      </w:pPr>
      <w:r w:rsidRPr="00C078E8">
        <w:rPr>
          <w:color w:val="auto"/>
        </w:rPr>
        <w:t xml:space="preserve">Baethge, C., Goldbeck-Wood, S., &amp; Mertens, S. (2019). SANRA—A scale for the quality assessment of narrative review articles. </w:t>
      </w:r>
      <w:r w:rsidRPr="00C078E8">
        <w:rPr>
          <w:i/>
          <w:color w:val="auto"/>
        </w:rPr>
        <w:t>Research Integrity and Peer Review, 4</w:t>
      </w:r>
      <w:r w:rsidRPr="00C078E8">
        <w:rPr>
          <w:color w:val="auto"/>
        </w:rPr>
        <w:t xml:space="preserve">, Article 5. </w:t>
      </w:r>
      <w:r w:rsidRPr="00C078E8">
        <w:rPr>
          <w:color w:val="auto"/>
          <w:u w:val="single"/>
        </w:rPr>
        <w:t>https://doi.org/10.1186/s41073-019-0064-8</w:t>
      </w:r>
    </w:p>
    <w:p w14:paraId="683C9630" w14:textId="3FBC475B" w:rsidR="003E2B81" w:rsidRPr="00C078E8" w:rsidRDefault="00000000">
      <w:pPr>
        <w:pStyle w:val="ReferenceText"/>
        <w:rPr>
          <w:color w:val="auto"/>
        </w:rPr>
      </w:pPr>
      <w:r w:rsidRPr="00C078E8">
        <w:rPr>
          <w:color w:val="auto"/>
        </w:rPr>
        <w:t xml:space="preserve">Bairwa, A., Dipta, B., Sharma, N., Singh, B., Sharma, S., Mhatre, P. H., P., P. K., Singh, P. D., Masakapalli, S. K., &amp; Singh, B. (2026). Nanoclay-based dsRNA delivery: A novel approach to control </w:t>
      </w:r>
      <w:r w:rsidRPr="00C078E8">
        <w:rPr>
          <w:i/>
          <w:color w:val="auto"/>
        </w:rPr>
        <w:t>Globodera rostochiensis</w:t>
      </w:r>
      <w:r w:rsidRPr="00C078E8">
        <w:rPr>
          <w:color w:val="auto"/>
        </w:rPr>
        <w:t xml:space="preserve">. </w:t>
      </w:r>
      <w:r w:rsidRPr="00C078E8">
        <w:rPr>
          <w:i/>
          <w:color w:val="auto"/>
        </w:rPr>
        <w:t>Molecular Biology Reports, 53</w:t>
      </w:r>
      <w:r w:rsidRPr="00C078E8">
        <w:rPr>
          <w:color w:val="auto"/>
        </w:rPr>
        <w:t xml:space="preserve">(1), Article 626. </w:t>
      </w:r>
      <w:r w:rsidRPr="00C078E8">
        <w:rPr>
          <w:color w:val="auto"/>
          <w:u w:val="single"/>
        </w:rPr>
        <w:t>https://doi.org/10.1007/s11033-026-11802-1</w:t>
      </w:r>
    </w:p>
    <w:p w14:paraId="775A8E12" w14:textId="7619360C" w:rsidR="003E2B81" w:rsidRPr="00C078E8" w:rsidRDefault="00000000">
      <w:pPr>
        <w:pStyle w:val="ReferenceText"/>
        <w:rPr>
          <w:color w:val="auto"/>
        </w:rPr>
      </w:pPr>
      <w:r w:rsidRPr="00C078E8">
        <w:rPr>
          <w:color w:val="auto"/>
        </w:rPr>
        <w:lastRenderedPageBreak/>
        <w:t xml:space="preserve">Bakhetia, M., Charlton, W. L., Urwin, P. E., McPherson, M. J., &amp; Atkinson, H. J. (2005). RNA interference and plant parasitic nematodes. </w:t>
      </w:r>
      <w:r w:rsidRPr="00C078E8">
        <w:rPr>
          <w:i/>
          <w:color w:val="auto"/>
        </w:rPr>
        <w:t>Trends in Plant Science, 10</w:t>
      </w:r>
      <w:r w:rsidRPr="00C078E8">
        <w:rPr>
          <w:color w:val="auto"/>
        </w:rPr>
        <w:t xml:space="preserve">(8), 362–367. </w:t>
      </w:r>
      <w:r w:rsidRPr="00C078E8">
        <w:rPr>
          <w:color w:val="auto"/>
          <w:u w:val="single"/>
        </w:rPr>
        <w:t>https://doi.org/10.1016/j.tplants.2005.06.007</w:t>
      </w:r>
    </w:p>
    <w:p w14:paraId="68093230" w14:textId="53C2D1A0" w:rsidR="003E2B81" w:rsidRPr="00C078E8" w:rsidRDefault="00000000">
      <w:pPr>
        <w:pStyle w:val="ReferenceText"/>
        <w:rPr>
          <w:color w:val="auto"/>
        </w:rPr>
      </w:pPr>
      <w:r w:rsidRPr="00C078E8">
        <w:rPr>
          <w:color w:val="auto"/>
        </w:rPr>
        <w:t xml:space="preserve">Banerjee, S., Banerjee, A., Gill, S. S., Gupta, O. P., Dahuja, A., Jain, P. K., &amp; Sirohi, A. (2017). RNA interference: A novel source of resistance to combat plant parasitic nematodes. </w:t>
      </w:r>
      <w:r w:rsidRPr="00C078E8">
        <w:rPr>
          <w:i/>
          <w:color w:val="auto"/>
        </w:rPr>
        <w:t>Frontiers in Plant Science, 8</w:t>
      </w:r>
      <w:r w:rsidRPr="00C078E8">
        <w:rPr>
          <w:color w:val="auto"/>
        </w:rPr>
        <w:t xml:space="preserve">, Article 834. </w:t>
      </w:r>
      <w:r w:rsidRPr="00C078E8">
        <w:rPr>
          <w:color w:val="auto"/>
          <w:u w:val="single"/>
        </w:rPr>
        <w:t>https://doi.org/10.3389/fpls.2017.00834</w:t>
      </w:r>
    </w:p>
    <w:p w14:paraId="43D739C6" w14:textId="32D46208" w:rsidR="003E2B81" w:rsidRPr="00C078E8" w:rsidRDefault="00000000">
      <w:pPr>
        <w:pStyle w:val="ReferenceText"/>
        <w:rPr>
          <w:color w:val="auto"/>
        </w:rPr>
      </w:pPr>
      <w:r w:rsidRPr="00C078E8">
        <w:rPr>
          <w:color w:val="auto"/>
        </w:rPr>
        <w:t xml:space="preserve">Charlton, W. L., Meller Harel, H. Y., Bakhetia, M., Hibbard, J. K., Atkinson, H. J., &amp; McPherson, M. J. (2010). Additive effects of plant expressed double-stranded RNAs on root-knot nematode development. </w:t>
      </w:r>
      <w:r w:rsidRPr="00C078E8">
        <w:rPr>
          <w:i/>
          <w:color w:val="auto"/>
        </w:rPr>
        <w:t>International Journal for Parasitology, 40</w:t>
      </w:r>
      <w:r w:rsidRPr="00C078E8">
        <w:rPr>
          <w:color w:val="auto"/>
        </w:rPr>
        <w:t xml:space="preserve">(7), 855–864. </w:t>
      </w:r>
      <w:r w:rsidRPr="00C078E8">
        <w:rPr>
          <w:color w:val="auto"/>
          <w:u w:val="single"/>
        </w:rPr>
        <w:t>https://doi.org/10.1016/j.ijpara.2010.01.003</w:t>
      </w:r>
    </w:p>
    <w:p w14:paraId="32D02EB5" w14:textId="0FB636E9" w:rsidR="003E2B81" w:rsidRPr="00C078E8" w:rsidRDefault="00000000">
      <w:pPr>
        <w:pStyle w:val="ReferenceText"/>
        <w:rPr>
          <w:color w:val="auto"/>
        </w:rPr>
      </w:pPr>
      <w:r w:rsidRPr="00C078E8">
        <w:rPr>
          <w:color w:val="auto"/>
        </w:rPr>
        <w:t xml:space="preserve">Chaudhary, S., Dutta, T. K., Tyagi, N., Shivakumara, T. N., Papolu, P. K., Chobhe, K. A., &amp; Rao, U. (2019). Host-induced silencing of Mi-msp-1 confers resistance to root-knot nematode </w:t>
      </w:r>
      <w:r w:rsidRPr="00C078E8">
        <w:rPr>
          <w:i/>
          <w:color w:val="auto"/>
        </w:rPr>
        <w:t>Meloidogyne incognita</w:t>
      </w:r>
      <w:r w:rsidRPr="00C078E8">
        <w:rPr>
          <w:color w:val="auto"/>
        </w:rPr>
        <w:t xml:space="preserve"> in eggplant. </w:t>
      </w:r>
      <w:r w:rsidRPr="00C078E8">
        <w:rPr>
          <w:i/>
          <w:color w:val="auto"/>
        </w:rPr>
        <w:t>Transgenic Research, 28</w:t>
      </w:r>
      <w:r w:rsidRPr="00C078E8">
        <w:rPr>
          <w:color w:val="auto"/>
        </w:rPr>
        <w:t xml:space="preserve">(3–4), 327–340. </w:t>
      </w:r>
      <w:r w:rsidRPr="00C078E8">
        <w:rPr>
          <w:color w:val="auto"/>
          <w:u w:val="single"/>
        </w:rPr>
        <w:t>https://doi.org/10.1007/s11248-019-00126-5</w:t>
      </w:r>
    </w:p>
    <w:p w14:paraId="779C9E0F" w14:textId="5038429A" w:rsidR="003E2B81" w:rsidRPr="00C078E8" w:rsidRDefault="00000000">
      <w:pPr>
        <w:pStyle w:val="ReferenceText"/>
        <w:rPr>
          <w:color w:val="auto"/>
        </w:rPr>
      </w:pPr>
      <w:r w:rsidRPr="00C078E8">
        <w:rPr>
          <w:color w:val="auto"/>
        </w:rPr>
        <w:t xml:space="preserve">Chen, Q., Rehman, S., Smant, G., &amp; Jones, J. T. (2005). Functional analysis of pathogenicity proteins of the potato cyst nematode </w:t>
      </w:r>
      <w:r w:rsidRPr="00C078E8">
        <w:rPr>
          <w:i/>
          <w:color w:val="auto"/>
        </w:rPr>
        <w:t>Globodera rostochiensis</w:t>
      </w:r>
      <w:r w:rsidRPr="00C078E8">
        <w:rPr>
          <w:color w:val="auto"/>
        </w:rPr>
        <w:t xml:space="preserve"> using RNAi. </w:t>
      </w:r>
      <w:r w:rsidRPr="00C078E8">
        <w:rPr>
          <w:i/>
          <w:color w:val="auto"/>
        </w:rPr>
        <w:t>Molecular Plant-Microbe Interactions, 18</w:t>
      </w:r>
      <w:r w:rsidRPr="00C078E8">
        <w:rPr>
          <w:color w:val="auto"/>
        </w:rPr>
        <w:t xml:space="preserve">(7), 621–625. </w:t>
      </w:r>
      <w:r w:rsidRPr="00C078E8">
        <w:rPr>
          <w:color w:val="auto"/>
          <w:u w:val="single"/>
        </w:rPr>
        <w:t>https://doi.org/10.1094/MPMI-18-0621</w:t>
      </w:r>
    </w:p>
    <w:p w14:paraId="4E688A27" w14:textId="770C84A7" w:rsidR="003E2B81" w:rsidRPr="00C078E8" w:rsidRDefault="00000000">
      <w:pPr>
        <w:pStyle w:val="ReferenceText"/>
        <w:rPr>
          <w:color w:val="auto"/>
        </w:rPr>
      </w:pPr>
      <w:r w:rsidRPr="00C078E8">
        <w:rPr>
          <w:color w:val="auto"/>
        </w:rPr>
        <w:t xml:space="preserve">Dong, L., Xu, J., Chen, S., Li, X., &amp; Zuo, Y. (2016). Mi-flp-18 and Mi-mpk-1 genes are potential targets for </w:t>
      </w:r>
      <w:r w:rsidRPr="00C078E8">
        <w:rPr>
          <w:i/>
          <w:color w:val="auto"/>
        </w:rPr>
        <w:t>Meloidogyne incognita</w:t>
      </w:r>
      <w:r w:rsidRPr="00C078E8">
        <w:rPr>
          <w:color w:val="auto"/>
        </w:rPr>
        <w:t xml:space="preserve"> control. </w:t>
      </w:r>
      <w:r w:rsidRPr="00C078E8">
        <w:rPr>
          <w:i/>
          <w:color w:val="auto"/>
        </w:rPr>
        <w:t>Journal of Parasitology, 102</w:t>
      </w:r>
      <w:r w:rsidRPr="00C078E8">
        <w:rPr>
          <w:color w:val="auto"/>
        </w:rPr>
        <w:t xml:space="preserve">(2), 208–213. </w:t>
      </w:r>
      <w:r w:rsidRPr="00C078E8">
        <w:rPr>
          <w:color w:val="auto"/>
          <w:u w:val="single"/>
        </w:rPr>
        <w:t>https://doi.org/10.1645/15-768</w:t>
      </w:r>
    </w:p>
    <w:p w14:paraId="1B88D8CE" w14:textId="27051589" w:rsidR="003E2B81" w:rsidRPr="00C078E8" w:rsidRDefault="00000000">
      <w:pPr>
        <w:pStyle w:val="ReferenceText"/>
        <w:rPr>
          <w:color w:val="auto"/>
        </w:rPr>
      </w:pPr>
      <w:r w:rsidRPr="00C078E8">
        <w:rPr>
          <w:color w:val="auto"/>
        </w:rPr>
        <w:t xml:space="preserve">Dubelman, S., Fischer, J., Zapata, F., Huizinga, K., Jiang, C., Uffman, J., Levine, S., &amp; Carson, D. (2014). Environmental fate of double-stranded RNA in agricultural soils. </w:t>
      </w:r>
      <w:r w:rsidRPr="00C078E8">
        <w:rPr>
          <w:i/>
          <w:color w:val="auto"/>
        </w:rPr>
        <w:t>PLOS ONE, 9</w:t>
      </w:r>
      <w:r w:rsidRPr="00C078E8">
        <w:rPr>
          <w:color w:val="auto"/>
        </w:rPr>
        <w:t xml:space="preserve">(3), Article e93155. </w:t>
      </w:r>
      <w:r w:rsidRPr="00C078E8">
        <w:rPr>
          <w:color w:val="auto"/>
          <w:u w:val="single"/>
        </w:rPr>
        <w:t>https://doi.org/10.1371/journal.pone.0093155</w:t>
      </w:r>
    </w:p>
    <w:p w14:paraId="6BF21A1F" w14:textId="394127A3" w:rsidR="003E2B81" w:rsidRPr="00C078E8" w:rsidRDefault="00000000">
      <w:pPr>
        <w:pStyle w:val="ReferenceText"/>
        <w:rPr>
          <w:color w:val="auto"/>
        </w:rPr>
      </w:pPr>
      <w:r w:rsidRPr="00C078E8">
        <w:rPr>
          <w:color w:val="auto"/>
        </w:rPr>
        <w:t xml:space="preserve">Dutta, T. K., Banakar, P., &amp; Rao, U. (2015). The status of RNAi-based transgenic research in plant nematology. </w:t>
      </w:r>
      <w:r w:rsidRPr="00C078E8">
        <w:rPr>
          <w:i/>
          <w:color w:val="auto"/>
        </w:rPr>
        <w:t>Frontiers in Microbiology, 5</w:t>
      </w:r>
      <w:r w:rsidRPr="00C078E8">
        <w:rPr>
          <w:color w:val="auto"/>
        </w:rPr>
        <w:t xml:space="preserve">, Article 760. </w:t>
      </w:r>
      <w:r w:rsidRPr="00C078E8">
        <w:rPr>
          <w:color w:val="auto"/>
          <w:u w:val="single"/>
        </w:rPr>
        <w:t>https://doi.org/10.3389/fmicb.2014.00760</w:t>
      </w:r>
    </w:p>
    <w:p w14:paraId="41E0F572" w14:textId="1BC03FFD" w:rsidR="003E2B81" w:rsidRPr="00C078E8" w:rsidRDefault="00000000">
      <w:pPr>
        <w:pStyle w:val="ReferenceText"/>
        <w:rPr>
          <w:color w:val="auto"/>
        </w:rPr>
      </w:pPr>
      <w:r w:rsidRPr="00C078E8">
        <w:rPr>
          <w:color w:val="auto"/>
        </w:rPr>
        <w:t xml:space="preserve">Dutta, T. K., Papolu, P. K., Singh, D., Sreevathsa, R., &amp; Rao, U. (2020). Expression interference of a number of </w:t>
      </w:r>
      <w:r w:rsidRPr="00C078E8">
        <w:rPr>
          <w:i/>
          <w:color w:val="auto"/>
        </w:rPr>
        <w:t>Heterodera avenae</w:t>
      </w:r>
      <w:r w:rsidRPr="00C078E8">
        <w:rPr>
          <w:color w:val="auto"/>
        </w:rPr>
        <w:t xml:space="preserve"> conserved genes perturbs nematode parasitic success in </w:t>
      </w:r>
      <w:r w:rsidRPr="00C078E8">
        <w:rPr>
          <w:i/>
          <w:color w:val="auto"/>
        </w:rPr>
        <w:t>Triticum aestivum</w:t>
      </w:r>
      <w:r w:rsidRPr="00C078E8">
        <w:rPr>
          <w:color w:val="auto"/>
        </w:rPr>
        <w:t xml:space="preserve">. </w:t>
      </w:r>
      <w:r w:rsidRPr="00C078E8">
        <w:rPr>
          <w:i/>
          <w:color w:val="auto"/>
        </w:rPr>
        <w:t>Plant Science, 301</w:t>
      </w:r>
      <w:r w:rsidRPr="00C078E8">
        <w:rPr>
          <w:color w:val="auto"/>
        </w:rPr>
        <w:t xml:space="preserve">, Article 110670. </w:t>
      </w:r>
      <w:r w:rsidRPr="00C078E8">
        <w:rPr>
          <w:color w:val="auto"/>
          <w:u w:val="single"/>
        </w:rPr>
        <w:t>https://doi.org/10.1016/j.plantsci.2020.110670</w:t>
      </w:r>
    </w:p>
    <w:p w14:paraId="6E34FCB0" w14:textId="0EA41ED3" w:rsidR="003E2B81" w:rsidRPr="00C078E8" w:rsidRDefault="00000000">
      <w:pPr>
        <w:pStyle w:val="ReferenceText"/>
        <w:rPr>
          <w:color w:val="auto"/>
        </w:rPr>
      </w:pPr>
      <w:r w:rsidRPr="00C078E8">
        <w:rPr>
          <w:color w:val="auto"/>
        </w:rPr>
        <w:t xml:space="preserve">Dutta, T. K., Akhil, V. S., Kundu, A., Dash, M., Phani, V., Sirohi, A., &amp; Somvanshi, V. S. (2024). Induced knockdown of Mg-odr-1 and Mg-odr-3 perturbed the host seeking behavior of </w:t>
      </w:r>
      <w:r w:rsidRPr="00C078E8">
        <w:rPr>
          <w:i/>
          <w:color w:val="auto"/>
        </w:rPr>
        <w:t>Meloidogyne graminicola</w:t>
      </w:r>
      <w:r w:rsidRPr="00C078E8">
        <w:rPr>
          <w:color w:val="auto"/>
        </w:rPr>
        <w:t xml:space="preserve"> in rice. </w:t>
      </w:r>
      <w:r w:rsidRPr="00C078E8">
        <w:rPr>
          <w:i/>
          <w:color w:val="auto"/>
        </w:rPr>
        <w:t>Heliyon, 10</w:t>
      </w:r>
      <w:r w:rsidRPr="00C078E8">
        <w:rPr>
          <w:color w:val="auto"/>
        </w:rPr>
        <w:t xml:space="preserve">(4), Article e26384. </w:t>
      </w:r>
      <w:r w:rsidRPr="00C078E8">
        <w:rPr>
          <w:color w:val="auto"/>
          <w:u w:val="single"/>
        </w:rPr>
        <w:t>https://doi.org/10.1016/j.heliyon.2024.e26384</w:t>
      </w:r>
    </w:p>
    <w:p w14:paraId="01CEE9D2" w14:textId="34566D59" w:rsidR="003E2B81" w:rsidRPr="00C078E8" w:rsidRDefault="00000000">
      <w:pPr>
        <w:pStyle w:val="ReferenceText"/>
        <w:rPr>
          <w:color w:val="auto"/>
        </w:rPr>
      </w:pPr>
      <w:r w:rsidRPr="00C078E8">
        <w:rPr>
          <w:color w:val="auto"/>
        </w:rPr>
        <w:t xml:space="preserve">Fairbairn, D. J., Cavallaro, A. S., Bernard, M., Mahalinga-Iyer, J., Graham, M. W., &amp; Botella, J. R. (2007). Host-delivered RNAi: An effective strategy to silence genes in plant parasitic nematodes. </w:t>
      </w:r>
      <w:r w:rsidRPr="00C078E8">
        <w:rPr>
          <w:i/>
          <w:color w:val="auto"/>
        </w:rPr>
        <w:t>Planta, 226</w:t>
      </w:r>
      <w:r w:rsidRPr="00C078E8">
        <w:rPr>
          <w:color w:val="auto"/>
        </w:rPr>
        <w:t xml:space="preserve">(6), 1525–1533. </w:t>
      </w:r>
      <w:r w:rsidRPr="00C078E8">
        <w:rPr>
          <w:color w:val="auto"/>
          <w:u w:val="single"/>
        </w:rPr>
        <w:t>https://doi.org/10.1007/s00425-007-0588-x</w:t>
      </w:r>
    </w:p>
    <w:p w14:paraId="79ECD6C1" w14:textId="7A1D481C" w:rsidR="003E2B81" w:rsidRPr="00C078E8" w:rsidRDefault="00000000">
      <w:pPr>
        <w:pStyle w:val="ReferenceText"/>
        <w:rPr>
          <w:color w:val="auto"/>
        </w:rPr>
      </w:pPr>
      <w:r w:rsidRPr="00C078E8">
        <w:rPr>
          <w:color w:val="auto"/>
        </w:rPr>
        <w:t xml:space="preserve">Fire, A., Xu, S., Montgomery, M. K., Kostas, S. A., Driver, S. E., &amp; Mello, C. C. (1998). Potent and specific genetic interference by double-stranded RNA in </w:t>
      </w:r>
      <w:r w:rsidRPr="00C078E8">
        <w:rPr>
          <w:i/>
          <w:color w:val="auto"/>
        </w:rPr>
        <w:t>Caenorhabditis elegans</w:t>
      </w:r>
      <w:r w:rsidRPr="00C078E8">
        <w:rPr>
          <w:color w:val="auto"/>
        </w:rPr>
        <w:t xml:space="preserve">. </w:t>
      </w:r>
      <w:r w:rsidRPr="00C078E8">
        <w:rPr>
          <w:i/>
          <w:color w:val="auto"/>
        </w:rPr>
        <w:t>Nature, 391</w:t>
      </w:r>
      <w:r w:rsidRPr="00C078E8">
        <w:rPr>
          <w:color w:val="auto"/>
        </w:rPr>
        <w:t xml:space="preserve">(6669), 806–811. </w:t>
      </w:r>
      <w:r w:rsidRPr="00C078E8">
        <w:rPr>
          <w:color w:val="auto"/>
          <w:u w:val="single"/>
        </w:rPr>
        <w:t>https://doi.org/10.1038/35888</w:t>
      </w:r>
    </w:p>
    <w:p w14:paraId="0DF7B689" w14:textId="59D918F1" w:rsidR="003E2B81" w:rsidRPr="00C078E8" w:rsidRDefault="00000000">
      <w:pPr>
        <w:pStyle w:val="ReferenceText"/>
        <w:rPr>
          <w:color w:val="auto"/>
        </w:rPr>
      </w:pPr>
      <w:r w:rsidRPr="00C078E8">
        <w:rPr>
          <w:color w:val="auto"/>
        </w:rPr>
        <w:t xml:space="preserve">Guo, K., Huang, Z., Wang, C., Liu, X., Chen, Y., Fang, J., Jin, W., Xu, J., Wu, F., &amp; Zhou, X. (2024). Nematicidal effects of silencing arginine kinase in the pine wood nematode, </w:t>
      </w:r>
      <w:r w:rsidRPr="00C078E8">
        <w:rPr>
          <w:i/>
          <w:color w:val="auto"/>
        </w:rPr>
        <w:t>Bursaphelenchus xylophilus</w:t>
      </w:r>
      <w:r w:rsidRPr="00C078E8">
        <w:rPr>
          <w:color w:val="auto"/>
        </w:rPr>
        <w:t xml:space="preserve">, determined using a dsRNA-like siRNA assembly. </w:t>
      </w:r>
      <w:r w:rsidRPr="00C078E8">
        <w:rPr>
          <w:i/>
          <w:color w:val="auto"/>
        </w:rPr>
        <w:t>International Journal of Biological Macromolecules, 279</w:t>
      </w:r>
      <w:r w:rsidRPr="00C078E8">
        <w:rPr>
          <w:color w:val="auto"/>
        </w:rPr>
        <w:t xml:space="preserve">(Pt 3), Article 135401. </w:t>
      </w:r>
      <w:r w:rsidRPr="00C078E8">
        <w:rPr>
          <w:color w:val="auto"/>
          <w:u w:val="single"/>
        </w:rPr>
        <w:t>https://doi.org/10.1016/j.ijbiomac.2024.135401</w:t>
      </w:r>
    </w:p>
    <w:p w14:paraId="73225918" w14:textId="0EE32239" w:rsidR="003E2B81" w:rsidRPr="00C078E8" w:rsidRDefault="00000000">
      <w:pPr>
        <w:pStyle w:val="ReferenceText"/>
        <w:rPr>
          <w:color w:val="auto"/>
        </w:rPr>
      </w:pPr>
      <w:r w:rsidRPr="00C078E8">
        <w:rPr>
          <w:color w:val="auto"/>
        </w:rPr>
        <w:t xml:space="preserve">Hada, A., Kumari, C., Phani, V., Singh, D., Chinnusamy, V., &amp; Rao, U. (2020). Host-induced silencing of FMRFamide-like peptide genes, flp-1 and flp-12, in rice impairs reproductive fitness of the root-knot nematode </w:t>
      </w:r>
      <w:r w:rsidRPr="00C078E8">
        <w:rPr>
          <w:i/>
          <w:color w:val="auto"/>
        </w:rPr>
        <w:t>Meloidogyne graminicola</w:t>
      </w:r>
      <w:r w:rsidRPr="00C078E8">
        <w:rPr>
          <w:color w:val="auto"/>
        </w:rPr>
        <w:t xml:space="preserve">. </w:t>
      </w:r>
      <w:r w:rsidRPr="00C078E8">
        <w:rPr>
          <w:i/>
          <w:color w:val="auto"/>
        </w:rPr>
        <w:t>Frontiers in Plant Science, 11</w:t>
      </w:r>
      <w:r w:rsidRPr="00C078E8">
        <w:rPr>
          <w:color w:val="auto"/>
        </w:rPr>
        <w:t xml:space="preserve">, Article 894. </w:t>
      </w:r>
      <w:r w:rsidRPr="00C078E8">
        <w:rPr>
          <w:color w:val="auto"/>
          <w:u w:val="single"/>
        </w:rPr>
        <w:t>https://doi.org/10.3389/fpls.2020.00894</w:t>
      </w:r>
    </w:p>
    <w:p w14:paraId="07C0D7D2" w14:textId="3C642B7B" w:rsidR="003E2B81" w:rsidRPr="00C078E8" w:rsidRDefault="00000000">
      <w:pPr>
        <w:pStyle w:val="ReferenceText"/>
        <w:rPr>
          <w:color w:val="auto"/>
        </w:rPr>
      </w:pPr>
      <w:r w:rsidRPr="00C078E8">
        <w:rPr>
          <w:color w:val="auto"/>
        </w:rPr>
        <w:t xml:space="preserve">Huang, G., Allen, R., Davis, E. L., Baum, T. J., &amp; Hussey, R. S. (2006). Engineering broad root-knot resistance in transgenic plants by RNAi silencing of a conserved and essential root-knot nematode parasitism gene. </w:t>
      </w:r>
      <w:r w:rsidRPr="00C078E8">
        <w:rPr>
          <w:i/>
          <w:color w:val="auto"/>
        </w:rPr>
        <w:t>Proceedings of the National Academy of Sciences of the United States of America, 103</w:t>
      </w:r>
      <w:r w:rsidRPr="00C078E8">
        <w:rPr>
          <w:color w:val="auto"/>
        </w:rPr>
        <w:t xml:space="preserve">(39), 14302–14306. </w:t>
      </w:r>
      <w:r w:rsidRPr="00C078E8">
        <w:rPr>
          <w:color w:val="auto"/>
          <w:u w:val="single"/>
        </w:rPr>
        <w:t>https://doi.org/10.1073/pnas.0604698103</w:t>
      </w:r>
    </w:p>
    <w:p w14:paraId="0C244E90" w14:textId="629D28E3" w:rsidR="003E2B81" w:rsidRPr="00C078E8" w:rsidRDefault="00000000">
      <w:pPr>
        <w:pStyle w:val="ReferenceText"/>
        <w:rPr>
          <w:color w:val="auto"/>
        </w:rPr>
      </w:pPr>
      <w:r w:rsidRPr="00C078E8">
        <w:rPr>
          <w:color w:val="auto"/>
        </w:rPr>
        <w:t xml:space="preserve">Iqbal, S., Fosu-Nyarko, J., &amp; Jones, M. G. K. (2020). Attempt to silence genes of the RNAi pathways of the root-knot nematode, </w:t>
      </w:r>
      <w:r w:rsidRPr="00C078E8">
        <w:rPr>
          <w:i/>
          <w:color w:val="auto"/>
        </w:rPr>
        <w:t>Meloidogyne incognita</w:t>
      </w:r>
      <w:r w:rsidRPr="00C078E8">
        <w:rPr>
          <w:color w:val="auto"/>
        </w:rPr>
        <w:t xml:space="preserve"> results in diverse responses including increase and no change in expression of some genes. </w:t>
      </w:r>
      <w:r w:rsidRPr="00C078E8">
        <w:rPr>
          <w:i/>
          <w:color w:val="auto"/>
        </w:rPr>
        <w:t>Frontiers in Plant Science, 11</w:t>
      </w:r>
      <w:r w:rsidRPr="00C078E8">
        <w:rPr>
          <w:color w:val="auto"/>
        </w:rPr>
        <w:t xml:space="preserve">, Article 328. </w:t>
      </w:r>
      <w:r w:rsidRPr="00C078E8">
        <w:rPr>
          <w:color w:val="auto"/>
          <w:u w:val="single"/>
        </w:rPr>
        <w:t>https://doi.org/10.3389/fpls.2020.00328</w:t>
      </w:r>
    </w:p>
    <w:p w14:paraId="67E6916C" w14:textId="7B819D4D" w:rsidR="003E2B81" w:rsidRPr="00C078E8" w:rsidRDefault="00000000">
      <w:pPr>
        <w:pStyle w:val="ReferenceText"/>
        <w:rPr>
          <w:color w:val="auto"/>
        </w:rPr>
      </w:pPr>
      <w:r w:rsidRPr="00C078E8">
        <w:rPr>
          <w:color w:val="auto"/>
        </w:rPr>
        <w:t xml:space="preserve">Jones, J. T., Haegeman, A., Danchin, E. G. J., Gaur, H. S., Helder, J., Jones, M. G. K., Kikuchi, T., Manzanilla-López, R., Palomares-Rius, J. E., Wesemael, W. M. L., &amp; Perry, R. N. (2013). Top 10 plant-parasitic nematodes in molecular plant pathology. </w:t>
      </w:r>
      <w:r w:rsidRPr="00C078E8">
        <w:rPr>
          <w:i/>
          <w:color w:val="auto"/>
        </w:rPr>
        <w:t>Molecular Plant Pathology, 14</w:t>
      </w:r>
      <w:r w:rsidRPr="00C078E8">
        <w:rPr>
          <w:color w:val="auto"/>
        </w:rPr>
        <w:t xml:space="preserve">(9), 946–961. </w:t>
      </w:r>
      <w:r w:rsidRPr="00C078E8">
        <w:rPr>
          <w:color w:val="auto"/>
          <w:u w:val="single"/>
        </w:rPr>
        <w:t>https://doi.org/10.1111/mpp.12057</w:t>
      </w:r>
    </w:p>
    <w:p w14:paraId="1365D565" w14:textId="3A0D1F7B" w:rsidR="003E2B81" w:rsidRPr="00C078E8" w:rsidRDefault="00000000">
      <w:pPr>
        <w:pStyle w:val="ReferenceText"/>
        <w:rPr>
          <w:color w:val="auto"/>
        </w:rPr>
      </w:pPr>
      <w:r w:rsidRPr="00C078E8">
        <w:rPr>
          <w:color w:val="auto"/>
        </w:rPr>
        <w:t xml:space="preserve">Kakrana, A., Kumar, A., Satheesh, V., Abdin, M. Z., Subramaniam, K., Bhattacharya, R. C., Srinivasan, R., Sirohi, A., &amp; Jain, P. K. (2017). Identification, validation and utilization of novel nematode-responsive root-specific promoters in </w:t>
      </w:r>
      <w:r w:rsidRPr="00C078E8">
        <w:rPr>
          <w:i/>
          <w:color w:val="auto"/>
        </w:rPr>
        <w:t>Arabidopsis</w:t>
      </w:r>
      <w:r w:rsidRPr="00C078E8">
        <w:rPr>
          <w:color w:val="auto"/>
        </w:rPr>
        <w:t xml:space="preserve"> for inducing host-delivered RNAi mediated root-knot nematode resistance. </w:t>
      </w:r>
      <w:r w:rsidRPr="00C078E8">
        <w:rPr>
          <w:i/>
          <w:color w:val="auto"/>
        </w:rPr>
        <w:t>Frontiers in Plant Science, 8</w:t>
      </w:r>
      <w:r w:rsidRPr="00C078E8">
        <w:rPr>
          <w:color w:val="auto"/>
        </w:rPr>
        <w:t xml:space="preserve">, Article 2049. </w:t>
      </w:r>
      <w:r w:rsidRPr="00C078E8">
        <w:rPr>
          <w:color w:val="auto"/>
          <w:u w:val="single"/>
        </w:rPr>
        <w:t>https://doi.org/10.3389/fpls.2017.02049</w:t>
      </w:r>
    </w:p>
    <w:p w14:paraId="44B85284" w14:textId="6522BEF8" w:rsidR="003E2B81" w:rsidRPr="00C078E8" w:rsidRDefault="00000000">
      <w:pPr>
        <w:pStyle w:val="ReferenceText"/>
        <w:rPr>
          <w:color w:val="auto"/>
        </w:rPr>
      </w:pPr>
      <w:r w:rsidRPr="00C078E8">
        <w:rPr>
          <w:color w:val="auto"/>
        </w:rPr>
        <w:lastRenderedPageBreak/>
        <w:t xml:space="preserve">Mitter, N., Worrall, E. A., Robinson, K. E., Li, P., Jain, R. G., Taochy, C., Fletcher, S. J., Carroll, B. J., Lu, G. Q., &amp; Xu, Z. P. (2017). Clay nanosheets for topical delivery of RNAi for sustained protection against plant viruses. </w:t>
      </w:r>
      <w:r w:rsidRPr="00C078E8">
        <w:rPr>
          <w:i/>
          <w:color w:val="auto"/>
        </w:rPr>
        <w:t>Nature Plants, 3</w:t>
      </w:r>
      <w:r w:rsidRPr="00C078E8">
        <w:rPr>
          <w:color w:val="auto"/>
        </w:rPr>
        <w:t xml:space="preserve">, Article 16207. </w:t>
      </w:r>
      <w:r w:rsidRPr="00C078E8">
        <w:rPr>
          <w:color w:val="auto"/>
          <w:u w:val="single"/>
        </w:rPr>
        <w:t>https://doi.org/10.1038/nplants.2016.207</w:t>
      </w:r>
    </w:p>
    <w:p w14:paraId="6E426F16" w14:textId="3CF6B691" w:rsidR="003E2B81" w:rsidRPr="00C078E8" w:rsidRDefault="00000000">
      <w:pPr>
        <w:pStyle w:val="ReferenceText"/>
        <w:rPr>
          <w:color w:val="auto"/>
        </w:rPr>
      </w:pPr>
      <w:r w:rsidRPr="00C078E8">
        <w:rPr>
          <w:color w:val="auto"/>
        </w:rPr>
        <w:t xml:space="preserve">Opdensteinen, P., Charudattan, R., Hong, J. C., Rosskopf, E. N., &amp; Steinmetz, N. F. (2024). Biochemical and nanotechnological approaches to combat phytoparasitic nematodes. </w:t>
      </w:r>
      <w:r w:rsidRPr="00C078E8">
        <w:rPr>
          <w:i/>
          <w:color w:val="auto"/>
        </w:rPr>
        <w:t>Plant Biotechnology Journal, 22</w:t>
      </w:r>
      <w:r w:rsidRPr="00C078E8">
        <w:rPr>
          <w:color w:val="auto"/>
        </w:rPr>
        <w:t xml:space="preserve">(9), 2444–2460. </w:t>
      </w:r>
      <w:r w:rsidRPr="00C078E8">
        <w:rPr>
          <w:color w:val="auto"/>
          <w:u w:val="single"/>
        </w:rPr>
        <w:t>https://doi.org/10.1111/pbi.14359</w:t>
      </w:r>
    </w:p>
    <w:p w14:paraId="05AC96BB" w14:textId="2A71DE6A" w:rsidR="003E2B81" w:rsidRPr="00C078E8" w:rsidRDefault="00000000">
      <w:pPr>
        <w:pStyle w:val="ReferenceText"/>
        <w:rPr>
          <w:color w:val="auto"/>
        </w:rPr>
      </w:pPr>
      <w:r w:rsidRPr="00C078E8">
        <w:rPr>
          <w:color w:val="auto"/>
        </w:rPr>
        <w:t xml:space="preserve">Rosso, M.-N., Dubrana, M. P., Cimbolini, N., Jaubert, S., &amp; Abad, P. (2005). Application of RNA interference to root-knot nematode genes encoding esophageal gland proteins. </w:t>
      </w:r>
      <w:r w:rsidRPr="00C078E8">
        <w:rPr>
          <w:i/>
          <w:color w:val="auto"/>
        </w:rPr>
        <w:t>Molecular Plant-Microbe Interactions, 18</w:t>
      </w:r>
      <w:r w:rsidRPr="00C078E8">
        <w:rPr>
          <w:color w:val="auto"/>
        </w:rPr>
        <w:t xml:space="preserve">(7), 615–620. </w:t>
      </w:r>
      <w:r w:rsidRPr="00C078E8">
        <w:rPr>
          <w:color w:val="auto"/>
          <w:u w:val="single"/>
        </w:rPr>
        <w:t>https://doi.org/10.1094/MPMI-18-0615</w:t>
      </w:r>
    </w:p>
    <w:p w14:paraId="491F4199" w14:textId="31FC8C61" w:rsidR="003E2B81" w:rsidRPr="00C078E8" w:rsidRDefault="00000000">
      <w:pPr>
        <w:pStyle w:val="ReferenceText"/>
        <w:rPr>
          <w:color w:val="auto"/>
        </w:rPr>
      </w:pPr>
      <w:r w:rsidRPr="00C078E8">
        <w:rPr>
          <w:color w:val="auto"/>
        </w:rPr>
        <w:t xml:space="preserve">Sindhu, A. S., Maier, T. R., Mitchum, M. G., Hussey, R. S., Davis, E. L., &amp; Baum, T. J. (2009). Effective and specific in planta RNAi in cyst nematodes: Expression interference of four parasitism genes reduces parasitic success. </w:t>
      </w:r>
      <w:r w:rsidRPr="00C078E8">
        <w:rPr>
          <w:i/>
          <w:color w:val="auto"/>
        </w:rPr>
        <w:t>Journal of Experimental Botany, 60</w:t>
      </w:r>
      <w:r w:rsidRPr="00C078E8">
        <w:rPr>
          <w:color w:val="auto"/>
        </w:rPr>
        <w:t xml:space="preserve">(1), 315–324. </w:t>
      </w:r>
      <w:r w:rsidRPr="00C078E8">
        <w:rPr>
          <w:color w:val="auto"/>
          <w:u w:val="single"/>
        </w:rPr>
        <w:t>https://doi.org/10.1093/jxb/ern289</w:t>
      </w:r>
    </w:p>
    <w:p w14:paraId="4F24773A" w14:textId="35539427" w:rsidR="003E2B81" w:rsidRPr="00C078E8" w:rsidRDefault="00000000">
      <w:pPr>
        <w:pStyle w:val="ReferenceText"/>
        <w:rPr>
          <w:color w:val="auto"/>
        </w:rPr>
      </w:pPr>
      <w:r w:rsidRPr="00C078E8">
        <w:rPr>
          <w:color w:val="auto"/>
        </w:rPr>
        <w:t xml:space="preserve">Singh, A. K., Pankaj, Sirohi, A., Rao, C. S., Viswanathan, C., &amp; Somvanshi, V. S. (2026). Molecular biopesticides: An emerging frontier for managing plant-parasitic nematodes. </w:t>
      </w:r>
      <w:r w:rsidRPr="00C078E8">
        <w:rPr>
          <w:i/>
          <w:color w:val="auto"/>
        </w:rPr>
        <w:t>Journal of Agricultural and Food Chemistry, 74</w:t>
      </w:r>
      <w:r w:rsidRPr="00C078E8">
        <w:rPr>
          <w:color w:val="auto"/>
        </w:rPr>
        <w:t xml:space="preserve">(26), 20202–20220. </w:t>
      </w:r>
      <w:r w:rsidRPr="00C078E8">
        <w:rPr>
          <w:color w:val="auto"/>
          <w:u w:val="single"/>
        </w:rPr>
        <w:t>https://doi.org/10.1021/acs.jafc.6c03298</w:t>
      </w:r>
    </w:p>
    <w:p w14:paraId="44FED472" w14:textId="17F688CC" w:rsidR="003E2B81" w:rsidRPr="00C078E8" w:rsidRDefault="00000000">
      <w:pPr>
        <w:pStyle w:val="ReferenceText"/>
        <w:rPr>
          <w:color w:val="auto"/>
        </w:rPr>
      </w:pPr>
      <w:r w:rsidRPr="00C078E8">
        <w:rPr>
          <w:color w:val="auto"/>
        </w:rPr>
        <w:t xml:space="preserve">Song, T., Khan, F., &amp; Kim, Y. (2025). Nematicidal efficacy of a dsRNA-chitosan formulation against </w:t>
      </w:r>
      <w:r w:rsidRPr="00C078E8">
        <w:rPr>
          <w:i/>
          <w:color w:val="auto"/>
        </w:rPr>
        <w:t>Acrobeloides nanus</w:t>
      </w:r>
      <w:r w:rsidRPr="00C078E8">
        <w:rPr>
          <w:color w:val="auto"/>
        </w:rPr>
        <w:t xml:space="preserve"> estimated by a soil drenching application. </w:t>
      </w:r>
      <w:r w:rsidRPr="00C078E8">
        <w:rPr>
          <w:i/>
          <w:color w:val="auto"/>
        </w:rPr>
        <w:t>Biology, 14</w:t>
      </w:r>
      <w:r w:rsidRPr="00C078E8">
        <w:rPr>
          <w:color w:val="auto"/>
        </w:rPr>
        <w:t xml:space="preserve">(9), Article 1161. </w:t>
      </w:r>
      <w:r w:rsidRPr="00C078E8">
        <w:rPr>
          <w:color w:val="auto"/>
          <w:u w:val="single"/>
        </w:rPr>
        <w:t>https://doi.org/10.3390/biology14091161</w:t>
      </w:r>
    </w:p>
    <w:p w14:paraId="7F28F439" w14:textId="727FE8D6" w:rsidR="003E2B81" w:rsidRPr="00C078E8" w:rsidRDefault="00000000">
      <w:pPr>
        <w:pStyle w:val="ReferenceText"/>
        <w:rPr>
          <w:color w:val="auto"/>
        </w:rPr>
      </w:pPr>
      <w:r w:rsidRPr="00C078E8">
        <w:rPr>
          <w:color w:val="auto"/>
        </w:rPr>
        <w:t xml:space="preserve">Song, T., Khan, F., &amp; Kim, Y. (2026). Field assay of LDH-formulated dsRNA specific to vATPase against the pine wood nematode, </w:t>
      </w:r>
      <w:r w:rsidRPr="00C078E8">
        <w:rPr>
          <w:i/>
          <w:color w:val="auto"/>
        </w:rPr>
        <w:t>Bursaphelenchus xylophilus</w:t>
      </w:r>
      <w:r w:rsidRPr="00C078E8">
        <w:rPr>
          <w:color w:val="auto"/>
        </w:rPr>
        <w:t xml:space="preserve">, via trunk injection. </w:t>
      </w:r>
      <w:r w:rsidRPr="00C078E8">
        <w:rPr>
          <w:i/>
          <w:color w:val="auto"/>
        </w:rPr>
        <w:t>Pesticide Biochemistry and Physiology, 222</w:t>
      </w:r>
      <w:r w:rsidRPr="00C078E8">
        <w:rPr>
          <w:color w:val="auto"/>
        </w:rPr>
        <w:t xml:space="preserve">, Article 107204. </w:t>
      </w:r>
      <w:r w:rsidRPr="00C078E8">
        <w:rPr>
          <w:color w:val="auto"/>
          <w:u w:val="single"/>
        </w:rPr>
        <w:t>https://doi.org/10.1016/j.pestbp.2026.107204</w:t>
      </w:r>
    </w:p>
    <w:p w14:paraId="612E349A" w14:textId="0FF81C44" w:rsidR="003E2B81" w:rsidRPr="00C078E8" w:rsidRDefault="00000000">
      <w:pPr>
        <w:pStyle w:val="ReferenceText"/>
        <w:rPr>
          <w:color w:val="auto"/>
        </w:rPr>
      </w:pPr>
      <w:r w:rsidRPr="00C078E8">
        <w:rPr>
          <w:color w:val="auto"/>
        </w:rPr>
        <w:t xml:space="preserve">Steeves, R. M., Todd, T. C., Essig, J. S., &amp; Trick, H. N. (2006). Transgenic soybeans expressing siRNAs specific to a major sperm protein gene suppress </w:t>
      </w:r>
      <w:r w:rsidRPr="00C078E8">
        <w:rPr>
          <w:i/>
          <w:color w:val="auto"/>
        </w:rPr>
        <w:t>Heterodera glycines</w:t>
      </w:r>
      <w:r w:rsidRPr="00C078E8">
        <w:rPr>
          <w:color w:val="auto"/>
        </w:rPr>
        <w:t xml:space="preserve"> reproduction. </w:t>
      </w:r>
      <w:r w:rsidRPr="00C078E8">
        <w:rPr>
          <w:i/>
          <w:color w:val="auto"/>
        </w:rPr>
        <w:t>Functional Plant Biology, 33</w:t>
      </w:r>
      <w:r w:rsidRPr="00C078E8">
        <w:rPr>
          <w:color w:val="auto"/>
        </w:rPr>
        <w:t xml:space="preserve">(11), 991–999. </w:t>
      </w:r>
      <w:r w:rsidRPr="00C078E8">
        <w:rPr>
          <w:color w:val="auto"/>
          <w:u w:val="single"/>
        </w:rPr>
        <w:t>https://doi.org/10.1071/FP06130</w:t>
      </w:r>
    </w:p>
    <w:p w14:paraId="44A4E890" w14:textId="3CEF309B" w:rsidR="003E2B81" w:rsidRPr="00C078E8" w:rsidRDefault="00000000">
      <w:pPr>
        <w:pStyle w:val="ReferenceText"/>
        <w:rPr>
          <w:color w:val="auto"/>
        </w:rPr>
      </w:pPr>
      <w:r w:rsidRPr="00C078E8">
        <w:rPr>
          <w:color w:val="auto"/>
        </w:rPr>
        <w:t>Tan, J.-A. C. H., Jones, M. G. K., &amp; Fosu-Nyarko, J. (2013). Gene silencing in root lesion nematodes (</w:t>
      </w:r>
      <w:r w:rsidRPr="00C078E8">
        <w:rPr>
          <w:i/>
          <w:color w:val="auto"/>
        </w:rPr>
        <w:t>Pratylenchus</w:t>
      </w:r>
      <w:r w:rsidRPr="00C078E8">
        <w:rPr>
          <w:color w:val="auto"/>
        </w:rPr>
        <w:t xml:space="preserve"> spp.) significantly reduces reproduction in a plant host. </w:t>
      </w:r>
      <w:r w:rsidRPr="00C078E8">
        <w:rPr>
          <w:i/>
          <w:color w:val="auto"/>
        </w:rPr>
        <w:t>Experimental Parasitology, 133</w:t>
      </w:r>
      <w:r w:rsidRPr="00C078E8">
        <w:rPr>
          <w:color w:val="auto"/>
        </w:rPr>
        <w:t xml:space="preserve">(2), 166–178. </w:t>
      </w:r>
      <w:r w:rsidRPr="00C078E8">
        <w:rPr>
          <w:color w:val="auto"/>
          <w:u w:val="single"/>
        </w:rPr>
        <w:t>https://doi.org/10.1016/j.exppara.2012.11.011</w:t>
      </w:r>
    </w:p>
    <w:p w14:paraId="057AB661" w14:textId="0668FBE4" w:rsidR="003E2B81" w:rsidRPr="00C078E8" w:rsidRDefault="00000000">
      <w:pPr>
        <w:pStyle w:val="ReferenceText"/>
        <w:rPr>
          <w:color w:val="auto"/>
        </w:rPr>
      </w:pPr>
      <w:r w:rsidRPr="00C078E8">
        <w:rPr>
          <w:color w:val="auto"/>
        </w:rPr>
        <w:t xml:space="preserve">Tao, Y., Yang, C., Liu, Z., Tan, J., Wang, J., &amp; Dai, T. (2026). Development of a nanoparticle-mediated RNAi delivery system based on the biological function of G protein-coupled receptor Bxgoa-1 for efficient controlling pine wilt disease. </w:t>
      </w:r>
      <w:r w:rsidRPr="00C078E8">
        <w:rPr>
          <w:i/>
          <w:color w:val="auto"/>
        </w:rPr>
        <w:t>Pesticide Biochemistry and Physiology, 220</w:t>
      </w:r>
      <w:r w:rsidRPr="00C078E8">
        <w:rPr>
          <w:color w:val="auto"/>
        </w:rPr>
        <w:t xml:space="preserve">, Article 107106. </w:t>
      </w:r>
      <w:r w:rsidRPr="00C078E8">
        <w:rPr>
          <w:color w:val="auto"/>
          <w:u w:val="single"/>
        </w:rPr>
        <w:t>https://doi.org/10.1016/j.pestbp.2026.107106</w:t>
      </w:r>
    </w:p>
    <w:p w14:paraId="4FB36774" w14:textId="43229AE0" w:rsidR="003E2B81" w:rsidRPr="00C078E8" w:rsidRDefault="00000000">
      <w:pPr>
        <w:pStyle w:val="ReferenceText"/>
        <w:rPr>
          <w:color w:val="auto"/>
        </w:rPr>
      </w:pPr>
      <w:r w:rsidRPr="00C078E8">
        <w:rPr>
          <w:color w:val="auto"/>
        </w:rPr>
        <w:t xml:space="preserve">Tian, B., Li, J., Oakley, T. R., Todd, T. C., &amp; Trick, H. N. (2016). Host-derived artificial microRNA as an alternative method to improve soybean resistance to soybean cyst nematode. </w:t>
      </w:r>
      <w:r w:rsidRPr="00C078E8">
        <w:rPr>
          <w:i/>
          <w:color w:val="auto"/>
        </w:rPr>
        <w:t>Genes, 7</w:t>
      </w:r>
      <w:r w:rsidRPr="00C078E8">
        <w:rPr>
          <w:color w:val="auto"/>
        </w:rPr>
        <w:t xml:space="preserve">(12), Article 122. </w:t>
      </w:r>
      <w:r w:rsidRPr="00C078E8">
        <w:rPr>
          <w:color w:val="auto"/>
          <w:u w:val="single"/>
        </w:rPr>
        <w:t>https://doi.org/10.3390/genes7120122</w:t>
      </w:r>
    </w:p>
    <w:p w14:paraId="30949A2B" w14:textId="6D5A740A" w:rsidR="003E2B81" w:rsidRPr="00C078E8" w:rsidRDefault="00000000">
      <w:pPr>
        <w:pStyle w:val="ReferenceText"/>
        <w:rPr>
          <w:color w:val="auto"/>
        </w:rPr>
      </w:pPr>
      <w:r w:rsidRPr="00C078E8">
        <w:rPr>
          <w:color w:val="auto"/>
        </w:rPr>
        <w:t xml:space="preserve">Tian, B., Li, J., Vodkin, L. O., Todd, T. C., Finer, J. J., &amp; Trick, H. N. (2019). Host-derived gene silencing of parasite fitness genes improves resistance to soybean cyst nematodes in stable transgenic soybean. </w:t>
      </w:r>
      <w:r w:rsidRPr="00C078E8">
        <w:rPr>
          <w:i/>
          <w:color w:val="auto"/>
        </w:rPr>
        <w:t>Theoretical and Applied Genetics, 132</w:t>
      </w:r>
      <w:r w:rsidRPr="00C078E8">
        <w:rPr>
          <w:color w:val="auto"/>
        </w:rPr>
        <w:t xml:space="preserve">(9), 2651–2662. </w:t>
      </w:r>
      <w:r w:rsidRPr="00C078E8">
        <w:rPr>
          <w:color w:val="auto"/>
          <w:u w:val="single"/>
        </w:rPr>
        <w:t>https://doi.org/10.1007/s00122-019-03379-0</w:t>
      </w:r>
    </w:p>
    <w:p w14:paraId="4FEB32F8" w14:textId="516EDAFC" w:rsidR="003E2B81" w:rsidRPr="00C078E8" w:rsidRDefault="00000000">
      <w:pPr>
        <w:pStyle w:val="ReferenceText"/>
        <w:rPr>
          <w:color w:val="auto"/>
        </w:rPr>
      </w:pPr>
      <w:r w:rsidRPr="00C078E8">
        <w:rPr>
          <w:color w:val="auto"/>
        </w:rPr>
        <w:t xml:space="preserve">Urwin, P. E., Lilley, C. J., &amp; Atkinson, H. J. (2002). Ingestion of double-stranded RNA by preparasitic juvenile cyst nematodes leads to RNA interference. </w:t>
      </w:r>
      <w:r w:rsidRPr="00C078E8">
        <w:rPr>
          <w:i/>
          <w:color w:val="auto"/>
        </w:rPr>
        <w:t>Molecular Plant-Microbe Interactions, 15</w:t>
      </w:r>
      <w:r w:rsidRPr="00C078E8">
        <w:rPr>
          <w:color w:val="auto"/>
        </w:rPr>
        <w:t xml:space="preserve">(8), 747–752. </w:t>
      </w:r>
      <w:r w:rsidRPr="00C078E8">
        <w:rPr>
          <w:color w:val="auto"/>
          <w:u w:val="single"/>
        </w:rPr>
        <w:t>https://doi.org/10.1094/MPMI.2002.15.8.747</w:t>
      </w:r>
    </w:p>
    <w:p w14:paraId="0D0F3BA6" w14:textId="7EE49060" w:rsidR="003E2B81" w:rsidRPr="00C078E8" w:rsidRDefault="00000000">
      <w:pPr>
        <w:pStyle w:val="ReferenceText"/>
        <w:rPr>
          <w:color w:val="auto"/>
        </w:rPr>
      </w:pPr>
      <w:r w:rsidRPr="00C078E8">
        <w:rPr>
          <w:color w:val="auto"/>
        </w:rPr>
        <w:t xml:space="preserve">Yadav, B. C., Veluthambi, K., &amp; Subramaniam, K. (2006). Host-generated double stranded RNA induces RNAi in plant-parasitic nematodes and protects the host from infection. </w:t>
      </w:r>
      <w:r w:rsidRPr="00C078E8">
        <w:rPr>
          <w:i/>
          <w:color w:val="auto"/>
        </w:rPr>
        <w:t>Molecular and Biochemical Parasitology, 148</w:t>
      </w:r>
      <w:r w:rsidRPr="00C078E8">
        <w:rPr>
          <w:color w:val="auto"/>
        </w:rPr>
        <w:t xml:space="preserve">(2), 219–222. </w:t>
      </w:r>
      <w:r w:rsidRPr="00C078E8">
        <w:rPr>
          <w:color w:val="auto"/>
          <w:u w:val="single"/>
        </w:rPr>
        <w:t>https://doi.org/10.1016/j.molbiopara.2006.03.013</w:t>
      </w:r>
    </w:p>
    <w:p w14:paraId="1C7003D5" w14:textId="40CA7A65" w:rsidR="003E2B81" w:rsidRPr="00C078E8" w:rsidRDefault="00000000">
      <w:pPr>
        <w:pStyle w:val="ReferenceText"/>
        <w:rPr>
          <w:color w:val="auto"/>
        </w:rPr>
      </w:pPr>
      <w:r w:rsidRPr="00C078E8">
        <w:rPr>
          <w:color w:val="auto"/>
        </w:rPr>
        <w:t xml:space="preserve">You, J., Pan, F., Wang, S., Wang, Y., &amp; Hu, Y. (2021). FMRFamide-like peptide 22 influences the head movement, host finding, and infection of </w:t>
      </w:r>
      <w:r w:rsidRPr="00C078E8">
        <w:rPr>
          <w:i/>
          <w:color w:val="auto"/>
        </w:rPr>
        <w:t>Heterodera glycines</w:t>
      </w:r>
      <w:r w:rsidRPr="00C078E8">
        <w:rPr>
          <w:color w:val="auto"/>
        </w:rPr>
        <w:t xml:space="preserve">. </w:t>
      </w:r>
      <w:r w:rsidRPr="00C078E8">
        <w:rPr>
          <w:i/>
          <w:color w:val="auto"/>
        </w:rPr>
        <w:t>Frontiers in Plant Science, 12</w:t>
      </w:r>
      <w:r w:rsidRPr="00C078E8">
        <w:rPr>
          <w:color w:val="auto"/>
        </w:rPr>
        <w:t xml:space="preserve">, Article 673354. </w:t>
      </w:r>
      <w:r w:rsidRPr="00C078E8">
        <w:rPr>
          <w:color w:val="auto"/>
          <w:u w:val="single"/>
        </w:rPr>
        <w:t>https://doi.org/10.3389/fpls.2021.673354</w:t>
      </w:r>
    </w:p>
    <w:p w14:paraId="104FC285" w14:textId="3E4311AB" w:rsidR="003E2B81" w:rsidRPr="00C078E8" w:rsidRDefault="00000000">
      <w:pPr>
        <w:pStyle w:val="ReferenceText"/>
        <w:rPr>
          <w:color w:val="auto"/>
        </w:rPr>
      </w:pPr>
      <w:r w:rsidRPr="00C078E8">
        <w:rPr>
          <w:color w:val="auto"/>
        </w:rPr>
        <w:t xml:space="preserve">Zhang, Y., Zhao, Q., Zhang, J., Niu, L., Yang, J., Liu, X., Xing, G., Zhong, X., &amp; Yang, X. (2022). Enhanced resistance to soybean cyst nematode in transgenic soybean via host-induced silencing of vital </w:t>
      </w:r>
      <w:r w:rsidRPr="00C078E8">
        <w:rPr>
          <w:i/>
          <w:color w:val="auto"/>
        </w:rPr>
        <w:t>Heterodera glycines</w:t>
      </w:r>
      <w:r w:rsidRPr="00C078E8">
        <w:rPr>
          <w:color w:val="auto"/>
        </w:rPr>
        <w:t xml:space="preserve"> genes. </w:t>
      </w:r>
      <w:r w:rsidRPr="00C078E8">
        <w:rPr>
          <w:i/>
          <w:color w:val="auto"/>
        </w:rPr>
        <w:t>Transgenic Research, 31</w:t>
      </w:r>
      <w:r w:rsidRPr="00C078E8">
        <w:rPr>
          <w:color w:val="auto"/>
        </w:rPr>
        <w:t xml:space="preserve">(2), 239–248. </w:t>
      </w:r>
      <w:r w:rsidRPr="00C078E8">
        <w:rPr>
          <w:color w:val="auto"/>
          <w:u w:val="single"/>
        </w:rPr>
        <w:t>https://doi.org/10.1007/s11248-022-00298-7</w:t>
      </w:r>
    </w:p>
    <w:sectPr w:rsidR="003E2B81" w:rsidRPr="00C078E8" w:rsidSect="00034616">
      <w:headerReference w:type="even" r:id="rId8"/>
      <w:headerReference w:type="default" r:id="rId9"/>
      <w:footerReference w:type="even" r:id="rId10"/>
      <w:footerReference w:type="default" r:id="rId11"/>
      <w:headerReference w:type="first" r:id="rId12"/>
      <w:footerReference w:type="first" r:id="rId13"/>
      <w:pgSz w:w="12240" w:h="15840"/>
      <w:pgMar w:top="1253" w:right="1296" w:bottom="1152" w:left="1296" w:header="504"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C69EB" w14:textId="77777777" w:rsidR="004222E1" w:rsidRDefault="004222E1">
      <w:pPr>
        <w:spacing w:after="0" w:line="240" w:lineRule="auto"/>
      </w:pPr>
      <w:r>
        <w:separator/>
      </w:r>
    </w:p>
  </w:endnote>
  <w:endnote w:type="continuationSeparator" w:id="0">
    <w:p w14:paraId="07679D13" w14:textId="77777777" w:rsidR="004222E1" w:rsidRDefault="00422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7185D" w14:textId="77777777" w:rsidR="009F281D" w:rsidRDefault="009F2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45A9" w14:textId="77777777" w:rsidR="003E2B81" w:rsidRDefault="00000000">
    <w:pPr>
      <w:pStyle w:val="Footer"/>
      <w:jc w:val="center"/>
    </w:pPr>
    <w:r>
      <w:rPr>
        <w:color w:val="6D767C"/>
        <w:sz w:val="16"/>
      </w:rPr>
      <w:t xml:space="preserve">Page </w:t>
    </w:r>
    <w:r>
      <w:fldChar w:fldCharType="begin"/>
    </w:r>
    <w:r>
      <w:instrText>PAGE</w:instrText>
    </w:r>
    <w:r>
      <w:fldChar w:fldCharType="separate"/>
    </w:r>
    <w:r w:rsidR="00C078E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2EE5" w14:textId="77777777" w:rsidR="009F281D" w:rsidRDefault="009F2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A395" w14:textId="77777777" w:rsidR="004222E1" w:rsidRDefault="004222E1">
      <w:pPr>
        <w:spacing w:after="0" w:line="240" w:lineRule="auto"/>
      </w:pPr>
      <w:r>
        <w:separator/>
      </w:r>
    </w:p>
  </w:footnote>
  <w:footnote w:type="continuationSeparator" w:id="0">
    <w:p w14:paraId="767AEC45" w14:textId="77777777" w:rsidR="004222E1" w:rsidRDefault="00422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190B0" w14:textId="09666124" w:rsidR="009F281D" w:rsidRDefault="009F281D">
    <w:pPr>
      <w:pStyle w:val="Header"/>
    </w:pPr>
    <w:r>
      <w:rPr>
        <w:noProof/>
      </w:rPr>
      <w:pict w14:anchorId="78846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6"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41C4B" w14:textId="3C8803C1" w:rsidR="009F281D" w:rsidRDefault="009F281D">
    <w:pPr>
      <w:pStyle w:val="Header"/>
    </w:pPr>
    <w:r>
      <w:rPr>
        <w:noProof/>
      </w:rPr>
      <w:pict w14:anchorId="4B093D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7"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02CF" w14:textId="281709AE" w:rsidR="009F281D" w:rsidRDefault="009F281D">
    <w:pPr>
      <w:pStyle w:val="Header"/>
    </w:pPr>
    <w:r>
      <w:rPr>
        <w:noProof/>
      </w:rPr>
      <w:pict w14:anchorId="76049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5"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8279383">
    <w:abstractNumId w:val="8"/>
  </w:num>
  <w:num w:numId="2" w16cid:durableId="1830831788">
    <w:abstractNumId w:val="6"/>
  </w:num>
  <w:num w:numId="3" w16cid:durableId="173423590">
    <w:abstractNumId w:val="5"/>
  </w:num>
  <w:num w:numId="4" w16cid:durableId="830491292">
    <w:abstractNumId w:val="4"/>
  </w:num>
  <w:num w:numId="5" w16cid:durableId="2079084889">
    <w:abstractNumId w:val="7"/>
  </w:num>
  <w:num w:numId="6" w16cid:durableId="1701973121">
    <w:abstractNumId w:val="3"/>
  </w:num>
  <w:num w:numId="7" w16cid:durableId="2076390478">
    <w:abstractNumId w:val="2"/>
  </w:num>
  <w:num w:numId="8" w16cid:durableId="1899320094">
    <w:abstractNumId w:val="1"/>
  </w:num>
  <w:num w:numId="9" w16cid:durableId="53091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75D4"/>
    <w:rsid w:val="0029639D"/>
    <w:rsid w:val="002B4F4D"/>
    <w:rsid w:val="00326F90"/>
    <w:rsid w:val="00335C2D"/>
    <w:rsid w:val="003637D7"/>
    <w:rsid w:val="003E2B81"/>
    <w:rsid w:val="004222E1"/>
    <w:rsid w:val="009F281D"/>
    <w:rsid w:val="00A921DF"/>
    <w:rsid w:val="00AA1D8D"/>
    <w:rsid w:val="00B47730"/>
    <w:rsid w:val="00C078E8"/>
    <w:rsid w:val="00CB0664"/>
    <w:rsid w:val="00F06D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A54A04"/>
  <w14:defaultImageDpi w14:val="300"/>
  <w15:docId w15:val="{C6D3C39E-FCBA-4919-ABB3-5903FE38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jc w:val="both"/>
    </w:pPr>
    <w:rPr>
      <w:rFonts w:ascii="Times New Roman" w:hAnsi="Times New Roman"/>
      <w:color w:val="22282E"/>
      <w:sz w:val="21"/>
    </w:rPr>
  </w:style>
  <w:style w:type="paragraph" w:styleId="Heading1">
    <w:name w:val="heading 1"/>
    <w:basedOn w:val="Normal"/>
    <w:next w:val="Normal"/>
    <w:link w:val="Heading1Char"/>
    <w:uiPriority w:val="9"/>
    <w:qFormat/>
    <w:rsid w:val="00FC693F"/>
    <w:pPr>
      <w:keepNext/>
      <w:keepLines/>
      <w:spacing w:before="340" w:after="140" w:line="252" w:lineRule="auto"/>
      <w:outlineLvl w:val="0"/>
    </w:pPr>
    <w:rPr>
      <w:rFonts w:asciiTheme="majorHAnsi" w:eastAsiaTheme="majorEastAsia" w:hAnsiTheme="majorHAnsi" w:cstheme="majorBidi"/>
      <w:b/>
      <w:bCs/>
      <w:color w:val="12222E"/>
      <w:sz w:val="25"/>
      <w:szCs w:val="28"/>
    </w:rPr>
  </w:style>
  <w:style w:type="paragraph" w:styleId="Heading2">
    <w:name w:val="heading 2"/>
    <w:basedOn w:val="Normal"/>
    <w:next w:val="Normal"/>
    <w:link w:val="Heading2Char"/>
    <w:uiPriority w:val="9"/>
    <w:unhideWhenUsed/>
    <w:qFormat/>
    <w:rsid w:val="00FC693F"/>
    <w:pPr>
      <w:keepNext/>
      <w:keepLines/>
      <w:spacing w:before="240" w:after="100" w:line="252" w:lineRule="auto"/>
      <w:outlineLvl w:val="1"/>
    </w:pPr>
    <w:rPr>
      <w:rFonts w:asciiTheme="majorHAnsi" w:eastAsiaTheme="majorEastAsia" w:hAnsiTheme="majorHAnsi" w:cstheme="majorBidi"/>
      <w:b/>
      <w:bCs/>
      <w:color w:val="1222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52" w:lineRule="auto"/>
      <w:contextualSpacing/>
    </w:pPr>
    <w:rPr>
      <w:rFonts w:asciiTheme="majorHAnsi" w:eastAsiaTheme="majorEastAsia" w:hAnsiTheme="majorHAnsi" w:cstheme="majorBidi"/>
      <w:b/>
      <w:color w:val="12222E"/>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basedOn w:val="Normal"/>
    <w:pPr>
      <w:spacing w:after="100"/>
    </w:pPr>
  </w:style>
  <w:style w:type="paragraph" w:customStyle="1" w:styleId="TableCaption">
    <w:name w:val="Table Caption"/>
    <w:basedOn w:val="Normal"/>
    <w:pPr>
      <w:spacing w:before="200" w:after="100"/>
    </w:pPr>
    <w:rPr>
      <w:sz w:val="18"/>
    </w:rPr>
  </w:style>
  <w:style w:type="paragraph" w:customStyle="1" w:styleId="TableText">
    <w:name w:val="Table Text"/>
    <w:basedOn w:val="Normal"/>
    <w:pPr>
      <w:spacing w:line="254" w:lineRule="auto"/>
      <w:jc w:val="left"/>
    </w:pPr>
    <w:rPr>
      <w:sz w:val="16"/>
    </w:rPr>
  </w:style>
  <w:style w:type="paragraph" w:customStyle="1" w:styleId="TableHeader">
    <w:name w:val="Table Header"/>
    <w:basedOn w:val="TableText"/>
    <w:rPr>
      <w:b/>
    </w:rPr>
  </w:style>
  <w:style w:type="paragraph" w:customStyle="1" w:styleId="TableNote">
    <w:name w:val="Table Note"/>
    <w:basedOn w:val="Normal"/>
    <w:pPr>
      <w:spacing w:before="80" w:after="180"/>
    </w:pPr>
    <w:rPr>
      <w:sz w:val="16"/>
    </w:rPr>
  </w:style>
  <w:style w:type="paragraph" w:customStyle="1" w:styleId="ReferenceText">
    <w:name w:val="Reference Text"/>
    <w:basedOn w:val="Normal"/>
    <w:pPr>
      <w:spacing w:after="100" w:line="259" w:lineRule="auto"/>
      <w:ind w:left="418" w:hanging="418"/>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16283</Words>
  <Characters>92816</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RNA Interference for Precision Management of Plant-Parasitic Nematodes</dc:title>
  <dc:subject>Critical narrative review of RNAi mechanisms, delivery and efficacy for plant-parasitic nematode management</dc:subject>
  <dc:creator/>
  <cp:keywords>RNAi; HIGS; nematodes; dsRNA; nanoclay; molecular biopesticides</cp:keywords>
  <dc:description>generated by python-docx</dc:description>
  <cp:lastModifiedBy>SDI 1084</cp:lastModifiedBy>
  <cp:revision>6</cp:revision>
  <dcterms:created xsi:type="dcterms:W3CDTF">2013-12-23T23:15:00Z</dcterms:created>
  <dcterms:modified xsi:type="dcterms:W3CDTF">2026-10-14T12:05:00Z</dcterms:modified>
  <cp:category/>
</cp:coreProperties>
</file>