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4922E" w14:textId="77777777" w:rsidR="00377587" w:rsidRPr="00377587" w:rsidRDefault="00377587" w:rsidP="00377587">
      <w:pPr>
        <w:pStyle w:val="Title"/>
        <w:rPr>
          <w:rFonts w:eastAsia="Times New Roman" w:cs="Times New Roman"/>
          <w:bCs/>
          <w:i/>
          <w:iCs/>
          <w:u w:val="single"/>
          <w:lang w:val="en-US"/>
        </w:rPr>
      </w:pPr>
      <w:r w:rsidRPr="00377587">
        <w:rPr>
          <w:rFonts w:eastAsia="Times New Roman" w:cs="Times New Roman"/>
          <w:bCs/>
          <w:i/>
          <w:iCs/>
          <w:u w:val="single"/>
          <w:lang w:val="en-US"/>
        </w:rPr>
        <w:t>Review Article</w:t>
      </w:r>
    </w:p>
    <w:p w14:paraId="759F4CD6" w14:textId="589945EF" w:rsidR="00C4379F" w:rsidRDefault="00000000">
      <w:pPr>
        <w:pStyle w:val="Title"/>
        <w:rPr>
          <w:rFonts w:ascii="Times New Roman" w:eastAsia="Times New Roman" w:hAnsi="Times New Roman" w:cs="Times New Roman"/>
        </w:rPr>
      </w:pPr>
      <w:proofErr w:type="spellStart"/>
      <w:r>
        <w:rPr>
          <w:rFonts w:ascii="Times New Roman" w:eastAsia="Times New Roman" w:hAnsi="Times New Roman" w:cs="Times New Roman"/>
          <w:i/>
        </w:rPr>
        <w:t>Chromolaena</w:t>
      </w:r>
      <w:proofErr w:type="spellEnd"/>
      <w:r>
        <w:rPr>
          <w:rFonts w:ascii="Times New Roman" w:eastAsia="Times New Roman" w:hAnsi="Times New Roman" w:cs="Times New Roman"/>
          <w:i/>
        </w:rPr>
        <w:t xml:space="preserve"> odorata</w:t>
      </w:r>
      <w:r>
        <w:rPr>
          <w:rFonts w:ascii="Times New Roman" w:eastAsia="Times New Roman" w:hAnsi="Times New Roman" w:cs="Times New Roman"/>
        </w:rPr>
        <w:t>: An Integrative Review of Biology, Ecology, Phytochemistry, Biological Activities, Allelopathy and Emerging Agricultural Applications</w:t>
      </w:r>
    </w:p>
    <w:p w14:paraId="3B2C4817" w14:textId="77777777" w:rsidR="00BB168C" w:rsidRPr="00BB168C" w:rsidRDefault="00BB168C" w:rsidP="00BB168C"/>
    <w:p w14:paraId="7B539943" w14:textId="77777777" w:rsidR="00C4379F" w:rsidRDefault="00000000">
      <w:pPr>
        <w:keepNext/>
      </w:pPr>
      <w:r>
        <w:rPr>
          <w:rFonts w:eastAsia="Times New Roman" w:cs="Times New Roman"/>
          <w:b/>
        </w:rPr>
        <w:t>Abstract</w:t>
      </w:r>
    </w:p>
    <w:p w14:paraId="512B925B" w14:textId="77777777" w:rsidR="00C4379F" w:rsidRDefault="00000000">
      <w:proofErr w:type="spellStart"/>
      <w:r>
        <w:rPr>
          <w:rFonts w:eastAsia="Times New Roman" w:cs="Times New Roman"/>
          <w:i/>
        </w:rPr>
        <w:t>Chromolaena</w:t>
      </w:r>
      <w:proofErr w:type="spellEnd"/>
      <w:r>
        <w:rPr>
          <w:rFonts w:eastAsia="Times New Roman" w:cs="Times New Roman"/>
          <w:i/>
        </w:rPr>
        <w:t xml:space="preserve"> odorata</w:t>
      </w:r>
      <w:r>
        <w:rPr>
          <w:rFonts w:eastAsia="Times New Roman" w:cs="Times New Roman"/>
        </w:rPr>
        <w:t xml:space="preserve"> combines invasive ecological behaviour with chemically diverse biomass that is investigated for medicinal and agricultural uses. These attributes are often reviewed separately, encouraging either an exclusively harmful portrayal or insufficiently qualified claims of usefulness. This critical narrative review integrates evidence on population biology, invasion mechanisms, phytochemistry, biological activities, allelopathy and agricultural applications published through 31 July 2026. Literature was selected through targeted searches of accessible scholarly indexes, regional sources and reference networks, with study design, material identity, exposure conditions and external validity used to interpret findings. The evidence supports context-dependent invasion success shaped by provenance, propagule production, resource availability, competitor identity and soil-mediated interactions. Chemical investigations identify flavonoids, phenolic constituents, volatile compounds and pyrrolizidine alkaloids, but their distribution and biological relevance vary with plant organ, extraction procedure and formulation. Isolated compounds and extracts demonstrate biochemical, antimicrobial and cytotoxic activities, while cell and animal experiments provide a stronger, although still preclinical, basis for selected wound-healing mechanisms. These findings do not establish clinical effectiveness or general safety. Allelopathic potential is supported by controlled assays, but the contribution of naturally occurring chemical exposure to field-scale invasion remains less securely resolved. Agricultural evidence is differentiated: compost has some crop-field support, whereas biochar, botanical herbicides and </w:t>
      </w:r>
      <w:proofErr w:type="spellStart"/>
      <w:r>
        <w:rPr>
          <w:rFonts w:eastAsia="Times New Roman" w:cs="Times New Roman"/>
        </w:rPr>
        <w:t>nematicidal</w:t>
      </w:r>
      <w:proofErr w:type="spellEnd"/>
      <w:r>
        <w:rPr>
          <w:rFonts w:eastAsia="Times New Roman" w:cs="Times New Roman"/>
        </w:rPr>
        <w:t xml:space="preserve"> preparations remain strongly dependent on soil conditions, processing and experimental setting. The same biomass can suppress seedlings when freshly extracted yet support crop growth after suitable transformation, without these outcomes being contradictory. A defensible development pathway therefore links authenticated material and chemical characterisation to realistic exposure, appropriate controls, safety assessment and net agronomic or ecological benefit. Utilisation should be evaluated as a component of containment and removal, rather than as a rationale for introducing or cultivating an invasive species. Priorities include replicated field experiments, environmental fate measurements, batch-standardised products and explicit assessment of the incentives created by biomass markets.</w:t>
      </w:r>
    </w:p>
    <w:p w14:paraId="0F9A8002" w14:textId="77777777" w:rsidR="00C4379F" w:rsidRDefault="00000000">
      <w:r>
        <w:rPr>
          <w:rFonts w:eastAsia="Times New Roman" w:cs="Times New Roman"/>
          <w:b/>
          <w:sz w:val="21"/>
        </w:rPr>
        <w:t xml:space="preserve">Keywords: </w:t>
      </w:r>
      <w:r>
        <w:rPr>
          <w:rFonts w:eastAsia="Times New Roman" w:cs="Times New Roman"/>
          <w:sz w:val="21"/>
        </w:rPr>
        <w:t>invasion biology; secondary metabolites; plant-soil feedback; botanical pesticides; biomass valorisation; pyrrolizidine alkaloids; evidence translation</w:t>
      </w:r>
    </w:p>
    <w:p w14:paraId="352D8320" w14:textId="77777777" w:rsidR="00C4379F" w:rsidRDefault="00000000">
      <w:r>
        <w:br w:type="page"/>
      </w:r>
    </w:p>
    <w:p w14:paraId="2E0C3785" w14:textId="77777777" w:rsidR="00C4379F" w:rsidRDefault="00000000">
      <w:pPr>
        <w:pStyle w:val="Heading1"/>
      </w:pPr>
      <w:r>
        <w:rPr>
          <w:rFonts w:ascii="Times New Roman" w:eastAsia="Times New Roman" w:hAnsi="Times New Roman" w:cs="Times New Roman"/>
        </w:rPr>
        <w:lastRenderedPageBreak/>
        <w:t>1. Introduction</w:t>
      </w:r>
    </w:p>
    <w:p w14:paraId="25BABB71" w14:textId="77777777" w:rsidR="00C4379F" w:rsidRDefault="00000000">
      <w:proofErr w:type="spellStart"/>
      <w:r>
        <w:rPr>
          <w:rFonts w:eastAsia="Times New Roman" w:cs="Times New Roman"/>
          <w:i/>
        </w:rPr>
        <w:t>Chromolaena</w:t>
      </w:r>
      <w:proofErr w:type="spellEnd"/>
      <w:r>
        <w:rPr>
          <w:rFonts w:eastAsia="Times New Roman" w:cs="Times New Roman"/>
          <w:i/>
        </w:rPr>
        <w:t xml:space="preserve"> odorata</w:t>
      </w:r>
      <w:r>
        <w:rPr>
          <w:rFonts w:eastAsia="Times New Roman" w:cs="Times New Roman"/>
        </w:rPr>
        <w:t xml:space="preserve"> (L.) </w:t>
      </w:r>
      <w:proofErr w:type="spellStart"/>
      <w:r>
        <w:rPr>
          <w:rFonts w:eastAsia="Times New Roman" w:cs="Times New Roman"/>
        </w:rPr>
        <w:t>R.</w:t>
      </w:r>
      <w:proofErr w:type="gramStart"/>
      <w:r>
        <w:rPr>
          <w:rFonts w:eastAsia="Times New Roman" w:cs="Times New Roman"/>
        </w:rPr>
        <w:t>M.King</w:t>
      </w:r>
      <w:proofErr w:type="spellEnd"/>
      <w:proofErr w:type="gramEnd"/>
      <w:r>
        <w:rPr>
          <w:rFonts w:eastAsia="Times New Roman" w:cs="Times New Roman"/>
        </w:rPr>
        <w:t xml:space="preserve"> &amp; </w:t>
      </w:r>
      <w:proofErr w:type="spellStart"/>
      <w:proofErr w:type="gramStart"/>
      <w:r>
        <w:rPr>
          <w:rFonts w:eastAsia="Times New Roman" w:cs="Times New Roman"/>
        </w:rPr>
        <w:t>H.Rob</w:t>
      </w:r>
      <w:proofErr w:type="spellEnd"/>
      <w:proofErr w:type="gramEnd"/>
      <w:r>
        <w:rPr>
          <w:rFonts w:eastAsia="Times New Roman" w:cs="Times New Roman"/>
        </w:rPr>
        <w:t xml:space="preserve">., commonly called Siam weed, is an American perennial shrub whose spread beyond its native range has attracted sustained attention from invasion ecologists, weed scientists and natural-product researchers. Its accepted placement in the Asteraceae and its history under the synonym </w:t>
      </w:r>
      <w:r>
        <w:rPr>
          <w:rFonts w:eastAsia="Times New Roman" w:cs="Times New Roman"/>
          <w:i/>
        </w:rPr>
        <w:t>Eupatorium odoratum</w:t>
      </w:r>
      <w:r>
        <w:rPr>
          <w:rFonts w:eastAsia="Times New Roman" w:cs="Times New Roman"/>
        </w:rPr>
        <w:t xml:space="preserve"> L. require attention when retrieving older literature. The species illustrates a recurring problem in applied plant science: a </w:t>
      </w:r>
      <w:proofErr w:type="spellStart"/>
      <w:r>
        <w:rPr>
          <w:rFonts w:eastAsia="Times New Roman" w:cs="Times New Roman"/>
        </w:rPr>
        <w:t>taxon</w:t>
      </w:r>
      <w:proofErr w:type="spellEnd"/>
      <w:r>
        <w:rPr>
          <w:rFonts w:eastAsia="Times New Roman" w:cs="Times New Roman"/>
        </w:rPr>
        <w:t xml:space="preserve"> considered undesirable at the landscape scale may nevertheless contain useful compounds or provide material suitable for a particular industrial or agricultural process. Neither observation invalidates the other, because the biological entity, endpoint and scale of assessment differ (Rai &amp; Singh, 2024; Royal Botanic Gardens, Kew, n.d.).</w:t>
      </w:r>
    </w:p>
    <w:p w14:paraId="07B59487" w14:textId="77777777" w:rsidR="00C4379F" w:rsidRDefault="00000000">
      <w:r>
        <w:rPr>
          <w:rFonts w:eastAsia="Times New Roman" w:cs="Times New Roman"/>
        </w:rPr>
        <w:t>Ecological interpretations have moved beyond a single explanation for invasion success. Comparative experiments implicate inherited differences between populations, competitive responses to resources, interactions with neighbouring plants and changes in soil biota. Chemical interference may contribute, but its importance cannot be inferred solely from the inhibition of seedlings by concentrated extracts. The relative strength of these mechanisms changes across environments, making the idea of a uniformly superior invader an inadequate organising principle (Chen et al., 2024; Qin et al., 2013; Zheng, 2024).</w:t>
      </w:r>
    </w:p>
    <w:p w14:paraId="5C0FB48A" w14:textId="77777777" w:rsidR="00C4379F" w:rsidRDefault="00000000">
      <w:r>
        <w:rPr>
          <w:rFonts w:eastAsia="Times New Roman" w:cs="Times New Roman"/>
        </w:rPr>
        <w:t xml:space="preserve">A parallel literature describes antimicrobial, antioxidant, wound-related, metabolic and cytotoxic activities. Its apparent breadth conceals substantial differences in evidential strength. A radical-scavenging reaction, an inhibitory concentration against cultured microorganisms, a response in an animal wound model and a demonstrated clinical benefit are not interchangeable outcomes. Likewise, a compound isolated from one population cannot automatically represent the chemical profile of leaves, roots and flowers collected elsewhere. Recent pharmacological reviews document this diversity, whereas primary isolation and formulation studies show why attribution to a single undifferentiated plant extract is often insufficient (Abdul Latif et al., 2024; </w:t>
      </w:r>
      <w:proofErr w:type="spellStart"/>
      <w:r>
        <w:rPr>
          <w:rFonts w:eastAsia="Times New Roman" w:cs="Times New Roman"/>
        </w:rPr>
        <w:t>Omokhua-Uyi</w:t>
      </w:r>
      <w:proofErr w:type="spellEnd"/>
      <w:r>
        <w:rPr>
          <w:rFonts w:eastAsia="Times New Roman" w:cs="Times New Roman"/>
        </w:rPr>
        <w:t xml:space="preserve"> et al., 2020; Paul et al., 2026).</w:t>
      </w:r>
    </w:p>
    <w:p w14:paraId="618E067F" w14:textId="77777777" w:rsidR="00C4379F" w:rsidRDefault="00000000">
      <w:r>
        <w:rPr>
          <w:rFonts w:eastAsia="Times New Roman" w:cs="Times New Roman"/>
        </w:rPr>
        <w:t>Existing syntheses also address the ecological roles of secondary metabolites and the management of invasion. Their contribution is substantial, but integration across disciplines requires a more explicit connection between material identity, release or processing, exposure and outcome. For example, an extract that suppresses germination may coexist with evidence that composted biomass improves crop performance. Those findings concern different products and treatment histories, not necessarily conflicting properties of the same intervention (</w:t>
      </w:r>
      <w:proofErr w:type="spellStart"/>
      <w:r>
        <w:rPr>
          <w:rFonts w:eastAsia="Times New Roman" w:cs="Times New Roman"/>
        </w:rPr>
        <w:t>Akinrinola</w:t>
      </w:r>
      <w:proofErr w:type="spellEnd"/>
      <w:r>
        <w:rPr>
          <w:rFonts w:eastAsia="Times New Roman" w:cs="Times New Roman"/>
        </w:rPr>
        <w:t xml:space="preserve"> &amp; Tijani-Eniola, 2022; Kato-Noguchi &amp; Kato, 2023; Rai &amp; Singh, 2024).</w:t>
      </w:r>
    </w:p>
    <w:p w14:paraId="209C135A" w14:textId="77777777" w:rsidR="00C4379F" w:rsidRDefault="00000000">
      <w:r>
        <w:rPr>
          <w:rFonts w:eastAsia="Times New Roman" w:cs="Times New Roman"/>
        </w:rPr>
        <w:t xml:space="preserve">The central interpretive problem is therefore not whether </w:t>
      </w:r>
      <w:r>
        <w:rPr>
          <w:rFonts w:eastAsia="Times New Roman" w:cs="Times New Roman"/>
          <w:i/>
        </w:rPr>
        <w:t>C. odorata</w:t>
      </w:r>
      <w:r>
        <w:rPr>
          <w:rFonts w:eastAsia="Times New Roman" w:cs="Times New Roman"/>
        </w:rPr>
        <w:t xml:space="preserve"> is beneficial or harmful in general. It is which material produces which effect, under which conditions, and with what consequences beyond the measured endpoint. This question links biological mechanisms to the practical decisions that arise when an invasive plant is investigated as a chemical resource, soil amendment or crop-protection input. An integrated assessment must retain the difference between the value of a recovered product and the ecological cost of maintaining its source population.</w:t>
      </w:r>
    </w:p>
    <w:p w14:paraId="1E9F15AD" w14:textId="77777777" w:rsidR="00C4379F" w:rsidRDefault="00000000">
      <w:pPr>
        <w:pStyle w:val="Heading2"/>
      </w:pPr>
      <w:r>
        <w:rPr>
          <w:rFonts w:ascii="Times New Roman" w:eastAsia="Times New Roman" w:hAnsi="Times New Roman" w:cs="Times New Roman"/>
        </w:rPr>
        <w:lastRenderedPageBreak/>
        <w:t>1.1 Scope, Research Gap and Objectives</w:t>
      </w:r>
    </w:p>
    <w:p w14:paraId="580F473E" w14:textId="77777777" w:rsidR="00C4379F" w:rsidRDefault="00000000">
      <w:r>
        <w:rPr>
          <w:rFonts w:eastAsia="Times New Roman" w:cs="Times New Roman"/>
        </w:rPr>
        <w:t xml:space="preserve">This review evaluates the connections among the biology, ecology, phytochemistry, biological activities, allelopathy and agricultural uses of </w:t>
      </w:r>
      <w:r>
        <w:rPr>
          <w:rFonts w:eastAsia="Times New Roman" w:cs="Times New Roman"/>
          <w:i/>
        </w:rPr>
        <w:t>C. odorata</w:t>
      </w:r>
      <w:r>
        <w:rPr>
          <w:rFonts w:eastAsia="Times New Roman" w:cs="Times New Roman"/>
        </w:rPr>
        <w:t>. Its scope includes native and introduced populations, fresh and processed biomass, isolated compounds and formulated preparations. The principal objectives are to distinguish reproducible mechanisms from context-specific observations, reconcile apparently conflicting findings, identify the weakest links in translation and establish priorities for safe agricultural development. Human-health studies are considered to assess biological plausibility and toxicological implications, not to recommend treatment. Agricultural applications are assessed against both agronomic performance and invasion management. Exhaustive catalogues of traditional remedies, patent claims and unverified commercial products are excluded. The intended contribution is an exposure- and context-based synthesis that prevents laboratory activity, field effectiveness and net benefit from being treated as equivalent claims.</w:t>
      </w:r>
    </w:p>
    <w:p w14:paraId="5D2CF49B" w14:textId="77777777" w:rsidR="00C4379F" w:rsidRDefault="00000000">
      <w:pPr>
        <w:pStyle w:val="Heading1"/>
      </w:pPr>
      <w:r>
        <w:rPr>
          <w:rFonts w:ascii="Times New Roman" w:eastAsia="Times New Roman" w:hAnsi="Times New Roman" w:cs="Times New Roman"/>
        </w:rPr>
        <w:t>2. Methods for Literature Selection</w:t>
      </w:r>
    </w:p>
    <w:p w14:paraId="20B0CB68" w14:textId="77777777" w:rsidR="00C4379F" w:rsidRDefault="00000000">
      <w:pPr>
        <w:pStyle w:val="Heading2"/>
      </w:pPr>
      <w:r>
        <w:rPr>
          <w:rFonts w:ascii="Times New Roman" w:eastAsia="Times New Roman" w:hAnsi="Times New Roman" w:cs="Times New Roman"/>
        </w:rPr>
        <w:t>2.1 Review Design and Rationale</w:t>
      </w:r>
    </w:p>
    <w:p w14:paraId="39781A3E" w14:textId="77777777" w:rsidR="00C4379F" w:rsidRDefault="00000000">
      <w:r>
        <w:rPr>
          <w:rFonts w:eastAsia="Times New Roman" w:cs="Times New Roman"/>
        </w:rPr>
        <w:t>A critical narrative design was selected because the review integrates heterogeneous questions spanning population biology, chemical identification, mechanistic pharmacology, plant interference and agricultural management. These questions do not share a common intervention, comparator or outcome suitable for a single pooled estimate. The approach emphasised explicit scope, transparent literature selection, appropriate referencing and reasoned interpretation, consistent with the quality domains described in the Scale for the Assessment of Narrative Review Articles. That framework informed reporting; no formal numerical appraisal score was assigned to the review or to individual studies (</w:t>
      </w:r>
      <w:proofErr w:type="spellStart"/>
      <w:r>
        <w:rPr>
          <w:rFonts w:eastAsia="Times New Roman" w:cs="Times New Roman"/>
        </w:rPr>
        <w:t>Baethge</w:t>
      </w:r>
      <w:proofErr w:type="spellEnd"/>
      <w:r>
        <w:rPr>
          <w:rFonts w:eastAsia="Times New Roman" w:cs="Times New Roman"/>
        </w:rPr>
        <w:t xml:space="preserve"> et al., 2019).</w:t>
      </w:r>
    </w:p>
    <w:p w14:paraId="4F937E9C" w14:textId="77777777" w:rsidR="00C4379F" w:rsidRDefault="00000000">
      <w:pPr>
        <w:pStyle w:val="Heading2"/>
      </w:pPr>
      <w:r>
        <w:rPr>
          <w:rFonts w:ascii="Times New Roman" w:eastAsia="Times New Roman" w:hAnsi="Times New Roman" w:cs="Times New Roman"/>
        </w:rPr>
        <w:t>2.2 Information Sources</w:t>
      </w:r>
    </w:p>
    <w:p w14:paraId="686D0873" w14:textId="77777777" w:rsidR="00C4379F" w:rsidRDefault="00000000">
      <w:r>
        <w:rPr>
          <w:rFonts w:eastAsia="Times New Roman" w:cs="Times New Roman"/>
        </w:rPr>
        <w:t xml:space="preserve">Targeted searches located records indexed in PubMed, Europe PMC, AGRIS, the Directory of Open Access Journals, Semantic Scholar and </w:t>
      </w:r>
      <w:proofErr w:type="spellStart"/>
      <w:r>
        <w:rPr>
          <w:rFonts w:eastAsia="Times New Roman" w:cs="Times New Roman"/>
        </w:rPr>
        <w:t>OpenAIRE</w:t>
      </w:r>
      <w:proofErr w:type="spellEnd"/>
      <w:r>
        <w:rPr>
          <w:rFonts w:eastAsia="Times New Roman" w:cs="Times New Roman"/>
        </w:rPr>
        <w:t xml:space="preserve">. Regional coverage was supplemented through African Journals Online, </w:t>
      </w:r>
      <w:proofErr w:type="spellStart"/>
      <w:r>
        <w:rPr>
          <w:rFonts w:eastAsia="Times New Roman" w:cs="Times New Roman"/>
        </w:rPr>
        <w:t>SciELO</w:t>
      </w:r>
      <w:proofErr w:type="spellEnd"/>
      <w:r>
        <w:rPr>
          <w:rFonts w:eastAsia="Times New Roman" w:cs="Times New Roman"/>
        </w:rPr>
        <w:t xml:space="preserve"> South Africa and J-STAGE. Plants of the World Online provided the accepted taxonomic identity. Index-restricted searches were supplemented by backward reference searching, related-article searches and examination of original article records. Publisher records and DOI landing information were used to verify bibliographic identity rather than being presented as independent literature databases. Sources were retained for their relevance and verifiability, not simply because they appeared in a particular index.</w:t>
      </w:r>
    </w:p>
    <w:p w14:paraId="39EA258E" w14:textId="77777777" w:rsidR="00C4379F" w:rsidRDefault="00000000">
      <w:pPr>
        <w:pStyle w:val="Heading2"/>
      </w:pPr>
      <w:r>
        <w:rPr>
          <w:rFonts w:ascii="Times New Roman" w:eastAsia="Times New Roman" w:hAnsi="Times New Roman" w:cs="Times New Roman"/>
        </w:rPr>
        <w:t>2.3 Search Strategy and Search Period</w:t>
      </w:r>
    </w:p>
    <w:p w14:paraId="66AF8323" w14:textId="77777777" w:rsidR="00C4379F" w:rsidRDefault="00000000">
      <w:r>
        <w:rPr>
          <w:rFonts w:eastAsia="Times New Roman" w:cs="Times New Roman"/>
        </w:rPr>
        <w:t>The publication period was 1 January 1994 to 31 July 2026. This period includes the organ-resolved pyrrolizidine-alkaloid investigation that is foundational to the chemical and safety questions considered here. Searches and bibliographic checks were performed on 29 September 2026. Eligibility was determined by the earliest verified publication date, including online publication, rather than solely by the date assigned to a later journal issue. Records published after the eligibility endpoint were not used to extend the substantive evidence base.</w:t>
      </w:r>
    </w:p>
    <w:p w14:paraId="7646CBA6" w14:textId="77777777" w:rsidR="00C4379F" w:rsidRDefault="00000000">
      <w:r>
        <w:rPr>
          <w:rFonts w:eastAsia="Times New Roman" w:cs="Times New Roman"/>
        </w:rPr>
        <w:t>The species names "</w:t>
      </w:r>
      <w:proofErr w:type="spellStart"/>
      <w:r>
        <w:rPr>
          <w:rFonts w:eastAsia="Times New Roman" w:cs="Times New Roman"/>
          <w:i/>
        </w:rPr>
        <w:t>Chromolaena</w:t>
      </w:r>
      <w:proofErr w:type="spellEnd"/>
      <w:r>
        <w:rPr>
          <w:rFonts w:eastAsia="Times New Roman" w:cs="Times New Roman"/>
          <w:i/>
        </w:rPr>
        <w:t xml:space="preserve"> odorata</w:t>
      </w:r>
      <w:r>
        <w:rPr>
          <w:rFonts w:eastAsia="Times New Roman" w:cs="Times New Roman"/>
        </w:rPr>
        <w:t>" and "</w:t>
      </w:r>
      <w:r>
        <w:rPr>
          <w:rFonts w:eastAsia="Times New Roman" w:cs="Times New Roman"/>
          <w:i/>
        </w:rPr>
        <w:t>Eupatorium odoratum</w:t>
      </w:r>
      <w:r>
        <w:rPr>
          <w:rFonts w:eastAsia="Times New Roman" w:cs="Times New Roman"/>
        </w:rPr>
        <w:t>" were combined with thematic terms. Representative searches were ("</w:t>
      </w:r>
      <w:proofErr w:type="spellStart"/>
      <w:r>
        <w:rPr>
          <w:rFonts w:eastAsia="Times New Roman" w:cs="Times New Roman"/>
          <w:i/>
        </w:rPr>
        <w:t>Chromolaena</w:t>
      </w:r>
      <w:proofErr w:type="spellEnd"/>
      <w:r>
        <w:rPr>
          <w:rFonts w:eastAsia="Times New Roman" w:cs="Times New Roman"/>
          <w:i/>
        </w:rPr>
        <w:t xml:space="preserve"> odorata</w:t>
      </w:r>
      <w:r>
        <w:rPr>
          <w:rFonts w:eastAsia="Times New Roman" w:cs="Times New Roman"/>
        </w:rPr>
        <w:t>" OR "</w:t>
      </w:r>
      <w:r>
        <w:rPr>
          <w:rFonts w:eastAsia="Times New Roman" w:cs="Times New Roman"/>
          <w:i/>
        </w:rPr>
        <w:t>Eupatorium odoratum</w:t>
      </w:r>
      <w:r>
        <w:rPr>
          <w:rFonts w:eastAsia="Times New Roman" w:cs="Times New Roman"/>
        </w:rPr>
        <w:t xml:space="preserve">") </w:t>
      </w:r>
      <w:r>
        <w:rPr>
          <w:rFonts w:eastAsia="Times New Roman" w:cs="Times New Roman"/>
        </w:rPr>
        <w:lastRenderedPageBreak/>
        <w:t xml:space="preserve">AND (allelopathy OR phytochemistry OR biochar OR compost), with complementary searches combining the species name with invasion, biotype, seed, competition, soil legacy, wound healing, antimicrobial, toxicity, pyrrolizidine alkaloids, herbicide and </w:t>
      </w:r>
      <w:proofErr w:type="spellStart"/>
      <w:r>
        <w:rPr>
          <w:rFonts w:eastAsia="Times New Roman" w:cs="Times New Roman"/>
        </w:rPr>
        <w:t>nematicidal</w:t>
      </w:r>
      <w:proofErr w:type="spellEnd"/>
      <w:r>
        <w:rPr>
          <w:rFonts w:eastAsia="Times New Roman" w:cs="Times New Roman"/>
        </w:rPr>
        <w:t xml:space="preserve"> activity. Searches for corrections and retractions supplemented bibliographic verification. The search was iterative and purposive, directed towards mechanisms, conflicting findings and translation rather than an exhaustive census of all publications.</w:t>
      </w:r>
    </w:p>
    <w:p w14:paraId="14FF9BC3" w14:textId="77777777" w:rsidR="00C4379F" w:rsidRDefault="00000000">
      <w:pPr>
        <w:pStyle w:val="Heading2"/>
      </w:pPr>
      <w:r>
        <w:rPr>
          <w:rFonts w:ascii="Times New Roman" w:eastAsia="Times New Roman" w:hAnsi="Times New Roman" w:cs="Times New Roman"/>
        </w:rPr>
        <w:t>2.4 Eligibility Criteria</w:t>
      </w:r>
    </w:p>
    <w:p w14:paraId="2D075671" w14:textId="77777777" w:rsidR="00C4379F" w:rsidRDefault="00000000">
      <w:r>
        <w:rPr>
          <w:rFonts w:eastAsia="Times New Roman" w:cs="Times New Roman"/>
        </w:rPr>
        <w:t>Eligible evidence comprised identifiable peer-reviewed research and relevant reviews with verifiable bibliographic records. Original studies were prioritised for chemical structures, numerical findings and intervention effects. Institutional taxonomic information was included where appropriate. Laboratory, greenhouse, field and animal studies were retained but interpreted within their respective settings. English-language texts or sufficiently detailed English records were used. Studies on other species were excluded unless they supplied a necessary methodological or toxicological principle, as with the chemistry-dependent hazards of pyrrolizidine alkaloids. Unverifiable citations, promotional claims, patent-based efficacy assertions and preprints were not treated as established evidence.</w:t>
      </w:r>
    </w:p>
    <w:p w14:paraId="0D8BF549" w14:textId="77777777" w:rsidR="00C4379F" w:rsidRDefault="00000000">
      <w:pPr>
        <w:pStyle w:val="Heading2"/>
      </w:pPr>
      <w:r>
        <w:rPr>
          <w:rFonts w:ascii="Times New Roman" w:eastAsia="Times New Roman" w:hAnsi="Times New Roman" w:cs="Times New Roman"/>
        </w:rPr>
        <w:t>2.5 Screening, Duplicate Handling and Study Selection</w:t>
      </w:r>
    </w:p>
    <w:p w14:paraId="4D4DA8E4" w14:textId="77777777" w:rsidR="00C4379F" w:rsidRDefault="00000000">
      <w:r>
        <w:rPr>
          <w:rFonts w:eastAsia="Times New Roman" w:cs="Times New Roman"/>
        </w:rPr>
        <w:t>Titles and abstracts were assessed for thematic relevance before accessible full texts were examined. Records were reconciled by DOI, title, author names and publication year to avoid counting repository and journal versions as separate sources. When full text was inaccessible, use was limited to conclusions and design information explicitly available in an authoritative abstract or record. Such sources did not support detailed methodological or numerical reconstruction. No exhaustive screening denominator, independent duplicate screening or systematic-review flow diagram is claimed. Citation selection sought explanatory value, credible contrary evidence and coverage across disciplines rather than a predetermined balance of positive findings.</w:t>
      </w:r>
    </w:p>
    <w:p w14:paraId="37551596" w14:textId="77777777" w:rsidR="00C4379F" w:rsidRDefault="00000000">
      <w:pPr>
        <w:pStyle w:val="Heading2"/>
      </w:pPr>
      <w:r>
        <w:rPr>
          <w:rFonts w:ascii="Times New Roman" w:eastAsia="Times New Roman" w:hAnsi="Times New Roman" w:cs="Times New Roman"/>
        </w:rPr>
        <w:t>2.6 Critical Appraisal and Evidence Synthesis</w:t>
      </w:r>
    </w:p>
    <w:p w14:paraId="5629DE67" w14:textId="77777777" w:rsidR="00C4379F" w:rsidRDefault="00000000">
      <w:r>
        <w:rPr>
          <w:rFonts w:eastAsia="Times New Roman" w:cs="Times New Roman"/>
        </w:rPr>
        <w:t>Appraisal considered botanical authentication, provenance, organ and processing information, chemical identification, experimental controls, dose expression, replication, endpoint validity and correspondence between experimental exposure and intended use. Ecological studies were assessed for separation of environmental association from causal intervention. Pharmacological studies were distinguished by biochemical, cellular, animal and clinical evidence levels. Agricultural experiments were separated into laboratory, pot and field settings. Findings were organised around the sequence from material identity to exposure, mechanism, outcome and net benefit. Disagreements were examined for differences in comparator, substrate, formulation and timescale. Confidence descriptions are qualitative judgements, not formal risk-of-bias grades. Bibliographic and text-to-reference checks were completed after synthesis.</w:t>
      </w:r>
    </w:p>
    <w:p w14:paraId="1F45F720" w14:textId="77777777" w:rsidR="00C4379F" w:rsidRDefault="00000000">
      <w:pPr>
        <w:pStyle w:val="Heading1"/>
      </w:pPr>
      <w:r>
        <w:rPr>
          <w:rFonts w:ascii="Times New Roman" w:eastAsia="Times New Roman" w:hAnsi="Times New Roman" w:cs="Times New Roman"/>
        </w:rPr>
        <w:t>3. Biology and Population-Level Variation</w:t>
      </w:r>
    </w:p>
    <w:p w14:paraId="5A265B11" w14:textId="77777777" w:rsidR="00C4379F" w:rsidRDefault="00000000">
      <w:pPr>
        <w:pStyle w:val="Heading2"/>
      </w:pPr>
      <w:r>
        <w:rPr>
          <w:rFonts w:ascii="Times New Roman" w:eastAsia="Times New Roman" w:hAnsi="Times New Roman" w:cs="Times New Roman"/>
        </w:rPr>
        <w:t>3.1 Taxonomic Identity and the Biological Unit of Study</w:t>
      </w:r>
    </w:p>
    <w:p w14:paraId="0C809038" w14:textId="77777777" w:rsidR="00C4379F" w:rsidRDefault="00000000">
      <w:r>
        <w:rPr>
          <w:rFonts w:eastAsia="Times New Roman" w:cs="Times New Roman"/>
          <w:i/>
        </w:rPr>
        <w:t>C. odorata</w:t>
      </w:r>
      <w:r>
        <w:rPr>
          <w:rFonts w:eastAsia="Times New Roman" w:cs="Times New Roman"/>
        </w:rPr>
        <w:t xml:space="preserve"> is a perennial, branching shrub with opposite leaves and small fruits bearing a pappus. Its native distribution lies in tropical and subtropical America. Taxonomic authentication is a necessary starting point, but a correct species name alone does not establish that two experimental materials are </w:t>
      </w:r>
      <w:r>
        <w:rPr>
          <w:rFonts w:eastAsia="Times New Roman" w:cs="Times New Roman"/>
        </w:rPr>
        <w:lastRenderedPageBreak/>
        <w:t>equivalent. The distinction between a voucher-confirmed plant, a named extract and a chemically characterised batch is especially consequential when biological effects are attributed to a species rather than to the preparation actually tested (Biller et al., 1994; Royal Botanic Gardens, Kew, n.d.).</w:t>
      </w:r>
    </w:p>
    <w:p w14:paraId="3B295D2E" w14:textId="77777777" w:rsidR="00C4379F" w:rsidRDefault="00000000">
      <w:r>
        <w:rPr>
          <w:rFonts w:eastAsia="Times New Roman" w:cs="Times New Roman"/>
        </w:rPr>
        <w:t>For ecological work, the appropriate unit may be a population or an individual plant embedded in a community. For chemistry, it may be an organ collected at a defined developmental stage. For an agricultural product, it is the processed batch, including its moisture content, particle size and treatment history. These units overlap but cannot substitute for one another. A reproducible programme should therefore preserve the chain connecting the field voucher, collection site, sampled organ and final preparation. Without that chain, unexplained variability is too easily interpreted as a failure of biology rather than a failure to define the material.</w:t>
      </w:r>
    </w:p>
    <w:p w14:paraId="3CE88753" w14:textId="77777777" w:rsidR="00C4379F" w:rsidRDefault="00000000">
      <w:pPr>
        <w:pStyle w:val="Heading2"/>
      </w:pPr>
      <w:r>
        <w:rPr>
          <w:rFonts w:ascii="Times New Roman" w:eastAsia="Times New Roman" w:hAnsi="Times New Roman" w:cs="Times New Roman"/>
        </w:rPr>
        <w:t>3.2 Provenance, Biotypes and Evolutionary Interpretation</w:t>
      </w:r>
    </w:p>
    <w:p w14:paraId="3F9C5E48" w14:textId="77777777" w:rsidR="00C4379F" w:rsidRDefault="00000000">
      <w:r>
        <w:rPr>
          <w:rFonts w:eastAsia="Times New Roman" w:cs="Times New Roman"/>
        </w:rPr>
        <w:t>Genetic research distinguishes the Asian-West African and southern African invasive biotypes and indicates restricted diversity in introduced material relative to the native range. The evidence also supports different source histories for the two invasion lineages. Such findings strengthen the case for provenance-aware experimentation, but neutral-marker diversity should not be mistaken for a complete account of functional diversity or chemical uniformity (Shao et al., 2018).</w:t>
      </w:r>
    </w:p>
    <w:p w14:paraId="6CD9D5E8" w14:textId="77777777" w:rsidR="00C4379F" w:rsidRDefault="00000000">
      <w:r>
        <w:rPr>
          <w:rFonts w:eastAsia="Times New Roman" w:cs="Times New Roman"/>
        </w:rPr>
        <w:t>The practical implication is that a biological-control agent tested on one lineage and a phytochemical extract prepared from another are not automatically observations of the same host phenotype. Equally, a low-diversity introduction can display substantial variation generated by environmental responses, developmental stage or differences among the traits measured. Genotype-by-environment experiments are therefore more informative than a simple native-versus-invasive label. A common garden reduces some environmental differences, but it does not by itself establish the selective history responsible for a trait contrast.</w:t>
      </w:r>
    </w:p>
    <w:p w14:paraId="7BF018BE" w14:textId="77777777" w:rsidR="00C4379F" w:rsidRDefault="00000000">
      <w:r>
        <w:rPr>
          <w:rFonts w:eastAsia="Times New Roman" w:cs="Times New Roman"/>
        </w:rPr>
        <w:t>Evidence concerning the evolution of increased competitive ability is conditional rather than universal. Reciprocal-region experiments found that introduced populations could gain competitive advantages under particular nutrient and site conditions, while other comparisons did not reproduce the same pattern. The study also examined susceptibility to herbivory and responses of recipient plants to leachates, showing that multiple explanations can operate together rather than forming mutually exclusive theories (Qin et al., 2013).</w:t>
      </w:r>
    </w:p>
    <w:p w14:paraId="44F22DC7" w14:textId="77777777" w:rsidR="00C4379F" w:rsidRDefault="00000000">
      <w:r>
        <w:rPr>
          <w:rFonts w:eastAsia="Times New Roman" w:cs="Times New Roman"/>
        </w:rPr>
        <w:t>The strongest interpretation is that introduced populations may express different combinations of growth, defence and interference traits under different resource conditions. A general claim of evolutionary superiority would require consistent performance advantages across environments and appropriate alternatives to the selection hypothesis. Founder effects, maternal influences and environmental matching should remain explicit competing explanations where the design cannot separate them. This caution does not weaken evidence for invasion; it prevents a successful geographical outcome from being used retrospectively as proof of every proposed mechanism.</w:t>
      </w:r>
    </w:p>
    <w:p w14:paraId="19D315C5" w14:textId="77777777" w:rsidR="00C4379F" w:rsidRDefault="00000000">
      <w:pPr>
        <w:pStyle w:val="Heading2"/>
      </w:pPr>
      <w:r>
        <w:rPr>
          <w:rFonts w:ascii="Times New Roman" w:eastAsia="Times New Roman" w:hAnsi="Times New Roman" w:cs="Times New Roman"/>
        </w:rPr>
        <w:t>3.3 Reproduction, Dispersal and Demographic Trade-Offs</w:t>
      </w:r>
    </w:p>
    <w:p w14:paraId="51F6DE50" w14:textId="77777777" w:rsidR="00C4379F" w:rsidRDefault="00000000">
      <w:r>
        <w:rPr>
          <w:rFonts w:eastAsia="Times New Roman" w:cs="Times New Roman"/>
        </w:rPr>
        <w:t xml:space="preserve">Seed characteristics provide a more specific link between population differences and potential spread. A common-garden comparison involving introduced Asian and native American populations found differences consistent with greater dispersal potential in introduced material, including lighter seeds and lower terminal velocity. These traits were accompanied by lower germination and shorter </w:t>
      </w:r>
      <w:r>
        <w:rPr>
          <w:rFonts w:eastAsia="Times New Roman" w:cs="Times New Roman"/>
        </w:rPr>
        <w:lastRenderedPageBreak/>
        <w:t>seedlings, illustrating a trade-off between movement-related traits and subsequent establishment performance (Y. Li et al., 2024).</w:t>
      </w:r>
    </w:p>
    <w:p w14:paraId="06BB824D" w14:textId="77777777" w:rsidR="00C4379F" w:rsidRDefault="00000000">
      <w:r>
        <w:rPr>
          <w:rFonts w:eastAsia="Times New Roman" w:cs="Times New Roman"/>
        </w:rPr>
        <w:t>Dispersal potential is only one stage in a demographic sequence. A seed must also reach a suitable microsite, survive, germinate, establish and eventually reproduce. An increase in the probability of transport can therefore coexist with a reduction in establishment success per seed. Management predictions should distinguish the number of propagules leaving a source from the number establishing a new population. The latter depends on recipient habitat and cannot be inferred from seed mass alone.</w:t>
      </w:r>
    </w:p>
    <w:p w14:paraId="62827247" w14:textId="77777777" w:rsidR="00C4379F" w:rsidRDefault="00000000">
      <w:r>
        <w:rPr>
          <w:rFonts w:eastAsia="Times New Roman" w:cs="Times New Roman"/>
        </w:rPr>
        <w:t xml:space="preserve">A South African </w:t>
      </w:r>
      <w:proofErr w:type="spellStart"/>
      <w:r>
        <w:rPr>
          <w:rFonts w:eastAsia="Times New Roman" w:cs="Times New Roman"/>
        </w:rPr>
        <w:t>chronosequence</w:t>
      </w:r>
      <w:proofErr w:type="spellEnd"/>
      <w:r>
        <w:rPr>
          <w:rFonts w:eastAsia="Times New Roman" w:cs="Times New Roman"/>
        </w:rPr>
        <w:t xml:space="preserve"> also showed that stand age and light environment influenced density, biomass and seed production. Self-thinning accompanied stand development, and plants in shaded microsites produced fewer seeds than those in sun. </w:t>
      </w:r>
      <w:proofErr w:type="spellStart"/>
      <w:r>
        <w:rPr>
          <w:rFonts w:eastAsia="Times New Roman" w:cs="Times New Roman"/>
        </w:rPr>
        <w:t>Germinable</w:t>
      </w:r>
      <w:proofErr w:type="spellEnd"/>
      <w:r>
        <w:rPr>
          <w:rFonts w:eastAsia="Times New Roman" w:cs="Times New Roman"/>
        </w:rPr>
        <w:t xml:space="preserve"> seeds remained in the soil between reproductive periods, supporting repeated follow-up after clearing. Importantly, the 15-year span of the </w:t>
      </w:r>
      <w:proofErr w:type="spellStart"/>
      <w:r>
        <w:rPr>
          <w:rFonts w:eastAsia="Times New Roman" w:cs="Times New Roman"/>
        </w:rPr>
        <w:t>chronosequence</w:t>
      </w:r>
      <w:proofErr w:type="spellEnd"/>
      <w:r>
        <w:rPr>
          <w:rFonts w:eastAsia="Times New Roman" w:cs="Times New Roman"/>
        </w:rPr>
        <w:t xml:space="preserve"> describes stand ages, not a demonstrated 15-year seed lifespan (Witkowski &amp; Wilson, 2001).</w:t>
      </w:r>
    </w:p>
    <w:p w14:paraId="4166F15F" w14:textId="77777777" w:rsidR="00C4379F" w:rsidRDefault="00000000">
      <w:r>
        <w:rPr>
          <w:rFonts w:eastAsia="Times New Roman" w:cs="Times New Roman"/>
        </w:rPr>
        <w:t>These observations favour demographic monitoring over a single visual measure of weed cover. Reduced stem density can conceal larger surviving individuals or continuing seed input. Conversely, temporary suppression of adult biomass need not indicate exhaustion of recruitment potential. Treatment timing should be tied to locally observed reproductive development, not a flowering month transferred uncritically between hemispheres. Seed-bearing material also deserves special attention during harvesting for utilisation because biomass removal can otherwise become a dispersal operation.</w:t>
      </w:r>
    </w:p>
    <w:p w14:paraId="2546B2B7" w14:textId="77777777" w:rsidR="00C4379F" w:rsidRDefault="00000000">
      <w:pPr>
        <w:pStyle w:val="Heading2"/>
      </w:pPr>
      <w:r>
        <w:rPr>
          <w:rFonts w:ascii="Times New Roman" w:eastAsia="Times New Roman" w:hAnsi="Times New Roman" w:cs="Times New Roman"/>
        </w:rPr>
        <w:t>3.4 Light, Nutrients and Neighbour Identity</w:t>
      </w:r>
    </w:p>
    <w:p w14:paraId="2442CADB" w14:textId="77777777" w:rsidR="00C4379F" w:rsidRDefault="00000000">
      <w:r>
        <w:rPr>
          <w:rFonts w:eastAsia="Times New Roman" w:cs="Times New Roman"/>
        </w:rPr>
        <w:t xml:space="preserve">Controlled competition studies challenge the expectation that enrichment invariably strengthens </w:t>
      </w:r>
      <w:r>
        <w:rPr>
          <w:rFonts w:eastAsia="Times New Roman" w:cs="Times New Roman"/>
          <w:i/>
        </w:rPr>
        <w:t>C. odorata</w:t>
      </w:r>
      <w:r>
        <w:rPr>
          <w:rFonts w:eastAsia="Times New Roman" w:cs="Times New Roman"/>
        </w:rPr>
        <w:t>. In coral-island experiments, phosphorus availability and irradiance altered its performance relative to native species. Another study found that the direction of the phosphorus effect depended on light and that competitive outcomes differed between native neighbours. The invader did not outperform every comparator under all conditions (Huang et al., 2024; Zheng, 2024).</w:t>
      </w:r>
    </w:p>
    <w:p w14:paraId="316D0C20" w14:textId="77777777" w:rsidR="00C4379F" w:rsidRDefault="00000000">
      <w:r>
        <w:rPr>
          <w:rFonts w:eastAsia="Times New Roman" w:cs="Times New Roman"/>
        </w:rPr>
        <w:t>This interaction has two implications. Mechanistically, resource responses belong to the competing assemblage, not just to the invader considered alone. Operationally, selecting resident species for restoration requires evidence of persistence and competitive function under the intended conditions. It does not follow that adding phosphorus to invaded habitats is desirable: a treatment that changes a pot-scale competitive index may also alter nutrient losses or favour other undesirable plants. Restoration should test a specified combination of habitat conditions and resident species rather than adopt fertilisation as a general control principle.</w:t>
      </w:r>
    </w:p>
    <w:p w14:paraId="3F76F5ED" w14:textId="77777777" w:rsidR="00C4379F" w:rsidRDefault="00000000">
      <w:pPr>
        <w:pStyle w:val="Heading1"/>
      </w:pPr>
      <w:r>
        <w:rPr>
          <w:rFonts w:ascii="Times New Roman" w:eastAsia="Times New Roman" w:hAnsi="Times New Roman" w:cs="Times New Roman"/>
        </w:rPr>
        <w:t>4. Ecology, Invasion Mechanisms and Management</w:t>
      </w:r>
    </w:p>
    <w:p w14:paraId="51C557D1" w14:textId="77777777" w:rsidR="00C4379F" w:rsidRDefault="00000000">
      <w:pPr>
        <w:pStyle w:val="Heading2"/>
      </w:pPr>
      <w:r>
        <w:rPr>
          <w:rFonts w:ascii="Times New Roman" w:eastAsia="Times New Roman" w:hAnsi="Times New Roman" w:cs="Times New Roman"/>
        </w:rPr>
        <w:t>4.1 From Individual Performance to Community Effects</w:t>
      </w:r>
    </w:p>
    <w:p w14:paraId="1AC6DB26" w14:textId="77777777" w:rsidR="00C4379F" w:rsidRDefault="00000000">
      <w:r>
        <w:rPr>
          <w:rFonts w:eastAsia="Times New Roman" w:cs="Times New Roman"/>
        </w:rPr>
        <w:t xml:space="preserve">Individual growth advantages, reduced native recruitment and changes in community composition represent different levels of ecological evidence. A larger plant in a pairwise pot experiment demonstrates relative performance under that experimental arrangement. It does not directly estimate landscape displacement, the persistence of native populations or the services lost through invasion. </w:t>
      </w:r>
      <w:r>
        <w:rPr>
          <w:rFonts w:eastAsia="Times New Roman" w:cs="Times New Roman"/>
        </w:rPr>
        <w:lastRenderedPageBreak/>
        <w:t>Conversely, a field association between high invader cover and altered vegetation cannot by itself identify whether resource competition, disturbance history or chemical interference caused the difference (Chen et al., 2024; Qin et al., 2013).</w:t>
      </w:r>
    </w:p>
    <w:p w14:paraId="59D1FBB2" w14:textId="77777777" w:rsidR="00C4379F" w:rsidRDefault="00000000">
      <w:r>
        <w:rPr>
          <w:rFonts w:eastAsia="Times New Roman" w:cs="Times New Roman"/>
        </w:rPr>
        <w:t>An integrative account should therefore join controlled experiments to field observations without erasing their different strengths. Experiments can isolate candidate mechanisms but simplify spatial heterogeneity and species interactions. Field surveys preserve ecological context but often inherit differences in land use, soil and disturbance. The useful question is whether independent evidence converges on the same explanation and whether plausible alternatives have been tested. Confidence should rise through convergence, not through repetition of the same type of assay.</w:t>
      </w:r>
    </w:p>
    <w:p w14:paraId="67B1D306" w14:textId="77777777" w:rsidR="00C4379F" w:rsidRDefault="00000000">
      <w:pPr>
        <w:pStyle w:val="Heading2"/>
      </w:pPr>
      <w:r>
        <w:rPr>
          <w:rFonts w:ascii="Times New Roman" w:eastAsia="Times New Roman" w:hAnsi="Times New Roman" w:cs="Times New Roman"/>
        </w:rPr>
        <w:t>4.2 Soil Chemistry, Microorganisms and Ecological Legacies</w:t>
      </w:r>
    </w:p>
    <w:p w14:paraId="2BF97495" w14:textId="77777777" w:rsidR="00C4379F" w:rsidRDefault="00000000">
      <w:r>
        <w:rPr>
          <w:rFonts w:eastAsia="Times New Roman" w:cs="Times New Roman"/>
        </w:rPr>
        <w:t>Evidence from the Mount Cameroon region links invasion intensity with changes in soil chemical properties and microbial measurements. The study sampled an invasion gradient across several sites and reported responses that were not identical for all variables or cover classes. Such observations support the need to consider below-ground change, but they do not establish that invasion alone created every difference. Culture-based microbial loads also describe a narrower component of soil biology than community-wide molecular or functional measurements (Juru et al., 2024).</w:t>
      </w:r>
    </w:p>
    <w:p w14:paraId="1BFA4515" w14:textId="77777777" w:rsidR="00C4379F" w:rsidRDefault="00000000">
      <w:r>
        <w:rPr>
          <w:rFonts w:eastAsia="Times New Roman" w:cs="Times New Roman"/>
        </w:rPr>
        <w:t xml:space="preserve">More direct evidence for soil-mediated interference comes from experiments showing that soils associated with </w:t>
      </w:r>
      <w:r>
        <w:rPr>
          <w:rFonts w:eastAsia="Times New Roman" w:cs="Times New Roman"/>
          <w:i/>
        </w:rPr>
        <w:t>C. odorata</w:t>
      </w:r>
      <w:r>
        <w:rPr>
          <w:rFonts w:eastAsia="Times New Roman" w:cs="Times New Roman"/>
        </w:rPr>
        <w:t xml:space="preserve"> accumulated fungal pathogens detrimental to native plants. Soil treatment and leachate manipulations implicated a biological pathway rather than only direct toxicity to recipient plants. This mechanism is especially relevant because chemical inputs can alter microbial activity and thereby affect plants indirectly (Mangla et al., 2008).</w:t>
      </w:r>
    </w:p>
    <w:p w14:paraId="6B38FF02" w14:textId="77777777" w:rsidR="00C4379F" w:rsidRDefault="00000000">
      <w:r>
        <w:rPr>
          <w:rFonts w:eastAsia="Times New Roman" w:cs="Times New Roman"/>
        </w:rPr>
        <w:t>The interpretation still requires care. Sterilisation modifies biological and sometimes chemical properties simultaneously, while sorbents used to remove organic compounds may also influence nutrients. An apparent recovery after such treatment is informative but does not isolate one metabolite with certainty. To distinguish direct allelopathy from microbial mediation, experimental designs need several complementary controls and measurements rather than a single treated-versus-untreated soil contrast.</w:t>
      </w:r>
    </w:p>
    <w:p w14:paraId="049BDB67" w14:textId="77777777" w:rsidR="00C4379F" w:rsidRDefault="00000000">
      <w:r>
        <w:rPr>
          <w:rFonts w:eastAsia="Times New Roman" w:cs="Times New Roman"/>
        </w:rPr>
        <w:t>Recent work on invasion-intensity-dependent soil legacies reinforces the importance of context. A pot experiment using soils with different invasion histories examined biochar and soil-biota manipulation, finding that responses of the invader and native plants depended on prior invasion intensity and treatment. This is evidence that legacy effects can be modified experimentally, not evidence that a fixed biochar dose restores every invaded site (J. Li et al., 2025).</w:t>
      </w:r>
    </w:p>
    <w:p w14:paraId="6A3CB2A4" w14:textId="77777777" w:rsidR="00C4379F" w:rsidRDefault="00000000">
      <w:r>
        <w:rPr>
          <w:rFonts w:eastAsia="Times New Roman" w:cs="Times New Roman"/>
        </w:rPr>
        <w:t xml:space="preserve">A soil legacy can also outlast removal of the visible invader. The appropriate restoration endpoint is therefore not only lower </w:t>
      </w:r>
      <w:r>
        <w:rPr>
          <w:rFonts w:eastAsia="Times New Roman" w:cs="Times New Roman"/>
          <w:i/>
        </w:rPr>
        <w:t>C. odorata</w:t>
      </w:r>
      <w:r>
        <w:rPr>
          <w:rFonts w:eastAsia="Times New Roman" w:cs="Times New Roman"/>
        </w:rPr>
        <w:t xml:space="preserve"> biomass but recovery of the intended vegetation and soil functions. Sampling before treatment and repeatedly afterwards would help distinguish persistent legacies from short-lived decomposition effects. Measurements should include the trajectory of native recruitment, because a chemically altered soil that supports more plant growth overall may still favour renewed invasion.</w:t>
      </w:r>
    </w:p>
    <w:p w14:paraId="359E2E92" w14:textId="77777777" w:rsidR="00C4379F" w:rsidRDefault="00000000">
      <w:pPr>
        <w:pStyle w:val="Heading2"/>
      </w:pPr>
      <w:r>
        <w:rPr>
          <w:rFonts w:ascii="Times New Roman" w:eastAsia="Times New Roman" w:hAnsi="Times New Roman" w:cs="Times New Roman"/>
        </w:rPr>
        <w:t>4.3 Biological Interactions and the Limits of Simple Control Narratives</w:t>
      </w:r>
    </w:p>
    <w:p w14:paraId="106D6D96" w14:textId="77777777" w:rsidR="00C4379F" w:rsidRDefault="00000000">
      <w:r>
        <w:rPr>
          <w:rFonts w:eastAsia="Times New Roman" w:cs="Times New Roman"/>
        </w:rPr>
        <w:t xml:space="preserve">Community resistance is not reducible to the presence of any additional organism. Experiments involving soil history, competition and parasitism showed that multiple biotic factors altered invasion </w:t>
      </w:r>
      <w:r>
        <w:rPr>
          <w:rFonts w:eastAsia="Times New Roman" w:cs="Times New Roman"/>
        </w:rPr>
        <w:lastRenderedPageBreak/>
        <w:t xml:space="preserve">outcomes; a parasite could suppress native competitors more strongly than the invader. An organism that damages </w:t>
      </w:r>
      <w:r>
        <w:rPr>
          <w:rFonts w:eastAsia="Times New Roman" w:cs="Times New Roman"/>
          <w:i/>
        </w:rPr>
        <w:t>C. odorata</w:t>
      </w:r>
      <w:r>
        <w:rPr>
          <w:rFonts w:eastAsia="Times New Roman" w:cs="Times New Roman"/>
        </w:rPr>
        <w:t xml:space="preserve"> is therefore not necessarily beneficial to the resident community if its relative effects favour the invader indirectly (Chen et al., 2024).</w:t>
      </w:r>
    </w:p>
    <w:p w14:paraId="5111BF1A" w14:textId="77777777" w:rsidR="00C4379F" w:rsidRDefault="00000000">
      <w:r>
        <w:rPr>
          <w:rFonts w:eastAsia="Times New Roman" w:cs="Times New Roman"/>
        </w:rPr>
        <w:t xml:space="preserve">Classical biological control requires a different evidential chain: an agent must be appropriately host-specific, establish in the receiving environment and impose sufficient demographic pressure. Thermal work on the shoot-boring moth </w:t>
      </w:r>
      <w:proofErr w:type="spellStart"/>
      <w:r>
        <w:rPr>
          <w:rFonts w:eastAsia="Times New Roman" w:cs="Times New Roman"/>
          <w:i/>
        </w:rPr>
        <w:t>Dichrorampha</w:t>
      </w:r>
      <w:proofErr w:type="spellEnd"/>
      <w:r>
        <w:rPr>
          <w:rFonts w:eastAsia="Times New Roman" w:cs="Times New Roman"/>
          <w:i/>
        </w:rPr>
        <w:t xml:space="preserve"> odorata</w:t>
      </w:r>
      <w:r>
        <w:rPr>
          <w:rFonts w:eastAsia="Times New Roman" w:cs="Times New Roman"/>
        </w:rPr>
        <w:t xml:space="preserve"> tested an explanation for failure after release in South Africa. Although development varied with temperature, the study concluded that thermal requirements were not the main establishment constraint. This negative result is informative: a plausible climatic explanation should not be accepted merely because the agent failed to establish (</w:t>
      </w:r>
      <w:proofErr w:type="spellStart"/>
      <w:r>
        <w:rPr>
          <w:rFonts w:eastAsia="Times New Roman" w:cs="Times New Roman"/>
        </w:rPr>
        <w:t>Nqayi</w:t>
      </w:r>
      <w:proofErr w:type="spellEnd"/>
      <w:r>
        <w:rPr>
          <w:rFonts w:eastAsia="Times New Roman" w:cs="Times New Roman"/>
        </w:rPr>
        <w:t xml:space="preserve"> et al., 2023).</w:t>
      </w:r>
    </w:p>
    <w:p w14:paraId="30DD1759" w14:textId="77777777" w:rsidR="00C4379F" w:rsidRDefault="00000000">
      <w:r>
        <w:rPr>
          <w:rFonts w:eastAsia="Times New Roman" w:cs="Times New Roman"/>
        </w:rPr>
        <w:t>These findings support testing climatic, host-related and other ecological constraints rather than assigning a cause from establishment failure alone. Establishment at one site does not establish impact throughout a region, and damage to individual plants does not automatically imply population suppression. Biological-control monitoring should distinguish release effort, persistence, spread, reproductive damage and recovery of resident vegetation. Those outcomes require different observations and should not be collapsed into a single establishment record.</w:t>
      </w:r>
    </w:p>
    <w:p w14:paraId="2CD56F13" w14:textId="77777777" w:rsidR="00C4379F" w:rsidRDefault="00000000">
      <w:pPr>
        <w:pStyle w:val="Heading2"/>
      </w:pPr>
      <w:r>
        <w:rPr>
          <w:rFonts w:ascii="Times New Roman" w:eastAsia="Times New Roman" w:hAnsi="Times New Roman" w:cs="Times New Roman"/>
        </w:rPr>
        <w:t>4.4 Control, Restoration and the Choice of Endpoint</w:t>
      </w:r>
    </w:p>
    <w:p w14:paraId="1312F928" w14:textId="77777777" w:rsidR="00C4379F" w:rsidRDefault="00000000">
      <w:r>
        <w:rPr>
          <w:rFonts w:eastAsia="Times New Roman" w:cs="Times New Roman"/>
        </w:rPr>
        <w:t>A field experiment in South African savanna demonstrated a consequential management trade-off. Clearing combined with fire could suppress the invader, but intense fire also damaged native woodland and shifted the vegetation towards grassland. Fire alone did not provide an equivalent solution. The study shows why weed suppression and habitat restoration cannot be assumed to be the same objective (</w:t>
      </w:r>
      <w:proofErr w:type="spellStart"/>
      <w:r>
        <w:rPr>
          <w:rFonts w:eastAsia="Times New Roman" w:cs="Times New Roman"/>
        </w:rPr>
        <w:t>te</w:t>
      </w:r>
      <w:proofErr w:type="spellEnd"/>
      <w:r>
        <w:rPr>
          <w:rFonts w:eastAsia="Times New Roman" w:cs="Times New Roman"/>
        </w:rPr>
        <w:t xml:space="preserve"> </w:t>
      </w:r>
      <w:proofErr w:type="spellStart"/>
      <w:r>
        <w:rPr>
          <w:rFonts w:eastAsia="Times New Roman" w:cs="Times New Roman"/>
        </w:rPr>
        <w:t>Beest</w:t>
      </w:r>
      <w:proofErr w:type="spellEnd"/>
      <w:r>
        <w:rPr>
          <w:rFonts w:eastAsia="Times New Roman" w:cs="Times New Roman"/>
        </w:rPr>
        <w:t xml:space="preserve"> et al., 2012).</w:t>
      </w:r>
    </w:p>
    <w:p w14:paraId="59ED316C" w14:textId="77777777" w:rsidR="00C4379F" w:rsidRDefault="00000000">
      <w:r>
        <w:rPr>
          <w:rFonts w:eastAsia="Times New Roman" w:cs="Times New Roman"/>
        </w:rPr>
        <w:t>Operational decisions should begin with the habitat to be retained, the risks created by standing or cut biomass and the resources available for follow-up. A treatment that is appropriate in one fire-adapted system may be damaging in another. Likewise, removal without reinvasion monitoring may exchange a visible adult stand for less visible recruitment. Biomass utilisation adds another possible pathway, but it is subordinate to these ecological objectives rather than a substitute for them.</w:t>
      </w:r>
    </w:p>
    <w:p w14:paraId="7B8DD76B" w14:textId="77777777" w:rsidR="00C4379F" w:rsidRDefault="00000000">
      <w:r>
        <w:rPr>
          <w:rFonts w:eastAsia="Times New Roman" w:cs="Times New Roman"/>
        </w:rPr>
        <w:t>Table 1 brings together representative biological and ecological findings. Its main implication is that context dependence appears at several stages, from seed traits to treatment outcomes. The evidence therefore supports targeted, monitored interventions rather than a universally applicable explanation of invasion or a single control prescription.</w:t>
      </w:r>
    </w:p>
    <w:p w14:paraId="0B8E2640" w14:textId="77777777" w:rsidR="00C4379F" w:rsidRDefault="00000000">
      <w:pPr>
        <w:keepNext/>
        <w:spacing w:before="140" w:after="40"/>
      </w:pPr>
      <w:r>
        <w:rPr>
          <w:rFonts w:eastAsia="Times New Roman" w:cs="Times New Roman"/>
          <w:b/>
          <w:sz w:val="22"/>
        </w:rPr>
        <w:t>Table 1</w:t>
      </w:r>
    </w:p>
    <w:p w14:paraId="675E1AD2" w14:textId="77777777" w:rsidR="00C4379F" w:rsidRDefault="00000000">
      <w:pPr>
        <w:keepNext/>
      </w:pPr>
      <w:r>
        <w:rPr>
          <w:rFonts w:eastAsia="Times New Roman" w:cs="Times New Roman"/>
          <w:i/>
          <w:sz w:val="22"/>
        </w:rPr>
        <w:t>Representative evidence on biological variation, invasion mechanisms and management</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1D3CC295" w14:textId="77777777">
        <w:trPr>
          <w:tblHeader/>
          <w:jc w:val="center"/>
        </w:trPr>
        <w:tc>
          <w:tcPr>
            <w:tcW w:w="1483" w:type="dxa"/>
            <w:shd w:val="clear" w:color="auto" w:fill="EEEEEE"/>
          </w:tcPr>
          <w:p w14:paraId="2037E5A0" w14:textId="77777777" w:rsidR="00C4379F" w:rsidRDefault="00000000">
            <w:pPr>
              <w:keepNext/>
              <w:spacing w:after="40" w:line="245" w:lineRule="auto"/>
            </w:pPr>
            <w:r>
              <w:rPr>
                <w:rFonts w:eastAsia="Times New Roman" w:cs="Times New Roman"/>
                <w:b/>
                <w:sz w:val="20"/>
              </w:rPr>
              <w:t>Evidence domain</w:t>
            </w:r>
          </w:p>
        </w:tc>
        <w:tc>
          <w:tcPr>
            <w:tcW w:w="2664" w:type="dxa"/>
            <w:shd w:val="clear" w:color="auto" w:fill="EEEEEE"/>
          </w:tcPr>
          <w:p w14:paraId="1B70DDDB" w14:textId="77777777" w:rsidR="00C4379F" w:rsidRDefault="00000000">
            <w:pPr>
              <w:keepNext/>
              <w:spacing w:after="40" w:line="245" w:lineRule="auto"/>
            </w:pPr>
            <w:r>
              <w:rPr>
                <w:rFonts w:eastAsia="Times New Roman" w:cs="Times New Roman"/>
                <w:b/>
                <w:sz w:val="20"/>
              </w:rPr>
              <w:t>Representative finding</w:t>
            </w:r>
          </w:p>
        </w:tc>
        <w:tc>
          <w:tcPr>
            <w:tcW w:w="3067" w:type="dxa"/>
            <w:shd w:val="clear" w:color="auto" w:fill="EEEEEE"/>
          </w:tcPr>
          <w:p w14:paraId="53FBCCE9" w14:textId="77777777" w:rsidR="00C4379F" w:rsidRDefault="00000000">
            <w:pPr>
              <w:keepNext/>
              <w:spacing w:after="40" w:line="245" w:lineRule="auto"/>
            </w:pPr>
            <w:r>
              <w:rPr>
                <w:rFonts w:eastAsia="Times New Roman" w:cs="Times New Roman"/>
                <w:b/>
                <w:sz w:val="20"/>
              </w:rPr>
              <w:t>Interpretive boundary</w:t>
            </w:r>
          </w:p>
        </w:tc>
        <w:tc>
          <w:tcPr>
            <w:tcW w:w="2146" w:type="dxa"/>
            <w:shd w:val="clear" w:color="auto" w:fill="EEEEEE"/>
          </w:tcPr>
          <w:p w14:paraId="7DF0E2E1" w14:textId="77777777" w:rsidR="00C4379F" w:rsidRDefault="00000000">
            <w:pPr>
              <w:keepNext/>
              <w:spacing w:after="40" w:line="245" w:lineRule="auto"/>
            </w:pPr>
            <w:r>
              <w:rPr>
                <w:rFonts w:eastAsia="Times New Roman" w:cs="Times New Roman"/>
                <w:b/>
                <w:sz w:val="20"/>
              </w:rPr>
              <w:t>Supporting references</w:t>
            </w:r>
          </w:p>
        </w:tc>
      </w:tr>
      <w:tr w:rsidR="00C4379F" w14:paraId="0F03680A" w14:textId="77777777">
        <w:trPr>
          <w:cantSplit/>
          <w:jc w:val="center"/>
        </w:trPr>
        <w:tc>
          <w:tcPr>
            <w:tcW w:w="1483" w:type="dxa"/>
          </w:tcPr>
          <w:p w14:paraId="3F0196E2" w14:textId="77777777" w:rsidR="00C4379F" w:rsidRDefault="00000000">
            <w:pPr>
              <w:spacing w:after="20" w:line="250" w:lineRule="auto"/>
            </w:pPr>
            <w:r>
              <w:rPr>
                <w:rFonts w:eastAsia="Times New Roman" w:cs="Times New Roman"/>
                <w:sz w:val="20"/>
              </w:rPr>
              <w:t>Population history</w:t>
            </w:r>
          </w:p>
        </w:tc>
        <w:tc>
          <w:tcPr>
            <w:tcW w:w="2664" w:type="dxa"/>
          </w:tcPr>
          <w:p w14:paraId="3B064441" w14:textId="77777777" w:rsidR="00C4379F" w:rsidRDefault="00000000">
            <w:pPr>
              <w:spacing w:after="20" w:line="250" w:lineRule="auto"/>
            </w:pPr>
            <w:r>
              <w:rPr>
                <w:rFonts w:eastAsia="Times New Roman" w:cs="Times New Roman"/>
                <w:sz w:val="20"/>
              </w:rPr>
              <w:t>Introduced lineages differ in source history and genetic variability.</w:t>
            </w:r>
          </w:p>
        </w:tc>
        <w:tc>
          <w:tcPr>
            <w:tcW w:w="3067" w:type="dxa"/>
          </w:tcPr>
          <w:p w14:paraId="7A753785" w14:textId="77777777" w:rsidR="00C4379F" w:rsidRDefault="00000000">
            <w:pPr>
              <w:spacing w:after="20" w:line="250" w:lineRule="auto"/>
            </w:pPr>
            <w:r>
              <w:rPr>
                <w:rFonts w:eastAsia="Times New Roman" w:cs="Times New Roman"/>
                <w:sz w:val="20"/>
              </w:rPr>
              <w:t>Neutral genetic patterns do not establish chemical uniformity or a universal adaptive mechanism.</w:t>
            </w:r>
          </w:p>
        </w:tc>
        <w:tc>
          <w:tcPr>
            <w:tcW w:w="2146" w:type="dxa"/>
          </w:tcPr>
          <w:p w14:paraId="7DDFD536" w14:textId="77777777" w:rsidR="00C4379F" w:rsidRDefault="00000000">
            <w:pPr>
              <w:spacing w:after="20" w:line="250" w:lineRule="auto"/>
            </w:pPr>
            <w:r>
              <w:rPr>
                <w:rFonts w:eastAsia="Times New Roman" w:cs="Times New Roman"/>
                <w:sz w:val="20"/>
              </w:rPr>
              <w:t>(Shao et al., 2018)</w:t>
            </w:r>
          </w:p>
        </w:tc>
      </w:tr>
      <w:tr w:rsidR="00C4379F" w14:paraId="6E32339D" w14:textId="77777777">
        <w:trPr>
          <w:cantSplit/>
          <w:jc w:val="center"/>
        </w:trPr>
        <w:tc>
          <w:tcPr>
            <w:tcW w:w="1483" w:type="dxa"/>
          </w:tcPr>
          <w:p w14:paraId="10BAFF02" w14:textId="77777777" w:rsidR="00C4379F" w:rsidRDefault="00000000">
            <w:pPr>
              <w:spacing w:after="20" w:line="250" w:lineRule="auto"/>
            </w:pPr>
            <w:r>
              <w:rPr>
                <w:rFonts w:eastAsia="Times New Roman" w:cs="Times New Roman"/>
                <w:sz w:val="20"/>
              </w:rPr>
              <w:lastRenderedPageBreak/>
              <w:t>Seed traits</w:t>
            </w:r>
          </w:p>
        </w:tc>
        <w:tc>
          <w:tcPr>
            <w:tcW w:w="2664" w:type="dxa"/>
          </w:tcPr>
          <w:p w14:paraId="70D5AC1E" w14:textId="77777777" w:rsidR="00C4379F" w:rsidRDefault="00000000">
            <w:pPr>
              <w:spacing w:after="20" w:line="250" w:lineRule="auto"/>
            </w:pPr>
            <w:r>
              <w:rPr>
                <w:rFonts w:eastAsia="Times New Roman" w:cs="Times New Roman"/>
                <w:sz w:val="20"/>
              </w:rPr>
              <w:t>Introduced material shows dispersal-related trait changes alongside establishment-related trade-offs.</w:t>
            </w:r>
          </w:p>
        </w:tc>
        <w:tc>
          <w:tcPr>
            <w:tcW w:w="3067" w:type="dxa"/>
          </w:tcPr>
          <w:p w14:paraId="5038E42C" w14:textId="77777777" w:rsidR="00C4379F" w:rsidRDefault="00000000">
            <w:pPr>
              <w:spacing w:after="20" w:line="250" w:lineRule="auto"/>
            </w:pPr>
            <w:r>
              <w:rPr>
                <w:rFonts w:eastAsia="Times New Roman" w:cs="Times New Roman"/>
                <w:sz w:val="20"/>
              </w:rPr>
              <w:t>Potential transport is not realised recruitment or landscape spread.</w:t>
            </w:r>
          </w:p>
        </w:tc>
        <w:tc>
          <w:tcPr>
            <w:tcW w:w="2146" w:type="dxa"/>
          </w:tcPr>
          <w:p w14:paraId="31964DC4" w14:textId="77777777" w:rsidR="00C4379F" w:rsidRDefault="00000000">
            <w:pPr>
              <w:spacing w:after="20" w:line="250" w:lineRule="auto"/>
            </w:pPr>
            <w:r>
              <w:rPr>
                <w:rFonts w:eastAsia="Times New Roman" w:cs="Times New Roman"/>
                <w:sz w:val="20"/>
              </w:rPr>
              <w:t>(Y. Li et al., 2024)</w:t>
            </w:r>
          </w:p>
        </w:tc>
      </w:tr>
      <w:tr w:rsidR="00C4379F" w14:paraId="00BE416F" w14:textId="77777777">
        <w:trPr>
          <w:cantSplit/>
          <w:jc w:val="center"/>
        </w:trPr>
        <w:tc>
          <w:tcPr>
            <w:tcW w:w="1483" w:type="dxa"/>
          </w:tcPr>
          <w:p w14:paraId="16F2FEF4" w14:textId="77777777" w:rsidR="00C4379F" w:rsidRDefault="00000000">
            <w:pPr>
              <w:spacing w:after="20" w:line="250" w:lineRule="auto"/>
            </w:pPr>
            <w:r>
              <w:rPr>
                <w:rFonts w:eastAsia="Times New Roman" w:cs="Times New Roman"/>
                <w:sz w:val="20"/>
              </w:rPr>
              <w:t>Resource competition</w:t>
            </w:r>
          </w:p>
        </w:tc>
        <w:tc>
          <w:tcPr>
            <w:tcW w:w="2664" w:type="dxa"/>
          </w:tcPr>
          <w:p w14:paraId="032BA64B" w14:textId="77777777" w:rsidR="00C4379F" w:rsidRDefault="00000000">
            <w:pPr>
              <w:spacing w:after="20" w:line="250" w:lineRule="auto"/>
            </w:pPr>
            <w:r>
              <w:rPr>
                <w:rFonts w:eastAsia="Times New Roman" w:cs="Times New Roman"/>
                <w:sz w:val="20"/>
              </w:rPr>
              <w:t>Light, phosphorus and neighbour identity modify relative performance.</w:t>
            </w:r>
          </w:p>
        </w:tc>
        <w:tc>
          <w:tcPr>
            <w:tcW w:w="3067" w:type="dxa"/>
          </w:tcPr>
          <w:p w14:paraId="3C9741F2" w14:textId="77777777" w:rsidR="00C4379F" w:rsidRDefault="00000000">
            <w:pPr>
              <w:spacing w:after="20" w:line="250" w:lineRule="auto"/>
            </w:pPr>
            <w:r>
              <w:rPr>
                <w:rFonts w:eastAsia="Times New Roman" w:cs="Times New Roman"/>
                <w:sz w:val="20"/>
              </w:rPr>
              <w:t>A favourable pot-scale combination is not a general habitat-fertilisation prescription.</w:t>
            </w:r>
          </w:p>
        </w:tc>
        <w:tc>
          <w:tcPr>
            <w:tcW w:w="2146" w:type="dxa"/>
          </w:tcPr>
          <w:p w14:paraId="11C9AB53" w14:textId="77777777" w:rsidR="00C4379F" w:rsidRDefault="00000000">
            <w:pPr>
              <w:spacing w:after="20" w:line="250" w:lineRule="auto"/>
            </w:pPr>
            <w:r>
              <w:rPr>
                <w:rFonts w:eastAsia="Times New Roman" w:cs="Times New Roman"/>
                <w:sz w:val="20"/>
              </w:rPr>
              <w:t>(Huang et al., 2024; Zheng, 2024)</w:t>
            </w:r>
          </w:p>
        </w:tc>
      </w:tr>
      <w:tr w:rsidR="00C4379F" w14:paraId="09AEBFD6" w14:textId="77777777">
        <w:trPr>
          <w:cantSplit/>
          <w:jc w:val="center"/>
        </w:trPr>
        <w:tc>
          <w:tcPr>
            <w:tcW w:w="1483" w:type="dxa"/>
          </w:tcPr>
          <w:p w14:paraId="1DE0EE3B" w14:textId="77777777" w:rsidR="00C4379F" w:rsidRDefault="00000000">
            <w:pPr>
              <w:spacing w:after="20" w:line="250" w:lineRule="auto"/>
            </w:pPr>
            <w:r>
              <w:rPr>
                <w:rFonts w:eastAsia="Times New Roman" w:cs="Times New Roman"/>
                <w:sz w:val="20"/>
              </w:rPr>
              <w:t>Soil-mediated effects</w:t>
            </w:r>
          </w:p>
        </w:tc>
        <w:tc>
          <w:tcPr>
            <w:tcW w:w="2664" w:type="dxa"/>
          </w:tcPr>
          <w:p w14:paraId="59201C09" w14:textId="77777777" w:rsidR="00C4379F" w:rsidRDefault="00000000">
            <w:pPr>
              <w:spacing w:after="20" w:line="250" w:lineRule="auto"/>
            </w:pPr>
            <w:r>
              <w:rPr>
                <w:rFonts w:eastAsia="Times New Roman" w:cs="Times New Roman"/>
                <w:sz w:val="20"/>
              </w:rPr>
              <w:t>Pathogen-related interference and invasion-history-dependent responses occur in experimental systems.</w:t>
            </w:r>
          </w:p>
        </w:tc>
        <w:tc>
          <w:tcPr>
            <w:tcW w:w="3067" w:type="dxa"/>
          </w:tcPr>
          <w:p w14:paraId="3FE05901" w14:textId="77777777" w:rsidR="00C4379F" w:rsidRDefault="00000000">
            <w:pPr>
              <w:spacing w:after="20" w:line="250" w:lineRule="auto"/>
            </w:pPr>
            <w:r>
              <w:rPr>
                <w:rFonts w:eastAsia="Times New Roman" w:cs="Times New Roman"/>
                <w:sz w:val="20"/>
              </w:rPr>
              <w:t>Direct chemical toxicity must be separated from microbial and treatment effects.</w:t>
            </w:r>
          </w:p>
        </w:tc>
        <w:tc>
          <w:tcPr>
            <w:tcW w:w="2146" w:type="dxa"/>
          </w:tcPr>
          <w:p w14:paraId="1CC34159" w14:textId="77777777" w:rsidR="00C4379F" w:rsidRDefault="00000000">
            <w:pPr>
              <w:spacing w:after="20" w:line="250" w:lineRule="auto"/>
            </w:pPr>
            <w:r>
              <w:rPr>
                <w:rFonts w:eastAsia="Times New Roman" w:cs="Times New Roman"/>
                <w:sz w:val="20"/>
              </w:rPr>
              <w:t>(J. Li et al., 2025; Mangla et al., 2008)</w:t>
            </w:r>
          </w:p>
        </w:tc>
      </w:tr>
      <w:tr w:rsidR="00C4379F" w14:paraId="7BA9B177" w14:textId="77777777">
        <w:trPr>
          <w:cantSplit/>
          <w:jc w:val="center"/>
        </w:trPr>
        <w:tc>
          <w:tcPr>
            <w:tcW w:w="1483" w:type="dxa"/>
          </w:tcPr>
          <w:p w14:paraId="100239AE" w14:textId="77777777" w:rsidR="00C4379F" w:rsidRDefault="00000000">
            <w:pPr>
              <w:spacing w:after="20" w:line="250" w:lineRule="auto"/>
            </w:pPr>
            <w:r>
              <w:rPr>
                <w:rFonts w:eastAsia="Times New Roman" w:cs="Times New Roman"/>
                <w:sz w:val="20"/>
              </w:rPr>
              <w:t>Biological control</w:t>
            </w:r>
          </w:p>
        </w:tc>
        <w:tc>
          <w:tcPr>
            <w:tcW w:w="2664" w:type="dxa"/>
          </w:tcPr>
          <w:p w14:paraId="406B7FE2" w14:textId="77777777" w:rsidR="00C4379F" w:rsidRDefault="00000000">
            <w:pPr>
              <w:spacing w:after="20" w:line="250" w:lineRule="auto"/>
            </w:pPr>
            <w:r>
              <w:rPr>
                <w:rFonts w:eastAsia="Times New Roman" w:cs="Times New Roman"/>
                <w:sz w:val="20"/>
              </w:rPr>
              <w:t>Thermal testing did not support temperature as the main cause of moth establishment failure.</w:t>
            </w:r>
          </w:p>
        </w:tc>
        <w:tc>
          <w:tcPr>
            <w:tcW w:w="3067" w:type="dxa"/>
          </w:tcPr>
          <w:p w14:paraId="7715D95D" w14:textId="77777777" w:rsidR="00C4379F" w:rsidRDefault="00000000">
            <w:pPr>
              <w:spacing w:after="20" w:line="250" w:lineRule="auto"/>
            </w:pPr>
            <w:r>
              <w:rPr>
                <w:rFonts w:eastAsia="Times New Roman" w:cs="Times New Roman"/>
                <w:sz w:val="20"/>
              </w:rPr>
              <w:t>A plausible explanation requires testing; non-establishment alone does not identify the constraint.</w:t>
            </w:r>
          </w:p>
        </w:tc>
        <w:tc>
          <w:tcPr>
            <w:tcW w:w="2146" w:type="dxa"/>
          </w:tcPr>
          <w:p w14:paraId="1C40C3F1" w14:textId="77777777" w:rsidR="00C4379F" w:rsidRDefault="00000000">
            <w:pPr>
              <w:spacing w:after="20" w:line="250" w:lineRule="auto"/>
            </w:pPr>
            <w:r>
              <w:rPr>
                <w:rFonts w:eastAsia="Times New Roman" w:cs="Times New Roman"/>
                <w:sz w:val="20"/>
              </w:rPr>
              <w:t>(</w:t>
            </w:r>
            <w:proofErr w:type="spellStart"/>
            <w:r>
              <w:rPr>
                <w:rFonts w:eastAsia="Times New Roman" w:cs="Times New Roman"/>
                <w:sz w:val="20"/>
              </w:rPr>
              <w:t>Nqayi</w:t>
            </w:r>
            <w:proofErr w:type="spellEnd"/>
            <w:r>
              <w:rPr>
                <w:rFonts w:eastAsia="Times New Roman" w:cs="Times New Roman"/>
                <w:sz w:val="20"/>
              </w:rPr>
              <w:t xml:space="preserve"> et al., 2023)</w:t>
            </w:r>
          </w:p>
        </w:tc>
      </w:tr>
      <w:tr w:rsidR="00C4379F" w14:paraId="0EEE5571" w14:textId="77777777">
        <w:trPr>
          <w:cantSplit/>
          <w:jc w:val="center"/>
        </w:trPr>
        <w:tc>
          <w:tcPr>
            <w:tcW w:w="1483" w:type="dxa"/>
          </w:tcPr>
          <w:p w14:paraId="380A15EC" w14:textId="77777777" w:rsidR="00C4379F" w:rsidRDefault="00000000">
            <w:pPr>
              <w:keepNext/>
              <w:spacing w:after="20" w:line="250" w:lineRule="auto"/>
            </w:pPr>
            <w:r>
              <w:rPr>
                <w:rFonts w:eastAsia="Times New Roman" w:cs="Times New Roman"/>
                <w:sz w:val="20"/>
              </w:rPr>
              <w:t>Management outcome</w:t>
            </w:r>
          </w:p>
        </w:tc>
        <w:tc>
          <w:tcPr>
            <w:tcW w:w="2664" w:type="dxa"/>
          </w:tcPr>
          <w:p w14:paraId="75F7C397" w14:textId="77777777" w:rsidR="00C4379F" w:rsidRDefault="00000000">
            <w:pPr>
              <w:keepNext/>
              <w:spacing w:after="20" w:line="250" w:lineRule="auto"/>
            </w:pPr>
            <w:r>
              <w:rPr>
                <w:rFonts w:eastAsia="Times New Roman" w:cs="Times New Roman"/>
                <w:sz w:val="20"/>
              </w:rPr>
              <w:t>Clearing with fire suppressed invasion but could also damage native woodland.</w:t>
            </w:r>
          </w:p>
        </w:tc>
        <w:tc>
          <w:tcPr>
            <w:tcW w:w="3067" w:type="dxa"/>
          </w:tcPr>
          <w:p w14:paraId="3D177549" w14:textId="77777777" w:rsidR="00C4379F" w:rsidRDefault="00000000">
            <w:pPr>
              <w:keepNext/>
              <w:spacing w:after="20" w:line="250" w:lineRule="auto"/>
            </w:pPr>
            <w:r>
              <w:rPr>
                <w:rFonts w:eastAsia="Times New Roman" w:cs="Times New Roman"/>
                <w:sz w:val="20"/>
              </w:rPr>
              <w:t>Weed suppression and habitat restoration are not equivalent endpoints.</w:t>
            </w:r>
          </w:p>
        </w:tc>
        <w:tc>
          <w:tcPr>
            <w:tcW w:w="2146" w:type="dxa"/>
          </w:tcPr>
          <w:p w14:paraId="47FB4E0E" w14:textId="77777777" w:rsidR="00C4379F" w:rsidRDefault="00000000">
            <w:pPr>
              <w:keepNext/>
              <w:spacing w:after="20" w:line="250" w:lineRule="auto"/>
            </w:pPr>
            <w:r>
              <w:rPr>
                <w:rFonts w:eastAsia="Times New Roman" w:cs="Times New Roman"/>
                <w:sz w:val="20"/>
              </w:rPr>
              <w:t>(</w:t>
            </w:r>
            <w:proofErr w:type="spellStart"/>
            <w:r>
              <w:rPr>
                <w:rFonts w:eastAsia="Times New Roman" w:cs="Times New Roman"/>
                <w:sz w:val="20"/>
              </w:rPr>
              <w:t>te</w:t>
            </w:r>
            <w:proofErr w:type="spellEnd"/>
            <w:r>
              <w:rPr>
                <w:rFonts w:eastAsia="Times New Roman" w:cs="Times New Roman"/>
                <w:sz w:val="20"/>
              </w:rPr>
              <w:t xml:space="preserve"> </w:t>
            </w:r>
            <w:proofErr w:type="spellStart"/>
            <w:r>
              <w:rPr>
                <w:rFonts w:eastAsia="Times New Roman" w:cs="Times New Roman"/>
                <w:sz w:val="20"/>
              </w:rPr>
              <w:t>Beest</w:t>
            </w:r>
            <w:proofErr w:type="spellEnd"/>
            <w:r>
              <w:rPr>
                <w:rFonts w:eastAsia="Times New Roman" w:cs="Times New Roman"/>
                <w:sz w:val="20"/>
              </w:rPr>
              <w:t xml:space="preserve"> et al., 2012)</w:t>
            </w:r>
          </w:p>
        </w:tc>
      </w:tr>
    </w:tbl>
    <w:p w14:paraId="6850882C" w14:textId="77777777" w:rsidR="00C4379F" w:rsidRDefault="00000000">
      <w:pPr>
        <w:spacing w:before="80" w:after="180" w:line="252" w:lineRule="auto"/>
      </w:pPr>
      <w:r>
        <w:rPr>
          <w:rFonts w:eastAsia="Times New Roman" w:cs="Times New Roman"/>
          <w:i/>
          <w:sz w:val="19"/>
        </w:rPr>
        <w:t xml:space="preserve">Note. </w:t>
      </w:r>
      <w:r>
        <w:rPr>
          <w:rFonts w:eastAsia="Times New Roman" w:cs="Times New Roman"/>
          <w:sz w:val="19"/>
        </w:rPr>
        <w:t>Representative studies, not an exhaustive inventory. Findings retain their original experimental or field context.</w:t>
      </w:r>
    </w:p>
    <w:p w14:paraId="7484DBB2" w14:textId="77777777" w:rsidR="00C4379F" w:rsidRDefault="00000000">
      <w:pPr>
        <w:pStyle w:val="Heading1"/>
      </w:pPr>
      <w:r>
        <w:rPr>
          <w:rFonts w:ascii="Times New Roman" w:eastAsia="Times New Roman" w:hAnsi="Times New Roman" w:cs="Times New Roman"/>
        </w:rPr>
        <w:t>5. Phytochemistry as a Variable Biological System</w:t>
      </w:r>
    </w:p>
    <w:p w14:paraId="27ED2218" w14:textId="77777777" w:rsidR="00C4379F" w:rsidRDefault="00000000">
      <w:pPr>
        <w:pStyle w:val="Heading2"/>
      </w:pPr>
      <w:r>
        <w:rPr>
          <w:rFonts w:ascii="Times New Roman" w:eastAsia="Times New Roman" w:hAnsi="Times New Roman" w:cs="Times New Roman"/>
        </w:rPr>
        <w:t>5.1 Chemical Diversity and the Importance of Plant Organ</w:t>
      </w:r>
    </w:p>
    <w:p w14:paraId="4F41B1E2" w14:textId="77777777" w:rsidR="00C4379F" w:rsidRDefault="00000000">
      <w:r>
        <w:rPr>
          <w:rFonts w:eastAsia="Times New Roman" w:cs="Times New Roman"/>
        </w:rPr>
        <w:t>The phytochemical evidence supports a chemically heterogeneous species rather than a single active principle. Isolation studies have identified flavonoids with different substitution patterns, while investigations of phenolic fractions and essential oils describe chemically distinct preparations. Roots, leaves, stems and reproductive tissues should therefore not be treated as interchangeable sources. An extract name that omits organ, provenance and solvent conceals variables that may determine both activity and hazard (</w:t>
      </w:r>
      <w:proofErr w:type="spellStart"/>
      <w:r>
        <w:rPr>
          <w:rFonts w:eastAsia="Times New Roman" w:cs="Times New Roman"/>
        </w:rPr>
        <w:t>Omokhua-Uyi</w:t>
      </w:r>
      <w:proofErr w:type="spellEnd"/>
      <w:r>
        <w:rPr>
          <w:rFonts w:eastAsia="Times New Roman" w:cs="Times New Roman"/>
        </w:rPr>
        <w:t xml:space="preserve"> et al., 2020; Phan et al., 2001; Vo et al., 2025).</w:t>
      </w:r>
    </w:p>
    <w:p w14:paraId="265209AA" w14:textId="77777777" w:rsidR="00C4379F" w:rsidRDefault="00000000">
      <w:r>
        <w:rPr>
          <w:rFonts w:eastAsia="Times New Roman" w:cs="Times New Roman"/>
        </w:rPr>
        <w:t>The organ-resolved investigation of pyrrolizidine alkaloids is particularly informative. Several alkaloid N-oxides were identified, with the largest concentrations in roots and mature flower heads, whereas the sampled leaves and stems contained little or none. This distribution prevents two opposite overgeneralisations: that every leaf preparation contains a high alkaloid burden, and that a low result in some leaves proves the species universally safe. The investigation also documented interactions with an alkaloid-sequestering herbivore, linking chemistry to ecology rather than merely to extract screening (Biller et al., 1994).</w:t>
      </w:r>
    </w:p>
    <w:p w14:paraId="34497B13" w14:textId="77777777" w:rsidR="00C4379F" w:rsidRDefault="00000000">
      <w:r>
        <w:rPr>
          <w:rFonts w:eastAsia="Times New Roman" w:cs="Times New Roman"/>
        </w:rPr>
        <w:t>For applied research, these results favour separate chemical specifications for different organs and collection stages. Mixing reproductive material into leaf biomass may change the product even when the species identity is unchanged. A marker chosen only because it is abundant may be unsuitable for predicting efficacy or toxicity. Product characterisation should distinguish identity markers, candidate active constituents and hazard markers; one measurement rarely performs all three functions.</w:t>
      </w:r>
    </w:p>
    <w:p w14:paraId="02036A36" w14:textId="77777777" w:rsidR="00C4379F" w:rsidRDefault="00000000">
      <w:pPr>
        <w:pStyle w:val="Heading2"/>
      </w:pPr>
      <w:r>
        <w:rPr>
          <w:rFonts w:ascii="Times New Roman" w:eastAsia="Times New Roman" w:hAnsi="Times New Roman" w:cs="Times New Roman"/>
        </w:rPr>
        <w:lastRenderedPageBreak/>
        <w:t>5.2 From Screening Reactions to Identified Molecules</w:t>
      </w:r>
    </w:p>
    <w:p w14:paraId="580E5915" w14:textId="77777777" w:rsidR="00C4379F" w:rsidRDefault="00000000">
      <w:r>
        <w:rPr>
          <w:rFonts w:eastAsia="Times New Roman" w:cs="Times New Roman"/>
        </w:rPr>
        <w:t>Colorimetric tests for total phenolics or flavonoids are useful for comparing preparations under a common method, but they do not identify individual molecules. Similarly, chromatographic features assigned from mass-spectral databases differ in certainty from compounds isolated and characterised spectroscopically. Recent work comparing leaf and stem extracts demonstrated that extraction strength and organ affected chemical profiles and assay responses. The extract showing greater antioxidant activity was not necessarily the one with the strongest enzyme inhibition (</w:t>
      </w:r>
      <w:proofErr w:type="spellStart"/>
      <w:r>
        <w:rPr>
          <w:rFonts w:eastAsia="Times New Roman" w:cs="Times New Roman"/>
        </w:rPr>
        <w:t>Indrianingsih</w:t>
      </w:r>
      <w:proofErr w:type="spellEnd"/>
      <w:r>
        <w:rPr>
          <w:rFonts w:eastAsia="Times New Roman" w:cs="Times New Roman"/>
        </w:rPr>
        <w:t xml:space="preserve"> et al., 2025).</w:t>
      </w:r>
    </w:p>
    <w:p w14:paraId="397C4EB4" w14:textId="77777777" w:rsidR="00C4379F" w:rsidRDefault="00000000">
      <w:r>
        <w:rPr>
          <w:rFonts w:eastAsia="Times New Roman" w:cs="Times New Roman"/>
        </w:rPr>
        <w:t>That divergence is more informative than a general statement that the plant is rich in antioxidants. It indicates that assay rankings reflect different chemical interactions and cannot be reduced to a universal quality index. Multivariate associations between chemical features and activity can nominate compounds for testing, but correlated features may reflect co-extraction rather than causal participation. Confirmation requires isolation, quantitative reconstitution or selective removal of candidate constituents, followed by repetition of the relevant biological assay.</w:t>
      </w:r>
    </w:p>
    <w:p w14:paraId="70E41239" w14:textId="77777777" w:rsidR="00C4379F" w:rsidRDefault="00000000">
      <w:r>
        <w:rPr>
          <w:rFonts w:eastAsia="Times New Roman" w:cs="Times New Roman"/>
        </w:rPr>
        <w:t xml:space="preserve">Structure-confirmed examples include </w:t>
      </w:r>
      <w:proofErr w:type="spellStart"/>
      <w:r>
        <w:rPr>
          <w:rFonts w:eastAsia="Times New Roman" w:cs="Times New Roman"/>
        </w:rPr>
        <w:t>odoratenin</w:t>
      </w:r>
      <w:proofErr w:type="spellEnd"/>
      <w:r>
        <w:rPr>
          <w:rFonts w:eastAsia="Times New Roman" w:cs="Times New Roman"/>
        </w:rPr>
        <w:t xml:space="preserve">, reported alongside other flavanones in leaf material, and </w:t>
      </w:r>
      <w:proofErr w:type="spellStart"/>
      <w:r>
        <w:rPr>
          <w:rFonts w:eastAsia="Times New Roman" w:cs="Times New Roman"/>
        </w:rPr>
        <w:t>chromomoric</w:t>
      </w:r>
      <w:proofErr w:type="spellEnd"/>
      <w:r>
        <w:rPr>
          <w:rFonts w:eastAsia="Times New Roman" w:cs="Times New Roman"/>
        </w:rPr>
        <w:t xml:space="preserve"> acid C-I, a </w:t>
      </w:r>
      <w:proofErr w:type="spellStart"/>
      <w:r>
        <w:rPr>
          <w:rFonts w:eastAsia="Times New Roman" w:cs="Times New Roman"/>
        </w:rPr>
        <w:t>phytoprostane</w:t>
      </w:r>
      <w:proofErr w:type="spellEnd"/>
      <w:r>
        <w:rPr>
          <w:rFonts w:eastAsia="Times New Roman" w:cs="Times New Roman"/>
        </w:rPr>
        <w:t xml:space="preserve"> investigated for its effects on cellular stress-response signalling. These molecules belong to different chemical and functional categories. Grouping both under an undifferentiated label of antioxidant phytochemicals would obscure their distinct experimental evidence (Heiss et al., 2014; Putri &amp; </w:t>
      </w:r>
      <w:proofErr w:type="spellStart"/>
      <w:r>
        <w:rPr>
          <w:rFonts w:eastAsia="Times New Roman" w:cs="Times New Roman"/>
        </w:rPr>
        <w:t>Fatmawati</w:t>
      </w:r>
      <w:proofErr w:type="spellEnd"/>
      <w:r>
        <w:rPr>
          <w:rFonts w:eastAsia="Times New Roman" w:cs="Times New Roman"/>
        </w:rPr>
        <w:t>, 2019).</w:t>
      </w:r>
    </w:p>
    <w:p w14:paraId="789C15CE" w14:textId="77777777" w:rsidR="00C4379F" w:rsidRDefault="00000000">
      <w:r>
        <w:rPr>
          <w:rFonts w:eastAsia="Times New Roman" w:cs="Times New Roman"/>
        </w:rPr>
        <w:t>A useful reporting hierarchy separates preliminary chemical-class screening, tentative annotation, confirmed structure and measured concentration in the final treatment. Movement along that hierarchy increases confidence in material identity but does not itself establish a mechanism of action. Even a correctly identified compound may be present below an effective concentration in a crude extract. Conversely, minor constituents or interactions among constituents may account for an effect attributed too readily to the largest chromatographic peak.</w:t>
      </w:r>
    </w:p>
    <w:p w14:paraId="16FD7ED8" w14:textId="77777777" w:rsidR="00C4379F" w:rsidRDefault="00000000">
      <w:pPr>
        <w:pStyle w:val="Heading2"/>
      </w:pPr>
      <w:r>
        <w:rPr>
          <w:rFonts w:ascii="Times New Roman" w:eastAsia="Times New Roman" w:hAnsi="Times New Roman" w:cs="Times New Roman"/>
        </w:rPr>
        <w:t>5.3 Extraction, Volatility and Formulation</w:t>
      </w:r>
    </w:p>
    <w:p w14:paraId="15F7D374" w14:textId="77777777" w:rsidR="00C4379F" w:rsidRDefault="00000000">
      <w:r>
        <w:rPr>
          <w:rFonts w:eastAsia="Times New Roman" w:cs="Times New Roman"/>
        </w:rPr>
        <w:t xml:space="preserve">Solvent extraction selects a chemical subset rather than recovering an invariant representation of the plant. Aqueous preparations, hydroalcoholic extracts, non-polar fractions and </w:t>
      </w:r>
      <w:proofErr w:type="spellStart"/>
      <w:r>
        <w:rPr>
          <w:rFonts w:eastAsia="Times New Roman" w:cs="Times New Roman"/>
        </w:rPr>
        <w:t>hydrodistilled</w:t>
      </w:r>
      <w:proofErr w:type="spellEnd"/>
      <w:r>
        <w:rPr>
          <w:rFonts w:eastAsia="Times New Roman" w:cs="Times New Roman"/>
        </w:rPr>
        <w:t xml:space="preserve"> oils differ in composition and physical behaviour. Comparisons of aqueous and methanol preparations illustrate organ- and solvent-related differences across chemical and biological assays. Such differences are not necessarily evidence of irreproducibility when the tested materials are intentionally different (Budha Magar et al., 2023).</w:t>
      </w:r>
    </w:p>
    <w:p w14:paraId="5F77B858" w14:textId="77777777" w:rsidR="00C4379F" w:rsidRDefault="00000000">
      <w:r>
        <w:rPr>
          <w:rFonts w:eastAsia="Times New Roman" w:cs="Times New Roman"/>
        </w:rPr>
        <w:t>Essential-oil research from central Vietnam adds geographical and formulation dimensions. Oils from different collections showed compositional differences, and biological responses depended on the organism and delivery system. Activity against mosquito larvae or molluscs demonstrates a potentially useful biological effect, but it also raises questions about non-target aquatic exposure. The same finding should not be described only as efficacy when the intended application could expose other organisms (Vo et al., 2025).</w:t>
      </w:r>
    </w:p>
    <w:p w14:paraId="0EE7F272" w14:textId="77777777" w:rsidR="00C4379F" w:rsidRDefault="00000000">
      <w:r>
        <w:rPr>
          <w:rFonts w:eastAsia="Times New Roman" w:cs="Times New Roman"/>
        </w:rPr>
        <w:t xml:space="preserve">Formulation deserves its own control. An emulsifier can alter wetting, dispersion and contact time; a polymer patch can alter moisture retention and exposure at a wound. Therefore, the performance of a formulated preparation must be compared with its empty vehicle, not just with water or an untreated </w:t>
      </w:r>
      <w:r>
        <w:rPr>
          <w:rFonts w:eastAsia="Times New Roman" w:cs="Times New Roman"/>
        </w:rPr>
        <w:lastRenderedPageBreak/>
        <w:t xml:space="preserve">group. Formulation is part of the intervention, and evidence about it cannot be separated from evidence about the plant-derived fraction (Abdul Latif et al., 2024; </w:t>
      </w:r>
      <w:proofErr w:type="spellStart"/>
      <w:r>
        <w:rPr>
          <w:rFonts w:eastAsia="Times New Roman" w:cs="Times New Roman"/>
        </w:rPr>
        <w:t>Poonpaiboonpipat</w:t>
      </w:r>
      <w:proofErr w:type="spellEnd"/>
      <w:r>
        <w:rPr>
          <w:rFonts w:eastAsia="Times New Roman" w:cs="Times New Roman"/>
        </w:rPr>
        <w:t xml:space="preserve"> et al., 2021).</w:t>
      </w:r>
    </w:p>
    <w:p w14:paraId="734CB728" w14:textId="77777777" w:rsidR="00C4379F" w:rsidRDefault="00000000">
      <w:r>
        <w:rPr>
          <w:rFonts w:eastAsia="Times New Roman" w:cs="Times New Roman"/>
        </w:rPr>
        <w:t>Table 2 distinguishes major chemical evidence classes and the claims they can support. The analytical priority is not the longest list of detected compounds but reliable linkage between an authenticated preparation, its relevant constituents and the biological exposure being evaluated.</w:t>
      </w:r>
    </w:p>
    <w:p w14:paraId="611B7F20" w14:textId="77777777" w:rsidR="00C4379F" w:rsidRDefault="00000000">
      <w:pPr>
        <w:keepNext/>
        <w:spacing w:before="140" w:after="40"/>
      </w:pPr>
      <w:r>
        <w:rPr>
          <w:rFonts w:eastAsia="Times New Roman" w:cs="Times New Roman"/>
          <w:b/>
          <w:sz w:val="22"/>
        </w:rPr>
        <w:t>Table 2</w:t>
      </w:r>
    </w:p>
    <w:p w14:paraId="76E8E9BB" w14:textId="77777777" w:rsidR="00C4379F" w:rsidRDefault="00000000">
      <w:pPr>
        <w:keepNext/>
      </w:pPr>
      <w:r>
        <w:rPr>
          <w:rFonts w:eastAsia="Times New Roman" w:cs="Times New Roman"/>
          <w:i/>
          <w:sz w:val="22"/>
        </w:rPr>
        <w:t>Chemical evidence and requirements for reliable attribution of biological activity</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75EB9A09" w14:textId="77777777">
        <w:trPr>
          <w:tblHeader/>
          <w:jc w:val="center"/>
        </w:trPr>
        <w:tc>
          <w:tcPr>
            <w:tcW w:w="1483" w:type="dxa"/>
            <w:shd w:val="clear" w:color="auto" w:fill="EEEEEE"/>
          </w:tcPr>
          <w:p w14:paraId="605B957B" w14:textId="77777777" w:rsidR="00C4379F" w:rsidRDefault="00000000">
            <w:pPr>
              <w:keepNext/>
              <w:spacing w:after="40" w:line="245" w:lineRule="auto"/>
            </w:pPr>
            <w:r>
              <w:rPr>
                <w:rFonts w:eastAsia="Times New Roman" w:cs="Times New Roman"/>
                <w:b/>
                <w:sz w:val="20"/>
              </w:rPr>
              <w:t>Chemical evidence</w:t>
            </w:r>
          </w:p>
        </w:tc>
        <w:tc>
          <w:tcPr>
            <w:tcW w:w="2664" w:type="dxa"/>
            <w:shd w:val="clear" w:color="auto" w:fill="EEEEEE"/>
          </w:tcPr>
          <w:p w14:paraId="348274EA" w14:textId="77777777" w:rsidR="00C4379F" w:rsidRDefault="00000000">
            <w:pPr>
              <w:keepNext/>
              <w:spacing w:after="40" w:line="245" w:lineRule="auto"/>
            </w:pPr>
            <w:r>
              <w:rPr>
                <w:rFonts w:eastAsia="Times New Roman" w:cs="Times New Roman"/>
                <w:b/>
                <w:sz w:val="20"/>
              </w:rPr>
              <w:t>Illustrative material or finding</w:t>
            </w:r>
          </w:p>
        </w:tc>
        <w:tc>
          <w:tcPr>
            <w:tcW w:w="3067" w:type="dxa"/>
            <w:shd w:val="clear" w:color="auto" w:fill="EEEEEE"/>
          </w:tcPr>
          <w:p w14:paraId="0BCBF7B3" w14:textId="77777777" w:rsidR="00C4379F" w:rsidRDefault="00000000">
            <w:pPr>
              <w:keepNext/>
              <w:spacing w:after="40" w:line="245" w:lineRule="auto"/>
            </w:pPr>
            <w:r>
              <w:rPr>
                <w:rFonts w:eastAsia="Times New Roman" w:cs="Times New Roman"/>
                <w:b/>
                <w:sz w:val="20"/>
              </w:rPr>
              <w:t>Required interpretive distinction</w:t>
            </w:r>
          </w:p>
        </w:tc>
        <w:tc>
          <w:tcPr>
            <w:tcW w:w="2146" w:type="dxa"/>
            <w:shd w:val="clear" w:color="auto" w:fill="EEEEEE"/>
          </w:tcPr>
          <w:p w14:paraId="2AEA3478" w14:textId="77777777" w:rsidR="00C4379F" w:rsidRDefault="00000000">
            <w:pPr>
              <w:keepNext/>
              <w:spacing w:after="40" w:line="245" w:lineRule="auto"/>
            </w:pPr>
            <w:r>
              <w:rPr>
                <w:rFonts w:eastAsia="Times New Roman" w:cs="Times New Roman"/>
                <w:b/>
                <w:sz w:val="20"/>
              </w:rPr>
              <w:t>Supporting references</w:t>
            </w:r>
          </w:p>
        </w:tc>
      </w:tr>
      <w:tr w:rsidR="00C4379F" w14:paraId="6128B2FC" w14:textId="77777777">
        <w:trPr>
          <w:cantSplit/>
          <w:jc w:val="center"/>
        </w:trPr>
        <w:tc>
          <w:tcPr>
            <w:tcW w:w="1483" w:type="dxa"/>
          </w:tcPr>
          <w:p w14:paraId="6A813F2E" w14:textId="77777777" w:rsidR="00C4379F" w:rsidRDefault="00000000">
            <w:pPr>
              <w:spacing w:after="20" w:line="250" w:lineRule="auto"/>
            </w:pPr>
            <w:r>
              <w:rPr>
                <w:rFonts w:eastAsia="Times New Roman" w:cs="Times New Roman"/>
                <w:sz w:val="20"/>
              </w:rPr>
              <w:t>Phenolic preparations</w:t>
            </w:r>
          </w:p>
        </w:tc>
        <w:tc>
          <w:tcPr>
            <w:tcW w:w="2664" w:type="dxa"/>
          </w:tcPr>
          <w:p w14:paraId="7B61C7E9" w14:textId="77777777" w:rsidR="00C4379F" w:rsidRDefault="00000000">
            <w:pPr>
              <w:spacing w:after="20" w:line="250" w:lineRule="auto"/>
            </w:pPr>
            <w:r>
              <w:rPr>
                <w:rFonts w:eastAsia="Times New Roman" w:cs="Times New Roman"/>
                <w:sz w:val="20"/>
              </w:rPr>
              <w:t>Phenolic fractions investigated in skin-cell oxidative-stress assays.</w:t>
            </w:r>
          </w:p>
        </w:tc>
        <w:tc>
          <w:tcPr>
            <w:tcW w:w="3067" w:type="dxa"/>
          </w:tcPr>
          <w:p w14:paraId="713F2DAD" w14:textId="77777777" w:rsidR="00C4379F" w:rsidRDefault="00000000">
            <w:pPr>
              <w:spacing w:after="20" w:line="250" w:lineRule="auto"/>
            </w:pPr>
            <w:r>
              <w:rPr>
                <w:rFonts w:eastAsia="Times New Roman" w:cs="Times New Roman"/>
                <w:sz w:val="20"/>
              </w:rPr>
              <w:t>Activity of a fraction does not identify a single causal constituent.</w:t>
            </w:r>
          </w:p>
        </w:tc>
        <w:tc>
          <w:tcPr>
            <w:tcW w:w="2146" w:type="dxa"/>
          </w:tcPr>
          <w:p w14:paraId="1FC845C1" w14:textId="77777777" w:rsidR="00C4379F" w:rsidRDefault="00000000">
            <w:pPr>
              <w:spacing w:after="20" w:line="250" w:lineRule="auto"/>
            </w:pPr>
            <w:r>
              <w:rPr>
                <w:rFonts w:eastAsia="Times New Roman" w:cs="Times New Roman"/>
                <w:sz w:val="20"/>
              </w:rPr>
              <w:t>(Phan et al., 2001)</w:t>
            </w:r>
          </w:p>
        </w:tc>
      </w:tr>
      <w:tr w:rsidR="00C4379F" w14:paraId="0A671BB3" w14:textId="77777777">
        <w:trPr>
          <w:cantSplit/>
          <w:jc w:val="center"/>
        </w:trPr>
        <w:tc>
          <w:tcPr>
            <w:tcW w:w="1483" w:type="dxa"/>
          </w:tcPr>
          <w:p w14:paraId="71675E63" w14:textId="77777777" w:rsidR="00C4379F" w:rsidRDefault="00000000">
            <w:pPr>
              <w:spacing w:after="20" w:line="250" w:lineRule="auto"/>
            </w:pPr>
            <w:r>
              <w:rPr>
                <w:rFonts w:eastAsia="Times New Roman" w:cs="Times New Roman"/>
                <w:sz w:val="20"/>
              </w:rPr>
              <w:t>Isolated flavonoids</w:t>
            </w:r>
          </w:p>
        </w:tc>
        <w:tc>
          <w:tcPr>
            <w:tcW w:w="2664" w:type="dxa"/>
          </w:tcPr>
          <w:p w14:paraId="259CEAF0" w14:textId="77777777" w:rsidR="00C4379F" w:rsidRDefault="00000000">
            <w:pPr>
              <w:spacing w:after="20" w:line="250" w:lineRule="auto"/>
            </w:pPr>
            <w:proofErr w:type="spellStart"/>
            <w:r>
              <w:rPr>
                <w:rFonts w:eastAsia="Times New Roman" w:cs="Times New Roman"/>
                <w:sz w:val="20"/>
              </w:rPr>
              <w:t>Odoratenin</w:t>
            </w:r>
            <w:proofErr w:type="spellEnd"/>
            <w:r>
              <w:rPr>
                <w:rFonts w:eastAsia="Times New Roman" w:cs="Times New Roman"/>
                <w:sz w:val="20"/>
              </w:rPr>
              <w:t xml:space="preserve"> and flavonoids investigated for antimicrobial or cytotoxic activity.</w:t>
            </w:r>
          </w:p>
        </w:tc>
        <w:tc>
          <w:tcPr>
            <w:tcW w:w="3067" w:type="dxa"/>
          </w:tcPr>
          <w:p w14:paraId="0FEDAD1E" w14:textId="77777777" w:rsidR="00C4379F" w:rsidRDefault="00000000">
            <w:pPr>
              <w:spacing w:after="20" w:line="250" w:lineRule="auto"/>
            </w:pPr>
            <w:r>
              <w:rPr>
                <w:rFonts w:eastAsia="Times New Roman" w:cs="Times New Roman"/>
                <w:sz w:val="20"/>
              </w:rPr>
              <w:t>Confirmed structure differs from effective concentration in an unstandardised extract.</w:t>
            </w:r>
          </w:p>
        </w:tc>
        <w:tc>
          <w:tcPr>
            <w:tcW w:w="2146" w:type="dxa"/>
          </w:tcPr>
          <w:p w14:paraId="2C1706A8" w14:textId="77777777" w:rsidR="00C4379F" w:rsidRDefault="00000000">
            <w:pPr>
              <w:spacing w:after="20" w:line="250" w:lineRule="auto"/>
            </w:pPr>
            <w:r>
              <w:rPr>
                <w:rFonts w:eastAsia="Times New Roman" w:cs="Times New Roman"/>
                <w:sz w:val="20"/>
              </w:rPr>
              <w:t xml:space="preserve">(Nath et al., 2015; </w:t>
            </w:r>
            <w:proofErr w:type="spellStart"/>
            <w:r>
              <w:rPr>
                <w:rFonts w:eastAsia="Times New Roman" w:cs="Times New Roman"/>
                <w:sz w:val="20"/>
              </w:rPr>
              <w:t>Omokhua-Uyi</w:t>
            </w:r>
            <w:proofErr w:type="spellEnd"/>
            <w:r>
              <w:rPr>
                <w:rFonts w:eastAsia="Times New Roman" w:cs="Times New Roman"/>
                <w:sz w:val="20"/>
              </w:rPr>
              <w:t xml:space="preserve"> et al., 2020; Putri &amp; </w:t>
            </w:r>
            <w:proofErr w:type="spellStart"/>
            <w:r>
              <w:rPr>
                <w:rFonts w:eastAsia="Times New Roman" w:cs="Times New Roman"/>
                <w:sz w:val="20"/>
              </w:rPr>
              <w:t>Fatmawati</w:t>
            </w:r>
            <w:proofErr w:type="spellEnd"/>
            <w:r>
              <w:rPr>
                <w:rFonts w:eastAsia="Times New Roman" w:cs="Times New Roman"/>
                <w:sz w:val="20"/>
              </w:rPr>
              <w:t>, 2019)</w:t>
            </w:r>
          </w:p>
        </w:tc>
      </w:tr>
      <w:tr w:rsidR="00C4379F" w14:paraId="5215DAE4" w14:textId="77777777">
        <w:trPr>
          <w:cantSplit/>
          <w:jc w:val="center"/>
        </w:trPr>
        <w:tc>
          <w:tcPr>
            <w:tcW w:w="1483" w:type="dxa"/>
          </w:tcPr>
          <w:p w14:paraId="309E4C23" w14:textId="77777777" w:rsidR="00C4379F" w:rsidRDefault="00000000">
            <w:pPr>
              <w:spacing w:after="20" w:line="250" w:lineRule="auto"/>
            </w:pPr>
            <w:proofErr w:type="spellStart"/>
            <w:r>
              <w:rPr>
                <w:rFonts w:eastAsia="Times New Roman" w:cs="Times New Roman"/>
                <w:sz w:val="20"/>
              </w:rPr>
              <w:t>Phytoprostane</w:t>
            </w:r>
            <w:proofErr w:type="spellEnd"/>
          </w:p>
        </w:tc>
        <w:tc>
          <w:tcPr>
            <w:tcW w:w="2664" w:type="dxa"/>
          </w:tcPr>
          <w:p w14:paraId="43DBB7B3" w14:textId="77777777" w:rsidR="00C4379F" w:rsidRDefault="00000000">
            <w:pPr>
              <w:spacing w:after="20" w:line="250" w:lineRule="auto"/>
            </w:pPr>
            <w:proofErr w:type="spellStart"/>
            <w:r>
              <w:rPr>
                <w:rFonts w:eastAsia="Times New Roman" w:cs="Times New Roman"/>
                <w:sz w:val="20"/>
              </w:rPr>
              <w:t>Chromomoric</w:t>
            </w:r>
            <w:proofErr w:type="spellEnd"/>
            <w:r>
              <w:rPr>
                <w:rFonts w:eastAsia="Times New Roman" w:cs="Times New Roman"/>
                <w:sz w:val="20"/>
              </w:rPr>
              <w:t xml:space="preserve"> acid C-I studied through cellular stress-response signalling.</w:t>
            </w:r>
          </w:p>
        </w:tc>
        <w:tc>
          <w:tcPr>
            <w:tcW w:w="3067" w:type="dxa"/>
          </w:tcPr>
          <w:p w14:paraId="5F2337D3" w14:textId="77777777" w:rsidR="00C4379F" w:rsidRDefault="00000000">
            <w:pPr>
              <w:spacing w:after="20" w:line="250" w:lineRule="auto"/>
            </w:pPr>
            <w:r>
              <w:rPr>
                <w:rFonts w:eastAsia="Times New Roman" w:cs="Times New Roman"/>
                <w:sz w:val="20"/>
              </w:rPr>
              <w:t>Pathway engagement is stronger than chemical scavenging alone, but remains preclinical.</w:t>
            </w:r>
          </w:p>
        </w:tc>
        <w:tc>
          <w:tcPr>
            <w:tcW w:w="2146" w:type="dxa"/>
          </w:tcPr>
          <w:p w14:paraId="652185C6" w14:textId="77777777" w:rsidR="00C4379F" w:rsidRDefault="00000000">
            <w:pPr>
              <w:spacing w:after="20" w:line="250" w:lineRule="auto"/>
            </w:pPr>
            <w:r>
              <w:rPr>
                <w:rFonts w:eastAsia="Times New Roman" w:cs="Times New Roman"/>
                <w:sz w:val="20"/>
              </w:rPr>
              <w:t>(Heiss et al., 2014)</w:t>
            </w:r>
          </w:p>
        </w:tc>
      </w:tr>
      <w:tr w:rsidR="00C4379F" w14:paraId="722AD563" w14:textId="77777777">
        <w:trPr>
          <w:cantSplit/>
          <w:jc w:val="center"/>
        </w:trPr>
        <w:tc>
          <w:tcPr>
            <w:tcW w:w="1483" w:type="dxa"/>
          </w:tcPr>
          <w:p w14:paraId="2B7B2E20" w14:textId="77777777" w:rsidR="00C4379F" w:rsidRDefault="00000000">
            <w:pPr>
              <w:spacing w:after="20" w:line="250" w:lineRule="auto"/>
            </w:pPr>
            <w:r>
              <w:rPr>
                <w:rFonts w:eastAsia="Times New Roman" w:cs="Times New Roman"/>
                <w:sz w:val="20"/>
              </w:rPr>
              <w:t>Alkaloid N-oxides</w:t>
            </w:r>
          </w:p>
        </w:tc>
        <w:tc>
          <w:tcPr>
            <w:tcW w:w="2664" w:type="dxa"/>
          </w:tcPr>
          <w:p w14:paraId="2FA55E8A" w14:textId="77777777" w:rsidR="00C4379F" w:rsidRDefault="00000000">
            <w:pPr>
              <w:spacing w:after="20" w:line="250" w:lineRule="auto"/>
            </w:pPr>
            <w:r>
              <w:rPr>
                <w:rFonts w:eastAsia="Times New Roman" w:cs="Times New Roman"/>
                <w:sz w:val="20"/>
              </w:rPr>
              <w:t>Organ-resolved pyrrolizidine-alkaloid profiles.</w:t>
            </w:r>
          </w:p>
        </w:tc>
        <w:tc>
          <w:tcPr>
            <w:tcW w:w="3067" w:type="dxa"/>
          </w:tcPr>
          <w:p w14:paraId="76289099" w14:textId="77777777" w:rsidR="00C4379F" w:rsidRDefault="00000000">
            <w:pPr>
              <w:spacing w:after="20" w:line="250" w:lineRule="auto"/>
            </w:pPr>
            <w:r>
              <w:rPr>
                <w:rFonts w:eastAsia="Times New Roman" w:cs="Times New Roman"/>
                <w:sz w:val="20"/>
              </w:rPr>
              <w:t>Species-level hazard and measured batch exposure are different questions.</w:t>
            </w:r>
          </w:p>
        </w:tc>
        <w:tc>
          <w:tcPr>
            <w:tcW w:w="2146" w:type="dxa"/>
          </w:tcPr>
          <w:p w14:paraId="0D402DD4" w14:textId="77777777" w:rsidR="00C4379F" w:rsidRDefault="00000000">
            <w:pPr>
              <w:spacing w:after="20" w:line="250" w:lineRule="auto"/>
            </w:pPr>
            <w:r>
              <w:rPr>
                <w:rFonts w:eastAsia="Times New Roman" w:cs="Times New Roman"/>
                <w:sz w:val="20"/>
              </w:rPr>
              <w:t>(Biller et al., 1994; Moreira et al., 2018)</w:t>
            </w:r>
          </w:p>
        </w:tc>
      </w:tr>
      <w:tr w:rsidR="00C4379F" w14:paraId="0C211016" w14:textId="77777777">
        <w:trPr>
          <w:cantSplit/>
          <w:jc w:val="center"/>
        </w:trPr>
        <w:tc>
          <w:tcPr>
            <w:tcW w:w="1483" w:type="dxa"/>
          </w:tcPr>
          <w:p w14:paraId="704919B8" w14:textId="77777777" w:rsidR="00C4379F" w:rsidRDefault="00000000">
            <w:pPr>
              <w:spacing w:after="20" w:line="250" w:lineRule="auto"/>
            </w:pPr>
            <w:r>
              <w:rPr>
                <w:rFonts w:eastAsia="Times New Roman" w:cs="Times New Roman"/>
                <w:sz w:val="20"/>
              </w:rPr>
              <w:t>Essential oils</w:t>
            </w:r>
          </w:p>
        </w:tc>
        <w:tc>
          <w:tcPr>
            <w:tcW w:w="2664" w:type="dxa"/>
          </w:tcPr>
          <w:p w14:paraId="3F6C9145" w14:textId="77777777" w:rsidR="00C4379F" w:rsidRDefault="00000000">
            <w:pPr>
              <w:spacing w:after="20" w:line="250" w:lineRule="auto"/>
            </w:pPr>
            <w:r>
              <w:rPr>
                <w:rFonts w:eastAsia="Times New Roman" w:cs="Times New Roman"/>
                <w:sz w:val="20"/>
              </w:rPr>
              <w:t>Collection- and formulation-dependent volatile preparations.</w:t>
            </w:r>
          </w:p>
        </w:tc>
        <w:tc>
          <w:tcPr>
            <w:tcW w:w="3067" w:type="dxa"/>
          </w:tcPr>
          <w:p w14:paraId="430DCD6C" w14:textId="77777777" w:rsidR="00C4379F" w:rsidRDefault="00000000">
            <w:pPr>
              <w:spacing w:after="20" w:line="250" w:lineRule="auto"/>
            </w:pPr>
            <w:r>
              <w:rPr>
                <w:rFonts w:eastAsia="Times New Roman" w:cs="Times New Roman"/>
                <w:sz w:val="20"/>
              </w:rPr>
              <w:t>An oil, a microemulsion and an aqueous extract are different interventions.</w:t>
            </w:r>
          </w:p>
        </w:tc>
        <w:tc>
          <w:tcPr>
            <w:tcW w:w="2146" w:type="dxa"/>
          </w:tcPr>
          <w:p w14:paraId="038E7B69" w14:textId="77777777" w:rsidR="00C4379F" w:rsidRDefault="00000000">
            <w:pPr>
              <w:spacing w:after="20" w:line="250" w:lineRule="auto"/>
            </w:pPr>
            <w:r>
              <w:rPr>
                <w:rFonts w:eastAsia="Times New Roman" w:cs="Times New Roman"/>
                <w:sz w:val="20"/>
              </w:rPr>
              <w:t>(Vo et al., 2025)</w:t>
            </w:r>
          </w:p>
        </w:tc>
      </w:tr>
      <w:tr w:rsidR="00C4379F" w14:paraId="2A5BC83F" w14:textId="77777777">
        <w:trPr>
          <w:cantSplit/>
          <w:jc w:val="center"/>
        </w:trPr>
        <w:tc>
          <w:tcPr>
            <w:tcW w:w="1483" w:type="dxa"/>
          </w:tcPr>
          <w:p w14:paraId="6B72E485" w14:textId="77777777" w:rsidR="00C4379F" w:rsidRDefault="00000000">
            <w:pPr>
              <w:keepNext/>
              <w:spacing w:after="20" w:line="250" w:lineRule="auto"/>
            </w:pPr>
            <w:r>
              <w:rPr>
                <w:rFonts w:eastAsia="Times New Roman" w:cs="Times New Roman"/>
                <w:sz w:val="20"/>
              </w:rPr>
              <w:t>Chemical profiling</w:t>
            </w:r>
          </w:p>
        </w:tc>
        <w:tc>
          <w:tcPr>
            <w:tcW w:w="2664" w:type="dxa"/>
          </w:tcPr>
          <w:p w14:paraId="31B5BBED" w14:textId="77777777" w:rsidR="00C4379F" w:rsidRDefault="00000000">
            <w:pPr>
              <w:keepNext/>
              <w:spacing w:after="20" w:line="250" w:lineRule="auto"/>
            </w:pPr>
            <w:r>
              <w:rPr>
                <w:rFonts w:eastAsia="Times New Roman" w:cs="Times New Roman"/>
                <w:sz w:val="20"/>
              </w:rPr>
              <w:t>Organ and solvent comparisons linked to several biological assays.</w:t>
            </w:r>
          </w:p>
        </w:tc>
        <w:tc>
          <w:tcPr>
            <w:tcW w:w="3067" w:type="dxa"/>
          </w:tcPr>
          <w:p w14:paraId="23F74572" w14:textId="77777777" w:rsidR="00C4379F" w:rsidRDefault="00000000">
            <w:pPr>
              <w:keepNext/>
              <w:spacing w:after="20" w:line="250" w:lineRule="auto"/>
            </w:pPr>
            <w:r>
              <w:rPr>
                <w:rFonts w:eastAsia="Times New Roman" w:cs="Times New Roman"/>
                <w:sz w:val="20"/>
              </w:rPr>
              <w:t>Tentative annotation and correlated features do not establish a causal active molecule.</w:t>
            </w:r>
          </w:p>
        </w:tc>
        <w:tc>
          <w:tcPr>
            <w:tcW w:w="2146" w:type="dxa"/>
          </w:tcPr>
          <w:p w14:paraId="602FF1CA" w14:textId="77777777" w:rsidR="00C4379F" w:rsidRDefault="00000000">
            <w:pPr>
              <w:keepNext/>
              <w:spacing w:after="20" w:line="250" w:lineRule="auto"/>
            </w:pPr>
            <w:r>
              <w:rPr>
                <w:rFonts w:eastAsia="Times New Roman" w:cs="Times New Roman"/>
                <w:sz w:val="20"/>
              </w:rPr>
              <w:t xml:space="preserve">(Budha Magar et al., 2023; </w:t>
            </w:r>
            <w:proofErr w:type="spellStart"/>
            <w:r>
              <w:rPr>
                <w:rFonts w:eastAsia="Times New Roman" w:cs="Times New Roman"/>
                <w:sz w:val="20"/>
              </w:rPr>
              <w:t>Indrianingsih</w:t>
            </w:r>
            <w:proofErr w:type="spellEnd"/>
            <w:r>
              <w:rPr>
                <w:rFonts w:eastAsia="Times New Roman" w:cs="Times New Roman"/>
                <w:sz w:val="20"/>
              </w:rPr>
              <w:t xml:space="preserve"> et al., 2025)</w:t>
            </w:r>
          </w:p>
        </w:tc>
      </w:tr>
    </w:tbl>
    <w:p w14:paraId="1E1DE803" w14:textId="77777777" w:rsidR="00C4379F" w:rsidRDefault="00000000">
      <w:pPr>
        <w:spacing w:before="80" w:after="180" w:line="252" w:lineRule="auto"/>
      </w:pPr>
      <w:r>
        <w:rPr>
          <w:rFonts w:eastAsia="Times New Roman" w:cs="Times New Roman"/>
          <w:i/>
          <w:sz w:val="19"/>
        </w:rPr>
        <w:t xml:space="preserve">Note. </w:t>
      </w:r>
      <w:r>
        <w:rPr>
          <w:rFonts w:eastAsia="Times New Roman" w:cs="Times New Roman"/>
          <w:sz w:val="19"/>
        </w:rPr>
        <w:t>Chemical examples illustrate evidential distinctions and do not constitute a complete metabolite catalogue. Preclinical denotes evidence preceding demonstrated clinical effectiveness.</w:t>
      </w:r>
    </w:p>
    <w:p w14:paraId="7C5A8DBB" w14:textId="77777777" w:rsidR="00C4379F" w:rsidRDefault="00000000">
      <w:pPr>
        <w:pStyle w:val="Heading1"/>
      </w:pPr>
      <w:r>
        <w:rPr>
          <w:rFonts w:ascii="Times New Roman" w:eastAsia="Times New Roman" w:hAnsi="Times New Roman" w:cs="Times New Roman"/>
        </w:rPr>
        <w:t>6. Biological Activities and the Strength of Translational Evidence</w:t>
      </w:r>
    </w:p>
    <w:p w14:paraId="38FC4C8D" w14:textId="77777777" w:rsidR="00C4379F" w:rsidRDefault="00000000">
      <w:pPr>
        <w:pStyle w:val="Heading2"/>
      </w:pPr>
      <w:r>
        <w:rPr>
          <w:rFonts w:ascii="Times New Roman" w:eastAsia="Times New Roman" w:hAnsi="Times New Roman" w:cs="Times New Roman"/>
        </w:rPr>
        <w:t>6.1 Antioxidant Reactions and Cellular Mechanisms</w:t>
      </w:r>
    </w:p>
    <w:p w14:paraId="42117C63" w14:textId="77777777" w:rsidR="00C4379F" w:rsidRDefault="00000000">
      <w:r>
        <w:rPr>
          <w:rFonts w:eastAsia="Times New Roman" w:cs="Times New Roman"/>
        </w:rPr>
        <w:t xml:space="preserve">The term antioxidant spans chemically and biologically different observations. Radical-scavenging assays measure a reaction under specified solvent and substrate conditions. They do not establish absorption, distribution, persistence or benefit in a living organism. The isolation of </w:t>
      </w:r>
      <w:proofErr w:type="spellStart"/>
      <w:r>
        <w:rPr>
          <w:rFonts w:eastAsia="Times New Roman" w:cs="Times New Roman"/>
        </w:rPr>
        <w:t>odoratenin</w:t>
      </w:r>
      <w:proofErr w:type="spellEnd"/>
      <w:r>
        <w:rPr>
          <w:rFonts w:eastAsia="Times New Roman" w:cs="Times New Roman"/>
        </w:rPr>
        <w:t xml:space="preserve"> with activity in chemical assays is valuable for structure-activity research, but comparative potency against a reference antioxidant in one reaction cannot be translated into superiority as a therapeutic intervention (Putri &amp; </w:t>
      </w:r>
      <w:proofErr w:type="spellStart"/>
      <w:r>
        <w:rPr>
          <w:rFonts w:eastAsia="Times New Roman" w:cs="Times New Roman"/>
        </w:rPr>
        <w:t>Fatmawati</w:t>
      </w:r>
      <w:proofErr w:type="spellEnd"/>
      <w:r>
        <w:rPr>
          <w:rFonts w:eastAsia="Times New Roman" w:cs="Times New Roman"/>
        </w:rPr>
        <w:t>, 2019).</w:t>
      </w:r>
    </w:p>
    <w:p w14:paraId="33DDC087" w14:textId="77777777" w:rsidR="00C4379F" w:rsidRDefault="00000000">
      <w:r>
        <w:rPr>
          <w:rFonts w:eastAsia="Times New Roman" w:cs="Times New Roman"/>
        </w:rPr>
        <w:t xml:space="preserve">Cell-based studies provide a closer connection to biological function. Phenolic preparations of </w:t>
      </w:r>
      <w:r>
        <w:rPr>
          <w:rFonts w:eastAsia="Times New Roman" w:cs="Times New Roman"/>
          <w:i/>
        </w:rPr>
        <w:t>C. odorata</w:t>
      </w:r>
      <w:r>
        <w:rPr>
          <w:rFonts w:eastAsia="Times New Roman" w:cs="Times New Roman"/>
        </w:rPr>
        <w:t xml:space="preserve"> protected cultured skin cells against experimentally induced oxidative damage. Such results support a plausible contribution to tissue protection, while remaining conditional on the cell system </w:t>
      </w:r>
      <w:r>
        <w:rPr>
          <w:rFonts w:eastAsia="Times New Roman" w:cs="Times New Roman"/>
        </w:rPr>
        <w:lastRenderedPageBreak/>
        <w:t>and exposure used. They do not show that an unstandardised fresh-leaf treatment will reproduce the same exposure or clinical outcome (Phan et al., 2001).</w:t>
      </w:r>
    </w:p>
    <w:p w14:paraId="5D2FB75C" w14:textId="77777777" w:rsidR="00C4379F" w:rsidRDefault="00000000">
      <w:r>
        <w:rPr>
          <w:rFonts w:eastAsia="Times New Roman" w:cs="Times New Roman"/>
        </w:rPr>
        <w:t xml:space="preserve">Mechanistic work on </w:t>
      </w:r>
      <w:proofErr w:type="spellStart"/>
      <w:r>
        <w:rPr>
          <w:rFonts w:eastAsia="Times New Roman" w:cs="Times New Roman"/>
        </w:rPr>
        <w:t>chromomoric</w:t>
      </w:r>
      <w:proofErr w:type="spellEnd"/>
      <w:r>
        <w:rPr>
          <w:rFonts w:eastAsia="Times New Roman" w:cs="Times New Roman"/>
        </w:rPr>
        <w:t xml:space="preserve"> acid C-I offers a further step beyond chemical scavenging. The compound activated nuclear factor erythroid 2-related factor 2 and induced haem oxygenase-1 in cellular experiments; intervention in that pathway helped interpret associated effects on cell proliferation. This is stronger evidence of a biological pathway than assigning an antioxidant mechanism from a colour change alone. Nevertheless, pathway engagement in cultured cells remains distinct from efficacy and tolerability in patients (Heiss et al., 2014).</w:t>
      </w:r>
    </w:p>
    <w:p w14:paraId="0A9A26BB" w14:textId="77777777" w:rsidR="00C4379F" w:rsidRDefault="00000000">
      <w:r>
        <w:rPr>
          <w:rFonts w:eastAsia="Times New Roman" w:cs="Times New Roman"/>
        </w:rPr>
        <w:t>A defensible interpretation thus treats biochemical screening as a discovery filter, cellular rescue as a test of biological plausibility and mechanistic perturbation as evidence about causal pathways. None removes the need to establish exposure at the target tissue. Studies that use multiple independent endpoints, exclude direct interference with the detection method and relate activity to chemically measured concentrations would make comparisons substantially more informative.</w:t>
      </w:r>
    </w:p>
    <w:p w14:paraId="56CC9366" w14:textId="77777777" w:rsidR="00C4379F" w:rsidRDefault="00000000">
      <w:pPr>
        <w:pStyle w:val="Heading2"/>
      </w:pPr>
      <w:r>
        <w:rPr>
          <w:rFonts w:ascii="Times New Roman" w:eastAsia="Times New Roman" w:hAnsi="Times New Roman" w:cs="Times New Roman"/>
        </w:rPr>
        <w:t>6.2 Antibacterial and Antimycobacterial Findings</w:t>
      </w:r>
    </w:p>
    <w:p w14:paraId="013F8421" w14:textId="77777777" w:rsidR="00C4379F" w:rsidRDefault="00000000">
      <w:r>
        <w:rPr>
          <w:rFonts w:eastAsia="Times New Roman" w:cs="Times New Roman"/>
        </w:rPr>
        <w:t xml:space="preserve">Research on isolated South African flavonoids has moved beyond crude-extract inhibition zones. Activity against </w:t>
      </w:r>
      <w:proofErr w:type="spellStart"/>
      <w:r>
        <w:rPr>
          <w:rFonts w:eastAsia="Times New Roman" w:cs="Times New Roman"/>
        </w:rPr>
        <w:t>uropathogens</w:t>
      </w:r>
      <w:proofErr w:type="spellEnd"/>
      <w:r>
        <w:rPr>
          <w:rFonts w:eastAsia="Times New Roman" w:cs="Times New Roman"/>
        </w:rPr>
        <w:t xml:space="preserve"> was investigated alongside biofilm-related endpoints and mammalian-cell cytotoxicity, permitting some assessment of selectivity. The active concentration ranges nevertheless varied by organism and endpoint. Reduced microbial growth, inhibition of metabolic activity within a biofilm and prevention of initial attachment describe different actions and should not be combined as a single claim of biofilm eradication (</w:t>
      </w:r>
      <w:proofErr w:type="spellStart"/>
      <w:r>
        <w:rPr>
          <w:rFonts w:eastAsia="Times New Roman" w:cs="Times New Roman"/>
        </w:rPr>
        <w:t>Omokhua-Uyi</w:t>
      </w:r>
      <w:proofErr w:type="spellEnd"/>
      <w:r>
        <w:rPr>
          <w:rFonts w:eastAsia="Times New Roman" w:cs="Times New Roman"/>
        </w:rPr>
        <w:t xml:space="preserve"> et al., 2020).</w:t>
      </w:r>
    </w:p>
    <w:p w14:paraId="7CBC91D1" w14:textId="77777777" w:rsidR="00C4379F" w:rsidRDefault="00000000">
      <w:r>
        <w:rPr>
          <w:rFonts w:eastAsia="Times New Roman" w:cs="Times New Roman"/>
        </w:rPr>
        <w:t>Flavonoid studies involving mycobacteria also provide identifiable chemical leads. Tests against pathogenic and non-pathogenic strains, together with cytotoxicity assessment, are more relevant to drug discovery than an isolated screening result. They still leave unresolved whether active concentrations can be achieved safely at an infected site, whether intracellular organisms are affected and whether a compound behaves favourably in combination with established therapy (</w:t>
      </w:r>
      <w:proofErr w:type="spellStart"/>
      <w:r>
        <w:rPr>
          <w:rFonts w:eastAsia="Times New Roman" w:cs="Times New Roman"/>
        </w:rPr>
        <w:t>Omokhua-Uyi</w:t>
      </w:r>
      <w:proofErr w:type="spellEnd"/>
      <w:r>
        <w:rPr>
          <w:rFonts w:eastAsia="Times New Roman" w:cs="Times New Roman"/>
        </w:rPr>
        <w:t xml:space="preserve"> et al., 2023).</w:t>
      </w:r>
    </w:p>
    <w:p w14:paraId="69330918" w14:textId="77777777" w:rsidR="00C4379F" w:rsidRDefault="00000000">
      <w:r>
        <w:rPr>
          <w:rFonts w:eastAsia="Times New Roman" w:cs="Times New Roman"/>
        </w:rPr>
        <w:t>Recent root-extract research combines antimicrobial testing with computational assessment. Such combinations can help prioritise hypotheses, but a predicted binding pose or favourable physicochemical descriptor is not experimental evidence of target engagement, oral availability or clinical safety. A molecular interaction becomes more persuasive when biochemical inhibition, microbial susceptibility and resistance or rescue experiments agree. Docking should therefore remain a hypothesis-generating component rather than the explanatory endpoint of an otherwise phenotypic assay (Mohanty et al., 2026).</w:t>
      </w:r>
    </w:p>
    <w:p w14:paraId="65F0C0FF" w14:textId="77777777" w:rsidR="00C4379F" w:rsidRDefault="00000000">
      <w:r>
        <w:rPr>
          <w:rFonts w:eastAsia="Times New Roman" w:cs="Times New Roman"/>
        </w:rPr>
        <w:t>Cross-study comparisons require attention to inoculum, medium, extraction yield, exposure time and the expression of concentration. Milligrams of crude extract per millilitre are not equivalent to milligrams of starting plant material, and neither can be compared directly with the molar concentration of a purified constituent. These distinctions affect both apparent potency and feasibility. An extract may inhibit a pathogen in vitro yet require an impractical quantity of biomass or an unacceptable solvent process for agricultural or pharmaceutical production.</w:t>
      </w:r>
    </w:p>
    <w:p w14:paraId="6028EA53" w14:textId="77777777" w:rsidR="00C4379F" w:rsidRDefault="00000000">
      <w:pPr>
        <w:pStyle w:val="Heading2"/>
      </w:pPr>
      <w:r>
        <w:rPr>
          <w:rFonts w:ascii="Times New Roman" w:eastAsia="Times New Roman" w:hAnsi="Times New Roman" w:cs="Times New Roman"/>
        </w:rPr>
        <w:lastRenderedPageBreak/>
        <w:t>6.3 Wound Healing, Haemostasis and Formulated Delivery</w:t>
      </w:r>
    </w:p>
    <w:p w14:paraId="1CB25D61" w14:textId="77777777" w:rsidR="00C4379F" w:rsidRDefault="00000000">
      <w:r>
        <w:rPr>
          <w:rFonts w:eastAsia="Times New Roman" w:cs="Times New Roman"/>
        </w:rPr>
        <w:t>Wound-related evidence is among the more developed translational strands, because it includes chemical, cellular and animal observations. A leaf-containing nitrile-rubber patch was tested in an animal wound model against relevant comparators, including a blank patch. Wound contraction and tissue-related measurements favoured the plant-containing preparation under the experimental conditions. The formulation and comparator design are important strengths because occlusion and the polymer itself can influence the wound environment (Abdul Latif et al., 2024).</w:t>
      </w:r>
    </w:p>
    <w:p w14:paraId="01B502F2" w14:textId="77777777" w:rsidR="00C4379F" w:rsidRDefault="00000000">
      <w:r>
        <w:rPr>
          <w:rFonts w:eastAsia="Times New Roman" w:cs="Times New Roman"/>
        </w:rPr>
        <w:t>The remaining uncertainty concerns the endpoint and the target population. Animal wound contraction is not identical to complete repair of a human chronic wound, and improvement in a short-duration excision model does not resolve infection, scarring, sensitisation or delayed adverse effects. Where several wounds are assessed within one animal, analysis should respect the shared biological environment rather than assume that every wound is an independent animal-level observation. These are design requirements for the next stage of development, not grounds for dismissing the observed response.</w:t>
      </w:r>
    </w:p>
    <w:p w14:paraId="183EB3F1" w14:textId="77777777" w:rsidR="00C4379F" w:rsidRDefault="00000000">
      <w:r>
        <w:rPr>
          <w:rFonts w:eastAsia="Times New Roman" w:cs="Times New Roman"/>
        </w:rPr>
        <w:t>Traditional use for bleeding or wound care should also be separated from direct evidence about haemostasis. Faster wound closure does not demonstrate accelerated coagulation, platelet activation or reduced clinically important bleeding. The review literature describes a broad range of ethnobotanical and pharmacological claims, but each proposed indication requires its own endpoint and safety assessment. The strongest defensible conclusion from the evidence considered here is preclinical support for selected wound-related mechanisms and formulations, not clinical endorsement of raw plant material (Paul et al., 2026; Phan et al., 2001).</w:t>
      </w:r>
    </w:p>
    <w:p w14:paraId="3889D69B" w14:textId="77777777" w:rsidR="00C4379F" w:rsidRDefault="00000000">
      <w:pPr>
        <w:pStyle w:val="Heading2"/>
      </w:pPr>
      <w:r>
        <w:rPr>
          <w:rFonts w:ascii="Times New Roman" w:eastAsia="Times New Roman" w:hAnsi="Times New Roman" w:cs="Times New Roman"/>
        </w:rPr>
        <w:t>6.4 Metabolic, Cytotoxic and Other Biological Claims</w:t>
      </w:r>
    </w:p>
    <w:p w14:paraId="1AFACFAD" w14:textId="77777777" w:rsidR="00C4379F" w:rsidRDefault="00000000">
      <w:r>
        <w:rPr>
          <w:rFonts w:eastAsia="Times New Roman" w:cs="Times New Roman"/>
        </w:rPr>
        <w:t>Enzyme inhibition and animal metabolic outcomes occupy different positions in the evidence chain. Leaf and stem extracts have been investigated for α-glucosidase inhibition, while a methanol root extract was evaluated in alloxan-induced diabetic rats with metabolic and organ-related measurements. The latter extends beyond an isolated enzyme assay but remains tied to a chemically induced animal model and to a specific preparation (</w:t>
      </w:r>
      <w:proofErr w:type="spellStart"/>
      <w:r>
        <w:rPr>
          <w:rFonts w:eastAsia="Times New Roman" w:cs="Times New Roman"/>
        </w:rPr>
        <w:t>Indrianingsih</w:t>
      </w:r>
      <w:proofErr w:type="spellEnd"/>
      <w:r>
        <w:rPr>
          <w:rFonts w:eastAsia="Times New Roman" w:cs="Times New Roman"/>
        </w:rPr>
        <w:t xml:space="preserve"> et al., 2025; </w:t>
      </w:r>
      <w:proofErr w:type="spellStart"/>
      <w:r>
        <w:rPr>
          <w:rFonts w:eastAsia="Times New Roman" w:cs="Times New Roman"/>
        </w:rPr>
        <w:t>Omonije</w:t>
      </w:r>
      <w:proofErr w:type="spellEnd"/>
      <w:r>
        <w:rPr>
          <w:rFonts w:eastAsia="Times New Roman" w:cs="Times New Roman"/>
        </w:rPr>
        <w:t xml:space="preserve"> et al., 2019).</w:t>
      </w:r>
    </w:p>
    <w:p w14:paraId="22FDF1BF" w14:textId="77777777" w:rsidR="00C4379F" w:rsidRDefault="00000000">
      <w:r>
        <w:rPr>
          <w:rFonts w:eastAsia="Times New Roman" w:cs="Times New Roman"/>
        </w:rPr>
        <w:t>A reduction in a biochemical marker cannot by itself establish a safe, sustained treatment effect in a heterogeneous human population. Root preparations deserve particularly careful characterisation because pharmacological benefit and chemical hazard can coexist. Future studies should separate improved disease-related markers from direct effects on food intake, body mass or toxicity, and should assess the constituents actually delivered rather than infer safety from the plant's traditional use.</w:t>
      </w:r>
    </w:p>
    <w:p w14:paraId="032FF452" w14:textId="77777777" w:rsidR="00C4379F" w:rsidRDefault="00000000">
      <w:r>
        <w:rPr>
          <w:rFonts w:eastAsia="Times New Roman" w:cs="Times New Roman"/>
        </w:rPr>
        <w:t xml:space="preserve">Cytotoxicity studies require equally restrained interpretation. Kaempferide isolated from </w:t>
      </w:r>
      <w:r>
        <w:rPr>
          <w:rFonts w:eastAsia="Times New Roman" w:cs="Times New Roman"/>
          <w:i/>
        </w:rPr>
        <w:t>C. odorata</w:t>
      </w:r>
      <w:r>
        <w:rPr>
          <w:rFonts w:eastAsia="Times New Roman" w:cs="Times New Roman"/>
        </w:rPr>
        <w:t xml:space="preserve"> induced apoptosis-related responses in cervical cancer cells, with comparison against non-malignant cells and additional safety-oriented observations. This supports investigation of the molecule as a lead. It does not establish clinical anticancer effectiveness, nor does the broad safety wording in an article title remove the need for indication-specific pharmacokinetic and toxicological studies (Nath et al., 2015).</w:t>
      </w:r>
    </w:p>
    <w:p w14:paraId="61BCAFA6" w14:textId="77777777" w:rsidR="00C4379F" w:rsidRDefault="00000000">
      <w:r>
        <w:rPr>
          <w:rFonts w:eastAsia="Times New Roman" w:cs="Times New Roman"/>
        </w:rPr>
        <w:t xml:space="preserve">Brine-shrimp lethality illustrates a still earlier screening level. It can reveal general bioactivity or toxicity, but it cannot demonstrate selective anticancer action. Organ- and solvent-dependent </w:t>
      </w:r>
      <w:r>
        <w:rPr>
          <w:rFonts w:eastAsia="Times New Roman" w:cs="Times New Roman"/>
        </w:rPr>
        <w:lastRenderedPageBreak/>
        <w:t>responses in such assays should guide further testing rather than support a therapeutic label. The evidence also shows why growth promotion in a tissue-repair experiment and growth inhibition in a tumour-cell experiment are not inherently contradictory: the compounds, concentrations, cell states and endpoints differ (Budha Magar et al., 2023).</w:t>
      </w:r>
    </w:p>
    <w:p w14:paraId="1EAB668D" w14:textId="77777777" w:rsidR="00C4379F" w:rsidRDefault="00000000">
      <w:pPr>
        <w:pStyle w:val="Heading2"/>
      </w:pPr>
      <w:r>
        <w:rPr>
          <w:rFonts w:ascii="Times New Roman" w:eastAsia="Times New Roman" w:hAnsi="Times New Roman" w:cs="Times New Roman"/>
        </w:rPr>
        <w:t>6.5 Safety Is Preparation- and Exposure-Specific</w:t>
      </w:r>
    </w:p>
    <w:p w14:paraId="3089E147" w14:textId="77777777" w:rsidR="00C4379F" w:rsidRDefault="00000000">
      <w:r>
        <w:rPr>
          <w:rFonts w:eastAsia="Times New Roman" w:cs="Times New Roman"/>
        </w:rPr>
        <w:t xml:space="preserve">Pyrrolizidine-alkaloid toxicology is a substantial constraint on unqualified safety claims. Toxic potential depends on chemical structure and metabolism, with particular concern surrounding relevant unsaturated alkaloids and their metabolites. General class-level evidence establishes a reason to measure and control these constituents; it does not determine the dose delivered by every </w:t>
      </w:r>
      <w:r>
        <w:rPr>
          <w:rFonts w:eastAsia="Times New Roman" w:cs="Times New Roman"/>
          <w:i/>
        </w:rPr>
        <w:t>C. odorata</w:t>
      </w:r>
      <w:r>
        <w:rPr>
          <w:rFonts w:eastAsia="Times New Roman" w:cs="Times New Roman"/>
        </w:rPr>
        <w:t xml:space="preserve"> preparation. Organ-resolved species data and compound-specific toxicology must therefore be interpreted together (Biller et al., 1994; Moreira et al., 2018).</w:t>
      </w:r>
    </w:p>
    <w:p w14:paraId="34942128" w14:textId="77777777" w:rsidR="00C4379F" w:rsidRDefault="00000000">
      <w:r>
        <w:rPr>
          <w:rFonts w:eastAsia="Times New Roman" w:cs="Times New Roman"/>
        </w:rPr>
        <w:t>A regional oral-toxicity study reported different outcomes under acute and repeated exposure to leaf extract, including adverse findings during repeated dosing. Its limited experimental scale does not define a human safety threshold, but it is useful contrary evidence against equating survival after a single dose with safety during continued administration. It also does not identify pyrrolizidine alkaloids as the cause unless those constituents and the relevant mechanism are measured (Juan et al., 2022).</w:t>
      </w:r>
    </w:p>
    <w:p w14:paraId="31C8D67F" w14:textId="77777777" w:rsidR="00C4379F" w:rsidRDefault="00000000">
      <w:r>
        <w:rPr>
          <w:rFonts w:eastAsia="Times New Roman" w:cs="Times New Roman"/>
        </w:rPr>
        <w:t>The same principle applies to agricultural use. Absence of obvious crop injury does not establish safety for workers, pollinators, soil organisms or consumers. Conversely, activity against a target organism does not imply unacceptable risk under every possible exposure. Risk assessment requires a defined product, application route, environmental fate and realistic exposure scenario. Until those elements are available, claims should remain narrower than "safe", "non-toxic" or "environmentally friendly".</w:t>
      </w:r>
    </w:p>
    <w:p w14:paraId="00D98D3F" w14:textId="77777777" w:rsidR="00C4379F" w:rsidRDefault="00000000">
      <w:r>
        <w:rPr>
          <w:rFonts w:eastAsia="Times New Roman" w:cs="Times New Roman"/>
        </w:rPr>
        <w:t>Table 3 organises representative biological findings by their evidential level and unresolved translational step. The pattern is one of credible experimental activity with uneven progression towards practical use. This distinction permits promising leads to be retained without presenting preliminary findings as established treatments.</w:t>
      </w:r>
    </w:p>
    <w:p w14:paraId="350C6BD3" w14:textId="77777777" w:rsidR="00C4379F" w:rsidRDefault="00000000">
      <w:pPr>
        <w:keepNext/>
        <w:spacing w:before="140" w:after="40"/>
      </w:pPr>
      <w:r>
        <w:rPr>
          <w:rFonts w:eastAsia="Times New Roman" w:cs="Times New Roman"/>
          <w:b/>
          <w:sz w:val="22"/>
        </w:rPr>
        <w:t>Table 3</w:t>
      </w:r>
    </w:p>
    <w:p w14:paraId="38915180" w14:textId="77777777" w:rsidR="00C4379F" w:rsidRDefault="00000000">
      <w:pPr>
        <w:keepNext/>
      </w:pPr>
      <w:r>
        <w:rPr>
          <w:rFonts w:eastAsia="Times New Roman" w:cs="Times New Roman"/>
          <w:i/>
          <w:sz w:val="22"/>
        </w:rPr>
        <w:t>Biological activities classified by evidence level and unresolved translation</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05A48F2E" w14:textId="77777777">
        <w:trPr>
          <w:tblHeader/>
          <w:jc w:val="center"/>
        </w:trPr>
        <w:tc>
          <w:tcPr>
            <w:tcW w:w="1483" w:type="dxa"/>
            <w:shd w:val="clear" w:color="auto" w:fill="EEEEEE"/>
          </w:tcPr>
          <w:p w14:paraId="39F0644B" w14:textId="77777777" w:rsidR="00C4379F" w:rsidRDefault="00000000">
            <w:pPr>
              <w:keepNext/>
              <w:spacing w:after="40" w:line="245" w:lineRule="auto"/>
            </w:pPr>
            <w:r>
              <w:rPr>
                <w:rFonts w:eastAsia="Times New Roman" w:cs="Times New Roman"/>
                <w:b/>
                <w:sz w:val="20"/>
              </w:rPr>
              <w:t>Activity</w:t>
            </w:r>
          </w:p>
        </w:tc>
        <w:tc>
          <w:tcPr>
            <w:tcW w:w="2664" w:type="dxa"/>
            <w:shd w:val="clear" w:color="auto" w:fill="EEEEEE"/>
          </w:tcPr>
          <w:p w14:paraId="564469A9" w14:textId="77777777" w:rsidR="00C4379F" w:rsidRDefault="00000000">
            <w:pPr>
              <w:keepNext/>
              <w:spacing w:after="40" w:line="245" w:lineRule="auto"/>
            </w:pPr>
            <w:r>
              <w:rPr>
                <w:rFonts w:eastAsia="Times New Roman" w:cs="Times New Roman"/>
                <w:b/>
                <w:sz w:val="20"/>
              </w:rPr>
              <w:t>Evidence available</w:t>
            </w:r>
          </w:p>
        </w:tc>
        <w:tc>
          <w:tcPr>
            <w:tcW w:w="3067" w:type="dxa"/>
            <w:shd w:val="clear" w:color="auto" w:fill="EEEEEE"/>
          </w:tcPr>
          <w:p w14:paraId="19965F20" w14:textId="77777777" w:rsidR="00C4379F" w:rsidRDefault="00000000">
            <w:pPr>
              <w:keepNext/>
              <w:spacing w:after="40" w:line="245" w:lineRule="auto"/>
            </w:pPr>
            <w:r>
              <w:rPr>
                <w:rFonts w:eastAsia="Times New Roman" w:cs="Times New Roman"/>
                <w:b/>
                <w:sz w:val="20"/>
              </w:rPr>
              <w:t>Main unresolved step</w:t>
            </w:r>
          </w:p>
        </w:tc>
        <w:tc>
          <w:tcPr>
            <w:tcW w:w="2146" w:type="dxa"/>
            <w:shd w:val="clear" w:color="auto" w:fill="EEEEEE"/>
          </w:tcPr>
          <w:p w14:paraId="38CC033A" w14:textId="77777777" w:rsidR="00C4379F" w:rsidRDefault="00000000">
            <w:pPr>
              <w:keepNext/>
              <w:spacing w:after="40" w:line="245" w:lineRule="auto"/>
            </w:pPr>
            <w:r>
              <w:rPr>
                <w:rFonts w:eastAsia="Times New Roman" w:cs="Times New Roman"/>
                <w:b/>
                <w:sz w:val="20"/>
              </w:rPr>
              <w:t>Supporting references</w:t>
            </w:r>
          </w:p>
        </w:tc>
      </w:tr>
      <w:tr w:rsidR="00C4379F" w14:paraId="7F335ED7" w14:textId="77777777">
        <w:trPr>
          <w:cantSplit/>
          <w:jc w:val="center"/>
        </w:trPr>
        <w:tc>
          <w:tcPr>
            <w:tcW w:w="1483" w:type="dxa"/>
          </w:tcPr>
          <w:p w14:paraId="151599A7" w14:textId="77777777" w:rsidR="00C4379F" w:rsidRDefault="00000000">
            <w:pPr>
              <w:spacing w:after="20" w:line="250" w:lineRule="auto"/>
            </w:pPr>
            <w:r>
              <w:rPr>
                <w:rFonts w:eastAsia="Times New Roman" w:cs="Times New Roman"/>
                <w:sz w:val="20"/>
              </w:rPr>
              <w:t>Oxidative-stress response</w:t>
            </w:r>
          </w:p>
        </w:tc>
        <w:tc>
          <w:tcPr>
            <w:tcW w:w="2664" w:type="dxa"/>
          </w:tcPr>
          <w:p w14:paraId="78B44925" w14:textId="77777777" w:rsidR="00C4379F" w:rsidRDefault="00000000">
            <w:pPr>
              <w:spacing w:after="20" w:line="250" w:lineRule="auto"/>
            </w:pPr>
            <w:r>
              <w:rPr>
                <w:rFonts w:eastAsia="Times New Roman" w:cs="Times New Roman"/>
                <w:sz w:val="20"/>
              </w:rPr>
              <w:t>Chemical assays, cultured skin-cell protection and pathway-focused cellular experiments.</w:t>
            </w:r>
          </w:p>
        </w:tc>
        <w:tc>
          <w:tcPr>
            <w:tcW w:w="3067" w:type="dxa"/>
          </w:tcPr>
          <w:p w14:paraId="37671A76" w14:textId="77777777" w:rsidR="00C4379F" w:rsidRDefault="00000000">
            <w:pPr>
              <w:spacing w:after="20" w:line="250" w:lineRule="auto"/>
            </w:pPr>
            <w:r>
              <w:rPr>
                <w:rFonts w:eastAsia="Times New Roman" w:cs="Times New Roman"/>
                <w:sz w:val="20"/>
              </w:rPr>
              <w:t>Relate chemically measured exposure to function in an appropriate organism or tissue.</w:t>
            </w:r>
          </w:p>
        </w:tc>
        <w:tc>
          <w:tcPr>
            <w:tcW w:w="2146" w:type="dxa"/>
          </w:tcPr>
          <w:p w14:paraId="096EEAD3" w14:textId="77777777" w:rsidR="00C4379F" w:rsidRDefault="00000000">
            <w:pPr>
              <w:spacing w:after="20" w:line="250" w:lineRule="auto"/>
            </w:pPr>
            <w:r>
              <w:rPr>
                <w:rFonts w:eastAsia="Times New Roman" w:cs="Times New Roman"/>
                <w:sz w:val="20"/>
              </w:rPr>
              <w:t xml:space="preserve">(Heiss et al., 2014; Phan et al., 2001; Putri &amp; </w:t>
            </w:r>
            <w:proofErr w:type="spellStart"/>
            <w:r>
              <w:rPr>
                <w:rFonts w:eastAsia="Times New Roman" w:cs="Times New Roman"/>
                <w:sz w:val="20"/>
              </w:rPr>
              <w:t>Fatmawati</w:t>
            </w:r>
            <w:proofErr w:type="spellEnd"/>
            <w:r>
              <w:rPr>
                <w:rFonts w:eastAsia="Times New Roman" w:cs="Times New Roman"/>
                <w:sz w:val="20"/>
              </w:rPr>
              <w:t>, 2019)</w:t>
            </w:r>
          </w:p>
        </w:tc>
      </w:tr>
      <w:tr w:rsidR="00C4379F" w14:paraId="43C92D45" w14:textId="77777777">
        <w:trPr>
          <w:cantSplit/>
          <w:jc w:val="center"/>
        </w:trPr>
        <w:tc>
          <w:tcPr>
            <w:tcW w:w="1483" w:type="dxa"/>
          </w:tcPr>
          <w:p w14:paraId="70CA552A" w14:textId="77777777" w:rsidR="00C4379F" w:rsidRDefault="00000000">
            <w:pPr>
              <w:spacing w:after="20" w:line="250" w:lineRule="auto"/>
            </w:pPr>
            <w:r>
              <w:rPr>
                <w:rFonts w:eastAsia="Times New Roman" w:cs="Times New Roman"/>
                <w:sz w:val="20"/>
              </w:rPr>
              <w:t>Antibacterial activity</w:t>
            </w:r>
          </w:p>
        </w:tc>
        <w:tc>
          <w:tcPr>
            <w:tcW w:w="2664" w:type="dxa"/>
          </w:tcPr>
          <w:p w14:paraId="1D321E3A" w14:textId="77777777" w:rsidR="00C4379F" w:rsidRDefault="00000000">
            <w:pPr>
              <w:spacing w:after="20" w:line="250" w:lineRule="auto"/>
            </w:pPr>
            <w:r>
              <w:rPr>
                <w:rFonts w:eastAsia="Times New Roman" w:cs="Times New Roman"/>
                <w:sz w:val="20"/>
              </w:rPr>
              <w:t xml:space="preserve">Isolated flavonoids tested against </w:t>
            </w:r>
            <w:proofErr w:type="spellStart"/>
            <w:r>
              <w:rPr>
                <w:rFonts w:eastAsia="Times New Roman" w:cs="Times New Roman"/>
                <w:sz w:val="20"/>
              </w:rPr>
              <w:t>uropathogens</w:t>
            </w:r>
            <w:proofErr w:type="spellEnd"/>
            <w:r>
              <w:rPr>
                <w:rFonts w:eastAsia="Times New Roman" w:cs="Times New Roman"/>
                <w:sz w:val="20"/>
              </w:rPr>
              <w:t>, with biofilm-related and cell-toxicity endpoints.</w:t>
            </w:r>
          </w:p>
        </w:tc>
        <w:tc>
          <w:tcPr>
            <w:tcW w:w="3067" w:type="dxa"/>
          </w:tcPr>
          <w:p w14:paraId="26BE5530" w14:textId="77777777" w:rsidR="00C4379F" w:rsidRDefault="00000000">
            <w:pPr>
              <w:spacing w:after="20" w:line="250" w:lineRule="auto"/>
            </w:pPr>
            <w:r>
              <w:rPr>
                <w:rFonts w:eastAsia="Times New Roman" w:cs="Times New Roman"/>
                <w:sz w:val="20"/>
              </w:rPr>
              <w:t>Confirm target-site exposure, selectivity and efficacy beyond culture assays.</w:t>
            </w:r>
          </w:p>
        </w:tc>
        <w:tc>
          <w:tcPr>
            <w:tcW w:w="2146" w:type="dxa"/>
          </w:tcPr>
          <w:p w14:paraId="6ED6DC2A" w14:textId="77777777" w:rsidR="00C4379F" w:rsidRDefault="00000000">
            <w:pPr>
              <w:spacing w:after="20" w:line="250" w:lineRule="auto"/>
            </w:pPr>
            <w:r>
              <w:rPr>
                <w:rFonts w:eastAsia="Times New Roman" w:cs="Times New Roman"/>
                <w:sz w:val="20"/>
              </w:rPr>
              <w:t>(</w:t>
            </w:r>
            <w:proofErr w:type="spellStart"/>
            <w:r>
              <w:rPr>
                <w:rFonts w:eastAsia="Times New Roman" w:cs="Times New Roman"/>
                <w:sz w:val="20"/>
              </w:rPr>
              <w:t>Omokhua-Uyi</w:t>
            </w:r>
            <w:proofErr w:type="spellEnd"/>
            <w:r>
              <w:rPr>
                <w:rFonts w:eastAsia="Times New Roman" w:cs="Times New Roman"/>
                <w:sz w:val="20"/>
              </w:rPr>
              <w:t xml:space="preserve"> et al., 2020)</w:t>
            </w:r>
          </w:p>
        </w:tc>
      </w:tr>
      <w:tr w:rsidR="00C4379F" w14:paraId="1BE04158" w14:textId="77777777">
        <w:trPr>
          <w:cantSplit/>
          <w:jc w:val="center"/>
        </w:trPr>
        <w:tc>
          <w:tcPr>
            <w:tcW w:w="1483" w:type="dxa"/>
          </w:tcPr>
          <w:p w14:paraId="17DA8D34" w14:textId="77777777" w:rsidR="00C4379F" w:rsidRDefault="00000000">
            <w:pPr>
              <w:spacing w:after="20" w:line="250" w:lineRule="auto"/>
            </w:pPr>
            <w:r>
              <w:rPr>
                <w:rFonts w:eastAsia="Times New Roman" w:cs="Times New Roman"/>
                <w:sz w:val="20"/>
              </w:rPr>
              <w:lastRenderedPageBreak/>
              <w:t>Mycobacterial inhibition</w:t>
            </w:r>
          </w:p>
        </w:tc>
        <w:tc>
          <w:tcPr>
            <w:tcW w:w="2664" w:type="dxa"/>
          </w:tcPr>
          <w:p w14:paraId="3667D543" w14:textId="77777777" w:rsidR="00C4379F" w:rsidRDefault="00000000">
            <w:pPr>
              <w:spacing w:after="20" w:line="250" w:lineRule="auto"/>
            </w:pPr>
            <w:r>
              <w:rPr>
                <w:rFonts w:eastAsia="Times New Roman" w:cs="Times New Roman"/>
                <w:sz w:val="20"/>
              </w:rPr>
              <w:t>Defined flavonoids tested against mycobacterial strains with safety-oriented cell comparisons.</w:t>
            </w:r>
          </w:p>
        </w:tc>
        <w:tc>
          <w:tcPr>
            <w:tcW w:w="3067" w:type="dxa"/>
          </w:tcPr>
          <w:p w14:paraId="486D4F38" w14:textId="77777777" w:rsidR="00C4379F" w:rsidRDefault="00000000">
            <w:pPr>
              <w:spacing w:after="20" w:line="250" w:lineRule="auto"/>
            </w:pPr>
            <w:r>
              <w:rPr>
                <w:rFonts w:eastAsia="Times New Roman" w:cs="Times New Roman"/>
                <w:sz w:val="20"/>
              </w:rPr>
              <w:t>Establish infection-relevant exposure and activity without assuming clinical benefit.</w:t>
            </w:r>
          </w:p>
        </w:tc>
        <w:tc>
          <w:tcPr>
            <w:tcW w:w="2146" w:type="dxa"/>
          </w:tcPr>
          <w:p w14:paraId="2484F60E" w14:textId="77777777" w:rsidR="00C4379F" w:rsidRDefault="00000000">
            <w:pPr>
              <w:spacing w:after="20" w:line="250" w:lineRule="auto"/>
            </w:pPr>
            <w:r>
              <w:rPr>
                <w:rFonts w:eastAsia="Times New Roman" w:cs="Times New Roman"/>
                <w:sz w:val="20"/>
              </w:rPr>
              <w:t>(</w:t>
            </w:r>
            <w:proofErr w:type="spellStart"/>
            <w:r>
              <w:rPr>
                <w:rFonts w:eastAsia="Times New Roman" w:cs="Times New Roman"/>
                <w:sz w:val="20"/>
              </w:rPr>
              <w:t>Omokhua-Uyi</w:t>
            </w:r>
            <w:proofErr w:type="spellEnd"/>
            <w:r>
              <w:rPr>
                <w:rFonts w:eastAsia="Times New Roman" w:cs="Times New Roman"/>
                <w:sz w:val="20"/>
              </w:rPr>
              <w:t xml:space="preserve"> et al., 2023)</w:t>
            </w:r>
          </w:p>
        </w:tc>
      </w:tr>
      <w:tr w:rsidR="00C4379F" w14:paraId="42748FE0" w14:textId="77777777">
        <w:trPr>
          <w:cantSplit/>
          <w:jc w:val="center"/>
        </w:trPr>
        <w:tc>
          <w:tcPr>
            <w:tcW w:w="1483" w:type="dxa"/>
          </w:tcPr>
          <w:p w14:paraId="053780AC" w14:textId="77777777" w:rsidR="00C4379F" w:rsidRDefault="00000000">
            <w:pPr>
              <w:spacing w:after="20" w:line="250" w:lineRule="auto"/>
            </w:pPr>
            <w:r>
              <w:rPr>
                <w:rFonts w:eastAsia="Times New Roman" w:cs="Times New Roman"/>
                <w:sz w:val="20"/>
              </w:rPr>
              <w:t>Wound repair</w:t>
            </w:r>
          </w:p>
        </w:tc>
        <w:tc>
          <w:tcPr>
            <w:tcW w:w="2664" w:type="dxa"/>
          </w:tcPr>
          <w:p w14:paraId="3D5006B3" w14:textId="77777777" w:rsidR="00C4379F" w:rsidRDefault="00000000">
            <w:pPr>
              <w:spacing w:after="20" w:line="250" w:lineRule="auto"/>
            </w:pPr>
            <w:r>
              <w:rPr>
                <w:rFonts w:eastAsia="Times New Roman" w:cs="Times New Roman"/>
                <w:sz w:val="20"/>
              </w:rPr>
              <w:t>Plant-containing patch evaluated in an animal wound model against comparators.</w:t>
            </w:r>
          </w:p>
        </w:tc>
        <w:tc>
          <w:tcPr>
            <w:tcW w:w="3067" w:type="dxa"/>
          </w:tcPr>
          <w:p w14:paraId="421DCE0E" w14:textId="77777777" w:rsidR="00C4379F" w:rsidRDefault="00000000">
            <w:pPr>
              <w:spacing w:after="20" w:line="250" w:lineRule="auto"/>
            </w:pPr>
            <w:r>
              <w:rPr>
                <w:rFonts w:eastAsia="Times New Roman" w:cs="Times New Roman"/>
                <w:sz w:val="20"/>
              </w:rPr>
              <w:t>Confirm healing quality, tolerability and effectiveness in clinically relevant settings.</w:t>
            </w:r>
          </w:p>
        </w:tc>
        <w:tc>
          <w:tcPr>
            <w:tcW w:w="2146" w:type="dxa"/>
          </w:tcPr>
          <w:p w14:paraId="0C76BE70" w14:textId="77777777" w:rsidR="00C4379F" w:rsidRDefault="00000000">
            <w:pPr>
              <w:spacing w:after="20" w:line="250" w:lineRule="auto"/>
            </w:pPr>
            <w:r>
              <w:rPr>
                <w:rFonts w:eastAsia="Times New Roman" w:cs="Times New Roman"/>
                <w:sz w:val="20"/>
              </w:rPr>
              <w:t>(Abdul Latif et al., 2024)</w:t>
            </w:r>
          </w:p>
        </w:tc>
      </w:tr>
      <w:tr w:rsidR="00C4379F" w14:paraId="567521C4" w14:textId="77777777">
        <w:trPr>
          <w:cantSplit/>
          <w:jc w:val="center"/>
        </w:trPr>
        <w:tc>
          <w:tcPr>
            <w:tcW w:w="1483" w:type="dxa"/>
          </w:tcPr>
          <w:p w14:paraId="0CC05F44" w14:textId="77777777" w:rsidR="00C4379F" w:rsidRDefault="00000000">
            <w:pPr>
              <w:spacing w:after="20" w:line="250" w:lineRule="auto"/>
            </w:pPr>
            <w:r>
              <w:rPr>
                <w:rFonts w:eastAsia="Times New Roman" w:cs="Times New Roman"/>
                <w:sz w:val="20"/>
              </w:rPr>
              <w:t>Metabolic effects</w:t>
            </w:r>
          </w:p>
        </w:tc>
        <w:tc>
          <w:tcPr>
            <w:tcW w:w="2664" w:type="dxa"/>
          </w:tcPr>
          <w:p w14:paraId="4B1373D7" w14:textId="77777777" w:rsidR="00C4379F" w:rsidRDefault="00000000">
            <w:pPr>
              <w:spacing w:after="20" w:line="250" w:lineRule="auto"/>
            </w:pPr>
            <w:r>
              <w:rPr>
                <w:rFonts w:eastAsia="Times New Roman" w:cs="Times New Roman"/>
                <w:sz w:val="20"/>
              </w:rPr>
              <w:t>Enzyme inhibition and a chemically induced diabetic-rat study.</w:t>
            </w:r>
          </w:p>
        </w:tc>
        <w:tc>
          <w:tcPr>
            <w:tcW w:w="3067" w:type="dxa"/>
          </w:tcPr>
          <w:p w14:paraId="444FEB87" w14:textId="77777777" w:rsidR="00C4379F" w:rsidRDefault="00000000">
            <w:pPr>
              <w:spacing w:after="20" w:line="250" w:lineRule="auto"/>
            </w:pPr>
            <w:r>
              <w:rPr>
                <w:rFonts w:eastAsia="Times New Roman" w:cs="Times New Roman"/>
                <w:sz w:val="20"/>
              </w:rPr>
              <w:t>Separate model-specific changes from sustained, safe human treatment effects.</w:t>
            </w:r>
          </w:p>
        </w:tc>
        <w:tc>
          <w:tcPr>
            <w:tcW w:w="2146" w:type="dxa"/>
          </w:tcPr>
          <w:p w14:paraId="490B6D83" w14:textId="77777777" w:rsidR="00C4379F" w:rsidRDefault="00000000">
            <w:pPr>
              <w:spacing w:after="20" w:line="250" w:lineRule="auto"/>
            </w:pPr>
            <w:r>
              <w:rPr>
                <w:rFonts w:eastAsia="Times New Roman" w:cs="Times New Roman"/>
                <w:sz w:val="20"/>
              </w:rPr>
              <w:t>(</w:t>
            </w:r>
            <w:proofErr w:type="spellStart"/>
            <w:r>
              <w:rPr>
                <w:rFonts w:eastAsia="Times New Roman" w:cs="Times New Roman"/>
                <w:sz w:val="20"/>
              </w:rPr>
              <w:t>Indrianingsih</w:t>
            </w:r>
            <w:proofErr w:type="spellEnd"/>
            <w:r>
              <w:rPr>
                <w:rFonts w:eastAsia="Times New Roman" w:cs="Times New Roman"/>
                <w:sz w:val="20"/>
              </w:rPr>
              <w:t xml:space="preserve"> et al., 2025; </w:t>
            </w:r>
            <w:proofErr w:type="spellStart"/>
            <w:r>
              <w:rPr>
                <w:rFonts w:eastAsia="Times New Roman" w:cs="Times New Roman"/>
                <w:sz w:val="20"/>
              </w:rPr>
              <w:t>Omonije</w:t>
            </w:r>
            <w:proofErr w:type="spellEnd"/>
            <w:r>
              <w:rPr>
                <w:rFonts w:eastAsia="Times New Roman" w:cs="Times New Roman"/>
                <w:sz w:val="20"/>
              </w:rPr>
              <w:t xml:space="preserve"> et al., 2019)</w:t>
            </w:r>
          </w:p>
        </w:tc>
      </w:tr>
      <w:tr w:rsidR="00C4379F" w14:paraId="0A9F2C31" w14:textId="77777777">
        <w:trPr>
          <w:cantSplit/>
          <w:jc w:val="center"/>
        </w:trPr>
        <w:tc>
          <w:tcPr>
            <w:tcW w:w="1483" w:type="dxa"/>
          </w:tcPr>
          <w:p w14:paraId="669D3A9C" w14:textId="77777777" w:rsidR="00C4379F" w:rsidRDefault="00000000">
            <w:pPr>
              <w:keepNext/>
              <w:spacing w:after="20" w:line="250" w:lineRule="auto"/>
            </w:pPr>
            <w:r>
              <w:rPr>
                <w:rFonts w:eastAsia="Times New Roman" w:cs="Times New Roman"/>
                <w:sz w:val="20"/>
              </w:rPr>
              <w:t>Cytotoxicity and safety</w:t>
            </w:r>
          </w:p>
        </w:tc>
        <w:tc>
          <w:tcPr>
            <w:tcW w:w="2664" w:type="dxa"/>
          </w:tcPr>
          <w:p w14:paraId="38DE6DC8" w14:textId="77777777" w:rsidR="00C4379F" w:rsidRDefault="00000000">
            <w:pPr>
              <w:keepNext/>
              <w:spacing w:after="20" w:line="250" w:lineRule="auto"/>
            </w:pPr>
            <w:r>
              <w:rPr>
                <w:rFonts w:eastAsia="Times New Roman" w:cs="Times New Roman"/>
                <w:sz w:val="20"/>
              </w:rPr>
              <w:t>Cancer-cell apoptosis-related findings, general lethality screens and oral-toxicity observations.</w:t>
            </w:r>
          </w:p>
        </w:tc>
        <w:tc>
          <w:tcPr>
            <w:tcW w:w="3067" w:type="dxa"/>
          </w:tcPr>
          <w:p w14:paraId="482655D7" w14:textId="77777777" w:rsidR="00C4379F" w:rsidRDefault="00000000">
            <w:pPr>
              <w:keepNext/>
              <w:spacing w:after="20" w:line="250" w:lineRule="auto"/>
            </w:pPr>
            <w:r>
              <w:rPr>
                <w:rFonts w:eastAsia="Times New Roman" w:cs="Times New Roman"/>
                <w:sz w:val="20"/>
              </w:rPr>
              <w:t>Distinguish selective activity from non-specific toxicity and acute from repeated exposure.</w:t>
            </w:r>
          </w:p>
        </w:tc>
        <w:tc>
          <w:tcPr>
            <w:tcW w:w="2146" w:type="dxa"/>
          </w:tcPr>
          <w:p w14:paraId="01B7FE30" w14:textId="77777777" w:rsidR="00C4379F" w:rsidRDefault="00000000">
            <w:pPr>
              <w:keepNext/>
              <w:spacing w:after="20" w:line="250" w:lineRule="auto"/>
            </w:pPr>
            <w:r>
              <w:rPr>
                <w:rFonts w:eastAsia="Times New Roman" w:cs="Times New Roman"/>
                <w:sz w:val="20"/>
              </w:rPr>
              <w:t>(Budha Magar et al., 2023; Juan et al., 2022; Nath et al., 2015)</w:t>
            </w:r>
          </w:p>
        </w:tc>
      </w:tr>
    </w:tbl>
    <w:p w14:paraId="176F027C" w14:textId="77777777" w:rsidR="00C4379F" w:rsidRDefault="00000000">
      <w:pPr>
        <w:spacing w:before="80" w:after="180" w:line="252" w:lineRule="auto"/>
      </w:pPr>
      <w:r>
        <w:rPr>
          <w:rFonts w:eastAsia="Times New Roman" w:cs="Times New Roman"/>
          <w:i/>
          <w:sz w:val="19"/>
        </w:rPr>
        <w:t xml:space="preserve">Note. </w:t>
      </w:r>
      <w:r>
        <w:rPr>
          <w:rFonts w:eastAsia="Times New Roman" w:cs="Times New Roman"/>
          <w:sz w:val="19"/>
        </w:rPr>
        <w:t>These categories describe study settings, not formal risk-of-bias grades. No listed experimental activity is treated as established clinical effectiveness.</w:t>
      </w:r>
    </w:p>
    <w:p w14:paraId="18BF1FBD" w14:textId="77777777" w:rsidR="00C4379F" w:rsidRDefault="00000000">
      <w:pPr>
        <w:pStyle w:val="Heading1"/>
      </w:pPr>
      <w:r>
        <w:rPr>
          <w:rFonts w:ascii="Times New Roman" w:eastAsia="Times New Roman" w:hAnsi="Times New Roman" w:cs="Times New Roman"/>
        </w:rPr>
        <w:t>7. Allelopathy and Chemically Mediated Plant Interactions</w:t>
      </w:r>
    </w:p>
    <w:p w14:paraId="773151F0" w14:textId="77777777" w:rsidR="00C4379F" w:rsidRDefault="00000000">
      <w:pPr>
        <w:pStyle w:val="Heading2"/>
      </w:pPr>
      <w:r>
        <w:rPr>
          <w:rFonts w:ascii="Times New Roman" w:eastAsia="Times New Roman" w:hAnsi="Times New Roman" w:cs="Times New Roman"/>
        </w:rPr>
        <w:t>7.1 Defining the Claim Before Testing It</w:t>
      </w:r>
    </w:p>
    <w:p w14:paraId="3A215631" w14:textId="77777777" w:rsidR="00C4379F" w:rsidRDefault="00000000">
      <w:r>
        <w:rPr>
          <w:rFonts w:eastAsia="Times New Roman" w:cs="Times New Roman"/>
        </w:rPr>
        <w:t xml:space="preserve">Allelopathy is considered here as chemically mediated interference among plants, with direct phytotoxic action distinguished from effects transmitted through soil organisms. This definition separates a mechanism from an observation. Poor growth near </w:t>
      </w:r>
      <w:r>
        <w:rPr>
          <w:rFonts w:eastAsia="Times New Roman" w:cs="Times New Roman"/>
          <w:i/>
        </w:rPr>
        <w:t>C. odorata</w:t>
      </w:r>
      <w:r>
        <w:rPr>
          <w:rFonts w:eastAsia="Times New Roman" w:cs="Times New Roman"/>
        </w:rPr>
        <w:t xml:space="preserve"> is compatible with allelopathy, but also with shading, competition for water or nutrients, altered litter conditions and pre-existing habitat differences. Reviews of its secondary metabolites identify plausible chemical pathways while recognising that environmental concentrations remain an important unresolved element (Kato-Noguchi &amp; Kato, 2023).</w:t>
      </w:r>
    </w:p>
    <w:p w14:paraId="2BF46A8C" w14:textId="77777777" w:rsidR="00C4379F" w:rsidRDefault="00000000">
      <w:r>
        <w:rPr>
          <w:rFonts w:eastAsia="Times New Roman" w:cs="Times New Roman"/>
        </w:rPr>
        <w:t xml:space="preserve">The distinction between ecological allelopathy and botanical herbicide development is especially important. Ecological allelopathy concerns chemicals released under naturally occurring conditions. </w:t>
      </w:r>
      <w:proofErr w:type="gramStart"/>
      <w:r>
        <w:rPr>
          <w:rFonts w:eastAsia="Times New Roman" w:cs="Times New Roman"/>
        </w:rPr>
        <w:t>A</w:t>
      </w:r>
      <w:proofErr w:type="gramEnd"/>
      <w:r>
        <w:rPr>
          <w:rFonts w:eastAsia="Times New Roman" w:cs="Times New Roman"/>
        </w:rPr>
        <w:t xml:space="preserve"> herbicidal formulation may deliberately concentrate constituents, add surfactants and deliver them to a sensitive growth stage. Such a product could be effective even when ambient field concentrations are too low to explain invasion. Conversely, a naturally important compound may be unsuitable as a practical herbicide because it is unstable, non-selective or costly to recover.</w:t>
      </w:r>
    </w:p>
    <w:p w14:paraId="5AA8410B" w14:textId="77777777" w:rsidR="00C4379F" w:rsidRDefault="00000000">
      <w:pPr>
        <w:pStyle w:val="Heading2"/>
      </w:pPr>
      <w:r>
        <w:rPr>
          <w:rFonts w:ascii="Times New Roman" w:eastAsia="Times New Roman" w:hAnsi="Times New Roman" w:cs="Times New Roman"/>
        </w:rPr>
        <w:t>7.2 Evidence from Extracts and Comparative Experiments</w:t>
      </w:r>
    </w:p>
    <w:p w14:paraId="03D42814" w14:textId="77777777" w:rsidR="00C4379F" w:rsidRDefault="00000000">
      <w:r>
        <w:rPr>
          <w:rFonts w:eastAsia="Times New Roman" w:cs="Times New Roman"/>
        </w:rPr>
        <w:t xml:space="preserve">Leachate experiments involving plants from native and introduced ranges support the possibility that recipient communities differ in sensitivity to </w:t>
      </w:r>
      <w:r>
        <w:rPr>
          <w:rFonts w:eastAsia="Times New Roman" w:cs="Times New Roman"/>
          <w:i/>
        </w:rPr>
        <w:t>C. odorata</w:t>
      </w:r>
      <w:r>
        <w:rPr>
          <w:rFonts w:eastAsia="Times New Roman" w:cs="Times New Roman"/>
        </w:rPr>
        <w:t xml:space="preserve"> chemistry. Combined with competition experiments, these findings are compatible with several invasion mechanisms acting together. Their strongest contribution is comparative: they test whether responses depend on population history and recipient identity rather than assuming that all neighbours respond equally (Qin et al., 2013).</w:t>
      </w:r>
    </w:p>
    <w:p w14:paraId="7D123C03" w14:textId="77777777" w:rsidR="00C4379F" w:rsidRDefault="00000000">
      <w:r>
        <w:rPr>
          <w:rFonts w:eastAsia="Times New Roman" w:cs="Times New Roman"/>
        </w:rPr>
        <w:t xml:space="preserve">Extract-fractionation work provides more direct evidence of phytotoxic potential. Leaf extracts were more inhibitory than some other plant-part preparations, and a non-polar fraction was developed into a suspension formulation tested against </w:t>
      </w:r>
      <w:proofErr w:type="spellStart"/>
      <w:r>
        <w:rPr>
          <w:rFonts w:eastAsia="Times New Roman" w:cs="Times New Roman"/>
          <w:i/>
        </w:rPr>
        <w:t>Echinochloa</w:t>
      </w:r>
      <w:proofErr w:type="spellEnd"/>
      <w:r>
        <w:rPr>
          <w:rFonts w:eastAsia="Times New Roman" w:cs="Times New Roman"/>
          <w:i/>
        </w:rPr>
        <w:t xml:space="preserve"> crus-galli</w:t>
      </w:r>
      <w:r>
        <w:rPr>
          <w:rFonts w:eastAsia="Times New Roman" w:cs="Times New Roman"/>
        </w:rPr>
        <w:t xml:space="preserve"> and </w:t>
      </w:r>
      <w:r>
        <w:rPr>
          <w:rFonts w:eastAsia="Times New Roman" w:cs="Times New Roman"/>
          <w:i/>
        </w:rPr>
        <w:t xml:space="preserve">Amaranthus </w:t>
      </w:r>
      <w:proofErr w:type="spellStart"/>
      <w:r>
        <w:rPr>
          <w:rFonts w:eastAsia="Times New Roman" w:cs="Times New Roman"/>
          <w:i/>
        </w:rPr>
        <w:t>viridis</w:t>
      </w:r>
      <w:proofErr w:type="spellEnd"/>
      <w:r>
        <w:rPr>
          <w:rFonts w:eastAsia="Times New Roman" w:cs="Times New Roman"/>
        </w:rPr>
        <w:t xml:space="preserve">. The greatest </w:t>
      </w:r>
      <w:r>
        <w:rPr>
          <w:rFonts w:eastAsia="Times New Roman" w:cs="Times New Roman"/>
        </w:rPr>
        <w:lastRenderedPageBreak/>
        <w:t>activity occurred with early post-emergence treatment, with physiological responses consistent with injury to treated seedlings. The authors identified further field testing as necessary (</w:t>
      </w:r>
      <w:proofErr w:type="spellStart"/>
      <w:r>
        <w:rPr>
          <w:rFonts w:eastAsia="Times New Roman" w:cs="Times New Roman"/>
        </w:rPr>
        <w:t>Poonpaiboonpipat</w:t>
      </w:r>
      <w:proofErr w:type="spellEnd"/>
      <w:r>
        <w:rPr>
          <w:rFonts w:eastAsia="Times New Roman" w:cs="Times New Roman"/>
        </w:rPr>
        <w:t xml:space="preserve"> et al., 2021).</w:t>
      </w:r>
    </w:p>
    <w:p w14:paraId="3F953A7F" w14:textId="77777777" w:rsidR="00C4379F" w:rsidRDefault="00000000">
      <w:r>
        <w:rPr>
          <w:rFonts w:eastAsia="Times New Roman" w:cs="Times New Roman"/>
        </w:rPr>
        <w:t>These studies justify continued work on active fractions and delivery, but they do not establish crop selectivity or field-scale weed management. The early growth stage of the receiver, substrate and concentration can strongly affect observed inhibition. A Petri-dish assay places the receiver in unusually direct contact with the treatment and removes many processes governing exposure in soil. It should therefore be interpreted as a screening system, not a miniature field in which all relevant environmental processes are preserved.</w:t>
      </w:r>
    </w:p>
    <w:p w14:paraId="5AF1FA45" w14:textId="77777777" w:rsidR="00C4379F" w:rsidRDefault="00000000">
      <w:pPr>
        <w:pStyle w:val="Heading2"/>
      </w:pPr>
      <w:r>
        <w:rPr>
          <w:rFonts w:ascii="Times New Roman" w:eastAsia="Times New Roman" w:hAnsi="Times New Roman" w:cs="Times New Roman"/>
        </w:rPr>
        <w:t>7.3 Environmental Exposure and Alternative Explanations</w:t>
      </w:r>
    </w:p>
    <w:p w14:paraId="101B04A2" w14:textId="77777777" w:rsidR="00C4379F" w:rsidRDefault="00000000">
      <w:r>
        <w:rPr>
          <w:rFonts w:eastAsia="Times New Roman" w:cs="Times New Roman"/>
        </w:rPr>
        <w:t>For a field allelopathy claim, the missing link is often the concentration and persistence of the candidate chemical where the recipient plant encounters it. Identifying a compound in donor tissue does not show its release, movement through soil or availability to roots. Measurements of donor biomass and tissue concentration are useful, but they cannot replace analysis of pore water, soil extracts or receiver exposure under realistic conditions (Biller et al., 1994; Kato-Noguchi &amp; Kato, 2023).</w:t>
      </w:r>
    </w:p>
    <w:p w14:paraId="778D6CFA" w14:textId="77777777" w:rsidR="00C4379F" w:rsidRDefault="00000000">
      <w:r>
        <w:rPr>
          <w:rFonts w:eastAsia="Times New Roman" w:cs="Times New Roman"/>
        </w:rPr>
        <w:t>The experimental solution is to connect exposure and response. Candidate compounds should be quantified beneath living plants, during litter decomposition and after realistic rainfall or irrigation events. Responses at those concentrations should then be compared with responses to substantially higher screening concentrations. This would distinguish an ecologically plausible pathway from a chemical capacity revealed only by concentration or extraction. Temporal sampling matters because a brief pulse can have a different biological consequence from sustained exposure at the same maximum concentration.</w:t>
      </w:r>
    </w:p>
    <w:p w14:paraId="079AA085" w14:textId="77777777" w:rsidR="00C4379F" w:rsidRDefault="00000000">
      <w:r>
        <w:rPr>
          <w:rFonts w:eastAsia="Times New Roman" w:cs="Times New Roman"/>
        </w:rPr>
        <w:t>Soil biology adds another layer. Evidence of pathogen accumulation and soil-history-dependent responses indicates that chemical inputs may affect plants indirectly. The apparent coexistence of antimicrobial activity in a laboratory extract and pathogen-associated suppression of neighbours is therefore not paradoxical. A purified or concentrated fraction contacting a test organism differs from low-concentration mixtures entering an interactive soil community (J. Li et al., 2025; Mangla et al., 2008).</w:t>
      </w:r>
    </w:p>
    <w:p w14:paraId="520CBECB" w14:textId="77777777" w:rsidR="00C4379F" w:rsidRDefault="00000000">
      <w:r>
        <w:rPr>
          <w:rFonts w:eastAsia="Times New Roman" w:cs="Times New Roman"/>
        </w:rPr>
        <w:t>Several controls are needed to interpret that distinction. Solvent, acidity, osmotic effects and nutrient inputs should be separated from the candidate allelochemical effect. Live and treated soils can help evaluate microbial contributions, but treatment artefacts need their own controls. Activated carbon can be informative as a sorbent, yet recovery of plant growth after its addition is not uniquely diagnostic of allelopathy. Strong inference depends on converging chemical measurements, selective interventions and receiver responses.</w:t>
      </w:r>
    </w:p>
    <w:p w14:paraId="4E005F97" w14:textId="77777777" w:rsidR="00C4379F" w:rsidRDefault="00000000">
      <w:pPr>
        <w:pStyle w:val="Heading2"/>
      </w:pPr>
      <w:r>
        <w:rPr>
          <w:rFonts w:ascii="Times New Roman" w:eastAsia="Times New Roman" w:hAnsi="Times New Roman" w:cs="Times New Roman"/>
        </w:rPr>
        <w:t>7.4 Reconciling Inhibition with Fertility Benefits</w:t>
      </w:r>
    </w:p>
    <w:p w14:paraId="7F6008A1" w14:textId="77777777" w:rsidR="00C4379F" w:rsidRDefault="00000000">
      <w:r>
        <w:rPr>
          <w:rFonts w:eastAsia="Times New Roman" w:cs="Times New Roman"/>
        </w:rPr>
        <w:t xml:space="preserve">Fresh extracts, decomposing residues, mature compost and biochar are not successive doses of one unchanged intervention. They differ in the identity and availability of organic compounds, in nutrient release and in physical effects on the soil. Studies reporting nutrient release from biomass and improved crop performance with compost therefore need not conflict with experiments showing </w:t>
      </w:r>
      <w:r>
        <w:rPr>
          <w:rFonts w:eastAsia="Times New Roman" w:cs="Times New Roman"/>
        </w:rPr>
        <w:lastRenderedPageBreak/>
        <w:t>seedling inhibition by extracts (</w:t>
      </w:r>
      <w:proofErr w:type="spellStart"/>
      <w:r>
        <w:rPr>
          <w:rFonts w:eastAsia="Times New Roman" w:cs="Times New Roman"/>
        </w:rPr>
        <w:t>Akinrinola</w:t>
      </w:r>
      <w:proofErr w:type="spellEnd"/>
      <w:r>
        <w:rPr>
          <w:rFonts w:eastAsia="Times New Roman" w:cs="Times New Roman"/>
        </w:rPr>
        <w:t xml:space="preserve"> &amp; Tijani-Eniola, 2022; </w:t>
      </w:r>
      <w:proofErr w:type="spellStart"/>
      <w:r>
        <w:rPr>
          <w:rFonts w:eastAsia="Times New Roman" w:cs="Times New Roman"/>
        </w:rPr>
        <w:t>Poonpaiboonpipat</w:t>
      </w:r>
      <w:proofErr w:type="spellEnd"/>
      <w:r>
        <w:rPr>
          <w:rFonts w:eastAsia="Times New Roman" w:cs="Times New Roman"/>
        </w:rPr>
        <w:t xml:space="preserve"> et al., 2021; Quansah et al., 2001).</w:t>
      </w:r>
    </w:p>
    <w:p w14:paraId="22381475" w14:textId="77777777" w:rsidR="00C4379F" w:rsidRDefault="00000000">
      <w:r>
        <w:rPr>
          <w:rFonts w:eastAsia="Times New Roman" w:cs="Times New Roman"/>
        </w:rPr>
        <w:t>The appropriate question is how transformation changes the balance between inhibition and resource supply. This balance may vary through time and between species. A treatment that suppresses germination immediately after incorporation could later supply nutrients to established crops, while a poorly matured material might retain undesirable effects. The reviewed evidence does not establish a universally safe waiting period or processing recipe. Those should be measured for each product and intended use rather than inferred from the word organic.</w:t>
      </w:r>
    </w:p>
    <w:p w14:paraId="5C758BAB" w14:textId="77777777" w:rsidR="00C4379F" w:rsidRDefault="00000000">
      <w:r>
        <w:rPr>
          <w:rFonts w:eastAsia="Times New Roman" w:cs="Times New Roman"/>
        </w:rPr>
        <w:t>Table 4 separates the principal allelopathy claims and the evidence required to strengthen them. It highlights an asymmetry in the literature: demonstrating phytotoxic capacity is relatively straightforward, whereas attributing a field population outcome to a specific naturally occurring chemical exposure requires a much more complete causal chain.</w:t>
      </w:r>
    </w:p>
    <w:p w14:paraId="247BFDAF" w14:textId="77777777" w:rsidR="00C4379F" w:rsidRDefault="00000000">
      <w:pPr>
        <w:keepNext/>
        <w:spacing w:before="140" w:after="40"/>
      </w:pPr>
      <w:r>
        <w:rPr>
          <w:rFonts w:eastAsia="Times New Roman" w:cs="Times New Roman"/>
          <w:b/>
          <w:sz w:val="22"/>
        </w:rPr>
        <w:t>Table 4</w:t>
      </w:r>
    </w:p>
    <w:p w14:paraId="43BFDEE4" w14:textId="77777777" w:rsidR="00C4379F" w:rsidRDefault="00000000">
      <w:pPr>
        <w:keepNext/>
      </w:pPr>
      <w:r>
        <w:rPr>
          <w:rFonts w:eastAsia="Times New Roman" w:cs="Times New Roman"/>
          <w:i/>
          <w:sz w:val="22"/>
        </w:rPr>
        <w:t xml:space="preserve">A causal evidence </w:t>
      </w:r>
      <w:proofErr w:type="gramStart"/>
      <w:r>
        <w:rPr>
          <w:rFonts w:eastAsia="Times New Roman" w:cs="Times New Roman"/>
          <w:i/>
          <w:sz w:val="22"/>
        </w:rPr>
        <w:t>ladder</w:t>
      </w:r>
      <w:proofErr w:type="gramEnd"/>
      <w:r>
        <w:rPr>
          <w:rFonts w:eastAsia="Times New Roman" w:cs="Times New Roman"/>
          <w:i/>
          <w:sz w:val="22"/>
        </w:rPr>
        <w:t xml:space="preserve"> for allelopathy and phytotoxic product development</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202541BE" w14:textId="77777777">
        <w:trPr>
          <w:tblHeader/>
          <w:jc w:val="center"/>
        </w:trPr>
        <w:tc>
          <w:tcPr>
            <w:tcW w:w="1483" w:type="dxa"/>
            <w:shd w:val="clear" w:color="auto" w:fill="EEEEEE"/>
          </w:tcPr>
          <w:p w14:paraId="32D6B323" w14:textId="77777777" w:rsidR="00C4379F" w:rsidRDefault="00000000">
            <w:pPr>
              <w:keepNext/>
              <w:spacing w:after="40" w:line="245" w:lineRule="auto"/>
            </w:pPr>
            <w:r>
              <w:rPr>
                <w:rFonts w:eastAsia="Times New Roman" w:cs="Times New Roman"/>
                <w:b/>
                <w:sz w:val="20"/>
              </w:rPr>
              <w:t>Claim under consideration</w:t>
            </w:r>
          </w:p>
        </w:tc>
        <w:tc>
          <w:tcPr>
            <w:tcW w:w="2664" w:type="dxa"/>
            <w:shd w:val="clear" w:color="auto" w:fill="EEEEEE"/>
          </w:tcPr>
          <w:p w14:paraId="71A3052D" w14:textId="77777777" w:rsidR="00C4379F" w:rsidRDefault="00000000">
            <w:pPr>
              <w:keepNext/>
              <w:spacing w:after="40" w:line="245" w:lineRule="auto"/>
            </w:pPr>
            <w:r>
              <w:rPr>
                <w:rFonts w:eastAsia="Times New Roman" w:cs="Times New Roman"/>
                <w:b/>
                <w:sz w:val="20"/>
              </w:rPr>
              <w:t>Evidence that supports it</w:t>
            </w:r>
          </w:p>
        </w:tc>
        <w:tc>
          <w:tcPr>
            <w:tcW w:w="3067" w:type="dxa"/>
            <w:shd w:val="clear" w:color="auto" w:fill="EEEEEE"/>
          </w:tcPr>
          <w:p w14:paraId="160A89C9" w14:textId="77777777" w:rsidR="00C4379F" w:rsidRDefault="00000000">
            <w:pPr>
              <w:keepNext/>
              <w:spacing w:after="40" w:line="245" w:lineRule="auto"/>
            </w:pPr>
            <w:r>
              <w:rPr>
                <w:rFonts w:eastAsia="Times New Roman" w:cs="Times New Roman"/>
                <w:b/>
                <w:sz w:val="20"/>
              </w:rPr>
              <w:t>Evidence still required</w:t>
            </w:r>
          </w:p>
        </w:tc>
        <w:tc>
          <w:tcPr>
            <w:tcW w:w="2146" w:type="dxa"/>
            <w:shd w:val="clear" w:color="auto" w:fill="EEEEEE"/>
          </w:tcPr>
          <w:p w14:paraId="2D549001" w14:textId="77777777" w:rsidR="00C4379F" w:rsidRDefault="00000000">
            <w:pPr>
              <w:keepNext/>
              <w:spacing w:after="40" w:line="245" w:lineRule="auto"/>
            </w:pPr>
            <w:r>
              <w:rPr>
                <w:rFonts w:eastAsia="Times New Roman" w:cs="Times New Roman"/>
                <w:b/>
                <w:sz w:val="20"/>
              </w:rPr>
              <w:t>Supporting references</w:t>
            </w:r>
          </w:p>
        </w:tc>
      </w:tr>
      <w:tr w:rsidR="00C4379F" w14:paraId="290CF434" w14:textId="77777777">
        <w:trPr>
          <w:cantSplit/>
          <w:jc w:val="center"/>
        </w:trPr>
        <w:tc>
          <w:tcPr>
            <w:tcW w:w="1483" w:type="dxa"/>
          </w:tcPr>
          <w:p w14:paraId="5057E586" w14:textId="77777777" w:rsidR="00C4379F" w:rsidRDefault="00000000">
            <w:pPr>
              <w:spacing w:after="20" w:line="250" w:lineRule="auto"/>
            </w:pPr>
            <w:r>
              <w:rPr>
                <w:rFonts w:eastAsia="Times New Roman" w:cs="Times New Roman"/>
                <w:sz w:val="20"/>
              </w:rPr>
              <w:t>The plant contains phytotoxic material</w:t>
            </w:r>
          </w:p>
        </w:tc>
        <w:tc>
          <w:tcPr>
            <w:tcW w:w="2664" w:type="dxa"/>
          </w:tcPr>
          <w:p w14:paraId="570D14CE" w14:textId="77777777" w:rsidR="00C4379F" w:rsidRDefault="00000000">
            <w:pPr>
              <w:spacing w:after="20" w:line="250" w:lineRule="auto"/>
            </w:pPr>
            <w:r>
              <w:rPr>
                <w:rFonts w:eastAsia="Times New Roman" w:cs="Times New Roman"/>
                <w:sz w:val="20"/>
              </w:rPr>
              <w:t>Extracts and fractions inhibit selected receiver plants.</w:t>
            </w:r>
          </w:p>
        </w:tc>
        <w:tc>
          <w:tcPr>
            <w:tcW w:w="3067" w:type="dxa"/>
          </w:tcPr>
          <w:p w14:paraId="2BE3F57C" w14:textId="77777777" w:rsidR="00C4379F" w:rsidRDefault="00000000">
            <w:pPr>
              <w:spacing w:after="20" w:line="250" w:lineRule="auto"/>
            </w:pPr>
            <w:r>
              <w:rPr>
                <w:rFonts w:eastAsia="Times New Roman" w:cs="Times New Roman"/>
                <w:sz w:val="20"/>
              </w:rPr>
              <w:t>Authenticated batches, dose expression and controls for solvent and other non-specific effects.</w:t>
            </w:r>
          </w:p>
        </w:tc>
        <w:tc>
          <w:tcPr>
            <w:tcW w:w="2146" w:type="dxa"/>
          </w:tcPr>
          <w:p w14:paraId="634D56EF" w14:textId="77777777" w:rsidR="00C4379F" w:rsidRDefault="00000000">
            <w:pPr>
              <w:spacing w:after="20" w:line="250" w:lineRule="auto"/>
            </w:pPr>
            <w:r>
              <w:rPr>
                <w:rFonts w:eastAsia="Times New Roman" w:cs="Times New Roman"/>
                <w:sz w:val="20"/>
              </w:rPr>
              <w:t>(</w:t>
            </w:r>
            <w:proofErr w:type="spellStart"/>
            <w:r>
              <w:rPr>
                <w:rFonts w:eastAsia="Times New Roman" w:cs="Times New Roman"/>
                <w:sz w:val="20"/>
              </w:rPr>
              <w:t>Poonpaiboonpipat</w:t>
            </w:r>
            <w:proofErr w:type="spellEnd"/>
            <w:r>
              <w:rPr>
                <w:rFonts w:eastAsia="Times New Roman" w:cs="Times New Roman"/>
                <w:sz w:val="20"/>
              </w:rPr>
              <w:t xml:space="preserve"> et al., 2021)</w:t>
            </w:r>
          </w:p>
        </w:tc>
      </w:tr>
      <w:tr w:rsidR="00C4379F" w14:paraId="2282DC06" w14:textId="77777777">
        <w:trPr>
          <w:cantSplit/>
          <w:jc w:val="center"/>
        </w:trPr>
        <w:tc>
          <w:tcPr>
            <w:tcW w:w="1483" w:type="dxa"/>
          </w:tcPr>
          <w:p w14:paraId="71013F83" w14:textId="77777777" w:rsidR="00C4379F" w:rsidRDefault="00000000">
            <w:pPr>
              <w:spacing w:after="20" w:line="250" w:lineRule="auto"/>
            </w:pPr>
            <w:r>
              <w:rPr>
                <w:rFonts w:eastAsia="Times New Roman" w:cs="Times New Roman"/>
                <w:sz w:val="20"/>
              </w:rPr>
              <w:t>Recipient communities differ in sensitivity</w:t>
            </w:r>
          </w:p>
        </w:tc>
        <w:tc>
          <w:tcPr>
            <w:tcW w:w="2664" w:type="dxa"/>
          </w:tcPr>
          <w:p w14:paraId="57EE6F83" w14:textId="77777777" w:rsidR="00C4379F" w:rsidRDefault="00000000">
            <w:pPr>
              <w:spacing w:after="20" w:line="250" w:lineRule="auto"/>
            </w:pPr>
            <w:r>
              <w:rPr>
                <w:rFonts w:eastAsia="Times New Roman" w:cs="Times New Roman"/>
                <w:sz w:val="20"/>
              </w:rPr>
              <w:t>Comparative leachate responses across native- and introduced-range receivers.</w:t>
            </w:r>
          </w:p>
        </w:tc>
        <w:tc>
          <w:tcPr>
            <w:tcW w:w="3067" w:type="dxa"/>
          </w:tcPr>
          <w:p w14:paraId="7138D638" w14:textId="77777777" w:rsidR="00C4379F" w:rsidRDefault="00000000">
            <w:pPr>
              <w:spacing w:after="20" w:line="250" w:lineRule="auto"/>
            </w:pPr>
            <w:r>
              <w:rPr>
                <w:rFonts w:eastAsia="Times New Roman" w:cs="Times New Roman"/>
                <w:sz w:val="20"/>
              </w:rPr>
              <w:t>Replication across populations and realistic receiver exposures.</w:t>
            </w:r>
          </w:p>
        </w:tc>
        <w:tc>
          <w:tcPr>
            <w:tcW w:w="2146" w:type="dxa"/>
          </w:tcPr>
          <w:p w14:paraId="2C7F162F" w14:textId="77777777" w:rsidR="00C4379F" w:rsidRDefault="00000000">
            <w:pPr>
              <w:spacing w:after="20" w:line="250" w:lineRule="auto"/>
            </w:pPr>
            <w:r>
              <w:rPr>
                <w:rFonts w:eastAsia="Times New Roman" w:cs="Times New Roman"/>
                <w:sz w:val="20"/>
              </w:rPr>
              <w:t>(Qin et al., 2013)</w:t>
            </w:r>
          </w:p>
        </w:tc>
      </w:tr>
      <w:tr w:rsidR="00C4379F" w14:paraId="0F77D440" w14:textId="77777777">
        <w:trPr>
          <w:cantSplit/>
          <w:jc w:val="center"/>
        </w:trPr>
        <w:tc>
          <w:tcPr>
            <w:tcW w:w="1483" w:type="dxa"/>
          </w:tcPr>
          <w:p w14:paraId="113F8895" w14:textId="77777777" w:rsidR="00C4379F" w:rsidRDefault="00000000">
            <w:pPr>
              <w:spacing w:after="20" w:line="250" w:lineRule="auto"/>
            </w:pPr>
            <w:r>
              <w:rPr>
                <w:rFonts w:eastAsia="Times New Roman" w:cs="Times New Roman"/>
                <w:sz w:val="20"/>
              </w:rPr>
              <w:t>Soil organisms mediate interference</w:t>
            </w:r>
          </w:p>
        </w:tc>
        <w:tc>
          <w:tcPr>
            <w:tcW w:w="2664" w:type="dxa"/>
          </w:tcPr>
          <w:p w14:paraId="4D676AA9" w14:textId="77777777" w:rsidR="00C4379F" w:rsidRDefault="00000000">
            <w:pPr>
              <w:spacing w:after="20" w:line="250" w:lineRule="auto"/>
            </w:pPr>
            <w:r>
              <w:rPr>
                <w:rFonts w:eastAsia="Times New Roman" w:cs="Times New Roman"/>
                <w:sz w:val="20"/>
              </w:rPr>
              <w:t>Pathogen-related effects and responses to soil-biota manipulations.</w:t>
            </w:r>
          </w:p>
        </w:tc>
        <w:tc>
          <w:tcPr>
            <w:tcW w:w="3067" w:type="dxa"/>
          </w:tcPr>
          <w:p w14:paraId="1373A785" w14:textId="77777777" w:rsidR="00C4379F" w:rsidRDefault="00000000">
            <w:pPr>
              <w:spacing w:after="20" w:line="250" w:lineRule="auto"/>
            </w:pPr>
            <w:r>
              <w:rPr>
                <w:rFonts w:eastAsia="Times New Roman" w:cs="Times New Roman"/>
                <w:sz w:val="20"/>
              </w:rPr>
              <w:t>Separate microbial mediation from changes caused by soil treatment itself.</w:t>
            </w:r>
          </w:p>
        </w:tc>
        <w:tc>
          <w:tcPr>
            <w:tcW w:w="2146" w:type="dxa"/>
          </w:tcPr>
          <w:p w14:paraId="56EE4FCA" w14:textId="77777777" w:rsidR="00C4379F" w:rsidRDefault="00000000">
            <w:pPr>
              <w:spacing w:after="20" w:line="250" w:lineRule="auto"/>
            </w:pPr>
            <w:r>
              <w:rPr>
                <w:rFonts w:eastAsia="Times New Roman" w:cs="Times New Roman"/>
                <w:sz w:val="20"/>
              </w:rPr>
              <w:t>(J. Li et al., 2025; Mangla et al., 2008)</w:t>
            </w:r>
          </w:p>
        </w:tc>
      </w:tr>
      <w:tr w:rsidR="00C4379F" w14:paraId="2FA49A90" w14:textId="77777777">
        <w:trPr>
          <w:cantSplit/>
          <w:jc w:val="center"/>
        </w:trPr>
        <w:tc>
          <w:tcPr>
            <w:tcW w:w="1483" w:type="dxa"/>
          </w:tcPr>
          <w:p w14:paraId="031642E4" w14:textId="77777777" w:rsidR="00C4379F" w:rsidRDefault="00000000">
            <w:pPr>
              <w:spacing w:after="20" w:line="250" w:lineRule="auto"/>
            </w:pPr>
            <w:r>
              <w:rPr>
                <w:rFonts w:eastAsia="Times New Roman" w:cs="Times New Roman"/>
                <w:sz w:val="20"/>
              </w:rPr>
              <w:t>Natural chemical exposure contributes to invasion</w:t>
            </w:r>
          </w:p>
        </w:tc>
        <w:tc>
          <w:tcPr>
            <w:tcW w:w="2664" w:type="dxa"/>
          </w:tcPr>
          <w:p w14:paraId="0810DBAE" w14:textId="77777777" w:rsidR="00C4379F" w:rsidRDefault="00000000">
            <w:pPr>
              <w:spacing w:after="20" w:line="250" w:lineRule="auto"/>
            </w:pPr>
            <w:r>
              <w:rPr>
                <w:rFonts w:eastAsia="Times New Roman" w:cs="Times New Roman"/>
                <w:sz w:val="20"/>
              </w:rPr>
              <w:t>Chemical plausibility and controlled biological responses.</w:t>
            </w:r>
          </w:p>
        </w:tc>
        <w:tc>
          <w:tcPr>
            <w:tcW w:w="3067" w:type="dxa"/>
          </w:tcPr>
          <w:p w14:paraId="09C85432" w14:textId="77777777" w:rsidR="00C4379F" w:rsidRDefault="00000000">
            <w:pPr>
              <w:spacing w:after="20" w:line="250" w:lineRule="auto"/>
            </w:pPr>
            <w:r>
              <w:rPr>
                <w:rFonts w:eastAsia="Times New Roman" w:cs="Times New Roman"/>
                <w:sz w:val="20"/>
              </w:rPr>
              <w:t>In situ concentration, persistence, selective manipulation and population-relevant outcomes.</w:t>
            </w:r>
          </w:p>
        </w:tc>
        <w:tc>
          <w:tcPr>
            <w:tcW w:w="2146" w:type="dxa"/>
          </w:tcPr>
          <w:p w14:paraId="6552AC30" w14:textId="77777777" w:rsidR="00C4379F" w:rsidRDefault="00000000">
            <w:pPr>
              <w:spacing w:after="20" w:line="250" w:lineRule="auto"/>
            </w:pPr>
            <w:r>
              <w:rPr>
                <w:rFonts w:eastAsia="Times New Roman" w:cs="Times New Roman"/>
                <w:sz w:val="20"/>
              </w:rPr>
              <w:t>(Kato-Noguchi &amp; Kato, 2023; Qin et al., 2013)</w:t>
            </w:r>
          </w:p>
        </w:tc>
      </w:tr>
      <w:tr w:rsidR="00C4379F" w14:paraId="4FEAF4C7" w14:textId="77777777">
        <w:trPr>
          <w:cantSplit/>
          <w:jc w:val="center"/>
        </w:trPr>
        <w:tc>
          <w:tcPr>
            <w:tcW w:w="1483" w:type="dxa"/>
          </w:tcPr>
          <w:p w14:paraId="58CA5330" w14:textId="77777777" w:rsidR="00C4379F" w:rsidRDefault="00000000">
            <w:pPr>
              <w:keepNext/>
              <w:spacing w:after="20" w:line="250" w:lineRule="auto"/>
            </w:pPr>
            <w:r>
              <w:rPr>
                <w:rFonts w:eastAsia="Times New Roman" w:cs="Times New Roman"/>
                <w:sz w:val="20"/>
              </w:rPr>
              <w:t>Processing changes agronomic response</w:t>
            </w:r>
          </w:p>
        </w:tc>
        <w:tc>
          <w:tcPr>
            <w:tcW w:w="2664" w:type="dxa"/>
          </w:tcPr>
          <w:p w14:paraId="64E64036" w14:textId="77777777" w:rsidR="00C4379F" w:rsidRDefault="00000000">
            <w:pPr>
              <w:keepNext/>
              <w:spacing w:after="20" w:line="250" w:lineRule="auto"/>
            </w:pPr>
            <w:r>
              <w:rPr>
                <w:rFonts w:eastAsia="Times New Roman" w:cs="Times New Roman"/>
                <w:sz w:val="20"/>
              </w:rPr>
              <w:t>Extract inhibition coexists with nutrient-release and compost evidence.</w:t>
            </w:r>
          </w:p>
        </w:tc>
        <w:tc>
          <w:tcPr>
            <w:tcW w:w="3067" w:type="dxa"/>
          </w:tcPr>
          <w:p w14:paraId="703A4768" w14:textId="77777777" w:rsidR="00C4379F" w:rsidRDefault="00000000">
            <w:pPr>
              <w:keepNext/>
              <w:spacing w:after="20" w:line="250" w:lineRule="auto"/>
            </w:pPr>
            <w:r>
              <w:rPr>
                <w:rFonts w:eastAsia="Times New Roman" w:cs="Times New Roman"/>
                <w:sz w:val="20"/>
              </w:rPr>
              <w:t>Track constituent transformation, product maturity, crop tolerance and propagule viability.</w:t>
            </w:r>
          </w:p>
        </w:tc>
        <w:tc>
          <w:tcPr>
            <w:tcW w:w="2146" w:type="dxa"/>
          </w:tcPr>
          <w:p w14:paraId="06D26149" w14:textId="77777777" w:rsidR="00C4379F" w:rsidRDefault="00000000">
            <w:pPr>
              <w:keepNext/>
              <w:spacing w:after="20" w:line="250" w:lineRule="auto"/>
            </w:pPr>
            <w:r>
              <w:rPr>
                <w:rFonts w:eastAsia="Times New Roman" w:cs="Times New Roman"/>
                <w:sz w:val="20"/>
              </w:rPr>
              <w:t>(</w:t>
            </w:r>
            <w:proofErr w:type="spellStart"/>
            <w:r>
              <w:rPr>
                <w:rFonts w:eastAsia="Times New Roman" w:cs="Times New Roman"/>
                <w:sz w:val="20"/>
              </w:rPr>
              <w:t>Akinrinola</w:t>
            </w:r>
            <w:proofErr w:type="spellEnd"/>
            <w:r>
              <w:rPr>
                <w:rFonts w:eastAsia="Times New Roman" w:cs="Times New Roman"/>
                <w:sz w:val="20"/>
              </w:rPr>
              <w:t xml:space="preserve"> &amp; Tijani-Eniola, 2022; </w:t>
            </w:r>
            <w:proofErr w:type="spellStart"/>
            <w:r>
              <w:rPr>
                <w:rFonts w:eastAsia="Times New Roman" w:cs="Times New Roman"/>
                <w:sz w:val="20"/>
              </w:rPr>
              <w:t>Poonpaiboonpipat</w:t>
            </w:r>
            <w:proofErr w:type="spellEnd"/>
            <w:r>
              <w:rPr>
                <w:rFonts w:eastAsia="Times New Roman" w:cs="Times New Roman"/>
                <w:sz w:val="20"/>
              </w:rPr>
              <w:t xml:space="preserve"> et al., 2021; Quansah et al., 2001)</w:t>
            </w:r>
          </w:p>
        </w:tc>
      </w:tr>
    </w:tbl>
    <w:p w14:paraId="03BD462C" w14:textId="77777777" w:rsidR="00C4379F" w:rsidRDefault="00000000">
      <w:pPr>
        <w:spacing w:before="80" w:after="180" w:line="252" w:lineRule="auto"/>
      </w:pPr>
      <w:r>
        <w:rPr>
          <w:rFonts w:eastAsia="Times New Roman" w:cs="Times New Roman"/>
          <w:i/>
          <w:sz w:val="19"/>
        </w:rPr>
        <w:t xml:space="preserve">Note. </w:t>
      </w:r>
      <w:r>
        <w:rPr>
          <w:rFonts w:eastAsia="Times New Roman" w:cs="Times New Roman"/>
          <w:sz w:val="19"/>
        </w:rPr>
        <w:t>The table separates experimental capacity from field causal attribution. In situ means at the location where exposure occurs.</w:t>
      </w:r>
    </w:p>
    <w:p w14:paraId="0F39AB3A" w14:textId="77777777" w:rsidR="00C4379F" w:rsidRDefault="00000000">
      <w:pPr>
        <w:pStyle w:val="Heading1"/>
      </w:pPr>
      <w:r>
        <w:rPr>
          <w:rFonts w:ascii="Times New Roman" w:eastAsia="Times New Roman" w:hAnsi="Times New Roman" w:cs="Times New Roman"/>
        </w:rPr>
        <w:lastRenderedPageBreak/>
        <w:t>8. Emerging Agricultural Applications</w:t>
      </w:r>
    </w:p>
    <w:p w14:paraId="326A8E1D" w14:textId="77777777" w:rsidR="00C4379F" w:rsidRDefault="00000000">
      <w:pPr>
        <w:pStyle w:val="Heading2"/>
      </w:pPr>
      <w:r>
        <w:rPr>
          <w:rFonts w:ascii="Times New Roman" w:eastAsia="Times New Roman" w:hAnsi="Times New Roman" w:cs="Times New Roman"/>
        </w:rPr>
        <w:t>8.1 Biomass Recovery, Residues and Nutrient Cycling</w:t>
      </w:r>
    </w:p>
    <w:p w14:paraId="3CDAB14C" w14:textId="77777777" w:rsidR="00C4379F" w:rsidRDefault="00000000">
      <w:r>
        <w:rPr>
          <w:rFonts w:eastAsia="Times New Roman" w:cs="Times New Roman"/>
        </w:rPr>
        <w:t>Agricultural utilisation is most defensible when the material originates from an existing infestation and recovery contributes to control. Its evaluation should begin with the counterfactual: what would otherwise happen to the biomass, the land and the nutrients it contains? Recovering material during removal differs fundamentally from establishing a new supply plantation. The biological and demographic evidence makes that distinction consequential because seed production and recruitment can continue despite reductions in visible adult density (Y. Li et al., 2024; Witkowski &amp; Wilson, 2001).</w:t>
      </w:r>
    </w:p>
    <w:p w14:paraId="2CD08461" w14:textId="77777777" w:rsidR="00C4379F" w:rsidRDefault="00000000">
      <w:r>
        <w:rPr>
          <w:rFonts w:eastAsia="Times New Roman" w:cs="Times New Roman"/>
        </w:rPr>
        <w:t xml:space="preserve">Biomass nutrient studies provide a basis for considering </w:t>
      </w:r>
      <w:r>
        <w:rPr>
          <w:rFonts w:eastAsia="Times New Roman" w:cs="Times New Roman"/>
          <w:i/>
        </w:rPr>
        <w:t>C. odorata</w:t>
      </w:r>
      <w:r>
        <w:rPr>
          <w:rFonts w:eastAsia="Times New Roman" w:cs="Times New Roman"/>
        </w:rPr>
        <w:t xml:space="preserve"> as an amendment resource. Work in Ghana compared it with other plant materials and examined nutrient content and decomposition-related release. The results support nutrient recycling as a plausible function, but nutrient release from litter is not equivalent to nutrient recovery by a crop. Release that occurs before crop demand may contribute less to production than an otherwise smaller supply that is better synchronised (Quansah et al., 2001).</w:t>
      </w:r>
    </w:p>
    <w:p w14:paraId="567359EC" w14:textId="77777777" w:rsidR="00C4379F" w:rsidRDefault="00000000">
      <w:r>
        <w:rPr>
          <w:rFonts w:eastAsia="Times New Roman" w:cs="Times New Roman"/>
        </w:rPr>
        <w:t>This distinction prevents a misleading comparison between organic biomass and mineral fertiliser based only on total nutrient content. An agronomic comparison should include plant-available nutrient supply, timing, crop uptake, losses and the labour required to collect and apply material. Moisture content is also essential: equal fresh masses can deliver very different quantities of dry matter and nutrients. Reporting amendments on a dry-mass basis alongside their chemical composition would improve both reproducibility and economic interpretation.</w:t>
      </w:r>
    </w:p>
    <w:p w14:paraId="224DA706" w14:textId="77777777" w:rsidR="00C4379F" w:rsidRDefault="00000000">
      <w:r>
        <w:rPr>
          <w:rFonts w:eastAsia="Times New Roman" w:cs="Times New Roman"/>
        </w:rPr>
        <w:t>Raw mulch and incorporated residues warrant their own evaluation because they retain more of the original biological material than a transformed product. Potential changes in surface cover, moisture and seedling emergence should be measured separately from nutrient effects. Seed-bearing biomass should not be distributed on the assumption that subsequent decomposition will necessarily eliminate viable propagules. That is a testable processing requirement, not an established property of every utilisation system.</w:t>
      </w:r>
    </w:p>
    <w:p w14:paraId="180D676D" w14:textId="77777777" w:rsidR="00C4379F" w:rsidRDefault="00000000">
      <w:pPr>
        <w:pStyle w:val="Heading2"/>
      </w:pPr>
      <w:r>
        <w:rPr>
          <w:rFonts w:ascii="Times New Roman" w:eastAsia="Times New Roman" w:hAnsi="Times New Roman" w:cs="Times New Roman"/>
        </w:rPr>
        <w:t>8.2 Compost and Integrated Fertility Management</w:t>
      </w:r>
    </w:p>
    <w:p w14:paraId="554576B2" w14:textId="77777777" w:rsidR="00C4379F" w:rsidRDefault="00000000">
      <w:r>
        <w:rPr>
          <w:rFonts w:eastAsia="Times New Roman" w:cs="Times New Roman"/>
        </w:rPr>
        <w:t>Compost has stronger crop-field support than several other proposed uses. A factorial study of tomato evaluated Siam-weed compost with inorganic fertiliser in pot and field experiments. In the reported field comparison, 8 Mg ha</w:t>
      </w:r>
      <w:r>
        <w:rPr>
          <w:rFonts w:eastAsia="Times New Roman" w:cs="Times New Roman"/>
          <w:vertAlign w:val="superscript"/>
        </w:rPr>
        <w:t>−1</w:t>
      </w:r>
      <w:r>
        <w:rPr>
          <w:rFonts w:eastAsia="Times New Roman" w:cs="Times New Roman"/>
        </w:rPr>
        <w:t xml:space="preserve"> of compost combined with 30 kg N ha</w:t>
      </w:r>
      <w:r>
        <w:rPr>
          <w:rFonts w:eastAsia="Times New Roman" w:cs="Times New Roman"/>
          <w:vertAlign w:val="superscript"/>
        </w:rPr>
        <w:t>−1</w:t>
      </w:r>
      <w:r>
        <w:rPr>
          <w:rFonts w:eastAsia="Times New Roman" w:cs="Times New Roman"/>
        </w:rPr>
        <w:t xml:space="preserve"> produced 31.73 Mg ha</w:t>
      </w:r>
      <w:r>
        <w:rPr>
          <w:rFonts w:eastAsia="Times New Roman" w:cs="Times New Roman"/>
          <w:vertAlign w:val="superscript"/>
        </w:rPr>
        <w:t>−1</w:t>
      </w:r>
      <w:r>
        <w:rPr>
          <w:rFonts w:eastAsia="Times New Roman" w:cs="Times New Roman"/>
        </w:rPr>
        <w:t xml:space="preserve"> of tomato fruit, compared with 9.66 Mg ha</w:t>
      </w:r>
      <w:r>
        <w:rPr>
          <w:rFonts w:eastAsia="Times New Roman" w:cs="Times New Roman"/>
          <w:vertAlign w:val="superscript"/>
        </w:rPr>
        <w:t>−1</w:t>
      </w:r>
      <w:r>
        <w:rPr>
          <w:rFonts w:eastAsia="Times New Roman" w:cs="Times New Roman"/>
        </w:rPr>
        <w:t xml:space="preserve"> in the no-input control. The combination treatment, rather than compost alone, generated that contrast (</w:t>
      </w:r>
      <w:proofErr w:type="spellStart"/>
      <w:r>
        <w:rPr>
          <w:rFonts w:eastAsia="Times New Roman" w:cs="Times New Roman"/>
        </w:rPr>
        <w:t>Akinrinola</w:t>
      </w:r>
      <w:proofErr w:type="spellEnd"/>
      <w:r>
        <w:rPr>
          <w:rFonts w:eastAsia="Times New Roman" w:cs="Times New Roman"/>
        </w:rPr>
        <w:t xml:space="preserve"> &amp; Tijani-Eniola, 2022).</w:t>
      </w:r>
    </w:p>
    <w:p w14:paraId="64E76A0C" w14:textId="77777777" w:rsidR="00C4379F" w:rsidRDefault="00000000">
      <w:r>
        <w:rPr>
          <w:rFonts w:eastAsia="Times New Roman" w:cs="Times New Roman"/>
        </w:rPr>
        <w:t>The finding is agronomically relevant because it moves beyond a germination or short-duration pot assay. Its interpretation should nevertheless retain the factorial structure: a high yield under combined treatment cannot be attributed wholly to the organic component or used to claim complete replacement of mineral fertiliser. Nor does a locally favourable rate establish an optimum across soils, climates and cultivars. The useful result is evidence that a specified compost can function within integrated nutrient management under the tested conditions.</w:t>
      </w:r>
    </w:p>
    <w:p w14:paraId="1CDC30F8" w14:textId="77777777" w:rsidR="00C4379F" w:rsidRDefault="00000000">
      <w:r>
        <w:rPr>
          <w:rFonts w:eastAsia="Times New Roman" w:cs="Times New Roman"/>
        </w:rPr>
        <w:lastRenderedPageBreak/>
        <w:t xml:space="preserve">Product maturity is a separate consideration from plant identity. A reproducible compost specification would include treatment history, stability, salinity, nutrient composition and a suitable plant-response test. Where the feedstock contains reproductive material, viable-propagule testing should be included. Measuring disappearance of </w:t>
      </w:r>
      <w:proofErr w:type="spellStart"/>
      <w:r>
        <w:rPr>
          <w:rFonts w:eastAsia="Times New Roman" w:cs="Times New Roman"/>
        </w:rPr>
        <w:t>germinable</w:t>
      </w:r>
      <w:proofErr w:type="spellEnd"/>
      <w:r>
        <w:rPr>
          <w:rFonts w:eastAsia="Times New Roman" w:cs="Times New Roman"/>
        </w:rPr>
        <w:t xml:space="preserve"> seeds and transformation of relevant chemical hazards would be more informative than assuming that any material called compost has completed the same process.</w:t>
      </w:r>
    </w:p>
    <w:p w14:paraId="464F4F11" w14:textId="77777777" w:rsidR="00C4379F" w:rsidRDefault="00000000">
      <w:r>
        <w:rPr>
          <w:rFonts w:eastAsia="Times New Roman" w:cs="Times New Roman"/>
        </w:rPr>
        <w:t>The economic comparison should include handling and transport, not only the apparent absence of a purchase price for the weed. Benefits may include reduced disposal requirements, but those savings belong to a particular removal operation and cannot be assumed at every location. Field trials should therefore report the mass of feedstock required to produce the applied compost and the time and resources used in processing. Such information would permit an honest comparison with other available amendments without promoting the invader as an inherently superior nutrient source.</w:t>
      </w:r>
    </w:p>
    <w:p w14:paraId="6B99291F" w14:textId="77777777" w:rsidR="00C4379F" w:rsidRDefault="00000000">
      <w:pPr>
        <w:pStyle w:val="Heading2"/>
      </w:pPr>
      <w:r>
        <w:rPr>
          <w:rFonts w:ascii="Times New Roman" w:eastAsia="Times New Roman" w:hAnsi="Times New Roman" w:cs="Times New Roman"/>
        </w:rPr>
        <w:t>8.3 Biochar: Soil Amendment and Possible Legacy Modification</w:t>
      </w:r>
    </w:p>
    <w:p w14:paraId="6DCB8451" w14:textId="77777777" w:rsidR="00C4379F" w:rsidRDefault="00000000">
      <w:r>
        <w:rPr>
          <w:rFonts w:eastAsia="Times New Roman" w:cs="Times New Roman"/>
        </w:rPr>
        <w:t xml:space="preserve">Biochar represents a different product because thermal conversion changes the biomass rather than simply accelerating biological decomposition. Earlier Cambodian work compared </w:t>
      </w:r>
      <w:r>
        <w:rPr>
          <w:rFonts w:eastAsia="Times New Roman" w:cs="Times New Roman"/>
          <w:i/>
        </w:rPr>
        <w:t>C. odorata</w:t>
      </w:r>
      <w:r>
        <w:rPr>
          <w:rFonts w:eastAsia="Times New Roman" w:cs="Times New Roman"/>
        </w:rPr>
        <w:t xml:space="preserve"> and rice-husk </w:t>
      </w:r>
      <w:proofErr w:type="spellStart"/>
      <w:r>
        <w:rPr>
          <w:rFonts w:eastAsia="Times New Roman" w:cs="Times New Roman"/>
        </w:rPr>
        <w:t>biochars</w:t>
      </w:r>
      <w:proofErr w:type="spellEnd"/>
      <w:r>
        <w:rPr>
          <w:rFonts w:eastAsia="Times New Roman" w:cs="Times New Roman"/>
        </w:rPr>
        <w:t xml:space="preserve"> in relation to soil properties and tomato growth, establishing a feedstock-comparison approach. More recent research extends this line to nutrient-rich </w:t>
      </w:r>
      <w:proofErr w:type="spellStart"/>
      <w:r>
        <w:rPr>
          <w:rFonts w:eastAsia="Times New Roman" w:cs="Times New Roman"/>
        </w:rPr>
        <w:t>biochars</w:t>
      </w:r>
      <w:proofErr w:type="spellEnd"/>
      <w:r>
        <w:rPr>
          <w:rFonts w:eastAsia="Times New Roman" w:cs="Times New Roman"/>
        </w:rPr>
        <w:t xml:space="preserve"> in acidic sandy soil, but the evidence should not be treated as geographically independent confirmation merely because the studies were published in different years (Lorn et al., 2017; Lorn et al., 2025).</w:t>
      </w:r>
    </w:p>
    <w:p w14:paraId="33A01395" w14:textId="77777777" w:rsidR="00C4379F" w:rsidRDefault="00000000">
      <w:r>
        <w:rPr>
          <w:rFonts w:eastAsia="Times New Roman" w:cs="Times New Roman"/>
        </w:rPr>
        <w:t>In the recent greenhouse study, Siam-weed biochar prepared at 400 °C was evaluated at nominal field-equivalent rates. The lower tested rate, 5 Mg ha</w:t>
      </w:r>
      <w:r>
        <w:rPr>
          <w:rFonts w:eastAsia="Times New Roman" w:cs="Times New Roman"/>
          <w:vertAlign w:val="superscript"/>
        </w:rPr>
        <w:t>−1</w:t>
      </w:r>
      <w:r>
        <w:rPr>
          <w:rFonts w:eastAsia="Times New Roman" w:cs="Times New Roman"/>
        </w:rPr>
        <w:t>, supported better crop biomass than 15 Mg ha</w:t>
      </w:r>
      <w:r>
        <w:rPr>
          <w:rFonts w:eastAsia="Times New Roman" w:cs="Times New Roman"/>
          <w:vertAlign w:val="superscript"/>
        </w:rPr>
        <w:t>−1</w:t>
      </w:r>
      <w:r>
        <w:rPr>
          <w:rFonts w:eastAsia="Times New Roman" w:cs="Times New Roman"/>
        </w:rPr>
        <w:t>, despite stronger changes in some soil properties at the higher rate. This distinction shows why improvement in soil pH or nutrient measurements is not a sufficient surrogate for the best crop response (Lorn et al., 2025).</w:t>
      </w:r>
    </w:p>
    <w:p w14:paraId="1F1C1439" w14:textId="77777777" w:rsidR="00C4379F" w:rsidRDefault="00000000">
      <w:r>
        <w:rPr>
          <w:rFonts w:eastAsia="Times New Roman" w:cs="Times New Roman"/>
        </w:rPr>
        <w:t>Application rates expressed as field equivalents in pots do not make an experiment a field trial. Root confinement, mixing uniformity, irrigation and soil volume alter contact between amendment and plant. Transfer to farming conditions should consequently test both dose and placement, rather than adopt the greenhouse rate unchanged. Comparators should include an appropriate lime or nutrient treatment when the proposed benefit could arise chiefly from alkalinity or nutrient supply rather than a distinctive property of the char.</w:t>
      </w:r>
    </w:p>
    <w:p w14:paraId="13408110" w14:textId="77777777" w:rsidR="00C4379F" w:rsidRDefault="00000000">
      <w:r>
        <w:rPr>
          <w:rFonts w:eastAsia="Times New Roman" w:cs="Times New Roman"/>
        </w:rPr>
        <w:t>The soil-legacy study further suggests that biochar can modify plant responses to invasion-conditioned soils, with effects depending on invasion intensity and treatment. This provides a rationale for testing amendment-assisted restoration, but crop production and native-community recovery remain different intended uses. A treatment that increases the growth of a crop or selected native species may also alter the conditions for reinvasion, making simultaneous monitoring necessary (J. Li et al., 2025).</w:t>
      </w:r>
    </w:p>
    <w:p w14:paraId="2CA3F8B0" w14:textId="77777777" w:rsidR="00C4379F" w:rsidRDefault="00000000">
      <w:r>
        <w:rPr>
          <w:rFonts w:eastAsia="Times New Roman" w:cs="Times New Roman"/>
        </w:rPr>
        <w:t xml:space="preserve">Environmental claims need additional evidence. Carbon retention, energy use, emissions during processing and the fate of undesirable constituents cannot be inferred from a pot-scale biomass response. Thermal treatment may solve one handling problem while creating another if process control is inadequate. A credible assessment would define the conversion conditions, product yield and final chemical properties, then compare the complete pathway with alternative management of </w:t>
      </w:r>
      <w:r>
        <w:rPr>
          <w:rFonts w:eastAsia="Times New Roman" w:cs="Times New Roman"/>
        </w:rPr>
        <w:lastRenderedPageBreak/>
        <w:t>the same material. The net outcome should not be labelled carbon-negative or sustainable without that accounting.</w:t>
      </w:r>
    </w:p>
    <w:p w14:paraId="2988426B" w14:textId="77777777" w:rsidR="00C4379F" w:rsidRDefault="00000000">
      <w:pPr>
        <w:pStyle w:val="Heading2"/>
      </w:pPr>
      <w:r>
        <w:rPr>
          <w:rFonts w:ascii="Times New Roman" w:eastAsia="Times New Roman" w:hAnsi="Times New Roman" w:cs="Times New Roman"/>
        </w:rPr>
        <w:t>8.4 Botanical Herbicides and the Crop-Selectivity Problem</w:t>
      </w:r>
    </w:p>
    <w:p w14:paraId="6B68CB79" w14:textId="77777777" w:rsidR="00C4379F" w:rsidRDefault="00000000">
      <w:r>
        <w:rPr>
          <w:rFonts w:eastAsia="Times New Roman" w:cs="Times New Roman"/>
        </w:rPr>
        <w:t xml:space="preserve">The formulated phytotoxic fraction tested against </w:t>
      </w:r>
      <w:r>
        <w:rPr>
          <w:rFonts w:eastAsia="Times New Roman" w:cs="Times New Roman"/>
          <w:i/>
        </w:rPr>
        <w:t>E. crus-galli</w:t>
      </w:r>
      <w:r>
        <w:rPr>
          <w:rFonts w:eastAsia="Times New Roman" w:cs="Times New Roman"/>
        </w:rPr>
        <w:t xml:space="preserve"> and </w:t>
      </w:r>
      <w:r>
        <w:rPr>
          <w:rFonts w:eastAsia="Times New Roman" w:cs="Times New Roman"/>
          <w:i/>
        </w:rPr>
        <w:t xml:space="preserve">A. </w:t>
      </w:r>
      <w:proofErr w:type="spellStart"/>
      <w:r>
        <w:rPr>
          <w:rFonts w:eastAsia="Times New Roman" w:cs="Times New Roman"/>
          <w:i/>
        </w:rPr>
        <w:t>viridis</w:t>
      </w:r>
      <w:proofErr w:type="spellEnd"/>
      <w:r>
        <w:rPr>
          <w:rFonts w:eastAsia="Times New Roman" w:cs="Times New Roman"/>
        </w:rPr>
        <w:t xml:space="preserve"> is a relevant development step because it moves from extract screening towards a deliverable preparation. Its early post-emergence activity suggests that growth stage and application timing will be important determinants of performance. It remains a candidate requiring field validation, rather than a demonstrated replacement for established weed-management practices (</w:t>
      </w:r>
      <w:proofErr w:type="spellStart"/>
      <w:r>
        <w:rPr>
          <w:rFonts w:eastAsia="Times New Roman" w:cs="Times New Roman"/>
        </w:rPr>
        <w:t>Poonpaiboonpipat</w:t>
      </w:r>
      <w:proofErr w:type="spellEnd"/>
      <w:r>
        <w:rPr>
          <w:rFonts w:eastAsia="Times New Roman" w:cs="Times New Roman"/>
        </w:rPr>
        <w:t xml:space="preserve"> et al., 2021).</w:t>
      </w:r>
    </w:p>
    <w:p w14:paraId="2E52E189" w14:textId="77777777" w:rsidR="00C4379F" w:rsidRDefault="00000000">
      <w:r>
        <w:rPr>
          <w:rFonts w:eastAsia="Times New Roman" w:cs="Times New Roman"/>
        </w:rPr>
        <w:t>The main unresolved issue is not simply whether the preparation damages weeds. It is whether it provides acceptable weed control without unacceptable crop injury, residue problems or repeated application costs. A formulation that is non-selective might still have a restricted use in a carefully defined non-crop setting, but that would be a different claim from selective use within a standing crop. Experimental comparisons should therefore match the intended placement and crop stage.</w:t>
      </w:r>
    </w:p>
    <w:p w14:paraId="3CA312EC" w14:textId="77777777" w:rsidR="00C4379F" w:rsidRDefault="00000000">
      <w:r>
        <w:rPr>
          <w:rFonts w:eastAsia="Times New Roman" w:cs="Times New Roman"/>
        </w:rPr>
        <w:t>Testing should also distinguish short-lived injury from sustained control. Leaf discolouration or early biomass suppression may not predict later regrowth, seed production or final crop yield. A meaningful field endpoint would integrate those outcomes with application frequency and dose. Because formulations can alter exposure, vehicle-only controls and chemically characterised batches are needed even when the active source is a familiar plant. Natural origin does not remove these requirements.</w:t>
      </w:r>
    </w:p>
    <w:p w14:paraId="5719AC84" w14:textId="77777777" w:rsidR="00C4379F" w:rsidRDefault="00000000">
      <w:pPr>
        <w:pStyle w:val="Heading2"/>
      </w:pPr>
      <w:r>
        <w:rPr>
          <w:rFonts w:ascii="Times New Roman" w:eastAsia="Times New Roman" w:hAnsi="Times New Roman" w:cs="Times New Roman"/>
        </w:rPr>
        <w:t xml:space="preserve">8.5 </w:t>
      </w:r>
      <w:proofErr w:type="spellStart"/>
      <w:r>
        <w:rPr>
          <w:rFonts w:ascii="Times New Roman" w:eastAsia="Times New Roman" w:hAnsi="Times New Roman" w:cs="Times New Roman"/>
        </w:rPr>
        <w:t>Nematicidal</w:t>
      </w:r>
      <w:proofErr w:type="spellEnd"/>
      <w:r>
        <w:rPr>
          <w:rFonts w:ascii="Times New Roman" w:eastAsia="Times New Roman" w:hAnsi="Times New Roman" w:cs="Times New Roman"/>
        </w:rPr>
        <w:t xml:space="preserve"> and Other Pest-Directed Preparations</w:t>
      </w:r>
    </w:p>
    <w:p w14:paraId="0EFC3A6B" w14:textId="77777777" w:rsidR="00C4379F" w:rsidRDefault="00000000">
      <w:r>
        <w:rPr>
          <w:rFonts w:eastAsia="Times New Roman" w:cs="Times New Roman"/>
        </w:rPr>
        <w:t xml:space="preserve">Aqueous </w:t>
      </w:r>
      <w:r>
        <w:rPr>
          <w:rFonts w:eastAsia="Times New Roman" w:cs="Times New Roman"/>
          <w:i/>
        </w:rPr>
        <w:t>C. odorata</w:t>
      </w:r>
      <w:r>
        <w:rPr>
          <w:rFonts w:eastAsia="Times New Roman" w:cs="Times New Roman"/>
        </w:rPr>
        <w:t xml:space="preserve"> preparations have been tested against </w:t>
      </w:r>
      <w:r>
        <w:rPr>
          <w:rFonts w:eastAsia="Times New Roman" w:cs="Times New Roman"/>
          <w:i/>
        </w:rPr>
        <w:t xml:space="preserve">Radopholus </w:t>
      </w:r>
      <w:proofErr w:type="spellStart"/>
      <w:r>
        <w:rPr>
          <w:rFonts w:eastAsia="Times New Roman" w:cs="Times New Roman"/>
          <w:i/>
        </w:rPr>
        <w:t>similis</w:t>
      </w:r>
      <w:proofErr w:type="spellEnd"/>
      <w:r>
        <w:rPr>
          <w:rFonts w:eastAsia="Times New Roman" w:cs="Times New Roman"/>
        </w:rPr>
        <w:t xml:space="preserve"> in both laboratory assays and a Cavendish banana pot system. The study examined nematode-related endpoints and plant responses rather than relying solely on an isolated toxicity test. Its pot component is a useful bridge towards agricultural relevance, but the designation in vivo should not be misread as evidence from commercial banana fields (Nhung &amp; Quoc, 2024).</w:t>
      </w:r>
    </w:p>
    <w:p w14:paraId="7D59D503" w14:textId="77777777" w:rsidR="00C4379F" w:rsidRDefault="00000000">
      <w:r>
        <w:rPr>
          <w:rFonts w:eastAsia="Times New Roman" w:cs="Times New Roman"/>
        </w:rPr>
        <w:t>The next step should separate direct effects on the nematode from changes in the plant or substrate that influence infestation indirectly. Dose needs to be related to the amount of extract or dry plant material delivered, the soil or water volume receiving it and the duration of exposure. Without that information, a laboratory concentration is difficult to translate into a feasible application rate. Root damage, plant growth and nematode reproduction should be assessed together, since suppression of the organism is not useful if the treatment also harms the crop.</w:t>
      </w:r>
    </w:p>
    <w:p w14:paraId="7A4DD27E" w14:textId="77777777" w:rsidR="00C4379F" w:rsidRDefault="00000000">
      <w:r>
        <w:rPr>
          <w:rFonts w:eastAsia="Times New Roman" w:cs="Times New Roman"/>
        </w:rPr>
        <w:t>Essential-oil activity against mosquito larvae and molluscs broadens the range of potential pest-directed uses, but those target organisms do not establish efficacy against crop pests. The results are relevant to formulation research and to environmental hazard identification. Any agricultural extension of that work must specify the target and demonstrate an exposure margin between the desired effect and damage to non-target organisms (Vo et al., 2025).</w:t>
      </w:r>
    </w:p>
    <w:p w14:paraId="16911619" w14:textId="77777777" w:rsidR="00C4379F" w:rsidRDefault="00000000">
      <w:r>
        <w:rPr>
          <w:rFonts w:eastAsia="Times New Roman" w:cs="Times New Roman"/>
        </w:rPr>
        <w:t xml:space="preserve">Crop-protection development should also address persistence and practical preparation. A product that acts only during prolonged direct contact in a controlled assay may behave differently on a sun-exposed leaf or in biologically active soil. Standardisation should encompass storage stability and </w:t>
      </w:r>
      <w:r>
        <w:rPr>
          <w:rFonts w:eastAsia="Times New Roman" w:cs="Times New Roman"/>
        </w:rPr>
        <w:lastRenderedPageBreak/>
        <w:t>delivery, not only chemical composition immediately after extraction. These measurements would determine whether a promising response can be reproduced outside the laboratory.</w:t>
      </w:r>
    </w:p>
    <w:p w14:paraId="57098D54" w14:textId="77777777" w:rsidR="00C4379F" w:rsidRDefault="00000000">
      <w:pPr>
        <w:pStyle w:val="Heading2"/>
      </w:pPr>
      <w:r>
        <w:rPr>
          <w:rFonts w:ascii="Times New Roman" w:eastAsia="Times New Roman" w:hAnsi="Times New Roman" w:cs="Times New Roman"/>
        </w:rPr>
        <w:t>8.6 Comparing Applications Without Overstating Readiness</w:t>
      </w:r>
    </w:p>
    <w:p w14:paraId="247FBDF6" w14:textId="77777777" w:rsidR="00C4379F" w:rsidRDefault="00000000">
      <w:r>
        <w:rPr>
          <w:rFonts w:eastAsia="Times New Roman" w:cs="Times New Roman"/>
        </w:rPr>
        <w:t>The different utilisation routes should be compared against the same management objective but not forced into a single maturity ranking. Compost may have locally relevant field evidence yet still require better processing and economic data. Biochar may modify acidic soil properties but need clearer dose optimisation and life-cycle assessment. Botanical extracts may have well-defined laboratory activity yet remain far from a usable crop-protection product. These differences follow from the settings and endpoints of the studies, not from an assumption that one technological category is intrinsically preferable (</w:t>
      </w:r>
      <w:proofErr w:type="spellStart"/>
      <w:r>
        <w:rPr>
          <w:rFonts w:eastAsia="Times New Roman" w:cs="Times New Roman"/>
        </w:rPr>
        <w:t>Akinrinola</w:t>
      </w:r>
      <w:proofErr w:type="spellEnd"/>
      <w:r>
        <w:rPr>
          <w:rFonts w:eastAsia="Times New Roman" w:cs="Times New Roman"/>
        </w:rPr>
        <w:t xml:space="preserve"> &amp; Tijani-Eniola, 2022; Lorn et al., 2025; Nhung &amp; Quoc, 2024).</w:t>
      </w:r>
    </w:p>
    <w:p w14:paraId="53A7562A" w14:textId="77777777" w:rsidR="00C4379F" w:rsidRDefault="00000000">
      <w:r>
        <w:rPr>
          <w:rFonts w:eastAsia="Times New Roman" w:cs="Times New Roman"/>
        </w:rPr>
        <w:t>Table 5 compares representative applications and their unresolved implementation requirements. The most defensible common principle is to evaluate a defined processed product for a specified use, while checking that its supply pathway reduces rather than perpetuates the invasive population.</w:t>
      </w:r>
    </w:p>
    <w:p w14:paraId="55A17441" w14:textId="77777777" w:rsidR="00C4379F" w:rsidRDefault="00000000">
      <w:pPr>
        <w:keepNext/>
        <w:spacing w:before="140" w:after="40"/>
      </w:pPr>
      <w:r>
        <w:rPr>
          <w:rFonts w:eastAsia="Times New Roman" w:cs="Times New Roman"/>
          <w:b/>
          <w:sz w:val="22"/>
        </w:rPr>
        <w:t>Table 5</w:t>
      </w:r>
    </w:p>
    <w:p w14:paraId="2DF5CA24" w14:textId="77777777" w:rsidR="00C4379F" w:rsidRDefault="00000000">
      <w:pPr>
        <w:keepNext/>
      </w:pPr>
      <w:r>
        <w:rPr>
          <w:rFonts w:eastAsia="Times New Roman" w:cs="Times New Roman"/>
          <w:i/>
          <w:sz w:val="22"/>
        </w:rPr>
        <w:t>Agricultural utilisation pathways and their current evidential boundaries</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2AA6E90F" w14:textId="77777777">
        <w:trPr>
          <w:tblHeader/>
          <w:jc w:val="center"/>
        </w:trPr>
        <w:tc>
          <w:tcPr>
            <w:tcW w:w="1483" w:type="dxa"/>
            <w:shd w:val="clear" w:color="auto" w:fill="EEEEEE"/>
          </w:tcPr>
          <w:p w14:paraId="49588977" w14:textId="77777777" w:rsidR="00C4379F" w:rsidRDefault="00000000">
            <w:pPr>
              <w:keepNext/>
              <w:spacing w:after="40" w:line="245" w:lineRule="auto"/>
            </w:pPr>
            <w:r>
              <w:rPr>
                <w:rFonts w:eastAsia="Times New Roman" w:cs="Times New Roman"/>
                <w:b/>
                <w:sz w:val="20"/>
              </w:rPr>
              <w:t>Application</w:t>
            </w:r>
          </w:p>
        </w:tc>
        <w:tc>
          <w:tcPr>
            <w:tcW w:w="2664" w:type="dxa"/>
            <w:shd w:val="clear" w:color="auto" w:fill="EEEEEE"/>
          </w:tcPr>
          <w:p w14:paraId="649E7185" w14:textId="77777777" w:rsidR="00C4379F" w:rsidRDefault="00000000">
            <w:pPr>
              <w:keepNext/>
              <w:spacing w:after="40" w:line="245" w:lineRule="auto"/>
            </w:pPr>
            <w:r>
              <w:rPr>
                <w:rFonts w:eastAsia="Times New Roman" w:cs="Times New Roman"/>
                <w:b/>
                <w:sz w:val="20"/>
              </w:rPr>
              <w:t>Strongest relevant setting</w:t>
            </w:r>
          </w:p>
        </w:tc>
        <w:tc>
          <w:tcPr>
            <w:tcW w:w="3067" w:type="dxa"/>
            <w:shd w:val="clear" w:color="auto" w:fill="EEEEEE"/>
          </w:tcPr>
          <w:p w14:paraId="2D75EC9C" w14:textId="77777777" w:rsidR="00C4379F" w:rsidRDefault="00000000">
            <w:pPr>
              <w:keepNext/>
              <w:spacing w:after="40" w:line="245" w:lineRule="auto"/>
            </w:pPr>
            <w:r>
              <w:rPr>
                <w:rFonts w:eastAsia="Times New Roman" w:cs="Times New Roman"/>
                <w:b/>
                <w:sz w:val="20"/>
              </w:rPr>
              <w:t>Requirement before broader use</w:t>
            </w:r>
          </w:p>
        </w:tc>
        <w:tc>
          <w:tcPr>
            <w:tcW w:w="2146" w:type="dxa"/>
            <w:shd w:val="clear" w:color="auto" w:fill="EEEEEE"/>
          </w:tcPr>
          <w:p w14:paraId="2002E8BA" w14:textId="77777777" w:rsidR="00C4379F" w:rsidRDefault="00000000">
            <w:pPr>
              <w:keepNext/>
              <w:spacing w:after="40" w:line="245" w:lineRule="auto"/>
            </w:pPr>
            <w:r>
              <w:rPr>
                <w:rFonts w:eastAsia="Times New Roman" w:cs="Times New Roman"/>
                <w:b/>
                <w:sz w:val="20"/>
              </w:rPr>
              <w:t>Supporting references</w:t>
            </w:r>
          </w:p>
        </w:tc>
      </w:tr>
      <w:tr w:rsidR="00C4379F" w14:paraId="338C6E9F" w14:textId="77777777">
        <w:trPr>
          <w:cantSplit/>
          <w:jc w:val="center"/>
        </w:trPr>
        <w:tc>
          <w:tcPr>
            <w:tcW w:w="1483" w:type="dxa"/>
          </w:tcPr>
          <w:p w14:paraId="6047B4D8" w14:textId="77777777" w:rsidR="00C4379F" w:rsidRDefault="00000000">
            <w:pPr>
              <w:spacing w:after="20" w:line="250" w:lineRule="auto"/>
            </w:pPr>
            <w:r>
              <w:rPr>
                <w:rFonts w:eastAsia="Times New Roman" w:cs="Times New Roman"/>
                <w:sz w:val="20"/>
              </w:rPr>
              <w:t>Residue nutrient recovery</w:t>
            </w:r>
          </w:p>
        </w:tc>
        <w:tc>
          <w:tcPr>
            <w:tcW w:w="2664" w:type="dxa"/>
          </w:tcPr>
          <w:p w14:paraId="39F1BEDA" w14:textId="77777777" w:rsidR="00C4379F" w:rsidRDefault="00000000">
            <w:pPr>
              <w:spacing w:after="20" w:line="250" w:lineRule="auto"/>
            </w:pPr>
            <w:r>
              <w:rPr>
                <w:rFonts w:eastAsia="Times New Roman" w:cs="Times New Roman"/>
                <w:sz w:val="20"/>
              </w:rPr>
              <w:t>Biomass composition and decomposition-related nutrient-release work.</w:t>
            </w:r>
          </w:p>
        </w:tc>
        <w:tc>
          <w:tcPr>
            <w:tcW w:w="3067" w:type="dxa"/>
          </w:tcPr>
          <w:p w14:paraId="0A3378C1" w14:textId="77777777" w:rsidR="00C4379F" w:rsidRDefault="00000000">
            <w:pPr>
              <w:spacing w:after="20" w:line="250" w:lineRule="auto"/>
            </w:pPr>
            <w:r>
              <w:rPr>
                <w:rFonts w:eastAsia="Times New Roman" w:cs="Times New Roman"/>
                <w:sz w:val="20"/>
              </w:rPr>
              <w:t>Synchronise supply with crop demand and account for transport, losses and propagules.</w:t>
            </w:r>
          </w:p>
        </w:tc>
        <w:tc>
          <w:tcPr>
            <w:tcW w:w="2146" w:type="dxa"/>
          </w:tcPr>
          <w:p w14:paraId="73AC497E" w14:textId="77777777" w:rsidR="00C4379F" w:rsidRDefault="00000000">
            <w:pPr>
              <w:spacing w:after="20" w:line="250" w:lineRule="auto"/>
            </w:pPr>
            <w:r>
              <w:rPr>
                <w:rFonts w:eastAsia="Times New Roman" w:cs="Times New Roman"/>
                <w:sz w:val="20"/>
              </w:rPr>
              <w:t>(Quansah et al., 2001)</w:t>
            </w:r>
          </w:p>
        </w:tc>
      </w:tr>
      <w:tr w:rsidR="00C4379F" w14:paraId="09426248" w14:textId="77777777">
        <w:trPr>
          <w:cantSplit/>
          <w:jc w:val="center"/>
        </w:trPr>
        <w:tc>
          <w:tcPr>
            <w:tcW w:w="1483" w:type="dxa"/>
          </w:tcPr>
          <w:p w14:paraId="2D7C8961" w14:textId="77777777" w:rsidR="00C4379F" w:rsidRDefault="00000000">
            <w:pPr>
              <w:spacing w:after="20" w:line="250" w:lineRule="auto"/>
            </w:pPr>
            <w:r>
              <w:rPr>
                <w:rFonts w:eastAsia="Times New Roman" w:cs="Times New Roman"/>
                <w:sz w:val="20"/>
              </w:rPr>
              <w:t>Compost with fertiliser</w:t>
            </w:r>
          </w:p>
        </w:tc>
        <w:tc>
          <w:tcPr>
            <w:tcW w:w="2664" w:type="dxa"/>
          </w:tcPr>
          <w:p w14:paraId="1DAF09E2" w14:textId="77777777" w:rsidR="00C4379F" w:rsidRDefault="00000000">
            <w:pPr>
              <w:spacing w:after="20" w:line="250" w:lineRule="auto"/>
            </w:pPr>
            <w:r>
              <w:rPr>
                <w:rFonts w:eastAsia="Times New Roman" w:cs="Times New Roman"/>
                <w:sz w:val="20"/>
              </w:rPr>
              <w:t>Factorial pot and crop-field evaluation in tomato.</w:t>
            </w:r>
          </w:p>
        </w:tc>
        <w:tc>
          <w:tcPr>
            <w:tcW w:w="3067" w:type="dxa"/>
          </w:tcPr>
          <w:p w14:paraId="5F1AED0E" w14:textId="77777777" w:rsidR="00C4379F" w:rsidRDefault="00000000">
            <w:pPr>
              <w:spacing w:after="20" w:line="250" w:lineRule="auto"/>
            </w:pPr>
            <w:r>
              <w:rPr>
                <w:rFonts w:eastAsia="Times New Roman" w:cs="Times New Roman"/>
                <w:sz w:val="20"/>
              </w:rPr>
              <w:t>Replicate across sites and seasons; characterise maturity, safety and full input costs.</w:t>
            </w:r>
          </w:p>
        </w:tc>
        <w:tc>
          <w:tcPr>
            <w:tcW w:w="2146" w:type="dxa"/>
          </w:tcPr>
          <w:p w14:paraId="270516A4" w14:textId="77777777" w:rsidR="00C4379F" w:rsidRDefault="00000000">
            <w:pPr>
              <w:spacing w:after="20" w:line="250" w:lineRule="auto"/>
            </w:pPr>
            <w:r>
              <w:rPr>
                <w:rFonts w:eastAsia="Times New Roman" w:cs="Times New Roman"/>
                <w:sz w:val="20"/>
              </w:rPr>
              <w:t>(</w:t>
            </w:r>
            <w:proofErr w:type="spellStart"/>
            <w:r>
              <w:rPr>
                <w:rFonts w:eastAsia="Times New Roman" w:cs="Times New Roman"/>
                <w:sz w:val="20"/>
              </w:rPr>
              <w:t>Akinrinola</w:t>
            </w:r>
            <w:proofErr w:type="spellEnd"/>
            <w:r>
              <w:rPr>
                <w:rFonts w:eastAsia="Times New Roman" w:cs="Times New Roman"/>
                <w:sz w:val="20"/>
              </w:rPr>
              <w:t xml:space="preserve"> &amp; Tijani-Eniola, 2022)</w:t>
            </w:r>
          </w:p>
        </w:tc>
      </w:tr>
      <w:tr w:rsidR="00C4379F" w14:paraId="63BA187A" w14:textId="77777777">
        <w:trPr>
          <w:cantSplit/>
          <w:jc w:val="center"/>
        </w:trPr>
        <w:tc>
          <w:tcPr>
            <w:tcW w:w="1483" w:type="dxa"/>
          </w:tcPr>
          <w:p w14:paraId="52C10952" w14:textId="77777777" w:rsidR="00C4379F" w:rsidRDefault="00000000">
            <w:pPr>
              <w:spacing w:after="20" w:line="250" w:lineRule="auto"/>
            </w:pPr>
            <w:r>
              <w:rPr>
                <w:rFonts w:eastAsia="Times New Roman" w:cs="Times New Roman"/>
                <w:sz w:val="20"/>
              </w:rPr>
              <w:t>Biochar amendment</w:t>
            </w:r>
          </w:p>
        </w:tc>
        <w:tc>
          <w:tcPr>
            <w:tcW w:w="2664" w:type="dxa"/>
          </w:tcPr>
          <w:p w14:paraId="528F6C39" w14:textId="77777777" w:rsidR="00C4379F" w:rsidRDefault="00000000">
            <w:pPr>
              <w:spacing w:after="20" w:line="250" w:lineRule="auto"/>
            </w:pPr>
            <w:r>
              <w:rPr>
                <w:rFonts w:eastAsia="Times New Roman" w:cs="Times New Roman"/>
                <w:sz w:val="20"/>
              </w:rPr>
              <w:t>Crop and soil studies, including greenhouse evaluation in acidic sandy soil.</w:t>
            </w:r>
          </w:p>
        </w:tc>
        <w:tc>
          <w:tcPr>
            <w:tcW w:w="3067" w:type="dxa"/>
          </w:tcPr>
          <w:p w14:paraId="6337B3F3" w14:textId="77777777" w:rsidR="00C4379F" w:rsidRDefault="00000000">
            <w:pPr>
              <w:spacing w:after="20" w:line="250" w:lineRule="auto"/>
            </w:pPr>
            <w:r>
              <w:rPr>
                <w:rFonts w:eastAsia="Times New Roman" w:cs="Times New Roman"/>
                <w:sz w:val="20"/>
              </w:rPr>
              <w:t>Separate nutrient and liming effects, optimise field rates and assess the processing pathway.</w:t>
            </w:r>
          </w:p>
        </w:tc>
        <w:tc>
          <w:tcPr>
            <w:tcW w:w="2146" w:type="dxa"/>
          </w:tcPr>
          <w:p w14:paraId="6AFF6B09" w14:textId="77777777" w:rsidR="00C4379F" w:rsidRDefault="00000000">
            <w:pPr>
              <w:spacing w:after="20" w:line="250" w:lineRule="auto"/>
            </w:pPr>
            <w:r>
              <w:rPr>
                <w:rFonts w:eastAsia="Times New Roman" w:cs="Times New Roman"/>
                <w:sz w:val="20"/>
              </w:rPr>
              <w:t>(Lorn et al., 2017; Lorn et al., 2025)</w:t>
            </w:r>
          </w:p>
        </w:tc>
      </w:tr>
      <w:tr w:rsidR="00C4379F" w14:paraId="277453E8" w14:textId="77777777">
        <w:trPr>
          <w:cantSplit/>
          <w:jc w:val="center"/>
        </w:trPr>
        <w:tc>
          <w:tcPr>
            <w:tcW w:w="1483" w:type="dxa"/>
          </w:tcPr>
          <w:p w14:paraId="7549E2D9" w14:textId="77777777" w:rsidR="00C4379F" w:rsidRDefault="00000000">
            <w:pPr>
              <w:spacing w:after="20" w:line="250" w:lineRule="auto"/>
            </w:pPr>
            <w:r>
              <w:rPr>
                <w:rFonts w:eastAsia="Times New Roman" w:cs="Times New Roman"/>
                <w:sz w:val="20"/>
              </w:rPr>
              <w:t>Legacy-modifying amendment</w:t>
            </w:r>
          </w:p>
        </w:tc>
        <w:tc>
          <w:tcPr>
            <w:tcW w:w="2664" w:type="dxa"/>
          </w:tcPr>
          <w:p w14:paraId="2E909991" w14:textId="77777777" w:rsidR="00C4379F" w:rsidRDefault="00000000">
            <w:pPr>
              <w:spacing w:after="20" w:line="250" w:lineRule="auto"/>
            </w:pPr>
            <w:r>
              <w:rPr>
                <w:rFonts w:eastAsia="Times New Roman" w:cs="Times New Roman"/>
                <w:sz w:val="20"/>
              </w:rPr>
              <w:t>Pot responses in soils with different invasion histories.</w:t>
            </w:r>
          </w:p>
        </w:tc>
        <w:tc>
          <w:tcPr>
            <w:tcW w:w="3067" w:type="dxa"/>
          </w:tcPr>
          <w:p w14:paraId="7C601787" w14:textId="77777777" w:rsidR="00C4379F" w:rsidRDefault="00000000">
            <w:pPr>
              <w:spacing w:after="20" w:line="250" w:lineRule="auto"/>
            </w:pPr>
            <w:r>
              <w:rPr>
                <w:rFonts w:eastAsia="Times New Roman" w:cs="Times New Roman"/>
                <w:sz w:val="20"/>
              </w:rPr>
              <w:t>Measure native-community recovery and reinvasion under field conditions.</w:t>
            </w:r>
          </w:p>
        </w:tc>
        <w:tc>
          <w:tcPr>
            <w:tcW w:w="2146" w:type="dxa"/>
          </w:tcPr>
          <w:p w14:paraId="0D739DAB" w14:textId="77777777" w:rsidR="00C4379F" w:rsidRDefault="00000000">
            <w:pPr>
              <w:spacing w:after="20" w:line="250" w:lineRule="auto"/>
            </w:pPr>
            <w:r>
              <w:rPr>
                <w:rFonts w:eastAsia="Times New Roman" w:cs="Times New Roman"/>
                <w:sz w:val="20"/>
              </w:rPr>
              <w:t>(J. Li et al., 2025)</w:t>
            </w:r>
          </w:p>
        </w:tc>
      </w:tr>
      <w:tr w:rsidR="00C4379F" w14:paraId="52BDB981" w14:textId="77777777">
        <w:trPr>
          <w:cantSplit/>
          <w:jc w:val="center"/>
        </w:trPr>
        <w:tc>
          <w:tcPr>
            <w:tcW w:w="1483" w:type="dxa"/>
          </w:tcPr>
          <w:p w14:paraId="34C3BA42" w14:textId="77777777" w:rsidR="00C4379F" w:rsidRDefault="00000000">
            <w:pPr>
              <w:spacing w:after="20" w:line="250" w:lineRule="auto"/>
            </w:pPr>
            <w:r>
              <w:rPr>
                <w:rFonts w:eastAsia="Times New Roman" w:cs="Times New Roman"/>
                <w:sz w:val="20"/>
              </w:rPr>
              <w:t>Botanical herbicide</w:t>
            </w:r>
          </w:p>
        </w:tc>
        <w:tc>
          <w:tcPr>
            <w:tcW w:w="2664" w:type="dxa"/>
          </w:tcPr>
          <w:p w14:paraId="53CD3AAF" w14:textId="77777777" w:rsidR="00C4379F" w:rsidRDefault="00000000">
            <w:pPr>
              <w:spacing w:after="20" w:line="250" w:lineRule="auto"/>
            </w:pPr>
            <w:r>
              <w:rPr>
                <w:rFonts w:eastAsia="Times New Roman" w:cs="Times New Roman"/>
                <w:sz w:val="20"/>
              </w:rPr>
              <w:t>Extract fractionation and formulated early post-emergence testing.</w:t>
            </w:r>
          </w:p>
        </w:tc>
        <w:tc>
          <w:tcPr>
            <w:tcW w:w="3067" w:type="dxa"/>
          </w:tcPr>
          <w:p w14:paraId="03513B12" w14:textId="77777777" w:rsidR="00C4379F" w:rsidRDefault="00000000">
            <w:pPr>
              <w:spacing w:after="20" w:line="250" w:lineRule="auto"/>
            </w:pPr>
            <w:r>
              <w:rPr>
                <w:rFonts w:eastAsia="Times New Roman" w:cs="Times New Roman"/>
                <w:sz w:val="20"/>
              </w:rPr>
              <w:t>Demonstrate crop selectivity, sustained weed control and realistic field application.</w:t>
            </w:r>
          </w:p>
        </w:tc>
        <w:tc>
          <w:tcPr>
            <w:tcW w:w="2146" w:type="dxa"/>
          </w:tcPr>
          <w:p w14:paraId="5E53DFCE" w14:textId="77777777" w:rsidR="00C4379F" w:rsidRDefault="00000000">
            <w:pPr>
              <w:spacing w:after="20" w:line="250" w:lineRule="auto"/>
            </w:pPr>
            <w:r>
              <w:rPr>
                <w:rFonts w:eastAsia="Times New Roman" w:cs="Times New Roman"/>
                <w:sz w:val="20"/>
              </w:rPr>
              <w:t>(</w:t>
            </w:r>
            <w:proofErr w:type="spellStart"/>
            <w:r>
              <w:rPr>
                <w:rFonts w:eastAsia="Times New Roman" w:cs="Times New Roman"/>
                <w:sz w:val="20"/>
              </w:rPr>
              <w:t>Poonpaiboonpipat</w:t>
            </w:r>
            <w:proofErr w:type="spellEnd"/>
            <w:r>
              <w:rPr>
                <w:rFonts w:eastAsia="Times New Roman" w:cs="Times New Roman"/>
                <w:sz w:val="20"/>
              </w:rPr>
              <w:t xml:space="preserve"> et al., 2021)</w:t>
            </w:r>
          </w:p>
        </w:tc>
      </w:tr>
      <w:tr w:rsidR="00C4379F" w14:paraId="08B8722A" w14:textId="77777777">
        <w:trPr>
          <w:cantSplit/>
          <w:jc w:val="center"/>
        </w:trPr>
        <w:tc>
          <w:tcPr>
            <w:tcW w:w="1483" w:type="dxa"/>
          </w:tcPr>
          <w:p w14:paraId="53826846" w14:textId="77777777" w:rsidR="00C4379F" w:rsidRDefault="00000000">
            <w:pPr>
              <w:keepNext/>
              <w:spacing w:after="20" w:line="250" w:lineRule="auto"/>
            </w:pPr>
            <w:proofErr w:type="spellStart"/>
            <w:r>
              <w:rPr>
                <w:rFonts w:eastAsia="Times New Roman" w:cs="Times New Roman"/>
                <w:sz w:val="20"/>
              </w:rPr>
              <w:t>Nematicidal</w:t>
            </w:r>
            <w:proofErr w:type="spellEnd"/>
            <w:r>
              <w:rPr>
                <w:rFonts w:eastAsia="Times New Roman" w:cs="Times New Roman"/>
                <w:sz w:val="20"/>
              </w:rPr>
              <w:t xml:space="preserve"> preparation</w:t>
            </w:r>
          </w:p>
        </w:tc>
        <w:tc>
          <w:tcPr>
            <w:tcW w:w="2664" w:type="dxa"/>
          </w:tcPr>
          <w:p w14:paraId="4CE71A2C" w14:textId="77777777" w:rsidR="00C4379F" w:rsidRDefault="00000000">
            <w:pPr>
              <w:keepNext/>
              <w:spacing w:after="20" w:line="250" w:lineRule="auto"/>
            </w:pPr>
            <w:r>
              <w:rPr>
                <w:rFonts w:eastAsia="Times New Roman" w:cs="Times New Roman"/>
                <w:sz w:val="20"/>
              </w:rPr>
              <w:t>Laboratory assays and a banana pot system.</w:t>
            </w:r>
          </w:p>
        </w:tc>
        <w:tc>
          <w:tcPr>
            <w:tcW w:w="3067" w:type="dxa"/>
          </w:tcPr>
          <w:p w14:paraId="58E3F488" w14:textId="77777777" w:rsidR="00C4379F" w:rsidRDefault="00000000">
            <w:pPr>
              <w:keepNext/>
              <w:spacing w:after="20" w:line="250" w:lineRule="auto"/>
            </w:pPr>
            <w:r>
              <w:rPr>
                <w:rFonts w:eastAsia="Times New Roman" w:cs="Times New Roman"/>
                <w:sz w:val="20"/>
              </w:rPr>
              <w:t>Confirm crop benefit, dose feasibility, non-target effects and multi-site field performance.</w:t>
            </w:r>
          </w:p>
        </w:tc>
        <w:tc>
          <w:tcPr>
            <w:tcW w:w="2146" w:type="dxa"/>
          </w:tcPr>
          <w:p w14:paraId="3C28EA7C" w14:textId="77777777" w:rsidR="00C4379F" w:rsidRDefault="00000000">
            <w:pPr>
              <w:keepNext/>
              <w:spacing w:after="20" w:line="250" w:lineRule="auto"/>
            </w:pPr>
            <w:r>
              <w:rPr>
                <w:rFonts w:eastAsia="Times New Roman" w:cs="Times New Roman"/>
                <w:sz w:val="20"/>
              </w:rPr>
              <w:t>(Nhung &amp; Quoc, 2024)</w:t>
            </w:r>
          </w:p>
        </w:tc>
      </w:tr>
    </w:tbl>
    <w:p w14:paraId="270063F1" w14:textId="77777777" w:rsidR="00C4379F" w:rsidRDefault="00000000">
      <w:pPr>
        <w:spacing w:before="80" w:after="180" w:line="252" w:lineRule="auto"/>
      </w:pPr>
      <w:r>
        <w:rPr>
          <w:rFonts w:eastAsia="Times New Roman" w:cs="Times New Roman"/>
          <w:i/>
          <w:sz w:val="19"/>
        </w:rPr>
        <w:t xml:space="preserve">Note. </w:t>
      </w:r>
      <w:r>
        <w:rPr>
          <w:rFonts w:eastAsia="Times New Roman" w:cs="Times New Roman"/>
          <w:sz w:val="19"/>
        </w:rPr>
        <w:t>Field-equivalent rates in pots do not constitute field evidence. Utilisation is considered in the context of managed removal, not intentional introduction or cultivation.</w:t>
      </w:r>
    </w:p>
    <w:p w14:paraId="5506CE3F" w14:textId="77777777" w:rsidR="00C4379F" w:rsidRDefault="00000000">
      <w:pPr>
        <w:pStyle w:val="Heading1"/>
      </w:pPr>
      <w:r>
        <w:rPr>
          <w:rFonts w:ascii="Times New Roman" w:eastAsia="Times New Roman" w:hAnsi="Times New Roman" w:cs="Times New Roman"/>
        </w:rPr>
        <w:lastRenderedPageBreak/>
        <w:t>9. An Integrated Framework for Interpretation and Decision-Making</w:t>
      </w:r>
    </w:p>
    <w:p w14:paraId="01231B7C" w14:textId="77777777" w:rsidR="00C4379F" w:rsidRDefault="00000000">
      <w:pPr>
        <w:pStyle w:val="Heading2"/>
      </w:pPr>
      <w:r>
        <w:rPr>
          <w:rFonts w:ascii="Times New Roman" w:eastAsia="Times New Roman" w:hAnsi="Times New Roman" w:cs="Times New Roman"/>
        </w:rPr>
        <w:t>9.1 Material Identity, Exposure and Outcome</w:t>
      </w:r>
    </w:p>
    <w:p w14:paraId="3AE21A4C" w14:textId="77777777" w:rsidR="00C4379F" w:rsidRDefault="00000000">
      <w:r>
        <w:rPr>
          <w:rFonts w:eastAsia="Times New Roman" w:cs="Times New Roman"/>
        </w:rPr>
        <w:t xml:space="preserve">The synthesis supports an analytical sequence beginning with authenticated material and ending with a context-specific assessment of benefit and harm. Between those endpoints lie processing, chemical composition, exposure, mechanism and biological response. The sequence is a proposed decision framework, not a validated predictive model. Its purpose is to expose missing links that are obscured when a study's positive outcome is attributed broadly to </w:t>
      </w:r>
      <w:r>
        <w:rPr>
          <w:rFonts w:eastAsia="Times New Roman" w:cs="Times New Roman"/>
          <w:i/>
        </w:rPr>
        <w:t>C. odorata</w:t>
      </w:r>
      <w:r>
        <w:rPr>
          <w:rFonts w:eastAsia="Times New Roman" w:cs="Times New Roman"/>
        </w:rPr>
        <w:t>.</w:t>
      </w:r>
    </w:p>
    <w:p w14:paraId="0F179C92" w14:textId="77777777" w:rsidR="00C4379F" w:rsidRDefault="00000000">
      <w:r>
        <w:rPr>
          <w:rFonts w:eastAsia="Times New Roman" w:cs="Times New Roman"/>
        </w:rPr>
        <w:t xml:space="preserve">Material identity is the first gate. A root extract cannot inherit the safety interpretation of a sampled leaf preparation, and a biochar cannot inherit the chemical profile of its feedstock. Exposure is the second gate. A constituent detected in plant tissue may never reach a neighbouring root, microbial target or mammalian tissue at the active concentration. The organ differences in alkaloids, the formulation dependence of activity and the effects of soil treatment show why these gates must be assessed separately (Biller et al., 1994; J. Li et al., 2025; </w:t>
      </w:r>
      <w:proofErr w:type="spellStart"/>
      <w:r>
        <w:rPr>
          <w:rFonts w:eastAsia="Times New Roman" w:cs="Times New Roman"/>
        </w:rPr>
        <w:t>Omokhua-Uyi</w:t>
      </w:r>
      <w:proofErr w:type="spellEnd"/>
      <w:r>
        <w:rPr>
          <w:rFonts w:eastAsia="Times New Roman" w:cs="Times New Roman"/>
        </w:rPr>
        <w:t xml:space="preserve"> et al., 2020).</w:t>
      </w:r>
    </w:p>
    <w:p w14:paraId="17DE4C82" w14:textId="77777777" w:rsidR="00C4379F" w:rsidRDefault="00000000">
      <w:r>
        <w:rPr>
          <w:rFonts w:eastAsia="Times New Roman" w:cs="Times New Roman"/>
        </w:rPr>
        <w:t>The third gate is endpoint relevance. Germination inhibition is relevant to a seedling assay, but its connection to long-term vegetation recovery requires further evidence. Wound contraction is relevant to the animal model but does not establish clinical benefit. A higher soil nutrient concentration is relevant to soil chemistry but may not identify the crop-optimal amendment rate. These are not merely caveats added after a positive finding; they define what the finding means (Abdul Latif et al., 2024; Lorn et al., 2025).</w:t>
      </w:r>
    </w:p>
    <w:p w14:paraId="4629C4EF" w14:textId="77777777" w:rsidR="00C4379F" w:rsidRDefault="00000000">
      <w:r>
        <w:rPr>
          <w:rFonts w:eastAsia="Times New Roman" w:cs="Times New Roman"/>
        </w:rPr>
        <w:t>A fourth gate concerns comparison with alternatives. A product can produce a statistically detectable effect yet offer little advantage over an inexpensive available treatment. Conversely, moderate efficacy could still be useful in a restricted setting if handling, safety and resource requirements are favourable. The appropriate comparison is therefore the complete management option, including follow-up and environmental consequences, rather than the plant-derived product against an untreated control alone.</w:t>
      </w:r>
    </w:p>
    <w:p w14:paraId="4B74D705" w14:textId="77777777" w:rsidR="00C4379F" w:rsidRDefault="00000000">
      <w:pPr>
        <w:pStyle w:val="Heading2"/>
      </w:pPr>
      <w:r>
        <w:rPr>
          <w:rFonts w:ascii="Times New Roman" w:eastAsia="Times New Roman" w:hAnsi="Times New Roman" w:cs="Times New Roman"/>
        </w:rPr>
        <w:t>9.2 Separating Utilisation Value from Invasion Value</w:t>
      </w:r>
    </w:p>
    <w:p w14:paraId="5C69BE9F" w14:textId="77777777" w:rsidR="00C4379F" w:rsidRDefault="00000000">
      <w:r>
        <w:rPr>
          <w:rFonts w:eastAsia="Times New Roman" w:cs="Times New Roman"/>
        </w:rPr>
        <w:t>Economic value in harvested biomass does not establish a benefit from retaining an infestation. The relevant comparison is between managed removal with recovery and other ways of achieving the same ecological or agricultural goal. Where recovery creates incentives to protect source stands, move propagules or delay control, the product's local value may conflict with the management objective. This is a governance question that chemical potency or crop-yield data cannot answer.</w:t>
      </w:r>
    </w:p>
    <w:p w14:paraId="5FC2B180" w14:textId="77777777" w:rsidR="00C4379F" w:rsidRDefault="00000000">
      <w:r>
        <w:rPr>
          <w:rFonts w:eastAsia="Times New Roman" w:cs="Times New Roman"/>
        </w:rPr>
        <w:t>A removal-linked supply system would therefore need traceable sourcing, restrictions on reproductive material and monitoring of reinvasion. Its performance should be judged by the trajectory of the invaded area as well as by product output. These are proposed safeguards derived from the species' demographic behaviour and from evidence that treatment success depends on the endpoint chosen; they are not claims that an established commercial system has already met those conditions (</w:t>
      </w:r>
      <w:proofErr w:type="spellStart"/>
      <w:r>
        <w:rPr>
          <w:rFonts w:eastAsia="Times New Roman" w:cs="Times New Roman"/>
        </w:rPr>
        <w:t>te</w:t>
      </w:r>
      <w:proofErr w:type="spellEnd"/>
      <w:r>
        <w:rPr>
          <w:rFonts w:eastAsia="Times New Roman" w:cs="Times New Roman"/>
        </w:rPr>
        <w:t xml:space="preserve"> </w:t>
      </w:r>
      <w:proofErr w:type="spellStart"/>
      <w:r>
        <w:rPr>
          <w:rFonts w:eastAsia="Times New Roman" w:cs="Times New Roman"/>
        </w:rPr>
        <w:t>Beest</w:t>
      </w:r>
      <w:proofErr w:type="spellEnd"/>
      <w:r>
        <w:rPr>
          <w:rFonts w:eastAsia="Times New Roman" w:cs="Times New Roman"/>
        </w:rPr>
        <w:t xml:space="preserve"> et al., 2012; Witkowski &amp; Wilson, 2001).</w:t>
      </w:r>
    </w:p>
    <w:p w14:paraId="4B20703D" w14:textId="77777777" w:rsidR="00C4379F" w:rsidRDefault="00000000">
      <w:r>
        <w:rPr>
          <w:rFonts w:eastAsia="Times New Roman" w:cs="Times New Roman"/>
        </w:rPr>
        <w:t xml:space="preserve">The framework also clarifies apparent contradictions. Nutrient enrichment and biodiversity loss can coexist because they are different outcomes. Antimicrobial activity and pathogen-mediated interference can coexist because concentrations and biological communities differ. Fresh-extract </w:t>
      </w:r>
      <w:r>
        <w:rPr>
          <w:rFonts w:eastAsia="Times New Roman" w:cs="Times New Roman"/>
        </w:rPr>
        <w:lastRenderedPageBreak/>
        <w:t>inhibition and compost-associated crop growth can coexist because processing changes the intervention. Reconciliation does not require declaring one result incorrect; it requires defining the conditions under which each result was obtained (</w:t>
      </w:r>
      <w:proofErr w:type="spellStart"/>
      <w:r>
        <w:rPr>
          <w:rFonts w:eastAsia="Times New Roman" w:cs="Times New Roman"/>
        </w:rPr>
        <w:t>Akinrinola</w:t>
      </w:r>
      <w:proofErr w:type="spellEnd"/>
      <w:r>
        <w:rPr>
          <w:rFonts w:eastAsia="Times New Roman" w:cs="Times New Roman"/>
        </w:rPr>
        <w:t xml:space="preserve"> &amp; Tijani-Eniola, 2022; Mangla et al., 2008; </w:t>
      </w:r>
      <w:proofErr w:type="spellStart"/>
      <w:r>
        <w:rPr>
          <w:rFonts w:eastAsia="Times New Roman" w:cs="Times New Roman"/>
        </w:rPr>
        <w:t>Poonpaiboonpipat</w:t>
      </w:r>
      <w:proofErr w:type="spellEnd"/>
      <w:r>
        <w:rPr>
          <w:rFonts w:eastAsia="Times New Roman" w:cs="Times New Roman"/>
        </w:rPr>
        <w:t xml:space="preserve"> et al., 2021).</w:t>
      </w:r>
    </w:p>
    <w:p w14:paraId="367EADDA" w14:textId="77777777" w:rsidR="00C4379F" w:rsidRDefault="00000000">
      <w:pPr>
        <w:pStyle w:val="Heading1"/>
      </w:pPr>
      <w:r>
        <w:rPr>
          <w:rFonts w:ascii="Times New Roman" w:eastAsia="Times New Roman" w:hAnsi="Times New Roman" w:cs="Times New Roman"/>
        </w:rPr>
        <w:t>10. Future Directions</w:t>
      </w:r>
    </w:p>
    <w:p w14:paraId="34E047EE" w14:textId="77777777" w:rsidR="00C4379F" w:rsidRDefault="00000000">
      <w:pPr>
        <w:pStyle w:val="Heading2"/>
      </w:pPr>
      <w:r>
        <w:rPr>
          <w:rFonts w:ascii="Times New Roman" w:eastAsia="Times New Roman" w:hAnsi="Times New Roman" w:cs="Times New Roman"/>
        </w:rPr>
        <w:t>10.1 Build Comparable, Provenance-Resolved Experimental Materials</w:t>
      </w:r>
    </w:p>
    <w:p w14:paraId="1B345718" w14:textId="77777777" w:rsidR="00C4379F" w:rsidRDefault="00000000">
      <w:r>
        <w:rPr>
          <w:rFonts w:eastAsia="Times New Roman" w:cs="Times New Roman"/>
        </w:rPr>
        <w:t>An immediate priority is a shared minimum description of biological material. Future investigations should connect a deposited voucher to population origin, organ, developmental stage, harvest conditions, storage and processing. Where invasive biotypes are relevant, they should be identified rather than assumed from country alone. Sampling several populations and repeating collections across seasons would permit variation among plants to be distinguished from variation introduced during extraction. The need follows directly from lineage differentiation and organ-specific chemistry (Biller et al., 1994; Shao et al., 2018).</w:t>
      </w:r>
    </w:p>
    <w:p w14:paraId="41FE0132" w14:textId="77777777" w:rsidR="00C4379F" w:rsidRDefault="00000000">
      <w:r>
        <w:rPr>
          <w:rFonts w:eastAsia="Times New Roman" w:cs="Times New Roman"/>
        </w:rPr>
        <w:t>Chemical characterisation should identify the level of certainty assigned to each constituent. Tentative mass-spectral matches should not be presented as confirmed structures, and total-phenolic assays should not replace quantification of relevant active or hazardous compounds. Reference materials, recovery tests and reporting of extraction yield would improve comparisons. For complex preparations, a combination of chemical fingerprints and biological acceptance criteria may be more informative than standardisation to one abundant compound that has not been shown to determine activity.</w:t>
      </w:r>
    </w:p>
    <w:p w14:paraId="4880ADF6" w14:textId="77777777" w:rsidR="00C4379F" w:rsidRDefault="00000000">
      <w:pPr>
        <w:pStyle w:val="Heading2"/>
      </w:pPr>
      <w:r>
        <w:rPr>
          <w:rFonts w:ascii="Times New Roman" w:eastAsia="Times New Roman" w:hAnsi="Times New Roman" w:cs="Times New Roman"/>
        </w:rPr>
        <w:t>10.2 Test Field Allelopathy Through Measured Exposure</w:t>
      </w:r>
    </w:p>
    <w:p w14:paraId="0B9E8532" w14:textId="77777777" w:rsidR="00C4379F" w:rsidRDefault="00000000">
      <w:r>
        <w:rPr>
          <w:rFonts w:eastAsia="Times New Roman" w:cs="Times New Roman"/>
        </w:rPr>
        <w:t>The key ecological experiment is not another demonstration that a concentrated extract suppresses a sensitive seedling. It is a replicated field or realistic soil experiment that measures candidate compounds, manipulates their availability and tracks recipient responses while controlling resource competition and microbial effects. Comparisons across invaded and native-range settings would be most informative when substrate and receiver identity are specified rather than treated as interchangeable background conditions (Mangla et al., 2008; Qin et al., 2013).</w:t>
      </w:r>
    </w:p>
    <w:p w14:paraId="5B6885EF" w14:textId="77777777" w:rsidR="00C4379F" w:rsidRDefault="00000000">
      <w:r>
        <w:rPr>
          <w:rFonts w:eastAsia="Times New Roman" w:cs="Times New Roman"/>
        </w:rPr>
        <w:t>Repeated sampling through rainfall, litter decomposition and plant development should establish whether exposure is transient or sustained. Chemical removal and add-back experiments could strengthen causal attribution when paired with appropriate controls for nutrient and sorbent effects. The desired outcome is a quantitative account of how much of a field response is attributable to chemistry, not merely another indication that chemical interference is possible. Evidence that a proposed compound is absent or below an effective concentration should be reported as informative negative evidence.</w:t>
      </w:r>
    </w:p>
    <w:p w14:paraId="53E7198F" w14:textId="77777777" w:rsidR="00C4379F" w:rsidRDefault="00000000">
      <w:pPr>
        <w:pStyle w:val="Heading2"/>
      </w:pPr>
      <w:r>
        <w:rPr>
          <w:rFonts w:ascii="Times New Roman" w:eastAsia="Times New Roman" w:hAnsi="Times New Roman" w:cs="Times New Roman"/>
        </w:rPr>
        <w:t>10.3 Advance Agricultural Products Through Comparator-Based Field Trials</w:t>
      </w:r>
    </w:p>
    <w:p w14:paraId="63CC66D4" w14:textId="77777777" w:rsidR="00C4379F" w:rsidRDefault="00000000">
      <w:r>
        <w:rPr>
          <w:rFonts w:eastAsia="Times New Roman" w:cs="Times New Roman"/>
        </w:rPr>
        <w:t xml:space="preserve">For compost and biochar, the next priority is replicated, multi-season field evaluation across contrasting soils. Trials should compare realistic alternative amendments and separate nutrient supply, pH adjustment and other product effects. Crop yield and quality should be accompanied by plant nutrient recovery, soil properties, input requirements and the survival of weed propagules in the processed product. These measurements would test whether locally favourable responses persist </w:t>
      </w:r>
      <w:r>
        <w:rPr>
          <w:rFonts w:eastAsia="Times New Roman" w:cs="Times New Roman"/>
        </w:rPr>
        <w:lastRenderedPageBreak/>
        <w:t>beyond the conditions of the existing experiments (</w:t>
      </w:r>
      <w:proofErr w:type="spellStart"/>
      <w:r>
        <w:rPr>
          <w:rFonts w:eastAsia="Times New Roman" w:cs="Times New Roman"/>
        </w:rPr>
        <w:t>Akinrinola</w:t>
      </w:r>
      <w:proofErr w:type="spellEnd"/>
      <w:r>
        <w:rPr>
          <w:rFonts w:eastAsia="Times New Roman" w:cs="Times New Roman"/>
        </w:rPr>
        <w:t xml:space="preserve"> &amp; Tijani-Eniola, 2022; Lorn et al., 2025).</w:t>
      </w:r>
    </w:p>
    <w:p w14:paraId="3391B1BA" w14:textId="77777777" w:rsidR="00C4379F" w:rsidRDefault="00000000">
      <w:r>
        <w:rPr>
          <w:rFonts w:eastAsia="Times New Roman" w:cs="Times New Roman"/>
        </w:rPr>
        <w:t xml:space="preserve">For botanical herbicides and </w:t>
      </w:r>
      <w:proofErr w:type="spellStart"/>
      <w:r>
        <w:rPr>
          <w:rFonts w:eastAsia="Times New Roman" w:cs="Times New Roman"/>
        </w:rPr>
        <w:t>nematicidal</w:t>
      </w:r>
      <w:proofErr w:type="spellEnd"/>
      <w:r>
        <w:rPr>
          <w:rFonts w:eastAsia="Times New Roman" w:cs="Times New Roman"/>
        </w:rPr>
        <w:t xml:space="preserve"> preparations, dose-response work should precede field recommendation. The same batch should be evaluated for target control, crop tolerance, formulation effects and relevant non-target responses. Comparisons with accepted management practices need equivalent timing and realistic application conditions. The essential endpoint is a reproducible management benefit, such as reduced crop damage or improved yield, rather than mortality or injury measured without its agricultural consequence (Nhung &amp; Quoc, 2024; </w:t>
      </w:r>
      <w:proofErr w:type="spellStart"/>
      <w:r>
        <w:rPr>
          <w:rFonts w:eastAsia="Times New Roman" w:cs="Times New Roman"/>
        </w:rPr>
        <w:t>Poonpaiboonpipat</w:t>
      </w:r>
      <w:proofErr w:type="spellEnd"/>
      <w:r>
        <w:rPr>
          <w:rFonts w:eastAsia="Times New Roman" w:cs="Times New Roman"/>
        </w:rPr>
        <w:t xml:space="preserve"> et al., 2021).</w:t>
      </w:r>
    </w:p>
    <w:p w14:paraId="775BF6D2" w14:textId="77777777" w:rsidR="00C4379F" w:rsidRDefault="00000000">
      <w:r>
        <w:rPr>
          <w:rFonts w:eastAsia="Times New Roman" w:cs="Times New Roman"/>
        </w:rPr>
        <w:t>Processing studies should measure what is removed, retained and generated. They should establish whether viable seeds persist and whether relevant toxic constituents are reduced, transformed or concentrated. This would connect weed-control safeguards with product quality instead of treating them as separate administrative concerns. At field scale, the movement of material between sites should be documented so that a successful crop response is not obtained at the cost of spreading the source species.</w:t>
      </w:r>
    </w:p>
    <w:p w14:paraId="1E18D6B8" w14:textId="77777777" w:rsidR="00C4379F" w:rsidRDefault="00000000">
      <w:pPr>
        <w:pStyle w:val="Heading2"/>
      </w:pPr>
      <w:r>
        <w:rPr>
          <w:rFonts w:ascii="Times New Roman" w:eastAsia="Times New Roman" w:hAnsi="Times New Roman" w:cs="Times New Roman"/>
        </w:rPr>
        <w:t>10.4 Strengthen Pharmacological Translation and Safety Assessment</w:t>
      </w:r>
    </w:p>
    <w:p w14:paraId="39F21135" w14:textId="77777777" w:rsidR="00C4379F" w:rsidRDefault="00000000">
      <w:r>
        <w:rPr>
          <w:rFonts w:eastAsia="Times New Roman" w:cs="Times New Roman"/>
        </w:rPr>
        <w:t xml:space="preserve">The priority for biologically active compounds is to move from assay repetition to selective, mechanistically informative experiments. Antimicrobial leads need confirmation across appropriate strains, target-site exposure and host-cell tolerance. Wound-related formulations need rigorous evaluation of irritation, sensitisation, healing quality and relevant disease contexts before clinical effectiveness can be inferred. Where early studies involve multiple observations from one organism, the experimental unit and statistical dependence should be specified in advance (Abdul Latif et al., 2024; </w:t>
      </w:r>
      <w:proofErr w:type="spellStart"/>
      <w:r>
        <w:rPr>
          <w:rFonts w:eastAsia="Times New Roman" w:cs="Times New Roman"/>
        </w:rPr>
        <w:t>Omokhua-Uyi</w:t>
      </w:r>
      <w:proofErr w:type="spellEnd"/>
      <w:r>
        <w:rPr>
          <w:rFonts w:eastAsia="Times New Roman" w:cs="Times New Roman"/>
        </w:rPr>
        <w:t xml:space="preserve"> et al., 2020; </w:t>
      </w:r>
      <w:proofErr w:type="spellStart"/>
      <w:r>
        <w:rPr>
          <w:rFonts w:eastAsia="Times New Roman" w:cs="Times New Roman"/>
        </w:rPr>
        <w:t>Omokhua-Uyi</w:t>
      </w:r>
      <w:proofErr w:type="spellEnd"/>
      <w:r>
        <w:rPr>
          <w:rFonts w:eastAsia="Times New Roman" w:cs="Times New Roman"/>
        </w:rPr>
        <w:t xml:space="preserve"> et al., 2023).</w:t>
      </w:r>
    </w:p>
    <w:p w14:paraId="168AF938" w14:textId="77777777" w:rsidR="00C4379F" w:rsidRDefault="00000000">
      <w:r>
        <w:rPr>
          <w:rFonts w:eastAsia="Times New Roman" w:cs="Times New Roman"/>
        </w:rPr>
        <w:t>Safety studies should examine the actual intended preparation and exposure route. Repeated exposure, metabolite formation and chemical hazard markers deserve priority over a stand-alone acute mortality result. The organ distribution of pyrrolizidine alkaloids means that source material cannot be treated as a minor manufacturing detail. Progress towards human use requires evidence that the active exposure can be separated from unacceptable toxicity, not simply that both activity and traditional use have been reported (Biller et al., 1994; Juan et al., 2022; Moreira et al., 2018).</w:t>
      </w:r>
    </w:p>
    <w:p w14:paraId="6C87A073" w14:textId="77777777" w:rsidR="00C4379F" w:rsidRDefault="00000000">
      <w:pPr>
        <w:pStyle w:val="Heading2"/>
      </w:pPr>
      <w:r>
        <w:rPr>
          <w:rFonts w:ascii="Times New Roman" w:eastAsia="Times New Roman" w:hAnsi="Times New Roman" w:cs="Times New Roman"/>
        </w:rPr>
        <w:t>10.5 Evaluate Net Benefits and Incentives</w:t>
      </w:r>
    </w:p>
    <w:p w14:paraId="2A234414" w14:textId="77777777" w:rsidR="00C4379F" w:rsidRDefault="00000000">
      <w:r>
        <w:rPr>
          <w:rFonts w:eastAsia="Times New Roman" w:cs="Times New Roman"/>
        </w:rPr>
        <w:t>Longer-term work should link product trials to invasion trajectories and complete resource accounting. Pilot utilisation programmes could compare removal with product recovery against removal without recovery, measuring costs, reinvasion, native vegetation and product performance. Such comparisons should include sites where the intervention fails or is abandoned, because favourable demonstration sites alone cannot reveal the durability of the approach.</w:t>
      </w:r>
    </w:p>
    <w:p w14:paraId="25F7871D" w14:textId="77777777" w:rsidR="00C4379F" w:rsidRDefault="00000000">
      <w:r>
        <w:rPr>
          <w:rFonts w:eastAsia="Times New Roman" w:cs="Times New Roman"/>
        </w:rPr>
        <w:t>A useful outcome would be a decision rule specifying when recovery improves an existing control programme and when it creates an incentive to maintain the weed. This requires ecological, economic and institutional evidence alongside laboratory chemistry. The objective is not to maximise the number of possible uses, but to identify a limited set of applications that remain beneficial after processing costs, exposure risks and effects on invasion management are included.</w:t>
      </w:r>
    </w:p>
    <w:p w14:paraId="240720D4" w14:textId="77777777" w:rsidR="00C4379F" w:rsidRDefault="00000000">
      <w:pPr>
        <w:pStyle w:val="Heading1"/>
      </w:pPr>
      <w:r>
        <w:rPr>
          <w:rFonts w:ascii="Times New Roman" w:eastAsia="Times New Roman" w:hAnsi="Times New Roman" w:cs="Times New Roman"/>
        </w:rPr>
        <w:lastRenderedPageBreak/>
        <w:t>11. Conclusions</w:t>
      </w:r>
    </w:p>
    <w:p w14:paraId="40832ED2" w14:textId="77777777" w:rsidR="00C4379F" w:rsidRDefault="00000000">
      <w:r>
        <w:rPr>
          <w:rFonts w:eastAsia="Times New Roman" w:cs="Times New Roman"/>
          <w:i/>
        </w:rPr>
        <w:t>C. odorata</w:t>
      </w:r>
      <w:r>
        <w:rPr>
          <w:rFonts w:eastAsia="Times New Roman" w:cs="Times New Roman"/>
        </w:rPr>
        <w:t xml:space="preserve"> is best understood as a variable biological system whose ecological effects and utilisation potential depend on provenance, environment, plant organ, processing and exposure. The evidence supports several interacting mechanisms of invasion, including resource-dependent competition, demographic traits and soil-mediated effects. It does not support a universally superior invasive phenotype or a single mechanism that explains performance across habitats. Successful control must therefore be distinguished from restoration of the intended vegetation and soil functions.</w:t>
      </w:r>
    </w:p>
    <w:p w14:paraId="03A804E9" w14:textId="77777777" w:rsidR="00C4379F" w:rsidRDefault="00000000">
      <w:r>
        <w:rPr>
          <w:rFonts w:eastAsia="Times New Roman" w:cs="Times New Roman"/>
        </w:rPr>
        <w:t xml:space="preserve">Phytochemical research provides credible evidence for diverse constituents and experimentally demonstrable biological activities. Structure-confirmed compounds and mechanistic cellular studies strengthen selected interpretations, while animal and formulated-delivery work </w:t>
      </w:r>
      <w:proofErr w:type="gramStart"/>
      <w:r>
        <w:rPr>
          <w:rFonts w:eastAsia="Times New Roman" w:cs="Times New Roman"/>
        </w:rPr>
        <w:t>extends</w:t>
      </w:r>
      <w:proofErr w:type="gramEnd"/>
      <w:r>
        <w:rPr>
          <w:rFonts w:eastAsia="Times New Roman" w:cs="Times New Roman"/>
        </w:rPr>
        <w:t xml:space="preserve"> the evidence beyond biochemical screening. These advances remain insufficient to establish general clinical effectiveness or safety. Chemical-class hazards, batch variation and the distinction between acute and repeated exposure require explicit attention.</w:t>
      </w:r>
    </w:p>
    <w:p w14:paraId="5FD11138" w14:textId="77777777" w:rsidR="00C4379F" w:rsidRDefault="00000000">
      <w:r>
        <w:rPr>
          <w:rFonts w:eastAsia="Times New Roman" w:cs="Times New Roman"/>
        </w:rPr>
        <w:t>Allelopathic potential is supported more securely than its quantitative contribution to field invasion. Concentrated extracts and formulated fractions can inhibit plants without proving that naturally released compounds reach equivalent exposures in soil. Agricultural applications should consequently be judged on their own evidence rather than justified by the ecological reputation of the source species. Compost has some direct crop-field support, whereas biochar and pest-directed preparations require further evaluation of context, dose, comparators and non-target effects.</w:t>
      </w:r>
    </w:p>
    <w:p w14:paraId="728E827C" w14:textId="77777777" w:rsidR="00C4379F" w:rsidRDefault="00000000">
      <w:r>
        <w:rPr>
          <w:rFonts w:eastAsia="Times New Roman" w:cs="Times New Roman"/>
        </w:rPr>
        <w:t>The central synthesis is that activity, effectiveness and net benefit are separate claims. Fresh residues, compost, biochar, oils and isolated compounds should be treated as distinct interventions, with properties established for the actual material used. Biomass recovery can be considered where it assists containment or removal, but useful products do not justify spreading or maintaining an invasive population. The most productive research agenda connects verified material identity and realistic exposure to meaningful outcomes, explicit safety assessment and management systems that reduce invasion rather than depend on it.</w:t>
      </w:r>
    </w:p>
    <w:p w14:paraId="6030B386" w14:textId="77777777" w:rsidR="00C4379F" w:rsidRDefault="00000000">
      <w:pPr>
        <w:pStyle w:val="Heading1"/>
      </w:pPr>
      <w:r>
        <w:rPr>
          <w:rFonts w:ascii="Times New Roman" w:eastAsia="Times New Roman" w:hAnsi="Times New Roman" w:cs="Times New Roman"/>
        </w:rPr>
        <w:t>12. Limitations</w:t>
      </w:r>
    </w:p>
    <w:p w14:paraId="47640BD9" w14:textId="77777777" w:rsidR="00C4379F" w:rsidRDefault="00000000">
      <w:r>
        <w:rPr>
          <w:rFonts w:eastAsia="Times New Roman" w:cs="Times New Roman"/>
        </w:rPr>
        <w:t>As a critical narrative review, this synthesis remains vulnerable to selection and interpretive bias despite an explicit search strategy and structured appraisal of evidential strength. Literature selection was purposive rather than exhaustive, and no independent duplicate screening or formal study-level risk-of-bias scoring was performed. The review therefore does not estimate the complete distribution of positive and negative findings in the field.</w:t>
      </w:r>
    </w:p>
    <w:p w14:paraId="64275A72" w14:textId="77777777" w:rsidR="00C4379F" w:rsidRDefault="00000000">
      <w:r>
        <w:rPr>
          <w:rFonts w:eastAsia="Times New Roman" w:cs="Times New Roman"/>
        </w:rPr>
        <w:t>Accessible scholarly records and English-language material or records shaped the evidence base. Some sources were available only through authoritative abstracts, restricting their use to explicitly reported information and limiting detailed assessment of methods. Regional searches improved coverage but did not eliminate geographical or language imbalance. The publication endpoint also means that later substantive findings are outside the synthesis.</w:t>
      </w:r>
    </w:p>
    <w:p w14:paraId="54C5C6B7" w14:textId="77777777" w:rsidR="00C4379F" w:rsidRDefault="00000000">
      <w:pPr>
        <w:rPr>
          <w:rFonts w:eastAsia="Times New Roman" w:cs="Times New Roman"/>
        </w:rPr>
      </w:pPr>
      <w:r>
        <w:rPr>
          <w:rFonts w:eastAsia="Times New Roman" w:cs="Times New Roman"/>
        </w:rPr>
        <w:t xml:space="preserve">Differences in provenance, plant organs, extraction procedures, dose expression, comparator treatments and outcome measurements prevented meaningful quantitative pooling. Chemical annotation and toxicity reporting were uneven, and the agricultural evidence included considerably more controlled assays and pot experiments than replicated, long-term field evaluations. Publication </w:t>
      </w:r>
      <w:r>
        <w:rPr>
          <w:rFonts w:eastAsia="Times New Roman" w:cs="Times New Roman"/>
        </w:rPr>
        <w:lastRenderedPageBreak/>
        <w:t>bias towards positive biological activity remains possible. The proposed decision framework is an interpretive synthesis rather than a validated model, and its safeguards require empirical testing in actual utilisation programmes.</w:t>
      </w:r>
    </w:p>
    <w:p w14:paraId="78F1D192" w14:textId="77777777" w:rsidR="00377587" w:rsidRDefault="00377587" w:rsidP="00377587">
      <w:pPr>
        <w:spacing w:after="0" w:line="240" w:lineRule="auto"/>
        <w:rPr>
          <w:rFonts w:cs="Times New Roman"/>
          <w:b/>
        </w:rPr>
      </w:pPr>
      <w:r w:rsidRPr="000839CE">
        <w:rPr>
          <w:rFonts w:cs="Times New Roman"/>
          <w:b/>
        </w:rPr>
        <w:t>Declaration of AI Use</w:t>
      </w:r>
    </w:p>
    <w:p w14:paraId="7001D8A7" w14:textId="77777777" w:rsidR="00377587" w:rsidRDefault="00377587" w:rsidP="00377587">
      <w:pPr>
        <w:spacing w:after="0" w:line="240" w:lineRule="auto"/>
        <w:rPr>
          <w:rFonts w:cs="Times New Roman"/>
          <w:b/>
        </w:rPr>
      </w:pPr>
    </w:p>
    <w:p w14:paraId="11E1805F" w14:textId="77777777" w:rsidR="00377587" w:rsidRDefault="00377587" w:rsidP="00377587">
      <w:pPr>
        <w:spacing w:after="0" w:line="240" w:lineRule="auto"/>
        <w:rPr>
          <w:rFonts w:cs="Times New Roman"/>
          <w:b/>
        </w:rPr>
      </w:pPr>
    </w:p>
    <w:p w14:paraId="1306802D" w14:textId="77777777" w:rsidR="00377587" w:rsidRDefault="00377587" w:rsidP="00377587">
      <w:pPr>
        <w:spacing w:after="0" w:line="240" w:lineRule="auto"/>
        <w:rPr>
          <w:rFonts w:cs="Times New Roman"/>
          <w:b/>
        </w:rPr>
      </w:pPr>
    </w:p>
    <w:p w14:paraId="7B6FF2A5" w14:textId="77777777" w:rsidR="00377587" w:rsidRPr="002D08AC" w:rsidRDefault="00377587" w:rsidP="00377587">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6DBCA6F" w14:textId="77777777" w:rsidR="00377587" w:rsidRDefault="00377587"/>
    <w:p w14:paraId="42654B9F" w14:textId="77777777" w:rsidR="00C4379F" w:rsidRDefault="00000000">
      <w:pPr>
        <w:pStyle w:val="Heading1"/>
        <w:pageBreakBefore/>
        <w:rPr>
          <w:rFonts w:ascii="Times New Roman" w:eastAsia="Times New Roman" w:hAnsi="Times New Roman" w:cs="Times New Roman"/>
        </w:rPr>
      </w:pPr>
      <w:r>
        <w:rPr>
          <w:rFonts w:ascii="Times New Roman" w:eastAsia="Times New Roman" w:hAnsi="Times New Roman" w:cs="Times New Roman"/>
        </w:rPr>
        <w:lastRenderedPageBreak/>
        <w:t>References</w:t>
      </w:r>
    </w:p>
    <w:p w14:paraId="5A2413C2" w14:textId="77777777" w:rsidR="00342F96" w:rsidRDefault="00342F96" w:rsidP="00342F96">
      <w:r>
        <w:t xml:space="preserve">Abdul Latif, M., Mustafa, A., Keong, L. C., &amp; Hamid, A. (2024). </w:t>
      </w:r>
      <w:proofErr w:type="spellStart"/>
      <w:r>
        <w:t>Chromolaena</w:t>
      </w:r>
      <w:proofErr w:type="spellEnd"/>
      <w:r>
        <w:t xml:space="preserve"> odorata layered-nitrile rubber polymer transdermal patch enhanced wound healing in vivo. PLOS ONE, 19(3), Article e0295381. https://doi.org/10.1371/journal.pone.0295381</w:t>
      </w:r>
    </w:p>
    <w:p w14:paraId="3516D3EA" w14:textId="77777777" w:rsidR="00342F96" w:rsidRDefault="00342F96" w:rsidP="00342F96">
      <w:proofErr w:type="spellStart"/>
      <w:r>
        <w:t>Akinrinola</w:t>
      </w:r>
      <w:proofErr w:type="spellEnd"/>
      <w:r>
        <w:t>, T. B., &amp; Tijani-Eniola, H. (2022). The influence of Siam weed compost and inorganic fertiliser applications on tomato performance. Journal of Agricultural Sciences (Belgrade), 67(3), 219–235. https://doi.org/10.2298/JAS2203219A</w:t>
      </w:r>
    </w:p>
    <w:p w14:paraId="47CC9B10" w14:textId="77777777" w:rsidR="00342F96" w:rsidRDefault="00342F96" w:rsidP="00342F96">
      <w:proofErr w:type="spellStart"/>
      <w:r>
        <w:t>Baethge</w:t>
      </w:r>
      <w:proofErr w:type="spellEnd"/>
      <w:r>
        <w:t>, C., Goldbeck-Wood, S., &amp; Mertens, S. (2019). SANRA—a scale for the quality assessment of narrative review articles. Research Integrity and Peer Review, 4, Article 5. https://doi.org/10.1186/s41073-019-0064-8</w:t>
      </w:r>
    </w:p>
    <w:p w14:paraId="0F65939A" w14:textId="77777777" w:rsidR="00342F96" w:rsidRDefault="00342F96" w:rsidP="00342F96">
      <w:r>
        <w:t xml:space="preserve">Biller, A., </w:t>
      </w:r>
      <w:proofErr w:type="spellStart"/>
      <w:r>
        <w:t>Boppré</w:t>
      </w:r>
      <w:proofErr w:type="spellEnd"/>
      <w:r>
        <w:t xml:space="preserve">, M., Witte, L., &amp; Hartmann, T. (1994). Pyrrolizidine alkaloids in </w:t>
      </w:r>
      <w:proofErr w:type="spellStart"/>
      <w:r>
        <w:t>Chromolaena</w:t>
      </w:r>
      <w:proofErr w:type="spellEnd"/>
      <w:r>
        <w:t xml:space="preserve"> odorata. Chemical and </w:t>
      </w:r>
      <w:proofErr w:type="spellStart"/>
      <w:r>
        <w:t>chemoecological</w:t>
      </w:r>
      <w:proofErr w:type="spellEnd"/>
      <w:r>
        <w:t xml:space="preserve"> aspects. Phytochemistry, 35(3), 615–619. https://doi.org/10.1016/S0031-9422(00)90573-9</w:t>
      </w:r>
    </w:p>
    <w:p w14:paraId="46DC25CE" w14:textId="77777777" w:rsidR="00342F96" w:rsidRDefault="00342F96" w:rsidP="00342F96">
      <w:r>
        <w:t xml:space="preserve">Budha Magar, A., Shrestha, D., Pakka, S., &amp; Sharma, K. R. (2023). Phytochemistry, biological, and toxicity study on aqueous and methanol extracts of </w:t>
      </w:r>
      <w:proofErr w:type="spellStart"/>
      <w:r>
        <w:t>Chromolaena</w:t>
      </w:r>
      <w:proofErr w:type="spellEnd"/>
      <w:r>
        <w:t xml:space="preserve"> odorata. The Scientific World Journal, 2023, Article 6689271. https://doi.org/10.1155/2023/6689271</w:t>
      </w:r>
    </w:p>
    <w:p w14:paraId="06A325C8" w14:textId="77777777" w:rsidR="00342F96" w:rsidRDefault="00342F96" w:rsidP="00342F96">
      <w:r>
        <w:t xml:space="preserve">Chen, M., Li, W., &amp; Zheng, Y. (2024). Multiple biotic factors mediate the invasion success of </w:t>
      </w:r>
      <w:proofErr w:type="spellStart"/>
      <w:r>
        <w:t>Chromolaena</w:t>
      </w:r>
      <w:proofErr w:type="spellEnd"/>
      <w:r>
        <w:t xml:space="preserve"> odorata. Biological Invasions, 26, 3393–3403. https://doi.org/10.1007/s10530-024-03391-6</w:t>
      </w:r>
    </w:p>
    <w:p w14:paraId="3BED2A3F" w14:textId="77777777" w:rsidR="00342F96" w:rsidRDefault="00342F96" w:rsidP="00342F96">
      <w:r>
        <w:t xml:space="preserve">Heiss, E. H., Tran, T. V. A., Zimmermann, K., Schwaiger, S., Vouk, C., Mayerhofer, B., </w:t>
      </w:r>
      <w:proofErr w:type="spellStart"/>
      <w:r>
        <w:t>Malainer</w:t>
      </w:r>
      <w:proofErr w:type="spellEnd"/>
      <w:r>
        <w:t xml:space="preserve">, C., Atanasov, A. G., Stuppner, H., &amp; </w:t>
      </w:r>
      <w:proofErr w:type="spellStart"/>
      <w:r>
        <w:t>Dirsch</w:t>
      </w:r>
      <w:proofErr w:type="spellEnd"/>
      <w:r>
        <w:t xml:space="preserve">, V. M. (2014). Identification of </w:t>
      </w:r>
      <w:proofErr w:type="spellStart"/>
      <w:r>
        <w:t>chromomoric</w:t>
      </w:r>
      <w:proofErr w:type="spellEnd"/>
      <w:r>
        <w:t xml:space="preserve"> acid C-I as an Nrf2 activator in </w:t>
      </w:r>
      <w:proofErr w:type="spellStart"/>
      <w:r>
        <w:t>Chromolaena</w:t>
      </w:r>
      <w:proofErr w:type="spellEnd"/>
      <w:r>
        <w:t xml:space="preserve"> odorata. Journal of Natural Products, 77(3), 503–508. https://doi.org/10.1021/np400778m</w:t>
      </w:r>
    </w:p>
    <w:p w14:paraId="147A7C65" w14:textId="77777777" w:rsidR="00342F96" w:rsidRDefault="00342F96" w:rsidP="00342F96">
      <w:r>
        <w:t xml:space="preserve">Huang, L., Liao, M., Liao, H., Liu, Z., Cai, H., Zhou, W., Xu, Z., Ouyang, K., Yang, W., &amp; Jian, S. (2024). High phosphorus availability and low light intensity reduce the competitive ability of the invasive plant </w:t>
      </w:r>
      <w:proofErr w:type="spellStart"/>
      <w:r>
        <w:t>Chromolaena</w:t>
      </w:r>
      <w:proofErr w:type="spellEnd"/>
      <w:r>
        <w:t xml:space="preserve"> odorata in tropical coral islands. Biological Invasions, 26, 471–487. https://doi.org/10.1007/s10530-023-03186-1</w:t>
      </w:r>
    </w:p>
    <w:p w14:paraId="3A02E970" w14:textId="77777777" w:rsidR="00342F96" w:rsidRDefault="00342F96" w:rsidP="00342F96">
      <w:proofErr w:type="spellStart"/>
      <w:r>
        <w:t>Indrianingsih</w:t>
      </w:r>
      <w:proofErr w:type="spellEnd"/>
      <w:r>
        <w:t xml:space="preserve">, A. W., Ahla, M. F. F., </w:t>
      </w:r>
      <w:proofErr w:type="spellStart"/>
      <w:r>
        <w:t>Windarsih</w:t>
      </w:r>
      <w:proofErr w:type="spellEnd"/>
      <w:r>
        <w:t xml:space="preserve">, A., Suratno, </w:t>
      </w:r>
      <w:proofErr w:type="spellStart"/>
      <w:r>
        <w:t>Wiyono</w:t>
      </w:r>
      <w:proofErr w:type="spellEnd"/>
      <w:r>
        <w:t xml:space="preserve">, T., </w:t>
      </w:r>
      <w:proofErr w:type="spellStart"/>
      <w:r>
        <w:t>Noviana</w:t>
      </w:r>
      <w:proofErr w:type="spellEnd"/>
      <w:r>
        <w:t xml:space="preserve">, E., </w:t>
      </w:r>
      <w:proofErr w:type="spellStart"/>
      <w:r>
        <w:t>Fadzhillah</w:t>
      </w:r>
      <w:proofErr w:type="spellEnd"/>
      <w:r>
        <w:t xml:space="preserve">, N. A., &amp; </w:t>
      </w:r>
      <w:proofErr w:type="spellStart"/>
      <w:r>
        <w:t>Alfiani</w:t>
      </w:r>
      <w:proofErr w:type="spellEnd"/>
      <w:r>
        <w:t>, R. N. (2025). Phytochemical constituent of devil weed (</w:t>
      </w:r>
      <w:proofErr w:type="spellStart"/>
      <w:r>
        <w:t>Chromolaena</w:t>
      </w:r>
      <w:proofErr w:type="spellEnd"/>
      <w:r>
        <w:t xml:space="preserve"> odorata), concurrent with its antioxidant, α-glucosidase inhibitory, and antibacterial activity. Molecules, 30(21), Article 4314. https://doi.org/10.3390/molecules30214314</w:t>
      </w:r>
    </w:p>
    <w:p w14:paraId="1CC230C0" w14:textId="77777777" w:rsidR="00342F96" w:rsidRDefault="00342F96" w:rsidP="00342F96">
      <w:r>
        <w:t xml:space="preserve">Juan, A. G., </w:t>
      </w:r>
      <w:proofErr w:type="spellStart"/>
      <w:r>
        <w:t>Dargantes</w:t>
      </w:r>
      <w:proofErr w:type="spellEnd"/>
      <w:r>
        <w:t xml:space="preserve">, A. P., Serafica, K. E. M., Calonia, K. M. C., &amp; </w:t>
      </w:r>
      <w:proofErr w:type="spellStart"/>
      <w:r>
        <w:t>Awiten</w:t>
      </w:r>
      <w:proofErr w:type="spellEnd"/>
      <w:r>
        <w:t xml:space="preserve">, R. M. (2022). Phytochemical and oral toxicity studies of </w:t>
      </w:r>
      <w:proofErr w:type="spellStart"/>
      <w:r>
        <w:t>Chromolaena</w:t>
      </w:r>
      <w:proofErr w:type="spellEnd"/>
      <w:r>
        <w:t xml:space="preserve"> odorata L. (King and Robinson) leaf extract. Central Mindanao University Journal of Science, 25(2), 19–25. https://doi.org/10.52751/deju9088</w:t>
      </w:r>
    </w:p>
    <w:p w14:paraId="60D4FF07" w14:textId="77777777" w:rsidR="00342F96" w:rsidRDefault="00342F96" w:rsidP="00342F96">
      <w:r>
        <w:t xml:space="preserve">Juru, V. N., Ndam, L. M., Tatah, B. N., &amp; </w:t>
      </w:r>
      <w:proofErr w:type="spellStart"/>
      <w:r>
        <w:t>Fonge</w:t>
      </w:r>
      <w:proofErr w:type="spellEnd"/>
      <w:r>
        <w:t xml:space="preserve">, B. A. (2024). </w:t>
      </w:r>
      <w:proofErr w:type="spellStart"/>
      <w:r>
        <w:t>Rhizospheric</w:t>
      </w:r>
      <w:proofErr w:type="spellEnd"/>
      <w:r>
        <w:t xml:space="preserve"> soil chemical properties and microbial response to a gradient of </w:t>
      </w:r>
      <w:proofErr w:type="spellStart"/>
      <w:r>
        <w:t>Chromolaena</w:t>
      </w:r>
      <w:proofErr w:type="spellEnd"/>
      <w:r>
        <w:t xml:space="preserve"> odorata (L) invasion in the Mount Cameroon Region. PLOS ONE, 19(11), Article e0312199. https://doi.org/10.1371/journal.pone.0312199</w:t>
      </w:r>
    </w:p>
    <w:p w14:paraId="6648A21B" w14:textId="77777777" w:rsidR="00342F96" w:rsidRDefault="00342F96" w:rsidP="00342F96">
      <w:r>
        <w:lastRenderedPageBreak/>
        <w:t xml:space="preserve">Kato-Noguchi, H., &amp; Kato, M. (2023). Evolution of the secondary metabolites in invasive plant species </w:t>
      </w:r>
      <w:proofErr w:type="spellStart"/>
      <w:r>
        <w:t>Chromolaena</w:t>
      </w:r>
      <w:proofErr w:type="spellEnd"/>
      <w:r>
        <w:t xml:space="preserve"> odorata for the </w:t>
      </w:r>
      <w:proofErr w:type="spellStart"/>
      <w:r>
        <w:t>defense</w:t>
      </w:r>
      <w:proofErr w:type="spellEnd"/>
      <w:r>
        <w:t xml:space="preserve"> and allelopathic functions. Plants, 12(3), Article 521. https://doi.org/10.3390/plants12030521</w:t>
      </w:r>
    </w:p>
    <w:p w14:paraId="0B7FDB99" w14:textId="77777777" w:rsidR="00342F96" w:rsidRDefault="00342F96" w:rsidP="00342F96">
      <w:r>
        <w:t xml:space="preserve">Li, J., Zheng, Y., Chang, S., Li, Y., Wang, Y., Chang, X., &amp; Li, W. (2025). Soil legacy effects of </w:t>
      </w:r>
      <w:proofErr w:type="spellStart"/>
      <w:r>
        <w:t>Chromolaena</w:t>
      </w:r>
      <w:proofErr w:type="spellEnd"/>
      <w:r>
        <w:t xml:space="preserve"> odorata and biochar remediation depend on invasion intensity. Plants, 14(3), Article 401. https://doi.org/10.3390/plants14030401</w:t>
      </w:r>
    </w:p>
    <w:p w14:paraId="431844BD" w14:textId="77777777" w:rsidR="00342F96" w:rsidRDefault="00342F96" w:rsidP="00342F96">
      <w:r>
        <w:t xml:space="preserve">Li, Y., Wang, G., Geng, Y., Li, J., &amp; Feng, Y. (2024). Variation in seed morphological traits affects the dispersal strategies of </w:t>
      </w:r>
      <w:proofErr w:type="spellStart"/>
      <w:r>
        <w:t>Chromolaena</w:t>
      </w:r>
      <w:proofErr w:type="spellEnd"/>
      <w:r>
        <w:t xml:space="preserve"> odorata following invasion. Plants, 13(13), Article 1747. https://doi.org/10.3390/plants13131747</w:t>
      </w:r>
    </w:p>
    <w:p w14:paraId="1511DD6E" w14:textId="77777777" w:rsidR="00342F96" w:rsidRDefault="00342F96" w:rsidP="00342F96">
      <w:r>
        <w:t xml:space="preserve">Lorn, V., Oikawa, Y., &amp; Tanaka, H. (2025). Application of nutrient-rich </w:t>
      </w:r>
      <w:proofErr w:type="spellStart"/>
      <w:r>
        <w:t>biochars</w:t>
      </w:r>
      <w:proofErr w:type="spellEnd"/>
      <w:r>
        <w:t xml:space="preserve"> derived from Siam weed and durian shell in acidic sandy soil of Cambodia. Discover Agriculture, 3, Article 141. https://doi.org/10.1007/s44279-025-00327-z</w:t>
      </w:r>
    </w:p>
    <w:p w14:paraId="69688579" w14:textId="77777777" w:rsidR="00342F96" w:rsidRDefault="00342F96" w:rsidP="00342F96">
      <w:r>
        <w:t xml:space="preserve">Lorn, V., Tanaka, H., Bellingrath-Kimura, S. D., &amp; Oikawa, Y. (2017). The effects of biochar from rice husk and </w:t>
      </w:r>
      <w:proofErr w:type="spellStart"/>
      <w:r>
        <w:t>Chromolaena</w:t>
      </w:r>
      <w:proofErr w:type="spellEnd"/>
      <w:r>
        <w:t xml:space="preserve"> odorata on the soil properties and tomato growth in Cambodia. Tropical Agriculture and Development, 61(3), 99–106. https://doi.org/10.11248/jsta.61.99</w:t>
      </w:r>
    </w:p>
    <w:p w14:paraId="69D55BDB" w14:textId="77777777" w:rsidR="00342F96" w:rsidRDefault="00342F96" w:rsidP="00342F96">
      <w:r>
        <w:t>Mangla, S., Inderjit, &amp; Callaway, R. M. (2008). Exotic invasive plant accumulates native soil pathogens which inhibit native plants. Journal of Ecology, 96(1), 58–67. https://doi.org/10.1111/j.1365-2745.2007.01312.x</w:t>
      </w:r>
    </w:p>
    <w:p w14:paraId="3931C5CA" w14:textId="77777777" w:rsidR="00342F96" w:rsidRDefault="00342F96" w:rsidP="00342F96">
      <w:r>
        <w:t xml:space="preserve">Mohanty, A., Das, M., &amp; </w:t>
      </w:r>
      <w:proofErr w:type="spellStart"/>
      <w:r>
        <w:t>Gantayat</w:t>
      </w:r>
      <w:proofErr w:type="spellEnd"/>
      <w:r>
        <w:t xml:space="preserve">, P. K. (2026). Integrated in vitro and in silico antimicrobial assessment with cytotoxicity evaluation of the root of </w:t>
      </w:r>
      <w:proofErr w:type="spellStart"/>
      <w:r>
        <w:t>Chromolaena</w:t>
      </w:r>
      <w:proofErr w:type="spellEnd"/>
      <w:r>
        <w:t xml:space="preserve"> odorata (L.) from Rayagada district, Odisha. Microbial Pathogenesis, 219, Article 108701. https://doi.org/10.1016/j.micpath.2026.108701</w:t>
      </w:r>
    </w:p>
    <w:p w14:paraId="457D9912" w14:textId="77777777" w:rsidR="00342F96" w:rsidRDefault="00342F96" w:rsidP="00342F96">
      <w:r>
        <w:t xml:space="preserve">Moreira, R., Pereira, D. M., </w:t>
      </w:r>
      <w:proofErr w:type="spellStart"/>
      <w:r>
        <w:t>Valentão</w:t>
      </w:r>
      <w:proofErr w:type="spellEnd"/>
      <w:r>
        <w:t>, P., &amp; Andrade, P. B. (2018). Pyrrolizidine alkaloids: Chemistry, pharmacology, toxicology and food safety. International Journal of Molecular Sciences, 19(6), Article 1668. https://doi.org/10.3390/ijms19061668</w:t>
      </w:r>
    </w:p>
    <w:p w14:paraId="7E661456" w14:textId="77777777" w:rsidR="00342F96" w:rsidRDefault="00342F96" w:rsidP="00342F96">
      <w:r>
        <w:t xml:space="preserve">Nath, L. R., Gorantla, J. N., Joseph, S. M., Antony, J., Thankachan, S., Menon, D. B., Sankar, S., </w:t>
      </w:r>
      <w:proofErr w:type="spellStart"/>
      <w:r>
        <w:t>Lankalapalli</w:t>
      </w:r>
      <w:proofErr w:type="spellEnd"/>
      <w:r>
        <w:t xml:space="preserve">, R. S., &amp; Anto, R. J. (2015). Kaempferide, the most active among the four flavonoids isolated and characterized from </w:t>
      </w:r>
      <w:proofErr w:type="spellStart"/>
      <w:r>
        <w:t>Chromolaena</w:t>
      </w:r>
      <w:proofErr w:type="spellEnd"/>
      <w:r>
        <w:t xml:space="preserve"> odorata, induces apoptosis in cervical cancer cells while being pharmacologically safe. RSC Advances, 5(122), 100912–100922. https://doi.org/10.1039/C5RA19199H</w:t>
      </w:r>
    </w:p>
    <w:p w14:paraId="2D272E6A" w14:textId="77777777" w:rsidR="00342F96" w:rsidRDefault="00342F96" w:rsidP="00342F96">
      <w:r>
        <w:t xml:space="preserve">Nhung, T. T. P., &amp; Quoc, L. P. T. (2024). Assessment of the antioxidant and </w:t>
      </w:r>
      <w:proofErr w:type="spellStart"/>
      <w:r>
        <w:t>nematicidal</w:t>
      </w:r>
      <w:proofErr w:type="spellEnd"/>
      <w:r>
        <w:t xml:space="preserve"> activities of an aqueous extract of </w:t>
      </w:r>
      <w:proofErr w:type="spellStart"/>
      <w:r>
        <w:t>Chromolaena</w:t>
      </w:r>
      <w:proofErr w:type="spellEnd"/>
      <w:r>
        <w:t xml:space="preserve"> odorata (L.) King and Robins against Radopholus </w:t>
      </w:r>
      <w:proofErr w:type="spellStart"/>
      <w:r>
        <w:t>similis</w:t>
      </w:r>
      <w:proofErr w:type="spellEnd"/>
      <w:r>
        <w:t xml:space="preserve"> infestation in Cavendish banana plants: An in vitro and in vivo study. Journal of Plant Biotechnology, 51, 11–23. https://doi.org/10.5010/JPB.2024.51.002.011</w:t>
      </w:r>
    </w:p>
    <w:p w14:paraId="532C660F" w14:textId="77777777" w:rsidR="00342F96" w:rsidRDefault="00342F96" w:rsidP="00342F96">
      <w:proofErr w:type="spellStart"/>
      <w:r>
        <w:t>Nqayi</w:t>
      </w:r>
      <w:proofErr w:type="spellEnd"/>
      <w:r>
        <w:t xml:space="preserve">, S. B., Zachariades, C., Coetzee, J., Hill, M., </w:t>
      </w:r>
      <w:proofErr w:type="spellStart"/>
      <w:r>
        <w:t>Chidawanyika</w:t>
      </w:r>
      <w:proofErr w:type="spellEnd"/>
      <w:r>
        <w:t xml:space="preserve">, F., </w:t>
      </w:r>
      <w:proofErr w:type="spellStart"/>
      <w:r>
        <w:t>Uyi</w:t>
      </w:r>
      <w:proofErr w:type="spellEnd"/>
      <w:r>
        <w:t xml:space="preserve">, O. O., &amp; McConnachie, A. J. (2023). Do thermal requirements of </w:t>
      </w:r>
      <w:proofErr w:type="spellStart"/>
      <w:r>
        <w:t>Dichrorampha</w:t>
      </w:r>
      <w:proofErr w:type="spellEnd"/>
      <w:r>
        <w:t xml:space="preserve"> odorata, a shoot-boring moth for the biological control of </w:t>
      </w:r>
      <w:proofErr w:type="spellStart"/>
      <w:r>
        <w:t>Chromolaena</w:t>
      </w:r>
      <w:proofErr w:type="spellEnd"/>
      <w:r>
        <w:t xml:space="preserve"> odorata, explain its failure to establish in South Africa? African Entomology, 31, Article e13597. https://doi.org/10.17159/2254-8854/2023/a13597</w:t>
      </w:r>
    </w:p>
    <w:p w14:paraId="69542736" w14:textId="77777777" w:rsidR="00342F96" w:rsidRDefault="00342F96" w:rsidP="00342F96">
      <w:proofErr w:type="spellStart"/>
      <w:r>
        <w:t>Omokhua-Uyi</w:t>
      </w:r>
      <w:proofErr w:type="spellEnd"/>
      <w:r>
        <w:t xml:space="preserve">, A. G., Abdalla, M. A., Leonard, C. M., Aro, A., </w:t>
      </w:r>
      <w:proofErr w:type="spellStart"/>
      <w:r>
        <w:t>Uyi</w:t>
      </w:r>
      <w:proofErr w:type="spellEnd"/>
      <w:r>
        <w:t xml:space="preserve">, O. O., Van Staden, J., &amp; McGaw, L. J. (2020). Flavonoids isolated from the South African weed </w:t>
      </w:r>
      <w:proofErr w:type="spellStart"/>
      <w:r>
        <w:t>Chromolaena</w:t>
      </w:r>
      <w:proofErr w:type="spellEnd"/>
      <w:r>
        <w:t xml:space="preserve"> odorata </w:t>
      </w:r>
      <w:r>
        <w:lastRenderedPageBreak/>
        <w:t xml:space="preserve">(Asteraceae) have pharmacological activity against </w:t>
      </w:r>
      <w:proofErr w:type="spellStart"/>
      <w:r>
        <w:t>uropathogens</w:t>
      </w:r>
      <w:proofErr w:type="spellEnd"/>
      <w:r>
        <w:t>. BMC Complementary Medicine and Therapies, 20, Article 233. https://doi.org/10.1186/s12906-020-03024-0</w:t>
      </w:r>
    </w:p>
    <w:p w14:paraId="5C7133AF" w14:textId="77777777" w:rsidR="00342F96" w:rsidRDefault="00342F96" w:rsidP="00342F96">
      <w:proofErr w:type="spellStart"/>
      <w:r>
        <w:t>Omokhua-Uyi</w:t>
      </w:r>
      <w:proofErr w:type="spellEnd"/>
      <w:r>
        <w:t xml:space="preserve">, A. G., Madikizela, B., Aro, A. O., Abdalla, M. A., Van Staden, J., &amp; McGaw, L. J. (2023). Flavonoids of </w:t>
      </w:r>
      <w:proofErr w:type="spellStart"/>
      <w:r>
        <w:t>Chromolaena</w:t>
      </w:r>
      <w:proofErr w:type="spellEnd"/>
      <w:r>
        <w:t xml:space="preserve"> odorata (L.) </w:t>
      </w:r>
      <w:proofErr w:type="spellStart"/>
      <w:r>
        <w:t>R.</w:t>
      </w:r>
      <w:proofErr w:type="gramStart"/>
      <w:r>
        <w:t>M.King</w:t>
      </w:r>
      <w:proofErr w:type="spellEnd"/>
      <w:proofErr w:type="gramEnd"/>
      <w:r>
        <w:t xml:space="preserve"> &amp; </w:t>
      </w:r>
      <w:proofErr w:type="spellStart"/>
      <w:proofErr w:type="gramStart"/>
      <w:r>
        <w:t>H.Rob</w:t>
      </w:r>
      <w:proofErr w:type="spellEnd"/>
      <w:proofErr w:type="gramEnd"/>
      <w:r>
        <w:t>. as potential leads for treatment against tuberculosis. South African Journal of Botany, 158, 158–165. https://doi.org/10.1016/j.sajb.2023.05.002</w:t>
      </w:r>
    </w:p>
    <w:p w14:paraId="7DD89E15" w14:textId="77777777" w:rsidR="00342F96" w:rsidRDefault="00342F96" w:rsidP="00342F96">
      <w:proofErr w:type="spellStart"/>
      <w:r>
        <w:t>Omonije</w:t>
      </w:r>
      <w:proofErr w:type="spellEnd"/>
      <w:r>
        <w:t xml:space="preserve">, O. O., Saidu, A. N., &amp; Muhammad, H. L. (2019). Anti-diabetic activities of </w:t>
      </w:r>
      <w:proofErr w:type="spellStart"/>
      <w:r>
        <w:t>Chromolaena</w:t>
      </w:r>
      <w:proofErr w:type="spellEnd"/>
      <w:r>
        <w:t xml:space="preserve"> odorata methanol root extract and its attenuation effect on diabetic induced hepatorenal impairments in rats. Clinical </w:t>
      </w:r>
      <w:proofErr w:type="spellStart"/>
      <w:r>
        <w:t>Phytoscience</w:t>
      </w:r>
      <w:proofErr w:type="spellEnd"/>
      <w:r>
        <w:t>, 5, Article 23. https://doi.org/10.1186/s40816-019-0115-1</w:t>
      </w:r>
    </w:p>
    <w:p w14:paraId="7A357FD7" w14:textId="77777777" w:rsidR="00342F96" w:rsidRDefault="00342F96" w:rsidP="00342F96">
      <w:r>
        <w:t xml:space="preserve">Paul, R., Hazra, A., Chatterjee, S., Biswas, R., Shyam Choudhury, S., Mitra, A. K., Uti, D. E., &amp; Dhara, B. (2026). </w:t>
      </w:r>
      <w:proofErr w:type="spellStart"/>
      <w:r>
        <w:t>Chromolaena</w:t>
      </w:r>
      <w:proofErr w:type="spellEnd"/>
      <w:r>
        <w:t xml:space="preserve"> odorata: An ethnobotanical herb with a wide spectrum of pharmacological activities. Natural Product Communications, 21(3), Article 1934578X261429665. https://doi.org/10.1177/1934578X261429665</w:t>
      </w:r>
    </w:p>
    <w:p w14:paraId="717650D1" w14:textId="77777777" w:rsidR="00342F96" w:rsidRDefault="00342F96" w:rsidP="00342F96">
      <w:r>
        <w:t xml:space="preserve">Phan, T.-T., Wang, L., See, P., </w:t>
      </w:r>
      <w:proofErr w:type="spellStart"/>
      <w:r>
        <w:t>Grayer</w:t>
      </w:r>
      <w:proofErr w:type="spellEnd"/>
      <w:r>
        <w:t xml:space="preserve">, R. J., Chan, S.-Y., &amp; Lee, S. T. (2001). Phenolic compounds of </w:t>
      </w:r>
      <w:proofErr w:type="spellStart"/>
      <w:r>
        <w:t>Chromolaena</w:t>
      </w:r>
      <w:proofErr w:type="spellEnd"/>
      <w:r>
        <w:t xml:space="preserve"> odorata protect cultured skin cells from oxidative damage: Implication for cutaneous wound healing. Biological and Pharmaceutical Bulletin, 24(12), 1373–1379. https://doi.org/10.1248/bpb.24.1373</w:t>
      </w:r>
    </w:p>
    <w:p w14:paraId="6307498D" w14:textId="77777777" w:rsidR="00342F96" w:rsidRDefault="00342F96" w:rsidP="00342F96">
      <w:proofErr w:type="spellStart"/>
      <w:r>
        <w:t>Poonpaiboonpipat</w:t>
      </w:r>
      <w:proofErr w:type="spellEnd"/>
      <w:r>
        <w:t xml:space="preserve">, T., Krumsri, R., &amp; Kato-Noguchi, H. (2021). Allelopathic and herbicidal effects of crude extract from </w:t>
      </w:r>
      <w:proofErr w:type="spellStart"/>
      <w:r>
        <w:t>Chromolaena</w:t>
      </w:r>
      <w:proofErr w:type="spellEnd"/>
      <w:r>
        <w:t xml:space="preserve"> odorata (L.) </w:t>
      </w:r>
      <w:proofErr w:type="spellStart"/>
      <w:r>
        <w:t>R.</w:t>
      </w:r>
      <w:proofErr w:type="gramStart"/>
      <w:r>
        <w:t>M.King</w:t>
      </w:r>
      <w:proofErr w:type="spellEnd"/>
      <w:proofErr w:type="gramEnd"/>
      <w:r>
        <w:t xml:space="preserve"> and </w:t>
      </w:r>
      <w:proofErr w:type="spellStart"/>
      <w:proofErr w:type="gramStart"/>
      <w:r>
        <w:t>H.Rob</w:t>
      </w:r>
      <w:proofErr w:type="spellEnd"/>
      <w:proofErr w:type="gramEnd"/>
      <w:r>
        <w:t xml:space="preserve">. on </w:t>
      </w:r>
      <w:proofErr w:type="spellStart"/>
      <w:r>
        <w:t>Echinochloa</w:t>
      </w:r>
      <w:proofErr w:type="spellEnd"/>
      <w:r>
        <w:t xml:space="preserve"> crus-galli and Amaranthus </w:t>
      </w:r>
      <w:proofErr w:type="spellStart"/>
      <w:r>
        <w:t>viridis</w:t>
      </w:r>
      <w:proofErr w:type="spellEnd"/>
      <w:r>
        <w:t>. Plants, 10(8), Article 1609. https://doi.org/10.3390/plants10081609</w:t>
      </w:r>
    </w:p>
    <w:p w14:paraId="299D8828" w14:textId="77777777" w:rsidR="00342F96" w:rsidRDefault="00342F96" w:rsidP="00342F96">
      <w:r>
        <w:t xml:space="preserve">Putri, D. A., &amp; </w:t>
      </w:r>
      <w:proofErr w:type="spellStart"/>
      <w:r>
        <w:t>Fatmawati</w:t>
      </w:r>
      <w:proofErr w:type="spellEnd"/>
      <w:r>
        <w:t xml:space="preserve">, S. (2019). A new flavanone as a potent antioxidant isolated from </w:t>
      </w:r>
      <w:proofErr w:type="spellStart"/>
      <w:r>
        <w:t>Chromolaena</w:t>
      </w:r>
      <w:proofErr w:type="spellEnd"/>
      <w:r>
        <w:t xml:space="preserve"> odorata L. leaves. Evidence-Based Complementary and Alternative Medicine, 2019, Article 1453612. https://doi.org/10.1155/2019/1453612</w:t>
      </w:r>
    </w:p>
    <w:p w14:paraId="1B7D2985" w14:textId="77777777" w:rsidR="00342F96" w:rsidRDefault="00342F96" w:rsidP="00342F96">
      <w:r>
        <w:t>Qin, R.-M., Zheng, Y.-L., Valiente-Banuet, A., Callaway, R. M., Barclay, G. F., Silva Pereyra, C., &amp; Feng, Y.-L. (2013). The evolution of increased competitive ability, innate competitive advantages, and novel biochemical weapons act in concert for a tropical invader. New Phytologist, 197(3), 979–988. https://doi.org/10.1111/nph.12071</w:t>
      </w:r>
    </w:p>
    <w:p w14:paraId="2BAE95A1" w14:textId="77777777" w:rsidR="00342F96" w:rsidRDefault="00342F96" w:rsidP="00342F96">
      <w:r>
        <w:t xml:space="preserve">Quansah, C., </w:t>
      </w:r>
      <w:proofErr w:type="spellStart"/>
      <w:r>
        <w:t>Fening</w:t>
      </w:r>
      <w:proofErr w:type="spellEnd"/>
      <w:r>
        <w:t xml:space="preserve">, J. O., &amp; </w:t>
      </w:r>
      <w:proofErr w:type="spellStart"/>
      <w:r>
        <w:t>Ampontuah</w:t>
      </w:r>
      <w:proofErr w:type="spellEnd"/>
      <w:r>
        <w:t xml:space="preserve">, E. O. (2001). Potential of </w:t>
      </w:r>
      <w:proofErr w:type="spellStart"/>
      <w:r>
        <w:t>Chromolaena</w:t>
      </w:r>
      <w:proofErr w:type="spellEnd"/>
      <w:r>
        <w:t xml:space="preserve"> odorata, Panicum maximum and Pueraria </w:t>
      </w:r>
      <w:proofErr w:type="spellStart"/>
      <w:r>
        <w:t>phaseoloides</w:t>
      </w:r>
      <w:proofErr w:type="spellEnd"/>
      <w:r>
        <w:t xml:space="preserve"> as nutrient sources and organic matter amendments for soil fertility maintenance in Ghana. Biological Agriculture &amp; Horticulture, 19(2), 101–113. https://doi.org/10.1080/01448765.2001.9754915</w:t>
      </w:r>
    </w:p>
    <w:p w14:paraId="63AF11CF" w14:textId="77777777" w:rsidR="00342F96" w:rsidRDefault="00342F96" w:rsidP="00342F96">
      <w:r>
        <w:t xml:space="preserve">Rai, P. K., &amp; Singh, J. S. (2024). Ecological insights and environmental threats of invasive alien plant </w:t>
      </w:r>
      <w:proofErr w:type="spellStart"/>
      <w:r>
        <w:t>Chromolaena</w:t>
      </w:r>
      <w:proofErr w:type="spellEnd"/>
      <w:r>
        <w:t xml:space="preserve"> odorata: Prospects for sustainable management. Weed Biology and Management, 24(1), 15–37. https://doi.org/10.1111/wbm.12286</w:t>
      </w:r>
    </w:p>
    <w:p w14:paraId="4E4B279C" w14:textId="77777777" w:rsidR="00342F96" w:rsidRDefault="00342F96" w:rsidP="00342F96">
      <w:r>
        <w:t xml:space="preserve">Royal Botanic Gardens, Kew (n.d.). </w:t>
      </w:r>
      <w:proofErr w:type="spellStart"/>
      <w:r>
        <w:t>Chromolaena</w:t>
      </w:r>
      <w:proofErr w:type="spellEnd"/>
      <w:r>
        <w:t xml:space="preserve"> odorata (L.) </w:t>
      </w:r>
      <w:proofErr w:type="spellStart"/>
      <w:r>
        <w:t>R.</w:t>
      </w:r>
      <w:proofErr w:type="gramStart"/>
      <w:r>
        <w:t>M.King</w:t>
      </w:r>
      <w:proofErr w:type="spellEnd"/>
      <w:proofErr w:type="gramEnd"/>
      <w:r>
        <w:t xml:space="preserve"> &amp; </w:t>
      </w:r>
      <w:proofErr w:type="spellStart"/>
      <w:proofErr w:type="gramStart"/>
      <w:r>
        <w:t>H.Rob</w:t>
      </w:r>
      <w:proofErr w:type="spellEnd"/>
      <w:proofErr w:type="gramEnd"/>
      <w:r>
        <w:t>. In Plants of the World Online. Retrieved September 29, 2026, from https://powo.science.kew.org/taxon/urn:lsid:ipni.org:names:57443-2</w:t>
      </w:r>
    </w:p>
    <w:p w14:paraId="343B7DB7" w14:textId="77777777" w:rsidR="00342F96" w:rsidRDefault="00342F96" w:rsidP="00342F96">
      <w:r>
        <w:t xml:space="preserve">Shao, X., Li, Q., Lin, L., &amp; He, T. (2018). On the origin and genetic variability of the two invasive biotypes of </w:t>
      </w:r>
      <w:proofErr w:type="spellStart"/>
      <w:r>
        <w:t>Chromolaena</w:t>
      </w:r>
      <w:proofErr w:type="spellEnd"/>
      <w:r>
        <w:t xml:space="preserve"> odorata. Biological Invasions, 20, 2033–2046. https://doi.org/10.1007/s10530-018-1677-4</w:t>
      </w:r>
    </w:p>
    <w:p w14:paraId="69529A7D" w14:textId="77777777" w:rsidR="00342F96" w:rsidRDefault="00342F96" w:rsidP="00342F96">
      <w:proofErr w:type="spellStart"/>
      <w:r>
        <w:lastRenderedPageBreak/>
        <w:t>te</w:t>
      </w:r>
      <w:proofErr w:type="spellEnd"/>
      <w:r>
        <w:t xml:space="preserve"> </w:t>
      </w:r>
      <w:proofErr w:type="spellStart"/>
      <w:r>
        <w:t>Beest</w:t>
      </w:r>
      <w:proofErr w:type="spellEnd"/>
      <w:r>
        <w:t xml:space="preserve">, M., Cromsigt, J. P. G. M., Ngobese, J., &amp; Olff, H. (2012). Managing invasions at the cost of native habitat? An experimental test of the impact of fire on the invasion of </w:t>
      </w:r>
      <w:proofErr w:type="spellStart"/>
      <w:r>
        <w:t>Chromolaena</w:t>
      </w:r>
      <w:proofErr w:type="spellEnd"/>
      <w:r>
        <w:t xml:space="preserve"> odorata in a South African savanna. Biological Invasions, 14(3), 607–618. https://doi.org/10.1007/s10530-011-0102-z</w:t>
      </w:r>
    </w:p>
    <w:p w14:paraId="20FD926A" w14:textId="77777777" w:rsidR="00342F96" w:rsidRDefault="00342F96" w:rsidP="00342F96">
      <w:r>
        <w:t xml:space="preserve">Vo, H. V., Satyal, P., Vo, T. T., Le, T. T.-T., Nguyen, A. T.-G., Vu, H. T., Nguyen, T. T., Nguyen, H. H., &amp; Setzer, W. N. (2025). Chemical composition and biological activities of </w:t>
      </w:r>
      <w:proofErr w:type="spellStart"/>
      <w:r>
        <w:t>Chromolaena</w:t>
      </w:r>
      <w:proofErr w:type="spellEnd"/>
      <w:r>
        <w:t xml:space="preserve"> odorata (L.) </w:t>
      </w:r>
      <w:proofErr w:type="spellStart"/>
      <w:r>
        <w:t>R.</w:t>
      </w:r>
      <w:proofErr w:type="gramStart"/>
      <w:r>
        <w:t>M.King</w:t>
      </w:r>
      <w:proofErr w:type="spellEnd"/>
      <w:proofErr w:type="gramEnd"/>
      <w:r>
        <w:t xml:space="preserve"> &amp; </w:t>
      </w:r>
      <w:proofErr w:type="spellStart"/>
      <w:proofErr w:type="gramStart"/>
      <w:r>
        <w:t>H.Rob</w:t>
      </w:r>
      <w:proofErr w:type="spellEnd"/>
      <w:proofErr w:type="gramEnd"/>
      <w:r>
        <w:t>. essential oils from Central Vietnam. Molecules, 30(17), Article 3602. https://doi.org/10.3390/molecules30173602</w:t>
      </w:r>
    </w:p>
    <w:p w14:paraId="3AE6C0A7" w14:textId="77777777" w:rsidR="00342F96" w:rsidRDefault="00342F96" w:rsidP="00342F96">
      <w:r>
        <w:t xml:space="preserve">Witkowski, E. T. F., &amp; Wilson, M. (2001). Changes in density, biomass, seed production and soil seed banks of the non-native invasive plant, </w:t>
      </w:r>
      <w:proofErr w:type="spellStart"/>
      <w:r>
        <w:t>Chromolaena</w:t>
      </w:r>
      <w:proofErr w:type="spellEnd"/>
      <w:r>
        <w:t xml:space="preserve"> odorata, along a </w:t>
      </w:r>
      <w:proofErr w:type="gramStart"/>
      <w:r>
        <w:t>15 year</w:t>
      </w:r>
      <w:proofErr w:type="gramEnd"/>
      <w:r>
        <w:t xml:space="preserve"> </w:t>
      </w:r>
      <w:proofErr w:type="spellStart"/>
      <w:r>
        <w:t>chronosequence</w:t>
      </w:r>
      <w:proofErr w:type="spellEnd"/>
      <w:r>
        <w:t>. Plant Ecology, 152, 13–27. https://doi.org/10.1023/A:1011409004004</w:t>
      </w:r>
    </w:p>
    <w:p w14:paraId="683491EB" w14:textId="41799FD5" w:rsidR="00342F96" w:rsidRPr="00342F96" w:rsidRDefault="00342F96" w:rsidP="00342F96">
      <w:r>
        <w:t xml:space="preserve">Zheng, Y.-L. (2024). The effect of phosphorus, irradiance and competitor identity on the relative performance of invasive </w:t>
      </w:r>
      <w:proofErr w:type="spellStart"/>
      <w:r>
        <w:t>Chromolaena</w:t>
      </w:r>
      <w:proofErr w:type="spellEnd"/>
      <w:r>
        <w:t xml:space="preserve"> odorata. BMC Plant Biology, 24, Article 953. https://doi.org/10.1186/s12870-024-05684-3</w:t>
      </w:r>
    </w:p>
    <w:sectPr w:rsidR="00342F96" w:rsidRPr="00342F96" w:rsidSect="00034616">
      <w:headerReference w:type="even" r:id="rId8"/>
      <w:headerReference w:type="default" r:id="rId9"/>
      <w:footerReference w:type="even" r:id="rId10"/>
      <w:footerReference w:type="default" r:id="rId11"/>
      <w:headerReference w:type="first" r:id="rId12"/>
      <w:footerReference w:type="first" r:id="rId13"/>
      <w:pgSz w:w="12240" w:h="15840"/>
      <w:pgMar w:top="1296" w:right="1440" w:bottom="1224" w:left="1440"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70A8D" w14:textId="77777777" w:rsidR="00B9604E" w:rsidRDefault="00B9604E">
      <w:pPr>
        <w:spacing w:after="0" w:line="240" w:lineRule="auto"/>
      </w:pPr>
      <w:r>
        <w:separator/>
      </w:r>
    </w:p>
  </w:endnote>
  <w:endnote w:type="continuationSeparator" w:id="0">
    <w:p w14:paraId="72E0DBE6" w14:textId="77777777" w:rsidR="00B9604E" w:rsidRDefault="00B96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4E0D6" w14:textId="77777777" w:rsidR="00BB168C" w:rsidRDefault="00BB16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53446" w14:textId="77777777" w:rsidR="00C4379F" w:rsidRDefault="00000000">
    <w:pPr>
      <w:pStyle w:val="Footer"/>
      <w:jc w:val="center"/>
    </w:pPr>
    <w:r>
      <w:fldChar w:fldCharType="begin"/>
    </w:r>
    <w:r>
      <w:instrText>PAGE</w:instrText>
    </w:r>
    <w:r>
      <w:fldChar w:fldCharType="separate"/>
    </w:r>
    <w:r w:rsidR="00342F96">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6ADC5" w14:textId="77777777" w:rsidR="00BB168C" w:rsidRDefault="00BB1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641F1" w14:textId="77777777" w:rsidR="00B9604E" w:rsidRDefault="00B9604E">
      <w:pPr>
        <w:spacing w:after="0" w:line="240" w:lineRule="auto"/>
      </w:pPr>
      <w:r>
        <w:separator/>
      </w:r>
    </w:p>
  </w:footnote>
  <w:footnote w:type="continuationSeparator" w:id="0">
    <w:p w14:paraId="54D06371" w14:textId="77777777" w:rsidR="00B9604E" w:rsidRDefault="00B960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84947" w14:textId="1A1CD67C" w:rsidR="00BB168C" w:rsidRDefault="00BB168C">
    <w:pPr>
      <w:pStyle w:val="Header"/>
    </w:pPr>
    <w:r>
      <w:rPr>
        <w:noProof/>
      </w:rPr>
      <w:pict w14:anchorId="753C01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08782"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EA1C9" w14:textId="2C3FD63D" w:rsidR="00BB168C" w:rsidRDefault="00BB168C">
    <w:pPr>
      <w:pStyle w:val="Header"/>
    </w:pPr>
    <w:r>
      <w:rPr>
        <w:noProof/>
      </w:rPr>
      <w:pict w14:anchorId="4C747F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08783"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68606" w14:textId="2276AFF1" w:rsidR="00BB168C" w:rsidRDefault="00BB168C">
    <w:pPr>
      <w:pStyle w:val="Header"/>
    </w:pPr>
    <w:r>
      <w:rPr>
        <w:noProof/>
      </w:rPr>
      <w:pict w14:anchorId="643A0F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08781"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6238593">
    <w:abstractNumId w:val="8"/>
  </w:num>
  <w:num w:numId="2" w16cid:durableId="692730985">
    <w:abstractNumId w:val="6"/>
  </w:num>
  <w:num w:numId="3" w16cid:durableId="2040932839">
    <w:abstractNumId w:val="5"/>
  </w:num>
  <w:num w:numId="4" w16cid:durableId="1253123049">
    <w:abstractNumId w:val="4"/>
  </w:num>
  <w:num w:numId="5" w16cid:durableId="1359625538">
    <w:abstractNumId w:val="7"/>
  </w:num>
  <w:num w:numId="6" w16cid:durableId="1587033091">
    <w:abstractNumId w:val="3"/>
  </w:num>
  <w:num w:numId="7" w16cid:durableId="519468248">
    <w:abstractNumId w:val="2"/>
  </w:num>
  <w:num w:numId="8" w16cid:durableId="743993377">
    <w:abstractNumId w:val="1"/>
  </w:num>
  <w:num w:numId="9" w16cid:durableId="833305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1095"/>
    <w:rsid w:val="00042779"/>
    <w:rsid w:val="0006063C"/>
    <w:rsid w:val="0015074B"/>
    <w:rsid w:val="00191E90"/>
    <w:rsid w:val="001F5DE4"/>
    <w:rsid w:val="0029639D"/>
    <w:rsid w:val="00326F90"/>
    <w:rsid w:val="00342F96"/>
    <w:rsid w:val="0036089D"/>
    <w:rsid w:val="00377587"/>
    <w:rsid w:val="00AA1D8D"/>
    <w:rsid w:val="00B47730"/>
    <w:rsid w:val="00B9604E"/>
    <w:rsid w:val="00BB168C"/>
    <w:rsid w:val="00C4379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64EAE"/>
  <w14:defaultImageDpi w14:val="300"/>
  <w15:docId w15:val="{7D16B2A0-E7DA-4746-954A-E568F284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Times New Roman" w:hAnsi="Times New Roman"/>
      <w:color w:val="000000"/>
      <w:sz w:val="23"/>
      <w:lang w:val="en-GB"/>
    </w:rPr>
  </w:style>
  <w:style w:type="paragraph" w:styleId="Heading1">
    <w:name w:val="heading 1"/>
    <w:basedOn w:val="Normal"/>
    <w:next w:val="Normal"/>
    <w:link w:val="Heading1Char"/>
    <w:uiPriority w:val="9"/>
    <w:qFormat/>
    <w:rsid w:val="00FC693F"/>
    <w:pPr>
      <w:keepNext/>
      <w:keepLines/>
      <w:spacing w:before="260" w:after="140" w:line="259" w:lineRule="auto"/>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100" w:line="259" w:lineRule="auto"/>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54" w:lineRule="auto"/>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14158</Words>
  <Characters>80703</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Chromolaena odorata: An Integrative Review of Biology, Ecology, Phytochemistry, Biological Activities, Allelopathy and Emerging Agricultural Applications</dc:title>
  <dc:subject>Critical narrative review</dc:subject>
  <dc:creator/>
  <cp:keywords>Chromolaena odorata; invasion biology; phytochemistry; agriculture</cp:keywords>
  <dc:description/>
  <cp:lastModifiedBy>SDI 1084</cp:lastModifiedBy>
  <cp:revision>4</cp:revision>
  <dcterms:created xsi:type="dcterms:W3CDTF">2013-12-23T23:15:00Z</dcterms:created>
  <dcterms:modified xsi:type="dcterms:W3CDTF">2026-09-29T12:17:00Z</dcterms:modified>
  <cp:category/>
</cp:coreProperties>
</file>