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A8585" w14:textId="77777777" w:rsidR="00E372DB" w:rsidRPr="00E372DB" w:rsidRDefault="00E372DB" w:rsidP="00E372DB">
      <w:pPr>
        <w:spacing w:before="100" w:beforeAutospacing="1" w:after="100" w:afterAutospacing="1" w:line="240" w:lineRule="auto"/>
        <w:jc w:val="center"/>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t>Response of phosphorus and zinc on yield parameters of chickpea in Khaila, Jalandhar, Punjab</w:t>
      </w:r>
    </w:p>
    <w:p w14:paraId="27861A24" w14:textId="77777777" w:rsidR="00400D5E" w:rsidRDefault="00400D5E" w:rsidP="00E372DB">
      <w:pPr>
        <w:spacing w:before="100" w:beforeAutospacing="1" w:after="100" w:afterAutospacing="1" w:line="240" w:lineRule="auto"/>
        <w:rPr>
          <w:rFonts w:ascii="Times New Roman" w:eastAsia="Times New Roman" w:hAnsi="Times New Roman" w:cs="Times New Roman"/>
          <w:b/>
          <w:bCs/>
          <w:sz w:val="24"/>
          <w:szCs w:val="24"/>
          <w:lang w:bidi="hi-IN"/>
        </w:rPr>
      </w:pPr>
    </w:p>
    <w:p w14:paraId="033C970C" w14:textId="04E02F60" w:rsidR="00E372DB" w:rsidRDefault="00E372DB" w:rsidP="00E372DB">
      <w:pPr>
        <w:spacing w:before="100" w:beforeAutospacing="1" w:after="100" w:afterAutospacing="1" w:line="240" w:lineRule="auto"/>
        <w:rPr>
          <w:rFonts w:ascii="Times New Roman" w:eastAsia="Times New Roman" w:hAnsi="Times New Roman" w:cs="Times New Roman"/>
          <w:b/>
          <w:bCs/>
          <w:sz w:val="24"/>
          <w:szCs w:val="24"/>
          <w:lang w:bidi="hi-IN"/>
        </w:rPr>
      </w:pPr>
      <w:r w:rsidRPr="00E372DB">
        <w:rPr>
          <w:rFonts w:ascii="Times New Roman" w:eastAsia="Times New Roman" w:hAnsi="Times New Roman" w:cs="Times New Roman"/>
          <w:b/>
          <w:bCs/>
          <w:sz w:val="24"/>
          <w:szCs w:val="24"/>
          <w:lang w:bidi="hi-IN"/>
        </w:rPr>
        <w:t xml:space="preserve">Abstract </w:t>
      </w:r>
    </w:p>
    <w:p w14:paraId="61E377FC" w14:textId="77777777" w:rsidR="00137AF2" w:rsidRPr="00E372DB" w:rsidRDefault="00137AF2" w:rsidP="00E372DB">
      <w:pPr>
        <w:spacing w:before="100" w:beforeAutospacing="1" w:after="100" w:afterAutospacing="1" w:line="240" w:lineRule="auto"/>
        <w:rPr>
          <w:rFonts w:ascii="Times New Roman" w:eastAsia="Times New Roman" w:hAnsi="Times New Roman" w:cs="Times New Roman"/>
          <w:sz w:val="24"/>
          <w:szCs w:val="24"/>
          <w:lang w:bidi="hi-IN"/>
        </w:rPr>
      </w:pPr>
    </w:p>
    <w:p w14:paraId="68E135BB" w14:textId="77777777" w:rsidR="00CD626D" w:rsidRPr="007667D4" w:rsidRDefault="00CD626D" w:rsidP="00CD626D">
      <w:pPr>
        <w:spacing w:before="100" w:beforeAutospacing="1" w:after="100" w:afterAutospacing="1" w:line="240" w:lineRule="auto"/>
        <w:rPr>
          <w:rFonts w:ascii="Times New Roman" w:eastAsia="Times New Roman" w:hAnsi="Times New Roman" w:cs="Times New Roman"/>
          <w:sz w:val="24"/>
          <w:szCs w:val="24"/>
        </w:rPr>
      </w:pPr>
      <w:r w:rsidRPr="007667D4">
        <w:rPr>
          <w:rFonts w:ascii="Times New Roman" w:eastAsia="Times New Roman" w:hAnsi="Times New Roman" w:cs="Times New Roman"/>
          <w:sz w:val="24"/>
          <w:szCs w:val="24"/>
        </w:rPr>
        <w:t>The field experiment was conducted during the Rabi season of 2023 at the research farm, Department of Agriculture, Sant Baba Bhag Singh University, Khiala, Jalandhar, Punjab, to evaluate the response of phosphorus and zinc application on yield attributes and economics of chickpea. The experiment was laid out in a randomized block design with three replications and ten treatments, including the recommended dose of fertilizer as control and different levels of zinc and phosphorus applied individually and in combination. Observations were recorded on number of pods per plant, number of seeds per pod, test weight, seed index, seed yield, straw yield, biological yield, harvest index, cost of cultivation, gross return, net return, and benefit-cost ratio. The combined application of zinc and phosphorus produced better yield performance than individual applications and the control. The highest number of pods per plant (61.1), number of seeds per pod (2.67), test weight (270.23 g), seed index (14.20 g), seed yield (20.20 q ha⁻¹), straw yield (24.80 q ha⁻¹), and biological yield (44.70 q ha⁻¹) were recorded under the highest combined zinc and phosphorus treatment. The same treatment also gave the highest gross return, net return, and benefit-cost ratio. The results indicate that combined phosphorus and zinc application improved chickpea yield attributes and economic returns under the experimental conditions of Khiala, Jalandhar.</w:t>
      </w:r>
    </w:p>
    <w:p w14:paraId="0347AD37"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Keywords: Yield parameters, zinc, phosphorus</w:t>
      </w:r>
    </w:p>
    <w:p w14:paraId="6FCCD804"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t>1. INTRODUCTION</w:t>
      </w:r>
    </w:p>
    <w:p w14:paraId="208804C6"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Chickpeas (</w:t>
      </w:r>
      <w:r w:rsidRPr="00E372DB">
        <w:rPr>
          <w:rFonts w:ascii="Times New Roman" w:eastAsia="Times New Roman" w:hAnsi="Times New Roman" w:cs="Times New Roman"/>
          <w:i/>
          <w:iCs/>
          <w:sz w:val="24"/>
          <w:szCs w:val="24"/>
          <w:lang w:bidi="hi-IN"/>
        </w:rPr>
        <w:t>Cicer arietinum</w:t>
      </w:r>
      <w:r w:rsidRPr="00E372DB">
        <w:rPr>
          <w:rFonts w:ascii="Times New Roman" w:eastAsia="Times New Roman" w:hAnsi="Times New Roman" w:cs="Times New Roman"/>
          <w:sz w:val="24"/>
          <w:szCs w:val="24"/>
          <w:lang w:bidi="hi-IN"/>
        </w:rPr>
        <w:t xml:space="preserve"> L.) are one of the most significant winter legumes produced extensively in arid and rain-fed parts of the world. Rabi is the main season for the cultivation of chickpeas, commonly known as Bengal gram or gram. It is a member of the Leguminosae family. Chickpeas are an annual crop that self-pollinates and is cultivated all over the world for food and other purposes. </w:t>
      </w:r>
      <w:r w:rsidRPr="00E372DB">
        <w:rPr>
          <w:rFonts w:ascii="Times New Roman" w:eastAsia="Times New Roman" w:hAnsi="Times New Roman" w:cs="Times New Roman"/>
          <w:b/>
          <w:bCs/>
          <w:sz w:val="24"/>
          <w:szCs w:val="24"/>
          <w:lang w:bidi="hi-IN"/>
        </w:rPr>
        <w:t>[1].</w:t>
      </w:r>
      <w:r w:rsidRPr="00E372DB">
        <w:rPr>
          <w:rFonts w:ascii="Times New Roman" w:eastAsia="Times New Roman" w:hAnsi="Times New Roman" w:cs="Times New Roman"/>
          <w:sz w:val="24"/>
          <w:szCs w:val="24"/>
          <w:lang w:bidi="hi-IN"/>
        </w:rPr>
        <w:t xml:space="preserve"> Chickpeas can complete their life cycle in three to six months, depending on the weather at the time of Rabi crops </w:t>
      </w:r>
      <w:r w:rsidRPr="00E372DB">
        <w:rPr>
          <w:rFonts w:ascii="Times New Roman" w:eastAsia="Times New Roman" w:hAnsi="Times New Roman" w:cs="Times New Roman"/>
          <w:b/>
          <w:bCs/>
          <w:sz w:val="24"/>
          <w:szCs w:val="24"/>
          <w:lang w:bidi="hi-IN"/>
        </w:rPr>
        <w:t xml:space="preserve">[2]. </w:t>
      </w:r>
      <w:r w:rsidRPr="00E372DB">
        <w:rPr>
          <w:rFonts w:ascii="Times New Roman" w:eastAsia="Times New Roman" w:hAnsi="Times New Roman" w:cs="Times New Roman"/>
          <w:sz w:val="24"/>
          <w:szCs w:val="24"/>
          <w:lang w:bidi="hi-IN"/>
        </w:rPr>
        <w:t>Chickpea contains on average 22% protein, 4.5% fat, 63% carbohydrate, 8.0% crude fiber, and 2.7% ash</w:t>
      </w:r>
      <w:r w:rsidRPr="00E372DB">
        <w:rPr>
          <w:rFonts w:ascii="Times New Roman" w:eastAsia="Times New Roman" w:hAnsi="Times New Roman" w:cs="Times New Roman"/>
          <w:b/>
          <w:bCs/>
          <w:sz w:val="24"/>
          <w:szCs w:val="24"/>
          <w:lang w:bidi="hi-IN"/>
        </w:rPr>
        <w:t>.</w:t>
      </w:r>
      <w:r w:rsidRPr="00E372DB">
        <w:rPr>
          <w:rFonts w:ascii="Times New Roman" w:eastAsia="Times New Roman" w:hAnsi="Times New Roman" w:cs="Times New Roman"/>
          <w:sz w:val="24"/>
          <w:szCs w:val="24"/>
          <w:lang w:bidi="hi-IN"/>
        </w:rPr>
        <w:t xml:space="preserve"> Its protein quality is better than other legumes such as pigeon pea, black gram, and green gram </w:t>
      </w:r>
      <w:r w:rsidRPr="00E372DB">
        <w:rPr>
          <w:rFonts w:ascii="Times New Roman" w:eastAsia="Times New Roman" w:hAnsi="Times New Roman" w:cs="Times New Roman"/>
          <w:b/>
          <w:bCs/>
          <w:sz w:val="24"/>
          <w:szCs w:val="24"/>
          <w:lang w:bidi="hi-IN"/>
        </w:rPr>
        <w:t>[3].</w:t>
      </w:r>
    </w:p>
    <w:p w14:paraId="1D2BD8F4"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 xml:space="preserve">Chickpeas contain high levels of calcium, iron, niacin, vitamin B, and vitamin C. Its leaves contain malic acid, which is very helpful for digestive issues and blood purification. It is a pulse crop that fixes nitrogen in the soil through a symbiotic relationship. Based on seed color and geographical distribution, chickpeas are generally grouped into two types: Kabuli (Mediterranean and Middle Eastern origin) and desi (Indian origin). The former type is with large, smooth coated, rams-head shaped and beige-colored seeds and the latter type is with small, angular, wrinkled and dark colored seeds </w:t>
      </w:r>
      <w:r w:rsidRPr="00E372DB">
        <w:rPr>
          <w:rFonts w:ascii="Times New Roman" w:eastAsia="Times New Roman" w:hAnsi="Times New Roman" w:cs="Times New Roman"/>
          <w:b/>
          <w:bCs/>
          <w:sz w:val="24"/>
          <w:szCs w:val="24"/>
          <w:lang w:bidi="hi-IN"/>
        </w:rPr>
        <w:t xml:space="preserve">[4, 5, </w:t>
      </w:r>
      <w:proofErr w:type="gramStart"/>
      <w:r w:rsidRPr="00E372DB">
        <w:rPr>
          <w:rFonts w:ascii="Times New Roman" w:eastAsia="Times New Roman" w:hAnsi="Times New Roman" w:cs="Times New Roman"/>
          <w:b/>
          <w:bCs/>
          <w:sz w:val="24"/>
          <w:szCs w:val="24"/>
          <w:lang w:bidi="hi-IN"/>
        </w:rPr>
        <w:t>6 ]</w:t>
      </w:r>
      <w:r w:rsidRPr="00E372DB">
        <w:rPr>
          <w:rFonts w:ascii="Times New Roman" w:eastAsia="Times New Roman" w:hAnsi="Times New Roman" w:cs="Times New Roman"/>
          <w:sz w:val="24"/>
          <w:szCs w:val="24"/>
          <w:lang w:bidi="hi-IN"/>
        </w:rPr>
        <w:t>.Desi</w:t>
      </w:r>
      <w:proofErr w:type="gramEnd"/>
      <w:r w:rsidRPr="00E372DB">
        <w:rPr>
          <w:rFonts w:ascii="Times New Roman" w:eastAsia="Times New Roman" w:hAnsi="Times New Roman" w:cs="Times New Roman"/>
          <w:sz w:val="24"/>
          <w:szCs w:val="24"/>
          <w:lang w:bidi="hi-IN"/>
        </w:rPr>
        <w:t xml:space="preserve"> cultivars are small and angular in shape, with strong seed coatings and </w:t>
      </w:r>
      <w:r w:rsidRPr="00E372DB">
        <w:rPr>
          <w:rFonts w:ascii="Times New Roman" w:eastAsia="Times New Roman" w:hAnsi="Times New Roman" w:cs="Times New Roman"/>
          <w:sz w:val="24"/>
          <w:szCs w:val="24"/>
          <w:lang w:bidi="hi-IN"/>
        </w:rPr>
        <w:lastRenderedPageBreak/>
        <w:t xml:space="preserve">brown seed colors. Desi chickpeas are usually grown in semi-arid tropical environments; in contrast, Kabuli chickpeas are larger and have a smoother seed coat. Temperate climates are used to raise Kabuli chickpeas in regions, because they improve the physical, chemical, and biological qualities of the soil and hold onto atmospheric nitrogen in their root nodules, chickpeas are also crucial for preserving soil productivity. India is the world's largest producer of chickpeas, accounting for over 70% of global production. </w:t>
      </w:r>
      <w:r w:rsidRPr="00E372DB">
        <w:rPr>
          <w:rFonts w:ascii="Times New Roman" w:eastAsia="Times New Roman" w:hAnsi="Times New Roman" w:cs="Times New Roman"/>
          <w:b/>
          <w:bCs/>
          <w:sz w:val="24"/>
          <w:szCs w:val="24"/>
          <w:lang w:bidi="hi-IN"/>
        </w:rPr>
        <w:t>[7]</w:t>
      </w:r>
      <w:r w:rsidRPr="00E372DB">
        <w:rPr>
          <w:rFonts w:ascii="Times New Roman" w:eastAsia="Times New Roman" w:hAnsi="Times New Roman" w:cs="Times New Roman"/>
          <w:i/>
          <w:iCs/>
          <w:sz w:val="24"/>
          <w:szCs w:val="24"/>
          <w:lang w:bidi="hi-IN"/>
        </w:rPr>
        <w:t>.</w:t>
      </w:r>
      <w:r w:rsidRPr="00E372DB">
        <w:rPr>
          <w:rFonts w:ascii="Times New Roman" w:eastAsia="Times New Roman" w:hAnsi="Times New Roman" w:cs="Times New Roman"/>
          <w:sz w:val="24"/>
          <w:szCs w:val="24"/>
          <w:lang w:bidi="hi-IN"/>
        </w:rPr>
        <w:t xml:space="preserve">The production of chickpeas in India amounted to over 13.5 million metric tons in 2022. Australia came in second at an estimated 876.5 thousand metric tons of chickpeas. </w:t>
      </w:r>
      <w:r w:rsidRPr="00E372DB">
        <w:rPr>
          <w:rFonts w:ascii="Times New Roman" w:eastAsia="Times New Roman" w:hAnsi="Times New Roman" w:cs="Times New Roman"/>
          <w:b/>
          <w:bCs/>
          <w:sz w:val="24"/>
          <w:szCs w:val="24"/>
          <w:lang w:bidi="hi-IN"/>
        </w:rPr>
        <w:t>[8]</w:t>
      </w:r>
      <w:r w:rsidRPr="00E372DB">
        <w:rPr>
          <w:rFonts w:ascii="Times New Roman" w:eastAsia="Times New Roman" w:hAnsi="Times New Roman" w:cs="Times New Roman"/>
          <w:sz w:val="24"/>
          <w:szCs w:val="24"/>
          <w:lang w:bidi="hi-IN"/>
        </w:rPr>
        <w:t>. Chickpeas</w:t>
      </w:r>
      <w:r w:rsidR="0030549D">
        <w:rPr>
          <w:rFonts w:ascii="Times New Roman" w:eastAsia="Times New Roman" w:hAnsi="Times New Roman" w:cs="Times New Roman"/>
          <w:sz w:val="24"/>
          <w:szCs w:val="24"/>
          <w:lang w:bidi="hi-IN"/>
        </w:rPr>
        <w:t xml:space="preserve"> </w:t>
      </w:r>
      <w:r w:rsidRPr="00E372DB">
        <w:rPr>
          <w:rFonts w:ascii="Times New Roman" w:eastAsia="Times New Roman" w:hAnsi="Times New Roman" w:cs="Times New Roman"/>
          <w:sz w:val="24"/>
          <w:szCs w:val="24"/>
          <w:lang w:bidi="hi-IN"/>
        </w:rPr>
        <w:t>21-22, contribute</w:t>
      </w:r>
      <w:r w:rsidR="0030549D">
        <w:rPr>
          <w:rFonts w:ascii="Times New Roman" w:eastAsia="Times New Roman" w:hAnsi="Times New Roman" w:cs="Times New Roman"/>
          <w:sz w:val="24"/>
          <w:szCs w:val="24"/>
          <w:lang w:bidi="hi-IN"/>
        </w:rPr>
        <w:t xml:space="preserve"> pr</w:t>
      </w:r>
      <w:r w:rsidRPr="00E372DB">
        <w:rPr>
          <w:rFonts w:ascii="Times New Roman" w:eastAsia="Times New Roman" w:hAnsi="Times New Roman" w:cs="Times New Roman"/>
          <w:sz w:val="24"/>
          <w:szCs w:val="24"/>
          <w:lang w:bidi="hi-IN"/>
        </w:rPr>
        <w:t xml:space="preserve">oduction of India was 13.75 million </w:t>
      </w:r>
      <w:proofErr w:type="spellStart"/>
      <w:r w:rsidRPr="00E372DB">
        <w:rPr>
          <w:rFonts w:ascii="Times New Roman" w:eastAsia="Times New Roman" w:hAnsi="Times New Roman" w:cs="Times New Roman"/>
          <w:sz w:val="24"/>
          <w:szCs w:val="24"/>
          <w:lang w:bidi="hi-IN"/>
        </w:rPr>
        <w:t>tonnes</w:t>
      </w:r>
      <w:proofErr w:type="spellEnd"/>
      <w:r w:rsidRPr="00E372DB">
        <w:rPr>
          <w:rFonts w:ascii="Times New Roman" w:eastAsia="Times New Roman" w:hAnsi="Times New Roman" w:cs="Times New Roman"/>
          <w:sz w:val="24"/>
          <w:szCs w:val="24"/>
          <w:lang w:bidi="hi-IN"/>
        </w:rPr>
        <w:t xml:space="preserve"> from an acreage of 10.91 million ha. with a productivity of 12.6 q./ha </w:t>
      </w:r>
      <w:r w:rsidRPr="00E372DB">
        <w:rPr>
          <w:rFonts w:ascii="Times New Roman" w:eastAsia="Times New Roman" w:hAnsi="Times New Roman" w:cs="Times New Roman"/>
          <w:b/>
          <w:bCs/>
          <w:sz w:val="24"/>
          <w:szCs w:val="24"/>
          <w:lang w:bidi="hi-IN"/>
        </w:rPr>
        <w:t>[9]</w:t>
      </w:r>
      <w:r w:rsidRPr="00E372DB">
        <w:rPr>
          <w:rFonts w:ascii="Times New Roman" w:eastAsia="Times New Roman" w:hAnsi="Times New Roman" w:cs="Times New Roman"/>
          <w:sz w:val="24"/>
          <w:szCs w:val="24"/>
          <w:lang w:bidi="hi-IN"/>
        </w:rPr>
        <w:t xml:space="preserve">. Chickpeas solely contribute nearly 50% of the Indian pulse production. States like Maharashtra (25.97% contribution to national production), Madhya Pradesh (18.59%), Rajasthan (20.65%), Gujarat (10.10%), and Uttar Pradesh (5.64%) are major chickpea-producing states of India </w:t>
      </w:r>
      <w:r w:rsidRPr="00E372DB">
        <w:rPr>
          <w:rFonts w:ascii="Times New Roman" w:eastAsia="Times New Roman" w:hAnsi="Times New Roman" w:cs="Times New Roman"/>
          <w:b/>
          <w:bCs/>
          <w:sz w:val="24"/>
          <w:szCs w:val="24"/>
          <w:lang w:bidi="hi-IN"/>
        </w:rPr>
        <w:t>[10].</w:t>
      </w:r>
    </w:p>
    <w:p w14:paraId="362EC4E2"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The food products include immature green grain (desi type), mature grain (desi/Kabuli type), flour of mature grain (besan, desi type), roasted grain (desi type), flour of roasted grain (</w:t>
      </w:r>
      <w:proofErr w:type="spellStart"/>
      <w:r w:rsidRPr="00E372DB">
        <w:rPr>
          <w:rFonts w:ascii="Times New Roman" w:eastAsia="Times New Roman" w:hAnsi="Times New Roman" w:cs="Times New Roman"/>
          <w:sz w:val="24"/>
          <w:szCs w:val="24"/>
          <w:lang w:bidi="hi-IN"/>
        </w:rPr>
        <w:t>shattu</w:t>
      </w:r>
      <w:proofErr w:type="spellEnd"/>
      <w:r w:rsidRPr="00E372DB">
        <w:rPr>
          <w:rFonts w:ascii="Times New Roman" w:eastAsia="Times New Roman" w:hAnsi="Times New Roman" w:cs="Times New Roman"/>
          <w:sz w:val="24"/>
          <w:szCs w:val="24"/>
          <w:lang w:bidi="hi-IN"/>
        </w:rPr>
        <w:t xml:space="preserve">, desi type), split grain or pulse (dahl, desi type), snacks (namkeens, desi and Kabuli type), flakes (desi type), baked products (from flour, desi type), sweets/savories (from flour, desi type) and various tertiary processed products (cuisines) </w:t>
      </w:r>
      <w:r w:rsidRPr="00E372DB">
        <w:rPr>
          <w:rFonts w:ascii="Times New Roman" w:eastAsia="Times New Roman" w:hAnsi="Times New Roman" w:cs="Times New Roman"/>
          <w:b/>
          <w:bCs/>
          <w:sz w:val="24"/>
          <w:szCs w:val="24"/>
          <w:lang w:bidi="hi-IN"/>
        </w:rPr>
        <w:t>[11]</w:t>
      </w:r>
      <w:r w:rsidRPr="00E372DB">
        <w:rPr>
          <w:rFonts w:ascii="Times New Roman" w:eastAsia="Times New Roman" w:hAnsi="Times New Roman" w:cs="Times New Roman"/>
          <w:sz w:val="24"/>
          <w:szCs w:val="24"/>
          <w:lang w:bidi="hi-IN"/>
        </w:rPr>
        <w:t>.</w:t>
      </w:r>
    </w:p>
    <w:p w14:paraId="3B43ED71"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 xml:space="preserve">Phosphorus, a key nutrient for increasing productivity of pulses, is required for plant growth and root development. Phosphorus deficiency in soils is widespread, and crops grown under deficient conditions show significant responses to fertilizer </w:t>
      </w:r>
      <w:r w:rsidRPr="00E372DB">
        <w:rPr>
          <w:rFonts w:ascii="Times New Roman" w:eastAsia="Times New Roman" w:hAnsi="Times New Roman" w:cs="Times New Roman"/>
          <w:b/>
          <w:bCs/>
          <w:sz w:val="24"/>
          <w:szCs w:val="24"/>
          <w:lang w:bidi="hi-IN"/>
        </w:rPr>
        <w:t>[12]</w:t>
      </w:r>
      <w:r w:rsidRPr="00E372DB">
        <w:rPr>
          <w:rFonts w:ascii="Times New Roman" w:eastAsia="Times New Roman" w:hAnsi="Times New Roman" w:cs="Times New Roman"/>
          <w:sz w:val="24"/>
          <w:szCs w:val="24"/>
          <w:lang w:bidi="hi-IN"/>
        </w:rPr>
        <w:t xml:space="preserve">. It promotes the growth of roots, improves stalks, enhances grain production and flowering, increases legumes capacity to fix nitrogen, improves crop quality and strengthens crop resistance to disease. It was shown that phosphorus increased the yield of pulse crops. Additionally, phosphorus fertilizer raised chickpea yields </w:t>
      </w:r>
      <w:r w:rsidRPr="00E372DB">
        <w:rPr>
          <w:rFonts w:ascii="Times New Roman" w:eastAsia="Times New Roman" w:hAnsi="Times New Roman" w:cs="Times New Roman"/>
          <w:b/>
          <w:bCs/>
          <w:sz w:val="24"/>
          <w:szCs w:val="24"/>
          <w:lang w:bidi="hi-IN"/>
        </w:rPr>
        <w:t>[13].</w:t>
      </w:r>
      <w:r w:rsidR="0030549D">
        <w:rPr>
          <w:rFonts w:ascii="Times New Roman" w:eastAsia="Times New Roman" w:hAnsi="Times New Roman" w:cs="Times New Roman"/>
          <w:sz w:val="24"/>
          <w:szCs w:val="24"/>
          <w:lang w:bidi="hi-IN"/>
        </w:rPr>
        <w:t xml:space="preserve"> </w:t>
      </w:r>
      <w:r w:rsidRPr="00E372DB">
        <w:rPr>
          <w:rFonts w:ascii="Times New Roman" w:eastAsia="Times New Roman" w:hAnsi="Times New Roman" w:cs="Times New Roman"/>
          <w:sz w:val="24"/>
          <w:szCs w:val="24"/>
          <w:lang w:bidi="hi-IN"/>
        </w:rPr>
        <w:t xml:space="preserve">Plants receiving an adequate amount of phosphorus, chickpea’s reaction to phosphorus fertilizer, and a sufficient amount of phosphorus in the diet speed up nodulation and pod development and accelerate maturity. For crops cultivated in rain-fed settings, phosphorus application is essential, as it promotes greater root development. According to recent studies, chickpeas respond well to phosphorus fertilizers </w:t>
      </w:r>
      <w:r w:rsidRPr="00E372DB">
        <w:rPr>
          <w:rFonts w:ascii="Times New Roman" w:eastAsia="Times New Roman" w:hAnsi="Times New Roman" w:cs="Times New Roman"/>
          <w:b/>
          <w:bCs/>
          <w:sz w:val="24"/>
          <w:szCs w:val="24"/>
          <w:lang w:bidi="hi-IN"/>
        </w:rPr>
        <w:t>[14]</w:t>
      </w:r>
      <w:r w:rsidRPr="00E372DB">
        <w:rPr>
          <w:rFonts w:ascii="Times New Roman" w:eastAsia="Times New Roman" w:hAnsi="Times New Roman" w:cs="Times New Roman"/>
          <w:sz w:val="24"/>
          <w:szCs w:val="24"/>
          <w:lang w:bidi="hi-IN"/>
        </w:rPr>
        <w:t>.</w:t>
      </w:r>
    </w:p>
    <w:p w14:paraId="37F8CBA3"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 xml:space="preserve">Zinc is essential for promoting certain metabolic reactions. It is necessary for the production of chlorophyll and carbohydrates. Zinc is directly or indirectly required by several enzyme systems, auxin, and protein synthesis. Zinc is believed to promote RNA synthesis, which in turn is needed for protein production. At several places normal yield of crops could not be achieved despite judicious use of NPK fertilizers due to deficiency of micronutrients in soil, in general, that of Zn in particular </w:t>
      </w:r>
      <w:r w:rsidRPr="00E372DB">
        <w:rPr>
          <w:rFonts w:ascii="Times New Roman" w:eastAsia="Times New Roman" w:hAnsi="Times New Roman" w:cs="Times New Roman"/>
          <w:b/>
          <w:bCs/>
          <w:sz w:val="24"/>
          <w:szCs w:val="24"/>
          <w:lang w:bidi="hi-IN"/>
        </w:rPr>
        <w:t>[15].</w:t>
      </w:r>
      <w:r w:rsidRPr="00E372DB">
        <w:rPr>
          <w:rFonts w:ascii="Times New Roman" w:eastAsia="Times New Roman" w:hAnsi="Times New Roman" w:cs="Times New Roman"/>
          <w:sz w:val="24"/>
          <w:szCs w:val="24"/>
          <w:lang w:bidi="hi-IN"/>
        </w:rPr>
        <w:t xml:space="preserve">It is also a vital plant nutrient for the development and growth of plants and to improve nodulation, N fixation, and yield in several legumes. Zinc is also essential for nucleic acid synthesis, protein synthesis, and the uptake of N and P by plants. Zinc aids in protein synthesis, floral commencement, seed development, and internode elongation. A zinc shortage reduced the viability of the pollen, altered the size, shape, and exudates of the stigma and further inhibited the contact between the stigma and the pollen </w:t>
      </w:r>
      <w:r w:rsidRPr="00E372DB">
        <w:rPr>
          <w:rFonts w:ascii="Times New Roman" w:eastAsia="Times New Roman" w:hAnsi="Times New Roman" w:cs="Times New Roman"/>
          <w:b/>
          <w:bCs/>
          <w:sz w:val="24"/>
          <w:szCs w:val="24"/>
          <w:lang w:bidi="hi-IN"/>
        </w:rPr>
        <w:t>[16].</w:t>
      </w:r>
    </w:p>
    <w:p w14:paraId="5EA8FFE8"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 xml:space="preserve">A favorable balance between phosphorus and zinc should be maintained for optimum growth of the plant. </w:t>
      </w:r>
      <w:r w:rsidRPr="00E372DB">
        <w:rPr>
          <w:rFonts w:ascii="Times New Roman" w:eastAsia="Times New Roman" w:hAnsi="Times New Roman" w:cs="Times New Roman"/>
          <w:b/>
          <w:bCs/>
          <w:sz w:val="24"/>
          <w:szCs w:val="24"/>
          <w:lang w:bidi="hi-IN"/>
        </w:rPr>
        <w:t xml:space="preserve">[17] </w:t>
      </w:r>
      <w:r w:rsidRPr="00E372DB">
        <w:rPr>
          <w:rFonts w:ascii="Times New Roman" w:eastAsia="Times New Roman" w:hAnsi="Times New Roman" w:cs="Times New Roman"/>
          <w:sz w:val="24"/>
          <w:szCs w:val="24"/>
          <w:lang w:bidi="hi-IN"/>
        </w:rPr>
        <w:t xml:space="preserve">reported the antagonistic effect of P levels on Zn nutrition by the crops. The </w:t>
      </w:r>
      <w:r w:rsidRPr="00E372DB">
        <w:rPr>
          <w:rFonts w:ascii="Times New Roman" w:eastAsia="Times New Roman" w:hAnsi="Times New Roman" w:cs="Times New Roman"/>
          <w:sz w:val="24"/>
          <w:szCs w:val="24"/>
          <w:lang w:bidi="hi-IN"/>
        </w:rPr>
        <w:lastRenderedPageBreak/>
        <w:t xml:space="preserve">information on the Zn and P relationship in an important crop like chickpea is not adequate, especially in situations where both the interacting nutrients (P and Zn) are deficient </w:t>
      </w:r>
      <w:r w:rsidRPr="00E372DB">
        <w:rPr>
          <w:rFonts w:ascii="Times New Roman" w:eastAsia="Times New Roman" w:hAnsi="Times New Roman" w:cs="Times New Roman"/>
          <w:b/>
          <w:bCs/>
          <w:sz w:val="24"/>
          <w:szCs w:val="24"/>
          <w:lang w:bidi="hi-IN"/>
        </w:rPr>
        <w:t>[18].</w:t>
      </w:r>
    </w:p>
    <w:p w14:paraId="146E635E"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t>MATERIAL AND METHODS</w:t>
      </w:r>
    </w:p>
    <w:p w14:paraId="69E6B8D4"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The experiment was conducted at the agricultural research farm. This region falls under the trans-Gangetic plain of the agro-climatic zone of the Punjab state. The experimental site is located in the central plain regions of Punjab at an elevation of 247 m above the mean sea level. The site represents 30°-33° N latitude and 76°-56° E longitude. The site is located in Punjab state, which experiences the extreme hot and extreme cold conditions with a normal maximum temperature of 42°C during summer and 25.9°C in winter. The rainy season starts in June and ends in September. The experimental area received 500-700 mm average rainfall, with most precipitation falling in July, whereas November is the driest month. Chickpeas are a cool-season crop and grow well in temperature ranges between 18 and 25°C. There are ten treatments, each with three replications, with Randomized Block Design (RBD) used to organize the experimental work. The nutrient sources were urea, single superphosphate (SSP), and muriate of potash (MOP), applied as per the recommended dose of 20-40-20 kg NPK/ha. As per the treatment, application of phosphorus and zinc was done as a basal application. To collect the data of each plot, they were selected randomly for plant sampling, and observations on various plant characteristics were taken from plants. The following observations were recorded during the experiment were number of pods, number of seeds per pod, seed weight, Seed yield (quintals ha-1), Straw yield (quintals ha-1). Biological yield (quintals ha</w:t>
      </w:r>
      <w:r w:rsidRPr="00E372DB">
        <w:rPr>
          <w:rFonts w:ascii="Cambria Math" w:eastAsia="Times New Roman" w:hAnsi="Cambria Math" w:cs="Cambria Math"/>
          <w:sz w:val="24"/>
          <w:szCs w:val="24"/>
          <w:lang w:bidi="hi-IN"/>
        </w:rPr>
        <w:t>⁻</w:t>
      </w:r>
      <w:r w:rsidRPr="00E372DB">
        <w:rPr>
          <w:rFonts w:ascii="Times New Roman" w:eastAsia="Times New Roman" w:hAnsi="Times New Roman" w:cs="Times New Roman"/>
          <w:sz w:val="24"/>
          <w:szCs w:val="24"/>
          <w:lang w:bidi="hi-IN"/>
        </w:rPr>
        <w:t>¹), harvest index. It was worked out using the following formula suggested by Donald (1962).</w:t>
      </w:r>
    </w:p>
    <w:p w14:paraId="534D993F" w14:textId="77777777" w:rsidR="00E372DB" w:rsidRPr="006E10FB" w:rsidRDefault="00E372DB" w:rsidP="00E372DB">
      <w:pPr>
        <w:adjustRightInd w:val="0"/>
        <w:spacing w:line="240" w:lineRule="auto"/>
        <w:rPr>
          <w:rFonts w:ascii="Times New Roman" w:hAnsi="Times New Roman" w:cs="Times New Roman"/>
          <w:bCs/>
          <w:sz w:val="24"/>
          <w:szCs w:val="24"/>
          <w:u w:val="single"/>
          <w:lang w:val="en-IN"/>
        </w:rPr>
      </w:pPr>
      <w:r w:rsidRPr="006E10FB">
        <w:rPr>
          <w:rFonts w:ascii="Times New Roman" w:hAnsi="Times New Roman" w:cs="Times New Roman"/>
          <w:bCs/>
          <w:sz w:val="24"/>
          <w:szCs w:val="24"/>
        </w:rPr>
        <w:t xml:space="preserve">Harvest index (%) =          </w:t>
      </w:r>
      <w:r w:rsidRPr="006E10FB">
        <w:rPr>
          <w:rFonts w:ascii="Times New Roman" w:hAnsi="Times New Roman" w:cs="Times New Roman"/>
          <w:bCs/>
          <w:sz w:val="24"/>
          <w:szCs w:val="24"/>
          <w:u w:val="single"/>
          <w:lang w:val="en-IN"/>
        </w:rPr>
        <w:t xml:space="preserve">Grain yield </w:t>
      </w:r>
    </w:p>
    <w:p w14:paraId="62FCE5DE" w14:textId="77777777" w:rsidR="00E372DB" w:rsidRPr="006E10FB" w:rsidRDefault="00E372DB" w:rsidP="00E372DB">
      <w:pPr>
        <w:spacing w:line="240" w:lineRule="auto"/>
        <w:jc w:val="both"/>
        <w:rPr>
          <w:rFonts w:ascii="Times New Roman" w:hAnsi="Times New Roman" w:cs="Times New Roman"/>
          <w:bCs/>
          <w:sz w:val="24"/>
          <w:szCs w:val="24"/>
        </w:rPr>
      </w:pPr>
      <w:r w:rsidRPr="006E10FB">
        <w:rPr>
          <w:rFonts w:ascii="Times New Roman" w:hAnsi="Times New Roman" w:cs="Times New Roman"/>
          <w:bCs/>
          <w:sz w:val="24"/>
          <w:szCs w:val="24"/>
          <w:lang w:val="en-IN"/>
        </w:rPr>
        <w:t xml:space="preserve">                                          Biomass yield</w:t>
      </w:r>
      <w:r w:rsidRPr="006E10FB">
        <w:rPr>
          <w:rFonts w:ascii="Times New Roman" w:hAnsi="Times New Roman" w:cs="Times New Roman"/>
          <w:bCs/>
          <w:sz w:val="24"/>
          <w:szCs w:val="24"/>
        </w:rPr>
        <w:t xml:space="preserve"> × 100</w:t>
      </w:r>
    </w:p>
    <w:p w14:paraId="1B0B69A4"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The economic analysis was done by cost of cultivation (Rs. ha-1), gross return (Rs. ha-1</w:t>
      </w:r>
      <w:proofErr w:type="gramStart"/>
      <w:r w:rsidRPr="00E372DB">
        <w:rPr>
          <w:rFonts w:ascii="Times New Roman" w:eastAsia="Times New Roman" w:hAnsi="Times New Roman" w:cs="Times New Roman"/>
          <w:sz w:val="24"/>
          <w:szCs w:val="24"/>
          <w:lang w:bidi="hi-IN"/>
        </w:rPr>
        <w:t>) ,</w:t>
      </w:r>
      <w:proofErr w:type="gramEnd"/>
      <w:r w:rsidRPr="00E372DB">
        <w:rPr>
          <w:rFonts w:ascii="Times New Roman" w:eastAsia="Times New Roman" w:hAnsi="Times New Roman" w:cs="Times New Roman"/>
          <w:sz w:val="24"/>
          <w:szCs w:val="24"/>
          <w:lang w:bidi="hi-IN"/>
        </w:rPr>
        <w:t xml:space="preserve"> and net returns (Rs. ha-1) . The entire cost of cultivation was deducted from the gross returns to estimate the net returns.</w:t>
      </w:r>
    </w:p>
    <w:p w14:paraId="1FE072F3" w14:textId="77777777" w:rsidR="0030549D" w:rsidRDefault="0030549D" w:rsidP="0030549D">
      <w:pPr>
        <w:spacing w:line="240" w:lineRule="auto"/>
        <w:jc w:val="center"/>
        <w:rPr>
          <w:rFonts w:ascii="Times New Roman" w:eastAsia="SimSun" w:hAnsi="Times New Roman" w:cs="Times New Roman"/>
          <w:sz w:val="24"/>
          <w:szCs w:val="24"/>
          <w:u w:val="single"/>
          <w:lang w:eastAsia="zh-CN"/>
        </w:rPr>
      </w:pPr>
      <w:r>
        <w:rPr>
          <w:noProof/>
          <w:sz w:val="24"/>
          <w:lang w:bidi="hi-IN"/>
        </w:rPr>
        <mc:AlternateContent>
          <mc:Choice Requires="wps">
            <w:drawing>
              <wp:anchor distT="0" distB="0" distL="114300" distR="114300" simplePos="0" relativeHeight="251659264" behindDoc="0" locked="0" layoutInCell="1" allowOverlap="1" wp14:anchorId="43E45F6D" wp14:editId="2B2DBD14">
                <wp:simplePos x="0" y="0"/>
                <wp:positionH relativeFrom="column">
                  <wp:posOffset>3333115</wp:posOffset>
                </wp:positionH>
                <wp:positionV relativeFrom="paragraph">
                  <wp:posOffset>219075</wp:posOffset>
                </wp:positionV>
                <wp:extent cx="1769110" cy="0"/>
                <wp:effectExtent l="0" t="0" r="0" b="0"/>
                <wp:wrapNone/>
                <wp:docPr id="1" name="Straight Connector 1"/>
                <wp:cNvGraphicFramePr/>
                <a:graphic xmlns:a="http://schemas.openxmlformats.org/drawingml/2006/main">
                  <a:graphicData uri="http://schemas.microsoft.com/office/word/2010/wordprocessingShape">
                    <wps:wsp>
                      <wps:cNvCnPr/>
                      <wps:spPr>
                        <a:xfrm>
                          <a:off x="4476115" y="9162415"/>
                          <a:ext cx="17691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B1952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62.45pt,17.25pt" to="401.7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" strokecolor="black [3200]" strokeweight=".5pt">
                <v:stroke joinstyle="miter"/>
              </v:line>
            </w:pict>
          </mc:Fallback>
        </mc:AlternateContent>
      </w:r>
      <w:r>
        <w:rPr>
          <w:rFonts w:ascii="Times New Roman" w:eastAsia="SimSun" w:hAnsi="Times New Roman" w:cs="Times New Roman"/>
          <w:sz w:val="24"/>
          <w:szCs w:val="24"/>
          <w:lang w:eastAsia="zh-CN"/>
        </w:rPr>
        <w:t xml:space="preserve">Net Return per rupees invested </w:t>
      </w:r>
      <w:r>
        <w:rPr>
          <w:rFonts w:ascii="Times New Roman" w:eastAsia="SimSun" w:hAnsi="Times New Roman" w:cs="Times New Roman"/>
          <w:sz w:val="24"/>
          <w:szCs w:val="24"/>
          <w:vertAlign w:val="subscript"/>
          <w:lang w:eastAsia="zh-CN"/>
        </w:rPr>
        <w:t>=</w:t>
      </w:r>
      <w:r>
        <w:rPr>
          <w:rFonts w:ascii="Times New Roman" w:eastAsia="SimSun" w:hAnsi="Times New Roman" w:cs="Times New Roman"/>
          <w:sz w:val="24"/>
          <w:szCs w:val="24"/>
          <w:lang w:eastAsia="zh-CN"/>
        </w:rPr>
        <w:t xml:space="preserve">              Net Profit </w:t>
      </w:r>
    </w:p>
    <w:p w14:paraId="00A69ADD" w14:textId="77777777" w:rsidR="0030549D" w:rsidRDefault="0030549D" w:rsidP="0030549D">
      <w:pPr>
        <w:spacing w:after="71" w:line="240" w:lineRule="auto"/>
        <w:ind w:left="1249"/>
        <w:jc w:val="both"/>
        <w:rPr>
          <w:rFonts w:ascii="Times New Roman" w:hAnsi="Times New Roman" w:cs="Times New Roman"/>
          <w:sz w:val="24"/>
          <w:szCs w:val="24"/>
        </w:rPr>
      </w:pPr>
      <w:r>
        <w:rPr>
          <w:rFonts w:ascii="Times New Roman" w:hAnsi="Times New Roman" w:cs="Times New Roman"/>
          <w:sz w:val="24"/>
          <w:szCs w:val="24"/>
        </w:rPr>
        <w:t xml:space="preserve">                                                                      Total Cultivation Cost </w:t>
      </w:r>
    </w:p>
    <w:p w14:paraId="128FC7CF" w14:textId="77777777" w:rsid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 xml:space="preserve">The benefit-cost ratio for different treatments was worked out by dividing the net return obtained from the respective treatment with the respective total cost of cultivation. </w:t>
      </w:r>
    </w:p>
    <w:p w14:paraId="30F11A88" w14:textId="77777777" w:rsidR="0030549D" w:rsidRPr="00795A06" w:rsidRDefault="0030549D" w:rsidP="0030549D">
      <w:pPr>
        <w:spacing w:line="360" w:lineRule="auto"/>
        <w:jc w:val="both"/>
        <w:rPr>
          <w:rFonts w:ascii="Times New Roman" w:hAnsi="Times New Roman" w:cs="Times New Roman"/>
          <w:i/>
          <w:sz w:val="24"/>
          <w:szCs w:val="24"/>
        </w:rPr>
      </w:pPr>
      <m:oMathPara>
        <m:oMath>
          <m:r>
            <w:rPr>
              <w:rFonts w:ascii="Cambria Math" w:hAnsi="Cambria Math" w:cs="Times New Roman"/>
              <w:sz w:val="24"/>
              <w:szCs w:val="24"/>
            </w:rPr>
            <m:t>B:C=</m:t>
          </m:r>
          <m:f>
            <m:fPr>
              <m:ctrlPr>
                <w:rPr>
                  <w:rFonts w:ascii="Cambria Math" w:hAnsi="Cambria Math" w:cs="Times New Roman"/>
                  <w:i/>
                  <w:sz w:val="24"/>
                  <w:szCs w:val="24"/>
                </w:rPr>
              </m:ctrlPr>
            </m:fPr>
            <m:num>
              <m:r>
                <w:rPr>
                  <w:rFonts w:ascii="Cambria Math" w:hAnsi="Cambria Math" w:cs="Times New Roman"/>
                  <w:sz w:val="24"/>
                  <w:szCs w:val="24"/>
                </w:rPr>
                <m:t>Net return</m:t>
              </m:r>
            </m:num>
            <m:den>
              <m:r>
                <w:rPr>
                  <w:rFonts w:ascii="Cambria Math" w:hAnsi="Cambria Math" w:cs="Times New Roman"/>
                  <w:sz w:val="24"/>
                  <w:szCs w:val="24"/>
                </w:rPr>
                <m:t xml:space="preserve">  Cost of treatment   </m:t>
              </m:r>
            </m:den>
          </m:f>
        </m:oMath>
      </m:oMathPara>
    </w:p>
    <w:p w14:paraId="2C939994" w14:textId="77777777" w:rsidR="0030549D" w:rsidRPr="00E372DB" w:rsidRDefault="0030549D" w:rsidP="00E372DB">
      <w:pPr>
        <w:spacing w:before="100" w:beforeAutospacing="1" w:after="100" w:afterAutospacing="1" w:line="240" w:lineRule="auto"/>
        <w:jc w:val="both"/>
        <w:rPr>
          <w:rFonts w:ascii="Times New Roman" w:eastAsia="Times New Roman" w:hAnsi="Times New Roman" w:cs="Times New Roman"/>
          <w:sz w:val="24"/>
          <w:szCs w:val="24"/>
          <w:lang w:bidi="hi-IN"/>
        </w:rPr>
      </w:pPr>
    </w:p>
    <w:p w14:paraId="35778D82"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 xml:space="preserve">For calculating various statistical parameters, the analysis was performed using MS-Excel and OPSTAT for all the characters. The mean values of the data were subjected to the analysis of variance, and ANOVA was set for randomized block design. </w:t>
      </w:r>
    </w:p>
    <w:p w14:paraId="467C820A" w14:textId="77777777" w:rsidR="00887192" w:rsidRDefault="00887192" w:rsidP="00E372DB">
      <w:pPr>
        <w:spacing w:before="100" w:beforeAutospacing="1" w:after="100" w:afterAutospacing="1" w:line="240" w:lineRule="auto"/>
        <w:jc w:val="both"/>
        <w:rPr>
          <w:rFonts w:ascii="Times New Roman" w:eastAsia="Times New Roman" w:hAnsi="Times New Roman" w:cs="Times New Roman"/>
          <w:b/>
          <w:bCs/>
          <w:sz w:val="24"/>
          <w:szCs w:val="24"/>
          <w:lang w:bidi="hi-IN"/>
        </w:rPr>
      </w:pPr>
    </w:p>
    <w:p w14:paraId="319598A5"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t xml:space="preserve">RESULTS AND DISCUSSION </w:t>
      </w:r>
    </w:p>
    <w:p w14:paraId="530DB1B4" w14:textId="77777777" w:rsidR="00E372DB" w:rsidRPr="00E372DB" w:rsidRDefault="00E372DB" w:rsidP="0030549D">
      <w:pPr>
        <w:spacing w:before="100" w:beforeAutospacing="1" w:after="0"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t xml:space="preserve">Number of pods per plant </w:t>
      </w:r>
    </w:p>
    <w:p w14:paraId="4F673655" w14:textId="77777777" w:rsidR="00E372DB" w:rsidRPr="00E372DB" w:rsidRDefault="00E372DB" w:rsidP="0030549D">
      <w:pPr>
        <w:spacing w:before="100" w:beforeAutospacing="1" w:after="0"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A number of pods per plant is a vital primary factor that results in seed yield. A significant difference was seen due to phosphorus and zinc sources in number of pods per plant. T9 treatment had a significantly maximum number of pods per plant 61.1 ± 0.65 than minimum number of Pods 36.7 ± 0.66 in T0</w:t>
      </w:r>
      <w:r w:rsidRPr="00E372DB">
        <w:rPr>
          <w:rFonts w:ascii="Times New Roman" w:eastAsia="Times New Roman" w:hAnsi="Times New Roman" w:cs="Times New Roman"/>
          <w:b/>
          <w:bCs/>
          <w:sz w:val="24"/>
          <w:szCs w:val="24"/>
          <w:lang w:bidi="hi-IN"/>
        </w:rPr>
        <w:t xml:space="preserve">. </w:t>
      </w:r>
      <w:r w:rsidRPr="00E372DB">
        <w:rPr>
          <w:rFonts w:ascii="Times New Roman" w:eastAsia="Times New Roman" w:hAnsi="Times New Roman" w:cs="Times New Roman"/>
          <w:sz w:val="24"/>
          <w:szCs w:val="24"/>
          <w:lang w:bidi="hi-IN"/>
        </w:rPr>
        <w:t>The similar results were also reported due to differ</w:t>
      </w:r>
      <w:r w:rsidR="00887192">
        <w:rPr>
          <w:rFonts w:ascii="Times New Roman" w:eastAsia="Times New Roman" w:hAnsi="Times New Roman" w:cs="Times New Roman"/>
          <w:sz w:val="24"/>
          <w:szCs w:val="24"/>
          <w:lang w:bidi="hi-IN"/>
        </w:rPr>
        <w:t>ent phosphorus and zinc sources</w:t>
      </w:r>
      <w:r w:rsidRPr="00E372DB">
        <w:rPr>
          <w:rFonts w:ascii="Times New Roman" w:eastAsia="Times New Roman" w:hAnsi="Times New Roman" w:cs="Times New Roman"/>
          <w:b/>
          <w:bCs/>
          <w:sz w:val="24"/>
          <w:szCs w:val="24"/>
          <w:lang w:bidi="hi-IN"/>
        </w:rPr>
        <w:t xml:space="preserve"> [19, 20, 21]</w:t>
      </w:r>
      <w:r w:rsidR="00887192">
        <w:rPr>
          <w:rFonts w:ascii="Times New Roman" w:eastAsia="Times New Roman" w:hAnsi="Times New Roman" w:cs="Times New Roman"/>
          <w:b/>
          <w:bCs/>
          <w:sz w:val="24"/>
          <w:szCs w:val="24"/>
          <w:lang w:bidi="hi-IN"/>
        </w:rPr>
        <w:t>.</w:t>
      </w:r>
    </w:p>
    <w:p w14:paraId="459C42F4" w14:textId="77777777" w:rsidR="00E372DB" w:rsidRPr="00E372DB" w:rsidRDefault="00E372DB" w:rsidP="0030549D">
      <w:pPr>
        <w:spacing w:before="100" w:beforeAutospacing="1" w:after="0"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 xml:space="preserve">Number of seeds per pod </w:t>
      </w:r>
    </w:p>
    <w:p w14:paraId="16C16FF2" w14:textId="77777777" w:rsidR="00E372DB" w:rsidRPr="00E372DB" w:rsidRDefault="00E372DB" w:rsidP="0030549D">
      <w:pPr>
        <w:spacing w:before="100" w:beforeAutospacing="1" w:after="0"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The number of seeds per pod is also a very important factor in determining the yield. An important difference was seen due to phosphorus and zinc sources in the number of seeds per pod. T9 treatment had a significantly maximum number of seeds per plant 2.67±0.33 than T0 had lowest results 1.67 ± 0.33. The similar result on the number of seeds per pod is due to different phosphorus and zinc sources [22, 23, 24, 25].</w:t>
      </w:r>
    </w:p>
    <w:p w14:paraId="15F06092" w14:textId="77777777" w:rsidR="00E372DB" w:rsidRDefault="00E372DB" w:rsidP="00E372DB">
      <w:pPr>
        <w:spacing w:before="100" w:beforeAutospacing="1" w:after="100" w:afterAutospacing="1" w:line="240" w:lineRule="auto"/>
        <w:rPr>
          <w:rFonts w:ascii="Times New Roman" w:eastAsia="Times New Roman" w:hAnsi="Times New Roman" w:cs="Times New Roman"/>
          <w:b/>
          <w:bCs/>
          <w:sz w:val="24"/>
          <w:szCs w:val="24"/>
          <w:lang w:bidi="hi-IN"/>
        </w:rPr>
      </w:pPr>
      <w:r w:rsidRPr="00E372DB">
        <w:rPr>
          <w:rFonts w:ascii="Times New Roman" w:eastAsia="Times New Roman" w:hAnsi="Times New Roman" w:cs="Times New Roman"/>
          <w:b/>
          <w:bCs/>
          <w:sz w:val="24"/>
          <w:szCs w:val="24"/>
          <w:lang w:bidi="hi-IN"/>
        </w:rPr>
        <w:t>Table 1: Effect of Phosphorus and Zinc Sources on Number of Pods and Seeds Per Plant in Chickpea</w:t>
      </w:r>
    </w:p>
    <w:tbl>
      <w:tblPr>
        <w:tblW w:w="9644" w:type="dxa"/>
        <w:tblInd w:w="-25" w:type="dxa"/>
        <w:tblLook w:val="04A0" w:firstRow="1" w:lastRow="0" w:firstColumn="1" w:lastColumn="0" w:noHBand="0" w:noVBand="1"/>
      </w:tblPr>
      <w:tblGrid>
        <w:gridCol w:w="4977"/>
        <w:gridCol w:w="2263"/>
        <w:gridCol w:w="2404"/>
      </w:tblGrid>
      <w:tr w:rsidR="00E372DB" w:rsidRPr="00684FC6" w14:paraId="3FE84B90" w14:textId="77777777" w:rsidTr="0000789A">
        <w:trPr>
          <w:cantSplit/>
          <w:trHeight w:val="300"/>
        </w:trPr>
        <w:tc>
          <w:tcPr>
            <w:tcW w:w="4977" w:type="dxa"/>
            <w:tcBorders>
              <w:top w:val="single" w:sz="8" w:space="0" w:color="auto"/>
              <w:left w:val="single" w:sz="8" w:space="0" w:color="auto"/>
              <w:bottom w:val="nil"/>
              <w:right w:val="single" w:sz="8" w:space="0" w:color="auto"/>
            </w:tcBorders>
            <w:noWrap/>
            <w:vAlign w:val="center"/>
            <w:hideMark/>
          </w:tcPr>
          <w:p w14:paraId="41B589B8" w14:textId="77777777" w:rsidR="00E372DB" w:rsidRPr="00684FC6" w:rsidRDefault="00E372DB" w:rsidP="0000789A">
            <w:pPr>
              <w:spacing w:after="0" w:line="240" w:lineRule="auto"/>
              <w:jc w:val="center"/>
              <w:rPr>
                <w:rFonts w:ascii="Times New Roman" w:eastAsia="Times New Roman" w:hAnsi="Times New Roman" w:cs="Times New Roman"/>
                <w:b/>
                <w:bCs/>
                <w:color w:val="000000"/>
                <w:sz w:val="24"/>
                <w:szCs w:val="24"/>
                <w:lang w:bidi="hi-IN"/>
              </w:rPr>
            </w:pPr>
            <w:r w:rsidRPr="00684FC6">
              <w:rPr>
                <w:rFonts w:ascii="Times New Roman" w:eastAsia="Times New Roman" w:hAnsi="Times New Roman" w:cs="Times New Roman"/>
                <w:b/>
                <w:bCs/>
                <w:color w:val="000000"/>
                <w:sz w:val="24"/>
                <w:szCs w:val="24"/>
                <w:lang w:bidi="hi-IN"/>
              </w:rPr>
              <w:t>Treatments</w:t>
            </w:r>
          </w:p>
        </w:tc>
        <w:tc>
          <w:tcPr>
            <w:tcW w:w="2263" w:type="dxa"/>
            <w:tcBorders>
              <w:top w:val="single" w:sz="8" w:space="0" w:color="auto"/>
              <w:left w:val="nil"/>
              <w:bottom w:val="nil"/>
              <w:right w:val="single" w:sz="8" w:space="0" w:color="auto"/>
            </w:tcBorders>
            <w:noWrap/>
            <w:vAlign w:val="center"/>
            <w:hideMark/>
          </w:tcPr>
          <w:p w14:paraId="6C713906" w14:textId="77777777" w:rsidR="00E372DB" w:rsidRPr="00684FC6" w:rsidRDefault="00E372DB" w:rsidP="0000789A">
            <w:pPr>
              <w:spacing w:after="0" w:line="240" w:lineRule="auto"/>
              <w:jc w:val="center"/>
              <w:rPr>
                <w:rFonts w:ascii="Times New Roman" w:eastAsia="Times New Roman" w:hAnsi="Times New Roman" w:cs="Times New Roman"/>
                <w:b/>
                <w:bCs/>
                <w:color w:val="000000"/>
                <w:sz w:val="24"/>
                <w:szCs w:val="24"/>
                <w:lang w:bidi="hi-IN"/>
              </w:rPr>
            </w:pPr>
            <w:r w:rsidRPr="00684FC6">
              <w:rPr>
                <w:rFonts w:ascii="Times New Roman" w:eastAsia="Times New Roman" w:hAnsi="Times New Roman" w:cs="Times New Roman"/>
                <w:b/>
                <w:bCs/>
                <w:color w:val="000000"/>
                <w:sz w:val="24"/>
                <w:szCs w:val="24"/>
                <w:lang w:bidi="hi-IN"/>
              </w:rPr>
              <w:t>No. of pods per plant</w:t>
            </w:r>
          </w:p>
        </w:tc>
        <w:tc>
          <w:tcPr>
            <w:tcW w:w="2404" w:type="dxa"/>
            <w:tcBorders>
              <w:top w:val="single" w:sz="8" w:space="0" w:color="auto"/>
              <w:left w:val="nil"/>
              <w:bottom w:val="nil"/>
              <w:right w:val="single" w:sz="8" w:space="0" w:color="auto"/>
            </w:tcBorders>
            <w:noWrap/>
            <w:vAlign w:val="center"/>
            <w:hideMark/>
          </w:tcPr>
          <w:p w14:paraId="4EA58B92" w14:textId="77777777" w:rsidR="00E372DB" w:rsidRPr="00684FC6" w:rsidRDefault="00E372DB" w:rsidP="0000789A">
            <w:pPr>
              <w:spacing w:after="0" w:line="240" w:lineRule="auto"/>
              <w:jc w:val="center"/>
              <w:rPr>
                <w:rFonts w:ascii="Times New Roman" w:eastAsia="Times New Roman" w:hAnsi="Times New Roman" w:cs="Times New Roman"/>
                <w:b/>
                <w:bCs/>
                <w:color w:val="000000"/>
                <w:sz w:val="24"/>
                <w:szCs w:val="24"/>
                <w:lang w:bidi="hi-IN"/>
              </w:rPr>
            </w:pPr>
            <w:r w:rsidRPr="00684FC6">
              <w:rPr>
                <w:rFonts w:ascii="Times New Roman" w:eastAsia="Times New Roman" w:hAnsi="Times New Roman" w:cs="Times New Roman"/>
                <w:b/>
                <w:bCs/>
                <w:color w:val="000000"/>
                <w:sz w:val="24"/>
                <w:szCs w:val="24"/>
                <w:lang w:bidi="hi-IN"/>
              </w:rPr>
              <w:t>No. of Seeds Per Pod</w:t>
            </w:r>
          </w:p>
        </w:tc>
      </w:tr>
      <w:tr w:rsidR="00E372DB" w:rsidRPr="00684FC6" w14:paraId="1D1BA17A" w14:textId="77777777" w:rsidTr="0000789A">
        <w:trPr>
          <w:cantSplit/>
          <w:trHeight w:val="315"/>
        </w:trPr>
        <w:tc>
          <w:tcPr>
            <w:tcW w:w="4977" w:type="dxa"/>
            <w:tcBorders>
              <w:top w:val="single" w:sz="4" w:space="0" w:color="auto"/>
              <w:left w:val="single" w:sz="4" w:space="0" w:color="auto"/>
              <w:bottom w:val="single" w:sz="4" w:space="0" w:color="auto"/>
              <w:right w:val="single" w:sz="4" w:space="0" w:color="auto"/>
            </w:tcBorders>
            <w:noWrap/>
            <w:vAlign w:val="center"/>
            <w:hideMark/>
          </w:tcPr>
          <w:p w14:paraId="4DA79FE4" w14:textId="77777777" w:rsidR="00E372DB" w:rsidRPr="00684FC6" w:rsidRDefault="00E372DB" w:rsidP="0000789A">
            <w:pPr>
              <w:spacing w:after="0" w:line="240" w:lineRule="auto"/>
              <w:rPr>
                <w:rFonts w:ascii="Times New Roman" w:eastAsia="Times New Roman" w:hAnsi="Times New Roman" w:cs="Times New Roman"/>
                <w:color w:val="000000"/>
                <w:lang w:bidi="hi-IN"/>
              </w:rPr>
            </w:pPr>
            <w:r w:rsidRPr="00684FC6">
              <w:rPr>
                <w:rFonts w:ascii="Times New Roman" w:eastAsia="Times New Roman" w:hAnsi="Times New Roman" w:cs="Times New Roman"/>
                <w:color w:val="000000"/>
                <w:kern w:val="24"/>
                <w:lang w:bidi="hi-IN"/>
              </w:rPr>
              <w:t>Control (RDF)</w:t>
            </w:r>
          </w:p>
        </w:tc>
        <w:tc>
          <w:tcPr>
            <w:tcW w:w="2263" w:type="dxa"/>
            <w:tcBorders>
              <w:top w:val="single" w:sz="4" w:space="0" w:color="auto"/>
              <w:left w:val="nil"/>
              <w:bottom w:val="single" w:sz="4" w:space="0" w:color="auto"/>
              <w:right w:val="single" w:sz="4" w:space="0" w:color="auto"/>
            </w:tcBorders>
            <w:noWrap/>
            <w:vAlign w:val="center"/>
            <w:hideMark/>
          </w:tcPr>
          <w:p w14:paraId="32ADB9BB"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36.7 ± 0.66</w:t>
            </w:r>
          </w:p>
        </w:tc>
        <w:tc>
          <w:tcPr>
            <w:tcW w:w="2404" w:type="dxa"/>
            <w:tcBorders>
              <w:top w:val="single" w:sz="4" w:space="0" w:color="auto"/>
              <w:left w:val="nil"/>
              <w:bottom w:val="single" w:sz="4" w:space="0" w:color="auto"/>
              <w:right w:val="single" w:sz="4" w:space="0" w:color="auto"/>
            </w:tcBorders>
            <w:noWrap/>
            <w:vAlign w:val="center"/>
            <w:hideMark/>
          </w:tcPr>
          <w:p w14:paraId="4DBB14D9"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 xml:space="preserve">      1.67 ± 0.33</w:t>
            </w:r>
          </w:p>
        </w:tc>
      </w:tr>
      <w:tr w:rsidR="00E372DB" w:rsidRPr="00684FC6" w14:paraId="63C9DB37" w14:textId="77777777" w:rsidTr="0000789A">
        <w:trPr>
          <w:cantSplit/>
          <w:trHeight w:val="315"/>
        </w:trPr>
        <w:tc>
          <w:tcPr>
            <w:tcW w:w="4977" w:type="dxa"/>
            <w:tcBorders>
              <w:top w:val="nil"/>
              <w:left w:val="single" w:sz="4" w:space="0" w:color="auto"/>
              <w:bottom w:val="single" w:sz="4" w:space="0" w:color="auto"/>
              <w:right w:val="single" w:sz="4" w:space="0" w:color="auto"/>
            </w:tcBorders>
            <w:noWrap/>
            <w:vAlign w:val="center"/>
            <w:hideMark/>
          </w:tcPr>
          <w:p w14:paraId="480E743A" w14:textId="77777777" w:rsidR="00E372DB" w:rsidRPr="00684FC6" w:rsidRDefault="00E372DB" w:rsidP="0000789A">
            <w:pPr>
              <w:spacing w:after="0" w:line="240" w:lineRule="auto"/>
              <w:rPr>
                <w:rFonts w:ascii="Times New Roman" w:eastAsia="Times New Roman" w:hAnsi="Times New Roman" w:cs="Times New Roman"/>
                <w:color w:val="000000"/>
                <w:lang w:bidi="hi-IN"/>
              </w:rPr>
            </w:pPr>
            <w:r w:rsidRPr="00684FC6">
              <w:rPr>
                <w:rFonts w:ascii="Times New Roman" w:eastAsia="Times New Roman" w:hAnsi="Times New Roman" w:cs="Times New Roman"/>
                <w:color w:val="000000"/>
                <w:kern w:val="24"/>
                <w:lang w:bidi="hi-IN"/>
              </w:rPr>
              <w:t>Zinc (10 Kg/</w:t>
            </w:r>
            <w:r w:rsidRPr="00684FC6">
              <w:rPr>
                <w:rFonts w:ascii="Times New Roman" w:eastAsia="Times New Roman" w:hAnsi="Times New Roman" w:cs="Times New Roman"/>
                <w:color w:val="1F1F1F"/>
                <w:kern w:val="24"/>
                <w:lang w:bidi="hi-IN"/>
              </w:rPr>
              <w:t>hectare)</w:t>
            </w:r>
          </w:p>
        </w:tc>
        <w:tc>
          <w:tcPr>
            <w:tcW w:w="2263" w:type="dxa"/>
            <w:tcBorders>
              <w:top w:val="nil"/>
              <w:left w:val="nil"/>
              <w:bottom w:val="single" w:sz="4" w:space="0" w:color="auto"/>
              <w:right w:val="single" w:sz="4" w:space="0" w:color="auto"/>
            </w:tcBorders>
            <w:noWrap/>
            <w:vAlign w:val="center"/>
            <w:hideMark/>
          </w:tcPr>
          <w:p w14:paraId="6D8DA3AB"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38.6 ± 0.96</w:t>
            </w:r>
          </w:p>
        </w:tc>
        <w:tc>
          <w:tcPr>
            <w:tcW w:w="2404" w:type="dxa"/>
            <w:tcBorders>
              <w:top w:val="nil"/>
              <w:left w:val="nil"/>
              <w:bottom w:val="single" w:sz="4" w:space="0" w:color="auto"/>
              <w:right w:val="single" w:sz="4" w:space="0" w:color="auto"/>
            </w:tcBorders>
            <w:noWrap/>
            <w:vAlign w:val="center"/>
            <w:hideMark/>
          </w:tcPr>
          <w:p w14:paraId="6DCCC5B6"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 xml:space="preserve">      1.00 ± 0.57</w:t>
            </w:r>
          </w:p>
        </w:tc>
      </w:tr>
      <w:tr w:rsidR="00E372DB" w:rsidRPr="00684FC6" w14:paraId="6CF72608" w14:textId="77777777" w:rsidTr="0000789A">
        <w:trPr>
          <w:cantSplit/>
          <w:trHeight w:val="315"/>
        </w:trPr>
        <w:tc>
          <w:tcPr>
            <w:tcW w:w="4977" w:type="dxa"/>
            <w:tcBorders>
              <w:top w:val="nil"/>
              <w:left w:val="single" w:sz="4" w:space="0" w:color="auto"/>
              <w:bottom w:val="single" w:sz="4" w:space="0" w:color="auto"/>
              <w:right w:val="single" w:sz="4" w:space="0" w:color="auto"/>
            </w:tcBorders>
            <w:noWrap/>
            <w:vAlign w:val="center"/>
            <w:hideMark/>
          </w:tcPr>
          <w:p w14:paraId="51EBAFCF" w14:textId="77777777" w:rsidR="00E372DB" w:rsidRPr="00684FC6" w:rsidRDefault="00E372DB" w:rsidP="0000789A">
            <w:pPr>
              <w:spacing w:after="0" w:line="240" w:lineRule="auto"/>
              <w:rPr>
                <w:rFonts w:ascii="Times New Roman" w:eastAsia="Times New Roman" w:hAnsi="Times New Roman" w:cs="Times New Roman"/>
                <w:color w:val="000000"/>
                <w:lang w:bidi="hi-IN"/>
              </w:rPr>
            </w:pPr>
            <w:r w:rsidRPr="00684FC6">
              <w:rPr>
                <w:rFonts w:ascii="Times New Roman" w:eastAsia="Times New Roman" w:hAnsi="Times New Roman" w:cs="Times New Roman"/>
                <w:color w:val="000000"/>
                <w:kern w:val="24"/>
                <w:lang w:bidi="hi-IN"/>
              </w:rPr>
              <w:t>Zinc (15 Kg/ hectare)</w:t>
            </w:r>
          </w:p>
        </w:tc>
        <w:tc>
          <w:tcPr>
            <w:tcW w:w="2263" w:type="dxa"/>
            <w:tcBorders>
              <w:top w:val="nil"/>
              <w:left w:val="nil"/>
              <w:bottom w:val="single" w:sz="4" w:space="0" w:color="auto"/>
              <w:right w:val="single" w:sz="4" w:space="0" w:color="auto"/>
            </w:tcBorders>
            <w:noWrap/>
            <w:vAlign w:val="center"/>
            <w:hideMark/>
          </w:tcPr>
          <w:p w14:paraId="59C48871"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45.4 ± 0.85</w:t>
            </w:r>
          </w:p>
        </w:tc>
        <w:tc>
          <w:tcPr>
            <w:tcW w:w="2404" w:type="dxa"/>
            <w:tcBorders>
              <w:top w:val="nil"/>
              <w:left w:val="nil"/>
              <w:bottom w:val="single" w:sz="4" w:space="0" w:color="auto"/>
              <w:right w:val="single" w:sz="4" w:space="0" w:color="auto"/>
            </w:tcBorders>
            <w:noWrap/>
            <w:vAlign w:val="center"/>
            <w:hideMark/>
          </w:tcPr>
          <w:p w14:paraId="63B334A2"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 xml:space="preserve">     1.00 ± 0.57</w:t>
            </w:r>
          </w:p>
        </w:tc>
      </w:tr>
      <w:tr w:rsidR="00E372DB" w:rsidRPr="00684FC6" w14:paraId="735F234B" w14:textId="77777777" w:rsidTr="0000789A">
        <w:trPr>
          <w:cantSplit/>
          <w:trHeight w:val="315"/>
        </w:trPr>
        <w:tc>
          <w:tcPr>
            <w:tcW w:w="4977" w:type="dxa"/>
            <w:tcBorders>
              <w:top w:val="nil"/>
              <w:left w:val="single" w:sz="4" w:space="0" w:color="auto"/>
              <w:bottom w:val="single" w:sz="4" w:space="0" w:color="auto"/>
              <w:right w:val="single" w:sz="4" w:space="0" w:color="auto"/>
            </w:tcBorders>
            <w:noWrap/>
            <w:vAlign w:val="center"/>
            <w:hideMark/>
          </w:tcPr>
          <w:p w14:paraId="607AF26C" w14:textId="77777777" w:rsidR="00E372DB" w:rsidRPr="00684FC6" w:rsidRDefault="00E372DB" w:rsidP="0000789A">
            <w:pPr>
              <w:spacing w:after="0" w:line="240" w:lineRule="auto"/>
              <w:rPr>
                <w:rFonts w:ascii="Times New Roman" w:eastAsia="Times New Roman" w:hAnsi="Times New Roman" w:cs="Times New Roman"/>
                <w:color w:val="000000"/>
                <w:lang w:bidi="hi-IN"/>
              </w:rPr>
            </w:pPr>
            <w:r w:rsidRPr="00684FC6">
              <w:rPr>
                <w:rFonts w:ascii="Times New Roman" w:eastAsia="Times New Roman" w:hAnsi="Times New Roman" w:cs="Times New Roman"/>
                <w:color w:val="000000"/>
                <w:kern w:val="24"/>
                <w:lang w:bidi="hi-IN"/>
              </w:rPr>
              <w:t>Zinc (20 Kg/ hectare)</w:t>
            </w:r>
          </w:p>
        </w:tc>
        <w:tc>
          <w:tcPr>
            <w:tcW w:w="2263" w:type="dxa"/>
            <w:tcBorders>
              <w:top w:val="nil"/>
              <w:left w:val="nil"/>
              <w:bottom w:val="single" w:sz="4" w:space="0" w:color="auto"/>
              <w:right w:val="single" w:sz="4" w:space="0" w:color="auto"/>
            </w:tcBorders>
            <w:noWrap/>
            <w:vAlign w:val="center"/>
            <w:hideMark/>
          </w:tcPr>
          <w:p w14:paraId="67B2FA44" w14:textId="77777777" w:rsidR="00E372DB" w:rsidRPr="00684FC6" w:rsidRDefault="00E372DB" w:rsidP="0000789A">
            <w:pPr>
              <w:spacing w:after="0" w:line="240" w:lineRule="auto"/>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 xml:space="preserve">       </w:t>
            </w:r>
            <w:r w:rsidRPr="00684FC6">
              <w:rPr>
                <w:rFonts w:ascii="Times New Roman" w:eastAsia="Times New Roman" w:hAnsi="Times New Roman" w:cs="Times New Roman"/>
                <w:color w:val="000000"/>
                <w:sz w:val="24"/>
                <w:szCs w:val="24"/>
                <w:lang w:bidi="hi-IN"/>
              </w:rPr>
              <w:t xml:space="preserve"> 47.1 ± 0.33</w:t>
            </w:r>
          </w:p>
        </w:tc>
        <w:tc>
          <w:tcPr>
            <w:tcW w:w="2404" w:type="dxa"/>
            <w:tcBorders>
              <w:top w:val="nil"/>
              <w:left w:val="nil"/>
              <w:bottom w:val="single" w:sz="4" w:space="0" w:color="auto"/>
              <w:right w:val="single" w:sz="4" w:space="0" w:color="auto"/>
            </w:tcBorders>
            <w:noWrap/>
            <w:vAlign w:val="center"/>
            <w:hideMark/>
          </w:tcPr>
          <w:p w14:paraId="5837E528"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 xml:space="preserve">      1.33 ± 0.67</w:t>
            </w:r>
          </w:p>
        </w:tc>
      </w:tr>
      <w:tr w:rsidR="00E372DB" w:rsidRPr="00684FC6" w14:paraId="46734414" w14:textId="77777777" w:rsidTr="0000789A">
        <w:trPr>
          <w:cantSplit/>
          <w:trHeight w:val="303"/>
        </w:trPr>
        <w:tc>
          <w:tcPr>
            <w:tcW w:w="4977" w:type="dxa"/>
            <w:tcBorders>
              <w:top w:val="nil"/>
              <w:left w:val="single" w:sz="4" w:space="0" w:color="auto"/>
              <w:bottom w:val="single" w:sz="4" w:space="0" w:color="auto"/>
              <w:right w:val="single" w:sz="4" w:space="0" w:color="auto"/>
            </w:tcBorders>
            <w:vAlign w:val="center"/>
            <w:hideMark/>
          </w:tcPr>
          <w:p w14:paraId="23D9E670" w14:textId="77777777" w:rsidR="00E372DB" w:rsidRPr="00684FC6" w:rsidRDefault="00E372DB" w:rsidP="0000789A">
            <w:pPr>
              <w:spacing w:after="0" w:line="240" w:lineRule="auto"/>
              <w:rPr>
                <w:rFonts w:ascii="Times New Roman" w:eastAsia="Times New Roman" w:hAnsi="Times New Roman" w:cs="Times New Roman"/>
                <w:color w:val="000000"/>
                <w:lang w:bidi="hi-IN"/>
              </w:rPr>
            </w:pPr>
            <w:r w:rsidRPr="00684FC6">
              <w:rPr>
                <w:rFonts w:ascii="Times New Roman" w:eastAsia="Times New Roman" w:hAnsi="Times New Roman" w:cs="Times New Roman"/>
                <w:color w:val="000000"/>
                <w:kern w:val="24"/>
                <w:lang w:bidi="hi-IN"/>
              </w:rPr>
              <w:t>Phosphorus (10 Kg/hectare)</w:t>
            </w:r>
          </w:p>
        </w:tc>
        <w:tc>
          <w:tcPr>
            <w:tcW w:w="2263" w:type="dxa"/>
            <w:tcBorders>
              <w:top w:val="nil"/>
              <w:left w:val="nil"/>
              <w:bottom w:val="single" w:sz="4" w:space="0" w:color="auto"/>
              <w:right w:val="single" w:sz="4" w:space="0" w:color="auto"/>
            </w:tcBorders>
            <w:noWrap/>
            <w:vAlign w:val="center"/>
            <w:hideMark/>
          </w:tcPr>
          <w:p w14:paraId="796A29A1"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49.2 ± 0.32</w:t>
            </w:r>
          </w:p>
        </w:tc>
        <w:tc>
          <w:tcPr>
            <w:tcW w:w="2404" w:type="dxa"/>
            <w:tcBorders>
              <w:top w:val="nil"/>
              <w:left w:val="nil"/>
              <w:bottom w:val="single" w:sz="4" w:space="0" w:color="auto"/>
              <w:right w:val="single" w:sz="4" w:space="0" w:color="auto"/>
            </w:tcBorders>
            <w:noWrap/>
            <w:vAlign w:val="center"/>
            <w:hideMark/>
          </w:tcPr>
          <w:p w14:paraId="78CC089C"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 xml:space="preserve">      1.67 ± 0.33</w:t>
            </w:r>
          </w:p>
        </w:tc>
      </w:tr>
      <w:tr w:rsidR="00E372DB" w:rsidRPr="00684FC6" w14:paraId="6DDB663B" w14:textId="77777777" w:rsidTr="0000789A">
        <w:trPr>
          <w:cantSplit/>
          <w:trHeight w:val="279"/>
        </w:trPr>
        <w:tc>
          <w:tcPr>
            <w:tcW w:w="4977" w:type="dxa"/>
            <w:tcBorders>
              <w:top w:val="nil"/>
              <w:left w:val="single" w:sz="4" w:space="0" w:color="auto"/>
              <w:bottom w:val="single" w:sz="4" w:space="0" w:color="auto"/>
              <w:right w:val="single" w:sz="4" w:space="0" w:color="auto"/>
            </w:tcBorders>
            <w:vAlign w:val="center"/>
            <w:hideMark/>
          </w:tcPr>
          <w:p w14:paraId="4F079366" w14:textId="77777777" w:rsidR="00E372DB" w:rsidRPr="00684FC6" w:rsidRDefault="00E372DB" w:rsidP="0000789A">
            <w:pPr>
              <w:spacing w:after="0" w:line="240" w:lineRule="auto"/>
              <w:rPr>
                <w:rFonts w:ascii="Times New Roman" w:eastAsia="Times New Roman" w:hAnsi="Times New Roman" w:cs="Times New Roman"/>
                <w:color w:val="000000"/>
                <w:lang w:bidi="hi-IN"/>
              </w:rPr>
            </w:pPr>
            <w:r w:rsidRPr="00684FC6">
              <w:rPr>
                <w:rFonts w:ascii="Times New Roman" w:eastAsia="Times New Roman" w:hAnsi="Times New Roman" w:cs="Times New Roman"/>
                <w:color w:val="000000"/>
                <w:kern w:val="24"/>
                <w:lang w:bidi="hi-IN"/>
              </w:rPr>
              <w:t>Phosphorus (15 Kg/ hectare)</w:t>
            </w:r>
          </w:p>
        </w:tc>
        <w:tc>
          <w:tcPr>
            <w:tcW w:w="2263" w:type="dxa"/>
            <w:tcBorders>
              <w:top w:val="nil"/>
              <w:left w:val="nil"/>
              <w:bottom w:val="single" w:sz="4" w:space="0" w:color="auto"/>
              <w:right w:val="single" w:sz="4" w:space="0" w:color="auto"/>
            </w:tcBorders>
            <w:noWrap/>
            <w:vAlign w:val="center"/>
            <w:hideMark/>
          </w:tcPr>
          <w:p w14:paraId="70AE8B9D"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51.1 ± 0.38</w:t>
            </w:r>
          </w:p>
        </w:tc>
        <w:tc>
          <w:tcPr>
            <w:tcW w:w="2404" w:type="dxa"/>
            <w:tcBorders>
              <w:top w:val="nil"/>
              <w:left w:val="nil"/>
              <w:bottom w:val="single" w:sz="4" w:space="0" w:color="auto"/>
              <w:right w:val="single" w:sz="4" w:space="0" w:color="auto"/>
            </w:tcBorders>
            <w:noWrap/>
            <w:vAlign w:val="center"/>
            <w:hideMark/>
          </w:tcPr>
          <w:p w14:paraId="732F04E3"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 xml:space="preserve">      1.33 ± 0.33</w:t>
            </w:r>
          </w:p>
        </w:tc>
      </w:tr>
      <w:tr w:rsidR="00E372DB" w:rsidRPr="00684FC6" w14:paraId="23F264A0" w14:textId="77777777" w:rsidTr="0000789A">
        <w:trPr>
          <w:cantSplit/>
          <w:trHeight w:val="269"/>
        </w:trPr>
        <w:tc>
          <w:tcPr>
            <w:tcW w:w="4977" w:type="dxa"/>
            <w:tcBorders>
              <w:top w:val="nil"/>
              <w:left w:val="single" w:sz="4" w:space="0" w:color="auto"/>
              <w:bottom w:val="single" w:sz="4" w:space="0" w:color="auto"/>
              <w:right w:val="single" w:sz="4" w:space="0" w:color="auto"/>
            </w:tcBorders>
            <w:vAlign w:val="center"/>
            <w:hideMark/>
          </w:tcPr>
          <w:p w14:paraId="14EDE9AF" w14:textId="77777777" w:rsidR="00E372DB" w:rsidRPr="00684FC6" w:rsidRDefault="00E372DB" w:rsidP="0000789A">
            <w:pPr>
              <w:spacing w:after="0" w:line="240" w:lineRule="auto"/>
              <w:rPr>
                <w:rFonts w:ascii="Times New Roman" w:eastAsia="Times New Roman" w:hAnsi="Times New Roman" w:cs="Times New Roman"/>
                <w:color w:val="000000"/>
                <w:lang w:bidi="hi-IN"/>
              </w:rPr>
            </w:pPr>
            <w:r w:rsidRPr="00684FC6">
              <w:rPr>
                <w:rFonts w:ascii="Times New Roman" w:eastAsia="Times New Roman" w:hAnsi="Times New Roman" w:cs="Times New Roman"/>
                <w:color w:val="000000"/>
                <w:kern w:val="24"/>
                <w:lang w:bidi="hi-IN"/>
              </w:rPr>
              <w:t>Phosphorus (15 Kg/ hectare)</w:t>
            </w:r>
          </w:p>
        </w:tc>
        <w:tc>
          <w:tcPr>
            <w:tcW w:w="2263" w:type="dxa"/>
            <w:tcBorders>
              <w:top w:val="nil"/>
              <w:left w:val="nil"/>
              <w:bottom w:val="single" w:sz="4" w:space="0" w:color="auto"/>
              <w:right w:val="single" w:sz="4" w:space="0" w:color="auto"/>
            </w:tcBorders>
            <w:noWrap/>
            <w:vAlign w:val="center"/>
            <w:hideMark/>
          </w:tcPr>
          <w:p w14:paraId="062AA8FB"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53.8 ± 0.12</w:t>
            </w:r>
          </w:p>
        </w:tc>
        <w:tc>
          <w:tcPr>
            <w:tcW w:w="2404" w:type="dxa"/>
            <w:tcBorders>
              <w:top w:val="nil"/>
              <w:left w:val="nil"/>
              <w:bottom w:val="single" w:sz="4" w:space="0" w:color="auto"/>
              <w:right w:val="single" w:sz="4" w:space="0" w:color="auto"/>
            </w:tcBorders>
            <w:noWrap/>
            <w:vAlign w:val="center"/>
            <w:hideMark/>
          </w:tcPr>
          <w:p w14:paraId="2DA166D2"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 xml:space="preserve">       1.33 ± 0.33</w:t>
            </w:r>
          </w:p>
        </w:tc>
      </w:tr>
      <w:tr w:rsidR="00E372DB" w:rsidRPr="00684FC6" w14:paraId="38348AC8" w14:textId="77777777" w:rsidTr="0000789A">
        <w:trPr>
          <w:cantSplit/>
          <w:trHeight w:val="259"/>
        </w:trPr>
        <w:tc>
          <w:tcPr>
            <w:tcW w:w="4977" w:type="dxa"/>
            <w:tcBorders>
              <w:top w:val="nil"/>
              <w:left w:val="single" w:sz="4" w:space="0" w:color="auto"/>
              <w:bottom w:val="single" w:sz="4" w:space="0" w:color="auto"/>
              <w:right w:val="single" w:sz="4" w:space="0" w:color="auto"/>
            </w:tcBorders>
            <w:vAlign w:val="center"/>
            <w:hideMark/>
          </w:tcPr>
          <w:p w14:paraId="250B1BE7" w14:textId="77777777" w:rsidR="00E372DB" w:rsidRPr="00684FC6" w:rsidRDefault="00E372DB" w:rsidP="0000789A">
            <w:pPr>
              <w:spacing w:after="0" w:line="240" w:lineRule="auto"/>
              <w:rPr>
                <w:rFonts w:ascii="Times New Roman" w:eastAsia="Times New Roman" w:hAnsi="Times New Roman" w:cs="Times New Roman"/>
                <w:color w:val="000000"/>
                <w:lang w:bidi="hi-IN"/>
              </w:rPr>
            </w:pPr>
            <w:r w:rsidRPr="00684FC6">
              <w:rPr>
                <w:rFonts w:ascii="Times New Roman" w:eastAsia="Times New Roman" w:hAnsi="Times New Roman" w:cs="Times New Roman"/>
                <w:color w:val="000000"/>
                <w:kern w:val="24"/>
                <w:lang w:bidi="hi-IN"/>
              </w:rPr>
              <w:t>Zinc (10 Kg/hectare) + Phosphorus (10 Kg/hectare)</w:t>
            </w:r>
          </w:p>
        </w:tc>
        <w:tc>
          <w:tcPr>
            <w:tcW w:w="2263" w:type="dxa"/>
            <w:tcBorders>
              <w:top w:val="nil"/>
              <w:left w:val="nil"/>
              <w:bottom w:val="single" w:sz="4" w:space="0" w:color="auto"/>
              <w:right w:val="single" w:sz="4" w:space="0" w:color="auto"/>
            </w:tcBorders>
            <w:noWrap/>
            <w:vAlign w:val="center"/>
            <w:hideMark/>
          </w:tcPr>
          <w:p w14:paraId="363A353A"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56.7 ± 0.34</w:t>
            </w:r>
          </w:p>
        </w:tc>
        <w:tc>
          <w:tcPr>
            <w:tcW w:w="2404" w:type="dxa"/>
            <w:tcBorders>
              <w:top w:val="nil"/>
              <w:left w:val="nil"/>
              <w:bottom w:val="single" w:sz="4" w:space="0" w:color="auto"/>
              <w:right w:val="single" w:sz="4" w:space="0" w:color="auto"/>
            </w:tcBorders>
            <w:vAlign w:val="center"/>
            <w:hideMark/>
          </w:tcPr>
          <w:p w14:paraId="7218B068"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 xml:space="preserve">       1.67 ± 0.33</w:t>
            </w:r>
          </w:p>
        </w:tc>
      </w:tr>
      <w:tr w:rsidR="00E372DB" w:rsidRPr="00684FC6" w14:paraId="2E203D41" w14:textId="77777777" w:rsidTr="0000789A">
        <w:trPr>
          <w:cantSplit/>
          <w:trHeight w:val="159"/>
        </w:trPr>
        <w:tc>
          <w:tcPr>
            <w:tcW w:w="4977" w:type="dxa"/>
            <w:tcBorders>
              <w:top w:val="nil"/>
              <w:left w:val="single" w:sz="4" w:space="0" w:color="auto"/>
              <w:bottom w:val="single" w:sz="4" w:space="0" w:color="auto"/>
              <w:right w:val="single" w:sz="4" w:space="0" w:color="auto"/>
            </w:tcBorders>
            <w:vAlign w:val="center"/>
            <w:hideMark/>
          </w:tcPr>
          <w:p w14:paraId="52BCDE04" w14:textId="77777777" w:rsidR="00E372DB" w:rsidRPr="00684FC6" w:rsidRDefault="00E372DB" w:rsidP="0000789A">
            <w:pPr>
              <w:spacing w:after="0" w:line="240" w:lineRule="auto"/>
              <w:rPr>
                <w:rFonts w:ascii="Times New Roman" w:eastAsia="Times New Roman" w:hAnsi="Times New Roman" w:cs="Times New Roman"/>
                <w:color w:val="000000"/>
                <w:lang w:bidi="hi-IN"/>
              </w:rPr>
            </w:pPr>
            <w:r w:rsidRPr="00684FC6">
              <w:rPr>
                <w:rFonts w:ascii="Times New Roman" w:eastAsia="Times New Roman" w:hAnsi="Times New Roman" w:cs="Times New Roman"/>
                <w:color w:val="000000"/>
                <w:kern w:val="24"/>
                <w:lang w:bidi="hi-IN"/>
              </w:rPr>
              <w:t>Zinc (15 kg/ hectare) + Phosphorus (15 Kg/hectare)</w:t>
            </w:r>
          </w:p>
        </w:tc>
        <w:tc>
          <w:tcPr>
            <w:tcW w:w="2263" w:type="dxa"/>
            <w:tcBorders>
              <w:top w:val="nil"/>
              <w:left w:val="nil"/>
              <w:bottom w:val="single" w:sz="4" w:space="0" w:color="auto"/>
              <w:right w:val="single" w:sz="4" w:space="0" w:color="auto"/>
            </w:tcBorders>
            <w:noWrap/>
            <w:vAlign w:val="center"/>
            <w:hideMark/>
          </w:tcPr>
          <w:p w14:paraId="329E249C"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58.1 ± 0.67</w:t>
            </w:r>
          </w:p>
        </w:tc>
        <w:tc>
          <w:tcPr>
            <w:tcW w:w="2404" w:type="dxa"/>
            <w:tcBorders>
              <w:top w:val="nil"/>
              <w:left w:val="nil"/>
              <w:bottom w:val="single" w:sz="4" w:space="0" w:color="auto"/>
              <w:right w:val="single" w:sz="4" w:space="0" w:color="auto"/>
            </w:tcBorders>
            <w:vAlign w:val="center"/>
            <w:hideMark/>
          </w:tcPr>
          <w:p w14:paraId="77EF3063"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 xml:space="preserve">      1.67 ± 0.33</w:t>
            </w:r>
          </w:p>
        </w:tc>
      </w:tr>
      <w:tr w:rsidR="00E372DB" w:rsidRPr="00684FC6" w14:paraId="1304C7E5" w14:textId="77777777" w:rsidTr="0000789A">
        <w:trPr>
          <w:cantSplit/>
          <w:trHeight w:val="305"/>
        </w:trPr>
        <w:tc>
          <w:tcPr>
            <w:tcW w:w="4977" w:type="dxa"/>
            <w:tcBorders>
              <w:top w:val="nil"/>
              <w:left w:val="single" w:sz="4" w:space="0" w:color="auto"/>
              <w:bottom w:val="single" w:sz="4" w:space="0" w:color="auto"/>
              <w:right w:val="single" w:sz="4" w:space="0" w:color="auto"/>
            </w:tcBorders>
            <w:vAlign w:val="center"/>
            <w:hideMark/>
          </w:tcPr>
          <w:p w14:paraId="25DAA0AF" w14:textId="77777777" w:rsidR="00E372DB" w:rsidRPr="00684FC6" w:rsidRDefault="00E372DB" w:rsidP="0000789A">
            <w:pPr>
              <w:spacing w:after="0" w:line="240" w:lineRule="auto"/>
              <w:rPr>
                <w:rFonts w:ascii="Times New Roman" w:eastAsia="Times New Roman" w:hAnsi="Times New Roman" w:cs="Times New Roman"/>
                <w:color w:val="000000"/>
                <w:lang w:bidi="hi-IN"/>
              </w:rPr>
            </w:pPr>
            <w:r w:rsidRPr="00684FC6">
              <w:rPr>
                <w:rFonts w:ascii="Times New Roman" w:eastAsia="Times New Roman" w:hAnsi="Times New Roman" w:cs="Times New Roman"/>
                <w:color w:val="000000"/>
                <w:kern w:val="24"/>
                <w:lang w:bidi="hi-IN"/>
              </w:rPr>
              <w:t>Zinc (20 kg/ hectare) + Phosphorus (20 Kg/hectare)</w:t>
            </w:r>
          </w:p>
        </w:tc>
        <w:tc>
          <w:tcPr>
            <w:tcW w:w="2263" w:type="dxa"/>
            <w:tcBorders>
              <w:top w:val="nil"/>
              <w:left w:val="nil"/>
              <w:bottom w:val="single" w:sz="4" w:space="0" w:color="auto"/>
              <w:right w:val="single" w:sz="4" w:space="0" w:color="auto"/>
            </w:tcBorders>
            <w:noWrap/>
            <w:vAlign w:val="center"/>
            <w:hideMark/>
          </w:tcPr>
          <w:p w14:paraId="4F532AA5"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 xml:space="preserve">       61.1 ± 0.65</w:t>
            </w:r>
          </w:p>
        </w:tc>
        <w:tc>
          <w:tcPr>
            <w:tcW w:w="2404" w:type="dxa"/>
            <w:tcBorders>
              <w:top w:val="nil"/>
              <w:left w:val="nil"/>
              <w:bottom w:val="single" w:sz="4" w:space="0" w:color="auto"/>
              <w:right w:val="single" w:sz="4" w:space="0" w:color="auto"/>
            </w:tcBorders>
            <w:noWrap/>
            <w:vAlign w:val="center"/>
            <w:hideMark/>
          </w:tcPr>
          <w:p w14:paraId="4497EA50"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 xml:space="preserve">       2.67 ± 0.33</w:t>
            </w:r>
          </w:p>
        </w:tc>
      </w:tr>
      <w:tr w:rsidR="00E372DB" w:rsidRPr="00684FC6" w14:paraId="724F5B86" w14:textId="77777777" w:rsidTr="0000789A">
        <w:trPr>
          <w:cantSplit/>
          <w:trHeight w:val="315"/>
        </w:trPr>
        <w:tc>
          <w:tcPr>
            <w:tcW w:w="4977" w:type="dxa"/>
            <w:tcBorders>
              <w:top w:val="nil"/>
              <w:left w:val="single" w:sz="4" w:space="0" w:color="auto"/>
              <w:bottom w:val="single" w:sz="4" w:space="0" w:color="auto"/>
              <w:right w:val="single" w:sz="4" w:space="0" w:color="auto"/>
            </w:tcBorders>
            <w:vAlign w:val="center"/>
            <w:hideMark/>
          </w:tcPr>
          <w:p w14:paraId="397564F3" w14:textId="77777777" w:rsidR="00E372DB" w:rsidRPr="00684FC6" w:rsidRDefault="00E372DB" w:rsidP="0000789A">
            <w:pPr>
              <w:spacing w:after="0" w:line="240" w:lineRule="auto"/>
              <w:jc w:val="center"/>
              <w:rPr>
                <w:rFonts w:ascii="Times New Roman" w:eastAsia="Times New Roman" w:hAnsi="Times New Roman" w:cs="Times New Roman"/>
                <w:color w:val="000000"/>
                <w:lang w:bidi="hi-IN"/>
              </w:rPr>
            </w:pPr>
            <w:r w:rsidRPr="00684FC6">
              <w:rPr>
                <w:rFonts w:ascii="Times New Roman" w:eastAsia="Times New Roman" w:hAnsi="Times New Roman" w:cs="Times New Roman"/>
                <w:color w:val="000000"/>
                <w:lang w:bidi="hi-IN"/>
              </w:rPr>
              <w:t>C.D.</w:t>
            </w:r>
          </w:p>
        </w:tc>
        <w:tc>
          <w:tcPr>
            <w:tcW w:w="2263" w:type="dxa"/>
            <w:tcBorders>
              <w:top w:val="nil"/>
              <w:left w:val="nil"/>
              <w:bottom w:val="single" w:sz="4" w:space="0" w:color="auto"/>
              <w:right w:val="single" w:sz="4" w:space="0" w:color="auto"/>
            </w:tcBorders>
            <w:vAlign w:val="center"/>
            <w:hideMark/>
          </w:tcPr>
          <w:p w14:paraId="67AE8010"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1.343</w:t>
            </w:r>
          </w:p>
        </w:tc>
        <w:tc>
          <w:tcPr>
            <w:tcW w:w="2404" w:type="dxa"/>
            <w:tcBorders>
              <w:top w:val="nil"/>
              <w:left w:val="nil"/>
              <w:bottom w:val="single" w:sz="4" w:space="0" w:color="auto"/>
              <w:right w:val="single" w:sz="4" w:space="0" w:color="auto"/>
            </w:tcBorders>
            <w:noWrap/>
            <w:vAlign w:val="center"/>
            <w:hideMark/>
          </w:tcPr>
          <w:p w14:paraId="2C73D216"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 xml:space="preserve">         NS</w:t>
            </w:r>
          </w:p>
        </w:tc>
      </w:tr>
      <w:tr w:rsidR="00E372DB" w:rsidRPr="00684FC6" w14:paraId="304FBB7D" w14:textId="77777777" w:rsidTr="0000789A">
        <w:trPr>
          <w:cantSplit/>
          <w:trHeight w:val="315"/>
        </w:trPr>
        <w:tc>
          <w:tcPr>
            <w:tcW w:w="4977" w:type="dxa"/>
            <w:tcBorders>
              <w:top w:val="nil"/>
              <w:left w:val="single" w:sz="4" w:space="0" w:color="auto"/>
              <w:bottom w:val="single" w:sz="4" w:space="0" w:color="auto"/>
              <w:right w:val="single" w:sz="4" w:space="0" w:color="auto"/>
            </w:tcBorders>
            <w:vAlign w:val="center"/>
            <w:hideMark/>
          </w:tcPr>
          <w:p w14:paraId="69771319" w14:textId="77777777" w:rsidR="00E372DB" w:rsidRPr="00684FC6" w:rsidRDefault="00E372DB" w:rsidP="0000789A">
            <w:pPr>
              <w:spacing w:after="0" w:line="240" w:lineRule="auto"/>
              <w:jc w:val="center"/>
              <w:rPr>
                <w:rFonts w:ascii="Times New Roman" w:eastAsia="Times New Roman" w:hAnsi="Times New Roman" w:cs="Times New Roman"/>
                <w:color w:val="000000"/>
                <w:lang w:bidi="hi-IN"/>
              </w:rPr>
            </w:pPr>
            <w:r w:rsidRPr="00684FC6">
              <w:rPr>
                <w:rFonts w:ascii="Times New Roman" w:eastAsia="Times New Roman" w:hAnsi="Times New Roman" w:cs="Times New Roman"/>
                <w:color w:val="000000"/>
                <w:lang w:bidi="hi-IN"/>
              </w:rPr>
              <w:t>SE(m)</w:t>
            </w:r>
          </w:p>
        </w:tc>
        <w:tc>
          <w:tcPr>
            <w:tcW w:w="2263" w:type="dxa"/>
            <w:tcBorders>
              <w:top w:val="nil"/>
              <w:left w:val="nil"/>
              <w:bottom w:val="single" w:sz="4" w:space="0" w:color="auto"/>
              <w:right w:val="single" w:sz="4" w:space="0" w:color="auto"/>
            </w:tcBorders>
            <w:vAlign w:val="center"/>
            <w:hideMark/>
          </w:tcPr>
          <w:p w14:paraId="182483D2"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0.449</w:t>
            </w:r>
          </w:p>
        </w:tc>
        <w:tc>
          <w:tcPr>
            <w:tcW w:w="2404" w:type="dxa"/>
            <w:tcBorders>
              <w:top w:val="nil"/>
              <w:left w:val="nil"/>
              <w:bottom w:val="single" w:sz="4" w:space="0" w:color="auto"/>
              <w:right w:val="single" w:sz="4" w:space="0" w:color="auto"/>
            </w:tcBorders>
            <w:noWrap/>
            <w:vAlign w:val="center"/>
            <w:hideMark/>
          </w:tcPr>
          <w:p w14:paraId="4BE1CBAE"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0.457</w:t>
            </w:r>
          </w:p>
        </w:tc>
      </w:tr>
      <w:tr w:rsidR="00E372DB" w:rsidRPr="00684FC6" w14:paraId="35292E45" w14:textId="77777777" w:rsidTr="0000789A">
        <w:trPr>
          <w:cantSplit/>
          <w:trHeight w:val="315"/>
        </w:trPr>
        <w:tc>
          <w:tcPr>
            <w:tcW w:w="4977" w:type="dxa"/>
            <w:tcBorders>
              <w:top w:val="nil"/>
              <w:left w:val="single" w:sz="4" w:space="0" w:color="auto"/>
              <w:bottom w:val="single" w:sz="4" w:space="0" w:color="auto"/>
              <w:right w:val="single" w:sz="4" w:space="0" w:color="auto"/>
            </w:tcBorders>
            <w:vAlign w:val="center"/>
            <w:hideMark/>
          </w:tcPr>
          <w:p w14:paraId="7DD865C0" w14:textId="77777777" w:rsidR="00E372DB" w:rsidRPr="00684FC6" w:rsidRDefault="00E372DB" w:rsidP="0000789A">
            <w:pPr>
              <w:spacing w:after="0" w:line="240" w:lineRule="auto"/>
              <w:jc w:val="center"/>
              <w:rPr>
                <w:rFonts w:ascii="Times New Roman" w:eastAsia="Times New Roman" w:hAnsi="Times New Roman" w:cs="Times New Roman"/>
                <w:color w:val="000000"/>
                <w:lang w:bidi="hi-IN"/>
              </w:rPr>
            </w:pPr>
            <w:r w:rsidRPr="00684FC6">
              <w:rPr>
                <w:rFonts w:ascii="Times New Roman" w:eastAsia="Times New Roman" w:hAnsi="Times New Roman" w:cs="Times New Roman"/>
                <w:color w:val="000000"/>
                <w:lang w:bidi="hi-IN"/>
              </w:rPr>
              <w:t>SE(d)</w:t>
            </w:r>
          </w:p>
        </w:tc>
        <w:tc>
          <w:tcPr>
            <w:tcW w:w="2263" w:type="dxa"/>
            <w:tcBorders>
              <w:top w:val="nil"/>
              <w:left w:val="nil"/>
              <w:bottom w:val="single" w:sz="4" w:space="0" w:color="auto"/>
              <w:right w:val="single" w:sz="4" w:space="0" w:color="auto"/>
            </w:tcBorders>
            <w:vAlign w:val="center"/>
            <w:hideMark/>
          </w:tcPr>
          <w:p w14:paraId="71C4718E"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0.634</w:t>
            </w:r>
          </w:p>
        </w:tc>
        <w:tc>
          <w:tcPr>
            <w:tcW w:w="2404" w:type="dxa"/>
            <w:tcBorders>
              <w:top w:val="nil"/>
              <w:left w:val="nil"/>
              <w:bottom w:val="single" w:sz="4" w:space="0" w:color="auto"/>
              <w:right w:val="single" w:sz="4" w:space="0" w:color="auto"/>
            </w:tcBorders>
            <w:noWrap/>
            <w:vAlign w:val="center"/>
            <w:hideMark/>
          </w:tcPr>
          <w:p w14:paraId="184549B4"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0.646</w:t>
            </w:r>
          </w:p>
        </w:tc>
      </w:tr>
      <w:tr w:rsidR="00E372DB" w:rsidRPr="00684FC6" w14:paraId="569DF53A" w14:textId="77777777" w:rsidTr="0000789A">
        <w:trPr>
          <w:cantSplit/>
          <w:trHeight w:val="315"/>
        </w:trPr>
        <w:tc>
          <w:tcPr>
            <w:tcW w:w="4977" w:type="dxa"/>
            <w:tcBorders>
              <w:top w:val="nil"/>
              <w:left w:val="single" w:sz="4" w:space="0" w:color="auto"/>
              <w:bottom w:val="single" w:sz="4" w:space="0" w:color="auto"/>
              <w:right w:val="single" w:sz="4" w:space="0" w:color="auto"/>
            </w:tcBorders>
            <w:shd w:val="clear" w:color="000000" w:fill="FFFFFF"/>
            <w:vAlign w:val="center"/>
            <w:hideMark/>
          </w:tcPr>
          <w:p w14:paraId="07E0E988" w14:textId="77777777" w:rsidR="00E372DB" w:rsidRPr="00684FC6" w:rsidRDefault="00E372DB" w:rsidP="0000789A">
            <w:pPr>
              <w:spacing w:after="0" w:line="240" w:lineRule="auto"/>
              <w:jc w:val="center"/>
              <w:rPr>
                <w:rFonts w:ascii="Times New Roman" w:eastAsia="Times New Roman" w:hAnsi="Times New Roman" w:cs="Times New Roman"/>
                <w:color w:val="333333"/>
                <w:lang w:bidi="hi-IN"/>
              </w:rPr>
            </w:pPr>
            <w:r w:rsidRPr="00684FC6">
              <w:rPr>
                <w:rFonts w:ascii="Times New Roman" w:eastAsia="Times New Roman" w:hAnsi="Times New Roman" w:cs="Times New Roman"/>
                <w:color w:val="333333"/>
                <w:lang w:bidi="hi-IN"/>
              </w:rPr>
              <w:t>C.V.</w:t>
            </w:r>
          </w:p>
        </w:tc>
        <w:tc>
          <w:tcPr>
            <w:tcW w:w="2263" w:type="dxa"/>
            <w:tcBorders>
              <w:top w:val="nil"/>
              <w:left w:val="nil"/>
              <w:bottom w:val="single" w:sz="4" w:space="0" w:color="auto"/>
              <w:right w:val="single" w:sz="4" w:space="0" w:color="auto"/>
            </w:tcBorders>
            <w:shd w:val="clear" w:color="000000" w:fill="FFFFFF"/>
            <w:vAlign w:val="center"/>
            <w:hideMark/>
          </w:tcPr>
          <w:p w14:paraId="5A6BBF6D" w14:textId="77777777" w:rsidR="00E372DB" w:rsidRPr="00684FC6" w:rsidRDefault="00E372DB" w:rsidP="0000789A">
            <w:pPr>
              <w:spacing w:after="0" w:line="240" w:lineRule="auto"/>
              <w:jc w:val="center"/>
              <w:rPr>
                <w:rFonts w:ascii="Times New Roman" w:eastAsia="Times New Roman" w:hAnsi="Times New Roman" w:cs="Times New Roman"/>
                <w:color w:val="333333"/>
                <w:sz w:val="24"/>
                <w:szCs w:val="24"/>
                <w:lang w:bidi="hi-IN"/>
              </w:rPr>
            </w:pPr>
            <w:r w:rsidRPr="00684FC6">
              <w:rPr>
                <w:rFonts w:ascii="Times New Roman" w:eastAsia="Times New Roman" w:hAnsi="Times New Roman" w:cs="Times New Roman"/>
                <w:color w:val="333333"/>
                <w:sz w:val="24"/>
                <w:szCs w:val="24"/>
                <w:lang w:bidi="hi-IN"/>
              </w:rPr>
              <w:t>1.56</w:t>
            </w:r>
          </w:p>
        </w:tc>
        <w:tc>
          <w:tcPr>
            <w:tcW w:w="2404" w:type="dxa"/>
            <w:tcBorders>
              <w:top w:val="nil"/>
              <w:left w:val="nil"/>
              <w:bottom w:val="single" w:sz="4" w:space="0" w:color="auto"/>
              <w:right w:val="single" w:sz="4" w:space="0" w:color="auto"/>
            </w:tcBorders>
            <w:noWrap/>
            <w:vAlign w:val="center"/>
            <w:hideMark/>
          </w:tcPr>
          <w:p w14:paraId="729B9B33" w14:textId="77777777" w:rsidR="00E372DB" w:rsidRPr="00684FC6"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684FC6">
              <w:rPr>
                <w:rFonts w:ascii="Times New Roman" w:eastAsia="Times New Roman" w:hAnsi="Times New Roman" w:cs="Times New Roman"/>
                <w:color w:val="000000"/>
                <w:sz w:val="24"/>
                <w:szCs w:val="24"/>
                <w:lang w:bidi="hi-IN"/>
              </w:rPr>
              <w:t>5.597</w:t>
            </w:r>
          </w:p>
        </w:tc>
      </w:tr>
    </w:tbl>
    <w:p w14:paraId="04D59C19" w14:textId="77777777" w:rsidR="00E372DB" w:rsidRDefault="00E372DB" w:rsidP="00E372DB">
      <w:pPr>
        <w:spacing w:before="100" w:beforeAutospacing="1" w:after="100" w:afterAutospacing="1" w:line="240" w:lineRule="auto"/>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The graphical presentations of the percentage of pods with different treatments applied in fieldwork are given below.</w:t>
      </w:r>
    </w:p>
    <w:p w14:paraId="11D21F63" w14:textId="77777777" w:rsidR="00E372DB" w:rsidRPr="00E372DB" w:rsidRDefault="00E372DB" w:rsidP="00E372DB">
      <w:pPr>
        <w:spacing w:before="100" w:beforeAutospacing="1" w:after="100" w:afterAutospacing="1" w:line="240" w:lineRule="auto"/>
        <w:rPr>
          <w:rFonts w:ascii="Times New Roman" w:eastAsia="Times New Roman" w:hAnsi="Times New Roman" w:cs="Times New Roman"/>
          <w:sz w:val="24"/>
          <w:szCs w:val="24"/>
          <w:lang w:bidi="hi-IN"/>
        </w:rPr>
      </w:pPr>
      <w:r>
        <w:rPr>
          <w:noProof/>
          <w:lang w:bidi="hi-IN"/>
        </w:rPr>
        <w:lastRenderedPageBreak/>
        <w:drawing>
          <wp:inline distT="0" distB="0" distL="0" distR="0" wp14:anchorId="13CF2A7A" wp14:editId="0D9D4032">
            <wp:extent cx="5969000" cy="1670050"/>
            <wp:effectExtent l="0" t="0" r="12700" b="635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50AC433" w14:textId="77777777" w:rsidR="00E372DB" w:rsidRPr="00E372DB" w:rsidRDefault="00E372DB" w:rsidP="00E372DB">
      <w:pPr>
        <w:spacing w:before="100" w:beforeAutospacing="1" w:after="100" w:afterAutospacing="1" w:line="240" w:lineRule="auto"/>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t>Fig 1: Effect of Zinc and Phosphorus Sources on Pods in Chickpea</w:t>
      </w:r>
    </w:p>
    <w:p w14:paraId="4915AAF3"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t>Test Weight</w:t>
      </w:r>
    </w:p>
    <w:p w14:paraId="5F4BFE9F"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The 1000 seeds were conducted after harvesting and weighed in also. The treatment recorded T9 recorded a maximum weight of 1000 seeds (270.23 g plant</w:t>
      </w:r>
      <w:r w:rsidRPr="00E372DB">
        <w:rPr>
          <w:rFonts w:ascii="Cambria Math" w:eastAsia="Times New Roman" w:hAnsi="Cambria Math" w:cs="Cambria Math"/>
          <w:sz w:val="24"/>
          <w:szCs w:val="24"/>
          <w:lang w:bidi="hi-IN"/>
        </w:rPr>
        <w:t>⁻</w:t>
      </w:r>
      <w:r w:rsidRPr="00E372DB">
        <w:rPr>
          <w:rFonts w:ascii="Times New Roman" w:eastAsia="Times New Roman" w:hAnsi="Times New Roman" w:cs="Times New Roman"/>
          <w:sz w:val="24"/>
          <w:szCs w:val="24"/>
          <w:lang w:bidi="hi-IN"/>
        </w:rPr>
        <w:t xml:space="preserve">¹), which was higher as compared to other treatments and the control (239.46 ± 0.21) </w:t>
      </w:r>
      <w:r w:rsidRPr="00E372DB">
        <w:rPr>
          <w:rFonts w:ascii="Times New Roman" w:eastAsia="Times New Roman" w:hAnsi="Times New Roman" w:cs="Times New Roman"/>
          <w:b/>
          <w:bCs/>
          <w:sz w:val="24"/>
          <w:szCs w:val="24"/>
          <w:lang w:bidi="hi-IN"/>
        </w:rPr>
        <w:t xml:space="preserve">[26, 27, 28, 29]. </w:t>
      </w:r>
      <w:r w:rsidRPr="00887192">
        <w:rPr>
          <w:rFonts w:ascii="Times New Roman" w:eastAsia="Times New Roman" w:hAnsi="Times New Roman" w:cs="Times New Roman"/>
          <w:sz w:val="24"/>
          <w:szCs w:val="24"/>
          <w:lang w:bidi="hi-IN"/>
        </w:rPr>
        <w:t>It also</w:t>
      </w:r>
      <w:r w:rsidRPr="00E372DB">
        <w:rPr>
          <w:rFonts w:ascii="Times New Roman" w:eastAsia="Times New Roman" w:hAnsi="Times New Roman" w:cs="Times New Roman"/>
          <w:sz w:val="24"/>
          <w:szCs w:val="24"/>
          <w:lang w:bidi="hi-IN"/>
        </w:rPr>
        <w:t xml:space="preserve"> concluded that there was a similar result on test weight due to different phosphorus and zinc sources.</w:t>
      </w:r>
    </w:p>
    <w:p w14:paraId="01740B82"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t>Table 2: Effect of Phosphorus and Zinc Sources on Test Weight of Chickpea</w:t>
      </w:r>
    </w:p>
    <w:tbl>
      <w:tblPr>
        <w:tblW w:w="8642" w:type="dxa"/>
        <w:tblLook w:val="04A0" w:firstRow="1" w:lastRow="0" w:firstColumn="1" w:lastColumn="0" w:noHBand="0" w:noVBand="1"/>
      </w:tblPr>
      <w:tblGrid>
        <w:gridCol w:w="5807"/>
        <w:gridCol w:w="2835"/>
      </w:tblGrid>
      <w:tr w:rsidR="00E372DB" w:rsidRPr="000E0A61" w14:paraId="6B655058" w14:textId="77777777" w:rsidTr="0000789A">
        <w:trPr>
          <w:trHeight w:val="382"/>
        </w:trPr>
        <w:tc>
          <w:tcPr>
            <w:tcW w:w="5807" w:type="dxa"/>
            <w:tcBorders>
              <w:top w:val="single" w:sz="4" w:space="0" w:color="auto"/>
              <w:left w:val="single" w:sz="4" w:space="0" w:color="auto"/>
              <w:bottom w:val="single" w:sz="4" w:space="0" w:color="auto"/>
              <w:right w:val="single" w:sz="4" w:space="0" w:color="auto"/>
            </w:tcBorders>
            <w:noWrap/>
            <w:vAlign w:val="center"/>
            <w:hideMark/>
          </w:tcPr>
          <w:p w14:paraId="5BEA235C" w14:textId="77777777" w:rsidR="00E372DB" w:rsidRDefault="00E372DB" w:rsidP="00E372DB">
            <w:pPr>
              <w:spacing w:after="0" w:line="240" w:lineRule="auto"/>
              <w:jc w:val="both"/>
              <w:rPr>
                <w:rFonts w:ascii="Times New Roman" w:eastAsia="Times New Roman" w:hAnsi="Times New Roman" w:cs="Times New Roman"/>
                <w:color w:val="000000"/>
                <w:sz w:val="24"/>
                <w:szCs w:val="24"/>
              </w:rPr>
            </w:pPr>
            <w:r w:rsidRPr="000E0A61">
              <w:rPr>
                <w:rFonts w:ascii="Times New Roman" w:eastAsia="Times New Roman" w:hAnsi="Times New Roman" w:cs="Times New Roman"/>
                <w:color w:val="000000"/>
                <w:sz w:val="24"/>
                <w:szCs w:val="24"/>
              </w:rPr>
              <w:t>Treatments</w:t>
            </w:r>
          </w:p>
          <w:p w14:paraId="405B75E9" w14:textId="77777777" w:rsidR="00E372DB" w:rsidRPr="000E0A61" w:rsidRDefault="00E372DB" w:rsidP="00E372DB">
            <w:pPr>
              <w:spacing w:after="0" w:line="240" w:lineRule="auto"/>
              <w:jc w:val="both"/>
              <w:rPr>
                <w:rFonts w:ascii="Times New Roman" w:eastAsia="Times New Roman" w:hAnsi="Times New Roman" w:cs="Times New Roman"/>
                <w:color w:val="000000"/>
                <w:sz w:val="24"/>
                <w:szCs w:val="24"/>
              </w:rPr>
            </w:pPr>
          </w:p>
        </w:tc>
        <w:tc>
          <w:tcPr>
            <w:tcW w:w="2835" w:type="dxa"/>
            <w:tcBorders>
              <w:top w:val="single" w:sz="4" w:space="0" w:color="auto"/>
              <w:left w:val="nil"/>
              <w:bottom w:val="single" w:sz="4" w:space="0" w:color="auto"/>
              <w:right w:val="single" w:sz="4" w:space="0" w:color="auto"/>
            </w:tcBorders>
            <w:noWrap/>
            <w:vAlign w:val="center"/>
            <w:hideMark/>
          </w:tcPr>
          <w:p w14:paraId="0FC749C2" w14:textId="77777777" w:rsidR="00E372DB" w:rsidRPr="000E0A61" w:rsidRDefault="00E372DB" w:rsidP="00E372DB">
            <w:pPr>
              <w:spacing w:after="0" w:line="240" w:lineRule="auto"/>
              <w:jc w:val="both"/>
              <w:rPr>
                <w:rFonts w:ascii="Times New Roman" w:eastAsia="Times New Roman" w:hAnsi="Times New Roman" w:cs="Times New Roman"/>
                <w:color w:val="000000"/>
                <w:sz w:val="24"/>
                <w:szCs w:val="24"/>
              </w:rPr>
            </w:pPr>
            <w:r w:rsidRPr="000E0A61">
              <w:rPr>
                <w:rFonts w:ascii="Times New Roman" w:eastAsia="Times New Roman" w:hAnsi="Times New Roman" w:cs="Times New Roman"/>
                <w:color w:val="000000"/>
                <w:sz w:val="24"/>
                <w:szCs w:val="24"/>
              </w:rPr>
              <w:t>Test Weight (in g)</w:t>
            </w:r>
          </w:p>
        </w:tc>
      </w:tr>
      <w:tr w:rsidR="00E372DB" w:rsidRPr="000E0A61" w14:paraId="364EA0B5" w14:textId="77777777" w:rsidTr="0000789A">
        <w:trPr>
          <w:trHeight w:val="239"/>
        </w:trPr>
        <w:tc>
          <w:tcPr>
            <w:tcW w:w="5807" w:type="dxa"/>
            <w:tcBorders>
              <w:top w:val="nil"/>
              <w:left w:val="single" w:sz="4" w:space="0" w:color="auto"/>
              <w:bottom w:val="single" w:sz="4" w:space="0" w:color="auto"/>
              <w:right w:val="single" w:sz="4" w:space="0" w:color="auto"/>
            </w:tcBorders>
            <w:noWrap/>
            <w:hideMark/>
          </w:tcPr>
          <w:p w14:paraId="28C83B01" w14:textId="77777777" w:rsidR="00E372DB" w:rsidRPr="000E0A61" w:rsidRDefault="00E372DB" w:rsidP="00E372DB">
            <w:pPr>
              <w:pStyle w:val="NormalWeb"/>
              <w:spacing w:before="0" w:beforeAutospacing="0" w:after="0" w:afterAutospacing="0"/>
              <w:jc w:val="both"/>
            </w:pPr>
            <w:r w:rsidRPr="000E0A61">
              <w:rPr>
                <w:color w:val="000000"/>
                <w:kern w:val="24"/>
              </w:rPr>
              <w:t>Control (RDF)</w:t>
            </w:r>
          </w:p>
        </w:tc>
        <w:tc>
          <w:tcPr>
            <w:tcW w:w="2835" w:type="dxa"/>
            <w:tcBorders>
              <w:top w:val="nil"/>
              <w:left w:val="nil"/>
              <w:bottom w:val="single" w:sz="4" w:space="0" w:color="auto"/>
              <w:right w:val="single" w:sz="4" w:space="0" w:color="auto"/>
            </w:tcBorders>
            <w:noWrap/>
            <w:vAlign w:val="center"/>
            <w:hideMark/>
          </w:tcPr>
          <w:p w14:paraId="248C52BB" w14:textId="77777777" w:rsidR="00E372DB" w:rsidRPr="000E0A61" w:rsidRDefault="00E372DB" w:rsidP="00E372D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239.46 </w:t>
            </w:r>
            <w:r w:rsidRPr="009136A1">
              <w:rPr>
                <w:rFonts w:ascii="Times New Roman" w:hAnsi="Times New Roman" w:cs="Times New Roman"/>
                <w:sz w:val="24"/>
                <w:szCs w:val="24"/>
              </w:rPr>
              <w:t>±</w:t>
            </w:r>
            <w:r>
              <w:rPr>
                <w:rFonts w:ascii="Times New Roman" w:hAnsi="Times New Roman" w:cs="Times New Roman"/>
                <w:sz w:val="24"/>
                <w:szCs w:val="24"/>
              </w:rPr>
              <w:t xml:space="preserve"> 0.21</w:t>
            </w:r>
          </w:p>
        </w:tc>
      </w:tr>
      <w:tr w:rsidR="00E372DB" w:rsidRPr="000E0A61" w14:paraId="017953F0" w14:textId="77777777" w:rsidTr="0000789A">
        <w:trPr>
          <w:trHeight w:val="273"/>
        </w:trPr>
        <w:tc>
          <w:tcPr>
            <w:tcW w:w="5807" w:type="dxa"/>
            <w:tcBorders>
              <w:top w:val="nil"/>
              <w:left w:val="single" w:sz="4" w:space="0" w:color="auto"/>
              <w:bottom w:val="single" w:sz="4" w:space="0" w:color="auto"/>
              <w:right w:val="single" w:sz="4" w:space="0" w:color="auto"/>
            </w:tcBorders>
            <w:noWrap/>
            <w:hideMark/>
          </w:tcPr>
          <w:p w14:paraId="01781241" w14:textId="77777777" w:rsidR="00E372DB" w:rsidRPr="000E0A61" w:rsidRDefault="00E372DB" w:rsidP="00E372DB">
            <w:pPr>
              <w:pStyle w:val="NormalWeb"/>
              <w:spacing w:before="0" w:beforeAutospacing="0" w:after="0" w:afterAutospacing="0"/>
              <w:jc w:val="both"/>
            </w:pPr>
            <w:r w:rsidRPr="000E0A61">
              <w:rPr>
                <w:color w:val="000000"/>
                <w:kern w:val="24"/>
              </w:rPr>
              <w:t>Zinc (10 Kg/</w:t>
            </w:r>
            <w:r w:rsidRPr="000E0A61">
              <w:rPr>
                <w:rFonts w:eastAsia="Arial"/>
                <w:color w:val="1F1F1F"/>
                <w:shd w:val="clear" w:color="auto" w:fill="FFFFFF"/>
              </w:rPr>
              <w:t>hectare)</w:t>
            </w:r>
          </w:p>
        </w:tc>
        <w:tc>
          <w:tcPr>
            <w:tcW w:w="2835" w:type="dxa"/>
            <w:tcBorders>
              <w:top w:val="nil"/>
              <w:left w:val="nil"/>
              <w:bottom w:val="single" w:sz="4" w:space="0" w:color="auto"/>
              <w:right w:val="single" w:sz="4" w:space="0" w:color="auto"/>
            </w:tcBorders>
            <w:vAlign w:val="center"/>
            <w:hideMark/>
          </w:tcPr>
          <w:p w14:paraId="7660FA90" w14:textId="77777777" w:rsidR="00E372DB" w:rsidRPr="000E0A61" w:rsidRDefault="00E372DB" w:rsidP="00E372D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242.56 </w:t>
            </w:r>
            <w:r w:rsidRPr="009136A1">
              <w:rPr>
                <w:rFonts w:ascii="Times New Roman" w:hAnsi="Times New Roman" w:cs="Times New Roman"/>
                <w:sz w:val="24"/>
                <w:szCs w:val="24"/>
              </w:rPr>
              <w:t>±</w:t>
            </w:r>
            <w:r>
              <w:rPr>
                <w:rFonts w:ascii="Times New Roman" w:hAnsi="Times New Roman" w:cs="Times New Roman"/>
                <w:sz w:val="24"/>
                <w:szCs w:val="24"/>
              </w:rPr>
              <w:t xml:space="preserve"> 0.12</w:t>
            </w:r>
          </w:p>
        </w:tc>
      </w:tr>
      <w:tr w:rsidR="00E372DB" w:rsidRPr="000E0A61" w14:paraId="7723D272" w14:textId="77777777" w:rsidTr="0000789A">
        <w:trPr>
          <w:trHeight w:val="233"/>
        </w:trPr>
        <w:tc>
          <w:tcPr>
            <w:tcW w:w="5807" w:type="dxa"/>
            <w:tcBorders>
              <w:top w:val="nil"/>
              <w:left w:val="single" w:sz="4" w:space="0" w:color="auto"/>
              <w:bottom w:val="single" w:sz="4" w:space="0" w:color="auto"/>
              <w:right w:val="single" w:sz="4" w:space="0" w:color="auto"/>
            </w:tcBorders>
            <w:noWrap/>
            <w:hideMark/>
          </w:tcPr>
          <w:p w14:paraId="2695D350" w14:textId="77777777" w:rsidR="00E372DB" w:rsidRPr="000E0A61" w:rsidRDefault="00E372DB" w:rsidP="00E372DB">
            <w:pPr>
              <w:pStyle w:val="NormalWeb"/>
              <w:spacing w:before="0" w:beforeAutospacing="0" w:after="0" w:afterAutospacing="0"/>
              <w:jc w:val="both"/>
            </w:pPr>
            <w:r w:rsidRPr="000E0A61">
              <w:rPr>
                <w:color w:val="000000"/>
                <w:kern w:val="24"/>
              </w:rPr>
              <w:t>Zinc</w:t>
            </w:r>
            <w:r>
              <w:rPr>
                <w:color w:val="000000"/>
                <w:kern w:val="24"/>
              </w:rPr>
              <w:t xml:space="preserve"> </w:t>
            </w:r>
            <w:r w:rsidRPr="000E0A61">
              <w:rPr>
                <w:color w:val="000000"/>
                <w:kern w:val="24"/>
              </w:rPr>
              <w:t>(15 Kg/ hectare)</w:t>
            </w:r>
          </w:p>
        </w:tc>
        <w:tc>
          <w:tcPr>
            <w:tcW w:w="2835" w:type="dxa"/>
            <w:tcBorders>
              <w:top w:val="nil"/>
              <w:left w:val="nil"/>
              <w:bottom w:val="single" w:sz="4" w:space="0" w:color="auto"/>
              <w:right w:val="single" w:sz="4" w:space="0" w:color="auto"/>
            </w:tcBorders>
            <w:vAlign w:val="center"/>
            <w:hideMark/>
          </w:tcPr>
          <w:p w14:paraId="5CD87596" w14:textId="77777777" w:rsidR="00E372DB" w:rsidRPr="000E0A61" w:rsidRDefault="00E372DB" w:rsidP="00E372D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245.33 </w:t>
            </w:r>
            <w:r w:rsidRPr="009136A1">
              <w:rPr>
                <w:rFonts w:ascii="Times New Roman" w:hAnsi="Times New Roman" w:cs="Times New Roman"/>
                <w:sz w:val="24"/>
                <w:szCs w:val="24"/>
              </w:rPr>
              <w:t>±</w:t>
            </w:r>
            <w:r>
              <w:rPr>
                <w:rFonts w:ascii="Times New Roman" w:hAnsi="Times New Roman" w:cs="Times New Roman"/>
                <w:sz w:val="24"/>
                <w:szCs w:val="24"/>
              </w:rPr>
              <w:t xml:space="preserve"> 0.68</w:t>
            </w:r>
          </w:p>
        </w:tc>
      </w:tr>
      <w:tr w:rsidR="00E372DB" w:rsidRPr="000E0A61" w14:paraId="71C8B323" w14:textId="77777777" w:rsidTr="0000789A">
        <w:trPr>
          <w:trHeight w:val="223"/>
        </w:trPr>
        <w:tc>
          <w:tcPr>
            <w:tcW w:w="5807" w:type="dxa"/>
            <w:tcBorders>
              <w:top w:val="nil"/>
              <w:left w:val="single" w:sz="4" w:space="0" w:color="auto"/>
              <w:bottom w:val="single" w:sz="4" w:space="0" w:color="auto"/>
              <w:right w:val="single" w:sz="4" w:space="0" w:color="auto"/>
            </w:tcBorders>
            <w:noWrap/>
            <w:hideMark/>
          </w:tcPr>
          <w:p w14:paraId="344D4491" w14:textId="77777777" w:rsidR="00E372DB" w:rsidRPr="000E0A61" w:rsidRDefault="00E372DB" w:rsidP="00E372DB">
            <w:pPr>
              <w:pStyle w:val="NormalWeb"/>
              <w:spacing w:before="0" w:beforeAutospacing="0" w:after="0" w:afterAutospacing="0"/>
              <w:jc w:val="both"/>
              <w:rPr>
                <w:color w:val="000000"/>
                <w:kern w:val="24"/>
              </w:rPr>
            </w:pPr>
            <w:r w:rsidRPr="000E0A61">
              <w:rPr>
                <w:color w:val="000000"/>
                <w:kern w:val="24"/>
              </w:rPr>
              <w:t>Zinc</w:t>
            </w:r>
            <w:r>
              <w:rPr>
                <w:color w:val="000000"/>
                <w:kern w:val="24"/>
              </w:rPr>
              <w:t xml:space="preserve"> </w:t>
            </w:r>
            <w:r w:rsidRPr="000E0A61">
              <w:rPr>
                <w:color w:val="000000"/>
                <w:kern w:val="24"/>
              </w:rPr>
              <w:t>(20 Kg/ hectare)</w:t>
            </w:r>
          </w:p>
        </w:tc>
        <w:tc>
          <w:tcPr>
            <w:tcW w:w="2835" w:type="dxa"/>
            <w:tcBorders>
              <w:top w:val="nil"/>
              <w:left w:val="nil"/>
              <w:bottom w:val="single" w:sz="4" w:space="0" w:color="auto"/>
              <w:right w:val="single" w:sz="4" w:space="0" w:color="auto"/>
            </w:tcBorders>
            <w:vAlign w:val="center"/>
            <w:hideMark/>
          </w:tcPr>
          <w:p w14:paraId="134C50E9" w14:textId="77777777" w:rsidR="00E372DB" w:rsidRPr="000E0A61" w:rsidRDefault="00E372DB" w:rsidP="00E372D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249.96 </w:t>
            </w:r>
            <w:r w:rsidRPr="009136A1">
              <w:rPr>
                <w:rFonts w:ascii="Times New Roman" w:hAnsi="Times New Roman" w:cs="Times New Roman"/>
                <w:sz w:val="24"/>
                <w:szCs w:val="24"/>
              </w:rPr>
              <w:t>±</w:t>
            </w:r>
            <w:r>
              <w:rPr>
                <w:rFonts w:ascii="Times New Roman" w:hAnsi="Times New Roman" w:cs="Times New Roman"/>
                <w:sz w:val="24"/>
                <w:szCs w:val="24"/>
              </w:rPr>
              <w:t xml:space="preserve"> 0.44</w:t>
            </w:r>
          </w:p>
        </w:tc>
      </w:tr>
      <w:tr w:rsidR="00E372DB" w:rsidRPr="000E0A61" w14:paraId="2BA9B7AA" w14:textId="77777777" w:rsidTr="0000789A">
        <w:trPr>
          <w:trHeight w:val="227"/>
        </w:trPr>
        <w:tc>
          <w:tcPr>
            <w:tcW w:w="5807" w:type="dxa"/>
            <w:tcBorders>
              <w:top w:val="nil"/>
              <w:left w:val="single" w:sz="4" w:space="0" w:color="auto"/>
              <w:bottom w:val="single" w:sz="4" w:space="0" w:color="auto"/>
              <w:right w:val="single" w:sz="4" w:space="0" w:color="auto"/>
            </w:tcBorders>
            <w:noWrap/>
            <w:hideMark/>
          </w:tcPr>
          <w:p w14:paraId="3B8D4445" w14:textId="77777777" w:rsidR="00E372DB" w:rsidRPr="000E0A61" w:rsidRDefault="00E372DB" w:rsidP="00E372DB">
            <w:pPr>
              <w:pStyle w:val="NormalWeb"/>
              <w:spacing w:before="0" w:beforeAutospacing="0" w:after="0" w:afterAutospacing="0"/>
              <w:jc w:val="both"/>
            </w:pPr>
            <w:r w:rsidRPr="000E0A61">
              <w:rPr>
                <w:color w:val="000000"/>
                <w:kern w:val="24"/>
              </w:rPr>
              <w:t>Phosphorus (10 Kg/hectare)</w:t>
            </w:r>
          </w:p>
        </w:tc>
        <w:tc>
          <w:tcPr>
            <w:tcW w:w="2835" w:type="dxa"/>
            <w:tcBorders>
              <w:top w:val="nil"/>
              <w:left w:val="nil"/>
              <w:bottom w:val="single" w:sz="4" w:space="0" w:color="auto"/>
              <w:right w:val="single" w:sz="4" w:space="0" w:color="auto"/>
            </w:tcBorders>
            <w:vAlign w:val="center"/>
            <w:hideMark/>
          </w:tcPr>
          <w:p w14:paraId="3580DCF7" w14:textId="77777777" w:rsidR="00E372DB" w:rsidRPr="000E0A61" w:rsidRDefault="00E372DB" w:rsidP="00E372D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251.77 </w:t>
            </w:r>
            <w:r w:rsidRPr="009136A1">
              <w:rPr>
                <w:rFonts w:ascii="Times New Roman" w:hAnsi="Times New Roman" w:cs="Times New Roman"/>
                <w:sz w:val="24"/>
                <w:szCs w:val="24"/>
              </w:rPr>
              <w:t>±</w:t>
            </w:r>
            <w:r>
              <w:rPr>
                <w:rFonts w:ascii="Times New Roman" w:hAnsi="Times New Roman" w:cs="Times New Roman"/>
                <w:sz w:val="24"/>
                <w:szCs w:val="24"/>
              </w:rPr>
              <w:t xml:space="preserve"> 0.82</w:t>
            </w:r>
          </w:p>
        </w:tc>
      </w:tr>
      <w:tr w:rsidR="00E372DB" w:rsidRPr="000E0A61" w14:paraId="3D0F5AFE" w14:textId="77777777" w:rsidTr="0000789A">
        <w:trPr>
          <w:trHeight w:val="231"/>
        </w:trPr>
        <w:tc>
          <w:tcPr>
            <w:tcW w:w="5807" w:type="dxa"/>
            <w:tcBorders>
              <w:top w:val="nil"/>
              <w:left w:val="single" w:sz="4" w:space="0" w:color="auto"/>
              <w:bottom w:val="single" w:sz="4" w:space="0" w:color="auto"/>
              <w:right w:val="single" w:sz="4" w:space="0" w:color="auto"/>
            </w:tcBorders>
            <w:noWrap/>
            <w:hideMark/>
          </w:tcPr>
          <w:p w14:paraId="28F7B69F" w14:textId="77777777" w:rsidR="00E372DB" w:rsidRPr="000E0A61" w:rsidRDefault="00E372DB" w:rsidP="00E372DB">
            <w:pPr>
              <w:pStyle w:val="NormalWeb"/>
              <w:spacing w:before="0" w:beforeAutospacing="0" w:after="0" w:afterAutospacing="0"/>
              <w:jc w:val="both"/>
            </w:pPr>
            <w:r w:rsidRPr="000E0A61">
              <w:rPr>
                <w:color w:val="000000"/>
                <w:kern w:val="24"/>
              </w:rPr>
              <w:t>Phosphorus (15 Kg/ hectare)</w:t>
            </w:r>
          </w:p>
        </w:tc>
        <w:tc>
          <w:tcPr>
            <w:tcW w:w="2835" w:type="dxa"/>
            <w:tcBorders>
              <w:top w:val="nil"/>
              <w:left w:val="nil"/>
              <w:bottom w:val="single" w:sz="4" w:space="0" w:color="auto"/>
              <w:right w:val="single" w:sz="4" w:space="0" w:color="auto"/>
            </w:tcBorders>
            <w:vAlign w:val="center"/>
            <w:hideMark/>
          </w:tcPr>
          <w:p w14:paraId="4225BEA3" w14:textId="77777777" w:rsidR="00E372DB" w:rsidRPr="000E0A61" w:rsidRDefault="00E372DB" w:rsidP="00E372D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255.39 </w:t>
            </w:r>
            <w:r w:rsidRPr="009136A1">
              <w:rPr>
                <w:rFonts w:ascii="Times New Roman" w:hAnsi="Times New Roman" w:cs="Times New Roman"/>
                <w:sz w:val="24"/>
                <w:szCs w:val="24"/>
              </w:rPr>
              <w:t>±</w:t>
            </w:r>
            <w:r>
              <w:rPr>
                <w:rFonts w:ascii="Times New Roman" w:hAnsi="Times New Roman" w:cs="Times New Roman"/>
                <w:sz w:val="24"/>
                <w:szCs w:val="24"/>
              </w:rPr>
              <w:t xml:space="preserve"> 0.48</w:t>
            </w:r>
          </w:p>
        </w:tc>
      </w:tr>
      <w:tr w:rsidR="00E372DB" w:rsidRPr="000E0A61" w14:paraId="0BA8F297" w14:textId="77777777" w:rsidTr="0000789A">
        <w:trPr>
          <w:trHeight w:val="221"/>
        </w:trPr>
        <w:tc>
          <w:tcPr>
            <w:tcW w:w="5807" w:type="dxa"/>
            <w:tcBorders>
              <w:top w:val="nil"/>
              <w:left w:val="single" w:sz="4" w:space="0" w:color="auto"/>
              <w:bottom w:val="single" w:sz="4" w:space="0" w:color="auto"/>
              <w:right w:val="single" w:sz="4" w:space="0" w:color="auto"/>
            </w:tcBorders>
            <w:noWrap/>
            <w:hideMark/>
          </w:tcPr>
          <w:p w14:paraId="11228BB5" w14:textId="77777777" w:rsidR="00E372DB" w:rsidRPr="000E0A61" w:rsidRDefault="00E372DB" w:rsidP="00E372DB">
            <w:pPr>
              <w:pStyle w:val="NormalWeb"/>
              <w:spacing w:before="0" w:beforeAutospacing="0" w:after="0" w:afterAutospacing="0"/>
              <w:jc w:val="both"/>
              <w:rPr>
                <w:color w:val="000000"/>
                <w:kern w:val="24"/>
              </w:rPr>
            </w:pPr>
            <w:r w:rsidRPr="000E0A61">
              <w:rPr>
                <w:color w:val="000000"/>
                <w:kern w:val="24"/>
              </w:rPr>
              <w:t>Phosphorus (15 Kg/ hectare)</w:t>
            </w:r>
          </w:p>
        </w:tc>
        <w:tc>
          <w:tcPr>
            <w:tcW w:w="2835" w:type="dxa"/>
            <w:tcBorders>
              <w:top w:val="nil"/>
              <w:left w:val="nil"/>
              <w:bottom w:val="single" w:sz="4" w:space="0" w:color="auto"/>
              <w:right w:val="single" w:sz="4" w:space="0" w:color="auto"/>
            </w:tcBorders>
            <w:vAlign w:val="center"/>
            <w:hideMark/>
          </w:tcPr>
          <w:p w14:paraId="75565287" w14:textId="77777777" w:rsidR="00E372DB" w:rsidRPr="000E0A61" w:rsidRDefault="00E372DB" w:rsidP="00E372D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261.07 </w:t>
            </w:r>
            <w:r w:rsidRPr="009136A1">
              <w:rPr>
                <w:rFonts w:ascii="Times New Roman" w:hAnsi="Times New Roman" w:cs="Times New Roman"/>
                <w:sz w:val="24"/>
                <w:szCs w:val="24"/>
              </w:rPr>
              <w:t>±</w:t>
            </w:r>
            <w:r>
              <w:rPr>
                <w:rFonts w:ascii="Times New Roman" w:hAnsi="Times New Roman" w:cs="Times New Roman"/>
                <w:sz w:val="24"/>
                <w:szCs w:val="24"/>
              </w:rPr>
              <w:t xml:space="preserve"> 0.09</w:t>
            </w:r>
          </w:p>
        </w:tc>
      </w:tr>
      <w:tr w:rsidR="00E372DB" w:rsidRPr="000E0A61" w14:paraId="0AD35F47" w14:textId="77777777" w:rsidTr="0000789A">
        <w:trPr>
          <w:trHeight w:val="225"/>
        </w:trPr>
        <w:tc>
          <w:tcPr>
            <w:tcW w:w="5807" w:type="dxa"/>
            <w:tcBorders>
              <w:top w:val="nil"/>
              <w:left w:val="single" w:sz="4" w:space="0" w:color="auto"/>
              <w:bottom w:val="single" w:sz="4" w:space="0" w:color="auto"/>
              <w:right w:val="single" w:sz="4" w:space="0" w:color="auto"/>
            </w:tcBorders>
            <w:noWrap/>
            <w:hideMark/>
          </w:tcPr>
          <w:p w14:paraId="6B6F53E9" w14:textId="77777777" w:rsidR="00E372DB" w:rsidRPr="000E0A61" w:rsidRDefault="00E372DB" w:rsidP="00E372DB">
            <w:pPr>
              <w:pStyle w:val="NormalWeb"/>
              <w:spacing w:before="0" w:beforeAutospacing="0" w:after="0" w:afterAutospacing="0"/>
              <w:jc w:val="both"/>
            </w:pPr>
            <w:r w:rsidRPr="000E0A61">
              <w:rPr>
                <w:color w:val="000000"/>
                <w:kern w:val="24"/>
              </w:rPr>
              <w:t>Zinc</w:t>
            </w:r>
            <w:r>
              <w:rPr>
                <w:color w:val="000000"/>
                <w:kern w:val="24"/>
              </w:rPr>
              <w:t xml:space="preserve"> </w:t>
            </w:r>
            <w:r w:rsidRPr="000E0A61">
              <w:rPr>
                <w:color w:val="000000"/>
                <w:kern w:val="24"/>
              </w:rPr>
              <w:t>(10 Kg/hectare)</w:t>
            </w:r>
            <w:r>
              <w:rPr>
                <w:color w:val="000000"/>
                <w:kern w:val="24"/>
              </w:rPr>
              <w:t xml:space="preserve"> </w:t>
            </w:r>
            <w:r w:rsidRPr="000E0A61">
              <w:rPr>
                <w:color w:val="000000"/>
                <w:kern w:val="24"/>
              </w:rPr>
              <w:t>+ Phosphorus (10 Kg/hectare)</w:t>
            </w:r>
          </w:p>
        </w:tc>
        <w:tc>
          <w:tcPr>
            <w:tcW w:w="2835" w:type="dxa"/>
            <w:tcBorders>
              <w:top w:val="nil"/>
              <w:left w:val="nil"/>
              <w:bottom w:val="single" w:sz="4" w:space="0" w:color="auto"/>
              <w:right w:val="single" w:sz="4" w:space="0" w:color="auto"/>
            </w:tcBorders>
            <w:vAlign w:val="center"/>
            <w:hideMark/>
          </w:tcPr>
          <w:p w14:paraId="28F2EF4F" w14:textId="77777777" w:rsidR="00E372DB" w:rsidRPr="000E0A61" w:rsidRDefault="00E372DB" w:rsidP="00E372D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264.07 </w:t>
            </w:r>
            <w:r w:rsidRPr="009136A1">
              <w:rPr>
                <w:rFonts w:ascii="Times New Roman" w:hAnsi="Times New Roman" w:cs="Times New Roman"/>
                <w:sz w:val="24"/>
                <w:szCs w:val="24"/>
              </w:rPr>
              <w:t>±</w:t>
            </w:r>
            <w:r>
              <w:rPr>
                <w:rFonts w:ascii="Times New Roman" w:hAnsi="Times New Roman" w:cs="Times New Roman"/>
                <w:sz w:val="24"/>
                <w:szCs w:val="24"/>
              </w:rPr>
              <w:t xml:space="preserve"> 0.58</w:t>
            </w:r>
          </w:p>
        </w:tc>
      </w:tr>
      <w:tr w:rsidR="00E372DB" w:rsidRPr="000E0A61" w14:paraId="7188FB27" w14:textId="77777777" w:rsidTr="0000789A">
        <w:trPr>
          <w:trHeight w:val="215"/>
        </w:trPr>
        <w:tc>
          <w:tcPr>
            <w:tcW w:w="5807" w:type="dxa"/>
            <w:tcBorders>
              <w:top w:val="nil"/>
              <w:left w:val="single" w:sz="4" w:space="0" w:color="auto"/>
              <w:bottom w:val="single" w:sz="4" w:space="0" w:color="auto"/>
              <w:right w:val="single" w:sz="4" w:space="0" w:color="auto"/>
            </w:tcBorders>
            <w:noWrap/>
            <w:hideMark/>
          </w:tcPr>
          <w:p w14:paraId="69FAD565" w14:textId="77777777" w:rsidR="00E372DB" w:rsidRPr="000E0A61" w:rsidRDefault="00E372DB" w:rsidP="00E372DB">
            <w:pPr>
              <w:pStyle w:val="NormalWeb"/>
              <w:jc w:val="both"/>
              <w:rPr>
                <w:color w:val="000000"/>
                <w:kern w:val="24"/>
              </w:rPr>
            </w:pPr>
            <w:r w:rsidRPr="000E0A61">
              <w:rPr>
                <w:color w:val="000000"/>
                <w:kern w:val="24"/>
              </w:rPr>
              <w:t>Zinc</w:t>
            </w:r>
            <w:r>
              <w:rPr>
                <w:color w:val="000000"/>
                <w:kern w:val="24"/>
              </w:rPr>
              <w:t xml:space="preserve"> </w:t>
            </w:r>
            <w:r w:rsidRPr="000E0A61">
              <w:rPr>
                <w:color w:val="000000"/>
                <w:kern w:val="24"/>
              </w:rPr>
              <w:t>(15 kg/ hectare)</w:t>
            </w:r>
            <w:r>
              <w:rPr>
                <w:color w:val="000000"/>
                <w:kern w:val="24"/>
              </w:rPr>
              <w:t xml:space="preserve"> </w:t>
            </w:r>
            <w:r w:rsidRPr="000E0A61">
              <w:rPr>
                <w:color w:val="000000"/>
                <w:kern w:val="24"/>
              </w:rPr>
              <w:t>+ Phosphorus (15 Kg/hectare)</w:t>
            </w:r>
          </w:p>
        </w:tc>
        <w:tc>
          <w:tcPr>
            <w:tcW w:w="2835" w:type="dxa"/>
            <w:tcBorders>
              <w:top w:val="nil"/>
              <w:left w:val="nil"/>
              <w:bottom w:val="single" w:sz="4" w:space="0" w:color="auto"/>
              <w:right w:val="single" w:sz="4" w:space="0" w:color="auto"/>
            </w:tcBorders>
            <w:vAlign w:val="center"/>
            <w:hideMark/>
          </w:tcPr>
          <w:p w14:paraId="56D98325" w14:textId="77777777" w:rsidR="00E372DB" w:rsidRPr="000E0A61" w:rsidRDefault="00E372DB" w:rsidP="00E372D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266.30 </w:t>
            </w:r>
            <w:r w:rsidRPr="009136A1">
              <w:rPr>
                <w:rFonts w:ascii="Times New Roman" w:hAnsi="Times New Roman" w:cs="Times New Roman"/>
                <w:sz w:val="24"/>
                <w:szCs w:val="24"/>
              </w:rPr>
              <w:t>±</w:t>
            </w:r>
            <w:r>
              <w:rPr>
                <w:rFonts w:ascii="Times New Roman" w:hAnsi="Times New Roman" w:cs="Times New Roman"/>
                <w:sz w:val="24"/>
                <w:szCs w:val="24"/>
              </w:rPr>
              <w:t xml:space="preserve"> 1.23</w:t>
            </w:r>
          </w:p>
        </w:tc>
      </w:tr>
      <w:tr w:rsidR="00E372DB" w:rsidRPr="000E0A61" w14:paraId="30D495D6" w14:textId="77777777" w:rsidTr="0000789A">
        <w:trPr>
          <w:trHeight w:val="205"/>
        </w:trPr>
        <w:tc>
          <w:tcPr>
            <w:tcW w:w="5807" w:type="dxa"/>
            <w:tcBorders>
              <w:top w:val="nil"/>
              <w:left w:val="single" w:sz="4" w:space="0" w:color="auto"/>
              <w:bottom w:val="single" w:sz="4" w:space="0" w:color="auto"/>
              <w:right w:val="single" w:sz="4" w:space="0" w:color="auto"/>
            </w:tcBorders>
            <w:noWrap/>
            <w:hideMark/>
          </w:tcPr>
          <w:p w14:paraId="2F1809C5" w14:textId="77777777" w:rsidR="00E372DB" w:rsidRPr="000E0A61" w:rsidRDefault="00E372DB" w:rsidP="00E372DB">
            <w:pPr>
              <w:pStyle w:val="NormalWeb"/>
              <w:jc w:val="both"/>
              <w:rPr>
                <w:color w:val="000000"/>
                <w:kern w:val="24"/>
              </w:rPr>
            </w:pPr>
            <w:r w:rsidRPr="000E0A61">
              <w:rPr>
                <w:color w:val="000000"/>
                <w:kern w:val="24"/>
              </w:rPr>
              <w:t>Zinc</w:t>
            </w:r>
            <w:r>
              <w:rPr>
                <w:color w:val="000000"/>
                <w:kern w:val="24"/>
              </w:rPr>
              <w:t xml:space="preserve"> </w:t>
            </w:r>
            <w:r w:rsidRPr="000E0A61">
              <w:rPr>
                <w:color w:val="000000"/>
                <w:kern w:val="24"/>
              </w:rPr>
              <w:t>(15 kg/ hectare)</w:t>
            </w:r>
            <w:r>
              <w:rPr>
                <w:color w:val="000000"/>
                <w:kern w:val="24"/>
              </w:rPr>
              <w:t xml:space="preserve"> </w:t>
            </w:r>
            <w:r w:rsidRPr="000E0A61">
              <w:rPr>
                <w:color w:val="000000"/>
                <w:kern w:val="24"/>
              </w:rPr>
              <w:t>+ Phosphorus (20 Kg/hectare)</w:t>
            </w:r>
          </w:p>
        </w:tc>
        <w:tc>
          <w:tcPr>
            <w:tcW w:w="2835" w:type="dxa"/>
            <w:tcBorders>
              <w:top w:val="nil"/>
              <w:left w:val="nil"/>
              <w:bottom w:val="single" w:sz="4" w:space="0" w:color="auto"/>
              <w:right w:val="single" w:sz="4" w:space="0" w:color="auto"/>
            </w:tcBorders>
            <w:vAlign w:val="center"/>
            <w:hideMark/>
          </w:tcPr>
          <w:p w14:paraId="483B951F" w14:textId="77777777" w:rsidR="00E372DB" w:rsidRPr="000E0A61" w:rsidRDefault="00E372DB" w:rsidP="00E372D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270.23 </w:t>
            </w:r>
            <w:r w:rsidRPr="009136A1">
              <w:rPr>
                <w:rFonts w:ascii="Times New Roman" w:hAnsi="Times New Roman" w:cs="Times New Roman"/>
                <w:sz w:val="24"/>
                <w:szCs w:val="24"/>
              </w:rPr>
              <w:t>±</w:t>
            </w:r>
            <w:r>
              <w:rPr>
                <w:rFonts w:ascii="Times New Roman" w:hAnsi="Times New Roman" w:cs="Times New Roman"/>
                <w:sz w:val="24"/>
                <w:szCs w:val="24"/>
              </w:rPr>
              <w:t xml:space="preserve"> 0.69</w:t>
            </w:r>
          </w:p>
        </w:tc>
      </w:tr>
      <w:tr w:rsidR="00E372DB" w:rsidRPr="000E0A61" w14:paraId="50FFC054" w14:textId="77777777" w:rsidTr="0000789A">
        <w:trPr>
          <w:trHeight w:val="268"/>
        </w:trPr>
        <w:tc>
          <w:tcPr>
            <w:tcW w:w="5807" w:type="dxa"/>
            <w:tcBorders>
              <w:top w:val="nil"/>
              <w:left w:val="single" w:sz="4" w:space="0" w:color="auto"/>
              <w:bottom w:val="single" w:sz="4" w:space="0" w:color="auto"/>
              <w:right w:val="single" w:sz="4" w:space="0" w:color="auto"/>
            </w:tcBorders>
            <w:vAlign w:val="center"/>
            <w:hideMark/>
          </w:tcPr>
          <w:p w14:paraId="668508D5" w14:textId="77777777" w:rsidR="00E372DB" w:rsidRPr="000E0A61" w:rsidRDefault="00E372DB" w:rsidP="00E372DB">
            <w:pPr>
              <w:spacing w:after="0" w:line="240" w:lineRule="auto"/>
              <w:jc w:val="both"/>
              <w:rPr>
                <w:rFonts w:ascii="Times New Roman" w:eastAsia="Times New Roman" w:hAnsi="Times New Roman" w:cs="Times New Roman"/>
                <w:color w:val="000000"/>
                <w:sz w:val="24"/>
                <w:szCs w:val="24"/>
              </w:rPr>
            </w:pPr>
            <w:r w:rsidRPr="000E0A61">
              <w:rPr>
                <w:rFonts w:ascii="Times New Roman" w:eastAsia="Times New Roman" w:hAnsi="Times New Roman" w:cs="Times New Roman"/>
                <w:color w:val="000000"/>
                <w:sz w:val="24"/>
                <w:szCs w:val="24"/>
              </w:rPr>
              <w:t>C.D.</w:t>
            </w:r>
          </w:p>
        </w:tc>
        <w:tc>
          <w:tcPr>
            <w:tcW w:w="2835" w:type="dxa"/>
            <w:tcBorders>
              <w:top w:val="nil"/>
              <w:left w:val="nil"/>
              <w:bottom w:val="single" w:sz="4" w:space="0" w:color="auto"/>
              <w:right w:val="single" w:sz="4" w:space="0" w:color="auto"/>
            </w:tcBorders>
            <w:vAlign w:val="center"/>
            <w:hideMark/>
          </w:tcPr>
          <w:p w14:paraId="18B0C845" w14:textId="77777777" w:rsidR="00E372DB" w:rsidRPr="000E0A61" w:rsidRDefault="00887192" w:rsidP="00E372D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372DB">
              <w:rPr>
                <w:rFonts w:ascii="Times New Roman" w:eastAsia="Times New Roman" w:hAnsi="Times New Roman" w:cs="Times New Roman"/>
                <w:color w:val="000000"/>
                <w:sz w:val="24"/>
                <w:szCs w:val="24"/>
              </w:rPr>
              <w:t>1.35</w:t>
            </w:r>
          </w:p>
        </w:tc>
      </w:tr>
      <w:tr w:rsidR="00E372DB" w:rsidRPr="000E0A61" w14:paraId="3A12F5B3" w14:textId="77777777" w:rsidTr="0000789A">
        <w:trPr>
          <w:trHeight w:val="262"/>
        </w:trPr>
        <w:tc>
          <w:tcPr>
            <w:tcW w:w="5807" w:type="dxa"/>
            <w:tcBorders>
              <w:top w:val="nil"/>
              <w:left w:val="single" w:sz="4" w:space="0" w:color="auto"/>
              <w:bottom w:val="single" w:sz="4" w:space="0" w:color="auto"/>
              <w:right w:val="single" w:sz="4" w:space="0" w:color="auto"/>
            </w:tcBorders>
            <w:vAlign w:val="center"/>
            <w:hideMark/>
          </w:tcPr>
          <w:p w14:paraId="7E82385E" w14:textId="77777777" w:rsidR="00E372DB" w:rsidRPr="000E0A61" w:rsidRDefault="00E372DB" w:rsidP="00E372DB">
            <w:pPr>
              <w:spacing w:after="0" w:line="240" w:lineRule="auto"/>
              <w:jc w:val="both"/>
              <w:rPr>
                <w:rFonts w:ascii="Times New Roman" w:eastAsia="Times New Roman" w:hAnsi="Times New Roman" w:cs="Times New Roman"/>
                <w:color w:val="000000"/>
                <w:sz w:val="24"/>
                <w:szCs w:val="24"/>
              </w:rPr>
            </w:pPr>
            <w:r w:rsidRPr="000E0A61">
              <w:rPr>
                <w:rFonts w:ascii="Times New Roman" w:eastAsia="Times New Roman" w:hAnsi="Times New Roman" w:cs="Times New Roman"/>
                <w:color w:val="000000"/>
                <w:sz w:val="24"/>
                <w:szCs w:val="24"/>
              </w:rPr>
              <w:t>SE(m)</w:t>
            </w:r>
          </w:p>
        </w:tc>
        <w:tc>
          <w:tcPr>
            <w:tcW w:w="2835" w:type="dxa"/>
            <w:tcBorders>
              <w:top w:val="nil"/>
              <w:left w:val="nil"/>
              <w:bottom w:val="single" w:sz="4" w:space="0" w:color="auto"/>
              <w:right w:val="single" w:sz="4" w:space="0" w:color="auto"/>
            </w:tcBorders>
            <w:vAlign w:val="center"/>
            <w:hideMark/>
          </w:tcPr>
          <w:p w14:paraId="64B976E4" w14:textId="77777777" w:rsidR="00E372DB" w:rsidRPr="000E0A61" w:rsidRDefault="00E372DB" w:rsidP="00E372D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0.451</w:t>
            </w:r>
          </w:p>
        </w:tc>
      </w:tr>
      <w:tr w:rsidR="00E372DB" w:rsidRPr="000E0A61" w14:paraId="5649D471" w14:textId="77777777" w:rsidTr="0000789A">
        <w:trPr>
          <w:trHeight w:val="113"/>
        </w:trPr>
        <w:tc>
          <w:tcPr>
            <w:tcW w:w="5807" w:type="dxa"/>
            <w:tcBorders>
              <w:top w:val="nil"/>
              <w:left w:val="single" w:sz="4" w:space="0" w:color="auto"/>
              <w:bottom w:val="single" w:sz="4" w:space="0" w:color="auto"/>
              <w:right w:val="single" w:sz="4" w:space="0" w:color="auto"/>
            </w:tcBorders>
            <w:vAlign w:val="center"/>
            <w:hideMark/>
          </w:tcPr>
          <w:p w14:paraId="0468AAF3" w14:textId="77777777" w:rsidR="00E372DB" w:rsidRPr="000E0A61" w:rsidRDefault="00E372DB" w:rsidP="00E372DB">
            <w:pPr>
              <w:spacing w:after="0" w:line="240" w:lineRule="auto"/>
              <w:jc w:val="both"/>
              <w:rPr>
                <w:rFonts w:ascii="Times New Roman" w:eastAsia="Times New Roman" w:hAnsi="Times New Roman" w:cs="Times New Roman"/>
                <w:color w:val="000000"/>
                <w:sz w:val="24"/>
                <w:szCs w:val="24"/>
              </w:rPr>
            </w:pPr>
            <w:r w:rsidRPr="000E0A61">
              <w:rPr>
                <w:rFonts w:ascii="Times New Roman" w:eastAsia="Times New Roman" w:hAnsi="Times New Roman" w:cs="Times New Roman"/>
                <w:color w:val="000000"/>
                <w:sz w:val="24"/>
                <w:szCs w:val="24"/>
              </w:rPr>
              <w:t>SE(d)</w:t>
            </w:r>
          </w:p>
        </w:tc>
        <w:tc>
          <w:tcPr>
            <w:tcW w:w="2835" w:type="dxa"/>
            <w:tcBorders>
              <w:top w:val="nil"/>
              <w:left w:val="nil"/>
              <w:bottom w:val="single" w:sz="4" w:space="0" w:color="auto"/>
              <w:right w:val="single" w:sz="4" w:space="0" w:color="auto"/>
            </w:tcBorders>
            <w:vAlign w:val="center"/>
            <w:hideMark/>
          </w:tcPr>
          <w:p w14:paraId="3E72D45D" w14:textId="77777777" w:rsidR="00E372DB" w:rsidRPr="000E0A61" w:rsidRDefault="00E372DB" w:rsidP="00E372D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0.638</w:t>
            </w:r>
          </w:p>
        </w:tc>
      </w:tr>
      <w:tr w:rsidR="00E372DB" w:rsidRPr="000E0A61" w14:paraId="5543C22D" w14:textId="77777777" w:rsidTr="0000789A">
        <w:trPr>
          <w:trHeight w:val="50"/>
        </w:trPr>
        <w:tc>
          <w:tcPr>
            <w:tcW w:w="5807" w:type="dxa"/>
            <w:tcBorders>
              <w:top w:val="nil"/>
              <w:left w:val="single" w:sz="4" w:space="0" w:color="auto"/>
              <w:bottom w:val="single" w:sz="4" w:space="0" w:color="auto"/>
              <w:right w:val="single" w:sz="4" w:space="0" w:color="auto"/>
            </w:tcBorders>
            <w:vAlign w:val="center"/>
            <w:hideMark/>
          </w:tcPr>
          <w:p w14:paraId="6967D907" w14:textId="77777777" w:rsidR="00E372DB" w:rsidRPr="000E0A61" w:rsidRDefault="00E372DB" w:rsidP="00E372DB">
            <w:pPr>
              <w:spacing w:after="0" w:line="240" w:lineRule="auto"/>
              <w:jc w:val="both"/>
              <w:rPr>
                <w:rFonts w:ascii="Times New Roman" w:eastAsia="Times New Roman" w:hAnsi="Times New Roman" w:cs="Times New Roman"/>
                <w:color w:val="000000"/>
                <w:sz w:val="24"/>
                <w:szCs w:val="24"/>
              </w:rPr>
            </w:pPr>
            <w:r w:rsidRPr="000E0A61">
              <w:rPr>
                <w:rFonts w:ascii="Times New Roman" w:eastAsia="Times New Roman" w:hAnsi="Times New Roman" w:cs="Times New Roman"/>
                <w:color w:val="000000"/>
                <w:sz w:val="24"/>
                <w:szCs w:val="24"/>
              </w:rPr>
              <w:t>C.V.</w:t>
            </w:r>
          </w:p>
        </w:tc>
        <w:tc>
          <w:tcPr>
            <w:tcW w:w="2835" w:type="dxa"/>
            <w:tcBorders>
              <w:top w:val="nil"/>
              <w:left w:val="nil"/>
              <w:bottom w:val="single" w:sz="4" w:space="0" w:color="auto"/>
              <w:right w:val="single" w:sz="4" w:space="0" w:color="auto"/>
            </w:tcBorders>
            <w:vAlign w:val="center"/>
            <w:hideMark/>
          </w:tcPr>
          <w:p w14:paraId="4FFDC38C" w14:textId="77777777" w:rsidR="00E372DB" w:rsidRPr="000E0A61" w:rsidRDefault="00E372DB" w:rsidP="00E372D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0.337</w:t>
            </w:r>
          </w:p>
        </w:tc>
      </w:tr>
    </w:tbl>
    <w:p w14:paraId="237D1CE7" w14:textId="77777777" w:rsid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The graphical presentations of the percentage of leaves with different treatments applied in fieldwork are given below.</w:t>
      </w:r>
    </w:p>
    <w:p w14:paraId="11CA9A9E" w14:textId="77777777" w:rsid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p>
    <w:p w14:paraId="249A6AEE"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0E0A61">
        <w:rPr>
          <w:rFonts w:ascii="Times New Roman" w:hAnsi="Times New Roman" w:cs="Times New Roman"/>
          <w:noProof/>
          <w:sz w:val="24"/>
          <w:szCs w:val="24"/>
          <w:lang w:bidi="hi-IN"/>
        </w:rPr>
        <w:lastRenderedPageBreak/>
        <w:drawing>
          <wp:inline distT="0" distB="0" distL="0" distR="0" wp14:anchorId="1BB03B0A" wp14:editId="52D5B224">
            <wp:extent cx="5486400" cy="1549400"/>
            <wp:effectExtent l="0" t="0" r="0" b="1270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304E388"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t>Fig. 2: Effect of Zinc and Phosphorus Sources on Test Weight of Chickpea</w:t>
      </w:r>
    </w:p>
    <w:p w14:paraId="7D99C5A6"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Seed index (g)</w:t>
      </w:r>
    </w:p>
    <w:p w14:paraId="0F406B11"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Seed index is also a very important parameter of seed yield. An important difference was seen in seed index due to phosphorus and zinc sources. The maximum seed index was observed in T9 was 14.20 g and the minimum seed index was observed in treatment T0 is 8.83g. [30, 31,</w:t>
      </w:r>
      <w:r w:rsidR="00887192">
        <w:rPr>
          <w:rFonts w:ascii="Times New Roman" w:eastAsia="Times New Roman" w:hAnsi="Times New Roman" w:cs="Times New Roman"/>
          <w:sz w:val="24"/>
          <w:szCs w:val="24"/>
          <w:lang w:bidi="hi-IN"/>
        </w:rPr>
        <w:t xml:space="preserve"> 32, 33</w:t>
      </w:r>
      <w:r w:rsidRPr="00E372DB">
        <w:rPr>
          <w:rFonts w:ascii="Times New Roman" w:eastAsia="Times New Roman" w:hAnsi="Times New Roman" w:cs="Times New Roman"/>
          <w:sz w:val="24"/>
          <w:szCs w:val="24"/>
          <w:lang w:bidi="hi-IN"/>
        </w:rPr>
        <w:t>] also described that similar result on seed index due to Phosphorus and Zinc sources.</w:t>
      </w:r>
    </w:p>
    <w:p w14:paraId="35582519"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t>Seed Yield (q ha</w:t>
      </w:r>
      <w:r w:rsidRPr="00E372DB">
        <w:rPr>
          <w:rFonts w:ascii="Cambria Math" w:eastAsia="Times New Roman" w:hAnsi="Cambria Math" w:cs="Cambria Math"/>
          <w:b/>
          <w:bCs/>
          <w:sz w:val="24"/>
          <w:szCs w:val="24"/>
          <w:lang w:bidi="hi-IN"/>
        </w:rPr>
        <w:t>⁻</w:t>
      </w:r>
      <w:r w:rsidRPr="00E372DB">
        <w:rPr>
          <w:rFonts w:ascii="Times New Roman" w:eastAsia="Times New Roman" w:hAnsi="Times New Roman" w:cs="Times New Roman"/>
          <w:b/>
          <w:bCs/>
          <w:sz w:val="24"/>
          <w:szCs w:val="24"/>
          <w:lang w:bidi="hi-IN"/>
        </w:rPr>
        <w:t>¹)</w:t>
      </w:r>
    </w:p>
    <w:p w14:paraId="1193F339"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 xml:space="preserve">Seed yield increased with Zn content, and uptake in grain and straw decreased significantly with increasing levels of phosphorus. Increasing levels of phosphorus application significantly increased the available nitrogen, phosphorus, and potassium content in soil after harvest of the crop. The total amount of seed produced from each plot's net area by weighing the seeds after they have been harvested and threshed. The maximum seed yield 20.20 q ha-1 was observed in T9 and the minimum seed index was observed in treatment T0 is 12.44 q ha-1. Similar finding by </w:t>
      </w:r>
      <w:r w:rsidRPr="00E372DB">
        <w:rPr>
          <w:rFonts w:ascii="Times New Roman" w:eastAsia="Times New Roman" w:hAnsi="Times New Roman" w:cs="Times New Roman"/>
          <w:b/>
          <w:bCs/>
          <w:sz w:val="24"/>
          <w:szCs w:val="24"/>
          <w:lang w:bidi="hi-IN"/>
        </w:rPr>
        <w:t>[34, 35]</w:t>
      </w:r>
      <w:r w:rsidRPr="00E372DB">
        <w:rPr>
          <w:rFonts w:ascii="Times New Roman" w:eastAsia="Times New Roman" w:hAnsi="Times New Roman" w:cs="Times New Roman"/>
          <w:sz w:val="24"/>
          <w:szCs w:val="24"/>
          <w:lang w:bidi="hi-IN"/>
        </w:rPr>
        <w:t>.</w:t>
      </w:r>
    </w:p>
    <w:p w14:paraId="73E67B97"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Straw yield (q ha</w:t>
      </w:r>
      <w:r w:rsidRPr="00E372DB">
        <w:rPr>
          <w:rFonts w:ascii="Cambria Math" w:eastAsia="Times New Roman" w:hAnsi="Cambria Math" w:cs="Cambria Math"/>
          <w:sz w:val="24"/>
          <w:szCs w:val="24"/>
          <w:lang w:bidi="hi-IN"/>
        </w:rPr>
        <w:t>⁻</w:t>
      </w:r>
      <w:r w:rsidRPr="00E372DB">
        <w:rPr>
          <w:rFonts w:ascii="Times New Roman" w:eastAsia="Times New Roman" w:hAnsi="Times New Roman" w:cs="Times New Roman"/>
          <w:sz w:val="24"/>
          <w:szCs w:val="24"/>
          <w:lang w:bidi="hi-IN"/>
        </w:rPr>
        <w:t xml:space="preserve">¹) </w:t>
      </w:r>
    </w:p>
    <w:p w14:paraId="6C203E4C"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Straw yield is directly connected with total vegetative development per unit area and to a lesser extent with reproductive growth. A significant difference was seen in straw yield due to phosphorus and zinc sources. The uppermost straw yield was recorded from the T9 24.80 q ha</w:t>
      </w:r>
      <w:r w:rsidRPr="00E372DB">
        <w:rPr>
          <w:rFonts w:ascii="Cambria Math" w:eastAsia="Times New Roman" w:hAnsi="Cambria Math" w:cs="Cambria Math"/>
          <w:sz w:val="24"/>
          <w:szCs w:val="24"/>
          <w:lang w:bidi="hi-IN"/>
        </w:rPr>
        <w:t>⁻</w:t>
      </w:r>
      <w:r w:rsidRPr="00E372DB">
        <w:rPr>
          <w:rFonts w:ascii="Times New Roman" w:eastAsia="Times New Roman" w:hAnsi="Times New Roman" w:cs="Times New Roman"/>
          <w:sz w:val="24"/>
          <w:szCs w:val="24"/>
          <w:lang w:bidi="hi-IN"/>
        </w:rPr>
        <w:t>¹ treatment, and the lowest straw yield was recorded from the T0 treatment at 14.04 q ha</w:t>
      </w:r>
      <w:r w:rsidRPr="00E372DB">
        <w:rPr>
          <w:rFonts w:ascii="Cambria Math" w:eastAsia="Times New Roman" w:hAnsi="Cambria Math" w:cs="Cambria Math"/>
          <w:sz w:val="24"/>
          <w:szCs w:val="24"/>
          <w:lang w:bidi="hi-IN"/>
        </w:rPr>
        <w:t>⁻</w:t>
      </w:r>
      <w:r w:rsidRPr="00E372DB">
        <w:rPr>
          <w:rFonts w:ascii="Times New Roman" w:eastAsia="Times New Roman" w:hAnsi="Times New Roman" w:cs="Times New Roman"/>
          <w:sz w:val="24"/>
          <w:szCs w:val="24"/>
          <w:lang w:bidi="hi-IN"/>
        </w:rPr>
        <w:t>¹</w:t>
      </w:r>
      <w:r>
        <w:rPr>
          <w:rFonts w:ascii="Times New Roman" w:eastAsia="Times New Roman" w:hAnsi="Times New Roman" w:cs="Times New Roman"/>
          <w:sz w:val="24"/>
          <w:szCs w:val="24"/>
          <w:lang w:bidi="hi-IN"/>
        </w:rPr>
        <w:t>.</w:t>
      </w:r>
      <w:r w:rsidRPr="00E372DB">
        <w:rPr>
          <w:rFonts w:ascii="Times New Roman" w:eastAsia="Times New Roman" w:hAnsi="Times New Roman" w:cs="Times New Roman"/>
          <w:b/>
          <w:bCs/>
          <w:sz w:val="24"/>
          <w:szCs w:val="24"/>
          <w:lang w:bidi="hi-IN"/>
        </w:rPr>
        <w:t xml:space="preserve">[36] </w:t>
      </w:r>
      <w:r w:rsidRPr="00E372DB">
        <w:rPr>
          <w:rFonts w:ascii="Times New Roman" w:eastAsia="Times New Roman" w:hAnsi="Times New Roman" w:cs="Times New Roman"/>
          <w:sz w:val="24"/>
          <w:szCs w:val="24"/>
          <w:lang w:bidi="hi-IN"/>
        </w:rPr>
        <w:t>also reported a similar result due to the different phosphorus and zinc sources.</w:t>
      </w:r>
    </w:p>
    <w:p w14:paraId="2C02DFEC"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t>Biological yield (q ha</w:t>
      </w:r>
      <w:r w:rsidRPr="00E372DB">
        <w:rPr>
          <w:rFonts w:ascii="Cambria Math" w:eastAsia="Times New Roman" w:hAnsi="Cambria Math" w:cs="Cambria Math"/>
          <w:b/>
          <w:bCs/>
          <w:sz w:val="24"/>
          <w:szCs w:val="24"/>
          <w:lang w:bidi="hi-IN"/>
        </w:rPr>
        <w:t>⁻</w:t>
      </w:r>
      <w:r w:rsidRPr="00E372DB">
        <w:rPr>
          <w:rFonts w:ascii="Times New Roman" w:eastAsia="Times New Roman" w:hAnsi="Times New Roman" w:cs="Times New Roman"/>
          <w:b/>
          <w:bCs/>
          <w:sz w:val="24"/>
          <w:szCs w:val="24"/>
          <w:lang w:bidi="hi-IN"/>
        </w:rPr>
        <w:t>¹)</w:t>
      </w:r>
      <w:r w:rsidRPr="00E372DB">
        <w:rPr>
          <w:rFonts w:ascii="Times New Roman" w:eastAsia="Times New Roman" w:hAnsi="Times New Roman" w:cs="Times New Roman"/>
          <w:sz w:val="24"/>
          <w:szCs w:val="24"/>
          <w:lang w:bidi="hi-IN"/>
        </w:rPr>
        <w:t xml:space="preserve"> </w:t>
      </w:r>
    </w:p>
    <w:p w14:paraId="05553362"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 xml:space="preserve">The bio39 result from a plant system of phosphorus and zinc of all the dry matter produced therein, whether by physiological or biochemical mechanisms. The effect of phosphorus and zinc sources on the biological yield. A significant difference was observed in the biological yield of phosphorus and zinc sources. The highest biological yield recorded in the T9 treatment was 44.70, and the lowest biological yield was observed in the T0 treatment, 26.14. Similar findings by </w:t>
      </w:r>
      <w:r w:rsidRPr="00E372DB">
        <w:rPr>
          <w:rFonts w:ascii="Times New Roman" w:eastAsia="Times New Roman" w:hAnsi="Times New Roman" w:cs="Times New Roman"/>
          <w:b/>
          <w:bCs/>
          <w:sz w:val="24"/>
          <w:szCs w:val="24"/>
          <w:lang w:bidi="hi-IN"/>
        </w:rPr>
        <w:t xml:space="preserve">[37, 38, 39] </w:t>
      </w:r>
      <w:r w:rsidRPr="00E372DB">
        <w:rPr>
          <w:rFonts w:ascii="Times New Roman" w:eastAsia="Times New Roman" w:hAnsi="Times New Roman" w:cs="Times New Roman"/>
          <w:sz w:val="24"/>
          <w:szCs w:val="24"/>
          <w:lang w:bidi="hi-IN"/>
        </w:rPr>
        <w:t>result from the different phosphorus and zinc sources.</w:t>
      </w:r>
    </w:p>
    <w:p w14:paraId="30A0F77E" w14:textId="77777777" w:rsidR="00887192" w:rsidRDefault="00887192" w:rsidP="00E372DB">
      <w:pPr>
        <w:spacing w:before="100" w:beforeAutospacing="1" w:after="100" w:afterAutospacing="1" w:line="240" w:lineRule="auto"/>
        <w:rPr>
          <w:rFonts w:ascii="Times New Roman" w:eastAsia="Times New Roman" w:hAnsi="Times New Roman" w:cs="Times New Roman"/>
          <w:b/>
          <w:bCs/>
          <w:sz w:val="24"/>
          <w:szCs w:val="24"/>
          <w:lang w:bidi="hi-IN"/>
        </w:rPr>
      </w:pPr>
    </w:p>
    <w:p w14:paraId="2A435BCA" w14:textId="77777777" w:rsidR="00E372DB" w:rsidRPr="00E372DB" w:rsidRDefault="00E372DB" w:rsidP="00E372DB">
      <w:pPr>
        <w:spacing w:before="100" w:beforeAutospacing="1" w:after="100" w:afterAutospacing="1" w:line="240" w:lineRule="auto"/>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lastRenderedPageBreak/>
        <w:t xml:space="preserve">Table 3. Effect of Phosphorus and Zinc Sources on Yields of Chickpea </w:t>
      </w:r>
    </w:p>
    <w:tbl>
      <w:tblPr>
        <w:tblW w:w="9209" w:type="dxa"/>
        <w:tblLook w:val="04A0" w:firstRow="1" w:lastRow="0" w:firstColumn="1" w:lastColumn="0" w:noHBand="0" w:noVBand="1"/>
      </w:tblPr>
      <w:tblGrid>
        <w:gridCol w:w="1403"/>
        <w:gridCol w:w="1427"/>
        <w:gridCol w:w="1560"/>
        <w:gridCol w:w="1417"/>
        <w:gridCol w:w="1985"/>
        <w:gridCol w:w="1417"/>
      </w:tblGrid>
      <w:tr w:rsidR="00E372DB" w:rsidRPr="001E0767" w14:paraId="2548602F" w14:textId="77777777" w:rsidTr="0000789A">
        <w:trPr>
          <w:trHeight w:val="516"/>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75252501" w14:textId="77777777" w:rsidR="00E372DB" w:rsidRPr="001E0767" w:rsidRDefault="00E372DB" w:rsidP="0000789A">
            <w:pPr>
              <w:spacing w:after="0" w:line="240" w:lineRule="auto"/>
              <w:rPr>
                <w:rFonts w:ascii="Times New Roman" w:eastAsia="Times New Roman" w:hAnsi="Times New Roman" w:cs="Times New Roman"/>
                <w:b/>
                <w:color w:val="000000"/>
                <w:sz w:val="24"/>
                <w:szCs w:val="24"/>
              </w:rPr>
            </w:pPr>
            <w:r w:rsidRPr="001E0767">
              <w:rPr>
                <w:rFonts w:ascii="Times New Roman" w:eastAsia="Times New Roman" w:hAnsi="Times New Roman" w:cs="Times New Roman"/>
                <w:b/>
                <w:color w:val="000000"/>
                <w:sz w:val="24"/>
                <w:szCs w:val="24"/>
              </w:rPr>
              <w:t>Treatments</w:t>
            </w:r>
          </w:p>
        </w:tc>
        <w:tc>
          <w:tcPr>
            <w:tcW w:w="1427" w:type="dxa"/>
            <w:tcBorders>
              <w:top w:val="single" w:sz="4" w:space="0" w:color="auto"/>
              <w:left w:val="nil"/>
              <w:bottom w:val="single" w:sz="4" w:space="0" w:color="auto"/>
              <w:right w:val="single" w:sz="4" w:space="0" w:color="auto"/>
            </w:tcBorders>
            <w:noWrap/>
            <w:vAlign w:val="center"/>
            <w:hideMark/>
          </w:tcPr>
          <w:p w14:paraId="2D09824A" w14:textId="77777777" w:rsidR="00E372DB" w:rsidRPr="001E0767" w:rsidRDefault="00E372DB" w:rsidP="0000789A">
            <w:pPr>
              <w:spacing w:after="0" w:line="240" w:lineRule="auto"/>
              <w:rPr>
                <w:rFonts w:ascii="Times New Roman" w:eastAsia="Times New Roman" w:hAnsi="Times New Roman" w:cs="Times New Roman"/>
                <w:b/>
                <w:color w:val="000000"/>
                <w:sz w:val="24"/>
                <w:szCs w:val="24"/>
              </w:rPr>
            </w:pPr>
            <w:r w:rsidRPr="001E0767">
              <w:rPr>
                <w:rFonts w:ascii="Times New Roman" w:eastAsia="Times New Roman" w:hAnsi="Times New Roman" w:cs="Times New Roman"/>
                <w:b/>
                <w:color w:val="000000"/>
                <w:sz w:val="24"/>
                <w:szCs w:val="24"/>
              </w:rPr>
              <w:t>Seed Yield (q/ha)</w:t>
            </w:r>
          </w:p>
        </w:tc>
        <w:tc>
          <w:tcPr>
            <w:tcW w:w="1560" w:type="dxa"/>
            <w:tcBorders>
              <w:top w:val="single" w:sz="4" w:space="0" w:color="auto"/>
              <w:left w:val="nil"/>
              <w:bottom w:val="single" w:sz="4" w:space="0" w:color="auto"/>
              <w:right w:val="single" w:sz="4" w:space="0" w:color="auto"/>
            </w:tcBorders>
            <w:noWrap/>
            <w:vAlign w:val="center"/>
            <w:hideMark/>
          </w:tcPr>
          <w:p w14:paraId="60D80C26" w14:textId="77777777" w:rsidR="00E372DB" w:rsidRPr="001E0767" w:rsidRDefault="00E372DB" w:rsidP="0000789A">
            <w:pPr>
              <w:spacing w:after="0" w:line="240" w:lineRule="auto"/>
              <w:rPr>
                <w:rFonts w:ascii="Times New Roman" w:eastAsia="Times New Roman" w:hAnsi="Times New Roman" w:cs="Times New Roman"/>
                <w:b/>
                <w:color w:val="000000"/>
                <w:sz w:val="24"/>
                <w:szCs w:val="24"/>
              </w:rPr>
            </w:pPr>
            <w:r w:rsidRPr="001E0767">
              <w:rPr>
                <w:rFonts w:ascii="Times New Roman" w:eastAsia="Times New Roman" w:hAnsi="Times New Roman" w:cs="Times New Roman"/>
                <w:b/>
                <w:color w:val="000000"/>
                <w:sz w:val="24"/>
                <w:szCs w:val="24"/>
              </w:rPr>
              <w:t>Straw Yield (q/ha)</w:t>
            </w:r>
          </w:p>
        </w:tc>
        <w:tc>
          <w:tcPr>
            <w:tcW w:w="1417" w:type="dxa"/>
            <w:tcBorders>
              <w:top w:val="single" w:sz="4" w:space="0" w:color="auto"/>
              <w:left w:val="nil"/>
              <w:bottom w:val="single" w:sz="4" w:space="0" w:color="auto"/>
              <w:right w:val="single" w:sz="4" w:space="0" w:color="auto"/>
            </w:tcBorders>
            <w:noWrap/>
            <w:vAlign w:val="center"/>
            <w:hideMark/>
          </w:tcPr>
          <w:p w14:paraId="5B5701A4" w14:textId="77777777" w:rsidR="00E372DB" w:rsidRPr="001E0767" w:rsidRDefault="00E372DB" w:rsidP="0000789A">
            <w:pPr>
              <w:spacing w:after="0" w:line="240" w:lineRule="auto"/>
              <w:rPr>
                <w:rFonts w:ascii="Times New Roman" w:eastAsia="Times New Roman" w:hAnsi="Times New Roman" w:cs="Times New Roman"/>
                <w:b/>
                <w:color w:val="000000"/>
                <w:sz w:val="24"/>
                <w:szCs w:val="24"/>
              </w:rPr>
            </w:pPr>
            <w:r w:rsidRPr="001E0767">
              <w:rPr>
                <w:rFonts w:ascii="Times New Roman" w:eastAsia="Times New Roman" w:hAnsi="Times New Roman" w:cs="Times New Roman"/>
                <w:b/>
                <w:color w:val="000000"/>
                <w:sz w:val="24"/>
                <w:szCs w:val="24"/>
              </w:rPr>
              <w:t xml:space="preserve">Seed Index </w:t>
            </w:r>
          </w:p>
        </w:tc>
        <w:tc>
          <w:tcPr>
            <w:tcW w:w="1985" w:type="dxa"/>
            <w:tcBorders>
              <w:top w:val="single" w:sz="4" w:space="0" w:color="auto"/>
              <w:left w:val="nil"/>
              <w:bottom w:val="single" w:sz="4" w:space="0" w:color="auto"/>
              <w:right w:val="single" w:sz="4" w:space="0" w:color="auto"/>
            </w:tcBorders>
            <w:noWrap/>
            <w:vAlign w:val="center"/>
            <w:hideMark/>
          </w:tcPr>
          <w:p w14:paraId="33E6E9BD" w14:textId="77777777" w:rsidR="00E372DB" w:rsidRPr="001E0767" w:rsidRDefault="00E372DB" w:rsidP="0000789A">
            <w:pPr>
              <w:spacing w:after="0" w:line="240" w:lineRule="auto"/>
              <w:rPr>
                <w:rFonts w:ascii="Times New Roman" w:eastAsia="Times New Roman" w:hAnsi="Times New Roman" w:cs="Times New Roman"/>
                <w:b/>
                <w:color w:val="000000"/>
                <w:sz w:val="24"/>
                <w:szCs w:val="24"/>
              </w:rPr>
            </w:pPr>
            <w:r w:rsidRPr="001E0767">
              <w:rPr>
                <w:rFonts w:ascii="Times New Roman" w:eastAsia="Times New Roman" w:hAnsi="Times New Roman" w:cs="Times New Roman"/>
                <w:b/>
                <w:color w:val="000000"/>
                <w:sz w:val="24"/>
                <w:szCs w:val="24"/>
              </w:rPr>
              <w:t xml:space="preserve">Biological Yield </w:t>
            </w:r>
          </w:p>
        </w:tc>
        <w:tc>
          <w:tcPr>
            <w:tcW w:w="1417" w:type="dxa"/>
            <w:tcBorders>
              <w:top w:val="single" w:sz="4" w:space="0" w:color="auto"/>
              <w:left w:val="nil"/>
              <w:bottom w:val="single" w:sz="4" w:space="0" w:color="auto"/>
              <w:right w:val="single" w:sz="4" w:space="0" w:color="auto"/>
            </w:tcBorders>
          </w:tcPr>
          <w:p w14:paraId="3CA1C67C" w14:textId="77777777" w:rsidR="00E372DB" w:rsidRPr="001E0767" w:rsidRDefault="00E372DB" w:rsidP="0000789A">
            <w:pPr>
              <w:spacing w:after="0" w:line="240" w:lineRule="auto"/>
              <w:rPr>
                <w:rFonts w:ascii="Times New Roman" w:eastAsia="Times New Roman" w:hAnsi="Times New Roman" w:cs="Times New Roman"/>
                <w:b/>
                <w:color w:val="000000"/>
                <w:sz w:val="24"/>
                <w:szCs w:val="24"/>
              </w:rPr>
            </w:pPr>
            <w:r w:rsidRPr="001E0767">
              <w:rPr>
                <w:rFonts w:ascii="Times New Roman" w:eastAsia="Times New Roman" w:hAnsi="Times New Roman" w:cs="Times New Roman"/>
                <w:b/>
                <w:color w:val="000000"/>
                <w:sz w:val="24"/>
                <w:szCs w:val="24"/>
              </w:rPr>
              <w:t xml:space="preserve"> Harvest Index</w:t>
            </w:r>
          </w:p>
        </w:tc>
      </w:tr>
      <w:tr w:rsidR="00E372DB" w:rsidRPr="001E0767" w14:paraId="70BB91A4" w14:textId="77777777" w:rsidTr="0000789A">
        <w:trPr>
          <w:trHeight w:val="215"/>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649EBC72"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T0</w:t>
            </w:r>
          </w:p>
        </w:tc>
        <w:tc>
          <w:tcPr>
            <w:tcW w:w="1427" w:type="dxa"/>
            <w:tcBorders>
              <w:top w:val="single" w:sz="4" w:space="0" w:color="auto"/>
              <w:left w:val="nil"/>
              <w:bottom w:val="single" w:sz="4" w:space="0" w:color="auto"/>
              <w:right w:val="single" w:sz="4" w:space="0" w:color="auto"/>
            </w:tcBorders>
            <w:noWrap/>
            <w:vAlign w:val="center"/>
            <w:hideMark/>
          </w:tcPr>
          <w:p w14:paraId="38B0454B"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12.44</w:t>
            </w:r>
          </w:p>
        </w:tc>
        <w:tc>
          <w:tcPr>
            <w:tcW w:w="1560" w:type="dxa"/>
            <w:tcBorders>
              <w:top w:val="single" w:sz="4" w:space="0" w:color="auto"/>
              <w:left w:val="nil"/>
              <w:bottom w:val="single" w:sz="4" w:space="0" w:color="auto"/>
              <w:right w:val="single" w:sz="4" w:space="0" w:color="auto"/>
            </w:tcBorders>
            <w:noWrap/>
            <w:vAlign w:val="center"/>
            <w:hideMark/>
          </w:tcPr>
          <w:p w14:paraId="5D5F2CF4"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14.04</w:t>
            </w:r>
          </w:p>
        </w:tc>
        <w:tc>
          <w:tcPr>
            <w:tcW w:w="1417" w:type="dxa"/>
            <w:tcBorders>
              <w:top w:val="single" w:sz="4" w:space="0" w:color="auto"/>
              <w:left w:val="nil"/>
              <w:bottom w:val="single" w:sz="4" w:space="0" w:color="auto"/>
              <w:right w:val="single" w:sz="4" w:space="0" w:color="auto"/>
            </w:tcBorders>
            <w:noWrap/>
            <w:vAlign w:val="center"/>
            <w:hideMark/>
          </w:tcPr>
          <w:p w14:paraId="274C7D42"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8.33</w:t>
            </w:r>
          </w:p>
        </w:tc>
        <w:tc>
          <w:tcPr>
            <w:tcW w:w="1985" w:type="dxa"/>
            <w:tcBorders>
              <w:top w:val="single" w:sz="4" w:space="0" w:color="auto"/>
              <w:left w:val="nil"/>
              <w:bottom w:val="single" w:sz="4" w:space="0" w:color="auto"/>
              <w:right w:val="single" w:sz="4" w:space="0" w:color="auto"/>
            </w:tcBorders>
            <w:noWrap/>
            <w:vAlign w:val="center"/>
            <w:hideMark/>
          </w:tcPr>
          <w:p w14:paraId="3C6E270A"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26.14</w:t>
            </w:r>
          </w:p>
        </w:tc>
        <w:tc>
          <w:tcPr>
            <w:tcW w:w="1417" w:type="dxa"/>
            <w:tcBorders>
              <w:top w:val="single" w:sz="4" w:space="0" w:color="auto"/>
              <w:left w:val="nil"/>
              <w:bottom w:val="single" w:sz="4" w:space="0" w:color="auto"/>
              <w:right w:val="single" w:sz="4" w:space="0" w:color="auto"/>
            </w:tcBorders>
          </w:tcPr>
          <w:p w14:paraId="68DC9135"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33.79</w:t>
            </w:r>
          </w:p>
        </w:tc>
      </w:tr>
      <w:tr w:rsidR="00E372DB" w:rsidRPr="001E0767" w14:paraId="1DCFF03B" w14:textId="77777777" w:rsidTr="0000789A">
        <w:trPr>
          <w:trHeight w:val="277"/>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66CF364A"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T1</w:t>
            </w:r>
          </w:p>
        </w:tc>
        <w:tc>
          <w:tcPr>
            <w:tcW w:w="1427" w:type="dxa"/>
            <w:tcBorders>
              <w:top w:val="single" w:sz="4" w:space="0" w:color="auto"/>
              <w:left w:val="nil"/>
              <w:bottom w:val="single" w:sz="4" w:space="0" w:color="auto"/>
              <w:right w:val="single" w:sz="4" w:space="0" w:color="auto"/>
            </w:tcBorders>
            <w:noWrap/>
            <w:vAlign w:val="center"/>
            <w:hideMark/>
          </w:tcPr>
          <w:p w14:paraId="36629C82"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13.25</w:t>
            </w:r>
          </w:p>
        </w:tc>
        <w:tc>
          <w:tcPr>
            <w:tcW w:w="1560" w:type="dxa"/>
            <w:tcBorders>
              <w:top w:val="single" w:sz="4" w:space="0" w:color="auto"/>
              <w:left w:val="nil"/>
              <w:bottom w:val="single" w:sz="4" w:space="0" w:color="auto"/>
              <w:right w:val="single" w:sz="4" w:space="0" w:color="auto"/>
            </w:tcBorders>
            <w:noWrap/>
            <w:vAlign w:val="center"/>
            <w:hideMark/>
          </w:tcPr>
          <w:p w14:paraId="001B0916"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14.92</w:t>
            </w:r>
          </w:p>
        </w:tc>
        <w:tc>
          <w:tcPr>
            <w:tcW w:w="1417" w:type="dxa"/>
            <w:tcBorders>
              <w:top w:val="single" w:sz="4" w:space="0" w:color="auto"/>
              <w:left w:val="nil"/>
              <w:bottom w:val="single" w:sz="4" w:space="0" w:color="auto"/>
              <w:right w:val="single" w:sz="4" w:space="0" w:color="auto"/>
            </w:tcBorders>
            <w:noWrap/>
            <w:vAlign w:val="center"/>
            <w:hideMark/>
          </w:tcPr>
          <w:p w14:paraId="28384D03"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9.87</w:t>
            </w:r>
          </w:p>
        </w:tc>
        <w:tc>
          <w:tcPr>
            <w:tcW w:w="1985" w:type="dxa"/>
            <w:tcBorders>
              <w:top w:val="single" w:sz="4" w:space="0" w:color="auto"/>
              <w:left w:val="nil"/>
              <w:bottom w:val="single" w:sz="4" w:space="0" w:color="auto"/>
              <w:right w:val="single" w:sz="4" w:space="0" w:color="auto"/>
            </w:tcBorders>
            <w:noWrap/>
            <w:vAlign w:val="center"/>
            <w:hideMark/>
          </w:tcPr>
          <w:p w14:paraId="12EF3287"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28.09</w:t>
            </w:r>
          </w:p>
        </w:tc>
        <w:tc>
          <w:tcPr>
            <w:tcW w:w="1417" w:type="dxa"/>
            <w:tcBorders>
              <w:top w:val="single" w:sz="4" w:space="0" w:color="auto"/>
              <w:left w:val="nil"/>
              <w:bottom w:val="single" w:sz="4" w:space="0" w:color="auto"/>
              <w:right w:val="single" w:sz="4" w:space="0" w:color="auto"/>
            </w:tcBorders>
          </w:tcPr>
          <w:p w14:paraId="7D721D03"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35.13</w:t>
            </w:r>
          </w:p>
        </w:tc>
      </w:tr>
      <w:tr w:rsidR="00E372DB" w:rsidRPr="001E0767" w14:paraId="64A8C43F" w14:textId="77777777" w:rsidTr="0000789A">
        <w:trPr>
          <w:trHeight w:val="266"/>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4D3FCFE4"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T2</w:t>
            </w:r>
          </w:p>
        </w:tc>
        <w:tc>
          <w:tcPr>
            <w:tcW w:w="1427" w:type="dxa"/>
            <w:tcBorders>
              <w:top w:val="single" w:sz="4" w:space="0" w:color="auto"/>
              <w:left w:val="nil"/>
              <w:bottom w:val="single" w:sz="4" w:space="0" w:color="auto"/>
              <w:right w:val="single" w:sz="4" w:space="0" w:color="auto"/>
            </w:tcBorders>
            <w:noWrap/>
            <w:vAlign w:val="center"/>
            <w:hideMark/>
          </w:tcPr>
          <w:p w14:paraId="24172A1B"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13.75</w:t>
            </w:r>
          </w:p>
        </w:tc>
        <w:tc>
          <w:tcPr>
            <w:tcW w:w="1560" w:type="dxa"/>
            <w:tcBorders>
              <w:top w:val="single" w:sz="4" w:space="0" w:color="auto"/>
              <w:left w:val="nil"/>
              <w:bottom w:val="single" w:sz="4" w:space="0" w:color="auto"/>
              <w:right w:val="single" w:sz="4" w:space="0" w:color="auto"/>
            </w:tcBorders>
            <w:noWrap/>
            <w:vAlign w:val="center"/>
            <w:hideMark/>
          </w:tcPr>
          <w:p w14:paraId="27B72434"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15.89</w:t>
            </w:r>
          </w:p>
        </w:tc>
        <w:tc>
          <w:tcPr>
            <w:tcW w:w="1417" w:type="dxa"/>
            <w:tcBorders>
              <w:top w:val="single" w:sz="4" w:space="0" w:color="auto"/>
              <w:left w:val="nil"/>
              <w:bottom w:val="single" w:sz="4" w:space="0" w:color="auto"/>
              <w:right w:val="single" w:sz="4" w:space="0" w:color="auto"/>
            </w:tcBorders>
            <w:noWrap/>
            <w:vAlign w:val="center"/>
            <w:hideMark/>
          </w:tcPr>
          <w:p w14:paraId="37F4A2ED"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10.14</w:t>
            </w:r>
          </w:p>
        </w:tc>
        <w:tc>
          <w:tcPr>
            <w:tcW w:w="1985" w:type="dxa"/>
            <w:tcBorders>
              <w:top w:val="single" w:sz="4" w:space="0" w:color="auto"/>
              <w:left w:val="nil"/>
              <w:bottom w:val="single" w:sz="4" w:space="0" w:color="auto"/>
              <w:right w:val="single" w:sz="4" w:space="0" w:color="auto"/>
            </w:tcBorders>
            <w:noWrap/>
            <w:vAlign w:val="center"/>
            <w:hideMark/>
          </w:tcPr>
          <w:p w14:paraId="3F1B353D"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30.34</w:t>
            </w:r>
          </w:p>
        </w:tc>
        <w:tc>
          <w:tcPr>
            <w:tcW w:w="1417" w:type="dxa"/>
            <w:tcBorders>
              <w:top w:val="single" w:sz="4" w:space="0" w:color="auto"/>
              <w:left w:val="nil"/>
              <w:bottom w:val="single" w:sz="4" w:space="0" w:color="auto"/>
              <w:right w:val="single" w:sz="4" w:space="0" w:color="auto"/>
            </w:tcBorders>
          </w:tcPr>
          <w:p w14:paraId="11D64885"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33.41</w:t>
            </w:r>
          </w:p>
        </w:tc>
      </w:tr>
      <w:tr w:rsidR="00E372DB" w:rsidRPr="001E0767" w14:paraId="680663BF" w14:textId="77777777" w:rsidTr="0000789A">
        <w:trPr>
          <w:trHeight w:val="271"/>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397D8BFD"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T3</w:t>
            </w:r>
          </w:p>
        </w:tc>
        <w:tc>
          <w:tcPr>
            <w:tcW w:w="1427" w:type="dxa"/>
            <w:tcBorders>
              <w:top w:val="single" w:sz="4" w:space="0" w:color="auto"/>
              <w:left w:val="nil"/>
              <w:bottom w:val="single" w:sz="4" w:space="0" w:color="auto"/>
              <w:right w:val="single" w:sz="4" w:space="0" w:color="auto"/>
            </w:tcBorders>
            <w:noWrap/>
            <w:vAlign w:val="center"/>
            <w:hideMark/>
          </w:tcPr>
          <w:p w14:paraId="2070405B"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13.7</w:t>
            </w:r>
          </w:p>
        </w:tc>
        <w:tc>
          <w:tcPr>
            <w:tcW w:w="1560" w:type="dxa"/>
            <w:tcBorders>
              <w:top w:val="single" w:sz="4" w:space="0" w:color="auto"/>
              <w:left w:val="nil"/>
              <w:bottom w:val="single" w:sz="4" w:space="0" w:color="auto"/>
              <w:right w:val="single" w:sz="4" w:space="0" w:color="auto"/>
            </w:tcBorders>
            <w:noWrap/>
            <w:vAlign w:val="center"/>
            <w:hideMark/>
          </w:tcPr>
          <w:p w14:paraId="0D619590"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15.95</w:t>
            </w:r>
          </w:p>
        </w:tc>
        <w:tc>
          <w:tcPr>
            <w:tcW w:w="1417" w:type="dxa"/>
            <w:tcBorders>
              <w:top w:val="single" w:sz="4" w:space="0" w:color="auto"/>
              <w:left w:val="nil"/>
              <w:bottom w:val="single" w:sz="4" w:space="0" w:color="auto"/>
              <w:right w:val="single" w:sz="4" w:space="0" w:color="auto"/>
            </w:tcBorders>
            <w:noWrap/>
            <w:vAlign w:val="center"/>
            <w:hideMark/>
          </w:tcPr>
          <w:p w14:paraId="73B3791F"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11.3</w:t>
            </w:r>
            <w:r w:rsidR="00887192">
              <w:rPr>
                <w:rFonts w:ascii="Times New Roman" w:eastAsia="Times New Roman" w:hAnsi="Times New Roman" w:cs="Times New Roman"/>
                <w:bCs/>
                <w:color w:val="000000"/>
              </w:rPr>
              <w:t>0</w:t>
            </w:r>
          </w:p>
        </w:tc>
        <w:tc>
          <w:tcPr>
            <w:tcW w:w="1985" w:type="dxa"/>
            <w:tcBorders>
              <w:top w:val="single" w:sz="4" w:space="0" w:color="auto"/>
              <w:left w:val="nil"/>
              <w:bottom w:val="single" w:sz="4" w:space="0" w:color="auto"/>
              <w:right w:val="single" w:sz="4" w:space="0" w:color="auto"/>
            </w:tcBorders>
            <w:noWrap/>
            <w:vAlign w:val="center"/>
            <w:hideMark/>
          </w:tcPr>
          <w:p w14:paraId="473A82DD"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31.8</w:t>
            </w:r>
            <w:r w:rsidR="00887192">
              <w:rPr>
                <w:rFonts w:ascii="Times New Roman" w:eastAsia="Times New Roman" w:hAnsi="Times New Roman" w:cs="Times New Roman"/>
                <w:bCs/>
                <w:color w:val="000000"/>
              </w:rPr>
              <w:t>0</w:t>
            </w:r>
          </w:p>
        </w:tc>
        <w:tc>
          <w:tcPr>
            <w:tcW w:w="1417" w:type="dxa"/>
            <w:tcBorders>
              <w:top w:val="single" w:sz="4" w:space="0" w:color="auto"/>
              <w:left w:val="nil"/>
              <w:bottom w:val="single" w:sz="4" w:space="0" w:color="auto"/>
              <w:right w:val="single" w:sz="4" w:space="0" w:color="auto"/>
            </w:tcBorders>
          </w:tcPr>
          <w:p w14:paraId="2ABB21A4"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35.53</w:t>
            </w:r>
          </w:p>
        </w:tc>
      </w:tr>
      <w:tr w:rsidR="00E372DB" w:rsidRPr="001E0767" w14:paraId="79E7A2CE" w14:textId="77777777" w:rsidTr="0000789A">
        <w:trPr>
          <w:trHeight w:val="274"/>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582D880D"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T4</w:t>
            </w:r>
          </w:p>
        </w:tc>
        <w:tc>
          <w:tcPr>
            <w:tcW w:w="1427" w:type="dxa"/>
            <w:tcBorders>
              <w:top w:val="single" w:sz="4" w:space="0" w:color="auto"/>
              <w:left w:val="nil"/>
              <w:bottom w:val="single" w:sz="4" w:space="0" w:color="auto"/>
              <w:right w:val="single" w:sz="4" w:space="0" w:color="auto"/>
            </w:tcBorders>
            <w:noWrap/>
            <w:vAlign w:val="center"/>
            <w:hideMark/>
          </w:tcPr>
          <w:p w14:paraId="65C9499D"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13.18</w:t>
            </w:r>
          </w:p>
        </w:tc>
        <w:tc>
          <w:tcPr>
            <w:tcW w:w="1560" w:type="dxa"/>
            <w:tcBorders>
              <w:top w:val="single" w:sz="4" w:space="0" w:color="auto"/>
              <w:left w:val="nil"/>
              <w:bottom w:val="single" w:sz="4" w:space="0" w:color="auto"/>
              <w:right w:val="single" w:sz="4" w:space="0" w:color="auto"/>
            </w:tcBorders>
            <w:noWrap/>
            <w:vAlign w:val="center"/>
            <w:hideMark/>
          </w:tcPr>
          <w:p w14:paraId="761A05A4"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14.64</w:t>
            </w:r>
          </w:p>
        </w:tc>
        <w:tc>
          <w:tcPr>
            <w:tcW w:w="1417" w:type="dxa"/>
            <w:tcBorders>
              <w:top w:val="single" w:sz="4" w:space="0" w:color="auto"/>
              <w:left w:val="nil"/>
              <w:bottom w:val="single" w:sz="4" w:space="0" w:color="auto"/>
              <w:right w:val="single" w:sz="4" w:space="0" w:color="auto"/>
            </w:tcBorders>
            <w:noWrap/>
            <w:vAlign w:val="center"/>
            <w:hideMark/>
          </w:tcPr>
          <w:p w14:paraId="5F575D36"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11.87</w:t>
            </w:r>
          </w:p>
        </w:tc>
        <w:tc>
          <w:tcPr>
            <w:tcW w:w="1985" w:type="dxa"/>
            <w:tcBorders>
              <w:top w:val="single" w:sz="4" w:space="0" w:color="auto"/>
              <w:left w:val="nil"/>
              <w:bottom w:val="single" w:sz="4" w:space="0" w:color="auto"/>
              <w:right w:val="single" w:sz="4" w:space="0" w:color="auto"/>
            </w:tcBorders>
            <w:noWrap/>
            <w:vAlign w:val="center"/>
            <w:hideMark/>
          </w:tcPr>
          <w:p w14:paraId="359FCB8A"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33.67</w:t>
            </w:r>
          </w:p>
        </w:tc>
        <w:tc>
          <w:tcPr>
            <w:tcW w:w="1417" w:type="dxa"/>
            <w:tcBorders>
              <w:top w:val="single" w:sz="4" w:space="0" w:color="auto"/>
              <w:left w:val="nil"/>
              <w:bottom w:val="single" w:sz="4" w:space="0" w:color="auto"/>
              <w:right w:val="single" w:sz="4" w:space="0" w:color="auto"/>
            </w:tcBorders>
          </w:tcPr>
          <w:p w14:paraId="4E504EB0"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35.25</w:t>
            </w:r>
          </w:p>
        </w:tc>
      </w:tr>
      <w:tr w:rsidR="00E372DB" w:rsidRPr="001E0767" w14:paraId="0B5AF434" w14:textId="77777777" w:rsidTr="0000789A">
        <w:trPr>
          <w:trHeight w:val="279"/>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465DB61E"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T5</w:t>
            </w:r>
          </w:p>
        </w:tc>
        <w:tc>
          <w:tcPr>
            <w:tcW w:w="1427" w:type="dxa"/>
            <w:tcBorders>
              <w:top w:val="single" w:sz="4" w:space="0" w:color="auto"/>
              <w:left w:val="nil"/>
              <w:bottom w:val="single" w:sz="4" w:space="0" w:color="auto"/>
              <w:right w:val="single" w:sz="4" w:space="0" w:color="auto"/>
            </w:tcBorders>
            <w:noWrap/>
            <w:vAlign w:val="center"/>
            <w:hideMark/>
          </w:tcPr>
          <w:p w14:paraId="14206B5A"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13.98</w:t>
            </w:r>
          </w:p>
        </w:tc>
        <w:tc>
          <w:tcPr>
            <w:tcW w:w="1560" w:type="dxa"/>
            <w:tcBorders>
              <w:top w:val="single" w:sz="4" w:space="0" w:color="auto"/>
              <w:left w:val="nil"/>
              <w:bottom w:val="single" w:sz="4" w:space="0" w:color="auto"/>
              <w:right w:val="single" w:sz="4" w:space="0" w:color="auto"/>
            </w:tcBorders>
            <w:noWrap/>
            <w:vAlign w:val="center"/>
            <w:hideMark/>
          </w:tcPr>
          <w:p w14:paraId="3AC315FD"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15.98</w:t>
            </w:r>
          </w:p>
        </w:tc>
        <w:tc>
          <w:tcPr>
            <w:tcW w:w="1417" w:type="dxa"/>
            <w:tcBorders>
              <w:top w:val="single" w:sz="4" w:space="0" w:color="auto"/>
              <w:left w:val="nil"/>
              <w:bottom w:val="single" w:sz="4" w:space="0" w:color="auto"/>
              <w:right w:val="single" w:sz="4" w:space="0" w:color="auto"/>
            </w:tcBorders>
            <w:noWrap/>
            <w:vAlign w:val="center"/>
            <w:hideMark/>
          </w:tcPr>
          <w:p w14:paraId="692F70E3"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12.17</w:t>
            </w:r>
          </w:p>
        </w:tc>
        <w:tc>
          <w:tcPr>
            <w:tcW w:w="1985" w:type="dxa"/>
            <w:tcBorders>
              <w:top w:val="single" w:sz="4" w:space="0" w:color="auto"/>
              <w:left w:val="nil"/>
              <w:bottom w:val="single" w:sz="4" w:space="0" w:color="auto"/>
              <w:right w:val="single" w:sz="4" w:space="0" w:color="auto"/>
            </w:tcBorders>
            <w:noWrap/>
            <w:vAlign w:val="center"/>
            <w:hideMark/>
          </w:tcPr>
          <w:p w14:paraId="5C0A9678"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35.47</w:t>
            </w:r>
          </w:p>
        </w:tc>
        <w:tc>
          <w:tcPr>
            <w:tcW w:w="1417" w:type="dxa"/>
            <w:tcBorders>
              <w:top w:val="single" w:sz="4" w:space="0" w:color="auto"/>
              <w:left w:val="nil"/>
              <w:bottom w:val="single" w:sz="4" w:space="0" w:color="auto"/>
              <w:right w:val="single" w:sz="4" w:space="0" w:color="auto"/>
            </w:tcBorders>
          </w:tcPr>
          <w:p w14:paraId="1D3B69EA"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34.3</w:t>
            </w:r>
            <w:r w:rsidR="00887192">
              <w:rPr>
                <w:rFonts w:ascii="Times New Roman" w:eastAsia="Times New Roman" w:hAnsi="Times New Roman" w:cs="Times New Roman"/>
                <w:bCs/>
                <w:color w:val="000000"/>
              </w:rPr>
              <w:t>0</w:t>
            </w:r>
          </w:p>
        </w:tc>
      </w:tr>
      <w:tr w:rsidR="00E372DB" w:rsidRPr="001E0767" w14:paraId="5E343094" w14:textId="77777777" w:rsidTr="0000789A">
        <w:trPr>
          <w:trHeight w:val="269"/>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3B57193A"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T6</w:t>
            </w:r>
          </w:p>
        </w:tc>
        <w:tc>
          <w:tcPr>
            <w:tcW w:w="1427" w:type="dxa"/>
            <w:tcBorders>
              <w:top w:val="single" w:sz="4" w:space="0" w:color="auto"/>
              <w:left w:val="nil"/>
              <w:bottom w:val="single" w:sz="4" w:space="0" w:color="auto"/>
              <w:right w:val="single" w:sz="4" w:space="0" w:color="auto"/>
            </w:tcBorders>
            <w:noWrap/>
            <w:vAlign w:val="center"/>
            <w:hideMark/>
          </w:tcPr>
          <w:p w14:paraId="176F919A"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14.63</w:t>
            </w:r>
          </w:p>
        </w:tc>
        <w:tc>
          <w:tcPr>
            <w:tcW w:w="1560" w:type="dxa"/>
            <w:tcBorders>
              <w:top w:val="single" w:sz="4" w:space="0" w:color="auto"/>
              <w:left w:val="nil"/>
              <w:bottom w:val="single" w:sz="4" w:space="0" w:color="auto"/>
              <w:right w:val="single" w:sz="4" w:space="0" w:color="auto"/>
            </w:tcBorders>
            <w:noWrap/>
            <w:vAlign w:val="center"/>
            <w:hideMark/>
          </w:tcPr>
          <w:p w14:paraId="2E317805"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16.6</w:t>
            </w:r>
            <w:r w:rsidR="00887192">
              <w:rPr>
                <w:rFonts w:ascii="Times New Roman" w:eastAsia="Times New Roman" w:hAnsi="Times New Roman" w:cs="Times New Roman"/>
                <w:bCs/>
                <w:color w:val="000000"/>
              </w:rPr>
              <w:t>0</w:t>
            </w:r>
          </w:p>
        </w:tc>
        <w:tc>
          <w:tcPr>
            <w:tcW w:w="1417" w:type="dxa"/>
            <w:tcBorders>
              <w:top w:val="single" w:sz="4" w:space="0" w:color="auto"/>
              <w:left w:val="nil"/>
              <w:bottom w:val="single" w:sz="4" w:space="0" w:color="auto"/>
              <w:right w:val="single" w:sz="4" w:space="0" w:color="auto"/>
            </w:tcBorders>
            <w:noWrap/>
            <w:vAlign w:val="center"/>
            <w:hideMark/>
          </w:tcPr>
          <w:p w14:paraId="3AD61EB3"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12.73</w:t>
            </w:r>
          </w:p>
        </w:tc>
        <w:tc>
          <w:tcPr>
            <w:tcW w:w="1985" w:type="dxa"/>
            <w:tcBorders>
              <w:top w:val="single" w:sz="4" w:space="0" w:color="auto"/>
              <w:left w:val="nil"/>
              <w:bottom w:val="single" w:sz="4" w:space="0" w:color="auto"/>
              <w:right w:val="single" w:sz="4" w:space="0" w:color="auto"/>
            </w:tcBorders>
            <w:noWrap/>
            <w:vAlign w:val="center"/>
            <w:hideMark/>
          </w:tcPr>
          <w:p w14:paraId="43648C6C"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37.13</w:t>
            </w:r>
          </w:p>
        </w:tc>
        <w:tc>
          <w:tcPr>
            <w:tcW w:w="1417" w:type="dxa"/>
            <w:tcBorders>
              <w:top w:val="single" w:sz="4" w:space="0" w:color="auto"/>
              <w:left w:val="nil"/>
              <w:bottom w:val="single" w:sz="4" w:space="0" w:color="auto"/>
              <w:right w:val="single" w:sz="4" w:space="0" w:color="auto"/>
            </w:tcBorders>
          </w:tcPr>
          <w:p w14:paraId="036BEB72"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34.29</w:t>
            </w:r>
          </w:p>
        </w:tc>
      </w:tr>
      <w:tr w:rsidR="00E372DB" w:rsidRPr="001E0767" w14:paraId="13E79415" w14:textId="77777777" w:rsidTr="0000789A">
        <w:trPr>
          <w:trHeight w:val="243"/>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13389880"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T7</w:t>
            </w:r>
          </w:p>
        </w:tc>
        <w:tc>
          <w:tcPr>
            <w:tcW w:w="1427" w:type="dxa"/>
            <w:tcBorders>
              <w:top w:val="single" w:sz="4" w:space="0" w:color="auto"/>
              <w:left w:val="nil"/>
              <w:bottom w:val="single" w:sz="4" w:space="0" w:color="auto"/>
              <w:right w:val="single" w:sz="4" w:space="0" w:color="auto"/>
            </w:tcBorders>
            <w:noWrap/>
            <w:vAlign w:val="center"/>
            <w:hideMark/>
          </w:tcPr>
          <w:p w14:paraId="7D3F2E34"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17.63</w:t>
            </w:r>
          </w:p>
        </w:tc>
        <w:tc>
          <w:tcPr>
            <w:tcW w:w="1560" w:type="dxa"/>
            <w:tcBorders>
              <w:top w:val="single" w:sz="4" w:space="0" w:color="auto"/>
              <w:left w:val="nil"/>
              <w:bottom w:val="single" w:sz="4" w:space="0" w:color="auto"/>
              <w:right w:val="single" w:sz="4" w:space="0" w:color="auto"/>
            </w:tcBorders>
            <w:noWrap/>
            <w:vAlign w:val="center"/>
            <w:hideMark/>
          </w:tcPr>
          <w:p w14:paraId="7BDC7A92"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19.1</w:t>
            </w:r>
            <w:r w:rsidR="00887192">
              <w:rPr>
                <w:rFonts w:ascii="Times New Roman" w:eastAsia="Times New Roman" w:hAnsi="Times New Roman" w:cs="Times New Roman"/>
                <w:bCs/>
                <w:color w:val="000000"/>
              </w:rPr>
              <w:t>0</w:t>
            </w:r>
          </w:p>
        </w:tc>
        <w:tc>
          <w:tcPr>
            <w:tcW w:w="1417" w:type="dxa"/>
            <w:tcBorders>
              <w:top w:val="single" w:sz="4" w:space="0" w:color="auto"/>
              <w:left w:val="nil"/>
              <w:bottom w:val="single" w:sz="4" w:space="0" w:color="auto"/>
              <w:right w:val="single" w:sz="4" w:space="0" w:color="auto"/>
            </w:tcBorders>
            <w:noWrap/>
            <w:vAlign w:val="center"/>
            <w:hideMark/>
          </w:tcPr>
          <w:p w14:paraId="545732A4"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13.2</w:t>
            </w:r>
            <w:r w:rsidR="00887192">
              <w:rPr>
                <w:rFonts w:ascii="Times New Roman" w:eastAsia="Times New Roman" w:hAnsi="Times New Roman" w:cs="Times New Roman"/>
                <w:bCs/>
                <w:color w:val="000000"/>
              </w:rPr>
              <w:t>0</w:t>
            </w:r>
          </w:p>
        </w:tc>
        <w:tc>
          <w:tcPr>
            <w:tcW w:w="1985" w:type="dxa"/>
            <w:tcBorders>
              <w:top w:val="single" w:sz="4" w:space="0" w:color="auto"/>
              <w:left w:val="nil"/>
              <w:bottom w:val="single" w:sz="4" w:space="0" w:color="auto"/>
              <w:right w:val="single" w:sz="4" w:space="0" w:color="auto"/>
            </w:tcBorders>
            <w:noWrap/>
            <w:vAlign w:val="center"/>
            <w:hideMark/>
          </w:tcPr>
          <w:p w14:paraId="303EA44E"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39.27</w:t>
            </w:r>
          </w:p>
        </w:tc>
        <w:tc>
          <w:tcPr>
            <w:tcW w:w="1417" w:type="dxa"/>
            <w:tcBorders>
              <w:top w:val="single" w:sz="4" w:space="0" w:color="auto"/>
              <w:left w:val="nil"/>
              <w:bottom w:val="single" w:sz="4" w:space="0" w:color="auto"/>
              <w:right w:val="single" w:sz="4" w:space="0" w:color="auto"/>
            </w:tcBorders>
          </w:tcPr>
          <w:p w14:paraId="6E321F4C"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33.62</w:t>
            </w:r>
          </w:p>
        </w:tc>
      </w:tr>
      <w:tr w:rsidR="00E372DB" w:rsidRPr="001E0767" w14:paraId="5E30EDD8" w14:textId="77777777" w:rsidTr="0000789A">
        <w:trPr>
          <w:trHeight w:val="261"/>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3628ABA4"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T8</w:t>
            </w:r>
          </w:p>
        </w:tc>
        <w:tc>
          <w:tcPr>
            <w:tcW w:w="1427" w:type="dxa"/>
            <w:tcBorders>
              <w:top w:val="single" w:sz="4" w:space="0" w:color="auto"/>
              <w:left w:val="nil"/>
              <w:bottom w:val="single" w:sz="4" w:space="0" w:color="auto"/>
              <w:right w:val="single" w:sz="4" w:space="0" w:color="auto"/>
            </w:tcBorders>
            <w:noWrap/>
            <w:vAlign w:val="center"/>
            <w:hideMark/>
          </w:tcPr>
          <w:p w14:paraId="514D8D64"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19.37</w:t>
            </w:r>
          </w:p>
        </w:tc>
        <w:tc>
          <w:tcPr>
            <w:tcW w:w="1560" w:type="dxa"/>
            <w:tcBorders>
              <w:top w:val="single" w:sz="4" w:space="0" w:color="auto"/>
              <w:left w:val="nil"/>
              <w:bottom w:val="single" w:sz="4" w:space="0" w:color="auto"/>
              <w:right w:val="single" w:sz="4" w:space="0" w:color="auto"/>
            </w:tcBorders>
            <w:noWrap/>
            <w:vAlign w:val="center"/>
            <w:hideMark/>
          </w:tcPr>
          <w:p w14:paraId="273614DD"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21.17</w:t>
            </w:r>
          </w:p>
        </w:tc>
        <w:tc>
          <w:tcPr>
            <w:tcW w:w="1417" w:type="dxa"/>
            <w:tcBorders>
              <w:top w:val="single" w:sz="4" w:space="0" w:color="auto"/>
              <w:left w:val="nil"/>
              <w:bottom w:val="single" w:sz="4" w:space="0" w:color="auto"/>
              <w:right w:val="single" w:sz="4" w:space="0" w:color="auto"/>
            </w:tcBorders>
            <w:noWrap/>
            <w:vAlign w:val="center"/>
            <w:hideMark/>
          </w:tcPr>
          <w:p w14:paraId="60CB2C76"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13.87</w:t>
            </w:r>
          </w:p>
        </w:tc>
        <w:tc>
          <w:tcPr>
            <w:tcW w:w="1985" w:type="dxa"/>
            <w:tcBorders>
              <w:top w:val="single" w:sz="4" w:space="0" w:color="auto"/>
              <w:left w:val="nil"/>
              <w:bottom w:val="single" w:sz="4" w:space="0" w:color="auto"/>
              <w:right w:val="single" w:sz="4" w:space="0" w:color="auto"/>
            </w:tcBorders>
            <w:noWrap/>
            <w:vAlign w:val="center"/>
            <w:hideMark/>
          </w:tcPr>
          <w:p w14:paraId="6D75A453"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41.73</w:t>
            </w:r>
          </w:p>
        </w:tc>
        <w:tc>
          <w:tcPr>
            <w:tcW w:w="1417" w:type="dxa"/>
            <w:tcBorders>
              <w:top w:val="single" w:sz="4" w:space="0" w:color="auto"/>
              <w:left w:val="nil"/>
              <w:bottom w:val="single" w:sz="4" w:space="0" w:color="auto"/>
              <w:right w:val="single" w:sz="4" w:space="0" w:color="auto"/>
            </w:tcBorders>
          </w:tcPr>
          <w:p w14:paraId="552DEED9"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33.23</w:t>
            </w:r>
          </w:p>
        </w:tc>
      </w:tr>
      <w:tr w:rsidR="00E372DB" w:rsidRPr="001E0767" w14:paraId="0DDD75E5" w14:textId="77777777" w:rsidTr="0000789A">
        <w:trPr>
          <w:trHeight w:val="279"/>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162170B5"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T9</w:t>
            </w:r>
          </w:p>
        </w:tc>
        <w:tc>
          <w:tcPr>
            <w:tcW w:w="1427" w:type="dxa"/>
            <w:tcBorders>
              <w:top w:val="single" w:sz="4" w:space="0" w:color="auto"/>
              <w:left w:val="nil"/>
              <w:bottom w:val="single" w:sz="4" w:space="0" w:color="auto"/>
              <w:right w:val="single" w:sz="4" w:space="0" w:color="auto"/>
            </w:tcBorders>
            <w:noWrap/>
            <w:vAlign w:val="center"/>
            <w:hideMark/>
          </w:tcPr>
          <w:p w14:paraId="1BED7F30"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20.2</w:t>
            </w:r>
            <w:r w:rsidR="00887192">
              <w:rPr>
                <w:rFonts w:ascii="Times New Roman" w:eastAsia="Times New Roman" w:hAnsi="Times New Roman" w:cs="Times New Roman"/>
                <w:bCs/>
                <w:color w:val="000000"/>
              </w:rPr>
              <w:t>0</w:t>
            </w:r>
          </w:p>
        </w:tc>
        <w:tc>
          <w:tcPr>
            <w:tcW w:w="1560" w:type="dxa"/>
            <w:tcBorders>
              <w:top w:val="single" w:sz="4" w:space="0" w:color="auto"/>
              <w:left w:val="nil"/>
              <w:bottom w:val="single" w:sz="4" w:space="0" w:color="auto"/>
              <w:right w:val="single" w:sz="4" w:space="0" w:color="auto"/>
            </w:tcBorders>
            <w:noWrap/>
            <w:vAlign w:val="center"/>
            <w:hideMark/>
          </w:tcPr>
          <w:p w14:paraId="01350718"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24.8</w:t>
            </w:r>
            <w:r w:rsidR="00887192">
              <w:rPr>
                <w:rFonts w:ascii="Times New Roman" w:eastAsia="Times New Roman" w:hAnsi="Times New Roman" w:cs="Times New Roman"/>
                <w:bCs/>
                <w:color w:val="000000"/>
              </w:rPr>
              <w:t>0</w:t>
            </w:r>
          </w:p>
        </w:tc>
        <w:tc>
          <w:tcPr>
            <w:tcW w:w="1417" w:type="dxa"/>
            <w:tcBorders>
              <w:top w:val="single" w:sz="4" w:space="0" w:color="auto"/>
              <w:left w:val="nil"/>
              <w:bottom w:val="single" w:sz="4" w:space="0" w:color="auto"/>
              <w:right w:val="single" w:sz="4" w:space="0" w:color="auto"/>
            </w:tcBorders>
            <w:noWrap/>
            <w:vAlign w:val="center"/>
            <w:hideMark/>
          </w:tcPr>
          <w:p w14:paraId="6A5DCF1A"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14.2</w:t>
            </w:r>
            <w:r w:rsidR="00887192">
              <w:rPr>
                <w:rFonts w:ascii="Times New Roman" w:eastAsia="Times New Roman" w:hAnsi="Times New Roman" w:cs="Times New Roman"/>
                <w:bCs/>
                <w:color w:val="000000"/>
              </w:rPr>
              <w:t>0</w:t>
            </w:r>
          </w:p>
        </w:tc>
        <w:tc>
          <w:tcPr>
            <w:tcW w:w="1985" w:type="dxa"/>
            <w:tcBorders>
              <w:top w:val="single" w:sz="4" w:space="0" w:color="auto"/>
              <w:left w:val="nil"/>
              <w:bottom w:val="single" w:sz="4" w:space="0" w:color="auto"/>
              <w:right w:val="single" w:sz="4" w:space="0" w:color="auto"/>
            </w:tcBorders>
            <w:noWrap/>
            <w:vAlign w:val="center"/>
            <w:hideMark/>
          </w:tcPr>
          <w:p w14:paraId="2BDEF8CE"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44.7</w:t>
            </w:r>
            <w:r w:rsidR="00887192">
              <w:rPr>
                <w:rFonts w:ascii="Times New Roman" w:eastAsia="Times New Roman" w:hAnsi="Times New Roman" w:cs="Times New Roman"/>
                <w:bCs/>
                <w:color w:val="000000"/>
              </w:rPr>
              <w:t>0</w:t>
            </w:r>
          </w:p>
        </w:tc>
        <w:tc>
          <w:tcPr>
            <w:tcW w:w="1417" w:type="dxa"/>
            <w:tcBorders>
              <w:top w:val="single" w:sz="4" w:space="0" w:color="auto"/>
              <w:left w:val="nil"/>
              <w:bottom w:val="single" w:sz="4" w:space="0" w:color="auto"/>
              <w:right w:val="single" w:sz="4" w:space="0" w:color="auto"/>
            </w:tcBorders>
          </w:tcPr>
          <w:p w14:paraId="23FBCC68"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31.77</w:t>
            </w:r>
          </w:p>
        </w:tc>
      </w:tr>
      <w:tr w:rsidR="00E372DB" w:rsidRPr="001E0767" w14:paraId="083738A5" w14:textId="77777777" w:rsidTr="0000789A">
        <w:trPr>
          <w:trHeight w:val="269"/>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040089F1"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C.D.</w:t>
            </w:r>
          </w:p>
        </w:tc>
        <w:tc>
          <w:tcPr>
            <w:tcW w:w="1427" w:type="dxa"/>
            <w:tcBorders>
              <w:top w:val="single" w:sz="4" w:space="0" w:color="auto"/>
              <w:left w:val="nil"/>
              <w:bottom w:val="single" w:sz="4" w:space="0" w:color="auto"/>
              <w:right w:val="single" w:sz="4" w:space="0" w:color="auto"/>
            </w:tcBorders>
            <w:noWrap/>
            <w:vAlign w:val="center"/>
            <w:hideMark/>
          </w:tcPr>
          <w:p w14:paraId="23B89B6C"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0.494</w:t>
            </w:r>
          </w:p>
        </w:tc>
        <w:tc>
          <w:tcPr>
            <w:tcW w:w="1560" w:type="dxa"/>
            <w:tcBorders>
              <w:top w:val="single" w:sz="4" w:space="0" w:color="auto"/>
              <w:left w:val="nil"/>
              <w:bottom w:val="single" w:sz="4" w:space="0" w:color="auto"/>
              <w:right w:val="single" w:sz="4" w:space="0" w:color="auto"/>
            </w:tcBorders>
            <w:noWrap/>
            <w:vAlign w:val="center"/>
            <w:hideMark/>
          </w:tcPr>
          <w:p w14:paraId="7C2F52E6"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0.721</w:t>
            </w:r>
          </w:p>
        </w:tc>
        <w:tc>
          <w:tcPr>
            <w:tcW w:w="1417" w:type="dxa"/>
            <w:tcBorders>
              <w:top w:val="single" w:sz="4" w:space="0" w:color="auto"/>
              <w:left w:val="nil"/>
              <w:bottom w:val="single" w:sz="4" w:space="0" w:color="auto"/>
              <w:right w:val="single" w:sz="4" w:space="0" w:color="auto"/>
            </w:tcBorders>
            <w:noWrap/>
            <w:vAlign w:val="center"/>
            <w:hideMark/>
          </w:tcPr>
          <w:p w14:paraId="3E8C4B80"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0.554</w:t>
            </w:r>
          </w:p>
        </w:tc>
        <w:tc>
          <w:tcPr>
            <w:tcW w:w="1985" w:type="dxa"/>
            <w:tcBorders>
              <w:top w:val="single" w:sz="4" w:space="0" w:color="auto"/>
              <w:left w:val="nil"/>
              <w:bottom w:val="single" w:sz="4" w:space="0" w:color="auto"/>
              <w:right w:val="single" w:sz="4" w:space="0" w:color="auto"/>
            </w:tcBorders>
            <w:noWrap/>
            <w:vAlign w:val="center"/>
            <w:hideMark/>
          </w:tcPr>
          <w:p w14:paraId="2739306A"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0.813</w:t>
            </w:r>
          </w:p>
        </w:tc>
        <w:tc>
          <w:tcPr>
            <w:tcW w:w="1417" w:type="dxa"/>
            <w:tcBorders>
              <w:top w:val="single" w:sz="4" w:space="0" w:color="auto"/>
              <w:left w:val="nil"/>
              <w:bottom w:val="single" w:sz="4" w:space="0" w:color="auto"/>
              <w:right w:val="single" w:sz="4" w:space="0" w:color="auto"/>
            </w:tcBorders>
          </w:tcPr>
          <w:p w14:paraId="58030DDA"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0.302</w:t>
            </w:r>
          </w:p>
        </w:tc>
      </w:tr>
      <w:tr w:rsidR="00E372DB" w:rsidRPr="001E0767" w14:paraId="6BB468AE" w14:textId="77777777" w:rsidTr="0000789A">
        <w:trPr>
          <w:trHeight w:val="273"/>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4984BA41"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SE(m)</w:t>
            </w:r>
          </w:p>
        </w:tc>
        <w:tc>
          <w:tcPr>
            <w:tcW w:w="1427" w:type="dxa"/>
            <w:tcBorders>
              <w:top w:val="single" w:sz="4" w:space="0" w:color="auto"/>
              <w:left w:val="nil"/>
              <w:bottom w:val="single" w:sz="4" w:space="0" w:color="auto"/>
              <w:right w:val="single" w:sz="4" w:space="0" w:color="auto"/>
            </w:tcBorders>
            <w:noWrap/>
            <w:vAlign w:val="center"/>
            <w:hideMark/>
          </w:tcPr>
          <w:p w14:paraId="03EA1ED1"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0.165</w:t>
            </w:r>
          </w:p>
        </w:tc>
        <w:tc>
          <w:tcPr>
            <w:tcW w:w="1560" w:type="dxa"/>
            <w:tcBorders>
              <w:top w:val="single" w:sz="4" w:space="0" w:color="auto"/>
              <w:left w:val="nil"/>
              <w:bottom w:val="single" w:sz="4" w:space="0" w:color="auto"/>
              <w:right w:val="single" w:sz="4" w:space="0" w:color="auto"/>
            </w:tcBorders>
            <w:noWrap/>
            <w:vAlign w:val="center"/>
            <w:hideMark/>
          </w:tcPr>
          <w:p w14:paraId="47ACEB2D"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0.241</w:t>
            </w:r>
          </w:p>
        </w:tc>
        <w:tc>
          <w:tcPr>
            <w:tcW w:w="1417" w:type="dxa"/>
            <w:tcBorders>
              <w:top w:val="single" w:sz="4" w:space="0" w:color="auto"/>
              <w:left w:val="nil"/>
              <w:bottom w:val="single" w:sz="4" w:space="0" w:color="auto"/>
              <w:right w:val="single" w:sz="4" w:space="0" w:color="auto"/>
            </w:tcBorders>
            <w:noWrap/>
            <w:vAlign w:val="center"/>
            <w:hideMark/>
          </w:tcPr>
          <w:p w14:paraId="4FC7007A"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0.185</w:t>
            </w:r>
          </w:p>
        </w:tc>
        <w:tc>
          <w:tcPr>
            <w:tcW w:w="1985" w:type="dxa"/>
            <w:tcBorders>
              <w:top w:val="single" w:sz="4" w:space="0" w:color="auto"/>
              <w:left w:val="nil"/>
              <w:bottom w:val="single" w:sz="4" w:space="0" w:color="auto"/>
              <w:right w:val="single" w:sz="4" w:space="0" w:color="auto"/>
            </w:tcBorders>
            <w:noWrap/>
            <w:vAlign w:val="center"/>
            <w:hideMark/>
          </w:tcPr>
          <w:p w14:paraId="206A2E13"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0.272</w:t>
            </w:r>
          </w:p>
        </w:tc>
        <w:tc>
          <w:tcPr>
            <w:tcW w:w="1417" w:type="dxa"/>
            <w:tcBorders>
              <w:top w:val="single" w:sz="4" w:space="0" w:color="auto"/>
              <w:left w:val="nil"/>
              <w:bottom w:val="single" w:sz="4" w:space="0" w:color="auto"/>
              <w:right w:val="single" w:sz="4" w:space="0" w:color="auto"/>
            </w:tcBorders>
          </w:tcPr>
          <w:p w14:paraId="24765C01"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0.101</w:t>
            </w:r>
          </w:p>
        </w:tc>
      </w:tr>
      <w:tr w:rsidR="00E372DB" w:rsidRPr="001E0767" w14:paraId="402ACB71" w14:textId="77777777" w:rsidTr="0000789A">
        <w:trPr>
          <w:trHeight w:val="263"/>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0320BEA5"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SE(d)</w:t>
            </w:r>
          </w:p>
        </w:tc>
        <w:tc>
          <w:tcPr>
            <w:tcW w:w="1427" w:type="dxa"/>
            <w:tcBorders>
              <w:top w:val="single" w:sz="4" w:space="0" w:color="auto"/>
              <w:left w:val="nil"/>
              <w:bottom w:val="single" w:sz="4" w:space="0" w:color="auto"/>
              <w:right w:val="single" w:sz="4" w:space="0" w:color="auto"/>
            </w:tcBorders>
            <w:noWrap/>
            <w:vAlign w:val="center"/>
            <w:hideMark/>
          </w:tcPr>
          <w:p w14:paraId="1A3E74EB"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0.233</w:t>
            </w:r>
          </w:p>
        </w:tc>
        <w:tc>
          <w:tcPr>
            <w:tcW w:w="1560" w:type="dxa"/>
            <w:tcBorders>
              <w:top w:val="single" w:sz="4" w:space="0" w:color="auto"/>
              <w:left w:val="nil"/>
              <w:bottom w:val="single" w:sz="4" w:space="0" w:color="auto"/>
              <w:right w:val="single" w:sz="4" w:space="0" w:color="auto"/>
            </w:tcBorders>
            <w:noWrap/>
            <w:vAlign w:val="center"/>
            <w:hideMark/>
          </w:tcPr>
          <w:p w14:paraId="69181EF5"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0.341</w:t>
            </w:r>
          </w:p>
        </w:tc>
        <w:tc>
          <w:tcPr>
            <w:tcW w:w="1417" w:type="dxa"/>
            <w:tcBorders>
              <w:top w:val="single" w:sz="4" w:space="0" w:color="auto"/>
              <w:left w:val="nil"/>
              <w:bottom w:val="single" w:sz="4" w:space="0" w:color="auto"/>
              <w:right w:val="single" w:sz="4" w:space="0" w:color="auto"/>
            </w:tcBorders>
            <w:noWrap/>
            <w:vAlign w:val="center"/>
            <w:hideMark/>
          </w:tcPr>
          <w:p w14:paraId="5D6887B3"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0.262</w:t>
            </w:r>
          </w:p>
        </w:tc>
        <w:tc>
          <w:tcPr>
            <w:tcW w:w="1985" w:type="dxa"/>
            <w:tcBorders>
              <w:top w:val="single" w:sz="4" w:space="0" w:color="auto"/>
              <w:left w:val="nil"/>
              <w:bottom w:val="single" w:sz="4" w:space="0" w:color="auto"/>
              <w:right w:val="single" w:sz="4" w:space="0" w:color="auto"/>
            </w:tcBorders>
            <w:noWrap/>
            <w:vAlign w:val="center"/>
            <w:hideMark/>
          </w:tcPr>
          <w:p w14:paraId="0E2AD10C"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0.384</w:t>
            </w:r>
          </w:p>
        </w:tc>
        <w:tc>
          <w:tcPr>
            <w:tcW w:w="1417" w:type="dxa"/>
            <w:tcBorders>
              <w:top w:val="single" w:sz="4" w:space="0" w:color="auto"/>
              <w:left w:val="nil"/>
              <w:bottom w:val="single" w:sz="4" w:space="0" w:color="auto"/>
              <w:right w:val="single" w:sz="4" w:space="0" w:color="auto"/>
            </w:tcBorders>
          </w:tcPr>
          <w:p w14:paraId="1BA265DF"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0.143</w:t>
            </w:r>
          </w:p>
        </w:tc>
      </w:tr>
      <w:tr w:rsidR="00E372DB" w:rsidRPr="001E0767" w14:paraId="41AC4BD0" w14:textId="77777777" w:rsidTr="0000789A">
        <w:trPr>
          <w:trHeight w:val="281"/>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44CB8711"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C.V.</w:t>
            </w:r>
          </w:p>
        </w:tc>
        <w:tc>
          <w:tcPr>
            <w:tcW w:w="1427" w:type="dxa"/>
            <w:tcBorders>
              <w:top w:val="single" w:sz="4" w:space="0" w:color="auto"/>
              <w:left w:val="nil"/>
              <w:bottom w:val="single" w:sz="4" w:space="0" w:color="auto"/>
              <w:right w:val="single" w:sz="4" w:space="0" w:color="auto"/>
            </w:tcBorders>
            <w:noWrap/>
            <w:vAlign w:val="center"/>
            <w:hideMark/>
          </w:tcPr>
          <w:p w14:paraId="4F0968EC"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1.878</w:t>
            </w:r>
          </w:p>
        </w:tc>
        <w:tc>
          <w:tcPr>
            <w:tcW w:w="1560" w:type="dxa"/>
            <w:tcBorders>
              <w:top w:val="single" w:sz="4" w:space="0" w:color="auto"/>
              <w:left w:val="nil"/>
              <w:bottom w:val="single" w:sz="4" w:space="0" w:color="auto"/>
              <w:right w:val="single" w:sz="4" w:space="0" w:color="auto"/>
            </w:tcBorders>
            <w:noWrap/>
            <w:vAlign w:val="center"/>
            <w:hideMark/>
          </w:tcPr>
          <w:p w14:paraId="370B0618"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2.41</w:t>
            </w:r>
          </w:p>
        </w:tc>
        <w:tc>
          <w:tcPr>
            <w:tcW w:w="1417" w:type="dxa"/>
            <w:tcBorders>
              <w:top w:val="single" w:sz="4" w:space="0" w:color="auto"/>
              <w:left w:val="nil"/>
              <w:bottom w:val="single" w:sz="4" w:space="0" w:color="auto"/>
              <w:right w:val="single" w:sz="4" w:space="0" w:color="auto"/>
            </w:tcBorders>
            <w:noWrap/>
            <w:vAlign w:val="center"/>
            <w:hideMark/>
          </w:tcPr>
          <w:p w14:paraId="3CF590D3"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2.714</w:t>
            </w:r>
          </w:p>
        </w:tc>
        <w:tc>
          <w:tcPr>
            <w:tcW w:w="1985" w:type="dxa"/>
            <w:tcBorders>
              <w:top w:val="single" w:sz="4" w:space="0" w:color="auto"/>
              <w:left w:val="nil"/>
              <w:bottom w:val="single" w:sz="4" w:space="0" w:color="auto"/>
              <w:right w:val="single" w:sz="4" w:space="0" w:color="auto"/>
            </w:tcBorders>
            <w:noWrap/>
            <w:vAlign w:val="center"/>
            <w:hideMark/>
          </w:tcPr>
          <w:p w14:paraId="33C1BAC8"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1.35</w:t>
            </w:r>
          </w:p>
        </w:tc>
        <w:tc>
          <w:tcPr>
            <w:tcW w:w="1417" w:type="dxa"/>
            <w:tcBorders>
              <w:top w:val="single" w:sz="4" w:space="0" w:color="auto"/>
              <w:left w:val="nil"/>
              <w:bottom w:val="single" w:sz="4" w:space="0" w:color="auto"/>
              <w:right w:val="single" w:sz="4" w:space="0" w:color="auto"/>
            </w:tcBorders>
            <w:shd w:val="clear" w:color="000000" w:fill="FFFFFF"/>
          </w:tcPr>
          <w:p w14:paraId="2A27531D" w14:textId="77777777" w:rsidR="00E372DB" w:rsidRPr="001E0767" w:rsidRDefault="00E372DB" w:rsidP="0000789A">
            <w:pPr>
              <w:spacing w:after="0" w:line="240" w:lineRule="auto"/>
              <w:jc w:val="center"/>
              <w:rPr>
                <w:rFonts w:ascii="Times New Roman" w:eastAsia="Times New Roman" w:hAnsi="Times New Roman" w:cs="Times New Roman"/>
                <w:bCs/>
                <w:color w:val="000000"/>
              </w:rPr>
            </w:pPr>
            <w:r w:rsidRPr="001E0767">
              <w:rPr>
                <w:rFonts w:ascii="Times New Roman" w:eastAsia="Times New Roman" w:hAnsi="Times New Roman" w:cs="Times New Roman"/>
                <w:bCs/>
                <w:color w:val="000000"/>
              </w:rPr>
              <w:t>0.513</w:t>
            </w:r>
          </w:p>
        </w:tc>
      </w:tr>
    </w:tbl>
    <w:p w14:paraId="09E540F5" w14:textId="77777777" w:rsidR="00E372DB" w:rsidRDefault="00E372DB" w:rsidP="00E372DB">
      <w:pPr>
        <w:spacing w:before="100" w:beforeAutospacing="1" w:after="100" w:afterAutospacing="1" w:line="240" w:lineRule="auto"/>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The graphical presentations of the percentage of leaves with different treatments applied in fieldwork are given below.</w:t>
      </w:r>
    </w:p>
    <w:p w14:paraId="3AF9BB0A" w14:textId="77777777" w:rsidR="00E372DB" w:rsidRPr="00E372DB" w:rsidRDefault="00E372DB" w:rsidP="00E372DB">
      <w:pPr>
        <w:spacing w:before="100" w:beforeAutospacing="1" w:after="100" w:afterAutospacing="1" w:line="240" w:lineRule="auto"/>
        <w:rPr>
          <w:rFonts w:ascii="Times New Roman" w:eastAsia="Times New Roman" w:hAnsi="Times New Roman" w:cs="Times New Roman"/>
          <w:sz w:val="24"/>
          <w:szCs w:val="24"/>
          <w:lang w:bidi="hi-IN"/>
        </w:rPr>
      </w:pPr>
      <w:r>
        <w:rPr>
          <w:noProof/>
          <w:lang w:bidi="hi-IN"/>
        </w:rPr>
        <w:drawing>
          <wp:inline distT="0" distB="0" distL="0" distR="0" wp14:anchorId="2C66B86B" wp14:editId="7BBDA01C">
            <wp:extent cx="5443855" cy="1784350"/>
            <wp:effectExtent l="0" t="0" r="4445" b="63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98945C7" w14:textId="77777777" w:rsidR="00E372DB" w:rsidRPr="00E372DB" w:rsidRDefault="00E372DB" w:rsidP="00E372DB">
      <w:pPr>
        <w:spacing w:before="100" w:beforeAutospacing="1" w:after="100" w:afterAutospacing="1" w:line="240" w:lineRule="auto"/>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t>Fig. 3. Effect of zinc and phosphorus sources on various yields of chickpea</w:t>
      </w:r>
    </w:p>
    <w:p w14:paraId="4246A049" w14:textId="77777777" w:rsidR="00E372DB" w:rsidRPr="00E372DB" w:rsidRDefault="00E372DB" w:rsidP="00E372DB">
      <w:pPr>
        <w:spacing w:before="100" w:beforeAutospacing="1" w:after="100" w:afterAutospacing="1" w:line="240" w:lineRule="auto"/>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t>Harvest Index</w:t>
      </w:r>
    </w:p>
    <w:p w14:paraId="2A7FE4D1"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 xml:space="preserve">The harvest index recorded in the T9 treatment was 31.77, and in the T0 treatment, it was observed to be 33.79. Similar finding by </w:t>
      </w:r>
      <w:r w:rsidRPr="00E372DB">
        <w:rPr>
          <w:rFonts w:ascii="Times New Roman" w:eastAsia="Times New Roman" w:hAnsi="Times New Roman" w:cs="Times New Roman"/>
          <w:b/>
          <w:bCs/>
          <w:sz w:val="24"/>
          <w:szCs w:val="24"/>
          <w:lang w:bidi="hi-IN"/>
        </w:rPr>
        <w:t>[40, 41]</w:t>
      </w:r>
      <w:r w:rsidR="00887192">
        <w:rPr>
          <w:rFonts w:ascii="Times New Roman" w:eastAsia="Times New Roman" w:hAnsi="Times New Roman" w:cs="Times New Roman"/>
          <w:b/>
          <w:bCs/>
          <w:sz w:val="24"/>
          <w:szCs w:val="24"/>
          <w:lang w:bidi="hi-IN"/>
        </w:rPr>
        <w:t>.</w:t>
      </w:r>
    </w:p>
    <w:p w14:paraId="0779E6AB"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t xml:space="preserve">ECONOMIC ANALYSES </w:t>
      </w:r>
    </w:p>
    <w:p w14:paraId="6A92DF32"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 xml:space="preserve">In economic analysis, the net profit gained from different treatments is calculated. In this study, phosphorus and zinc sources were used in various treatment combinations. The cost of cultivation and the gross return vary because of the various yields. In this analysis, the maximum net returns and the net return per rupee invested are computed. When producing chickpeas, the net return per </w:t>
      </w:r>
      <w:r w:rsidRPr="00E372DB">
        <w:rPr>
          <w:rFonts w:ascii="Times New Roman" w:eastAsia="Times New Roman" w:hAnsi="Times New Roman" w:cs="Times New Roman"/>
          <w:sz w:val="24"/>
          <w:szCs w:val="24"/>
          <w:lang w:bidi="hi-IN"/>
        </w:rPr>
        <w:lastRenderedPageBreak/>
        <w:t xml:space="preserve">rupee invested must be higher than 1. If it is less than 1, the chickpea's performance will suffer. A farmer or grower has experienced a loss if the number is less than 0. </w:t>
      </w:r>
    </w:p>
    <w:p w14:paraId="1F898065"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Cost of cultivation (₹ ha</w:t>
      </w:r>
      <w:r w:rsidRPr="00E372DB">
        <w:rPr>
          <w:rFonts w:ascii="Cambria Math" w:eastAsia="Times New Roman" w:hAnsi="Cambria Math" w:cs="Cambria Math"/>
          <w:sz w:val="24"/>
          <w:szCs w:val="24"/>
          <w:lang w:bidi="hi-IN"/>
        </w:rPr>
        <w:t>⁻</w:t>
      </w:r>
      <w:r w:rsidRPr="00E372DB">
        <w:rPr>
          <w:rFonts w:ascii="Times New Roman" w:eastAsia="Times New Roman" w:hAnsi="Times New Roman" w:cs="Times New Roman"/>
          <w:sz w:val="24"/>
          <w:szCs w:val="24"/>
          <w:lang w:bidi="hi-IN"/>
        </w:rPr>
        <w:t xml:space="preserve">¹) </w:t>
      </w:r>
    </w:p>
    <w:p w14:paraId="790F6680"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The effect of phosphorus and zinc sources on the cost of cultivation is presented in Table 4. The several fixed costs and variable costs are invested in crop production measured in the cost of cultivation. The highest cost of cultivation was obtained at Rs</w:t>
      </w:r>
      <w:r w:rsidR="00887192">
        <w:rPr>
          <w:rFonts w:ascii="Times New Roman" w:eastAsia="Times New Roman" w:hAnsi="Times New Roman" w:cs="Times New Roman"/>
          <w:sz w:val="24"/>
          <w:szCs w:val="24"/>
          <w:lang w:bidi="hi-IN"/>
        </w:rPr>
        <w:t>.</w:t>
      </w:r>
      <w:r w:rsidRPr="00E372DB">
        <w:rPr>
          <w:rFonts w:ascii="Times New Roman" w:eastAsia="Times New Roman" w:hAnsi="Times New Roman" w:cs="Times New Roman"/>
          <w:sz w:val="24"/>
          <w:szCs w:val="24"/>
          <w:lang w:bidi="hi-IN"/>
        </w:rPr>
        <w:t xml:space="preserve"> 42056 in T9. The lowest cost of cultivation was observed at Rs. 30421 in T0 (control).</w:t>
      </w:r>
    </w:p>
    <w:p w14:paraId="5EDC2519" w14:textId="77777777" w:rsidR="00E372DB" w:rsidRPr="00E372DB" w:rsidRDefault="00E372DB" w:rsidP="00E372DB">
      <w:pPr>
        <w:spacing w:before="100" w:beforeAutospacing="1" w:after="100" w:afterAutospacing="1" w:line="240" w:lineRule="auto"/>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t>Table 4. Effect of Phosphorus and Zinc Sources on Cost of Cultivation, Gross and Net Return, and Benefit-Cost Ratio in Chickpea</w:t>
      </w:r>
    </w:p>
    <w:tbl>
      <w:tblPr>
        <w:tblW w:w="9260" w:type="dxa"/>
        <w:tblInd w:w="-10" w:type="dxa"/>
        <w:tblLook w:val="04A0" w:firstRow="1" w:lastRow="0" w:firstColumn="1" w:lastColumn="0" w:noHBand="0" w:noVBand="1"/>
      </w:tblPr>
      <w:tblGrid>
        <w:gridCol w:w="1600"/>
        <w:gridCol w:w="2260"/>
        <w:gridCol w:w="1760"/>
        <w:gridCol w:w="1760"/>
        <w:gridCol w:w="1880"/>
      </w:tblGrid>
      <w:tr w:rsidR="00E372DB" w:rsidRPr="00A0082E" w14:paraId="67A2C52B" w14:textId="77777777" w:rsidTr="0000789A">
        <w:trPr>
          <w:trHeight w:val="225"/>
        </w:trPr>
        <w:tc>
          <w:tcPr>
            <w:tcW w:w="1600" w:type="dxa"/>
            <w:tcBorders>
              <w:top w:val="single" w:sz="8" w:space="0" w:color="auto"/>
              <w:left w:val="single" w:sz="8" w:space="0" w:color="auto"/>
              <w:bottom w:val="single" w:sz="8" w:space="0" w:color="auto"/>
              <w:right w:val="single" w:sz="8" w:space="0" w:color="auto"/>
            </w:tcBorders>
            <w:noWrap/>
            <w:vAlign w:val="center"/>
            <w:hideMark/>
          </w:tcPr>
          <w:p w14:paraId="3E881FCD" w14:textId="77777777" w:rsidR="00E372DB" w:rsidRPr="00A0082E" w:rsidRDefault="00E372DB" w:rsidP="0000789A">
            <w:pPr>
              <w:spacing w:after="0" w:line="240" w:lineRule="auto"/>
              <w:jc w:val="center"/>
              <w:rPr>
                <w:rFonts w:ascii="Times New Roman" w:eastAsia="Times New Roman" w:hAnsi="Times New Roman" w:cs="Times New Roman"/>
                <w:b/>
                <w:bCs/>
                <w:color w:val="000000"/>
                <w:sz w:val="24"/>
                <w:szCs w:val="24"/>
                <w:lang w:bidi="hi-IN"/>
              </w:rPr>
            </w:pPr>
            <w:r w:rsidRPr="00A0082E">
              <w:rPr>
                <w:rFonts w:ascii="Times New Roman" w:eastAsia="Times New Roman" w:hAnsi="Times New Roman" w:cs="Times New Roman"/>
                <w:b/>
                <w:bCs/>
                <w:color w:val="000000"/>
                <w:sz w:val="24"/>
                <w:szCs w:val="24"/>
                <w:lang w:bidi="hi-IN"/>
              </w:rPr>
              <w:t>Treatments</w:t>
            </w:r>
          </w:p>
        </w:tc>
        <w:tc>
          <w:tcPr>
            <w:tcW w:w="2260" w:type="dxa"/>
            <w:tcBorders>
              <w:top w:val="single" w:sz="8" w:space="0" w:color="auto"/>
              <w:left w:val="nil"/>
              <w:bottom w:val="single" w:sz="8" w:space="0" w:color="auto"/>
              <w:right w:val="single" w:sz="8" w:space="0" w:color="auto"/>
            </w:tcBorders>
            <w:noWrap/>
            <w:vAlign w:val="center"/>
            <w:hideMark/>
          </w:tcPr>
          <w:p w14:paraId="0738CEA6" w14:textId="77777777" w:rsidR="00E372DB" w:rsidRPr="00A0082E" w:rsidRDefault="00E372DB" w:rsidP="0000789A">
            <w:pPr>
              <w:spacing w:after="0" w:line="240" w:lineRule="auto"/>
              <w:jc w:val="center"/>
              <w:rPr>
                <w:rFonts w:ascii="Times New Roman" w:eastAsia="Times New Roman" w:hAnsi="Times New Roman" w:cs="Times New Roman"/>
                <w:b/>
                <w:bCs/>
                <w:color w:val="000000"/>
                <w:sz w:val="24"/>
                <w:szCs w:val="24"/>
                <w:lang w:bidi="hi-IN"/>
              </w:rPr>
            </w:pPr>
            <w:r w:rsidRPr="00A0082E">
              <w:rPr>
                <w:rFonts w:ascii="Times New Roman" w:eastAsia="Times New Roman" w:hAnsi="Times New Roman" w:cs="Times New Roman"/>
                <w:b/>
                <w:bCs/>
                <w:color w:val="000000"/>
                <w:sz w:val="24"/>
                <w:szCs w:val="24"/>
                <w:lang w:bidi="hi-IN"/>
              </w:rPr>
              <w:t>Cost of cultivation</w:t>
            </w:r>
          </w:p>
        </w:tc>
        <w:tc>
          <w:tcPr>
            <w:tcW w:w="1760" w:type="dxa"/>
            <w:tcBorders>
              <w:top w:val="single" w:sz="8" w:space="0" w:color="auto"/>
              <w:left w:val="nil"/>
              <w:bottom w:val="single" w:sz="8" w:space="0" w:color="auto"/>
              <w:right w:val="single" w:sz="8" w:space="0" w:color="auto"/>
            </w:tcBorders>
            <w:noWrap/>
            <w:vAlign w:val="center"/>
            <w:hideMark/>
          </w:tcPr>
          <w:p w14:paraId="295C5B3F" w14:textId="77777777" w:rsidR="00E372DB" w:rsidRPr="00A0082E" w:rsidRDefault="00E372DB" w:rsidP="0000789A">
            <w:pPr>
              <w:spacing w:after="0" w:line="240" w:lineRule="auto"/>
              <w:jc w:val="center"/>
              <w:rPr>
                <w:rFonts w:ascii="Times New Roman" w:eastAsia="Times New Roman" w:hAnsi="Times New Roman" w:cs="Times New Roman"/>
                <w:b/>
                <w:bCs/>
                <w:color w:val="000000"/>
                <w:sz w:val="24"/>
                <w:szCs w:val="24"/>
                <w:lang w:bidi="hi-IN"/>
              </w:rPr>
            </w:pPr>
            <w:r w:rsidRPr="00A0082E">
              <w:rPr>
                <w:rFonts w:ascii="Times New Roman" w:eastAsia="Times New Roman" w:hAnsi="Times New Roman" w:cs="Times New Roman"/>
                <w:b/>
                <w:bCs/>
                <w:color w:val="000000"/>
                <w:sz w:val="24"/>
                <w:szCs w:val="24"/>
                <w:lang w:bidi="hi-IN"/>
              </w:rPr>
              <w:t>Gross return</w:t>
            </w:r>
          </w:p>
        </w:tc>
        <w:tc>
          <w:tcPr>
            <w:tcW w:w="1760" w:type="dxa"/>
            <w:tcBorders>
              <w:top w:val="single" w:sz="8" w:space="0" w:color="auto"/>
              <w:left w:val="nil"/>
              <w:bottom w:val="single" w:sz="8" w:space="0" w:color="auto"/>
              <w:right w:val="single" w:sz="8" w:space="0" w:color="auto"/>
            </w:tcBorders>
            <w:noWrap/>
            <w:vAlign w:val="center"/>
            <w:hideMark/>
          </w:tcPr>
          <w:p w14:paraId="5725486B" w14:textId="77777777" w:rsidR="00E372DB" w:rsidRPr="00A0082E" w:rsidRDefault="00E372DB" w:rsidP="0000789A">
            <w:pPr>
              <w:spacing w:after="0" w:line="240" w:lineRule="auto"/>
              <w:jc w:val="center"/>
              <w:rPr>
                <w:rFonts w:ascii="Times New Roman" w:eastAsia="Times New Roman" w:hAnsi="Times New Roman" w:cs="Times New Roman"/>
                <w:b/>
                <w:bCs/>
                <w:color w:val="000000"/>
                <w:sz w:val="24"/>
                <w:szCs w:val="24"/>
                <w:lang w:bidi="hi-IN"/>
              </w:rPr>
            </w:pPr>
            <w:r w:rsidRPr="00A0082E">
              <w:rPr>
                <w:rFonts w:ascii="Times New Roman" w:eastAsia="Times New Roman" w:hAnsi="Times New Roman" w:cs="Times New Roman"/>
                <w:b/>
                <w:bCs/>
                <w:color w:val="000000"/>
                <w:sz w:val="24"/>
                <w:szCs w:val="24"/>
                <w:lang w:bidi="hi-IN"/>
              </w:rPr>
              <w:t>Net Return</w:t>
            </w:r>
          </w:p>
        </w:tc>
        <w:tc>
          <w:tcPr>
            <w:tcW w:w="1880" w:type="dxa"/>
            <w:tcBorders>
              <w:top w:val="single" w:sz="8" w:space="0" w:color="auto"/>
              <w:left w:val="nil"/>
              <w:bottom w:val="single" w:sz="8" w:space="0" w:color="auto"/>
              <w:right w:val="single" w:sz="8" w:space="0" w:color="auto"/>
            </w:tcBorders>
            <w:noWrap/>
            <w:vAlign w:val="center"/>
            <w:hideMark/>
          </w:tcPr>
          <w:p w14:paraId="4C58041E" w14:textId="77777777" w:rsidR="00E372DB" w:rsidRPr="00A0082E" w:rsidRDefault="00E372DB" w:rsidP="0000789A">
            <w:pPr>
              <w:spacing w:after="0" w:line="240" w:lineRule="auto"/>
              <w:jc w:val="center"/>
              <w:rPr>
                <w:rFonts w:ascii="Times New Roman" w:eastAsia="Times New Roman" w:hAnsi="Times New Roman" w:cs="Times New Roman"/>
                <w:b/>
                <w:bCs/>
                <w:color w:val="000000"/>
                <w:sz w:val="24"/>
                <w:szCs w:val="24"/>
                <w:lang w:bidi="hi-IN"/>
              </w:rPr>
            </w:pPr>
            <w:r w:rsidRPr="00A0082E">
              <w:rPr>
                <w:rFonts w:ascii="Times New Roman" w:eastAsia="Times New Roman" w:hAnsi="Times New Roman" w:cs="Times New Roman"/>
                <w:b/>
                <w:bCs/>
                <w:color w:val="000000"/>
                <w:sz w:val="24"/>
                <w:szCs w:val="24"/>
                <w:lang w:bidi="hi-IN"/>
              </w:rPr>
              <w:t>B:C Ratio</w:t>
            </w:r>
          </w:p>
        </w:tc>
      </w:tr>
      <w:tr w:rsidR="00E372DB" w:rsidRPr="00A0082E" w14:paraId="7C13C719" w14:textId="77777777" w:rsidTr="0000789A">
        <w:trPr>
          <w:trHeight w:val="330"/>
        </w:trPr>
        <w:tc>
          <w:tcPr>
            <w:tcW w:w="1600" w:type="dxa"/>
            <w:tcBorders>
              <w:top w:val="nil"/>
              <w:left w:val="single" w:sz="8" w:space="0" w:color="auto"/>
              <w:bottom w:val="single" w:sz="8" w:space="0" w:color="auto"/>
              <w:right w:val="single" w:sz="8" w:space="0" w:color="auto"/>
            </w:tcBorders>
            <w:noWrap/>
            <w:vAlign w:val="center"/>
            <w:hideMark/>
          </w:tcPr>
          <w:p w14:paraId="6A72ED64" w14:textId="77777777" w:rsidR="00E372DB" w:rsidRPr="00A0082E" w:rsidRDefault="00E372DB" w:rsidP="0000789A">
            <w:pPr>
              <w:spacing w:after="0" w:line="240" w:lineRule="auto"/>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 xml:space="preserve">           T0</w:t>
            </w:r>
          </w:p>
        </w:tc>
        <w:tc>
          <w:tcPr>
            <w:tcW w:w="2260" w:type="dxa"/>
            <w:tcBorders>
              <w:top w:val="nil"/>
              <w:left w:val="nil"/>
              <w:bottom w:val="single" w:sz="8" w:space="0" w:color="auto"/>
              <w:right w:val="single" w:sz="8" w:space="0" w:color="auto"/>
            </w:tcBorders>
            <w:noWrap/>
            <w:vAlign w:val="center"/>
            <w:hideMark/>
          </w:tcPr>
          <w:p w14:paraId="560A0F4F"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30421</w:t>
            </w:r>
          </w:p>
        </w:tc>
        <w:tc>
          <w:tcPr>
            <w:tcW w:w="1760" w:type="dxa"/>
            <w:tcBorders>
              <w:top w:val="nil"/>
              <w:left w:val="nil"/>
              <w:bottom w:val="single" w:sz="8" w:space="0" w:color="auto"/>
              <w:right w:val="single" w:sz="8" w:space="0" w:color="auto"/>
            </w:tcBorders>
            <w:noWrap/>
            <w:vAlign w:val="center"/>
            <w:hideMark/>
          </w:tcPr>
          <w:p w14:paraId="5AFA3ED0"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49369</w:t>
            </w:r>
          </w:p>
        </w:tc>
        <w:tc>
          <w:tcPr>
            <w:tcW w:w="1760" w:type="dxa"/>
            <w:tcBorders>
              <w:top w:val="nil"/>
              <w:left w:val="nil"/>
              <w:bottom w:val="single" w:sz="8" w:space="0" w:color="auto"/>
              <w:right w:val="single" w:sz="8" w:space="0" w:color="auto"/>
            </w:tcBorders>
            <w:noWrap/>
            <w:vAlign w:val="center"/>
            <w:hideMark/>
          </w:tcPr>
          <w:p w14:paraId="4D4887BB"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18948</w:t>
            </w:r>
          </w:p>
        </w:tc>
        <w:tc>
          <w:tcPr>
            <w:tcW w:w="1880" w:type="dxa"/>
            <w:tcBorders>
              <w:top w:val="nil"/>
              <w:left w:val="nil"/>
              <w:bottom w:val="single" w:sz="8" w:space="0" w:color="auto"/>
              <w:right w:val="single" w:sz="8" w:space="0" w:color="auto"/>
            </w:tcBorders>
            <w:noWrap/>
            <w:vAlign w:val="center"/>
            <w:hideMark/>
          </w:tcPr>
          <w:p w14:paraId="728BE66D"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0.62</w:t>
            </w:r>
          </w:p>
        </w:tc>
      </w:tr>
      <w:tr w:rsidR="00E372DB" w:rsidRPr="00A0082E" w14:paraId="677E0742" w14:textId="77777777" w:rsidTr="0000789A">
        <w:trPr>
          <w:trHeight w:val="330"/>
        </w:trPr>
        <w:tc>
          <w:tcPr>
            <w:tcW w:w="1600" w:type="dxa"/>
            <w:tcBorders>
              <w:top w:val="nil"/>
              <w:left w:val="single" w:sz="8" w:space="0" w:color="auto"/>
              <w:bottom w:val="single" w:sz="8" w:space="0" w:color="auto"/>
              <w:right w:val="single" w:sz="8" w:space="0" w:color="auto"/>
            </w:tcBorders>
            <w:noWrap/>
            <w:vAlign w:val="center"/>
            <w:hideMark/>
          </w:tcPr>
          <w:p w14:paraId="1DCA12AE" w14:textId="77777777" w:rsidR="00E372DB" w:rsidRPr="00A0082E" w:rsidRDefault="00E372DB" w:rsidP="0000789A">
            <w:pPr>
              <w:spacing w:after="0" w:line="240" w:lineRule="auto"/>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 xml:space="preserve">           T1</w:t>
            </w:r>
          </w:p>
        </w:tc>
        <w:tc>
          <w:tcPr>
            <w:tcW w:w="2260" w:type="dxa"/>
            <w:tcBorders>
              <w:top w:val="nil"/>
              <w:left w:val="nil"/>
              <w:bottom w:val="single" w:sz="8" w:space="0" w:color="auto"/>
              <w:right w:val="single" w:sz="8" w:space="0" w:color="auto"/>
            </w:tcBorders>
            <w:noWrap/>
            <w:vAlign w:val="center"/>
            <w:hideMark/>
          </w:tcPr>
          <w:p w14:paraId="6C3B55C8"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31450</w:t>
            </w:r>
          </w:p>
        </w:tc>
        <w:tc>
          <w:tcPr>
            <w:tcW w:w="1760" w:type="dxa"/>
            <w:tcBorders>
              <w:top w:val="nil"/>
              <w:left w:val="nil"/>
              <w:bottom w:val="single" w:sz="8" w:space="0" w:color="auto"/>
              <w:right w:val="single" w:sz="8" w:space="0" w:color="auto"/>
            </w:tcBorders>
            <w:noWrap/>
            <w:vAlign w:val="center"/>
            <w:hideMark/>
          </w:tcPr>
          <w:p w14:paraId="3B56B8D1"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59800</w:t>
            </w:r>
          </w:p>
        </w:tc>
        <w:tc>
          <w:tcPr>
            <w:tcW w:w="1760" w:type="dxa"/>
            <w:tcBorders>
              <w:top w:val="nil"/>
              <w:left w:val="nil"/>
              <w:bottom w:val="single" w:sz="8" w:space="0" w:color="auto"/>
              <w:right w:val="single" w:sz="8" w:space="0" w:color="auto"/>
            </w:tcBorders>
            <w:noWrap/>
            <w:vAlign w:val="center"/>
            <w:hideMark/>
          </w:tcPr>
          <w:p w14:paraId="08FCF7C8"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28350</w:t>
            </w:r>
          </w:p>
        </w:tc>
        <w:tc>
          <w:tcPr>
            <w:tcW w:w="1880" w:type="dxa"/>
            <w:tcBorders>
              <w:top w:val="nil"/>
              <w:left w:val="nil"/>
              <w:bottom w:val="single" w:sz="8" w:space="0" w:color="auto"/>
              <w:right w:val="single" w:sz="8" w:space="0" w:color="auto"/>
            </w:tcBorders>
            <w:noWrap/>
            <w:vAlign w:val="center"/>
            <w:hideMark/>
          </w:tcPr>
          <w:p w14:paraId="6BBA5C91"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0.9</w:t>
            </w:r>
          </w:p>
        </w:tc>
      </w:tr>
      <w:tr w:rsidR="00E372DB" w:rsidRPr="00A0082E" w14:paraId="29D7E5B0" w14:textId="77777777" w:rsidTr="0000789A">
        <w:trPr>
          <w:trHeight w:val="330"/>
        </w:trPr>
        <w:tc>
          <w:tcPr>
            <w:tcW w:w="1600" w:type="dxa"/>
            <w:tcBorders>
              <w:top w:val="nil"/>
              <w:left w:val="single" w:sz="8" w:space="0" w:color="auto"/>
              <w:bottom w:val="single" w:sz="8" w:space="0" w:color="auto"/>
              <w:right w:val="single" w:sz="8" w:space="0" w:color="auto"/>
            </w:tcBorders>
            <w:noWrap/>
            <w:vAlign w:val="center"/>
            <w:hideMark/>
          </w:tcPr>
          <w:p w14:paraId="68E94E0F" w14:textId="77777777" w:rsidR="00E372DB" w:rsidRPr="00A0082E" w:rsidRDefault="00E372DB" w:rsidP="0000789A">
            <w:pPr>
              <w:spacing w:after="0" w:line="240" w:lineRule="auto"/>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 xml:space="preserve">           T2</w:t>
            </w:r>
          </w:p>
        </w:tc>
        <w:tc>
          <w:tcPr>
            <w:tcW w:w="2260" w:type="dxa"/>
            <w:tcBorders>
              <w:top w:val="nil"/>
              <w:left w:val="nil"/>
              <w:bottom w:val="single" w:sz="8" w:space="0" w:color="auto"/>
              <w:right w:val="single" w:sz="8" w:space="0" w:color="auto"/>
            </w:tcBorders>
            <w:noWrap/>
            <w:vAlign w:val="center"/>
            <w:hideMark/>
          </w:tcPr>
          <w:p w14:paraId="5964828B"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33789</w:t>
            </w:r>
          </w:p>
        </w:tc>
        <w:tc>
          <w:tcPr>
            <w:tcW w:w="1760" w:type="dxa"/>
            <w:tcBorders>
              <w:top w:val="nil"/>
              <w:left w:val="nil"/>
              <w:bottom w:val="single" w:sz="8" w:space="0" w:color="auto"/>
              <w:right w:val="single" w:sz="8" w:space="0" w:color="auto"/>
            </w:tcBorders>
            <w:noWrap/>
            <w:vAlign w:val="center"/>
            <w:hideMark/>
          </w:tcPr>
          <w:p w14:paraId="7FF0FA50"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67800</w:t>
            </w:r>
          </w:p>
        </w:tc>
        <w:tc>
          <w:tcPr>
            <w:tcW w:w="1760" w:type="dxa"/>
            <w:tcBorders>
              <w:top w:val="nil"/>
              <w:left w:val="nil"/>
              <w:bottom w:val="single" w:sz="8" w:space="0" w:color="auto"/>
              <w:right w:val="single" w:sz="8" w:space="0" w:color="auto"/>
            </w:tcBorders>
            <w:noWrap/>
            <w:vAlign w:val="center"/>
            <w:hideMark/>
          </w:tcPr>
          <w:p w14:paraId="5ABFDDE0"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34011</w:t>
            </w:r>
          </w:p>
        </w:tc>
        <w:tc>
          <w:tcPr>
            <w:tcW w:w="1880" w:type="dxa"/>
            <w:tcBorders>
              <w:top w:val="nil"/>
              <w:left w:val="nil"/>
              <w:bottom w:val="single" w:sz="8" w:space="0" w:color="auto"/>
              <w:right w:val="single" w:sz="8" w:space="0" w:color="auto"/>
            </w:tcBorders>
            <w:noWrap/>
            <w:vAlign w:val="center"/>
            <w:hideMark/>
          </w:tcPr>
          <w:p w14:paraId="0DAFBC4F"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1.01</w:t>
            </w:r>
          </w:p>
        </w:tc>
      </w:tr>
      <w:tr w:rsidR="00E372DB" w:rsidRPr="00A0082E" w14:paraId="4713E29D" w14:textId="77777777" w:rsidTr="0000789A">
        <w:trPr>
          <w:trHeight w:val="330"/>
        </w:trPr>
        <w:tc>
          <w:tcPr>
            <w:tcW w:w="1600" w:type="dxa"/>
            <w:tcBorders>
              <w:top w:val="nil"/>
              <w:left w:val="single" w:sz="8" w:space="0" w:color="auto"/>
              <w:bottom w:val="single" w:sz="8" w:space="0" w:color="auto"/>
              <w:right w:val="single" w:sz="8" w:space="0" w:color="auto"/>
            </w:tcBorders>
            <w:noWrap/>
            <w:vAlign w:val="center"/>
            <w:hideMark/>
          </w:tcPr>
          <w:p w14:paraId="5A93533F" w14:textId="77777777" w:rsidR="00E372DB" w:rsidRPr="00A0082E" w:rsidRDefault="00E372DB" w:rsidP="0000789A">
            <w:pPr>
              <w:spacing w:after="0" w:line="240" w:lineRule="auto"/>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 xml:space="preserve">           T3</w:t>
            </w:r>
          </w:p>
        </w:tc>
        <w:tc>
          <w:tcPr>
            <w:tcW w:w="2260" w:type="dxa"/>
            <w:tcBorders>
              <w:top w:val="nil"/>
              <w:left w:val="nil"/>
              <w:bottom w:val="single" w:sz="8" w:space="0" w:color="auto"/>
              <w:right w:val="single" w:sz="8" w:space="0" w:color="auto"/>
            </w:tcBorders>
            <w:noWrap/>
            <w:vAlign w:val="center"/>
            <w:hideMark/>
          </w:tcPr>
          <w:p w14:paraId="60ED8E92"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35450</w:t>
            </w:r>
          </w:p>
        </w:tc>
        <w:tc>
          <w:tcPr>
            <w:tcW w:w="1760" w:type="dxa"/>
            <w:tcBorders>
              <w:top w:val="nil"/>
              <w:left w:val="nil"/>
              <w:bottom w:val="single" w:sz="8" w:space="0" w:color="auto"/>
              <w:right w:val="single" w:sz="8" w:space="0" w:color="auto"/>
            </w:tcBorders>
            <w:noWrap/>
            <w:vAlign w:val="center"/>
            <w:hideMark/>
          </w:tcPr>
          <w:p w14:paraId="14836C74"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72290</w:t>
            </w:r>
          </w:p>
        </w:tc>
        <w:tc>
          <w:tcPr>
            <w:tcW w:w="1760" w:type="dxa"/>
            <w:tcBorders>
              <w:top w:val="nil"/>
              <w:left w:val="nil"/>
              <w:bottom w:val="single" w:sz="8" w:space="0" w:color="auto"/>
              <w:right w:val="single" w:sz="8" w:space="0" w:color="auto"/>
            </w:tcBorders>
            <w:noWrap/>
            <w:vAlign w:val="center"/>
            <w:hideMark/>
          </w:tcPr>
          <w:p w14:paraId="10E469D2"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36840</w:t>
            </w:r>
          </w:p>
        </w:tc>
        <w:tc>
          <w:tcPr>
            <w:tcW w:w="1880" w:type="dxa"/>
            <w:tcBorders>
              <w:top w:val="nil"/>
              <w:left w:val="nil"/>
              <w:bottom w:val="single" w:sz="8" w:space="0" w:color="auto"/>
              <w:right w:val="single" w:sz="8" w:space="0" w:color="auto"/>
            </w:tcBorders>
            <w:noWrap/>
            <w:vAlign w:val="center"/>
            <w:hideMark/>
          </w:tcPr>
          <w:p w14:paraId="25BC624D"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1.04</w:t>
            </w:r>
          </w:p>
        </w:tc>
      </w:tr>
      <w:tr w:rsidR="00E372DB" w:rsidRPr="00A0082E" w14:paraId="5FE9C361" w14:textId="77777777" w:rsidTr="0000789A">
        <w:trPr>
          <w:trHeight w:val="330"/>
        </w:trPr>
        <w:tc>
          <w:tcPr>
            <w:tcW w:w="1600" w:type="dxa"/>
            <w:tcBorders>
              <w:top w:val="nil"/>
              <w:left w:val="single" w:sz="8" w:space="0" w:color="auto"/>
              <w:bottom w:val="single" w:sz="8" w:space="0" w:color="auto"/>
              <w:right w:val="single" w:sz="8" w:space="0" w:color="auto"/>
            </w:tcBorders>
            <w:noWrap/>
            <w:vAlign w:val="center"/>
            <w:hideMark/>
          </w:tcPr>
          <w:p w14:paraId="60E9752E" w14:textId="77777777" w:rsidR="00E372DB" w:rsidRPr="00A0082E" w:rsidRDefault="00E372DB" w:rsidP="0000789A">
            <w:pPr>
              <w:spacing w:after="0" w:line="240" w:lineRule="auto"/>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 xml:space="preserve">           T4</w:t>
            </w:r>
          </w:p>
        </w:tc>
        <w:tc>
          <w:tcPr>
            <w:tcW w:w="2260" w:type="dxa"/>
            <w:tcBorders>
              <w:top w:val="nil"/>
              <w:left w:val="nil"/>
              <w:bottom w:val="single" w:sz="8" w:space="0" w:color="auto"/>
              <w:right w:val="single" w:sz="8" w:space="0" w:color="auto"/>
            </w:tcBorders>
            <w:noWrap/>
            <w:vAlign w:val="center"/>
            <w:hideMark/>
          </w:tcPr>
          <w:p w14:paraId="77413EDF"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36654</w:t>
            </w:r>
          </w:p>
        </w:tc>
        <w:tc>
          <w:tcPr>
            <w:tcW w:w="1760" w:type="dxa"/>
            <w:tcBorders>
              <w:top w:val="nil"/>
              <w:left w:val="nil"/>
              <w:bottom w:val="single" w:sz="8" w:space="0" w:color="auto"/>
              <w:right w:val="single" w:sz="8" w:space="0" w:color="auto"/>
            </w:tcBorders>
            <w:noWrap/>
            <w:vAlign w:val="center"/>
            <w:hideMark/>
          </w:tcPr>
          <w:p w14:paraId="1D15F710"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77990</w:t>
            </w:r>
          </w:p>
        </w:tc>
        <w:tc>
          <w:tcPr>
            <w:tcW w:w="1760" w:type="dxa"/>
            <w:tcBorders>
              <w:top w:val="nil"/>
              <w:left w:val="nil"/>
              <w:bottom w:val="single" w:sz="8" w:space="0" w:color="auto"/>
              <w:right w:val="single" w:sz="8" w:space="0" w:color="auto"/>
            </w:tcBorders>
            <w:noWrap/>
            <w:vAlign w:val="center"/>
            <w:hideMark/>
          </w:tcPr>
          <w:p w14:paraId="6EB3D2A3"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41336</w:t>
            </w:r>
          </w:p>
        </w:tc>
        <w:tc>
          <w:tcPr>
            <w:tcW w:w="1880" w:type="dxa"/>
            <w:tcBorders>
              <w:top w:val="nil"/>
              <w:left w:val="nil"/>
              <w:bottom w:val="single" w:sz="8" w:space="0" w:color="auto"/>
              <w:right w:val="single" w:sz="8" w:space="0" w:color="auto"/>
            </w:tcBorders>
            <w:noWrap/>
            <w:vAlign w:val="center"/>
            <w:hideMark/>
          </w:tcPr>
          <w:p w14:paraId="03A4AF67"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1.13</w:t>
            </w:r>
          </w:p>
        </w:tc>
      </w:tr>
      <w:tr w:rsidR="00E372DB" w:rsidRPr="00A0082E" w14:paraId="73FFF769" w14:textId="77777777" w:rsidTr="0000789A">
        <w:trPr>
          <w:trHeight w:val="330"/>
        </w:trPr>
        <w:tc>
          <w:tcPr>
            <w:tcW w:w="1600" w:type="dxa"/>
            <w:tcBorders>
              <w:top w:val="nil"/>
              <w:left w:val="single" w:sz="8" w:space="0" w:color="auto"/>
              <w:bottom w:val="single" w:sz="8" w:space="0" w:color="auto"/>
              <w:right w:val="single" w:sz="8" w:space="0" w:color="auto"/>
            </w:tcBorders>
            <w:noWrap/>
            <w:vAlign w:val="center"/>
            <w:hideMark/>
          </w:tcPr>
          <w:p w14:paraId="25F94C96" w14:textId="77777777" w:rsidR="00E372DB" w:rsidRPr="00A0082E" w:rsidRDefault="00E372DB" w:rsidP="0000789A">
            <w:pPr>
              <w:spacing w:after="0" w:line="240" w:lineRule="auto"/>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 xml:space="preserve">           T5</w:t>
            </w:r>
          </w:p>
        </w:tc>
        <w:tc>
          <w:tcPr>
            <w:tcW w:w="2260" w:type="dxa"/>
            <w:tcBorders>
              <w:top w:val="nil"/>
              <w:left w:val="nil"/>
              <w:bottom w:val="single" w:sz="8" w:space="0" w:color="auto"/>
              <w:right w:val="single" w:sz="8" w:space="0" w:color="auto"/>
            </w:tcBorders>
            <w:noWrap/>
            <w:vAlign w:val="center"/>
            <w:hideMark/>
          </w:tcPr>
          <w:p w14:paraId="67FBE2FE"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37900</w:t>
            </w:r>
          </w:p>
        </w:tc>
        <w:tc>
          <w:tcPr>
            <w:tcW w:w="1760" w:type="dxa"/>
            <w:tcBorders>
              <w:top w:val="nil"/>
              <w:left w:val="nil"/>
              <w:bottom w:val="single" w:sz="8" w:space="0" w:color="auto"/>
              <w:right w:val="single" w:sz="8" w:space="0" w:color="auto"/>
            </w:tcBorders>
            <w:noWrap/>
            <w:vAlign w:val="center"/>
            <w:hideMark/>
          </w:tcPr>
          <w:p w14:paraId="45401592"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83619</w:t>
            </w:r>
          </w:p>
        </w:tc>
        <w:tc>
          <w:tcPr>
            <w:tcW w:w="1760" w:type="dxa"/>
            <w:tcBorders>
              <w:top w:val="nil"/>
              <w:left w:val="nil"/>
              <w:bottom w:val="single" w:sz="8" w:space="0" w:color="auto"/>
              <w:right w:val="single" w:sz="8" w:space="0" w:color="auto"/>
            </w:tcBorders>
            <w:noWrap/>
            <w:vAlign w:val="center"/>
            <w:hideMark/>
          </w:tcPr>
          <w:p w14:paraId="46886013"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45719</w:t>
            </w:r>
          </w:p>
        </w:tc>
        <w:tc>
          <w:tcPr>
            <w:tcW w:w="1880" w:type="dxa"/>
            <w:tcBorders>
              <w:top w:val="nil"/>
              <w:left w:val="nil"/>
              <w:bottom w:val="single" w:sz="8" w:space="0" w:color="auto"/>
              <w:right w:val="single" w:sz="8" w:space="0" w:color="auto"/>
            </w:tcBorders>
            <w:noWrap/>
            <w:vAlign w:val="center"/>
            <w:hideMark/>
          </w:tcPr>
          <w:p w14:paraId="78DA912A"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1.21</w:t>
            </w:r>
          </w:p>
        </w:tc>
      </w:tr>
      <w:tr w:rsidR="00E372DB" w:rsidRPr="00A0082E" w14:paraId="2AE4C3E2" w14:textId="77777777" w:rsidTr="0000789A">
        <w:trPr>
          <w:trHeight w:val="330"/>
        </w:trPr>
        <w:tc>
          <w:tcPr>
            <w:tcW w:w="1600" w:type="dxa"/>
            <w:tcBorders>
              <w:top w:val="nil"/>
              <w:left w:val="single" w:sz="8" w:space="0" w:color="auto"/>
              <w:bottom w:val="single" w:sz="8" w:space="0" w:color="auto"/>
              <w:right w:val="single" w:sz="8" w:space="0" w:color="auto"/>
            </w:tcBorders>
            <w:noWrap/>
            <w:vAlign w:val="center"/>
            <w:hideMark/>
          </w:tcPr>
          <w:p w14:paraId="3DC35A6D" w14:textId="77777777" w:rsidR="00E372DB" w:rsidRPr="00A0082E" w:rsidRDefault="00E372DB" w:rsidP="0000789A">
            <w:pPr>
              <w:spacing w:after="0" w:line="240" w:lineRule="auto"/>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 xml:space="preserve">           T6</w:t>
            </w:r>
          </w:p>
        </w:tc>
        <w:tc>
          <w:tcPr>
            <w:tcW w:w="2260" w:type="dxa"/>
            <w:tcBorders>
              <w:top w:val="nil"/>
              <w:left w:val="nil"/>
              <w:bottom w:val="single" w:sz="8" w:space="0" w:color="auto"/>
              <w:right w:val="single" w:sz="8" w:space="0" w:color="auto"/>
            </w:tcBorders>
            <w:noWrap/>
            <w:vAlign w:val="center"/>
            <w:hideMark/>
          </w:tcPr>
          <w:p w14:paraId="0A70D501"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38500</w:t>
            </w:r>
          </w:p>
        </w:tc>
        <w:tc>
          <w:tcPr>
            <w:tcW w:w="1760" w:type="dxa"/>
            <w:tcBorders>
              <w:top w:val="nil"/>
              <w:left w:val="nil"/>
              <w:bottom w:val="single" w:sz="8" w:space="0" w:color="auto"/>
              <w:right w:val="single" w:sz="8" w:space="0" w:color="auto"/>
            </w:tcBorders>
            <w:noWrap/>
            <w:vAlign w:val="center"/>
            <w:hideMark/>
          </w:tcPr>
          <w:p w14:paraId="25A82CD4"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88500</w:t>
            </w:r>
          </w:p>
        </w:tc>
        <w:tc>
          <w:tcPr>
            <w:tcW w:w="1760" w:type="dxa"/>
            <w:tcBorders>
              <w:top w:val="nil"/>
              <w:left w:val="nil"/>
              <w:bottom w:val="single" w:sz="8" w:space="0" w:color="auto"/>
              <w:right w:val="single" w:sz="8" w:space="0" w:color="auto"/>
            </w:tcBorders>
            <w:noWrap/>
            <w:vAlign w:val="center"/>
            <w:hideMark/>
          </w:tcPr>
          <w:p w14:paraId="3FCC93F6"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50000</w:t>
            </w:r>
          </w:p>
        </w:tc>
        <w:tc>
          <w:tcPr>
            <w:tcW w:w="1880" w:type="dxa"/>
            <w:tcBorders>
              <w:top w:val="nil"/>
              <w:left w:val="nil"/>
              <w:bottom w:val="single" w:sz="8" w:space="0" w:color="auto"/>
              <w:right w:val="single" w:sz="8" w:space="0" w:color="auto"/>
            </w:tcBorders>
            <w:noWrap/>
            <w:vAlign w:val="center"/>
            <w:hideMark/>
          </w:tcPr>
          <w:p w14:paraId="26552121"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1.3</w:t>
            </w:r>
          </w:p>
        </w:tc>
      </w:tr>
      <w:tr w:rsidR="00E372DB" w:rsidRPr="00A0082E" w14:paraId="26AE2E8A" w14:textId="77777777" w:rsidTr="0000789A">
        <w:trPr>
          <w:trHeight w:val="330"/>
        </w:trPr>
        <w:tc>
          <w:tcPr>
            <w:tcW w:w="1600" w:type="dxa"/>
            <w:tcBorders>
              <w:top w:val="nil"/>
              <w:left w:val="single" w:sz="8" w:space="0" w:color="auto"/>
              <w:bottom w:val="single" w:sz="8" w:space="0" w:color="auto"/>
              <w:right w:val="single" w:sz="8" w:space="0" w:color="auto"/>
            </w:tcBorders>
            <w:noWrap/>
            <w:vAlign w:val="center"/>
            <w:hideMark/>
          </w:tcPr>
          <w:p w14:paraId="253B873A" w14:textId="77777777" w:rsidR="00E372DB" w:rsidRPr="00A0082E" w:rsidRDefault="00E372DB" w:rsidP="0000789A">
            <w:pPr>
              <w:spacing w:after="0" w:line="240" w:lineRule="auto"/>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 xml:space="preserve">           T7</w:t>
            </w:r>
          </w:p>
        </w:tc>
        <w:tc>
          <w:tcPr>
            <w:tcW w:w="2260" w:type="dxa"/>
            <w:tcBorders>
              <w:top w:val="nil"/>
              <w:left w:val="nil"/>
              <w:bottom w:val="single" w:sz="8" w:space="0" w:color="auto"/>
              <w:right w:val="single" w:sz="8" w:space="0" w:color="auto"/>
            </w:tcBorders>
            <w:noWrap/>
            <w:vAlign w:val="center"/>
            <w:hideMark/>
          </w:tcPr>
          <w:p w14:paraId="77BF728A"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38900</w:t>
            </w:r>
          </w:p>
        </w:tc>
        <w:tc>
          <w:tcPr>
            <w:tcW w:w="1760" w:type="dxa"/>
            <w:tcBorders>
              <w:top w:val="nil"/>
              <w:left w:val="nil"/>
              <w:bottom w:val="single" w:sz="8" w:space="0" w:color="auto"/>
              <w:right w:val="single" w:sz="8" w:space="0" w:color="auto"/>
            </w:tcBorders>
            <w:noWrap/>
            <w:vAlign w:val="center"/>
            <w:hideMark/>
          </w:tcPr>
          <w:p w14:paraId="069A1A5D"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92398</w:t>
            </w:r>
          </w:p>
        </w:tc>
        <w:tc>
          <w:tcPr>
            <w:tcW w:w="1760" w:type="dxa"/>
            <w:tcBorders>
              <w:top w:val="nil"/>
              <w:left w:val="nil"/>
              <w:bottom w:val="single" w:sz="8" w:space="0" w:color="auto"/>
              <w:right w:val="single" w:sz="8" w:space="0" w:color="auto"/>
            </w:tcBorders>
            <w:noWrap/>
            <w:vAlign w:val="center"/>
            <w:hideMark/>
          </w:tcPr>
          <w:p w14:paraId="60F20992"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53498</w:t>
            </w:r>
          </w:p>
        </w:tc>
        <w:tc>
          <w:tcPr>
            <w:tcW w:w="1880" w:type="dxa"/>
            <w:tcBorders>
              <w:top w:val="nil"/>
              <w:left w:val="nil"/>
              <w:bottom w:val="single" w:sz="8" w:space="0" w:color="auto"/>
              <w:right w:val="single" w:sz="8" w:space="0" w:color="auto"/>
            </w:tcBorders>
            <w:noWrap/>
            <w:vAlign w:val="center"/>
            <w:hideMark/>
          </w:tcPr>
          <w:p w14:paraId="40661130"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1.38</w:t>
            </w:r>
          </w:p>
        </w:tc>
      </w:tr>
      <w:tr w:rsidR="00E372DB" w:rsidRPr="00A0082E" w14:paraId="0F5A9F89" w14:textId="77777777" w:rsidTr="0000789A">
        <w:trPr>
          <w:trHeight w:val="330"/>
        </w:trPr>
        <w:tc>
          <w:tcPr>
            <w:tcW w:w="1600" w:type="dxa"/>
            <w:tcBorders>
              <w:top w:val="nil"/>
              <w:left w:val="single" w:sz="8" w:space="0" w:color="auto"/>
              <w:bottom w:val="single" w:sz="8" w:space="0" w:color="auto"/>
              <w:right w:val="single" w:sz="8" w:space="0" w:color="auto"/>
            </w:tcBorders>
            <w:noWrap/>
            <w:vAlign w:val="center"/>
            <w:hideMark/>
          </w:tcPr>
          <w:p w14:paraId="033C1E48" w14:textId="77777777" w:rsidR="00E372DB" w:rsidRPr="00A0082E" w:rsidRDefault="00E372DB" w:rsidP="0000789A">
            <w:pPr>
              <w:spacing w:after="0" w:line="240" w:lineRule="auto"/>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 xml:space="preserve">           T8</w:t>
            </w:r>
          </w:p>
        </w:tc>
        <w:tc>
          <w:tcPr>
            <w:tcW w:w="2260" w:type="dxa"/>
            <w:tcBorders>
              <w:top w:val="nil"/>
              <w:left w:val="nil"/>
              <w:bottom w:val="single" w:sz="8" w:space="0" w:color="auto"/>
              <w:right w:val="single" w:sz="8" w:space="0" w:color="auto"/>
            </w:tcBorders>
            <w:noWrap/>
            <w:vAlign w:val="center"/>
            <w:hideMark/>
          </w:tcPr>
          <w:p w14:paraId="346261D6"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40089</w:t>
            </w:r>
          </w:p>
        </w:tc>
        <w:tc>
          <w:tcPr>
            <w:tcW w:w="1760" w:type="dxa"/>
            <w:tcBorders>
              <w:top w:val="nil"/>
              <w:left w:val="nil"/>
              <w:bottom w:val="single" w:sz="8" w:space="0" w:color="auto"/>
              <w:right w:val="single" w:sz="8" w:space="0" w:color="auto"/>
            </w:tcBorders>
            <w:noWrap/>
            <w:vAlign w:val="center"/>
            <w:hideMark/>
          </w:tcPr>
          <w:p w14:paraId="3D5012A1"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99813</w:t>
            </w:r>
          </w:p>
        </w:tc>
        <w:tc>
          <w:tcPr>
            <w:tcW w:w="1760" w:type="dxa"/>
            <w:tcBorders>
              <w:top w:val="nil"/>
              <w:left w:val="nil"/>
              <w:bottom w:val="single" w:sz="8" w:space="0" w:color="auto"/>
              <w:right w:val="single" w:sz="8" w:space="0" w:color="auto"/>
            </w:tcBorders>
            <w:noWrap/>
            <w:vAlign w:val="center"/>
            <w:hideMark/>
          </w:tcPr>
          <w:p w14:paraId="43E78AB2"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59724</w:t>
            </w:r>
          </w:p>
        </w:tc>
        <w:tc>
          <w:tcPr>
            <w:tcW w:w="1880" w:type="dxa"/>
            <w:tcBorders>
              <w:top w:val="nil"/>
              <w:left w:val="nil"/>
              <w:bottom w:val="single" w:sz="8" w:space="0" w:color="auto"/>
              <w:right w:val="single" w:sz="8" w:space="0" w:color="auto"/>
            </w:tcBorders>
            <w:noWrap/>
            <w:vAlign w:val="center"/>
            <w:hideMark/>
          </w:tcPr>
          <w:p w14:paraId="24C0B132"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1.49</w:t>
            </w:r>
          </w:p>
        </w:tc>
      </w:tr>
      <w:tr w:rsidR="00E372DB" w:rsidRPr="00A0082E" w14:paraId="2C9E941C" w14:textId="77777777" w:rsidTr="0000789A">
        <w:trPr>
          <w:trHeight w:val="330"/>
        </w:trPr>
        <w:tc>
          <w:tcPr>
            <w:tcW w:w="1600" w:type="dxa"/>
            <w:tcBorders>
              <w:top w:val="nil"/>
              <w:left w:val="single" w:sz="8" w:space="0" w:color="auto"/>
              <w:bottom w:val="single" w:sz="8" w:space="0" w:color="auto"/>
              <w:right w:val="single" w:sz="8" w:space="0" w:color="auto"/>
            </w:tcBorders>
            <w:noWrap/>
            <w:vAlign w:val="center"/>
            <w:hideMark/>
          </w:tcPr>
          <w:p w14:paraId="22A7127A" w14:textId="77777777" w:rsidR="00E372DB" w:rsidRPr="00A0082E" w:rsidRDefault="00E372DB" w:rsidP="0000789A">
            <w:pPr>
              <w:spacing w:after="0" w:line="240" w:lineRule="auto"/>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 xml:space="preserve">           T9</w:t>
            </w:r>
          </w:p>
        </w:tc>
        <w:tc>
          <w:tcPr>
            <w:tcW w:w="2260" w:type="dxa"/>
            <w:tcBorders>
              <w:top w:val="nil"/>
              <w:left w:val="nil"/>
              <w:bottom w:val="single" w:sz="8" w:space="0" w:color="auto"/>
              <w:right w:val="single" w:sz="8" w:space="0" w:color="auto"/>
            </w:tcBorders>
            <w:noWrap/>
            <w:vAlign w:val="center"/>
            <w:hideMark/>
          </w:tcPr>
          <w:p w14:paraId="7E7CA5A3"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42056</w:t>
            </w:r>
          </w:p>
        </w:tc>
        <w:tc>
          <w:tcPr>
            <w:tcW w:w="1760" w:type="dxa"/>
            <w:tcBorders>
              <w:top w:val="nil"/>
              <w:left w:val="nil"/>
              <w:bottom w:val="single" w:sz="8" w:space="0" w:color="auto"/>
              <w:right w:val="single" w:sz="8" w:space="0" w:color="auto"/>
            </w:tcBorders>
            <w:noWrap/>
            <w:vAlign w:val="center"/>
            <w:hideMark/>
          </w:tcPr>
          <w:p w14:paraId="0EEB5DD2"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125187</w:t>
            </w:r>
          </w:p>
        </w:tc>
        <w:tc>
          <w:tcPr>
            <w:tcW w:w="1760" w:type="dxa"/>
            <w:tcBorders>
              <w:top w:val="nil"/>
              <w:left w:val="nil"/>
              <w:bottom w:val="single" w:sz="8" w:space="0" w:color="auto"/>
              <w:right w:val="single" w:sz="8" w:space="0" w:color="auto"/>
            </w:tcBorders>
            <w:noWrap/>
            <w:vAlign w:val="center"/>
            <w:hideMark/>
          </w:tcPr>
          <w:p w14:paraId="767B01A6"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83131</w:t>
            </w:r>
          </w:p>
        </w:tc>
        <w:tc>
          <w:tcPr>
            <w:tcW w:w="1880" w:type="dxa"/>
            <w:tcBorders>
              <w:top w:val="nil"/>
              <w:left w:val="nil"/>
              <w:bottom w:val="single" w:sz="8" w:space="0" w:color="auto"/>
              <w:right w:val="single" w:sz="8" w:space="0" w:color="auto"/>
            </w:tcBorders>
            <w:noWrap/>
            <w:vAlign w:val="center"/>
            <w:hideMark/>
          </w:tcPr>
          <w:p w14:paraId="67FB3EA1" w14:textId="77777777" w:rsidR="00E372DB" w:rsidRPr="00A0082E" w:rsidRDefault="00E372DB" w:rsidP="0000789A">
            <w:pPr>
              <w:spacing w:after="0" w:line="240" w:lineRule="auto"/>
              <w:jc w:val="center"/>
              <w:rPr>
                <w:rFonts w:ascii="Times New Roman" w:eastAsia="Times New Roman" w:hAnsi="Times New Roman" w:cs="Times New Roman"/>
                <w:color w:val="000000"/>
                <w:sz w:val="24"/>
                <w:szCs w:val="24"/>
                <w:lang w:bidi="hi-IN"/>
              </w:rPr>
            </w:pPr>
            <w:r w:rsidRPr="00A0082E">
              <w:rPr>
                <w:rFonts w:ascii="Times New Roman" w:eastAsia="Times New Roman" w:hAnsi="Times New Roman" w:cs="Times New Roman"/>
                <w:color w:val="000000"/>
                <w:sz w:val="24"/>
                <w:szCs w:val="24"/>
                <w:lang w:bidi="hi-IN"/>
              </w:rPr>
              <w:t>1.98</w:t>
            </w:r>
          </w:p>
        </w:tc>
      </w:tr>
    </w:tbl>
    <w:p w14:paraId="5AA4C60B" w14:textId="77777777" w:rsidR="00E372DB" w:rsidRPr="00E372DB" w:rsidRDefault="00E372DB" w:rsidP="00E372DB">
      <w:pPr>
        <w:spacing w:before="100" w:beforeAutospacing="1" w:after="100" w:afterAutospacing="1" w:line="240" w:lineRule="auto"/>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*B:C: benefit-cost ratio</w:t>
      </w:r>
    </w:p>
    <w:p w14:paraId="7E4E85F5" w14:textId="77777777" w:rsidR="00E372DB" w:rsidRPr="00E372DB" w:rsidRDefault="00E372DB" w:rsidP="00E372DB">
      <w:pPr>
        <w:spacing w:before="100" w:beforeAutospacing="1" w:after="100" w:afterAutospacing="1" w:line="240" w:lineRule="auto"/>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t>Gross return (₹ ha</w:t>
      </w:r>
      <w:r w:rsidRPr="00E372DB">
        <w:rPr>
          <w:rFonts w:ascii="Cambria Math" w:eastAsia="Times New Roman" w:hAnsi="Cambria Math" w:cs="Cambria Math"/>
          <w:b/>
          <w:bCs/>
          <w:sz w:val="24"/>
          <w:szCs w:val="24"/>
          <w:lang w:bidi="hi-IN"/>
        </w:rPr>
        <w:t>⁻</w:t>
      </w:r>
      <w:r w:rsidRPr="00E372DB">
        <w:rPr>
          <w:rFonts w:ascii="Times New Roman" w:eastAsia="Times New Roman" w:hAnsi="Times New Roman" w:cs="Times New Roman"/>
          <w:b/>
          <w:bCs/>
          <w:sz w:val="24"/>
          <w:szCs w:val="24"/>
          <w:lang w:bidi="hi-IN"/>
        </w:rPr>
        <w:t xml:space="preserve">¹) </w:t>
      </w:r>
    </w:p>
    <w:p w14:paraId="257612C6"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 xml:space="preserve">A significant increase in the gross return was observed with phosphorus and zinc sources. The more gross return was observed in T9, Rs. 125187 and lesser gross return was reported in T0, Rs. 49369 (control). </w:t>
      </w:r>
      <w:r w:rsidRPr="00E372DB">
        <w:rPr>
          <w:rFonts w:ascii="Times New Roman" w:eastAsia="Times New Roman" w:hAnsi="Times New Roman" w:cs="Times New Roman"/>
          <w:b/>
          <w:bCs/>
          <w:sz w:val="24"/>
          <w:szCs w:val="24"/>
          <w:lang w:bidi="hi-IN"/>
        </w:rPr>
        <w:t xml:space="preserve">[42] </w:t>
      </w:r>
      <w:r w:rsidRPr="00E372DB">
        <w:rPr>
          <w:rFonts w:ascii="Times New Roman" w:eastAsia="Times New Roman" w:hAnsi="Times New Roman" w:cs="Times New Roman"/>
          <w:sz w:val="24"/>
          <w:szCs w:val="24"/>
          <w:lang w:bidi="hi-IN"/>
        </w:rPr>
        <w:t>reports that the gross return increases with a fertilizer dose.</w:t>
      </w:r>
    </w:p>
    <w:p w14:paraId="3DBAF8B1" w14:textId="77777777" w:rsid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t>Net return (₹ ha</w:t>
      </w:r>
      <w:r w:rsidRPr="00E372DB">
        <w:rPr>
          <w:rFonts w:ascii="Cambria Math" w:eastAsia="Times New Roman" w:hAnsi="Cambria Math" w:cs="Cambria Math"/>
          <w:b/>
          <w:bCs/>
          <w:sz w:val="24"/>
          <w:szCs w:val="24"/>
          <w:lang w:bidi="hi-IN"/>
        </w:rPr>
        <w:t>⁻</w:t>
      </w:r>
      <w:r w:rsidRPr="00E372DB">
        <w:rPr>
          <w:rFonts w:ascii="Times New Roman" w:eastAsia="Times New Roman" w:hAnsi="Times New Roman" w:cs="Times New Roman"/>
          <w:b/>
          <w:bCs/>
          <w:sz w:val="24"/>
          <w:szCs w:val="24"/>
          <w:lang w:bidi="hi-IN"/>
        </w:rPr>
        <w:t xml:space="preserve">¹) </w:t>
      </w:r>
      <w:r w:rsidRPr="00E372DB">
        <w:rPr>
          <w:rFonts w:ascii="Times New Roman" w:eastAsia="Times New Roman" w:hAnsi="Times New Roman" w:cs="Times New Roman"/>
          <w:sz w:val="24"/>
          <w:szCs w:val="24"/>
          <w:lang w:bidi="hi-IN"/>
        </w:rPr>
        <w:t xml:space="preserve">A] recorded a significant increase in the gross return was observed with an increased seed rate. The maximum net return was observed in the T9 return; the least benefit-cost was observed in T0 (control). </w:t>
      </w:r>
      <w:r w:rsidRPr="00E372DB">
        <w:rPr>
          <w:rFonts w:ascii="Times New Roman" w:eastAsia="Times New Roman" w:hAnsi="Times New Roman" w:cs="Times New Roman"/>
          <w:b/>
          <w:bCs/>
          <w:sz w:val="24"/>
          <w:szCs w:val="24"/>
          <w:lang w:bidi="hi-IN"/>
        </w:rPr>
        <w:t>[43, 44] recorded</w:t>
      </w:r>
      <w:r w:rsidRPr="00E372DB">
        <w:rPr>
          <w:rFonts w:ascii="Times New Roman" w:eastAsia="Times New Roman" w:hAnsi="Times New Roman" w:cs="Times New Roman"/>
          <w:sz w:val="24"/>
          <w:szCs w:val="24"/>
          <w:lang w:bidi="hi-IN"/>
        </w:rPr>
        <w:t xml:space="preserve"> that the net return increases with an increased dose of fertilizer. The graphical presentation of gross return, net return, and benefit-cost ratio is given below.</w:t>
      </w:r>
    </w:p>
    <w:p w14:paraId="48E37212" w14:textId="77777777" w:rsidR="00E372DB" w:rsidRPr="00E372DB" w:rsidRDefault="00E372DB" w:rsidP="00E372DB">
      <w:pPr>
        <w:spacing w:before="100" w:beforeAutospacing="1" w:after="100" w:afterAutospacing="1" w:line="240" w:lineRule="auto"/>
        <w:rPr>
          <w:rFonts w:ascii="Times New Roman" w:eastAsia="Times New Roman" w:hAnsi="Times New Roman" w:cs="Times New Roman"/>
          <w:sz w:val="24"/>
          <w:szCs w:val="24"/>
          <w:lang w:bidi="hi-IN"/>
        </w:rPr>
      </w:pPr>
      <w:r>
        <w:rPr>
          <w:noProof/>
          <w:lang w:bidi="hi-IN"/>
        </w:rPr>
        <w:lastRenderedPageBreak/>
        <w:drawing>
          <wp:inline distT="0" distB="0" distL="0" distR="0" wp14:anchorId="227E912A" wp14:editId="6C93C43C">
            <wp:extent cx="2825750" cy="1739900"/>
            <wp:effectExtent l="0" t="0" r="12700" b="127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rFonts w:ascii="Times New Roman" w:eastAsia="Times New Roman" w:hAnsi="Times New Roman" w:cs="Times New Roman"/>
          <w:sz w:val="24"/>
          <w:szCs w:val="24"/>
          <w:lang w:bidi="hi-IN"/>
        </w:rPr>
        <w:t xml:space="preserve">                         </w:t>
      </w:r>
      <w:r>
        <w:rPr>
          <w:noProof/>
          <w:lang w:bidi="hi-IN"/>
        </w:rPr>
        <w:drawing>
          <wp:inline distT="0" distB="0" distL="0" distR="0" wp14:anchorId="65ABC885" wp14:editId="0A388A9C">
            <wp:extent cx="2095500" cy="1689100"/>
            <wp:effectExtent l="0" t="0" r="0" b="635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89BF939" w14:textId="77777777" w:rsidR="00E372DB" w:rsidRPr="00E372DB" w:rsidRDefault="00E372DB" w:rsidP="00E372DB">
      <w:pPr>
        <w:pStyle w:val="ListParagraph"/>
        <w:numPr>
          <w:ilvl w:val="0"/>
          <w:numId w:val="5"/>
        </w:numPr>
        <w:spacing w:before="100" w:beforeAutospacing="1" w:after="100" w:afterAutospacing="1" w:line="240" w:lineRule="auto"/>
        <w:rPr>
          <w:rFonts w:ascii="Times New Roman" w:eastAsia="Times New Roman" w:hAnsi="Times New Roman" w:cs="Times New Roman"/>
          <w:sz w:val="24"/>
          <w:szCs w:val="24"/>
          <w:lang w:bidi="hi-IN"/>
        </w:rPr>
      </w:pPr>
      <w:r>
        <w:rPr>
          <w:rFonts w:ascii="Times New Roman" w:eastAsia="Times New Roman" w:hAnsi="Times New Roman" w:cs="Times New Roman"/>
          <w:b/>
          <w:bCs/>
          <w:sz w:val="24"/>
          <w:szCs w:val="24"/>
          <w:lang w:bidi="hi-IN"/>
        </w:rPr>
        <w:t xml:space="preserve">                                                                                                 </w:t>
      </w:r>
      <w:r w:rsidRPr="00E372DB">
        <w:rPr>
          <w:rFonts w:ascii="Times New Roman" w:eastAsia="Times New Roman" w:hAnsi="Times New Roman" w:cs="Times New Roman"/>
          <w:b/>
          <w:bCs/>
          <w:sz w:val="24"/>
          <w:szCs w:val="24"/>
          <w:lang w:bidi="hi-IN"/>
        </w:rPr>
        <w:t xml:space="preserve"> (b)</w:t>
      </w:r>
    </w:p>
    <w:p w14:paraId="72B4F3FE" w14:textId="77777777" w:rsidR="00E372DB" w:rsidRPr="00E372DB" w:rsidRDefault="00E372DB" w:rsidP="00E372DB">
      <w:pPr>
        <w:spacing w:before="100" w:beforeAutospacing="1" w:after="100" w:afterAutospacing="1" w:line="240" w:lineRule="auto"/>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t>Fig.</w:t>
      </w:r>
      <w:r w:rsidRPr="00E372DB">
        <w:rPr>
          <w:rFonts w:ascii="Times New Roman" w:eastAsia="Times New Roman" w:hAnsi="Times New Roman" w:cs="Times New Roman"/>
          <w:sz w:val="24"/>
          <w:szCs w:val="24"/>
          <w:lang w:bidi="hi-IN"/>
        </w:rPr>
        <w:t xml:space="preserve"> 4. (a) &amp; (b) Effect of Phosphorus and Zinc on Gross Returns, Net Returns, and Benefit-Cost Ratio of Chickpea</w:t>
      </w:r>
    </w:p>
    <w:p w14:paraId="230153E2"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The maximum net returns (83131 ha-1) and B:</w:t>
      </w:r>
      <w:r w:rsidR="00887192">
        <w:rPr>
          <w:rFonts w:ascii="Times New Roman" w:eastAsia="Times New Roman" w:hAnsi="Times New Roman" w:cs="Times New Roman"/>
          <w:sz w:val="24"/>
          <w:szCs w:val="24"/>
          <w:lang w:bidi="hi-IN"/>
        </w:rPr>
        <w:t xml:space="preserve"> </w:t>
      </w:r>
      <w:r w:rsidRPr="00E372DB">
        <w:rPr>
          <w:rFonts w:ascii="Times New Roman" w:eastAsia="Times New Roman" w:hAnsi="Times New Roman" w:cs="Times New Roman"/>
          <w:sz w:val="24"/>
          <w:szCs w:val="24"/>
          <w:lang w:bidi="hi-IN"/>
        </w:rPr>
        <w:t>C ratio (1.98) were recorded in T9 and net returns (18948 ha-1) and B:C ratio (0.62) were recorded in control T0. Similar observations were found by [45].</w:t>
      </w:r>
    </w:p>
    <w:p w14:paraId="04FBBB47"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t>Conclusion and Recommendation</w:t>
      </w:r>
    </w:p>
    <w:p w14:paraId="484C52C8" w14:textId="77777777" w:rsidR="00E372DB" w:rsidRPr="00E372DB" w:rsidRDefault="00E372DB" w:rsidP="00E372DB">
      <w:pPr>
        <w:spacing w:before="100" w:beforeAutospacing="1" w:after="100" w:afterAutospacing="1" w:line="240" w:lineRule="auto"/>
        <w:jc w:val="both"/>
        <w:rPr>
          <w:rFonts w:ascii="Times New Roman" w:eastAsia="Times New Roman" w:hAnsi="Times New Roman" w:cs="Times New Roman"/>
          <w:sz w:val="24"/>
          <w:szCs w:val="24"/>
          <w:lang w:bidi="hi-IN"/>
        </w:rPr>
      </w:pPr>
      <w:r w:rsidRPr="00E372DB">
        <w:rPr>
          <w:rFonts w:ascii="Times New Roman" w:eastAsia="Times New Roman" w:hAnsi="Times New Roman" w:cs="Times New Roman"/>
          <w:sz w:val="24"/>
          <w:szCs w:val="24"/>
          <w:lang w:bidi="hi-IN"/>
        </w:rPr>
        <w:t>Chickpea is one of the oldest legume crops, and it’s the second most important crop worldwide. Chickpeas serve as a rich source of protein, fiber, and vitamins and are a staple food for vegetarian people. Indian farmers prefer growing chickpeas as compared to other pulses because of their easy cultivation, good yields, and better adaptability to the various cropping systems. The findings of the study experiment revealed that the combination of zinc and phosphorus has shown positive results on yield. The application of zinc significantly increased the yield of attributing characters in chickpeas. The yield of a crop is the cumulative effect on yield attributable to characters such as pods per plant. This is due to the increased supply of available zinc to plants through its addition to the soil. Zinc is involved in starch formation, growth-promoting substances like auxin, seed maturation and production, and also plays a vital role in protein synthesis. The increase in yield and yield attributes might be due to active biotic role of phosphorus in metabolic processes of plants and photosynthesis and tended to increase flowering, fruiting and grain formation which ultimately increased the yield attributes and yield. The increase in grain and straw yield due to phosphorus seems to be due to the cumulative effect of yield attributes and possibly is a result of effective uptake and utilization of nutrients observed through its extensive root system developed under adequate phosphorus supply.</w:t>
      </w:r>
    </w:p>
    <w:p w14:paraId="33787817" w14:textId="77777777" w:rsidR="00EC7931" w:rsidRDefault="00EC7931" w:rsidP="00EC7931">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2FA3DB0E" w14:textId="77777777" w:rsidR="00EC7931" w:rsidRDefault="00EC7931" w:rsidP="00EC7931">
      <w:pPr>
        <w:spacing w:after="0" w:line="240" w:lineRule="auto"/>
        <w:rPr>
          <w:rFonts w:ascii="Times New Roman" w:hAnsi="Times New Roman" w:cs="Times New Roman"/>
          <w:b/>
        </w:rPr>
      </w:pPr>
    </w:p>
    <w:p w14:paraId="3C17739D" w14:textId="77777777" w:rsidR="00EC7931" w:rsidRDefault="00EC7931" w:rsidP="00EC7931">
      <w:pPr>
        <w:spacing w:after="0" w:line="240" w:lineRule="auto"/>
        <w:rPr>
          <w:rFonts w:ascii="Times New Roman" w:hAnsi="Times New Roman" w:cs="Times New Roman"/>
          <w:b/>
        </w:rPr>
      </w:pPr>
    </w:p>
    <w:p w14:paraId="6ABB2B78" w14:textId="77777777" w:rsidR="00EC7931" w:rsidRDefault="00EC7931" w:rsidP="00EC7931">
      <w:pPr>
        <w:spacing w:after="0" w:line="240" w:lineRule="auto"/>
        <w:rPr>
          <w:rFonts w:ascii="Times New Roman" w:hAnsi="Times New Roman" w:cs="Times New Roman"/>
          <w:b/>
        </w:rPr>
      </w:pPr>
    </w:p>
    <w:p w14:paraId="297F87D7" w14:textId="77777777" w:rsidR="00EC7931" w:rsidRPr="002D08AC" w:rsidRDefault="00EC7931" w:rsidP="00EC7931">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3BA771D" w14:textId="77777777" w:rsidR="00EC7931" w:rsidRPr="00E372DB" w:rsidRDefault="00EC7931" w:rsidP="00E372DB">
      <w:pPr>
        <w:spacing w:before="100" w:beforeAutospacing="1" w:after="100" w:afterAutospacing="1" w:line="240" w:lineRule="auto"/>
        <w:jc w:val="both"/>
        <w:rPr>
          <w:rFonts w:ascii="Times New Roman" w:eastAsia="Times New Roman" w:hAnsi="Times New Roman" w:cs="Times New Roman"/>
          <w:sz w:val="24"/>
          <w:szCs w:val="24"/>
          <w:lang w:bidi="hi-IN"/>
        </w:rPr>
      </w:pPr>
    </w:p>
    <w:p w14:paraId="2437D4D0" w14:textId="77777777" w:rsidR="00E372DB" w:rsidRPr="00E372DB" w:rsidRDefault="00E372DB" w:rsidP="00E372DB">
      <w:pPr>
        <w:spacing w:before="100" w:beforeAutospacing="1" w:after="100" w:afterAutospacing="1" w:line="240" w:lineRule="auto"/>
        <w:rPr>
          <w:rFonts w:ascii="Times New Roman" w:eastAsia="Times New Roman" w:hAnsi="Times New Roman" w:cs="Times New Roman"/>
          <w:sz w:val="24"/>
          <w:szCs w:val="24"/>
          <w:lang w:bidi="hi-IN"/>
        </w:rPr>
      </w:pPr>
      <w:r w:rsidRPr="00E372DB">
        <w:rPr>
          <w:rFonts w:ascii="Times New Roman" w:eastAsia="Times New Roman" w:hAnsi="Times New Roman" w:cs="Times New Roman"/>
          <w:b/>
          <w:bCs/>
          <w:sz w:val="24"/>
          <w:szCs w:val="24"/>
          <w:lang w:bidi="hi-IN"/>
        </w:rPr>
        <w:t>REFERENCES</w:t>
      </w:r>
    </w:p>
    <w:p w14:paraId="0CEBEEA8"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Muehlbauer, Frederick, and Sarker, Ashutosh (2017). Economic Importance of Chickpea: Production, Value, and World Trade, 978-3-319-66115-5, doi.10.1007/978-3-319-66117-9_2</w:t>
      </w:r>
    </w:p>
    <w:p w14:paraId="522F5442"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 xml:space="preserve">Ullah, Aman, Farooq, Muhammad, Hussain, </w:t>
      </w:r>
      <w:proofErr w:type="spellStart"/>
      <w:r w:rsidRPr="00E372DB">
        <w:rPr>
          <w:rFonts w:ascii="Times New Roman" w:eastAsia="Times New Roman" w:hAnsi="Times New Roman" w:cs="Times New Roman"/>
          <w:lang w:bidi="hi-IN"/>
        </w:rPr>
        <w:t>Mubshar</w:t>
      </w:r>
      <w:proofErr w:type="spellEnd"/>
      <w:r w:rsidRPr="00E372DB">
        <w:rPr>
          <w:rFonts w:ascii="Times New Roman" w:eastAsia="Times New Roman" w:hAnsi="Times New Roman" w:cs="Times New Roman"/>
          <w:lang w:bidi="hi-IN"/>
        </w:rPr>
        <w:t>, Ahmad, Riaz, Wakeel, Abdul (2019). Zinc Seed Coating Improves Emergence and Seedling Growth in Desi and Kabuli Chickpea Types but Shows Toxicity at Higher Concentration, International Journal of Agriculture and Biology, VL - 21, Pp 553-559</w:t>
      </w:r>
    </w:p>
    <w:p w14:paraId="7CC04EC6"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Chavan, J.K., Kadam, S.S., and Salunkhe, D.K. (1986). Biochemistry and technology of chickpea (</w:t>
      </w:r>
      <w:r w:rsidRPr="00E372DB">
        <w:rPr>
          <w:rFonts w:ascii="Times New Roman" w:eastAsia="Times New Roman" w:hAnsi="Times New Roman" w:cs="Times New Roman"/>
          <w:i/>
          <w:iCs/>
          <w:lang w:bidi="hi-IN"/>
        </w:rPr>
        <w:t>Cicer arietinum</w:t>
      </w:r>
      <w:r w:rsidRPr="00E372DB">
        <w:rPr>
          <w:rFonts w:ascii="Times New Roman" w:eastAsia="Times New Roman" w:hAnsi="Times New Roman" w:cs="Times New Roman"/>
          <w:lang w:bidi="hi-IN"/>
        </w:rPr>
        <w:t xml:space="preserve"> L.) seeds. CRC Critical Reviews in Food Science and Nutrition, 25, 107–132.</w:t>
      </w:r>
    </w:p>
    <w:p w14:paraId="789B0A39"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 xml:space="preserve">Sharma, S., Yadav, </w:t>
      </w:r>
      <w:proofErr w:type="spellStart"/>
      <w:r w:rsidRPr="00E372DB">
        <w:rPr>
          <w:rFonts w:ascii="Times New Roman" w:eastAsia="Times New Roman" w:hAnsi="Times New Roman" w:cs="Times New Roman"/>
          <w:lang w:bidi="hi-IN"/>
        </w:rPr>
        <w:t>N.,Singh</w:t>
      </w:r>
      <w:proofErr w:type="spellEnd"/>
      <w:r w:rsidRPr="00E372DB">
        <w:rPr>
          <w:rFonts w:ascii="Times New Roman" w:eastAsia="Times New Roman" w:hAnsi="Times New Roman" w:cs="Times New Roman"/>
          <w:lang w:bidi="hi-IN"/>
        </w:rPr>
        <w:t>, A. and Kumar, R. (2013) Nutritional and antinutritional profile of newly developed chickpea (</w:t>
      </w:r>
      <w:r w:rsidRPr="00E372DB">
        <w:rPr>
          <w:rFonts w:ascii="Times New Roman" w:eastAsia="Times New Roman" w:hAnsi="Times New Roman" w:cs="Times New Roman"/>
          <w:i/>
          <w:iCs/>
          <w:lang w:bidi="hi-IN"/>
        </w:rPr>
        <w:t>Cicer arietinum</w:t>
      </w:r>
      <w:r w:rsidRPr="00E372DB">
        <w:rPr>
          <w:rFonts w:ascii="Times New Roman" w:eastAsia="Times New Roman" w:hAnsi="Times New Roman" w:cs="Times New Roman"/>
          <w:lang w:bidi="hi-IN"/>
        </w:rPr>
        <w:t xml:space="preserve"> L) varieties International Food Research Journal 20(2):Pp 805-810</w:t>
      </w:r>
    </w:p>
    <w:p w14:paraId="6EE41621"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Saini, H.S. and Knights, E.J. 1984. Chemical constitution of starch and oligosaccharide components of Desi and Kabuli chickpea (</w:t>
      </w:r>
      <w:r w:rsidRPr="00E372DB">
        <w:rPr>
          <w:rFonts w:ascii="Times New Roman" w:eastAsia="Times New Roman" w:hAnsi="Times New Roman" w:cs="Times New Roman"/>
          <w:i/>
          <w:iCs/>
          <w:lang w:bidi="hi-IN"/>
        </w:rPr>
        <w:t>Cicer arietinum</w:t>
      </w:r>
      <w:r w:rsidRPr="00E372DB">
        <w:rPr>
          <w:rFonts w:ascii="Times New Roman" w:eastAsia="Times New Roman" w:hAnsi="Times New Roman" w:cs="Times New Roman"/>
          <w:lang w:bidi="hi-IN"/>
        </w:rPr>
        <w:t>) seed types. Journal of Agricultural and Food Chemistry 32: pp. 940-944.</w:t>
      </w:r>
    </w:p>
    <w:p w14:paraId="3F31DFB5"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 xml:space="preserve">Ming, Tao Zhang , Bo Jiang (2009) </w:t>
      </w:r>
      <w:proofErr w:type="spellStart"/>
      <w:r w:rsidRPr="00E372DB">
        <w:rPr>
          <w:rFonts w:ascii="Times New Roman" w:eastAsia="Times New Roman" w:hAnsi="Times New Roman" w:cs="Times New Roman"/>
          <w:lang w:bidi="hi-IN"/>
        </w:rPr>
        <w:t>Characterisations</w:t>
      </w:r>
      <w:proofErr w:type="spellEnd"/>
      <w:r w:rsidRPr="00E372DB">
        <w:rPr>
          <w:rFonts w:ascii="Times New Roman" w:eastAsia="Times New Roman" w:hAnsi="Times New Roman" w:cs="Times New Roman"/>
          <w:lang w:bidi="hi-IN"/>
        </w:rPr>
        <w:t xml:space="preserve"> of </w:t>
      </w:r>
      <w:proofErr w:type="spellStart"/>
      <w:r w:rsidRPr="00E372DB">
        <w:rPr>
          <w:rFonts w:ascii="Times New Roman" w:eastAsia="Times New Roman" w:hAnsi="Times New Roman" w:cs="Times New Roman"/>
          <w:lang w:bidi="hi-IN"/>
        </w:rPr>
        <w:t>kabuli</w:t>
      </w:r>
      <w:proofErr w:type="spellEnd"/>
      <w:r w:rsidRPr="00E372DB">
        <w:rPr>
          <w:rFonts w:ascii="Times New Roman" w:eastAsia="Times New Roman" w:hAnsi="Times New Roman" w:cs="Times New Roman"/>
          <w:lang w:bidi="hi-IN"/>
        </w:rPr>
        <w:t xml:space="preserve"> and desi chickpea starches cultivated in China, </w:t>
      </w:r>
      <w:hyperlink r:id="rId12" w:tgtFrame="_blank" w:history="1">
        <w:r w:rsidRPr="00E372DB">
          <w:rPr>
            <w:rFonts w:ascii="Times New Roman" w:eastAsia="Times New Roman" w:hAnsi="Times New Roman" w:cs="Times New Roman"/>
            <w:color w:val="0000FF"/>
            <w:u w:val="single"/>
            <w:lang w:bidi="hi-IN"/>
          </w:rPr>
          <w:t>Food Chemistry</w:t>
        </w:r>
      </w:hyperlink>
      <w:r w:rsidRPr="00E372DB">
        <w:rPr>
          <w:rFonts w:ascii="Times New Roman" w:eastAsia="Times New Roman" w:hAnsi="Times New Roman" w:cs="Times New Roman"/>
          <w:lang w:bidi="hi-IN"/>
        </w:rPr>
        <w:t xml:space="preserve">, </w:t>
      </w:r>
      <w:hyperlink r:id="rId13" w:tgtFrame="_blank" w:history="1">
        <w:r w:rsidRPr="00E372DB">
          <w:rPr>
            <w:rFonts w:ascii="Times New Roman" w:eastAsia="Times New Roman" w:hAnsi="Times New Roman" w:cs="Times New Roman"/>
            <w:color w:val="0000FF"/>
            <w:u w:val="single"/>
            <w:lang w:bidi="hi-IN"/>
          </w:rPr>
          <w:t xml:space="preserve">Vol. 113, </w:t>
        </w:r>
      </w:hyperlink>
      <w:r w:rsidRPr="00E372DB">
        <w:rPr>
          <w:rFonts w:ascii="Times New Roman" w:eastAsia="Times New Roman" w:hAnsi="Times New Roman" w:cs="Times New Roman"/>
          <w:lang w:bidi="hi-IN"/>
        </w:rPr>
        <w:t>Pages 1025-1032</w:t>
      </w:r>
    </w:p>
    <w:p w14:paraId="775FF5FF"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proofErr w:type="spellStart"/>
      <w:r w:rsidRPr="00E372DB">
        <w:rPr>
          <w:rFonts w:ascii="Times New Roman" w:eastAsia="Times New Roman" w:hAnsi="Times New Roman" w:cs="Times New Roman"/>
          <w:lang w:bidi="hi-IN"/>
        </w:rPr>
        <w:t>Lalrinzuali</w:t>
      </w:r>
      <w:proofErr w:type="spellEnd"/>
      <w:r w:rsidRPr="00E372DB">
        <w:rPr>
          <w:rFonts w:ascii="Times New Roman" w:eastAsia="Times New Roman" w:hAnsi="Times New Roman" w:cs="Times New Roman"/>
          <w:lang w:bidi="hi-IN"/>
        </w:rPr>
        <w:t xml:space="preserve">, Rajesh Singh, and </w:t>
      </w:r>
      <w:proofErr w:type="spellStart"/>
      <w:r w:rsidRPr="00E372DB">
        <w:rPr>
          <w:rFonts w:ascii="Times New Roman" w:eastAsia="Times New Roman" w:hAnsi="Times New Roman" w:cs="Times New Roman"/>
          <w:lang w:bidi="hi-IN"/>
        </w:rPr>
        <w:t>AkL</w:t>
      </w:r>
      <w:proofErr w:type="spellEnd"/>
      <w:r w:rsidRPr="00E372DB">
        <w:rPr>
          <w:rFonts w:ascii="Times New Roman" w:eastAsia="Times New Roman" w:hAnsi="Times New Roman" w:cs="Times New Roman"/>
          <w:lang w:bidi="hi-IN"/>
        </w:rPr>
        <w:t>. "a Pradhan, 2023. “Effect of Phosphorus and Biofertilizers on Yield and Economics of Chickpea (</w:t>
      </w:r>
      <w:r w:rsidRPr="00E372DB">
        <w:rPr>
          <w:rFonts w:ascii="Times New Roman" w:eastAsia="Times New Roman" w:hAnsi="Times New Roman" w:cs="Times New Roman"/>
          <w:i/>
          <w:iCs/>
          <w:lang w:bidi="hi-IN"/>
        </w:rPr>
        <w:t>Cicer arietinum</w:t>
      </w:r>
      <w:r w:rsidRPr="00E372DB">
        <w:rPr>
          <w:rFonts w:ascii="Times New Roman" w:eastAsia="Times New Roman" w:hAnsi="Times New Roman" w:cs="Times New Roman"/>
          <w:lang w:bidi="hi-IN"/>
        </w:rPr>
        <w:t xml:space="preserve"> L.). " International Journal of Environment and Climate Change. Volume 13, Issue 9, pp. 680-685</w:t>
      </w:r>
    </w:p>
    <w:p w14:paraId="376D3046"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 xml:space="preserve">FAO, Anonymous. Annual report 2023. </w:t>
      </w:r>
    </w:p>
    <w:p w14:paraId="72E1B1FC"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 xml:space="preserve">DES, </w:t>
      </w:r>
      <w:proofErr w:type="spellStart"/>
      <w:r w:rsidRPr="00E372DB">
        <w:rPr>
          <w:rFonts w:ascii="Times New Roman" w:eastAsia="Times New Roman" w:hAnsi="Times New Roman" w:cs="Times New Roman"/>
          <w:lang w:bidi="hi-IN"/>
        </w:rPr>
        <w:t>MoA</w:t>
      </w:r>
      <w:proofErr w:type="spellEnd"/>
      <w:r w:rsidRPr="00E372DB">
        <w:rPr>
          <w:rFonts w:ascii="Times New Roman" w:eastAsia="Times New Roman" w:hAnsi="Times New Roman" w:cs="Times New Roman"/>
          <w:lang w:bidi="hi-IN"/>
        </w:rPr>
        <w:t xml:space="preserve">, FW, India. Directorate of Economics and Statistics, Department of Agriculture and Farmers Welfare, Ministry of Agriculture and Farmers Welfare, Government of India; 2023. </w:t>
      </w:r>
    </w:p>
    <w:p w14:paraId="57761877"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FAO, Anonymous. Annual report 2024</w:t>
      </w:r>
    </w:p>
    <w:p w14:paraId="68957A40"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 xml:space="preserve">DES, </w:t>
      </w:r>
      <w:proofErr w:type="spellStart"/>
      <w:r w:rsidRPr="00E372DB">
        <w:rPr>
          <w:rFonts w:ascii="Times New Roman" w:eastAsia="Times New Roman" w:hAnsi="Times New Roman" w:cs="Times New Roman"/>
          <w:lang w:bidi="hi-IN"/>
        </w:rPr>
        <w:t>MoA</w:t>
      </w:r>
      <w:proofErr w:type="spellEnd"/>
      <w:r w:rsidRPr="00E372DB">
        <w:rPr>
          <w:rFonts w:ascii="Times New Roman" w:eastAsia="Times New Roman" w:hAnsi="Times New Roman" w:cs="Times New Roman"/>
          <w:lang w:bidi="hi-IN"/>
        </w:rPr>
        <w:t>, FW, India. Directorate of Economics and Statistics, Department of Agriculture and Farmers Welfare, Ministry of Agriculture and Farmers Welfare, Government of India; 2024.</w:t>
      </w:r>
    </w:p>
    <w:p w14:paraId="497FCE1A"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Singh Devendra and Singh Harendra (2012) Effect of Phosphorus and Zinc Nutrition on Yield, Nutrient Uptake and Quality of Chickpea Ann. Pl. Soil Res. 14(1): 71-74</w:t>
      </w:r>
    </w:p>
    <w:p w14:paraId="4712A804"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Ramesh Chakali, Dawson Joy, Dalu Kiran Kumar, Dalu Sreekanth, and Balusu Rajesh, 2022, Effect of Phosphorus and Zinc Levels on Growth and Yield Attributes in Varieties of Chickpea (</w:t>
      </w:r>
      <w:r w:rsidRPr="00E372DB">
        <w:rPr>
          <w:rFonts w:ascii="Times New Roman" w:eastAsia="Times New Roman" w:hAnsi="Times New Roman" w:cs="Times New Roman"/>
          <w:i/>
          <w:iCs/>
          <w:lang w:bidi="hi-IN"/>
        </w:rPr>
        <w:t>Cicer arietinum</w:t>
      </w:r>
      <w:r w:rsidRPr="00E372DB">
        <w:rPr>
          <w:rFonts w:ascii="Times New Roman" w:eastAsia="Times New Roman" w:hAnsi="Times New Roman" w:cs="Times New Roman"/>
          <w:lang w:bidi="hi-IN"/>
        </w:rPr>
        <w:t xml:space="preserve"> L.) Prayagraj Condition, International Journal of Environment and Climate Change, 12 (11): Pp1840-1845</w:t>
      </w:r>
    </w:p>
    <w:p w14:paraId="31C482DC"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Kumar Aluri Manoj, C. Umesha, and Gorla Venkata Raju, 2022, Effect of Phosphorus and Boron Levels on Growth and Yield of Chickpea (</w:t>
      </w:r>
      <w:r w:rsidRPr="00E372DB">
        <w:rPr>
          <w:rFonts w:ascii="Times New Roman" w:eastAsia="Times New Roman" w:hAnsi="Times New Roman" w:cs="Times New Roman"/>
          <w:i/>
          <w:iCs/>
          <w:lang w:bidi="hi-IN"/>
        </w:rPr>
        <w:t>Cicer arietinum</w:t>
      </w:r>
      <w:r w:rsidRPr="00E372DB">
        <w:rPr>
          <w:rFonts w:ascii="Times New Roman" w:eastAsia="Times New Roman" w:hAnsi="Times New Roman" w:cs="Times New Roman"/>
          <w:lang w:bidi="hi-IN"/>
        </w:rPr>
        <w:t xml:space="preserve"> L.), International Journal of Plant &amp; Soil Science 34(21): Pp 266-271</w:t>
      </w:r>
    </w:p>
    <w:p w14:paraId="5ADD10DB"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Kumar J., Suresh Kumar and Ved Prakash, 2019, “Effect of Biofertilizers and Phosphorus Levels on Soil Fertility, Yield and Nodulation in Chickpea (</w:t>
      </w:r>
      <w:r w:rsidRPr="00E372DB">
        <w:rPr>
          <w:rFonts w:ascii="Times New Roman" w:eastAsia="Times New Roman" w:hAnsi="Times New Roman" w:cs="Times New Roman"/>
          <w:i/>
          <w:iCs/>
          <w:lang w:bidi="hi-IN"/>
        </w:rPr>
        <w:t>Cicer arietinum</w:t>
      </w:r>
      <w:r w:rsidRPr="00E372DB">
        <w:rPr>
          <w:rFonts w:ascii="Times New Roman" w:eastAsia="Times New Roman" w:hAnsi="Times New Roman" w:cs="Times New Roman"/>
          <w:lang w:bidi="hi-IN"/>
        </w:rPr>
        <w:t xml:space="preserve"> L.)”, Journal of the Indian Society of Soil Science, Vol. 67, No. 2, pp 199-203</w:t>
      </w:r>
    </w:p>
    <w:p w14:paraId="6DDC80B7"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Pandey, Nalini, Chandra Pathak, Dr. Girish, Sharma, and Chandra. 2006, Zinc is critically required for pollen function and fertilization in lentil, Journal of Trace Elements in Medicine and Biology: organ of the Society for Minerals and Trace Elements (GMS), VL - 20, pp. 89-96</w:t>
      </w:r>
    </w:p>
    <w:p w14:paraId="3F42E08B"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 xml:space="preserve">Sharma, R.S., Om Prakash, and Singh, B.P. (2000) Response of </w:t>
      </w:r>
      <w:proofErr w:type="spellStart"/>
      <w:r w:rsidRPr="00E372DB">
        <w:rPr>
          <w:rFonts w:ascii="Times New Roman" w:eastAsia="Times New Roman" w:hAnsi="Times New Roman" w:cs="Times New Roman"/>
          <w:lang w:bidi="hi-IN"/>
        </w:rPr>
        <w:t>mothbean</w:t>
      </w:r>
      <w:proofErr w:type="spellEnd"/>
      <w:r w:rsidRPr="00E372DB">
        <w:rPr>
          <w:rFonts w:ascii="Times New Roman" w:eastAsia="Times New Roman" w:hAnsi="Times New Roman" w:cs="Times New Roman"/>
          <w:lang w:bidi="hi-IN"/>
        </w:rPr>
        <w:t xml:space="preserve"> genotypes to phosphorus and row spacing under semi-arid conditions. </w:t>
      </w:r>
      <w:r w:rsidRPr="00E372DB">
        <w:rPr>
          <w:rFonts w:ascii="Times New Roman" w:eastAsia="Times New Roman" w:hAnsi="Times New Roman" w:cs="Times New Roman"/>
          <w:i/>
          <w:iCs/>
          <w:lang w:bidi="hi-IN"/>
        </w:rPr>
        <w:t>Annals of Plant and</w:t>
      </w:r>
      <w:r w:rsidRPr="00E372DB">
        <w:rPr>
          <w:rFonts w:ascii="Times New Roman" w:eastAsia="Times New Roman" w:hAnsi="Times New Roman" w:cs="Times New Roman"/>
          <w:lang w:bidi="hi-IN"/>
        </w:rPr>
        <w:t xml:space="preserve"> </w:t>
      </w:r>
      <w:r w:rsidRPr="00E372DB">
        <w:rPr>
          <w:rFonts w:ascii="Times New Roman" w:eastAsia="Times New Roman" w:hAnsi="Times New Roman" w:cs="Times New Roman"/>
          <w:i/>
          <w:iCs/>
          <w:lang w:bidi="hi-IN"/>
        </w:rPr>
        <w:t xml:space="preserve">Soil Research </w:t>
      </w:r>
      <w:r w:rsidRPr="00E372DB">
        <w:rPr>
          <w:rFonts w:ascii="Times New Roman" w:eastAsia="Times New Roman" w:hAnsi="Times New Roman" w:cs="Times New Roman"/>
          <w:lang w:bidi="hi-IN"/>
        </w:rPr>
        <w:t>2(2):240–243.</w:t>
      </w:r>
    </w:p>
    <w:p w14:paraId="03AD1C47"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Meena, K.N., Pareek, R.G. and Jat, R.S. (2001) Effect of phosphorus and biofertilizers on yield and quality of chickpea (</w:t>
      </w:r>
      <w:r w:rsidRPr="00E372DB">
        <w:rPr>
          <w:rFonts w:ascii="Times New Roman" w:eastAsia="Times New Roman" w:hAnsi="Times New Roman" w:cs="Times New Roman"/>
          <w:i/>
          <w:iCs/>
          <w:lang w:bidi="hi-IN"/>
        </w:rPr>
        <w:t>Cicer arietinum</w:t>
      </w:r>
      <w:r w:rsidRPr="00E372DB">
        <w:rPr>
          <w:rFonts w:ascii="Times New Roman" w:eastAsia="Times New Roman" w:hAnsi="Times New Roman" w:cs="Times New Roman"/>
          <w:lang w:bidi="hi-IN"/>
        </w:rPr>
        <w:t xml:space="preserve"> L.). Annals of Agricultural Research New Series 22(3): 388–390.</w:t>
      </w:r>
    </w:p>
    <w:p w14:paraId="232272DD"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proofErr w:type="spellStart"/>
      <w:r w:rsidRPr="00E372DB">
        <w:rPr>
          <w:rFonts w:ascii="Times New Roman" w:eastAsia="Times New Roman" w:hAnsi="Times New Roman" w:cs="Times New Roman"/>
          <w:lang w:bidi="hi-IN"/>
        </w:rPr>
        <w:lastRenderedPageBreak/>
        <w:t>Onasanya</w:t>
      </w:r>
      <w:proofErr w:type="spellEnd"/>
      <w:r w:rsidRPr="00E372DB">
        <w:rPr>
          <w:rFonts w:ascii="Times New Roman" w:eastAsia="Times New Roman" w:hAnsi="Times New Roman" w:cs="Times New Roman"/>
          <w:lang w:bidi="hi-IN"/>
        </w:rPr>
        <w:t xml:space="preserve">, R. O., </w:t>
      </w:r>
      <w:proofErr w:type="spellStart"/>
      <w:r w:rsidRPr="00E372DB">
        <w:rPr>
          <w:rFonts w:ascii="Times New Roman" w:eastAsia="Times New Roman" w:hAnsi="Times New Roman" w:cs="Times New Roman"/>
          <w:lang w:bidi="hi-IN"/>
        </w:rPr>
        <w:t>Aiyelari</w:t>
      </w:r>
      <w:proofErr w:type="spellEnd"/>
      <w:r w:rsidRPr="00E372DB">
        <w:rPr>
          <w:rFonts w:ascii="Times New Roman" w:eastAsia="Times New Roman" w:hAnsi="Times New Roman" w:cs="Times New Roman"/>
          <w:lang w:bidi="hi-IN"/>
        </w:rPr>
        <w:t xml:space="preserve">, O. P., </w:t>
      </w:r>
      <w:proofErr w:type="spellStart"/>
      <w:r w:rsidRPr="00E372DB">
        <w:rPr>
          <w:rFonts w:ascii="Times New Roman" w:eastAsia="Times New Roman" w:hAnsi="Times New Roman" w:cs="Times New Roman"/>
          <w:lang w:bidi="hi-IN"/>
        </w:rPr>
        <w:t>Onasanya</w:t>
      </w:r>
      <w:proofErr w:type="spellEnd"/>
      <w:r w:rsidRPr="00E372DB">
        <w:rPr>
          <w:rFonts w:ascii="Times New Roman" w:eastAsia="Times New Roman" w:hAnsi="Times New Roman" w:cs="Times New Roman"/>
          <w:lang w:bidi="hi-IN"/>
        </w:rPr>
        <w:t xml:space="preserve">, A., </w:t>
      </w:r>
      <w:proofErr w:type="spellStart"/>
      <w:r w:rsidRPr="00E372DB">
        <w:rPr>
          <w:rFonts w:ascii="Times New Roman" w:eastAsia="Times New Roman" w:hAnsi="Times New Roman" w:cs="Times New Roman"/>
          <w:lang w:bidi="hi-IN"/>
        </w:rPr>
        <w:t>Oikeh</w:t>
      </w:r>
      <w:proofErr w:type="spellEnd"/>
      <w:r w:rsidRPr="00E372DB">
        <w:rPr>
          <w:rFonts w:ascii="Times New Roman" w:eastAsia="Times New Roman" w:hAnsi="Times New Roman" w:cs="Times New Roman"/>
          <w:lang w:bidi="hi-IN"/>
        </w:rPr>
        <w:t xml:space="preserve">, S., </w:t>
      </w:r>
      <w:proofErr w:type="spellStart"/>
      <w:r w:rsidRPr="00E372DB">
        <w:rPr>
          <w:rFonts w:ascii="Times New Roman" w:eastAsia="Times New Roman" w:hAnsi="Times New Roman" w:cs="Times New Roman"/>
          <w:lang w:bidi="hi-IN"/>
        </w:rPr>
        <w:t>Nwilene</w:t>
      </w:r>
      <w:proofErr w:type="spellEnd"/>
      <w:r w:rsidRPr="00E372DB">
        <w:rPr>
          <w:rFonts w:ascii="Times New Roman" w:eastAsia="Times New Roman" w:hAnsi="Times New Roman" w:cs="Times New Roman"/>
          <w:lang w:bidi="hi-IN"/>
        </w:rPr>
        <w:t xml:space="preserve">, F. E., and </w:t>
      </w:r>
      <w:proofErr w:type="spellStart"/>
      <w:r w:rsidRPr="00E372DB">
        <w:rPr>
          <w:rFonts w:ascii="Times New Roman" w:eastAsia="Times New Roman" w:hAnsi="Times New Roman" w:cs="Times New Roman"/>
          <w:lang w:bidi="hi-IN"/>
        </w:rPr>
        <w:t>Oyelakin</w:t>
      </w:r>
      <w:proofErr w:type="spellEnd"/>
      <w:r w:rsidRPr="00E372DB">
        <w:rPr>
          <w:rFonts w:ascii="Times New Roman" w:eastAsia="Times New Roman" w:hAnsi="Times New Roman" w:cs="Times New Roman"/>
          <w:lang w:bidi="hi-IN"/>
        </w:rPr>
        <w:t>, O. O. (2009). Growth and yield response of maize (</w:t>
      </w:r>
      <w:r w:rsidRPr="00E372DB">
        <w:rPr>
          <w:rFonts w:ascii="Times New Roman" w:eastAsia="Times New Roman" w:hAnsi="Times New Roman" w:cs="Times New Roman"/>
          <w:i/>
          <w:iCs/>
          <w:lang w:bidi="hi-IN"/>
        </w:rPr>
        <w:t>Zea mays</w:t>
      </w:r>
      <w:r w:rsidRPr="00E372DB">
        <w:rPr>
          <w:rFonts w:ascii="Times New Roman" w:eastAsia="Times New Roman" w:hAnsi="Times New Roman" w:cs="Times New Roman"/>
          <w:lang w:bidi="hi-IN"/>
        </w:rPr>
        <w:t xml:space="preserve"> L.) to different rates of nitrogen and phosphorus fertilizers in Southern Nigeria. World Journal of Agricultural Sciences, 5(4): 400–407 </w:t>
      </w:r>
    </w:p>
    <w:p w14:paraId="7B9D3C0F"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Badini Shabeer Ahmed, Mian Khan, Sana Ullah Baloch Shahbaz Khan Baloch, Hafeez Noor Baloch, Waseem Bashir, Abdul Raziq Badini, Manzoor Ahmed Badini ,2015, Effect of Phosphorus Levels on Growth and Yield of Chickpea (</w:t>
      </w:r>
      <w:r w:rsidRPr="00E372DB">
        <w:rPr>
          <w:rFonts w:ascii="Times New Roman" w:eastAsia="Times New Roman" w:hAnsi="Times New Roman" w:cs="Times New Roman"/>
          <w:i/>
          <w:iCs/>
          <w:lang w:bidi="hi-IN"/>
        </w:rPr>
        <w:t xml:space="preserve">Cicer </w:t>
      </w:r>
      <w:proofErr w:type="spellStart"/>
      <w:r w:rsidRPr="00E372DB">
        <w:rPr>
          <w:rFonts w:ascii="Times New Roman" w:eastAsia="Times New Roman" w:hAnsi="Times New Roman" w:cs="Times New Roman"/>
          <w:i/>
          <w:iCs/>
          <w:lang w:bidi="hi-IN"/>
        </w:rPr>
        <w:t>aretinum</w:t>
      </w:r>
      <w:proofErr w:type="spellEnd"/>
      <w:r w:rsidRPr="00E372DB">
        <w:rPr>
          <w:rFonts w:ascii="Times New Roman" w:eastAsia="Times New Roman" w:hAnsi="Times New Roman" w:cs="Times New Roman"/>
          <w:lang w:bidi="hi-IN"/>
        </w:rPr>
        <w:t xml:space="preserve"> L.) Varieties Journal of Natural Sciences Research www.iiste.org ISSN 2224-3186 (Paper) ISSN 2225-0921 (Online) Vol. 5, No. 3</w:t>
      </w:r>
    </w:p>
    <w:p w14:paraId="5A15F8FE"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Kumar, Rahul, Binoy Kumar Saren, and Shriman Kumar Patel. 2023. “Effect of Foliar Application of Zinc and Boron on Growth Attributes and Yield of Chickpea (</w:t>
      </w:r>
      <w:r w:rsidRPr="00E372DB">
        <w:rPr>
          <w:rFonts w:ascii="Times New Roman" w:eastAsia="Times New Roman" w:hAnsi="Times New Roman" w:cs="Times New Roman"/>
          <w:i/>
          <w:iCs/>
          <w:lang w:bidi="hi-IN"/>
        </w:rPr>
        <w:t>Cicer Arietinum</w:t>
      </w:r>
      <w:r w:rsidRPr="00E372DB">
        <w:rPr>
          <w:rFonts w:ascii="Times New Roman" w:eastAsia="Times New Roman" w:hAnsi="Times New Roman" w:cs="Times New Roman"/>
          <w:lang w:bidi="hi-IN"/>
        </w:rPr>
        <w:t xml:space="preserve"> L.) Varieties." </w:t>
      </w:r>
      <w:r w:rsidRPr="00E372DB">
        <w:rPr>
          <w:rFonts w:ascii="Times New Roman" w:eastAsia="Times New Roman" w:hAnsi="Times New Roman" w:cs="Times New Roman"/>
          <w:i/>
          <w:iCs/>
          <w:lang w:bidi="hi-IN"/>
        </w:rPr>
        <w:t>International Journal of Plant &amp; Soil Science</w:t>
      </w:r>
      <w:r w:rsidRPr="00E372DB">
        <w:rPr>
          <w:rFonts w:ascii="Times New Roman" w:eastAsia="Times New Roman" w:hAnsi="Times New Roman" w:cs="Times New Roman"/>
          <w:lang w:bidi="hi-IN"/>
        </w:rPr>
        <w:t xml:space="preserve"> 35 (21):958-65. </w:t>
      </w:r>
      <w:hyperlink r:id="rId14" w:tgtFrame="_blank" w:history="1">
        <w:r w:rsidRPr="00E372DB">
          <w:rPr>
            <w:rFonts w:ascii="Times New Roman" w:eastAsia="Times New Roman" w:hAnsi="Times New Roman" w:cs="Times New Roman"/>
            <w:color w:val="0000FF"/>
            <w:u w:val="single"/>
            <w:lang w:bidi="hi-IN"/>
          </w:rPr>
          <w:t>https://doi.org/10.9734/ijpss/2023/v35i214066</w:t>
        </w:r>
      </w:hyperlink>
    </w:p>
    <w:p w14:paraId="17FE17B2"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Yadav Ankit , Devendra Singh , Ravindra Kumar , Ravindra Sachan , Kishan Kumar, Anshul Singh, Abhishek Tiwari and Krishna Kumar Singh, 2022, Response of Different Level of Phosphorus, Zinc and Rhizobium Inoculation on Growth Yield Attributes and Yield of Chickpea (</w:t>
      </w:r>
      <w:r w:rsidRPr="00E372DB">
        <w:rPr>
          <w:rFonts w:ascii="Times New Roman" w:eastAsia="Times New Roman" w:hAnsi="Times New Roman" w:cs="Times New Roman"/>
          <w:i/>
          <w:iCs/>
          <w:lang w:bidi="hi-IN"/>
        </w:rPr>
        <w:t xml:space="preserve">Cicer </w:t>
      </w:r>
      <w:proofErr w:type="spellStart"/>
      <w:r w:rsidRPr="00E372DB">
        <w:rPr>
          <w:rFonts w:ascii="Times New Roman" w:eastAsia="Times New Roman" w:hAnsi="Times New Roman" w:cs="Times New Roman"/>
          <w:i/>
          <w:iCs/>
          <w:lang w:bidi="hi-IN"/>
        </w:rPr>
        <w:t>aretinum</w:t>
      </w:r>
      <w:proofErr w:type="spellEnd"/>
      <w:r w:rsidRPr="00E372DB">
        <w:rPr>
          <w:rFonts w:ascii="Times New Roman" w:eastAsia="Times New Roman" w:hAnsi="Times New Roman" w:cs="Times New Roman"/>
          <w:lang w:bidi="hi-IN"/>
        </w:rPr>
        <w:t xml:space="preserve"> L.), International Journal of Environment and Climate Change 12(11): 1954-1964</w:t>
      </w:r>
    </w:p>
    <w:p w14:paraId="09DFBEF7"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 xml:space="preserve">Balai, K., </w:t>
      </w:r>
      <w:proofErr w:type="spellStart"/>
      <w:r w:rsidRPr="00E372DB">
        <w:rPr>
          <w:rFonts w:ascii="Times New Roman" w:eastAsia="Times New Roman" w:hAnsi="Times New Roman" w:cs="Times New Roman"/>
          <w:lang w:bidi="hi-IN"/>
        </w:rPr>
        <w:t>Jajoria</w:t>
      </w:r>
      <w:proofErr w:type="spellEnd"/>
      <w:r w:rsidRPr="00E372DB">
        <w:rPr>
          <w:rFonts w:ascii="Times New Roman" w:eastAsia="Times New Roman" w:hAnsi="Times New Roman" w:cs="Times New Roman"/>
          <w:lang w:bidi="hi-IN"/>
        </w:rPr>
        <w:t>, M., Verma, R., Deewan, P., &amp;amp; Bairwa, S. K. (2017). Nutrient content, uptake, quality of chickpea, and fertility status of soil as influenced by fertilization of phosphorus and zinc.  Journal of Pharmacognosy and Phytochemistry, 6(1), 392-398.</w:t>
      </w:r>
    </w:p>
    <w:p w14:paraId="67ADBF27"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Ali, A., Ahmad, B., Hussain, I., Ali, A., and Shah, F. A. 2017. Effect of phosphorus and zinc on yield of lentil. Pure and Applied Biology, 6:1397-402</w:t>
      </w:r>
    </w:p>
    <w:p w14:paraId="0F8B2891"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Meena, L.R., Singh, R.K., and Gautam, R.C. 2006. Effect of moisture conservation practices, phosphorus levels, and bacterial inoculation on growth, yield, and economics of chickpea (Cicer arietinum L.). Legume Research 29(1): 68–72.</w:t>
      </w:r>
    </w:p>
    <w:p w14:paraId="689FFDA4"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Kumar, Rahul, Binoy Kumar Saren, and Shriman Kumar Patel. 2023. “Effect of Foliar Application of Zinc and Boron on Growth Attributes and Yield of Chickpea (</w:t>
      </w:r>
      <w:r w:rsidRPr="00E372DB">
        <w:rPr>
          <w:rFonts w:ascii="Times New Roman" w:eastAsia="Times New Roman" w:hAnsi="Times New Roman" w:cs="Times New Roman"/>
          <w:i/>
          <w:iCs/>
          <w:lang w:bidi="hi-IN"/>
        </w:rPr>
        <w:t>Cicer Arietinum</w:t>
      </w:r>
      <w:r w:rsidRPr="00E372DB">
        <w:rPr>
          <w:rFonts w:ascii="Times New Roman" w:eastAsia="Times New Roman" w:hAnsi="Times New Roman" w:cs="Times New Roman"/>
          <w:lang w:bidi="hi-IN"/>
        </w:rPr>
        <w:t xml:space="preserve"> L.) Varieties." </w:t>
      </w:r>
      <w:r w:rsidRPr="00E372DB">
        <w:rPr>
          <w:rFonts w:ascii="Times New Roman" w:eastAsia="Times New Roman" w:hAnsi="Times New Roman" w:cs="Times New Roman"/>
          <w:i/>
          <w:iCs/>
          <w:lang w:bidi="hi-IN"/>
        </w:rPr>
        <w:t>International Journal of Plant &amp; Soil Science</w:t>
      </w:r>
      <w:r w:rsidRPr="00E372DB">
        <w:rPr>
          <w:rFonts w:ascii="Times New Roman" w:eastAsia="Times New Roman" w:hAnsi="Times New Roman" w:cs="Times New Roman"/>
          <w:lang w:bidi="hi-IN"/>
        </w:rPr>
        <w:t xml:space="preserve"> 35 (21):958-65. </w:t>
      </w:r>
      <w:hyperlink r:id="rId15" w:tgtFrame="_blank" w:history="1">
        <w:r w:rsidRPr="00E372DB">
          <w:rPr>
            <w:rFonts w:ascii="Times New Roman" w:eastAsia="Times New Roman" w:hAnsi="Times New Roman" w:cs="Times New Roman"/>
            <w:color w:val="0000FF"/>
            <w:u w:val="single"/>
            <w:lang w:bidi="hi-IN"/>
          </w:rPr>
          <w:t>https://doi.org/10.9734/ijpss/2023/v35i214066</w:t>
        </w:r>
      </w:hyperlink>
      <w:r w:rsidRPr="00E372DB">
        <w:rPr>
          <w:rFonts w:ascii="Times New Roman" w:eastAsia="Times New Roman" w:hAnsi="Times New Roman" w:cs="Times New Roman"/>
          <w:lang w:bidi="hi-IN"/>
        </w:rPr>
        <w:t>.</w:t>
      </w:r>
    </w:p>
    <w:p w14:paraId="5CD27AE8"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Gupta K. C., R. Saxena, S. K. Jain, V. Kumar, and M. R. Yadav, 2021, Yield and nutrient fortification of chickpea by foliar Fe and Zn application, Journal of Crop and Weed, 17(3): 29-34</w:t>
      </w:r>
    </w:p>
    <w:p w14:paraId="11C1F990"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 xml:space="preserve">Sharma S. K, Sapna Kapoor, SS Rana,2006, Effect of the Application of Nitrogen, Zinc and Boron on Soil Properties and Available Nutrients Status after the Harvest of Wheat International Journal of Advances in Agricultural Science and Technology, Vol.3 Issue.7, pg. 12-2 </w:t>
      </w:r>
    </w:p>
    <w:p w14:paraId="598FD6A3"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Singh, V., Kumar, A., Lal, M., Kumar, M. (2018). Chickpea cultivation governed by phosphorus application in calcareous soil.  International Journal of Current Microbiology and Applied Sciences, 7(02), 3419-3425</w:t>
      </w:r>
    </w:p>
    <w:p w14:paraId="7E2A166F"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Kumar Dharmendra, Neeraj Kumar, Tapasya Tiwari, Mahendru Kumar Gautam, Ravindra Sachan, Anupama Verma and Tripti Mishra,2024, Enhancing Chickpea Yield and Nutrient Profile Through Phosphorous and Zinc Application Eco. Env. &amp; Cons. 30 (3), pp. (63-68)</w:t>
      </w:r>
    </w:p>
    <w:p w14:paraId="2FAB9DC1"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Pal, V., Singh, G., &amp; Dhaliwal, S.S. (2019). Yield enhancement and biofortification of chickpea (</w:t>
      </w:r>
      <w:r w:rsidRPr="00E372DB">
        <w:rPr>
          <w:rFonts w:ascii="Times New Roman" w:eastAsia="Times New Roman" w:hAnsi="Times New Roman" w:cs="Times New Roman"/>
          <w:i/>
          <w:iCs/>
          <w:lang w:bidi="hi-IN"/>
        </w:rPr>
        <w:t>Cicer arietinum</w:t>
      </w:r>
      <w:r w:rsidRPr="00E372DB">
        <w:rPr>
          <w:rFonts w:ascii="Times New Roman" w:eastAsia="Times New Roman" w:hAnsi="Times New Roman" w:cs="Times New Roman"/>
          <w:lang w:bidi="hi-IN"/>
        </w:rPr>
        <w:t xml:space="preserve"> L.) grain with iron and zinc through foliar application of ferrous sulfate and urea. Journal of Plant Nutrition, 42(15), pp. 1789-1802</w:t>
      </w:r>
    </w:p>
    <w:p w14:paraId="65CFD1A6"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proofErr w:type="spellStart"/>
      <w:r w:rsidRPr="00E372DB">
        <w:rPr>
          <w:rFonts w:ascii="Times New Roman" w:eastAsia="Times New Roman" w:hAnsi="Times New Roman" w:cs="Times New Roman"/>
          <w:lang w:bidi="hi-IN"/>
        </w:rPr>
        <w:t>Shivran</w:t>
      </w:r>
      <w:proofErr w:type="spellEnd"/>
      <w:r w:rsidRPr="00E372DB">
        <w:rPr>
          <w:rFonts w:ascii="Times New Roman" w:eastAsia="Times New Roman" w:hAnsi="Times New Roman" w:cs="Times New Roman"/>
          <w:lang w:bidi="hi-IN"/>
        </w:rPr>
        <w:t xml:space="preserve"> Rajesh Kumar, Pankaj Kumar, Raj Kumar Jat, Vinay Kumar and </w:t>
      </w:r>
      <w:proofErr w:type="spellStart"/>
      <w:r w:rsidRPr="00E372DB">
        <w:rPr>
          <w:rFonts w:ascii="Times New Roman" w:eastAsia="Times New Roman" w:hAnsi="Times New Roman" w:cs="Times New Roman"/>
          <w:lang w:bidi="hi-IN"/>
        </w:rPr>
        <w:t>Nilmani</w:t>
      </w:r>
      <w:proofErr w:type="spellEnd"/>
      <w:r w:rsidRPr="00E372DB">
        <w:rPr>
          <w:rFonts w:ascii="Times New Roman" w:eastAsia="Times New Roman" w:hAnsi="Times New Roman" w:cs="Times New Roman"/>
          <w:lang w:bidi="hi-IN"/>
        </w:rPr>
        <w:t xml:space="preserve"> Prakash, 2017, Effect of Integrated Nutrient Management practices on growth, yield and economics of chickpea in maize, chickpea/wheat cropping system, Journal of Pharmacognosy and Phytochemistry; SP1: 115-118</w:t>
      </w:r>
    </w:p>
    <w:p w14:paraId="70AAB3A7"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 xml:space="preserve">Ram </w:t>
      </w:r>
      <w:proofErr w:type="gramStart"/>
      <w:r w:rsidRPr="00E372DB">
        <w:rPr>
          <w:rFonts w:ascii="Times New Roman" w:eastAsia="Times New Roman" w:hAnsi="Times New Roman" w:cs="Times New Roman"/>
          <w:lang w:bidi="hi-IN"/>
        </w:rPr>
        <w:t>Gopi ,</w:t>
      </w:r>
      <w:proofErr w:type="gramEnd"/>
      <w:r w:rsidRPr="00E372DB">
        <w:rPr>
          <w:rFonts w:ascii="Times New Roman" w:eastAsia="Times New Roman" w:hAnsi="Times New Roman" w:cs="Times New Roman"/>
          <w:lang w:bidi="hi-IN"/>
        </w:rPr>
        <w:t xml:space="preserve"> Chandrakanta Jakhar, Om Prakash Regar, Promod Mehta and Indra Raj Yadav </w:t>
      </w:r>
      <w:proofErr w:type="gramStart"/>
      <w:r w:rsidRPr="00E372DB">
        <w:rPr>
          <w:rFonts w:ascii="Times New Roman" w:eastAsia="Times New Roman" w:hAnsi="Times New Roman" w:cs="Times New Roman"/>
          <w:lang w:bidi="hi-IN"/>
        </w:rPr>
        <w:t>2024</w:t>
      </w:r>
      <w:r w:rsidRPr="00E372DB">
        <w:rPr>
          <w:rFonts w:ascii="Times New Roman" w:eastAsia="Times New Roman" w:hAnsi="Times New Roman" w:cs="Times New Roman"/>
          <w:i/>
          <w:iCs/>
          <w:lang w:bidi="hi-IN"/>
        </w:rPr>
        <w:t>,</w:t>
      </w:r>
      <w:r w:rsidRPr="00E372DB">
        <w:rPr>
          <w:rFonts w:ascii="Times New Roman" w:eastAsia="Times New Roman" w:hAnsi="Times New Roman" w:cs="Times New Roman"/>
          <w:lang w:bidi="hi-IN"/>
        </w:rPr>
        <w:t>Effect</w:t>
      </w:r>
      <w:proofErr w:type="gramEnd"/>
      <w:r w:rsidRPr="00E372DB">
        <w:rPr>
          <w:rFonts w:ascii="Times New Roman" w:eastAsia="Times New Roman" w:hAnsi="Times New Roman" w:cs="Times New Roman"/>
          <w:lang w:bidi="hi-IN"/>
        </w:rPr>
        <w:t xml:space="preserve"> of Phosphorus and Zinc Application on Growth and Yield of Chickpea (Cicer arietinum L.) </w:t>
      </w:r>
      <w:r w:rsidRPr="00E372DB">
        <w:rPr>
          <w:rFonts w:ascii="Times New Roman" w:eastAsia="Times New Roman" w:hAnsi="Times New Roman" w:cs="Times New Roman"/>
          <w:i/>
          <w:iCs/>
          <w:lang w:bidi="hi-IN"/>
        </w:rPr>
        <w:t>International Journal of Plant &amp; Soil Science</w:t>
      </w:r>
      <w:r w:rsidRPr="00E372DB">
        <w:rPr>
          <w:rFonts w:ascii="Times New Roman" w:eastAsia="Times New Roman" w:hAnsi="Times New Roman" w:cs="Times New Roman"/>
          <w:lang w:bidi="hi-IN"/>
        </w:rPr>
        <w:t xml:space="preserve">, </w:t>
      </w:r>
      <w:r w:rsidRPr="00E372DB">
        <w:rPr>
          <w:rFonts w:ascii="Times New Roman" w:eastAsia="Times New Roman" w:hAnsi="Times New Roman" w:cs="Times New Roman"/>
          <w:i/>
          <w:iCs/>
          <w:lang w:bidi="hi-IN"/>
        </w:rPr>
        <w:t>Volume 36, Issue 11, Pages 394-399</w:t>
      </w:r>
    </w:p>
    <w:p w14:paraId="5FBB1284"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proofErr w:type="spellStart"/>
      <w:r w:rsidRPr="00E372DB">
        <w:rPr>
          <w:rFonts w:ascii="Times New Roman" w:eastAsia="Times New Roman" w:hAnsi="Times New Roman" w:cs="Times New Roman"/>
          <w:lang w:bidi="hi-IN"/>
        </w:rPr>
        <w:t>Kaundal</w:t>
      </w:r>
      <w:proofErr w:type="spellEnd"/>
      <w:r w:rsidRPr="00E372DB">
        <w:rPr>
          <w:rFonts w:ascii="Times New Roman" w:eastAsia="Times New Roman" w:hAnsi="Times New Roman" w:cs="Times New Roman"/>
          <w:lang w:bidi="hi-IN"/>
        </w:rPr>
        <w:t xml:space="preserve"> M, N. Kaur, M. Seth </w:t>
      </w:r>
      <w:proofErr w:type="gramStart"/>
      <w:r w:rsidRPr="00E372DB">
        <w:rPr>
          <w:rFonts w:ascii="Times New Roman" w:eastAsia="Times New Roman" w:hAnsi="Times New Roman" w:cs="Times New Roman"/>
          <w:lang w:bidi="hi-IN"/>
        </w:rPr>
        <w:t>And</w:t>
      </w:r>
      <w:proofErr w:type="gramEnd"/>
      <w:r w:rsidRPr="00E372DB">
        <w:rPr>
          <w:rFonts w:ascii="Times New Roman" w:eastAsia="Times New Roman" w:hAnsi="Times New Roman" w:cs="Times New Roman"/>
          <w:lang w:bidi="hi-IN"/>
        </w:rPr>
        <w:t xml:space="preserve"> V. Singh, (2023), Effect of integrated nutrient management through phosphorus and vermicompost on growth, phenology and yield of chickpea (</w:t>
      </w:r>
      <w:r w:rsidRPr="00E372DB">
        <w:rPr>
          <w:rFonts w:ascii="Times New Roman" w:eastAsia="Times New Roman" w:hAnsi="Times New Roman" w:cs="Times New Roman"/>
          <w:i/>
          <w:iCs/>
          <w:lang w:bidi="hi-IN"/>
        </w:rPr>
        <w:t>Cicer</w:t>
      </w:r>
      <w:r w:rsidRPr="00E372DB">
        <w:rPr>
          <w:rFonts w:ascii="Times New Roman" w:eastAsia="Times New Roman" w:hAnsi="Times New Roman" w:cs="Times New Roman"/>
          <w:lang w:bidi="hi-IN"/>
        </w:rPr>
        <w:t xml:space="preserve"> </w:t>
      </w:r>
      <w:r w:rsidRPr="00E372DB">
        <w:rPr>
          <w:rFonts w:ascii="Times New Roman" w:eastAsia="Times New Roman" w:hAnsi="Times New Roman" w:cs="Times New Roman"/>
          <w:i/>
          <w:iCs/>
          <w:lang w:bidi="hi-IN"/>
        </w:rPr>
        <w:t>arietinum</w:t>
      </w:r>
      <w:r w:rsidRPr="00E372DB">
        <w:rPr>
          <w:rFonts w:ascii="Times New Roman" w:eastAsia="Times New Roman" w:hAnsi="Times New Roman" w:cs="Times New Roman"/>
          <w:lang w:bidi="hi-IN"/>
        </w:rPr>
        <w:t xml:space="preserve"> </w:t>
      </w:r>
      <w:proofErr w:type="gramStart"/>
      <w:r w:rsidRPr="00E372DB">
        <w:rPr>
          <w:rFonts w:ascii="Times New Roman" w:eastAsia="Times New Roman" w:hAnsi="Times New Roman" w:cs="Times New Roman"/>
          <w:lang w:bidi="hi-IN"/>
        </w:rPr>
        <w:t>L.)Journal</w:t>
      </w:r>
      <w:proofErr w:type="gramEnd"/>
      <w:r w:rsidRPr="00E372DB">
        <w:rPr>
          <w:rFonts w:ascii="Times New Roman" w:eastAsia="Times New Roman" w:hAnsi="Times New Roman" w:cs="Times New Roman"/>
          <w:lang w:bidi="hi-IN"/>
        </w:rPr>
        <w:t xml:space="preserve"> of Crop and Weed, 19(1): 48-52</w:t>
      </w:r>
    </w:p>
    <w:p w14:paraId="26C22DBE"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lastRenderedPageBreak/>
        <w:t>Khan, M. I., Afzal, M. J., Bashir, S., Naveed, M., Anum, S., Cheema, S. A., Chen, Z. (2022). Improving nutrient uptake, growth, yield and protein content in chickpea by the co-addition of phosphorus fertilizers, organic manures, and bacillus sp. Mn-54. Agronomy, 11(3), 436.</w:t>
      </w:r>
    </w:p>
    <w:p w14:paraId="0261990F"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Hari Palla and Dawson Dr. Joy 2022, Effect of phosphorus, potassium and bio-fertilizer on growth and yield of chick pea (</w:t>
      </w:r>
      <w:r w:rsidRPr="00E372DB">
        <w:rPr>
          <w:rFonts w:ascii="Times New Roman" w:eastAsia="Times New Roman" w:hAnsi="Times New Roman" w:cs="Times New Roman"/>
          <w:i/>
          <w:iCs/>
          <w:lang w:bidi="hi-IN"/>
        </w:rPr>
        <w:t>Cicer arietinum</w:t>
      </w:r>
      <w:r w:rsidRPr="00E372DB">
        <w:rPr>
          <w:rFonts w:ascii="Times New Roman" w:eastAsia="Times New Roman" w:hAnsi="Times New Roman" w:cs="Times New Roman"/>
          <w:lang w:bidi="hi-IN"/>
        </w:rPr>
        <w:t xml:space="preserve"> L.) The Pharma Innovation Journal; 11(5): 1429-1432</w:t>
      </w:r>
    </w:p>
    <w:p w14:paraId="75398F6A"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Khourgamy, A. and Farnia, A. 2009. Effect of phosphorus and zinc fertilization on field components of chickpea cultivars. Proceed. African Crop Sci. Conference, 9: 205-208</w:t>
      </w:r>
    </w:p>
    <w:p w14:paraId="3C3FD3D7"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Neenu, S., Ramesh, K., Ramana, S., Biswas, A. K., Rao, A. S. (2014). Growth and yield of different varieties of chickpea (</w:t>
      </w:r>
      <w:r w:rsidRPr="00E372DB">
        <w:rPr>
          <w:rFonts w:ascii="Times New Roman" w:eastAsia="Times New Roman" w:hAnsi="Times New Roman" w:cs="Times New Roman"/>
          <w:i/>
          <w:iCs/>
          <w:lang w:bidi="hi-IN"/>
        </w:rPr>
        <w:t>Cicer arietinum</w:t>
      </w:r>
      <w:r w:rsidRPr="00E372DB">
        <w:rPr>
          <w:rFonts w:ascii="Times New Roman" w:eastAsia="Times New Roman" w:hAnsi="Times New Roman" w:cs="Times New Roman"/>
          <w:lang w:bidi="hi-IN"/>
        </w:rPr>
        <w:t xml:space="preserve"> L.) as influenced by the phosphorus nutrition under rainfed conditions on </w:t>
      </w:r>
      <w:proofErr w:type="spellStart"/>
      <w:r w:rsidRPr="00E372DB">
        <w:rPr>
          <w:rFonts w:ascii="Times New Roman" w:eastAsia="Times New Roman" w:hAnsi="Times New Roman" w:cs="Times New Roman"/>
          <w:lang w:bidi="hi-IN"/>
        </w:rPr>
        <w:t>Vertisols</w:t>
      </w:r>
      <w:proofErr w:type="spellEnd"/>
      <w:r w:rsidRPr="00E372DB">
        <w:rPr>
          <w:rFonts w:ascii="Times New Roman" w:eastAsia="Times New Roman" w:hAnsi="Times New Roman" w:cs="Times New Roman"/>
          <w:lang w:bidi="hi-IN"/>
        </w:rPr>
        <w:t>.  International Journal of Bio-resource and Stress Management, 5, 053-057</w:t>
      </w:r>
    </w:p>
    <w:p w14:paraId="77AEB319"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 xml:space="preserve">Kumar, V., Dwivedi, K.N., and Tiwari, D.D. 2009. Effect of phosphorus and iron on yield and mineral nutrition in chickpea. </w:t>
      </w:r>
      <w:r w:rsidRPr="00E372DB">
        <w:rPr>
          <w:rFonts w:ascii="Times New Roman" w:eastAsia="Times New Roman" w:hAnsi="Times New Roman" w:cs="Times New Roman"/>
          <w:i/>
          <w:iCs/>
          <w:lang w:bidi="hi-IN"/>
        </w:rPr>
        <w:t xml:space="preserve">Ann. Pl. Soil Res., </w:t>
      </w:r>
      <w:r w:rsidRPr="00E372DB">
        <w:rPr>
          <w:rFonts w:ascii="Times New Roman" w:eastAsia="Times New Roman" w:hAnsi="Times New Roman" w:cs="Times New Roman"/>
          <w:lang w:bidi="hi-IN"/>
        </w:rPr>
        <w:t>11(1): 16-18.</w:t>
      </w:r>
    </w:p>
    <w:p w14:paraId="0419B7AD"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 xml:space="preserve">Khan M. A. and Singh Raj, (2005), Effect of cultivars, nutrient management and mulching on the production potentiality of chickpea under water harvesting condition of arid zone. J. Arid Legumes 2: 10-14 </w:t>
      </w:r>
    </w:p>
    <w:p w14:paraId="69A82968"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proofErr w:type="spellStart"/>
      <w:r w:rsidRPr="00E372DB">
        <w:rPr>
          <w:rFonts w:ascii="Times New Roman" w:eastAsia="Times New Roman" w:hAnsi="Times New Roman" w:cs="Times New Roman"/>
          <w:lang w:bidi="hi-IN"/>
        </w:rPr>
        <w:t>Bhadru</w:t>
      </w:r>
      <w:proofErr w:type="spellEnd"/>
      <w:r w:rsidRPr="00E372DB">
        <w:rPr>
          <w:rFonts w:ascii="Times New Roman" w:eastAsia="Times New Roman" w:hAnsi="Times New Roman" w:cs="Times New Roman"/>
          <w:lang w:bidi="hi-IN"/>
        </w:rPr>
        <w:t xml:space="preserve"> Priyanka, SS Yadav, Roshan Kumawat, Anju </w:t>
      </w:r>
      <w:proofErr w:type="spellStart"/>
      <w:r w:rsidRPr="00E372DB">
        <w:rPr>
          <w:rFonts w:ascii="Times New Roman" w:eastAsia="Times New Roman" w:hAnsi="Times New Roman" w:cs="Times New Roman"/>
          <w:lang w:bidi="hi-IN"/>
        </w:rPr>
        <w:t>Bijarnia</w:t>
      </w:r>
      <w:proofErr w:type="spellEnd"/>
      <w:r w:rsidRPr="00E372DB">
        <w:rPr>
          <w:rFonts w:ascii="Times New Roman" w:eastAsia="Times New Roman" w:hAnsi="Times New Roman" w:cs="Times New Roman"/>
          <w:lang w:bidi="hi-IN"/>
        </w:rPr>
        <w:t xml:space="preserve"> and Ramesh Choudhary, 2019, Effect of zinc and thiourea application on yield attributes and Yield of </w:t>
      </w:r>
      <w:proofErr w:type="spellStart"/>
      <w:r w:rsidRPr="00E372DB">
        <w:rPr>
          <w:rFonts w:ascii="Times New Roman" w:eastAsia="Times New Roman" w:hAnsi="Times New Roman" w:cs="Times New Roman"/>
          <w:lang w:bidi="hi-IN"/>
        </w:rPr>
        <w:t>greengram</w:t>
      </w:r>
      <w:proofErr w:type="spellEnd"/>
      <w:r w:rsidRPr="00E372DB">
        <w:rPr>
          <w:rFonts w:ascii="Times New Roman" w:eastAsia="Times New Roman" w:hAnsi="Times New Roman" w:cs="Times New Roman"/>
          <w:lang w:bidi="hi-IN"/>
        </w:rPr>
        <w:t xml:space="preserve"> [</w:t>
      </w:r>
      <w:r w:rsidRPr="00E372DB">
        <w:rPr>
          <w:rFonts w:ascii="Times New Roman" w:eastAsia="Times New Roman" w:hAnsi="Times New Roman" w:cs="Times New Roman"/>
          <w:i/>
          <w:iCs/>
          <w:lang w:bidi="hi-IN"/>
        </w:rPr>
        <w:t>Vigna radiata</w:t>
      </w:r>
      <w:r w:rsidRPr="00E372DB">
        <w:rPr>
          <w:rFonts w:ascii="Times New Roman" w:eastAsia="Times New Roman" w:hAnsi="Times New Roman" w:cs="Times New Roman"/>
          <w:lang w:bidi="hi-IN"/>
        </w:rPr>
        <w:t xml:space="preserve"> (L.) Wilczek] International Journal of Chemical Studies; 7(6): 622-625</w:t>
      </w:r>
    </w:p>
    <w:p w14:paraId="73497882"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proofErr w:type="spellStart"/>
      <w:r w:rsidRPr="00E372DB">
        <w:rPr>
          <w:rFonts w:ascii="Times New Roman" w:eastAsia="Times New Roman" w:hAnsi="Times New Roman" w:cs="Times New Roman"/>
          <w:lang w:bidi="hi-IN"/>
        </w:rPr>
        <w:t>Kuniya</w:t>
      </w:r>
      <w:proofErr w:type="spellEnd"/>
      <w:r w:rsidRPr="00E372DB">
        <w:rPr>
          <w:rFonts w:ascii="Times New Roman" w:eastAsia="Times New Roman" w:hAnsi="Times New Roman" w:cs="Times New Roman"/>
          <w:lang w:bidi="hi-IN"/>
        </w:rPr>
        <w:t xml:space="preserve">, Neeta, Neha Chaudhary, and Sweta Patel, 2018. Effect of </w:t>
      </w:r>
      <w:proofErr w:type="spellStart"/>
      <w:r w:rsidRPr="00E372DB">
        <w:rPr>
          <w:rFonts w:ascii="Times New Roman" w:eastAsia="Times New Roman" w:hAnsi="Times New Roman" w:cs="Times New Roman"/>
          <w:lang w:bidi="hi-IN"/>
        </w:rPr>
        <w:t>sulphur</w:t>
      </w:r>
      <w:proofErr w:type="spellEnd"/>
      <w:r w:rsidRPr="00E372DB">
        <w:rPr>
          <w:rFonts w:ascii="Times New Roman" w:eastAsia="Times New Roman" w:hAnsi="Times New Roman" w:cs="Times New Roman"/>
          <w:lang w:bidi="hi-IN"/>
        </w:rPr>
        <w:t xml:space="preserve"> and zinc application on growth, yield attributes, yield and quality of summer </w:t>
      </w:r>
      <w:proofErr w:type="spellStart"/>
      <w:r w:rsidRPr="00E372DB">
        <w:rPr>
          <w:rFonts w:ascii="Times New Roman" w:eastAsia="Times New Roman" w:hAnsi="Times New Roman" w:cs="Times New Roman"/>
          <w:lang w:bidi="hi-IN"/>
        </w:rPr>
        <w:t>clusterbean</w:t>
      </w:r>
      <w:proofErr w:type="spellEnd"/>
      <w:r w:rsidRPr="00E372DB">
        <w:rPr>
          <w:rFonts w:ascii="Times New Roman" w:eastAsia="Times New Roman" w:hAnsi="Times New Roman" w:cs="Times New Roman"/>
          <w:lang w:bidi="hi-IN"/>
        </w:rPr>
        <w:t xml:space="preserve"> [</w:t>
      </w:r>
      <w:r w:rsidRPr="00E372DB">
        <w:rPr>
          <w:rFonts w:ascii="Times New Roman" w:eastAsia="Times New Roman" w:hAnsi="Times New Roman" w:cs="Times New Roman"/>
          <w:i/>
          <w:iCs/>
          <w:lang w:bidi="hi-IN"/>
        </w:rPr>
        <w:t xml:space="preserve">Cyamopsis </w:t>
      </w:r>
      <w:proofErr w:type="spellStart"/>
      <w:r w:rsidRPr="00E372DB">
        <w:rPr>
          <w:rFonts w:ascii="Times New Roman" w:eastAsia="Times New Roman" w:hAnsi="Times New Roman" w:cs="Times New Roman"/>
          <w:i/>
          <w:iCs/>
          <w:lang w:bidi="hi-IN"/>
        </w:rPr>
        <w:t>tetragonoloba</w:t>
      </w:r>
      <w:proofErr w:type="spellEnd"/>
      <w:r w:rsidRPr="00E372DB">
        <w:rPr>
          <w:rFonts w:ascii="Times New Roman" w:eastAsia="Times New Roman" w:hAnsi="Times New Roman" w:cs="Times New Roman"/>
          <w:lang w:bidi="hi-IN"/>
        </w:rPr>
        <w:t xml:space="preserve"> (L.)] in light textured soil. Int. J. Chemical Studies, 6(1): 1529-1532. </w:t>
      </w:r>
    </w:p>
    <w:p w14:paraId="64A10B7C"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 xml:space="preserve">Katiyar, N.K., Mishra, U.S., Kumar, V., Kumar, A., Raizada, S., Pathak, R.K., &amp; Pandey, S. (2017). Response of zinc, boron, and molybdenum on growth, yield attributes and </w:t>
      </w:r>
      <w:proofErr w:type="spellStart"/>
      <w:r w:rsidRPr="00E372DB">
        <w:rPr>
          <w:rFonts w:ascii="Times New Roman" w:eastAsia="Times New Roman" w:hAnsi="Times New Roman" w:cs="Times New Roman"/>
          <w:lang w:bidi="hi-IN"/>
        </w:rPr>
        <w:t>yiconditions</w:t>
      </w:r>
      <w:proofErr w:type="spellEnd"/>
      <w:r w:rsidRPr="00E372DB">
        <w:rPr>
          <w:rFonts w:ascii="Times New Roman" w:eastAsia="Times New Roman" w:hAnsi="Times New Roman" w:cs="Times New Roman"/>
          <w:lang w:bidi="hi-IN"/>
        </w:rPr>
        <w:t>.  pea (</w:t>
      </w:r>
      <w:r w:rsidRPr="00E372DB">
        <w:rPr>
          <w:rFonts w:ascii="Times New Roman" w:eastAsia="Times New Roman" w:hAnsi="Times New Roman" w:cs="Times New Roman"/>
          <w:i/>
          <w:iCs/>
          <w:lang w:bidi="hi-IN"/>
        </w:rPr>
        <w:t>Cicer arietinum</w:t>
      </w:r>
      <w:r w:rsidRPr="00E372DB">
        <w:rPr>
          <w:rFonts w:ascii="Times New Roman" w:eastAsia="Times New Roman" w:hAnsi="Times New Roman" w:cs="Times New Roman"/>
          <w:lang w:bidi="hi-IN"/>
        </w:rPr>
        <w:t xml:space="preserve"> L.) under rainfed conditions. Research on Crops, 18, 29.</w:t>
      </w:r>
    </w:p>
    <w:p w14:paraId="1142826B"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proofErr w:type="spellStart"/>
      <w:r w:rsidRPr="00E372DB">
        <w:rPr>
          <w:rFonts w:ascii="Times New Roman" w:eastAsia="Times New Roman" w:hAnsi="Times New Roman" w:cs="Times New Roman"/>
          <w:lang w:bidi="hi-IN"/>
        </w:rPr>
        <w:t>Hidoto</w:t>
      </w:r>
      <w:proofErr w:type="spellEnd"/>
      <w:r w:rsidRPr="00E372DB">
        <w:rPr>
          <w:rFonts w:ascii="Times New Roman" w:eastAsia="Times New Roman" w:hAnsi="Times New Roman" w:cs="Times New Roman"/>
          <w:lang w:bidi="hi-IN"/>
        </w:rPr>
        <w:t xml:space="preserve"> L, Worku W, Mohammed H, Bunyamin T (2017a) Effects of zinc application strategy on zinc content and productivity of chickpea grown under zinc deficient soils. Journal of Soil Science and Plant Nutrition 17, 112–126. doi:10.4067/S0718-95162017005000009 </w:t>
      </w:r>
    </w:p>
    <w:p w14:paraId="3F920BB4"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 xml:space="preserve">Hafeez B, </w:t>
      </w:r>
      <w:proofErr w:type="spellStart"/>
      <w:r w:rsidRPr="00E372DB">
        <w:rPr>
          <w:rFonts w:ascii="Times New Roman" w:eastAsia="Times New Roman" w:hAnsi="Times New Roman" w:cs="Times New Roman"/>
          <w:lang w:bidi="hi-IN"/>
        </w:rPr>
        <w:t>Khanif</w:t>
      </w:r>
      <w:proofErr w:type="spellEnd"/>
      <w:r w:rsidRPr="00E372DB">
        <w:rPr>
          <w:rFonts w:ascii="Times New Roman" w:eastAsia="Times New Roman" w:hAnsi="Times New Roman" w:cs="Times New Roman"/>
          <w:lang w:bidi="hi-IN"/>
        </w:rPr>
        <w:t xml:space="preserve"> Y, Saleem M (2013) Role of zinc in plant nutrition—a review. American Journal of Experimental Agriculture 3, 374–391. doi:10.9734/AJEA/2013/2746</w:t>
      </w:r>
    </w:p>
    <w:p w14:paraId="60D7C125"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proofErr w:type="spellStart"/>
      <w:r w:rsidRPr="00E372DB">
        <w:rPr>
          <w:rFonts w:ascii="Times New Roman" w:eastAsia="Times New Roman" w:hAnsi="Times New Roman" w:cs="Times New Roman"/>
          <w:lang w:bidi="hi-IN"/>
        </w:rPr>
        <w:t>Hidoto</w:t>
      </w:r>
      <w:proofErr w:type="spellEnd"/>
      <w:r w:rsidRPr="00E372DB">
        <w:rPr>
          <w:rFonts w:ascii="Times New Roman" w:eastAsia="Times New Roman" w:hAnsi="Times New Roman" w:cs="Times New Roman"/>
          <w:lang w:bidi="hi-IN"/>
        </w:rPr>
        <w:t xml:space="preserve"> Legesse, </w:t>
      </w:r>
      <w:proofErr w:type="spellStart"/>
      <w:r w:rsidRPr="00E372DB">
        <w:rPr>
          <w:rFonts w:ascii="Times New Roman" w:eastAsia="Times New Roman" w:hAnsi="Times New Roman" w:cs="Times New Roman"/>
          <w:lang w:bidi="hi-IN"/>
        </w:rPr>
        <w:t>Walelign</w:t>
      </w:r>
      <w:proofErr w:type="spellEnd"/>
      <w:r w:rsidRPr="00E372DB">
        <w:rPr>
          <w:rFonts w:ascii="Times New Roman" w:eastAsia="Times New Roman" w:hAnsi="Times New Roman" w:cs="Times New Roman"/>
          <w:lang w:bidi="hi-IN"/>
        </w:rPr>
        <w:t xml:space="preserve"> Worku, Husein Mohammed, Bunyamin </w:t>
      </w:r>
      <w:proofErr w:type="spellStart"/>
      <w:r w:rsidRPr="00E372DB">
        <w:rPr>
          <w:rFonts w:ascii="Times New Roman" w:eastAsia="Times New Roman" w:hAnsi="Times New Roman" w:cs="Times New Roman"/>
          <w:lang w:bidi="hi-IN"/>
        </w:rPr>
        <w:t>Tar’an</w:t>
      </w:r>
      <w:proofErr w:type="spellEnd"/>
      <w:r w:rsidRPr="00E372DB">
        <w:rPr>
          <w:rFonts w:ascii="Times New Roman" w:eastAsia="Times New Roman" w:hAnsi="Times New Roman" w:cs="Times New Roman"/>
          <w:lang w:bidi="hi-IN"/>
        </w:rPr>
        <w:t>, 2013, Agronomic Approach to Increase Seed Zinc Content and Productivity of Chickpea (Cicer Arietinum L.) Varieties on Zinc Deficient Soils of Southern Ethiopia, Advances in Life Science and Technology Vol. 42 doi:10.1023/A:1022808323744</w:t>
      </w:r>
    </w:p>
    <w:p w14:paraId="50199097"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Ramaprasad DP, Rao CP, Srinivasulu K. 2011. Effect of zinc management on yield and nutrient uptake of Kabuli chickpea. The Andhra Agric. J. 58(3):258-261.</w:t>
      </w:r>
    </w:p>
    <w:p w14:paraId="7FCCDD20"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 xml:space="preserve">Patel D, </w:t>
      </w:r>
      <w:proofErr w:type="spellStart"/>
      <w:r w:rsidRPr="00E372DB">
        <w:rPr>
          <w:rFonts w:ascii="Times New Roman" w:eastAsia="Times New Roman" w:hAnsi="Times New Roman" w:cs="Times New Roman"/>
          <w:lang w:bidi="hi-IN"/>
        </w:rPr>
        <w:t>Arvadia</w:t>
      </w:r>
      <w:proofErr w:type="spellEnd"/>
      <w:r w:rsidRPr="00E372DB">
        <w:rPr>
          <w:rFonts w:ascii="Times New Roman" w:eastAsia="Times New Roman" w:hAnsi="Times New Roman" w:cs="Times New Roman"/>
          <w:lang w:bidi="hi-IN"/>
        </w:rPr>
        <w:t xml:space="preserve"> MK, Patel AJ. Effect of integrated nutrient management on growth yield and nutrient uptake by chickpea on vertical of south Gujarat. Journal of Food Legumes. 2007; 20(1):113-114.</w:t>
      </w:r>
    </w:p>
    <w:p w14:paraId="714C0085"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 xml:space="preserve">Choudhary G.L., K.S. Rana, D.S. Rana and R.S. Bana, 2014, Performance of chickpea (Cicer arietinum) as influenced by moisture management and zinc fortification in </w:t>
      </w:r>
      <w:proofErr w:type="spellStart"/>
      <w:r w:rsidRPr="00E372DB">
        <w:rPr>
          <w:rFonts w:ascii="Times New Roman" w:eastAsia="Times New Roman" w:hAnsi="Times New Roman" w:cs="Times New Roman"/>
          <w:lang w:bidi="hi-IN"/>
        </w:rPr>
        <w:t>pearlmillet</w:t>
      </w:r>
      <w:proofErr w:type="spellEnd"/>
      <w:r w:rsidRPr="00E372DB">
        <w:rPr>
          <w:rFonts w:ascii="Times New Roman" w:eastAsia="Times New Roman" w:hAnsi="Times New Roman" w:cs="Times New Roman"/>
          <w:lang w:bidi="hi-IN"/>
        </w:rPr>
        <w:t xml:space="preserve">–chickpea cropping system under limited moisture conditions, Indian Journal of Agronomy 59(4): 61-67 </w:t>
      </w:r>
    </w:p>
    <w:p w14:paraId="0BBCDDBD" w14:textId="77777777" w:rsidR="00E372DB" w:rsidRPr="00E372DB" w:rsidRDefault="00E372DB" w:rsidP="00887192">
      <w:pPr>
        <w:numPr>
          <w:ilvl w:val="0"/>
          <w:numId w:val="4"/>
        </w:numPr>
        <w:spacing w:before="100" w:beforeAutospacing="1" w:after="100" w:afterAutospacing="1" w:line="240" w:lineRule="auto"/>
        <w:jc w:val="both"/>
        <w:rPr>
          <w:rFonts w:ascii="Times New Roman" w:eastAsia="Times New Roman" w:hAnsi="Times New Roman" w:cs="Times New Roman"/>
          <w:lang w:bidi="hi-IN"/>
        </w:rPr>
      </w:pPr>
      <w:r w:rsidRPr="00E372DB">
        <w:rPr>
          <w:rFonts w:ascii="Times New Roman" w:eastAsia="Times New Roman" w:hAnsi="Times New Roman" w:cs="Times New Roman"/>
          <w:lang w:bidi="hi-IN"/>
        </w:rPr>
        <w:t xml:space="preserve">Khan H, McDonald G, Rengel Z (2003) Zn fertilization improves water use efficiency, grain yield and seed Zn content in chickpea. Plant and Soil 249, 389–400. </w:t>
      </w:r>
    </w:p>
    <w:p w14:paraId="67935308" w14:textId="77777777" w:rsidR="00B805C4" w:rsidRPr="00E372DB" w:rsidRDefault="00B805C4" w:rsidP="00887192">
      <w:pPr>
        <w:jc w:val="both"/>
      </w:pPr>
    </w:p>
    <w:sectPr w:rsidR="00B805C4" w:rsidRPr="00E372DB">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CB1E5" w14:textId="77777777" w:rsidR="00125B91" w:rsidRDefault="00125B91" w:rsidP="00400D5E">
      <w:pPr>
        <w:spacing w:after="0" w:line="240" w:lineRule="auto"/>
      </w:pPr>
      <w:r>
        <w:separator/>
      </w:r>
    </w:p>
  </w:endnote>
  <w:endnote w:type="continuationSeparator" w:id="0">
    <w:p w14:paraId="210F213C" w14:textId="77777777" w:rsidR="00125B91" w:rsidRDefault="00125B91" w:rsidP="00400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5C1C0" w14:textId="77777777" w:rsidR="00400D5E" w:rsidRDefault="00400D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771DB" w14:textId="77777777" w:rsidR="00400D5E" w:rsidRDefault="00400D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F0DA1" w14:textId="77777777" w:rsidR="00400D5E" w:rsidRDefault="00400D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FBA09" w14:textId="77777777" w:rsidR="00125B91" w:rsidRDefault="00125B91" w:rsidP="00400D5E">
      <w:pPr>
        <w:spacing w:after="0" w:line="240" w:lineRule="auto"/>
      </w:pPr>
      <w:r>
        <w:separator/>
      </w:r>
    </w:p>
  </w:footnote>
  <w:footnote w:type="continuationSeparator" w:id="0">
    <w:p w14:paraId="4CB2DD53" w14:textId="77777777" w:rsidR="00125B91" w:rsidRDefault="00125B91" w:rsidP="00400D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D5CF1" w14:textId="3F821C2E" w:rsidR="00400D5E" w:rsidRDefault="00400D5E">
    <w:pPr>
      <w:pStyle w:val="Header"/>
    </w:pPr>
    <w:r>
      <w:rPr>
        <w:noProof/>
      </w:rPr>
      <w:pict w14:anchorId="24F0A8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865501"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34BBA" w14:textId="462738EE" w:rsidR="00400D5E" w:rsidRDefault="00400D5E">
    <w:pPr>
      <w:pStyle w:val="Header"/>
    </w:pPr>
    <w:r>
      <w:rPr>
        <w:noProof/>
      </w:rPr>
      <w:pict w14:anchorId="0AE9CB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865502"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0966C" w14:textId="33BD812C" w:rsidR="00400D5E" w:rsidRDefault="00400D5E">
    <w:pPr>
      <w:pStyle w:val="Header"/>
    </w:pPr>
    <w:r>
      <w:rPr>
        <w:noProof/>
      </w:rPr>
      <w:pict w14:anchorId="46A7F0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865500"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817EB"/>
    <w:multiLevelType w:val="multilevel"/>
    <w:tmpl w:val="9E081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6550EB"/>
    <w:multiLevelType w:val="multilevel"/>
    <w:tmpl w:val="16CCD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FD30E8"/>
    <w:multiLevelType w:val="multilevel"/>
    <w:tmpl w:val="C7386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CB4C45"/>
    <w:multiLevelType w:val="hybridMultilevel"/>
    <w:tmpl w:val="8A70823A"/>
    <w:lvl w:ilvl="0" w:tplc="E6AC0BB6">
      <w:start w:val="1"/>
      <w:numFmt w:val="lowerLetter"/>
      <w:lvlText w:val="(%1)"/>
      <w:lvlJc w:val="left"/>
      <w:pPr>
        <w:ind w:left="1353" w:hanging="360"/>
      </w:pPr>
      <w:rPr>
        <w:rFonts w:hint="default"/>
        <w:b/>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 w15:restartNumberingAfterBreak="0">
    <w:nsid w:val="6C205493"/>
    <w:multiLevelType w:val="multilevel"/>
    <w:tmpl w:val="9F448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4473012">
    <w:abstractNumId w:val="1"/>
  </w:num>
  <w:num w:numId="2" w16cid:durableId="188494586">
    <w:abstractNumId w:val="2"/>
  </w:num>
  <w:num w:numId="3" w16cid:durableId="54548385">
    <w:abstractNumId w:val="0"/>
  </w:num>
  <w:num w:numId="4" w16cid:durableId="222260806">
    <w:abstractNumId w:val="4"/>
  </w:num>
  <w:num w:numId="5" w16cid:durableId="2451190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2DB"/>
    <w:rsid w:val="00125B91"/>
    <w:rsid w:val="00137AF2"/>
    <w:rsid w:val="00146EAA"/>
    <w:rsid w:val="0030549D"/>
    <w:rsid w:val="003C2B08"/>
    <w:rsid w:val="00400D5E"/>
    <w:rsid w:val="00887192"/>
    <w:rsid w:val="00B805C4"/>
    <w:rsid w:val="00CD626D"/>
    <w:rsid w:val="00D0758D"/>
    <w:rsid w:val="00E372DB"/>
    <w:rsid w:val="00EC793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39C00"/>
  <w15:chartTrackingRefBased/>
  <w15:docId w15:val="{B2228B86-B695-48E3-B9CC-AC6E7A58F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E372DB"/>
    <w:pPr>
      <w:spacing w:before="100" w:beforeAutospacing="1" w:after="100" w:afterAutospacing="1" w:line="240" w:lineRule="auto"/>
    </w:pPr>
    <w:rPr>
      <w:rFonts w:ascii="Times New Roman" w:eastAsia="Times New Roman" w:hAnsi="Times New Roman" w:cs="Times New Roman"/>
      <w:sz w:val="24"/>
      <w:szCs w:val="24"/>
      <w:lang w:bidi="hi-IN"/>
    </w:rPr>
  </w:style>
  <w:style w:type="character" w:styleId="Strong">
    <w:name w:val="Strong"/>
    <w:basedOn w:val="DefaultParagraphFont"/>
    <w:uiPriority w:val="22"/>
    <w:qFormat/>
    <w:rsid w:val="00E372DB"/>
    <w:rPr>
      <w:b/>
      <w:bCs/>
    </w:rPr>
  </w:style>
  <w:style w:type="character" w:styleId="Emphasis">
    <w:name w:val="Emphasis"/>
    <w:basedOn w:val="DefaultParagraphFont"/>
    <w:uiPriority w:val="20"/>
    <w:qFormat/>
    <w:rsid w:val="00E372DB"/>
    <w:rPr>
      <w:i/>
      <w:iCs/>
    </w:rPr>
  </w:style>
  <w:style w:type="character" w:styleId="Hyperlink">
    <w:name w:val="Hyperlink"/>
    <w:basedOn w:val="DefaultParagraphFont"/>
    <w:uiPriority w:val="99"/>
    <w:unhideWhenUsed/>
    <w:rsid w:val="00E372DB"/>
    <w:rPr>
      <w:color w:val="0000FF"/>
      <w:u w:val="single"/>
    </w:rPr>
  </w:style>
  <w:style w:type="paragraph" w:styleId="ListParagraph">
    <w:name w:val="List Paragraph"/>
    <w:basedOn w:val="Normal"/>
    <w:uiPriority w:val="34"/>
    <w:qFormat/>
    <w:rsid w:val="00E372DB"/>
    <w:pPr>
      <w:ind w:left="720"/>
      <w:contextualSpacing/>
    </w:pPr>
  </w:style>
  <w:style w:type="character" w:styleId="UnresolvedMention">
    <w:name w:val="Unresolved Mention"/>
    <w:basedOn w:val="DefaultParagraphFont"/>
    <w:uiPriority w:val="99"/>
    <w:semiHidden/>
    <w:unhideWhenUsed/>
    <w:rsid w:val="00137AF2"/>
    <w:rPr>
      <w:color w:val="605E5C"/>
      <w:shd w:val="clear" w:color="auto" w:fill="E1DFDD"/>
    </w:rPr>
  </w:style>
  <w:style w:type="paragraph" w:styleId="Header">
    <w:name w:val="header"/>
    <w:basedOn w:val="Normal"/>
    <w:link w:val="HeaderChar"/>
    <w:uiPriority w:val="99"/>
    <w:unhideWhenUsed/>
    <w:rsid w:val="00400D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0D5E"/>
  </w:style>
  <w:style w:type="paragraph" w:styleId="Footer">
    <w:name w:val="footer"/>
    <w:basedOn w:val="Normal"/>
    <w:link w:val="FooterChar"/>
    <w:uiPriority w:val="99"/>
    <w:unhideWhenUsed/>
    <w:rsid w:val="00400D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0D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11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www.sciencedirect.com/journal/food-chemistry/vol/113/issue/4"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chart" Target="charts/chart1.xml"/><Relationship Id="rId12" Type="http://schemas.openxmlformats.org/officeDocument/2006/relationships/hyperlink" Target="https://www.sciencedirect.com/journal/food-chemistry"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hyperlink" Target="https://doi.org/10.9734/ijpss/2023/v35i214066" TargetMode="External"/><Relationship Id="rId23" Type="http://schemas.openxmlformats.org/officeDocument/2006/relationships/theme" Target="theme/theme1.xml"/><Relationship Id="rId10" Type="http://schemas.openxmlformats.org/officeDocument/2006/relationships/chart" Target="charts/chart4.xm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yperlink" Target="https://doi.org/10.9734/ijpss/2023/v35i214066"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esktop\plant%20height_result_8.12.2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esktop\plant%20height_result_8.12.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dmin\Desktop\plant%20height_result_8.12.24.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dmin\Desktop\plant%20height_result_8.12.24.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admin\Desktop\plant%20height_result_8.12.24.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PODS</a:t>
            </a:r>
            <a:r>
              <a:rPr lang="en-US" sz="1200" baseline="0">
                <a:latin typeface="Times New Roman" panose="02020603050405020304" pitchFamily="18" charset="0"/>
                <a:cs typeface="Times New Roman" panose="02020603050405020304" pitchFamily="18" charset="0"/>
              </a:rPr>
              <a:t> IN PLANT</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'no. of pods per plant'!$B$17</c:f>
              <c:strCache>
                <c:ptCount val="1"/>
                <c:pt idx="0">
                  <c:v>No. of pods per plant</c:v>
                </c:pt>
              </c:strCache>
            </c:strRef>
          </c:tx>
          <c:spPr>
            <a:solidFill>
              <a:schemeClr val="accent1"/>
            </a:solidFill>
            <a:ln>
              <a:noFill/>
            </a:ln>
            <a:effectLst/>
          </c:spPr>
          <c:invertIfNegative val="0"/>
          <c:cat>
            <c:strRef>
              <c:f>'no. of pods per plant'!$A$18:$A$27</c:f>
              <c:strCache>
                <c:ptCount val="10"/>
                <c:pt idx="0">
                  <c:v>T0</c:v>
                </c:pt>
                <c:pt idx="1">
                  <c:v>T1</c:v>
                </c:pt>
                <c:pt idx="2">
                  <c:v>T2</c:v>
                </c:pt>
                <c:pt idx="3">
                  <c:v>T3</c:v>
                </c:pt>
                <c:pt idx="4">
                  <c:v>T4</c:v>
                </c:pt>
                <c:pt idx="5">
                  <c:v>T5</c:v>
                </c:pt>
                <c:pt idx="6">
                  <c:v>T6</c:v>
                </c:pt>
                <c:pt idx="7">
                  <c:v>T7</c:v>
                </c:pt>
                <c:pt idx="8">
                  <c:v>T8</c:v>
                </c:pt>
                <c:pt idx="9">
                  <c:v>T9</c:v>
                </c:pt>
              </c:strCache>
            </c:strRef>
          </c:cat>
          <c:val>
            <c:numRef>
              <c:f>'no. of pods per plant'!$B$18:$B$27</c:f>
              <c:numCache>
                <c:formatCode>0.00</c:formatCode>
                <c:ptCount val="10"/>
                <c:pt idx="0">
                  <c:v>36.766666666666673</c:v>
                </c:pt>
                <c:pt idx="1">
                  <c:v>38.599999999999994</c:v>
                </c:pt>
                <c:pt idx="2">
                  <c:v>45.4</c:v>
                </c:pt>
                <c:pt idx="3">
                  <c:v>47.133333333333326</c:v>
                </c:pt>
                <c:pt idx="4">
                  <c:v>49.20000000000001</c:v>
                </c:pt>
                <c:pt idx="5">
                  <c:v>51.133333333333333</c:v>
                </c:pt>
                <c:pt idx="6">
                  <c:v>53.79999999999999</c:v>
                </c:pt>
                <c:pt idx="7">
                  <c:v>56.766666666666673</c:v>
                </c:pt>
                <c:pt idx="8">
                  <c:v>58.133333333333326</c:v>
                </c:pt>
                <c:pt idx="9">
                  <c:v>61.133333333333326</c:v>
                </c:pt>
              </c:numCache>
            </c:numRef>
          </c:val>
          <c:extLst>
            <c:ext xmlns:c16="http://schemas.microsoft.com/office/drawing/2014/chart" uri="{C3380CC4-5D6E-409C-BE32-E72D297353CC}">
              <c16:uniqueId val="{00000000-7BFF-48C6-B58B-3B8A257F8C7D}"/>
            </c:ext>
          </c:extLst>
        </c:ser>
        <c:ser>
          <c:idx val="1"/>
          <c:order val="1"/>
          <c:tx>
            <c:strRef>
              <c:f>'no. of pods per plant'!$C$17</c:f>
              <c:strCache>
                <c:ptCount val="1"/>
                <c:pt idx="0">
                  <c:v>No. of Seeds Per Pod</c:v>
                </c:pt>
              </c:strCache>
            </c:strRef>
          </c:tx>
          <c:spPr>
            <a:solidFill>
              <a:schemeClr val="accent2"/>
            </a:solidFill>
            <a:ln>
              <a:noFill/>
            </a:ln>
            <a:effectLst/>
          </c:spPr>
          <c:invertIfNegative val="0"/>
          <c:cat>
            <c:strRef>
              <c:f>'no. of pods per plant'!$A$18:$A$27</c:f>
              <c:strCache>
                <c:ptCount val="10"/>
                <c:pt idx="0">
                  <c:v>T0</c:v>
                </c:pt>
                <c:pt idx="1">
                  <c:v>T1</c:v>
                </c:pt>
                <c:pt idx="2">
                  <c:v>T2</c:v>
                </c:pt>
                <c:pt idx="3">
                  <c:v>T3</c:v>
                </c:pt>
                <c:pt idx="4">
                  <c:v>T4</c:v>
                </c:pt>
                <c:pt idx="5">
                  <c:v>T5</c:v>
                </c:pt>
                <c:pt idx="6">
                  <c:v>T6</c:v>
                </c:pt>
                <c:pt idx="7">
                  <c:v>T7</c:v>
                </c:pt>
                <c:pt idx="8">
                  <c:v>T8</c:v>
                </c:pt>
                <c:pt idx="9">
                  <c:v>T9</c:v>
                </c:pt>
              </c:strCache>
            </c:strRef>
          </c:cat>
          <c:val>
            <c:numRef>
              <c:f>'no. of pods per plant'!$C$18:$C$27</c:f>
              <c:numCache>
                <c:formatCode>0.00_ </c:formatCode>
                <c:ptCount val="10"/>
                <c:pt idx="0">
                  <c:v>1.63</c:v>
                </c:pt>
                <c:pt idx="1">
                  <c:v>1.8133333333333299</c:v>
                </c:pt>
                <c:pt idx="2">
                  <c:v>1.9566666666666701</c:v>
                </c:pt>
                <c:pt idx="3">
                  <c:v>2.1733333333333298</c:v>
                </c:pt>
                <c:pt idx="4">
                  <c:v>2.38</c:v>
                </c:pt>
                <c:pt idx="5">
                  <c:v>2.58</c:v>
                </c:pt>
                <c:pt idx="6">
                  <c:v>2.73</c:v>
                </c:pt>
                <c:pt idx="7" formatCode="General">
                  <c:v>2.89</c:v>
                </c:pt>
                <c:pt idx="8" formatCode="General">
                  <c:v>2.99</c:v>
                </c:pt>
                <c:pt idx="9">
                  <c:v>3.02</c:v>
                </c:pt>
              </c:numCache>
            </c:numRef>
          </c:val>
          <c:extLst>
            <c:ext xmlns:c16="http://schemas.microsoft.com/office/drawing/2014/chart" uri="{C3380CC4-5D6E-409C-BE32-E72D297353CC}">
              <c16:uniqueId val="{00000001-7BFF-48C6-B58B-3B8A257F8C7D}"/>
            </c:ext>
          </c:extLst>
        </c:ser>
        <c:dLbls>
          <c:showLegendKey val="0"/>
          <c:showVal val="0"/>
          <c:showCatName val="0"/>
          <c:showSerName val="0"/>
          <c:showPercent val="0"/>
          <c:showBubbleSize val="0"/>
        </c:dLbls>
        <c:gapWidth val="219"/>
        <c:overlap val="-27"/>
        <c:axId val="394562304"/>
        <c:axId val="394564264"/>
      </c:barChart>
      <c:catAx>
        <c:axId val="394562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564264"/>
        <c:crosses val="autoZero"/>
        <c:auto val="1"/>
        <c:lblAlgn val="ctr"/>
        <c:lblOffset val="100"/>
        <c:noMultiLvlLbl val="0"/>
      </c:catAx>
      <c:valAx>
        <c:axId val="3945642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562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TEST</a:t>
            </a:r>
            <a:r>
              <a:rPr lang="en-US" baseline="0"/>
              <a:t> WEIGHT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'Test weight'!$A$16:$A$25</c:f>
              <c:strCache>
                <c:ptCount val="10"/>
                <c:pt idx="0">
                  <c:v>T0</c:v>
                </c:pt>
                <c:pt idx="1">
                  <c:v>T1</c:v>
                </c:pt>
                <c:pt idx="2">
                  <c:v>T2</c:v>
                </c:pt>
                <c:pt idx="3">
                  <c:v>T3</c:v>
                </c:pt>
                <c:pt idx="4">
                  <c:v>T4</c:v>
                </c:pt>
                <c:pt idx="5">
                  <c:v>T5</c:v>
                </c:pt>
                <c:pt idx="6">
                  <c:v>T6</c:v>
                </c:pt>
                <c:pt idx="7">
                  <c:v>T7</c:v>
                </c:pt>
                <c:pt idx="8">
                  <c:v>T8</c:v>
                </c:pt>
                <c:pt idx="9">
                  <c:v>T9</c:v>
                </c:pt>
              </c:strCache>
            </c:strRef>
          </c:cat>
          <c:val>
            <c:numRef>
              <c:f>'Test weight'!$B$16:$B$25</c:f>
              <c:numCache>
                <c:formatCode>General</c:formatCode>
                <c:ptCount val="10"/>
                <c:pt idx="0">
                  <c:v>239.4666666666667</c:v>
                </c:pt>
                <c:pt idx="1">
                  <c:v>242.56666666666663</c:v>
                </c:pt>
                <c:pt idx="2">
                  <c:v>245.33333333333334</c:v>
                </c:pt>
                <c:pt idx="3">
                  <c:v>249.9666666666667</c:v>
                </c:pt>
                <c:pt idx="4">
                  <c:v>251.77333333333334</c:v>
                </c:pt>
                <c:pt idx="5">
                  <c:v>255.39333333333335</c:v>
                </c:pt>
                <c:pt idx="6">
                  <c:v>261.07333333333332</c:v>
                </c:pt>
                <c:pt idx="7">
                  <c:v>264.20999999999998</c:v>
                </c:pt>
                <c:pt idx="8">
                  <c:v>266.3</c:v>
                </c:pt>
                <c:pt idx="9">
                  <c:v>270.23333333333335</c:v>
                </c:pt>
              </c:numCache>
            </c:numRef>
          </c:val>
          <c:extLst>
            <c:ext xmlns:c16="http://schemas.microsoft.com/office/drawing/2014/chart" uri="{C3380CC4-5D6E-409C-BE32-E72D297353CC}">
              <c16:uniqueId val="{00000000-BFB4-40C4-A56D-744B6FA9F6E6}"/>
            </c:ext>
          </c:extLst>
        </c:ser>
        <c:dLbls>
          <c:showLegendKey val="0"/>
          <c:showVal val="0"/>
          <c:showCatName val="0"/>
          <c:showSerName val="0"/>
          <c:showPercent val="0"/>
          <c:showBubbleSize val="0"/>
        </c:dLbls>
        <c:gapWidth val="219"/>
        <c:overlap val="-27"/>
        <c:axId val="394562696"/>
        <c:axId val="394565048"/>
      </c:barChart>
      <c:catAx>
        <c:axId val="394562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565048"/>
        <c:crosses val="autoZero"/>
        <c:auto val="1"/>
        <c:lblAlgn val="ctr"/>
        <c:lblOffset val="100"/>
        <c:noMultiLvlLbl val="0"/>
      </c:catAx>
      <c:valAx>
        <c:axId val="394565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5626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Yields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'SEED YIELD (quatinalha)'!$B$43</c:f>
              <c:strCache>
                <c:ptCount val="1"/>
                <c:pt idx="0">
                  <c:v>Seed Yield (quatinal/ha)</c:v>
                </c:pt>
              </c:strCache>
            </c:strRef>
          </c:tx>
          <c:spPr>
            <a:solidFill>
              <a:schemeClr val="accent1"/>
            </a:solidFill>
            <a:ln>
              <a:noFill/>
            </a:ln>
            <a:effectLst/>
          </c:spPr>
          <c:invertIfNegative val="0"/>
          <c:cat>
            <c:strRef>
              <c:f>'SEED YIELD (quatinalha)'!$A$44:$A$53</c:f>
              <c:strCache>
                <c:ptCount val="10"/>
                <c:pt idx="0">
                  <c:v>T0</c:v>
                </c:pt>
                <c:pt idx="1">
                  <c:v>T1</c:v>
                </c:pt>
                <c:pt idx="2">
                  <c:v>T2</c:v>
                </c:pt>
                <c:pt idx="3">
                  <c:v>T3</c:v>
                </c:pt>
                <c:pt idx="4">
                  <c:v>T4</c:v>
                </c:pt>
                <c:pt idx="5">
                  <c:v>T5</c:v>
                </c:pt>
                <c:pt idx="6">
                  <c:v>T6</c:v>
                </c:pt>
                <c:pt idx="7">
                  <c:v>T7</c:v>
                </c:pt>
                <c:pt idx="8">
                  <c:v>T8</c:v>
                </c:pt>
                <c:pt idx="9">
                  <c:v>T9</c:v>
                </c:pt>
              </c:strCache>
            </c:strRef>
          </c:cat>
          <c:val>
            <c:numRef>
              <c:f>'SEED YIELD (quatinalha)'!$B$44:$B$53</c:f>
              <c:numCache>
                <c:formatCode>0.00</c:formatCode>
                <c:ptCount val="10"/>
                <c:pt idx="0">
                  <c:v>12.44</c:v>
                </c:pt>
                <c:pt idx="1">
                  <c:v>13.25</c:v>
                </c:pt>
                <c:pt idx="2">
                  <c:v>13.753333333333332</c:v>
                </c:pt>
                <c:pt idx="3">
                  <c:v>13.699999999999998</c:v>
                </c:pt>
                <c:pt idx="4">
                  <c:v>13.18</c:v>
                </c:pt>
                <c:pt idx="5">
                  <c:v>13.979999999999999</c:v>
                </c:pt>
                <c:pt idx="6">
                  <c:v>14.633333333333333</c:v>
                </c:pt>
                <c:pt idx="7">
                  <c:v>17.633333333333336</c:v>
                </c:pt>
                <c:pt idx="8">
                  <c:v>19.366666666666667</c:v>
                </c:pt>
                <c:pt idx="9">
                  <c:v>20.2</c:v>
                </c:pt>
              </c:numCache>
            </c:numRef>
          </c:val>
          <c:extLst>
            <c:ext xmlns:c16="http://schemas.microsoft.com/office/drawing/2014/chart" uri="{C3380CC4-5D6E-409C-BE32-E72D297353CC}">
              <c16:uniqueId val="{00000000-FF1C-45E9-9C69-FF463E5606A3}"/>
            </c:ext>
          </c:extLst>
        </c:ser>
        <c:ser>
          <c:idx val="1"/>
          <c:order val="1"/>
          <c:tx>
            <c:strRef>
              <c:f>'SEED YIELD (quatinalha)'!$C$43</c:f>
              <c:strCache>
                <c:ptCount val="1"/>
                <c:pt idx="0">
                  <c:v>Straw Yield (Quatinal/ha)</c:v>
                </c:pt>
              </c:strCache>
            </c:strRef>
          </c:tx>
          <c:spPr>
            <a:solidFill>
              <a:schemeClr val="accent2"/>
            </a:solidFill>
            <a:ln>
              <a:noFill/>
            </a:ln>
            <a:effectLst/>
          </c:spPr>
          <c:invertIfNegative val="0"/>
          <c:cat>
            <c:strRef>
              <c:f>'SEED YIELD (quatinalha)'!$A$44:$A$53</c:f>
              <c:strCache>
                <c:ptCount val="10"/>
                <c:pt idx="0">
                  <c:v>T0</c:v>
                </c:pt>
                <c:pt idx="1">
                  <c:v>T1</c:v>
                </c:pt>
                <c:pt idx="2">
                  <c:v>T2</c:v>
                </c:pt>
                <c:pt idx="3">
                  <c:v>T3</c:v>
                </c:pt>
                <c:pt idx="4">
                  <c:v>T4</c:v>
                </c:pt>
                <c:pt idx="5">
                  <c:v>T5</c:v>
                </c:pt>
                <c:pt idx="6">
                  <c:v>T6</c:v>
                </c:pt>
                <c:pt idx="7">
                  <c:v>T7</c:v>
                </c:pt>
                <c:pt idx="8">
                  <c:v>T8</c:v>
                </c:pt>
                <c:pt idx="9">
                  <c:v>T9</c:v>
                </c:pt>
              </c:strCache>
            </c:strRef>
          </c:cat>
          <c:val>
            <c:numRef>
              <c:f>'SEED YIELD (quatinalha)'!$C$44:$C$53</c:f>
              <c:numCache>
                <c:formatCode>0.00</c:formatCode>
                <c:ptCount val="10"/>
                <c:pt idx="0">
                  <c:v>14.036666666666667</c:v>
                </c:pt>
                <c:pt idx="1">
                  <c:v>14.920000000000002</c:v>
                </c:pt>
                <c:pt idx="2">
                  <c:v>15.89</c:v>
                </c:pt>
                <c:pt idx="3">
                  <c:v>15.946666666666665</c:v>
                </c:pt>
                <c:pt idx="4">
                  <c:v>14.64</c:v>
                </c:pt>
                <c:pt idx="5">
                  <c:v>15.979999999999999</c:v>
                </c:pt>
                <c:pt idx="6">
                  <c:v>16.599999999999998</c:v>
                </c:pt>
                <c:pt idx="7">
                  <c:v>19.099999999999998</c:v>
                </c:pt>
                <c:pt idx="8">
                  <c:v>21.166666666666668</c:v>
                </c:pt>
                <c:pt idx="9">
                  <c:v>24.8</c:v>
                </c:pt>
              </c:numCache>
            </c:numRef>
          </c:val>
          <c:extLst>
            <c:ext xmlns:c16="http://schemas.microsoft.com/office/drawing/2014/chart" uri="{C3380CC4-5D6E-409C-BE32-E72D297353CC}">
              <c16:uniqueId val="{00000001-FF1C-45E9-9C69-FF463E5606A3}"/>
            </c:ext>
          </c:extLst>
        </c:ser>
        <c:ser>
          <c:idx val="2"/>
          <c:order val="2"/>
          <c:tx>
            <c:strRef>
              <c:f>'SEED YIELD (quatinalha)'!$D$43</c:f>
              <c:strCache>
                <c:ptCount val="1"/>
                <c:pt idx="0">
                  <c:v>Seed Index </c:v>
                </c:pt>
              </c:strCache>
            </c:strRef>
          </c:tx>
          <c:spPr>
            <a:solidFill>
              <a:schemeClr val="accent3"/>
            </a:solidFill>
            <a:ln>
              <a:noFill/>
            </a:ln>
            <a:effectLst/>
          </c:spPr>
          <c:invertIfNegative val="0"/>
          <c:cat>
            <c:strRef>
              <c:f>'SEED YIELD (quatinalha)'!$A$44:$A$53</c:f>
              <c:strCache>
                <c:ptCount val="10"/>
                <c:pt idx="0">
                  <c:v>T0</c:v>
                </c:pt>
                <c:pt idx="1">
                  <c:v>T1</c:v>
                </c:pt>
                <c:pt idx="2">
                  <c:v>T2</c:v>
                </c:pt>
                <c:pt idx="3">
                  <c:v>T3</c:v>
                </c:pt>
                <c:pt idx="4">
                  <c:v>T4</c:v>
                </c:pt>
                <c:pt idx="5">
                  <c:v>T5</c:v>
                </c:pt>
                <c:pt idx="6">
                  <c:v>T6</c:v>
                </c:pt>
                <c:pt idx="7">
                  <c:v>T7</c:v>
                </c:pt>
                <c:pt idx="8">
                  <c:v>T8</c:v>
                </c:pt>
                <c:pt idx="9">
                  <c:v>T9</c:v>
                </c:pt>
              </c:strCache>
            </c:strRef>
          </c:cat>
          <c:val>
            <c:numRef>
              <c:f>'SEED YIELD (quatinalha)'!$D$44:$D$53</c:f>
              <c:numCache>
                <c:formatCode>0.00</c:formatCode>
                <c:ptCount val="10"/>
                <c:pt idx="0">
                  <c:v>8.8333333333333339</c:v>
                </c:pt>
                <c:pt idx="1">
                  <c:v>9.8666666666666671</c:v>
                </c:pt>
                <c:pt idx="2">
                  <c:v>10.136666666666667</c:v>
                </c:pt>
                <c:pt idx="3">
                  <c:v>11.299999999999999</c:v>
                </c:pt>
                <c:pt idx="4">
                  <c:v>11.866666666666667</c:v>
                </c:pt>
                <c:pt idx="5">
                  <c:v>12.166666666666666</c:v>
                </c:pt>
                <c:pt idx="6">
                  <c:v>12.733333333333334</c:v>
                </c:pt>
                <c:pt idx="7">
                  <c:v>13.200000000000001</c:v>
                </c:pt>
                <c:pt idx="8">
                  <c:v>13.866666666666667</c:v>
                </c:pt>
                <c:pt idx="9">
                  <c:v>14.200000000000001</c:v>
                </c:pt>
              </c:numCache>
            </c:numRef>
          </c:val>
          <c:extLst>
            <c:ext xmlns:c16="http://schemas.microsoft.com/office/drawing/2014/chart" uri="{C3380CC4-5D6E-409C-BE32-E72D297353CC}">
              <c16:uniqueId val="{00000002-FF1C-45E9-9C69-FF463E5606A3}"/>
            </c:ext>
          </c:extLst>
        </c:ser>
        <c:ser>
          <c:idx val="3"/>
          <c:order val="3"/>
          <c:tx>
            <c:strRef>
              <c:f>'SEED YIELD (quatinalha)'!$E$43</c:f>
              <c:strCache>
                <c:ptCount val="1"/>
                <c:pt idx="0">
                  <c:v>Biological Yield </c:v>
                </c:pt>
              </c:strCache>
            </c:strRef>
          </c:tx>
          <c:spPr>
            <a:solidFill>
              <a:schemeClr val="accent4"/>
            </a:solidFill>
            <a:ln>
              <a:noFill/>
            </a:ln>
            <a:effectLst/>
          </c:spPr>
          <c:invertIfNegative val="0"/>
          <c:cat>
            <c:strRef>
              <c:f>'SEED YIELD (quatinalha)'!$A$44:$A$53</c:f>
              <c:strCache>
                <c:ptCount val="10"/>
                <c:pt idx="0">
                  <c:v>T0</c:v>
                </c:pt>
                <c:pt idx="1">
                  <c:v>T1</c:v>
                </c:pt>
                <c:pt idx="2">
                  <c:v>T2</c:v>
                </c:pt>
                <c:pt idx="3">
                  <c:v>T3</c:v>
                </c:pt>
                <c:pt idx="4">
                  <c:v>T4</c:v>
                </c:pt>
                <c:pt idx="5">
                  <c:v>T5</c:v>
                </c:pt>
                <c:pt idx="6">
                  <c:v>T6</c:v>
                </c:pt>
                <c:pt idx="7">
                  <c:v>T7</c:v>
                </c:pt>
                <c:pt idx="8">
                  <c:v>T8</c:v>
                </c:pt>
                <c:pt idx="9">
                  <c:v>T9</c:v>
                </c:pt>
              </c:strCache>
            </c:strRef>
          </c:cat>
          <c:val>
            <c:numRef>
              <c:f>'SEED YIELD (quatinalha)'!$E$44:$E$53</c:f>
              <c:numCache>
                <c:formatCode>0.00</c:formatCode>
                <c:ptCount val="10"/>
                <c:pt idx="0">
                  <c:v>26.143333333333331</c:v>
                </c:pt>
                <c:pt idx="1">
                  <c:v>28.090000000000003</c:v>
                </c:pt>
                <c:pt idx="2">
                  <c:v>30.33666666666667</c:v>
                </c:pt>
                <c:pt idx="3">
                  <c:v>31.8</c:v>
                </c:pt>
                <c:pt idx="4">
                  <c:v>33.666666666666671</c:v>
                </c:pt>
                <c:pt idx="5">
                  <c:v>35.466666666666661</c:v>
                </c:pt>
                <c:pt idx="6">
                  <c:v>37.133333333333333</c:v>
                </c:pt>
                <c:pt idx="7">
                  <c:v>39.266666666666666</c:v>
                </c:pt>
                <c:pt idx="8">
                  <c:v>41.733333333333341</c:v>
                </c:pt>
                <c:pt idx="9">
                  <c:v>44.70000000000001</c:v>
                </c:pt>
              </c:numCache>
            </c:numRef>
          </c:val>
          <c:extLst>
            <c:ext xmlns:c16="http://schemas.microsoft.com/office/drawing/2014/chart" uri="{C3380CC4-5D6E-409C-BE32-E72D297353CC}">
              <c16:uniqueId val="{00000003-FF1C-45E9-9C69-FF463E5606A3}"/>
            </c:ext>
          </c:extLst>
        </c:ser>
        <c:ser>
          <c:idx val="4"/>
          <c:order val="4"/>
          <c:tx>
            <c:strRef>
              <c:f>'SEED YIELD (quatinalha)'!$F$43</c:f>
              <c:strCache>
                <c:ptCount val="1"/>
                <c:pt idx="0">
                  <c:v>Harvest Index</c:v>
                </c:pt>
              </c:strCache>
            </c:strRef>
          </c:tx>
          <c:spPr>
            <a:solidFill>
              <a:schemeClr val="accent5"/>
            </a:solidFill>
            <a:ln>
              <a:noFill/>
            </a:ln>
            <a:effectLst/>
          </c:spPr>
          <c:invertIfNegative val="0"/>
          <c:cat>
            <c:strRef>
              <c:f>'SEED YIELD (quatinalha)'!$A$44:$A$53</c:f>
              <c:strCache>
                <c:ptCount val="10"/>
                <c:pt idx="0">
                  <c:v>T0</c:v>
                </c:pt>
                <c:pt idx="1">
                  <c:v>T1</c:v>
                </c:pt>
                <c:pt idx="2">
                  <c:v>T2</c:v>
                </c:pt>
                <c:pt idx="3">
                  <c:v>T3</c:v>
                </c:pt>
                <c:pt idx="4">
                  <c:v>T4</c:v>
                </c:pt>
                <c:pt idx="5">
                  <c:v>T5</c:v>
                </c:pt>
                <c:pt idx="6">
                  <c:v>T6</c:v>
                </c:pt>
                <c:pt idx="7">
                  <c:v>T7</c:v>
                </c:pt>
                <c:pt idx="8">
                  <c:v>T8</c:v>
                </c:pt>
                <c:pt idx="9">
                  <c:v>T9</c:v>
                </c:pt>
              </c:strCache>
            </c:strRef>
          </c:cat>
          <c:val>
            <c:numRef>
              <c:f>'SEED YIELD (quatinalha)'!$F$44:$F$53</c:f>
              <c:numCache>
                <c:formatCode>0.00</c:formatCode>
                <c:ptCount val="10"/>
                <c:pt idx="0">
                  <c:v>33.78809129159761</c:v>
                </c:pt>
                <c:pt idx="1">
                  <c:v>35.125192832562</c:v>
                </c:pt>
                <c:pt idx="2">
                  <c:v>33.413910559279195</c:v>
                </c:pt>
                <c:pt idx="3">
                  <c:v>35.534591194968549</c:v>
                </c:pt>
                <c:pt idx="4">
                  <c:v>35.247524752475243</c:v>
                </c:pt>
                <c:pt idx="5">
                  <c:v>34.304511278195491</c:v>
                </c:pt>
                <c:pt idx="6">
                  <c:v>34.290843806104135</c:v>
                </c:pt>
                <c:pt idx="7">
                  <c:v>33.616298811544993</c:v>
                </c:pt>
                <c:pt idx="8">
                  <c:v>33.22683706070287</c:v>
                </c:pt>
                <c:pt idx="9">
                  <c:v>31.76733780760626</c:v>
                </c:pt>
              </c:numCache>
            </c:numRef>
          </c:val>
          <c:extLst>
            <c:ext xmlns:c16="http://schemas.microsoft.com/office/drawing/2014/chart" uri="{C3380CC4-5D6E-409C-BE32-E72D297353CC}">
              <c16:uniqueId val="{00000004-FF1C-45E9-9C69-FF463E5606A3}"/>
            </c:ext>
          </c:extLst>
        </c:ser>
        <c:dLbls>
          <c:showLegendKey val="0"/>
          <c:showVal val="0"/>
          <c:showCatName val="0"/>
          <c:showSerName val="0"/>
          <c:showPercent val="0"/>
          <c:showBubbleSize val="0"/>
        </c:dLbls>
        <c:gapWidth val="219"/>
        <c:overlap val="-27"/>
        <c:axId val="394563872"/>
        <c:axId val="394561520"/>
      </c:barChart>
      <c:catAx>
        <c:axId val="394563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561520"/>
        <c:crosses val="autoZero"/>
        <c:auto val="1"/>
        <c:lblAlgn val="ctr"/>
        <c:lblOffset val="100"/>
        <c:noMultiLvlLbl val="0"/>
      </c:catAx>
      <c:valAx>
        <c:axId val="3945615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563872"/>
        <c:crosses val="autoZero"/>
        <c:crossBetween val="between"/>
      </c:valAx>
      <c:spPr>
        <a:noFill/>
        <a:ln>
          <a:noFill/>
        </a:ln>
        <a:effectLst/>
      </c:spPr>
    </c:plotArea>
    <c:legend>
      <c:legendPos val="b"/>
      <c:layout>
        <c:manualLayout>
          <c:xMode val="edge"/>
          <c:yMode val="edge"/>
          <c:x val="0"/>
          <c:y val="0.82291557305336838"/>
          <c:w val="1"/>
          <c:h val="0.1493066491688538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Sheet4!$L$4</c:f>
              <c:strCache>
                <c:ptCount val="1"/>
                <c:pt idx="0">
                  <c:v>Gross return</c:v>
                </c:pt>
              </c:strCache>
            </c:strRef>
          </c:tx>
          <c:spPr>
            <a:solidFill>
              <a:schemeClr val="accent1"/>
            </a:solidFill>
            <a:ln>
              <a:noFill/>
            </a:ln>
            <a:effectLst/>
          </c:spPr>
          <c:invertIfNegative val="0"/>
          <c:cat>
            <c:strRef>
              <c:f>Sheet4!$K$5:$K$14</c:f>
              <c:strCache>
                <c:ptCount val="10"/>
                <c:pt idx="0">
                  <c:v>T0</c:v>
                </c:pt>
                <c:pt idx="1">
                  <c:v>T1</c:v>
                </c:pt>
                <c:pt idx="2">
                  <c:v>T2</c:v>
                </c:pt>
                <c:pt idx="3">
                  <c:v>T3</c:v>
                </c:pt>
                <c:pt idx="4">
                  <c:v>T4</c:v>
                </c:pt>
                <c:pt idx="5">
                  <c:v>T5</c:v>
                </c:pt>
                <c:pt idx="6">
                  <c:v>T6</c:v>
                </c:pt>
                <c:pt idx="7">
                  <c:v>T7</c:v>
                </c:pt>
                <c:pt idx="8">
                  <c:v>T8</c:v>
                </c:pt>
                <c:pt idx="9">
                  <c:v>T9</c:v>
                </c:pt>
              </c:strCache>
            </c:strRef>
          </c:cat>
          <c:val>
            <c:numRef>
              <c:f>Sheet4!$L$5:$L$14</c:f>
              <c:numCache>
                <c:formatCode>General</c:formatCode>
                <c:ptCount val="10"/>
                <c:pt idx="0">
                  <c:v>49369</c:v>
                </c:pt>
                <c:pt idx="1">
                  <c:v>59800</c:v>
                </c:pt>
                <c:pt idx="2">
                  <c:v>67800</c:v>
                </c:pt>
                <c:pt idx="3">
                  <c:v>72290</c:v>
                </c:pt>
                <c:pt idx="4">
                  <c:v>77990</c:v>
                </c:pt>
                <c:pt idx="5">
                  <c:v>83619</c:v>
                </c:pt>
                <c:pt idx="6">
                  <c:v>88500</c:v>
                </c:pt>
                <c:pt idx="7">
                  <c:v>92398</c:v>
                </c:pt>
                <c:pt idx="8">
                  <c:v>99813</c:v>
                </c:pt>
                <c:pt idx="9">
                  <c:v>125187</c:v>
                </c:pt>
              </c:numCache>
            </c:numRef>
          </c:val>
          <c:extLst>
            <c:ext xmlns:c16="http://schemas.microsoft.com/office/drawing/2014/chart" uri="{C3380CC4-5D6E-409C-BE32-E72D297353CC}">
              <c16:uniqueId val="{00000000-B0EA-4F3D-800D-5C234AA0E2D2}"/>
            </c:ext>
          </c:extLst>
        </c:ser>
        <c:ser>
          <c:idx val="1"/>
          <c:order val="1"/>
          <c:tx>
            <c:strRef>
              <c:f>Sheet4!$M$4</c:f>
              <c:strCache>
                <c:ptCount val="1"/>
                <c:pt idx="0">
                  <c:v>Net Return</c:v>
                </c:pt>
              </c:strCache>
            </c:strRef>
          </c:tx>
          <c:spPr>
            <a:solidFill>
              <a:schemeClr val="accent2"/>
            </a:solidFill>
            <a:ln>
              <a:noFill/>
            </a:ln>
            <a:effectLst/>
          </c:spPr>
          <c:invertIfNegative val="0"/>
          <c:cat>
            <c:strRef>
              <c:f>Sheet4!$K$5:$K$14</c:f>
              <c:strCache>
                <c:ptCount val="10"/>
                <c:pt idx="0">
                  <c:v>T0</c:v>
                </c:pt>
                <c:pt idx="1">
                  <c:v>T1</c:v>
                </c:pt>
                <c:pt idx="2">
                  <c:v>T2</c:v>
                </c:pt>
                <c:pt idx="3">
                  <c:v>T3</c:v>
                </c:pt>
                <c:pt idx="4">
                  <c:v>T4</c:v>
                </c:pt>
                <c:pt idx="5">
                  <c:v>T5</c:v>
                </c:pt>
                <c:pt idx="6">
                  <c:v>T6</c:v>
                </c:pt>
                <c:pt idx="7">
                  <c:v>T7</c:v>
                </c:pt>
                <c:pt idx="8">
                  <c:v>T8</c:v>
                </c:pt>
                <c:pt idx="9">
                  <c:v>T9</c:v>
                </c:pt>
              </c:strCache>
            </c:strRef>
          </c:cat>
          <c:val>
            <c:numRef>
              <c:f>Sheet4!$M$5:$M$14</c:f>
              <c:numCache>
                <c:formatCode>General</c:formatCode>
                <c:ptCount val="10"/>
                <c:pt idx="0">
                  <c:v>18948</c:v>
                </c:pt>
                <c:pt idx="1">
                  <c:v>28350</c:v>
                </c:pt>
                <c:pt idx="2">
                  <c:v>34011</c:v>
                </c:pt>
                <c:pt idx="3">
                  <c:v>36840</c:v>
                </c:pt>
                <c:pt idx="4">
                  <c:v>41336</c:v>
                </c:pt>
                <c:pt idx="5">
                  <c:v>45719</c:v>
                </c:pt>
                <c:pt idx="6">
                  <c:v>50000</c:v>
                </c:pt>
                <c:pt idx="7">
                  <c:v>53498</c:v>
                </c:pt>
                <c:pt idx="8">
                  <c:v>59724</c:v>
                </c:pt>
                <c:pt idx="9">
                  <c:v>83131</c:v>
                </c:pt>
              </c:numCache>
            </c:numRef>
          </c:val>
          <c:extLst>
            <c:ext xmlns:c16="http://schemas.microsoft.com/office/drawing/2014/chart" uri="{C3380CC4-5D6E-409C-BE32-E72D297353CC}">
              <c16:uniqueId val="{00000001-B0EA-4F3D-800D-5C234AA0E2D2}"/>
            </c:ext>
          </c:extLst>
        </c:ser>
        <c:dLbls>
          <c:showLegendKey val="0"/>
          <c:showVal val="0"/>
          <c:showCatName val="0"/>
          <c:showSerName val="0"/>
          <c:showPercent val="0"/>
          <c:showBubbleSize val="0"/>
        </c:dLbls>
        <c:gapWidth val="219"/>
        <c:overlap val="-27"/>
        <c:axId val="394928304"/>
        <c:axId val="394927128"/>
      </c:barChart>
      <c:catAx>
        <c:axId val="394928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927128"/>
        <c:crosses val="autoZero"/>
        <c:auto val="1"/>
        <c:lblAlgn val="ctr"/>
        <c:lblOffset val="100"/>
        <c:noMultiLvlLbl val="0"/>
      </c:catAx>
      <c:valAx>
        <c:axId val="394927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928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Sheet4!$L$4</c:f>
              <c:strCache>
                <c:ptCount val="1"/>
                <c:pt idx="0">
                  <c:v>B:C Ratio</c:v>
                </c:pt>
              </c:strCache>
            </c:strRef>
          </c:tx>
          <c:spPr>
            <a:solidFill>
              <a:schemeClr val="accent1"/>
            </a:solidFill>
            <a:ln>
              <a:noFill/>
            </a:ln>
            <a:effectLst/>
          </c:spPr>
          <c:invertIfNegative val="0"/>
          <c:cat>
            <c:strRef>
              <c:f>Sheet4!$K$5:$K$14</c:f>
              <c:strCache>
                <c:ptCount val="10"/>
                <c:pt idx="0">
                  <c:v>T0</c:v>
                </c:pt>
                <c:pt idx="1">
                  <c:v>T1</c:v>
                </c:pt>
                <c:pt idx="2">
                  <c:v>T2</c:v>
                </c:pt>
                <c:pt idx="3">
                  <c:v>T3</c:v>
                </c:pt>
                <c:pt idx="4">
                  <c:v>T4</c:v>
                </c:pt>
                <c:pt idx="5">
                  <c:v>T5</c:v>
                </c:pt>
                <c:pt idx="6">
                  <c:v>T6</c:v>
                </c:pt>
                <c:pt idx="7">
                  <c:v>T7</c:v>
                </c:pt>
                <c:pt idx="8">
                  <c:v>T8</c:v>
                </c:pt>
                <c:pt idx="9">
                  <c:v>T9</c:v>
                </c:pt>
              </c:strCache>
            </c:strRef>
          </c:cat>
          <c:val>
            <c:numRef>
              <c:f>Sheet4!$L$5:$L$14</c:f>
              <c:numCache>
                <c:formatCode>0.00</c:formatCode>
                <c:ptCount val="10"/>
                <c:pt idx="0">
                  <c:v>0.62285920909897763</c:v>
                </c:pt>
                <c:pt idx="1">
                  <c:v>0.90143084260731321</c:v>
                </c:pt>
                <c:pt idx="2">
                  <c:v>1.0065701855633491</c:v>
                </c:pt>
                <c:pt idx="3">
                  <c:v>1.0392101551480959</c:v>
                </c:pt>
                <c:pt idx="4">
                  <c:v>1.1277350357396192</c:v>
                </c:pt>
                <c:pt idx="5">
                  <c:v>1.2063060686015832</c:v>
                </c:pt>
                <c:pt idx="6">
                  <c:v>1.2987012987012987</c:v>
                </c:pt>
                <c:pt idx="7">
                  <c:v>1.3752699228791774</c:v>
                </c:pt>
                <c:pt idx="8">
                  <c:v>1.4897852278679937</c:v>
                </c:pt>
                <c:pt idx="9">
                  <c:v>1.9766739585314819</c:v>
                </c:pt>
              </c:numCache>
            </c:numRef>
          </c:val>
          <c:extLst>
            <c:ext xmlns:c16="http://schemas.microsoft.com/office/drawing/2014/chart" uri="{C3380CC4-5D6E-409C-BE32-E72D297353CC}">
              <c16:uniqueId val="{00000000-C732-46DB-85E4-1D96186E869E}"/>
            </c:ext>
          </c:extLst>
        </c:ser>
        <c:dLbls>
          <c:showLegendKey val="0"/>
          <c:showVal val="0"/>
          <c:showCatName val="0"/>
          <c:showSerName val="0"/>
          <c:showPercent val="0"/>
          <c:showBubbleSize val="0"/>
        </c:dLbls>
        <c:gapWidth val="150"/>
        <c:axId val="394925560"/>
        <c:axId val="394926344"/>
      </c:barChart>
      <c:catAx>
        <c:axId val="394925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926344"/>
        <c:crosses val="autoZero"/>
        <c:auto val="1"/>
        <c:lblAlgn val="ctr"/>
        <c:lblOffset val="100"/>
        <c:noMultiLvlLbl val="0"/>
      </c:catAx>
      <c:valAx>
        <c:axId val="3949263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925560"/>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12</Pages>
  <Words>4794</Words>
  <Characters>27332</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SDI 1166</cp:lastModifiedBy>
  <cp:revision>7</cp:revision>
  <dcterms:created xsi:type="dcterms:W3CDTF">2026-08-12T04:25:00Z</dcterms:created>
  <dcterms:modified xsi:type="dcterms:W3CDTF">2026-08-18T13:27:00Z</dcterms:modified>
</cp:coreProperties>
</file>