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C3D897" w14:textId="77777777" w:rsidR="006641D3" w:rsidRDefault="00000000">
      <w:pPr>
        <w:pStyle w:val="Title"/>
        <w:keepNext/>
        <w:spacing w:after="240"/>
      </w:pPr>
      <w:r>
        <w:rPr>
          <w:rFonts w:ascii="Arial" w:eastAsia="Arial" w:hAnsi="Arial" w:cs="Arial"/>
          <w:color w:val="000000"/>
          <w:szCs w:val="36"/>
        </w:rPr>
        <w:t>From Formal Novelty to Competency Advancement: The Design and Practice of Innovative Primary English Homework under China’s “Double Reduction” Policy</w:t>
      </w:r>
    </w:p>
    <w:p w14:paraId="47553529" w14:textId="77777777" w:rsidR="000E1119" w:rsidRDefault="000E1119">
      <w:pPr>
        <w:pStyle w:val="Affiliation"/>
        <w:keepNext/>
        <w:spacing w:after="0" w:line="240" w:lineRule="auto"/>
        <w:rPr>
          <w:rFonts w:ascii="Arial" w:eastAsia="Arial" w:hAnsi="Arial" w:cs="Arial"/>
          <w:i/>
          <w:color w:val="000000"/>
        </w:rPr>
      </w:pPr>
    </w:p>
    <w:p w14:paraId="6161A63C" w14:textId="77777777" w:rsidR="006641D3" w:rsidRDefault="00000000">
      <w:pPr>
        <w:pStyle w:val="Copyright"/>
        <w:suppressLineNumbers/>
        <w:spacing w:before="120" w:after="120" w:line="240" w:lineRule="auto"/>
        <w:jc w:val="both"/>
        <w:rPr>
          <w:rFonts w:ascii="Arial" w:hAnsi="Arial" w:cs="Arial"/>
        </w:rPr>
        <w:sectPr w:rsidR="006641D3" w:rsidSect="002F794E">
          <w:headerReference w:type="even" r:id="rId9"/>
          <w:headerReference w:type="default" r:id="rId10"/>
          <w:footerReference w:type="even" r:id="rId11"/>
          <w:footerReference w:type="default" r:id="rId12"/>
          <w:headerReference w:type="first" r:id="rId13"/>
          <w:footerReference w:type="first" r:id="rId14"/>
          <w:pgSz w:w="12240" w:h="15840"/>
          <w:pgMar w:top="1440" w:right="2016" w:bottom="2016" w:left="2016" w:header="720" w:footer="1296" w:gutter="0"/>
          <w:cols w:space="720"/>
          <w:docGrid w:linePitch="272"/>
        </w:sectPr>
      </w:pPr>
      <w:r>
        <w:rPr>
          <w:rFonts w:ascii="Arial" w:hAnsi="Arial" w:cs="Arial"/>
          <w:noProof/>
        </w:rPr>
        <mc:AlternateContent>
          <mc:Choice Requires="wps">
            <w:drawing>
              <wp:inline distT="0" distB="0" distL="114300" distR="114300" wp14:anchorId="00A4C1D2" wp14:editId="4BAC44DE">
                <wp:extent cx="5303520" cy="0"/>
                <wp:effectExtent l="0" t="9525" r="1905" b="9525"/>
                <wp:docPr id="1" name="自选图形 2"/>
                <wp:cNvGraphicFramePr/>
                <a:graphic xmlns:a="http://schemas.openxmlformats.org/drawingml/2006/main">
                  <a:graphicData uri="http://schemas.microsoft.com/office/word/2010/wordprocessingShape">
                    <wps:wsp>
                      <wps:cNvCnPr/>
                      <wps:spPr>
                        <a:xfrm>
                          <a:off x="0" y="0"/>
                          <a:ext cx="5303520" cy="0"/>
                        </a:xfrm>
                        <a:prstGeom prst="straightConnector1">
                          <a:avLst/>
                        </a:prstGeom>
                        <a:ln w="19050" cap="flat" cmpd="sng">
                          <a:solidFill>
                            <a:srgbClr val="000000"/>
                          </a:solidFill>
                          <a:prstDash val="solid"/>
                          <a:headEnd type="none" w="med" len="med"/>
                          <a:tailEnd type="none" w="med" len="med"/>
                        </a:ln>
                      </wps:spPr>
                      <wps:bodyPr/>
                    </wps:wsp>
                  </a:graphicData>
                </a:graphic>
              </wp:inline>
            </w:drawing>
          </mc:Choice>
          <mc:Fallback>
            <w:pict>
              <v:shapetype w14:anchorId="566A4E30" id="_x0000_t32" coordsize="21600,21600" o:spt="32" o:oned="t" path="m,l21600,21600e" filled="f">
                <v:path arrowok="t" fillok="f" o:connecttype="none"/>
                <o:lock v:ext="edit" shapetype="t"/>
              </v:shapetype>
              <v:shape id="自选图形 2" o:spid="_x0000_s1026" type="#_x0000_t32" style="width:417.6pt;height:0;visibility:visible;mso-wrap-style:square;mso-left-percent:-10001;mso-top-percent:-10001;mso-position-horizontal:absolute;mso-position-horizontal-relative:char;mso-position-vertical:absolute;mso-position-vertical-relative:line;mso-left-percent:-10001;mso-top-percent:-100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" strokeweight="1.5pt">
                <w10:anchorlock/>
              </v:shape>
            </w:pict>
          </mc:Fallback>
        </mc:AlternateContent>
      </w:r>
    </w:p>
    <w:p w14:paraId="7A3336CB" w14:textId="77777777" w:rsidR="006641D3" w:rsidRDefault="00000000">
      <w:pPr>
        <w:pStyle w:val="AbstHead"/>
        <w:spacing w:after="120"/>
      </w:pPr>
      <w:r>
        <w:rPr>
          <w:rFonts w:ascii="Arial" w:eastAsia="Arial" w:hAnsi="Arial" w:cs="Arial"/>
          <w:color w:val="000000"/>
          <w:szCs w:val="22"/>
        </w:rPr>
        <w:t>ABSTRACT</w:t>
      </w:r>
    </w:p>
    <w:p w14:paraId="19C9F246" w14:textId="77777777" w:rsidR="006641D3" w:rsidRDefault="00000000">
      <w:pPr>
        <w:pStyle w:val="Body"/>
        <w:spacing w:after="0"/>
      </w:pPr>
      <w:r>
        <w:rPr>
          <w:rFonts w:ascii="Arial" w:eastAsia="Arial" w:hAnsi="Arial" w:cs="Arial"/>
          <w:b/>
          <w:color w:val="000000"/>
        </w:rPr>
        <w:t>Aims:</w:t>
      </w:r>
      <w:r>
        <w:rPr>
          <w:rFonts w:ascii="Arial" w:eastAsia="Arial" w:hAnsi="Arial" w:cs="Arial"/>
          <w:color w:val="000000"/>
        </w:rPr>
        <w:t xml:space="preserve"> This paper examines competency-oriented assignment design for primary English homework under China’s “Double Reduction” policy. Drawing on research on curriculum reform, language tasks, and formative assessment, it addresses three questions: what makes an assignment educationally distinctive; what principles should guide its design; and how a coherent unit-level sequence translates these principles into observable and assessable performance.</w:t>
      </w:r>
    </w:p>
    <w:p w14:paraId="736029E3" w14:textId="77777777" w:rsidR="006641D3" w:rsidRDefault="00000000">
      <w:pPr>
        <w:pStyle w:val="Body"/>
        <w:spacing w:after="0"/>
      </w:pPr>
      <w:r>
        <w:rPr>
          <w:rFonts w:ascii="Arial" w:eastAsia="Arial" w:hAnsi="Arial" w:cs="Arial"/>
          <w:b/>
          <w:color w:val="000000"/>
        </w:rPr>
        <w:t>Study design:</w:t>
      </w:r>
      <w:r>
        <w:rPr>
          <w:rFonts w:ascii="Arial" w:eastAsia="Arial" w:hAnsi="Arial" w:cs="Arial"/>
          <w:color w:val="000000"/>
        </w:rPr>
        <w:t xml:space="preserve"> This practice-based classroom case study involves 36 pupils aged 12–13 and uses Unit 6, “E-friends,” from the Oxford English (Shenzhen Edition) Grade 6, Volume 1 textbook as its curricular source.</w:t>
      </w:r>
    </w:p>
    <w:p w14:paraId="4B33EE16" w14:textId="77777777" w:rsidR="006641D3" w:rsidRDefault="00000000">
      <w:pPr>
        <w:pStyle w:val="Body"/>
        <w:spacing w:after="0"/>
      </w:pPr>
      <w:r>
        <w:rPr>
          <w:rFonts w:ascii="Arial" w:eastAsia="Arial" w:hAnsi="Arial" w:cs="Arial"/>
          <w:b/>
          <w:color w:val="000000"/>
        </w:rPr>
        <w:t>Place and Duration of Study:</w:t>
      </w:r>
      <w:r>
        <w:rPr>
          <w:rFonts w:ascii="Arial" w:eastAsia="Arial" w:hAnsi="Arial" w:cs="Arial"/>
          <w:color w:val="000000"/>
        </w:rPr>
        <w:t xml:space="preserve"> Shenzhen Foreign Language School of </w:t>
      </w:r>
      <w:proofErr w:type="spellStart"/>
      <w:r>
        <w:rPr>
          <w:rFonts w:ascii="Arial" w:eastAsia="Arial" w:hAnsi="Arial" w:cs="Arial"/>
          <w:color w:val="000000"/>
        </w:rPr>
        <w:t>Bao’an</w:t>
      </w:r>
      <w:proofErr w:type="spellEnd"/>
      <w:r>
        <w:rPr>
          <w:rFonts w:ascii="Arial" w:eastAsia="Arial" w:hAnsi="Arial" w:cs="Arial"/>
          <w:color w:val="000000"/>
        </w:rPr>
        <w:t>, Shenzhen, Guangdong, China. The case concerns a single instructional unit.</w:t>
      </w:r>
    </w:p>
    <w:p w14:paraId="2241AF51" w14:textId="77777777" w:rsidR="006641D3" w:rsidRDefault="00000000">
      <w:pPr>
        <w:pStyle w:val="Body"/>
        <w:spacing w:after="0"/>
      </w:pPr>
      <w:r>
        <w:rPr>
          <w:rFonts w:ascii="Arial" w:eastAsia="Arial" w:hAnsi="Arial" w:cs="Arial"/>
          <w:b/>
          <w:color w:val="000000"/>
        </w:rPr>
        <w:t>Methodology:</w:t>
      </w:r>
      <w:r>
        <w:rPr>
          <w:rFonts w:ascii="Arial" w:eastAsia="Arial" w:hAnsi="Arial" w:cs="Arial"/>
          <w:color w:val="000000"/>
        </w:rPr>
        <w:t xml:space="preserve"> Five design principles—objective alignment, thematic coherence, purposeful tasks, differentiated scaffolding, and embedded assessment—inform an eight-step design process. A connected sequence of four tasks culminates in a five- to eight-sentence reply email and peer-supported revision. A three-level analytic rubric defines task-relevant performance. The account interprets the teacher’s classroom observations and descriptions of pupils’ written work.</w:t>
      </w:r>
    </w:p>
    <w:p w14:paraId="4CEF6A6D" w14:textId="77777777" w:rsidR="006641D3" w:rsidRDefault="00000000">
      <w:pPr>
        <w:pStyle w:val="Body"/>
        <w:spacing w:after="0"/>
      </w:pPr>
      <w:r>
        <w:rPr>
          <w:rFonts w:ascii="Arial" w:eastAsia="Arial" w:hAnsi="Arial" w:cs="Arial"/>
          <w:b/>
          <w:color w:val="000000"/>
        </w:rPr>
        <w:t>Results:</w:t>
      </w:r>
      <w:r>
        <w:rPr>
          <w:rFonts w:ascii="Arial" w:eastAsia="Arial" w:hAnsi="Arial" w:cs="Arial"/>
          <w:color w:val="000000"/>
        </w:rPr>
        <w:t xml:space="preserve"> The teacher reported difficulties distinguishing conversation topics from activities and responding to questions in an incoming email. Feedback and revision redirected attention to the reader’s information needs. These observations identify instructional priorities; they do not establish the size of a learning gain or a reduction in total homework burden.</w:t>
      </w:r>
    </w:p>
    <w:p w14:paraId="17D2B3B0" w14:textId="77777777" w:rsidR="006641D3" w:rsidRDefault="00000000">
      <w:pPr>
        <w:pStyle w:val="Body"/>
        <w:spacing w:after="0"/>
      </w:pPr>
      <w:r>
        <w:rPr>
          <w:rFonts w:ascii="Arial" w:eastAsia="Arial" w:hAnsi="Arial" w:cs="Arial"/>
          <w:b/>
          <w:color w:val="000000"/>
        </w:rPr>
        <w:t>Conclusion:</w:t>
      </w:r>
      <w:r>
        <w:rPr>
          <w:rFonts w:ascii="Arial" w:eastAsia="Arial" w:hAnsi="Arial" w:cs="Arial"/>
          <w:color w:val="000000"/>
        </w:rPr>
        <w:t xml:space="preserve"> Under the “Double Reduction” policy, effective homework reform requires explicit alignment among objectives, learning activities, assessment, and pupil effort. The framework presented here offers a practical design route while acknowledging the limited generalizability based on a single-unit case.</w:t>
      </w:r>
    </w:p>
    <w:p w14:paraId="0944237C" w14:textId="77777777" w:rsidR="006641D3" w:rsidRDefault="00000000">
      <w:pPr>
        <w:pStyle w:val="Body"/>
      </w:pPr>
      <w:r>
        <w:rPr>
          <w:rFonts w:ascii="Arial" w:eastAsia="Arial" w:hAnsi="Arial" w:cs="Arial"/>
          <w:i/>
          <w:color w:val="000000"/>
        </w:rPr>
        <w:t>Keywords: core competencies; innovative assignments; unit-based instruction; task sequences; Double Reduction policy</w:t>
      </w:r>
    </w:p>
    <w:p w14:paraId="1611F689" w14:textId="77777777" w:rsidR="006641D3" w:rsidRDefault="00000000">
      <w:pPr>
        <w:pStyle w:val="AbstHead"/>
        <w:spacing w:after="120"/>
      </w:pPr>
      <w:r>
        <w:rPr>
          <w:rFonts w:ascii="Arial" w:eastAsia="Arial" w:hAnsi="Arial" w:cs="Arial"/>
          <w:color w:val="000000"/>
          <w:szCs w:val="22"/>
        </w:rPr>
        <w:t>1. INTRODUCTION</w:t>
      </w:r>
    </w:p>
    <w:p w14:paraId="4A2B98DF" w14:textId="77777777" w:rsidR="006641D3" w:rsidRDefault="00000000">
      <w:pPr>
        <w:pStyle w:val="Body"/>
      </w:pPr>
      <w:r>
        <w:rPr>
          <w:rFonts w:ascii="Arial" w:eastAsia="Arial" w:hAnsi="Arial" w:cs="Arial"/>
          <w:color w:val="000000"/>
        </w:rPr>
        <w:t>In July 2021, the General Office of the Communist Party of China Central Committee and the General Office of the State Council issued a policy to reduce excessive homework and off-campus tutoring burdens for pupils in compulsory education, commonly known as the “Double Reduction” policy. Chen and Lin (2026) identify improved homework design and teachers’ responsibility for guidance and feedback as central measures. In primary English education, reducing burden therefore requires reconsidering objectives, content, and assessment so that assignments contribute meaningfully to pupils’ competency development.</w:t>
      </w:r>
    </w:p>
    <w:p w14:paraId="05947836" w14:textId="77777777" w:rsidR="006641D3" w:rsidRDefault="00000000">
      <w:pPr>
        <w:pStyle w:val="Body"/>
      </w:pPr>
      <w:r>
        <w:rPr>
          <w:rFonts w:ascii="Arial" w:eastAsia="Arial" w:hAnsi="Arial" w:cs="Arial"/>
          <w:color w:val="000000"/>
        </w:rPr>
        <w:lastRenderedPageBreak/>
        <w:t>The policy sets an average daily written-homework ceiling of 60 minutes for Grades 3–6 across subjects (Chen &amp; Lin, 2026). An English task’s demands must therefore be considered alongside other subjects and differences in pupils’ working pace. The policy connects the educational contribution of homework with the conditions under which children complete it.</w:t>
      </w:r>
    </w:p>
    <w:p w14:paraId="2BD450E3" w14:textId="77777777" w:rsidR="006641D3" w:rsidRDefault="00000000">
      <w:pPr>
        <w:pStyle w:val="Body"/>
      </w:pPr>
      <w:r>
        <w:rPr>
          <w:rFonts w:ascii="Arial" w:eastAsia="Arial" w:hAnsi="Arial" w:cs="Arial"/>
          <w:color w:val="000000"/>
        </w:rPr>
        <w:t xml:space="preserve">Research on homework also cautions against equating additional time with better learning. Cooper et al. (2006) found a stronger homework–achievement association in secondary grades than in elementary grades, while identifying methodological weaknesses in the underlying studies. More recent experimental research by </w:t>
      </w:r>
      <w:proofErr w:type="spellStart"/>
      <w:r>
        <w:rPr>
          <w:rFonts w:ascii="Arial" w:eastAsia="Arial" w:hAnsi="Arial" w:cs="Arial"/>
          <w:color w:val="000000"/>
        </w:rPr>
        <w:t>Dolean</w:t>
      </w:r>
      <w:proofErr w:type="spellEnd"/>
      <w:r>
        <w:rPr>
          <w:rFonts w:ascii="Arial" w:eastAsia="Arial" w:hAnsi="Arial" w:cs="Arial"/>
          <w:color w:val="000000"/>
        </w:rPr>
        <w:t xml:space="preserve"> and </w:t>
      </w:r>
      <w:proofErr w:type="spellStart"/>
      <w:r>
        <w:rPr>
          <w:rFonts w:ascii="Arial" w:eastAsia="Arial" w:hAnsi="Arial" w:cs="Arial"/>
          <w:color w:val="000000"/>
        </w:rPr>
        <w:t>Lervag</w:t>
      </w:r>
      <w:proofErr w:type="spellEnd"/>
      <w:r>
        <w:rPr>
          <w:rFonts w:ascii="Arial" w:eastAsia="Arial" w:hAnsi="Arial" w:cs="Arial"/>
          <w:color w:val="000000"/>
        </w:rPr>
        <w:t xml:space="preserve"> (2022) found that varying homework amounts produced different outcomes for elementary writing and mathematics. Together, these findings support careful attention to age, subject, and task quality. They do not establish an optimal duration for primary English homework in China, but they challenge the assumption that increasing volume necessarily improves attainment.</w:t>
      </w:r>
    </w:p>
    <w:p w14:paraId="0B2FE0D2" w14:textId="77777777" w:rsidR="006641D3" w:rsidRDefault="00000000">
      <w:pPr>
        <w:pStyle w:val="Body"/>
      </w:pPr>
      <w:r>
        <w:rPr>
          <w:rFonts w:ascii="Arial" w:eastAsia="Arial" w:hAnsi="Arial" w:cs="Arial"/>
          <w:color w:val="000000"/>
        </w:rPr>
        <w:t>However, innovative primary English homework is sometimes implemented with design problems. First, objectives can be unclear. For example, an attractive poster or a short video may not specify whether pupils are expected to organize information, write an introduction, or demonstrate intercultural understanding. Second, some tasks may impose excessive non-language demands, such as heavy drawing, device operation, or information searching, which can distract attention from language learning. Third, differentiation may be superficial; for instance, assigning more work to higher-attaining pupils rather than providing flexible scaffolding and pathways. Fourth, diagnostic feedback may be limited, as grades and brief comments may not identify what pupils fail to do and why.</w:t>
      </w:r>
    </w:p>
    <w:p w14:paraId="46D08F49" w14:textId="77777777" w:rsidR="006641D3" w:rsidRDefault="00000000">
      <w:pPr>
        <w:pStyle w:val="Body"/>
      </w:pPr>
      <w:r>
        <w:rPr>
          <w:rFonts w:ascii="Arial" w:eastAsia="Arial" w:hAnsi="Arial" w:cs="Arial"/>
          <w:color w:val="000000"/>
        </w:rPr>
        <w:t>Drawing on research into China’s English curriculum reform (Chen &amp; Murray, 2025) and competency-oriented principles, this paper proposes a practical design framework. It uses Unit 6, “E-friends,” from the Oxford English (Shenzhen Edition) Grade 6, Volume 1 textbook as a case illustration. The paper addresses the following research questions:</w:t>
      </w:r>
    </w:p>
    <w:p w14:paraId="4A15C9CC" w14:textId="77777777" w:rsidR="006641D3" w:rsidRDefault="00000000">
      <w:pPr>
        <w:pStyle w:val="Body"/>
      </w:pPr>
      <w:r>
        <w:rPr>
          <w:rFonts w:ascii="Arial" w:eastAsia="Arial" w:hAnsi="Arial" w:cs="Arial"/>
          <w:color w:val="000000"/>
        </w:rPr>
        <w:t>1. What makes an assignment educationally distinctive within a competency-oriented curriculum?</w:t>
      </w:r>
    </w:p>
    <w:p w14:paraId="40EB6EA0" w14:textId="77777777" w:rsidR="006641D3" w:rsidRDefault="00000000">
      <w:pPr>
        <w:pStyle w:val="Body"/>
      </w:pPr>
      <w:r>
        <w:rPr>
          <w:rFonts w:ascii="Arial" w:eastAsia="Arial" w:hAnsi="Arial" w:cs="Arial"/>
          <w:color w:val="000000"/>
        </w:rPr>
        <w:t>2. Which principles should guide its design?</w:t>
      </w:r>
    </w:p>
    <w:p w14:paraId="22FFCFF6" w14:textId="77777777" w:rsidR="006641D3" w:rsidRDefault="00000000">
      <w:pPr>
        <w:pStyle w:val="Body"/>
      </w:pPr>
      <w:r>
        <w:rPr>
          <w:rFonts w:ascii="Arial" w:eastAsia="Arial" w:hAnsi="Arial" w:cs="Arial"/>
          <w:color w:val="000000"/>
        </w:rPr>
        <w:t>3. How can a coherent unit-level task sequence translate these principles into observable and assessable learning?</w:t>
      </w:r>
    </w:p>
    <w:p w14:paraId="4AD9D00E" w14:textId="77777777" w:rsidR="006641D3" w:rsidRDefault="00000000">
      <w:pPr>
        <w:pStyle w:val="Body"/>
      </w:pPr>
      <w:r>
        <w:rPr>
          <w:rFonts w:ascii="Arial" w:eastAsia="Arial" w:hAnsi="Arial" w:cs="Arial"/>
          <w:color w:val="000000"/>
        </w:rPr>
        <w:t>Three strands of literature inform these questions. Constructive alignment connects intended outcomes with learning activities and assessment (Biggs, 1996). Task-based language teaching prioritizes meaning and a communicative outcome (Ellis, 2009). Research on elementary writing instruction supports explicit attention to composing processes, strategies, and peer assistance (Graham et al., 2012). More specifically, Luquin and García Mayo (2020) examined how primary learners of English as a foreign language (EFL) aged 11–12 noticed and incorporated language during collaborative writing with model-based feedback. Their exploratory study informs the use of models as learning resources, while its small sample and different task conditions limit direct comparison with this case.</w:t>
      </w:r>
    </w:p>
    <w:p w14:paraId="210F9210" w14:textId="77777777" w:rsidR="006641D3" w:rsidRDefault="00000000">
      <w:pPr>
        <w:pStyle w:val="AbstHead"/>
        <w:spacing w:after="120"/>
      </w:pPr>
      <w:r>
        <w:rPr>
          <w:rFonts w:ascii="Arial" w:eastAsia="Arial" w:hAnsi="Arial" w:cs="Arial"/>
          <w:color w:val="000000"/>
          <w:szCs w:val="22"/>
        </w:rPr>
        <w:t>2. MATERIALS AND METHODS</w:t>
      </w:r>
    </w:p>
    <w:p w14:paraId="6D6335A5" w14:textId="77777777" w:rsidR="006641D3" w:rsidRDefault="00000000">
      <w:pPr>
        <w:pStyle w:val="Body"/>
        <w:keepNext/>
        <w:spacing w:after="120"/>
        <w:jc w:val="left"/>
      </w:pPr>
      <w:r>
        <w:rPr>
          <w:rFonts w:ascii="Arial" w:eastAsia="Arial" w:hAnsi="Arial" w:cs="Arial"/>
          <w:b/>
          <w:color w:val="000000"/>
          <w:sz w:val="22"/>
          <w:szCs w:val="22"/>
        </w:rPr>
        <w:t>2.1 Research design</w:t>
      </w:r>
    </w:p>
    <w:p w14:paraId="120DDFDF" w14:textId="77777777" w:rsidR="006641D3" w:rsidRDefault="00000000">
      <w:pPr>
        <w:pStyle w:val="Body"/>
      </w:pPr>
      <w:r>
        <w:rPr>
          <w:rFonts w:ascii="Arial" w:eastAsia="Arial" w:hAnsi="Arial" w:cs="Arial"/>
          <w:color w:val="000000"/>
        </w:rPr>
        <w:t xml:space="preserve">This study adopts a practice-based classroom case study design involving one class of 36 pupils aged 12–13. It provides an account of assignment design, audience awareness, and </w:t>
      </w:r>
      <w:r>
        <w:rPr>
          <w:rFonts w:ascii="Arial" w:eastAsia="Arial" w:hAnsi="Arial" w:cs="Arial"/>
          <w:color w:val="000000"/>
        </w:rPr>
        <w:lastRenderedPageBreak/>
        <w:t>writing under “Double Reduction.” The unit is the instructional case, and the participating class defines its scope.</w:t>
      </w:r>
    </w:p>
    <w:p w14:paraId="39523B43" w14:textId="77777777" w:rsidR="006641D3" w:rsidRDefault="00000000">
      <w:pPr>
        <w:pStyle w:val="Body"/>
      </w:pPr>
      <w:r>
        <w:rPr>
          <w:rFonts w:ascii="Arial" w:eastAsia="Arial" w:hAnsi="Arial" w:cs="Arial"/>
          <w:color w:val="000000"/>
        </w:rPr>
        <w:t>The account is descriptive and interpretive. It examines assignment materials and the teacher’s descriptions of classroom responses, first drafts, and revisions. Audience responsiveness denotes answering the reader’s questions and inviting a relevant reply; audience awareness is the broader instructional aim. The analysis concerns task completion, responsiveness, and reported revisions. No controlled comparison, standardized pre-</w:t>
      </w:r>
      <w:r>
        <w:rPr>
          <w:rFonts w:ascii="Arial" w:eastAsia="SimSun" w:hAnsi="Arial" w:cs="Arial" w:hint="eastAsia"/>
          <w:color w:val="000000"/>
          <w:lang w:eastAsia="zh-CN"/>
        </w:rPr>
        <w:t>tests</w:t>
      </w:r>
      <w:r>
        <w:rPr>
          <w:rFonts w:ascii="Arial" w:eastAsia="Arial" w:hAnsi="Arial" w:cs="Arial"/>
          <w:color w:val="000000"/>
        </w:rPr>
        <w:t xml:space="preserve"> and post-tests, or validated competency measure is reported. The rubric defines instructional expectations rather than numerical research scores, so the observations support analysis of teaching decisions rather than an estimated intervention effect.</w:t>
      </w:r>
    </w:p>
    <w:p w14:paraId="22B85D99" w14:textId="77777777" w:rsidR="006641D3" w:rsidRDefault="00000000">
      <w:pPr>
        <w:pStyle w:val="Body"/>
        <w:keepNext/>
        <w:spacing w:after="120"/>
        <w:jc w:val="left"/>
      </w:pPr>
      <w:r>
        <w:rPr>
          <w:rFonts w:ascii="Arial" w:eastAsia="Arial" w:hAnsi="Arial" w:cs="Arial"/>
          <w:b/>
          <w:color w:val="000000"/>
          <w:sz w:val="22"/>
          <w:szCs w:val="22"/>
        </w:rPr>
        <w:t>2.2 Context and curriculum alignment</w:t>
      </w:r>
    </w:p>
    <w:p w14:paraId="15EB6B69" w14:textId="77777777" w:rsidR="006641D3" w:rsidRDefault="00000000">
      <w:pPr>
        <w:pStyle w:val="Body"/>
      </w:pPr>
      <w:r>
        <w:rPr>
          <w:rFonts w:ascii="Arial" w:eastAsia="Arial" w:hAnsi="Arial" w:cs="Arial"/>
          <w:color w:val="000000"/>
        </w:rPr>
        <w:t>The tasks call for reading a short personal introduction and expressing information about family, interests, and weekend activities. Vocabulary support and sentence frames address these language demands within a shared communicative objective. Support should respond to demonstrated needs rather than assume uniform proficiency from the pupils’ age or the textbook level.</w:t>
      </w:r>
    </w:p>
    <w:p w14:paraId="038450CC" w14:textId="77777777" w:rsidR="006641D3" w:rsidRDefault="00000000">
      <w:pPr>
        <w:pStyle w:val="Body"/>
      </w:pPr>
      <w:r>
        <w:rPr>
          <w:rFonts w:ascii="Arial" w:eastAsia="Arial" w:hAnsi="Arial" w:cs="Arial"/>
          <w:color w:val="000000"/>
        </w:rPr>
        <w:t>The curricular material is Unit 6, “E-friends,” in English: Grade 6, first semester, and published by Shanghai Education Press. The unit asks whether pupils would like e-friends in other countries. In the dialogue, Joe talks about football with an e-friend in the United Kingdom; Jill discusses books and films with an e-friend in Australia; and Kitty hopes to find an e-friend in the United States and learn about their family and hobbies.</w:t>
      </w:r>
    </w:p>
    <w:p w14:paraId="061C57B0" w14:textId="77777777" w:rsidR="006641D3" w:rsidRDefault="00000000">
      <w:pPr>
        <w:pStyle w:val="Body"/>
      </w:pPr>
      <w:r>
        <w:rPr>
          <w:rFonts w:ascii="Arial" w:eastAsia="Arial" w:hAnsi="Arial" w:cs="Arial"/>
          <w:color w:val="000000"/>
        </w:rPr>
        <w:t>Target expressions that support the reply email include “have an e-friend in…,” “We often talk about…,” and “I’d like to know about…”. Thematic learning focuses on intercultural communication, with educational purposes including introducing oneself, understanding others, and respecting differences.</w:t>
      </w:r>
    </w:p>
    <w:p w14:paraId="085CA98C" w14:textId="77777777" w:rsidR="006641D3" w:rsidRDefault="00000000">
      <w:pPr>
        <w:pStyle w:val="Body"/>
      </w:pPr>
      <w:r>
        <w:rPr>
          <w:rFonts w:ascii="Arial" w:eastAsia="Arial" w:hAnsi="Arial" w:cs="Arial"/>
          <w:color w:val="000000"/>
        </w:rPr>
        <w:t>Curriculum alignment extends beyond reproducing target expressions. Chen and Murray (2025) describe an emphasis on language ability, cultural awareness, thinking capacity, and learning autonomy in China’s 2022 English curriculum reform. In this unit, these aims inform selecting relevant information, noticing similarities and differences, formulating questions, and checking whether a message serves its purpose. These are design indicators, not separate competencies measured by one email. Cultural awareness involves curiosity about an individual’s experiences; country names alone do not demonstrate intercultural understanding, and national identity should not be treated as a fixed description of personal interests.</w:t>
      </w:r>
    </w:p>
    <w:p w14:paraId="65E11295" w14:textId="77777777" w:rsidR="006641D3" w:rsidRDefault="00000000">
      <w:pPr>
        <w:pStyle w:val="Body"/>
        <w:keepNext/>
        <w:spacing w:after="120"/>
        <w:jc w:val="left"/>
      </w:pPr>
      <w:r>
        <w:rPr>
          <w:rFonts w:ascii="Arial" w:eastAsia="Arial" w:hAnsi="Arial" w:cs="Arial"/>
          <w:b/>
          <w:color w:val="000000"/>
          <w:sz w:val="22"/>
          <w:szCs w:val="22"/>
        </w:rPr>
        <w:t>2.3 Design principles for competency-oriented innovative homework</w:t>
      </w:r>
    </w:p>
    <w:p w14:paraId="0692DD36" w14:textId="77777777" w:rsidR="006641D3" w:rsidRDefault="00000000">
      <w:pPr>
        <w:pStyle w:val="Body"/>
      </w:pPr>
      <w:r>
        <w:rPr>
          <w:rFonts w:ascii="Arial" w:eastAsia="Arial" w:hAnsi="Arial" w:cs="Arial"/>
          <w:color w:val="000000"/>
        </w:rPr>
        <w:t>Five principles guide the design of competency-oriented innovative assignments.</w:t>
      </w:r>
    </w:p>
    <w:p w14:paraId="4B3D167E" w14:textId="77777777" w:rsidR="006641D3" w:rsidRDefault="00000000">
      <w:pPr>
        <w:pStyle w:val="Body"/>
      </w:pPr>
      <w:r>
        <w:rPr>
          <w:rFonts w:ascii="Arial" w:eastAsia="Arial" w:hAnsi="Arial" w:cs="Arial"/>
          <w:b/>
          <w:color w:val="000000"/>
        </w:rPr>
        <w:t>Objective alignment.</w:t>
      </w:r>
      <w:r>
        <w:rPr>
          <w:rFonts w:ascii="Arial" w:eastAsia="Arial" w:hAnsi="Arial" w:cs="Arial"/>
          <w:color w:val="000000"/>
        </w:rPr>
        <w:t xml:space="preserve"> Translate broad competency expectations into observable performance: writing a reply email of five to eight sentences, answering both incoming questions, introducing family and interests, and asking one or two relevant follow-up questions.</w:t>
      </w:r>
    </w:p>
    <w:p w14:paraId="0194AA42" w14:textId="77777777" w:rsidR="006641D3" w:rsidRDefault="00000000">
      <w:pPr>
        <w:pStyle w:val="Body"/>
      </w:pPr>
      <w:r>
        <w:rPr>
          <w:rFonts w:ascii="Arial" w:eastAsia="Arial" w:hAnsi="Arial" w:cs="Arial"/>
          <w:b/>
          <w:color w:val="000000"/>
        </w:rPr>
        <w:t>Thematic coherence.</w:t>
      </w:r>
      <w:r>
        <w:rPr>
          <w:rFonts w:ascii="Arial" w:eastAsia="Arial" w:hAnsi="Arial" w:cs="Arial"/>
          <w:color w:val="000000"/>
        </w:rPr>
        <w:t xml:space="preserve"> Embed assignments within the unit theme and connect tasks through shared content and learning purposes. Cameron (2001) emphasizes the connection among activities in theme-based teaching while also requiring careful planning of progression. Here, </w:t>
      </w:r>
      <w:r>
        <w:rPr>
          <w:rFonts w:ascii="Arial" w:eastAsia="Arial" w:hAnsi="Arial" w:cs="Arial"/>
          <w:color w:val="000000"/>
        </w:rPr>
        <w:lastRenderedPageBreak/>
        <w:t>the e-friend theme connects information selection, personal expression, and response to a reader.</w:t>
      </w:r>
    </w:p>
    <w:p w14:paraId="3F544838" w14:textId="77777777" w:rsidR="006641D3" w:rsidRDefault="00000000">
      <w:pPr>
        <w:pStyle w:val="Body"/>
      </w:pPr>
      <w:r>
        <w:rPr>
          <w:rFonts w:ascii="Arial" w:eastAsia="Arial" w:hAnsi="Arial" w:cs="Arial"/>
          <w:b/>
          <w:color w:val="000000"/>
        </w:rPr>
        <w:t>Purposeful tasks.</w:t>
      </w:r>
      <w:r>
        <w:rPr>
          <w:rFonts w:ascii="Arial" w:eastAsia="Arial" w:hAnsi="Arial" w:cs="Arial"/>
          <w:color w:val="000000"/>
        </w:rPr>
        <w:t xml:space="preserve"> Ensure that each task supports meaning-making and communication, rather than adding novelty for its own sake.</w:t>
      </w:r>
    </w:p>
    <w:p w14:paraId="1F636690" w14:textId="77777777" w:rsidR="006641D3" w:rsidRDefault="00000000">
      <w:pPr>
        <w:pStyle w:val="Body"/>
      </w:pPr>
      <w:r>
        <w:rPr>
          <w:rFonts w:ascii="Arial" w:eastAsia="Arial" w:hAnsi="Arial" w:cs="Arial"/>
          <w:color w:val="000000"/>
        </w:rPr>
        <w:t>A purposeful task needs a reason for the reader to attend to its content. In the email assignment, the incoming questions establish information that the writer must supply, while follow-up questions create a reason for a subsequent response. This gives the text a communicative outcome beyond displaying correct sentences (Ellis, 2009). The exchange remains a classroom simulation, but a fictional audience can still require meaningful choices about relevance, sequencing, and politeness.</w:t>
      </w:r>
    </w:p>
    <w:p w14:paraId="43625590" w14:textId="77777777" w:rsidR="006641D3" w:rsidRDefault="00000000">
      <w:pPr>
        <w:pStyle w:val="Body"/>
      </w:pPr>
      <w:r>
        <w:rPr>
          <w:rFonts w:ascii="Arial" w:eastAsia="Arial" w:hAnsi="Arial" w:cs="Arial"/>
          <w:b/>
          <w:color w:val="000000"/>
        </w:rPr>
        <w:t>Differentiated scaffolding.</w:t>
      </w:r>
      <w:r>
        <w:rPr>
          <w:rFonts w:ascii="Arial" w:eastAsia="Arial" w:hAnsi="Arial" w:cs="Arial"/>
          <w:color w:val="000000"/>
        </w:rPr>
        <w:t xml:space="preserve"> Provide optional vocabulary lists, sentence frames, and models within shared objectives. Pupils use support as needed and gradually work without it, rather than receiving different quantities of work based on attainment.</w:t>
      </w:r>
    </w:p>
    <w:p w14:paraId="2E795872" w14:textId="77777777" w:rsidR="006641D3" w:rsidRDefault="00000000">
      <w:pPr>
        <w:pStyle w:val="Body"/>
      </w:pPr>
      <w:r>
        <w:rPr>
          <w:rFonts w:ascii="Arial" w:eastAsia="Arial" w:hAnsi="Arial" w:cs="Arial"/>
          <w:color w:val="000000"/>
        </w:rPr>
        <w:t>Scaffolding should address a specific obstacle and remain adjustable. Wood et al. (1976) describe tutoring as support that enables a learner to manage elements of a task beyond current capability. Here, a vocabulary bank supports expression, whereas a planning prompt directs attention to the reader’s questions. Teachers can invite pupils to select support, attempt the task, and reconsider which assistance remains necessary. Providing a frame does not by itself establish that learners can later write independently.</w:t>
      </w:r>
    </w:p>
    <w:p w14:paraId="0042CCCF" w14:textId="77777777" w:rsidR="006641D3" w:rsidRDefault="00000000">
      <w:pPr>
        <w:pStyle w:val="Body"/>
      </w:pPr>
      <w:r>
        <w:rPr>
          <w:rFonts w:ascii="Arial" w:eastAsia="Arial" w:hAnsi="Arial" w:cs="Arial"/>
          <w:b/>
          <w:color w:val="000000"/>
        </w:rPr>
        <w:t>Embedded assessment.</w:t>
      </w:r>
      <w:r>
        <w:rPr>
          <w:rFonts w:ascii="Arial" w:eastAsia="Arial" w:hAnsi="Arial" w:cs="Arial"/>
          <w:color w:val="000000"/>
        </w:rPr>
        <w:t xml:space="preserve"> Focus assessment on specific performance and actionable improvement through teacher feedback, peer assessment, and self-assessment.</w:t>
      </w:r>
    </w:p>
    <w:p w14:paraId="1DB7C7F1" w14:textId="77777777" w:rsidR="006641D3" w:rsidRDefault="00000000">
      <w:pPr>
        <w:pStyle w:val="Body"/>
      </w:pPr>
      <w:r>
        <w:rPr>
          <w:rFonts w:ascii="Arial" w:eastAsia="Arial" w:hAnsi="Arial" w:cs="Arial"/>
          <w:color w:val="000000"/>
        </w:rPr>
        <w:t>Procedures should remain manageable so that assessment does not become an additional burden. Task design should specify how evidence of pupils’ understanding will inform feedback and subsequent teaching decisions, consistent with Black and Wiliam’s (2009) account of formative assessment.</w:t>
      </w:r>
    </w:p>
    <w:p w14:paraId="2E7E1882" w14:textId="77777777" w:rsidR="006641D3" w:rsidRDefault="00000000">
      <w:pPr>
        <w:pStyle w:val="Body"/>
      </w:pPr>
      <w:r>
        <w:rPr>
          <w:rFonts w:ascii="Arial" w:eastAsia="Arial" w:hAnsi="Arial" w:cs="Arial"/>
          <w:color w:val="000000"/>
        </w:rPr>
        <w:t>Cognitive load theory provides a further rationale for controlling unnecessary demands: unfamiliar information must initially be processed within limited working-memory capacity (</w:t>
      </w:r>
      <w:proofErr w:type="spellStart"/>
      <w:r>
        <w:rPr>
          <w:rFonts w:ascii="Arial" w:eastAsia="Arial" w:hAnsi="Arial" w:cs="Arial"/>
          <w:color w:val="000000"/>
        </w:rPr>
        <w:t>Sweller</w:t>
      </w:r>
      <w:proofErr w:type="spellEnd"/>
      <w:r>
        <w:rPr>
          <w:rFonts w:ascii="Arial" w:eastAsia="Arial" w:hAnsi="Arial" w:cs="Arial"/>
          <w:color w:val="000000"/>
        </w:rPr>
        <w:t xml:space="preserve"> et al., 2019). A task combining new vocabulary, complex software, elaborate decoration, and unfamiliar assessment criteria may therefore make the intended language problem harder to identify. In this framework, simplicity is a design decision about where attention should go. Presentation features are worthwhile when they organize meaning or help a reader; they should not become prerequisites for demonstrating language learning.</w:t>
      </w:r>
    </w:p>
    <w:p w14:paraId="367EFEAE" w14:textId="77777777" w:rsidR="006641D3" w:rsidRDefault="00000000">
      <w:pPr>
        <w:pStyle w:val="Body"/>
        <w:keepNext/>
        <w:spacing w:after="120"/>
        <w:jc w:val="left"/>
      </w:pPr>
      <w:r>
        <w:rPr>
          <w:rFonts w:ascii="Arial" w:eastAsia="Arial" w:hAnsi="Arial" w:cs="Arial"/>
          <w:b/>
          <w:color w:val="000000"/>
          <w:sz w:val="22"/>
          <w:szCs w:val="22"/>
        </w:rPr>
        <w:t>2.4 Assignment design and iterative implementation process</w:t>
      </w:r>
    </w:p>
    <w:p w14:paraId="40FD2FAE" w14:textId="77777777" w:rsidR="006641D3" w:rsidRDefault="00000000">
      <w:pPr>
        <w:pStyle w:val="Body"/>
      </w:pPr>
      <w:r>
        <w:rPr>
          <w:rFonts w:ascii="Arial" w:eastAsia="Arial" w:hAnsi="Arial" w:cs="Arial"/>
          <w:color w:val="000000"/>
        </w:rPr>
        <w:t>The assignment design follows an eight-step cycle combining objective setting, progressive task implementation, and assessment-informed improvement. Ellis (2020) supports attention to topics, language input, task outcomes, and sequencing in input-based tasks for young learners. Table 1 presents the eight-step cycle, which brings these considerations together with feedback and revision; its progression labels—learning and understanding, application and practice, and transfer and innovation—organize the case rather than describe outcomes established by that research.</w:t>
      </w:r>
    </w:p>
    <w:p w14:paraId="4C1AF137" w14:textId="77777777" w:rsidR="006641D3" w:rsidRDefault="00000000">
      <w:pPr>
        <w:pStyle w:val="Body"/>
        <w:keepNext/>
        <w:spacing w:after="60"/>
        <w:jc w:val="left"/>
      </w:pPr>
      <w:r>
        <w:rPr>
          <w:rFonts w:ascii="Arial" w:eastAsia="Arial" w:hAnsi="Arial" w:cs="Arial"/>
          <w:b/>
          <w:color w:val="000000"/>
        </w:rPr>
        <w:lastRenderedPageBreak/>
        <w:t>Table 1. An eight-step cycle for competency-oriented assignment design in primary English</w:t>
      </w:r>
    </w:p>
    <w:tbl>
      <w:tblPr>
        <w:tblW w:w="8208" w:type="dxa"/>
        <w:jc w:val="center"/>
        <w:tblBorders>
          <w:top w:val="single" w:sz="4" w:space="0" w:color="000000"/>
          <w:bottom w:val="single" w:sz="4" w:space="0" w:color="000000"/>
        </w:tblBorders>
        <w:tblLayout w:type="fixed"/>
        <w:tblCellMar>
          <w:top w:w="60" w:type="dxa"/>
          <w:left w:w="90" w:type="dxa"/>
          <w:bottom w:w="60" w:type="dxa"/>
          <w:right w:w="90" w:type="dxa"/>
        </w:tblCellMar>
        <w:tblLook w:val="04A0" w:firstRow="1" w:lastRow="0" w:firstColumn="1" w:lastColumn="0" w:noHBand="0" w:noVBand="1"/>
      </w:tblPr>
      <w:tblGrid>
        <w:gridCol w:w="2134"/>
        <w:gridCol w:w="6074"/>
      </w:tblGrid>
      <w:tr w:rsidR="006641D3" w14:paraId="046F5BB6" w14:textId="77777777">
        <w:trPr>
          <w:cantSplit/>
          <w:tblHeader/>
          <w:jc w:val="center"/>
        </w:trPr>
        <w:tc>
          <w:tcPr>
            <w:tcW w:w="2134" w:type="dxa"/>
            <w:tcBorders>
              <w:bottom w:val="single" w:sz="4" w:space="0" w:color="000000"/>
            </w:tcBorders>
            <w:vAlign w:val="center"/>
          </w:tcPr>
          <w:p w14:paraId="40A49E00" w14:textId="77777777" w:rsidR="006641D3" w:rsidRDefault="00000000">
            <w:pPr>
              <w:pStyle w:val="Body"/>
              <w:keepNext/>
              <w:keepLines/>
              <w:spacing w:after="0" w:line="480" w:lineRule="auto"/>
              <w:jc w:val="left"/>
            </w:pPr>
            <w:r>
              <w:rPr>
                <w:rFonts w:ascii="Arial" w:eastAsia="Arial" w:hAnsi="Arial" w:cs="Arial"/>
                <w:b/>
                <w:color w:val="000000"/>
              </w:rPr>
              <w:t>Phase</w:t>
            </w:r>
          </w:p>
        </w:tc>
        <w:tc>
          <w:tcPr>
            <w:tcW w:w="6074" w:type="dxa"/>
            <w:tcBorders>
              <w:bottom w:val="single" w:sz="4" w:space="0" w:color="000000"/>
            </w:tcBorders>
            <w:vAlign w:val="center"/>
          </w:tcPr>
          <w:p w14:paraId="064E49BC" w14:textId="77777777" w:rsidR="006641D3" w:rsidRDefault="00000000">
            <w:pPr>
              <w:pStyle w:val="Body"/>
              <w:keepNext/>
              <w:keepLines/>
              <w:spacing w:after="0" w:line="480" w:lineRule="auto"/>
              <w:jc w:val="left"/>
            </w:pPr>
            <w:r>
              <w:rPr>
                <w:rFonts w:ascii="Arial" w:eastAsia="Arial" w:hAnsi="Arial" w:cs="Arial"/>
                <w:b/>
                <w:color w:val="000000"/>
              </w:rPr>
              <w:t>Steps and intended decisions</w:t>
            </w:r>
          </w:p>
        </w:tc>
      </w:tr>
      <w:tr w:rsidR="006641D3" w14:paraId="3B34FAEF" w14:textId="77777777">
        <w:trPr>
          <w:cantSplit/>
          <w:jc w:val="center"/>
        </w:trPr>
        <w:tc>
          <w:tcPr>
            <w:tcW w:w="2134" w:type="dxa"/>
            <w:vAlign w:val="center"/>
          </w:tcPr>
          <w:p w14:paraId="3F1E0140" w14:textId="77777777" w:rsidR="006641D3" w:rsidRDefault="00000000">
            <w:pPr>
              <w:pStyle w:val="Body"/>
              <w:keepLines/>
              <w:spacing w:after="0" w:line="480" w:lineRule="auto"/>
              <w:jc w:val="left"/>
            </w:pPr>
            <w:r>
              <w:rPr>
                <w:rFonts w:ascii="Arial" w:eastAsia="Arial" w:hAnsi="Arial" w:cs="Arial"/>
                <w:color w:val="000000"/>
              </w:rPr>
              <w:t>Objective setting</w:t>
            </w:r>
          </w:p>
        </w:tc>
        <w:tc>
          <w:tcPr>
            <w:tcW w:w="6074" w:type="dxa"/>
            <w:vAlign w:val="center"/>
          </w:tcPr>
          <w:p w14:paraId="7D22CD90" w14:textId="77777777" w:rsidR="006641D3" w:rsidRDefault="00000000">
            <w:pPr>
              <w:pStyle w:val="Body"/>
              <w:keepLines/>
              <w:spacing w:after="0" w:line="480" w:lineRule="auto"/>
              <w:jc w:val="left"/>
            </w:pPr>
            <w:r>
              <w:rPr>
                <w:rFonts w:ascii="Arial" w:eastAsia="Arial" w:hAnsi="Arial" w:cs="Arial"/>
                <w:color w:val="000000"/>
              </w:rPr>
              <w:t>1. Analyze the unit, target language, and learner needs.</w:t>
            </w:r>
            <w:r>
              <w:rPr>
                <w:rFonts w:ascii="Arial" w:eastAsia="Arial" w:hAnsi="Arial" w:cs="Arial"/>
                <w:color w:val="000000"/>
              </w:rPr>
              <w:br/>
              <w:t>2. Identify thematic meaning and educational purposes.</w:t>
            </w:r>
            <w:r>
              <w:rPr>
                <w:rFonts w:ascii="Arial" w:eastAsia="Arial" w:hAnsi="Arial" w:cs="Arial"/>
                <w:color w:val="000000"/>
              </w:rPr>
              <w:br/>
              <w:t>3. Define observable assignment objectives.</w:t>
            </w:r>
          </w:p>
        </w:tc>
      </w:tr>
      <w:tr w:rsidR="006641D3" w14:paraId="00EA56F0" w14:textId="77777777">
        <w:trPr>
          <w:cantSplit/>
          <w:jc w:val="center"/>
        </w:trPr>
        <w:tc>
          <w:tcPr>
            <w:tcW w:w="2134" w:type="dxa"/>
            <w:vAlign w:val="center"/>
          </w:tcPr>
          <w:p w14:paraId="7A8B72C5" w14:textId="77777777" w:rsidR="006641D3" w:rsidRDefault="00000000">
            <w:pPr>
              <w:pStyle w:val="Body"/>
              <w:keepLines/>
              <w:spacing w:after="0" w:line="480" w:lineRule="auto"/>
              <w:jc w:val="left"/>
            </w:pPr>
            <w:r>
              <w:rPr>
                <w:rFonts w:ascii="Arial" w:eastAsia="Arial" w:hAnsi="Arial" w:cs="Arial"/>
                <w:color w:val="000000"/>
              </w:rPr>
              <w:t>Task implementation</w:t>
            </w:r>
          </w:p>
        </w:tc>
        <w:tc>
          <w:tcPr>
            <w:tcW w:w="6074" w:type="dxa"/>
            <w:vAlign w:val="center"/>
          </w:tcPr>
          <w:p w14:paraId="52BEE880" w14:textId="77777777" w:rsidR="006641D3" w:rsidRDefault="00000000">
            <w:pPr>
              <w:pStyle w:val="Body"/>
              <w:keepLines/>
              <w:spacing w:after="0" w:line="480" w:lineRule="auto"/>
              <w:jc w:val="left"/>
            </w:pPr>
            <w:r>
              <w:rPr>
                <w:rFonts w:ascii="Arial" w:eastAsia="Arial" w:hAnsi="Arial" w:cs="Arial"/>
                <w:color w:val="000000"/>
              </w:rPr>
              <w:t>4. Sequence learning and understanding, application and practice, and transfer and innovation.</w:t>
            </w:r>
            <w:r>
              <w:rPr>
                <w:rFonts w:ascii="Arial" w:eastAsia="Arial" w:hAnsi="Arial" w:cs="Arial"/>
                <w:color w:val="000000"/>
              </w:rPr>
              <w:br/>
              <w:t>5. Provide differentiated scaffolding and task support.</w:t>
            </w:r>
          </w:p>
        </w:tc>
      </w:tr>
      <w:tr w:rsidR="006641D3" w14:paraId="5775629B" w14:textId="77777777">
        <w:trPr>
          <w:cantSplit/>
          <w:trHeight w:val="1615"/>
          <w:jc w:val="center"/>
        </w:trPr>
        <w:tc>
          <w:tcPr>
            <w:tcW w:w="2134" w:type="dxa"/>
            <w:vAlign w:val="center"/>
          </w:tcPr>
          <w:p w14:paraId="3915DFE6" w14:textId="77777777" w:rsidR="006641D3" w:rsidRDefault="00000000">
            <w:pPr>
              <w:pStyle w:val="Body"/>
              <w:keepLines/>
              <w:spacing w:after="0" w:line="480" w:lineRule="auto"/>
              <w:jc w:val="left"/>
            </w:pPr>
            <w:r>
              <w:rPr>
                <w:rFonts w:ascii="Arial" w:eastAsia="Arial" w:hAnsi="Arial" w:cs="Arial"/>
                <w:color w:val="000000"/>
              </w:rPr>
              <w:t>Assessment-informed improvement</w:t>
            </w:r>
          </w:p>
        </w:tc>
        <w:tc>
          <w:tcPr>
            <w:tcW w:w="6074" w:type="dxa"/>
            <w:vAlign w:val="center"/>
          </w:tcPr>
          <w:p w14:paraId="173B4291" w14:textId="77777777" w:rsidR="006641D3" w:rsidRDefault="00000000">
            <w:pPr>
              <w:pStyle w:val="Body"/>
              <w:keepLines/>
              <w:spacing w:after="0" w:line="480" w:lineRule="auto"/>
              <w:jc w:val="left"/>
            </w:pPr>
            <w:r>
              <w:rPr>
                <w:rFonts w:ascii="Arial" w:eastAsia="Arial" w:hAnsi="Arial" w:cs="Arial"/>
                <w:color w:val="000000"/>
              </w:rPr>
              <w:t>6. Embed formative assessment and feedback.</w:t>
            </w:r>
            <w:r>
              <w:rPr>
                <w:rFonts w:ascii="Arial" w:eastAsia="Arial" w:hAnsi="Arial" w:cs="Arial"/>
                <w:color w:val="000000"/>
              </w:rPr>
              <w:br/>
              <w:t>7. Guide revision and refinement.</w:t>
            </w:r>
            <w:r>
              <w:rPr>
                <w:rFonts w:ascii="Arial" w:eastAsia="Arial" w:hAnsi="Arial" w:cs="Arial"/>
                <w:color w:val="000000"/>
              </w:rPr>
              <w:br/>
              <w:t>8. Review outcomes, workload, and support needs; return to objectives for the next cycle.</w:t>
            </w:r>
          </w:p>
        </w:tc>
      </w:tr>
    </w:tbl>
    <w:p w14:paraId="4D54BB69" w14:textId="77777777" w:rsidR="006641D3" w:rsidRDefault="00000000">
      <w:pPr>
        <w:pStyle w:val="Body"/>
        <w:spacing w:before="120"/>
      </w:pPr>
      <w:r>
        <w:rPr>
          <w:rFonts w:ascii="Arial" w:eastAsia="Arial" w:hAnsi="Arial" w:cs="Arial"/>
          <w:color w:val="000000"/>
        </w:rPr>
        <w:t>The three phases address complementary questions. Objective setting establishes why pupils undertake the work. Task implementation determines what they do and how they are supported. Assessment-informed improvement examines the quality of their performance and identifies subsequent instructional adjustments.</w:t>
      </w:r>
    </w:p>
    <w:p w14:paraId="46A68296" w14:textId="77777777" w:rsidR="006641D3" w:rsidRDefault="00000000">
      <w:pPr>
        <w:pStyle w:val="Body"/>
      </w:pPr>
      <w:r>
        <w:rPr>
          <w:rFonts w:ascii="Arial" w:eastAsia="Arial" w:hAnsi="Arial" w:cs="Arial"/>
          <w:color w:val="000000"/>
        </w:rPr>
        <w:t>The eight steps specify a route from unit analysis to review. If pupils produce fluent introductions but overlook an incoming question, the teacher can revisit the objective, instructions, and model before increasing the amount of writing. An assessment problem can therefore identify a design problem as well as a learner difficulty.</w:t>
      </w:r>
    </w:p>
    <w:p w14:paraId="7CEC8D5B" w14:textId="77777777" w:rsidR="006641D3" w:rsidRDefault="00000000">
      <w:pPr>
        <w:pStyle w:val="Body"/>
      </w:pPr>
      <w:r>
        <w:rPr>
          <w:rFonts w:ascii="Arial" w:eastAsia="Arial" w:hAnsi="Arial" w:cs="Arial"/>
          <w:color w:val="000000"/>
        </w:rPr>
        <w:t>Planning should identify which exercises the sequence replaces, which activities require classroom interaction, and which parts pupils can complete independently. Workload review should include reading instructions, locating materials, drafting, and revising. These are implementation recommendations, not time-use measurements from this case.</w:t>
      </w:r>
    </w:p>
    <w:p w14:paraId="19F7C63C" w14:textId="77777777" w:rsidR="006641D3" w:rsidRDefault="00000000">
      <w:pPr>
        <w:pStyle w:val="Body"/>
        <w:keepNext/>
        <w:spacing w:after="120"/>
        <w:jc w:val="left"/>
      </w:pPr>
      <w:r>
        <w:rPr>
          <w:rFonts w:ascii="Arial" w:eastAsia="Arial" w:hAnsi="Arial" w:cs="Arial"/>
          <w:b/>
          <w:color w:val="000000"/>
          <w:sz w:val="22"/>
          <w:szCs w:val="22"/>
        </w:rPr>
        <w:t>2.5 Connected task sequence and participants’ learning activities</w:t>
      </w:r>
    </w:p>
    <w:p w14:paraId="517CAE1C" w14:textId="77777777" w:rsidR="006641D3" w:rsidRDefault="00000000">
      <w:pPr>
        <w:pStyle w:val="Body"/>
      </w:pPr>
      <w:r>
        <w:rPr>
          <w:rFonts w:ascii="Arial" w:eastAsia="Arial" w:hAnsi="Arial" w:cs="Arial"/>
          <w:color w:val="000000"/>
        </w:rPr>
        <w:t>The sequence is designed to replace textbook copying and sentence substitution while retaining the unit’s language objectives. Its four tasks are connected learning activities, not a prescribed number of lessons. Tables 2–5 illustrate the task materials.</w:t>
      </w:r>
    </w:p>
    <w:p w14:paraId="3730387F" w14:textId="77777777" w:rsidR="006641D3" w:rsidRDefault="00000000">
      <w:pPr>
        <w:pStyle w:val="Body"/>
      </w:pPr>
      <w:r>
        <w:rPr>
          <w:rFonts w:ascii="Arial" w:eastAsia="Arial" w:hAnsi="Arial" w:cs="Arial"/>
          <w:b/>
          <w:color w:val="000000"/>
        </w:rPr>
        <w:t>Task 1: Compile an e-friend information card (primary focus: learning and understanding).</w:t>
      </w:r>
      <w:r>
        <w:rPr>
          <w:rFonts w:ascii="Arial" w:eastAsia="Arial" w:hAnsi="Arial" w:cs="Arial"/>
          <w:color w:val="000000"/>
        </w:rPr>
        <w:t xml:space="preserve"> Pupils complete a three-column organizer using the textbook: the character, the e-friend’s country, and actual or hoped-for conversation topics. They distinguish Joe’s and Jill’s existing e-friends from Kitty’s wish to find one. They then select one character and provide a brief summary, for example: Joe has an e-friend in the UK. They often talk about football.</w:t>
      </w:r>
    </w:p>
    <w:p w14:paraId="4FF42F2F" w14:textId="77777777" w:rsidR="006641D3" w:rsidRDefault="00000000">
      <w:pPr>
        <w:pStyle w:val="Body"/>
      </w:pPr>
      <w:r>
        <w:rPr>
          <w:rFonts w:ascii="Arial" w:eastAsia="Arial" w:hAnsi="Arial" w:cs="Arial"/>
          <w:color w:val="000000"/>
        </w:rPr>
        <w:lastRenderedPageBreak/>
        <w:t>The organizer (Table 2) makes relationships among people, places, and topics visible. It demonstrates how to assemble a description from selected information. A teacher can check those relationships before pupils use the same structures in their own writing.</w:t>
      </w:r>
    </w:p>
    <w:p w14:paraId="65C3101D" w14:textId="77777777" w:rsidR="006641D3" w:rsidRDefault="00000000">
      <w:pPr>
        <w:pStyle w:val="Body"/>
        <w:keepNext/>
        <w:spacing w:after="60"/>
        <w:jc w:val="left"/>
      </w:pPr>
      <w:r>
        <w:rPr>
          <w:rFonts w:ascii="Arial" w:eastAsia="Arial" w:hAnsi="Arial" w:cs="Arial"/>
          <w:b/>
          <w:color w:val="000000"/>
        </w:rPr>
        <w:t>Table 2. Task 1: E-friend information card</w:t>
      </w:r>
    </w:p>
    <w:tbl>
      <w:tblPr>
        <w:tblW w:w="8208" w:type="dxa"/>
        <w:jc w:val="center"/>
        <w:tblBorders>
          <w:top w:val="single" w:sz="4" w:space="0" w:color="000000"/>
          <w:bottom w:val="single" w:sz="4" w:space="0" w:color="000000"/>
        </w:tblBorders>
        <w:tblLayout w:type="fixed"/>
        <w:tblCellMar>
          <w:top w:w="60" w:type="dxa"/>
          <w:left w:w="90" w:type="dxa"/>
          <w:bottom w:w="60" w:type="dxa"/>
          <w:right w:w="90" w:type="dxa"/>
        </w:tblCellMar>
        <w:tblLook w:val="04A0" w:firstRow="1" w:lastRow="0" w:firstColumn="1" w:lastColumn="0" w:noHBand="0" w:noVBand="1"/>
      </w:tblPr>
      <w:tblGrid>
        <w:gridCol w:w="1422"/>
        <w:gridCol w:w="2987"/>
        <w:gridCol w:w="3799"/>
      </w:tblGrid>
      <w:tr w:rsidR="006641D3" w14:paraId="656F96EC" w14:textId="77777777">
        <w:trPr>
          <w:cantSplit/>
          <w:tblHeader/>
          <w:jc w:val="center"/>
        </w:trPr>
        <w:tc>
          <w:tcPr>
            <w:tcW w:w="1422" w:type="dxa"/>
            <w:tcBorders>
              <w:bottom w:val="single" w:sz="4" w:space="0" w:color="000000"/>
            </w:tcBorders>
            <w:vAlign w:val="center"/>
          </w:tcPr>
          <w:p w14:paraId="074E13E9" w14:textId="77777777" w:rsidR="006641D3" w:rsidRDefault="00000000">
            <w:pPr>
              <w:pStyle w:val="Body"/>
              <w:keepNext/>
              <w:keepLines/>
              <w:spacing w:after="0" w:line="480" w:lineRule="auto"/>
              <w:jc w:val="left"/>
            </w:pPr>
            <w:r>
              <w:rPr>
                <w:rFonts w:ascii="Arial" w:eastAsia="Arial" w:hAnsi="Arial" w:cs="Arial"/>
                <w:b/>
                <w:color w:val="000000"/>
              </w:rPr>
              <w:t>Character</w:t>
            </w:r>
          </w:p>
        </w:tc>
        <w:tc>
          <w:tcPr>
            <w:tcW w:w="2987" w:type="dxa"/>
            <w:tcBorders>
              <w:bottom w:val="single" w:sz="4" w:space="0" w:color="000000"/>
            </w:tcBorders>
            <w:vAlign w:val="center"/>
          </w:tcPr>
          <w:p w14:paraId="595E9049" w14:textId="77777777" w:rsidR="006641D3" w:rsidRDefault="00000000">
            <w:pPr>
              <w:pStyle w:val="Body"/>
              <w:keepNext/>
              <w:keepLines/>
              <w:spacing w:after="0" w:line="480" w:lineRule="auto"/>
              <w:jc w:val="left"/>
            </w:pPr>
            <w:r>
              <w:rPr>
                <w:rFonts w:ascii="Arial" w:eastAsia="Arial" w:hAnsi="Arial" w:cs="Arial"/>
                <w:b/>
                <w:color w:val="000000"/>
              </w:rPr>
              <w:t>Country and relationship</w:t>
            </w:r>
          </w:p>
        </w:tc>
        <w:tc>
          <w:tcPr>
            <w:tcW w:w="3799" w:type="dxa"/>
            <w:tcBorders>
              <w:bottom w:val="single" w:sz="4" w:space="0" w:color="000000"/>
            </w:tcBorders>
            <w:vAlign w:val="center"/>
          </w:tcPr>
          <w:p w14:paraId="1BD214AB" w14:textId="77777777" w:rsidR="006641D3" w:rsidRDefault="00000000">
            <w:pPr>
              <w:pStyle w:val="Body"/>
              <w:keepNext/>
              <w:keepLines/>
              <w:spacing w:after="0" w:line="480" w:lineRule="auto"/>
              <w:jc w:val="left"/>
            </w:pPr>
            <w:r>
              <w:rPr>
                <w:rFonts w:ascii="Arial" w:eastAsia="Arial" w:hAnsi="Arial" w:cs="Arial"/>
                <w:b/>
                <w:color w:val="000000"/>
              </w:rPr>
              <w:t>Actual or hoped-for conversation topics</w:t>
            </w:r>
          </w:p>
        </w:tc>
      </w:tr>
      <w:tr w:rsidR="006641D3" w14:paraId="32660F4A" w14:textId="77777777">
        <w:trPr>
          <w:cantSplit/>
          <w:trHeight w:val="438"/>
          <w:jc w:val="center"/>
        </w:trPr>
        <w:tc>
          <w:tcPr>
            <w:tcW w:w="1422" w:type="dxa"/>
            <w:vAlign w:val="center"/>
          </w:tcPr>
          <w:p w14:paraId="04FDBB6C" w14:textId="77777777" w:rsidR="006641D3" w:rsidRDefault="00000000">
            <w:pPr>
              <w:pStyle w:val="Body"/>
              <w:keepLines/>
              <w:spacing w:after="0" w:line="480" w:lineRule="auto"/>
              <w:jc w:val="left"/>
            </w:pPr>
            <w:r>
              <w:rPr>
                <w:rFonts w:ascii="Arial" w:eastAsia="Arial" w:hAnsi="Arial" w:cs="Arial"/>
                <w:color w:val="000000"/>
              </w:rPr>
              <w:t>Joe</w:t>
            </w:r>
          </w:p>
        </w:tc>
        <w:tc>
          <w:tcPr>
            <w:tcW w:w="2987" w:type="dxa"/>
            <w:vAlign w:val="center"/>
          </w:tcPr>
          <w:p w14:paraId="150BCFFD" w14:textId="77777777" w:rsidR="006641D3" w:rsidRDefault="00000000">
            <w:pPr>
              <w:pStyle w:val="Body"/>
              <w:keepLines/>
              <w:spacing w:after="0" w:line="480" w:lineRule="auto"/>
              <w:jc w:val="left"/>
            </w:pPr>
            <w:r>
              <w:rPr>
                <w:rFonts w:ascii="Arial" w:eastAsia="Arial" w:hAnsi="Arial" w:cs="Arial"/>
                <w:color w:val="000000"/>
              </w:rPr>
              <w:t>________________</w:t>
            </w:r>
          </w:p>
        </w:tc>
        <w:tc>
          <w:tcPr>
            <w:tcW w:w="3799" w:type="dxa"/>
            <w:vAlign w:val="center"/>
          </w:tcPr>
          <w:p w14:paraId="0136E7C5" w14:textId="77777777" w:rsidR="006641D3" w:rsidRDefault="00000000">
            <w:pPr>
              <w:pStyle w:val="Body"/>
              <w:keepLines/>
              <w:spacing w:after="0" w:line="480" w:lineRule="auto"/>
              <w:jc w:val="left"/>
            </w:pPr>
            <w:r>
              <w:rPr>
                <w:rFonts w:ascii="Arial" w:eastAsia="Arial" w:hAnsi="Arial" w:cs="Arial"/>
                <w:color w:val="000000"/>
              </w:rPr>
              <w:t>________________</w:t>
            </w:r>
          </w:p>
        </w:tc>
      </w:tr>
      <w:tr w:rsidR="006641D3" w14:paraId="60479DAE" w14:textId="77777777">
        <w:trPr>
          <w:cantSplit/>
          <w:jc w:val="center"/>
        </w:trPr>
        <w:tc>
          <w:tcPr>
            <w:tcW w:w="1422" w:type="dxa"/>
            <w:vAlign w:val="center"/>
          </w:tcPr>
          <w:p w14:paraId="10654F7F" w14:textId="77777777" w:rsidR="006641D3" w:rsidRDefault="00000000">
            <w:pPr>
              <w:pStyle w:val="Body"/>
              <w:keepLines/>
              <w:spacing w:after="0" w:line="480" w:lineRule="auto"/>
              <w:jc w:val="left"/>
            </w:pPr>
            <w:r>
              <w:rPr>
                <w:rFonts w:ascii="Arial" w:eastAsia="Arial" w:hAnsi="Arial" w:cs="Arial"/>
                <w:color w:val="000000"/>
              </w:rPr>
              <w:t>Jill</w:t>
            </w:r>
          </w:p>
        </w:tc>
        <w:tc>
          <w:tcPr>
            <w:tcW w:w="2987" w:type="dxa"/>
            <w:vAlign w:val="center"/>
          </w:tcPr>
          <w:p w14:paraId="19A7704D" w14:textId="77777777" w:rsidR="006641D3" w:rsidRDefault="00000000">
            <w:pPr>
              <w:pStyle w:val="Body"/>
              <w:keepLines/>
              <w:spacing w:after="0" w:line="480" w:lineRule="auto"/>
              <w:jc w:val="left"/>
            </w:pPr>
            <w:r>
              <w:rPr>
                <w:rFonts w:ascii="Arial" w:eastAsia="Arial" w:hAnsi="Arial" w:cs="Arial"/>
                <w:color w:val="000000"/>
              </w:rPr>
              <w:t>________________</w:t>
            </w:r>
          </w:p>
        </w:tc>
        <w:tc>
          <w:tcPr>
            <w:tcW w:w="3799" w:type="dxa"/>
            <w:vAlign w:val="center"/>
          </w:tcPr>
          <w:p w14:paraId="478BFBCC" w14:textId="77777777" w:rsidR="006641D3" w:rsidRDefault="00000000">
            <w:pPr>
              <w:pStyle w:val="Body"/>
              <w:keepLines/>
              <w:spacing w:after="0" w:line="480" w:lineRule="auto"/>
              <w:jc w:val="left"/>
            </w:pPr>
            <w:r>
              <w:rPr>
                <w:rFonts w:ascii="Arial" w:eastAsia="Arial" w:hAnsi="Arial" w:cs="Arial"/>
                <w:color w:val="000000"/>
              </w:rPr>
              <w:t>________________</w:t>
            </w:r>
          </w:p>
        </w:tc>
      </w:tr>
      <w:tr w:rsidR="006641D3" w14:paraId="5A4A20F3" w14:textId="77777777">
        <w:trPr>
          <w:cantSplit/>
          <w:jc w:val="center"/>
        </w:trPr>
        <w:tc>
          <w:tcPr>
            <w:tcW w:w="1422" w:type="dxa"/>
            <w:vAlign w:val="center"/>
          </w:tcPr>
          <w:p w14:paraId="36791931" w14:textId="77777777" w:rsidR="006641D3" w:rsidRDefault="00000000">
            <w:pPr>
              <w:pStyle w:val="Body"/>
              <w:keepLines/>
              <w:spacing w:after="0" w:line="480" w:lineRule="auto"/>
              <w:jc w:val="left"/>
            </w:pPr>
            <w:r>
              <w:rPr>
                <w:rFonts w:ascii="Arial" w:eastAsia="Arial" w:hAnsi="Arial" w:cs="Arial"/>
                <w:color w:val="000000"/>
              </w:rPr>
              <w:t>Kitty</w:t>
            </w:r>
          </w:p>
        </w:tc>
        <w:tc>
          <w:tcPr>
            <w:tcW w:w="2987" w:type="dxa"/>
            <w:vAlign w:val="center"/>
          </w:tcPr>
          <w:p w14:paraId="5EC845BD" w14:textId="77777777" w:rsidR="006641D3" w:rsidRDefault="00000000">
            <w:pPr>
              <w:pStyle w:val="Body"/>
              <w:keepLines/>
              <w:spacing w:after="0" w:line="480" w:lineRule="auto"/>
              <w:jc w:val="left"/>
            </w:pPr>
            <w:r>
              <w:rPr>
                <w:rFonts w:ascii="Arial" w:eastAsia="Arial" w:hAnsi="Arial" w:cs="Arial"/>
                <w:color w:val="000000"/>
              </w:rPr>
              <w:t>________________</w:t>
            </w:r>
          </w:p>
        </w:tc>
        <w:tc>
          <w:tcPr>
            <w:tcW w:w="3799" w:type="dxa"/>
            <w:vAlign w:val="center"/>
          </w:tcPr>
          <w:p w14:paraId="442854CD" w14:textId="77777777" w:rsidR="006641D3" w:rsidRDefault="00000000">
            <w:pPr>
              <w:pStyle w:val="Body"/>
              <w:keepLines/>
              <w:spacing w:after="0" w:line="480" w:lineRule="auto"/>
              <w:jc w:val="left"/>
            </w:pPr>
            <w:r>
              <w:rPr>
                <w:rFonts w:ascii="Arial" w:eastAsia="Arial" w:hAnsi="Arial" w:cs="Arial"/>
                <w:color w:val="000000"/>
              </w:rPr>
              <w:t>________________</w:t>
            </w:r>
          </w:p>
        </w:tc>
      </w:tr>
      <w:tr w:rsidR="006641D3" w14:paraId="45022C68" w14:textId="77777777">
        <w:trPr>
          <w:cantSplit/>
          <w:jc w:val="center"/>
        </w:trPr>
        <w:tc>
          <w:tcPr>
            <w:tcW w:w="1422" w:type="dxa"/>
            <w:vAlign w:val="center"/>
          </w:tcPr>
          <w:p w14:paraId="68DEFA5E" w14:textId="77777777" w:rsidR="006641D3" w:rsidRDefault="00000000">
            <w:pPr>
              <w:pStyle w:val="Body"/>
              <w:keepLines/>
              <w:spacing w:after="0" w:line="480" w:lineRule="auto"/>
              <w:jc w:val="left"/>
            </w:pPr>
            <w:r>
              <w:rPr>
                <w:rFonts w:ascii="Arial" w:eastAsia="Arial" w:hAnsi="Arial" w:cs="Arial"/>
                <w:color w:val="000000"/>
              </w:rPr>
              <w:t>Check</w:t>
            </w:r>
          </w:p>
        </w:tc>
        <w:tc>
          <w:tcPr>
            <w:tcW w:w="2987" w:type="dxa"/>
            <w:vAlign w:val="center"/>
          </w:tcPr>
          <w:p w14:paraId="4D37DE29" w14:textId="77777777" w:rsidR="006641D3" w:rsidRDefault="00000000">
            <w:pPr>
              <w:pStyle w:val="Body"/>
              <w:keepLines/>
              <w:spacing w:after="0" w:line="480" w:lineRule="auto"/>
              <w:jc w:val="left"/>
            </w:pPr>
            <w:r>
              <w:rPr>
                <w:rFonts w:ascii="Arial" w:eastAsia="Arial" w:hAnsi="Arial" w:cs="Arial"/>
                <w:color w:val="000000"/>
              </w:rPr>
              <w:t>Does the character already have an e-friend, or hope to find one?</w:t>
            </w:r>
          </w:p>
        </w:tc>
        <w:tc>
          <w:tcPr>
            <w:tcW w:w="3799" w:type="dxa"/>
            <w:vAlign w:val="center"/>
          </w:tcPr>
          <w:p w14:paraId="7352A7F4" w14:textId="77777777" w:rsidR="006641D3" w:rsidRDefault="00000000">
            <w:pPr>
              <w:pStyle w:val="Body"/>
              <w:keepLines/>
              <w:spacing w:after="0" w:line="480" w:lineRule="auto"/>
              <w:jc w:val="left"/>
            </w:pPr>
            <w:r>
              <w:rPr>
                <w:rFonts w:ascii="Arial" w:eastAsia="Arial" w:hAnsi="Arial" w:cs="Arial"/>
                <w:color w:val="000000"/>
              </w:rPr>
              <w:t>Summarize one row in a sentence.</w:t>
            </w:r>
          </w:p>
        </w:tc>
      </w:tr>
    </w:tbl>
    <w:p w14:paraId="7F6E79DA" w14:textId="77777777" w:rsidR="006641D3" w:rsidRDefault="00000000">
      <w:pPr>
        <w:pStyle w:val="Body"/>
        <w:keepNext/>
        <w:spacing w:before="120"/>
      </w:pPr>
      <w:r>
        <w:rPr>
          <w:rFonts w:ascii="Arial" w:eastAsia="Arial" w:hAnsi="Arial" w:cs="Arial"/>
          <w:b/>
          <w:color w:val="000000"/>
        </w:rPr>
        <w:t>Task 2: Create an individualized “what we can talk about” sheet (primary focus: application and practice).</w:t>
      </w:r>
    </w:p>
    <w:p w14:paraId="4C45ABDC" w14:textId="77777777" w:rsidR="006641D3" w:rsidRDefault="00000000">
      <w:pPr>
        <w:pStyle w:val="Body"/>
      </w:pPr>
      <w:r>
        <w:rPr>
          <w:rFonts w:ascii="Arial" w:eastAsia="Arial" w:hAnsi="Arial" w:cs="Arial"/>
          <w:color w:val="000000"/>
        </w:rPr>
        <w:t>Pupils translate the shared conversation topics into their own interests by selecting and adapting relevant structures. They produce a short list that later supports writing for an identifiable reader.</w:t>
      </w:r>
    </w:p>
    <w:p w14:paraId="27DF06F1" w14:textId="77777777" w:rsidR="006641D3" w:rsidRDefault="00000000">
      <w:pPr>
        <w:pStyle w:val="Body"/>
      </w:pPr>
      <w:r>
        <w:rPr>
          <w:rFonts w:ascii="Arial" w:eastAsia="Arial" w:hAnsi="Arial" w:cs="Arial"/>
          <w:color w:val="000000"/>
        </w:rPr>
        <w:t>The interest sheet (Table 3) gives pupils choices within a shared language objective. The purpose is to select content that can sustain an exchange. A brief reason for one interest provides material for the subsequent email without requiring a longer or more decorative worksheet.</w:t>
      </w:r>
    </w:p>
    <w:p w14:paraId="321A143B" w14:textId="77777777" w:rsidR="006641D3" w:rsidRDefault="00000000">
      <w:pPr>
        <w:pStyle w:val="Body"/>
        <w:keepNext/>
        <w:spacing w:after="60"/>
        <w:jc w:val="left"/>
      </w:pPr>
      <w:r>
        <w:rPr>
          <w:rFonts w:ascii="Arial" w:eastAsia="Arial" w:hAnsi="Arial" w:cs="Arial"/>
          <w:b/>
          <w:color w:val="000000"/>
        </w:rPr>
        <w:t>Table 3. Task 2: What we can talk about</w:t>
      </w:r>
    </w:p>
    <w:tbl>
      <w:tblPr>
        <w:tblW w:w="8208" w:type="dxa"/>
        <w:jc w:val="center"/>
        <w:tblBorders>
          <w:top w:val="single" w:sz="4" w:space="0" w:color="000000"/>
          <w:bottom w:val="single" w:sz="4" w:space="0" w:color="000000"/>
        </w:tblBorders>
        <w:tblLayout w:type="fixed"/>
        <w:tblCellMar>
          <w:top w:w="60" w:type="dxa"/>
          <w:left w:w="90" w:type="dxa"/>
          <w:bottom w:w="60" w:type="dxa"/>
          <w:right w:w="90" w:type="dxa"/>
        </w:tblCellMar>
        <w:tblLook w:val="04A0" w:firstRow="1" w:lastRow="0" w:firstColumn="1" w:lastColumn="0" w:noHBand="0" w:noVBand="1"/>
      </w:tblPr>
      <w:tblGrid>
        <w:gridCol w:w="8208"/>
      </w:tblGrid>
      <w:tr w:rsidR="006641D3" w14:paraId="2E96036E" w14:textId="77777777">
        <w:trPr>
          <w:cantSplit/>
          <w:jc w:val="center"/>
        </w:trPr>
        <w:tc>
          <w:tcPr>
            <w:tcW w:w="8208" w:type="dxa"/>
            <w:vAlign w:val="center"/>
          </w:tcPr>
          <w:p w14:paraId="2D86FC9E" w14:textId="77777777" w:rsidR="006641D3" w:rsidRDefault="00000000">
            <w:pPr>
              <w:pStyle w:val="Body"/>
              <w:keepLines/>
              <w:spacing w:after="0" w:line="480" w:lineRule="auto"/>
              <w:jc w:val="left"/>
            </w:pPr>
            <w:r>
              <w:rPr>
                <w:rFonts w:ascii="Arial" w:eastAsia="Arial" w:hAnsi="Arial" w:cs="Arial"/>
                <w:color w:val="000000"/>
              </w:rPr>
              <w:t>I would like an e-friend from ____________________.</w:t>
            </w:r>
            <w:r>
              <w:rPr>
                <w:rFonts w:ascii="Arial" w:eastAsia="Arial" w:hAnsi="Arial" w:cs="Arial"/>
                <w:color w:val="000000"/>
              </w:rPr>
              <w:br/>
              <w:t>We can talk about ____________________.</w:t>
            </w:r>
            <w:r>
              <w:rPr>
                <w:rFonts w:ascii="Arial" w:eastAsia="Arial" w:hAnsi="Arial" w:cs="Arial"/>
                <w:color w:val="000000"/>
              </w:rPr>
              <w:br/>
              <w:t>I enjoy ____________________ because ____________________.</w:t>
            </w:r>
            <w:r>
              <w:rPr>
                <w:rFonts w:ascii="Arial" w:eastAsia="Arial" w:hAnsi="Arial" w:cs="Arial"/>
                <w:color w:val="000000"/>
              </w:rPr>
              <w:br/>
              <w:t>I would like to ask my e-friend ____________________.</w:t>
            </w:r>
          </w:p>
        </w:tc>
      </w:tr>
    </w:tbl>
    <w:p w14:paraId="4C0E581F" w14:textId="77777777" w:rsidR="006641D3" w:rsidRDefault="00000000">
      <w:pPr>
        <w:pStyle w:val="Body"/>
        <w:keepNext/>
        <w:spacing w:before="120"/>
      </w:pPr>
      <w:r>
        <w:rPr>
          <w:rFonts w:ascii="Arial" w:eastAsia="Arial" w:hAnsi="Arial" w:cs="Arial"/>
          <w:b/>
          <w:color w:val="000000"/>
        </w:rPr>
        <w:t>Task 3: Write a reply to an e-friend (primary focus: progression from application and practice toward transfer and innovation).</w:t>
      </w:r>
    </w:p>
    <w:p w14:paraId="5D5769D6" w14:textId="77777777" w:rsidR="006641D3" w:rsidRDefault="00000000">
      <w:pPr>
        <w:pStyle w:val="Body"/>
      </w:pPr>
      <w:r>
        <w:rPr>
          <w:rFonts w:ascii="Arial" w:eastAsia="Arial" w:hAnsi="Arial" w:cs="Arial"/>
          <w:color w:val="000000"/>
        </w:rPr>
        <w:t xml:space="preserve">The teacher provides a short fictional incoming email in which Tom introduces himself and asks two questions. Pupils write a reply of five to eight sentences that answers both </w:t>
      </w:r>
      <w:r>
        <w:rPr>
          <w:rFonts w:ascii="Arial" w:eastAsia="Arial" w:hAnsi="Arial" w:cs="Arial"/>
          <w:color w:val="000000"/>
        </w:rPr>
        <w:lastRenderedPageBreak/>
        <w:t>questions, introduces their family and interests, and asks one or two relevant questions. The greeting and sign-off are additional to the sentence target.</w:t>
      </w:r>
    </w:p>
    <w:p w14:paraId="7D842901" w14:textId="77777777" w:rsidR="006641D3" w:rsidRDefault="00000000">
      <w:pPr>
        <w:pStyle w:val="Body"/>
      </w:pPr>
      <w:r>
        <w:rPr>
          <w:rFonts w:ascii="Arial" w:eastAsia="Arial" w:hAnsi="Arial" w:cs="Arial"/>
          <w:color w:val="000000"/>
        </w:rPr>
        <w:t>An optional sentence frame is shown in Table 4. Its response to the sports question must express the writer’s own preference; the weekend sentence answers Tom’s second question.</w:t>
      </w:r>
    </w:p>
    <w:p w14:paraId="52260BA4" w14:textId="77777777" w:rsidR="006641D3" w:rsidRDefault="00000000">
      <w:pPr>
        <w:pStyle w:val="Body"/>
      </w:pPr>
      <w:r>
        <w:rPr>
          <w:rFonts w:ascii="Arial" w:eastAsia="Arial" w:hAnsi="Arial" w:cs="Arial"/>
          <w:color w:val="000000"/>
        </w:rPr>
        <w:t>Pupils able to compose independently may work without the frame.</w:t>
      </w:r>
    </w:p>
    <w:p w14:paraId="18996B39" w14:textId="77777777" w:rsidR="006641D3" w:rsidRDefault="00000000">
      <w:pPr>
        <w:pStyle w:val="Body"/>
      </w:pPr>
      <w:r>
        <w:rPr>
          <w:rFonts w:ascii="Arial" w:eastAsia="Arial" w:hAnsi="Arial" w:cs="Arial"/>
          <w:color w:val="000000"/>
        </w:rPr>
        <w:t>The incoming message should remain available during planning and drafting. Pupils can mark its questions and identify where each answer will appear. The frame supports expression without fixing every content choice. Luquin and García Mayo’s (2020) study concerns models provided as feedback after writing, whereas the present frame supports drafting. These different functions should be distinguished: a model can help pupils notice language, but responsiveness still requires checking the actual reader’s message.</w:t>
      </w:r>
    </w:p>
    <w:p w14:paraId="50B3189D" w14:textId="77777777" w:rsidR="006641D3" w:rsidRDefault="00000000">
      <w:pPr>
        <w:pStyle w:val="Body"/>
        <w:keepNext/>
        <w:spacing w:after="60"/>
        <w:jc w:val="left"/>
      </w:pPr>
      <w:r>
        <w:rPr>
          <w:rFonts w:ascii="Arial" w:eastAsia="Arial" w:hAnsi="Arial" w:cs="Arial"/>
          <w:b/>
          <w:color w:val="000000"/>
        </w:rPr>
        <w:t>Table 4. Task 3: Reply to your e-friend</w:t>
      </w:r>
    </w:p>
    <w:tbl>
      <w:tblPr>
        <w:tblW w:w="8208" w:type="dxa"/>
        <w:jc w:val="center"/>
        <w:tblBorders>
          <w:top w:val="single" w:sz="4" w:space="0" w:color="000000"/>
          <w:bottom w:val="single" w:sz="4" w:space="0" w:color="000000"/>
        </w:tblBorders>
        <w:tblLayout w:type="fixed"/>
        <w:tblCellMar>
          <w:top w:w="60" w:type="dxa"/>
          <w:left w:w="90" w:type="dxa"/>
          <w:bottom w:w="60" w:type="dxa"/>
          <w:right w:w="90" w:type="dxa"/>
        </w:tblCellMar>
        <w:tblLook w:val="04A0" w:firstRow="1" w:lastRow="0" w:firstColumn="1" w:lastColumn="0" w:noHBand="0" w:noVBand="1"/>
      </w:tblPr>
      <w:tblGrid>
        <w:gridCol w:w="8208"/>
      </w:tblGrid>
      <w:tr w:rsidR="006641D3" w14:paraId="594BEE72" w14:textId="77777777">
        <w:trPr>
          <w:cantSplit/>
          <w:jc w:val="center"/>
        </w:trPr>
        <w:tc>
          <w:tcPr>
            <w:tcW w:w="8208" w:type="dxa"/>
            <w:vAlign w:val="center"/>
          </w:tcPr>
          <w:p w14:paraId="01C40DA4" w14:textId="77777777" w:rsidR="006641D3" w:rsidRDefault="00000000">
            <w:pPr>
              <w:pStyle w:val="Body"/>
              <w:keepLines/>
              <w:spacing w:after="0" w:line="480" w:lineRule="auto"/>
              <w:jc w:val="left"/>
            </w:pPr>
            <w:r>
              <w:rPr>
                <w:rFonts w:ascii="Arial" w:eastAsia="Arial" w:hAnsi="Arial" w:cs="Arial"/>
                <w:color w:val="000000"/>
              </w:rPr>
              <w:t>From Tom in the UK</w:t>
            </w:r>
            <w:r>
              <w:rPr>
                <w:rFonts w:ascii="Arial" w:eastAsia="Arial" w:hAnsi="Arial" w:cs="Arial"/>
                <w:color w:val="000000"/>
              </w:rPr>
              <w:br/>
              <w:t>Hi! I’m Tom. I’m from the UK. I like football very much. I live with my mum, dad and my cute dog. Do you like sports? What do you do at weekends?</w:t>
            </w:r>
          </w:p>
        </w:tc>
      </w:tr>
      <w:tr w:rsidR="006641D3" w14:paraId="2459D091" w14:textId="77777777">
        <w:trPr>
          <w:cantSplit/>
          <w:jc w:val="center"/>
        </w:trPr>
        <w:tc>
          <w:tcPr>
            <w:tcW w:w="8208" w:type="dxa"/>
            <w:vAlign w:val="center"/>
          </w:tcPr>
          <w:p w14:paraId="51076927" w14:textId="77777777" w:rsidR="006641D3" w:rsidRDefault="00000000">
            <w:pPr>
              <w:pStyle w:val="Body"/>
              <w:keepLines/>
              <w:spacing w:after="0" w:line="480" w:lineRule="auto"/>
              <w:jc w:val="left"/>
            </w:pPr>
            <w:r>
              <w:rPr>
                <w:rFonts w:ascii="Arial" w:eastAsia="Arial" w:hAnsi="Arial" w:cs="Arial"/>
                <w:color w:val="000000"/>
              </w:rPr>
              <w:t>Write five to eight sentences, plus a greeting and sign-off. Answer both questions, introduce your family and interests, and ask one or two relevant questions.</w:t>
            </w:r>
          </w:p>
        </w:tc>
      </w:tr>
      <w:tr w:rsidR="006641D3" w14:paraId="1CF144D9" w14:textId="77777777">
        <w:trPr>
          <w:cantSplit/>
          <w:jc w:val="center"/>
        </w:trPr>
        <w:tc>
          <w:tcPr>
            <w:tcW w:w="8208" w:type="dxa"/>
            <w:vAlign w:val="center"/>
          </w:tcPr>
          <w:p w14:paraId="24A30486" w14:textId="77777777" w:rsidR="006641D3" w:rsidRDefault="00000000">
            <w:pPr>
              <w:pStyle w:val="Body"/>
              <w:keepLines/>
              <w:spacing w:after="0" w:line="480" w:lineRule="auto"/>
              <w:jc w:val="left"/>
            </w:pPr>
            <w:r>
              <w:rPr>
                <w:rFonts w:ascii="Arial" w:eastAsia="Arial" w:hAnsi="Arial" w:cs="Arial"/>
                <w:color w:val="000000"/>
              </w:rPr>
              <w:t>Optional frame</w:t>
            </w:r>
            <w:r>
              <w:rPr>
                <w:rFonts w:ascii="Arial" w:eastAsia="Arial" w:hAnsi="Arial" w:cs="Arial"/>
                <w:color w:val="000000"/>
              </w:rPr>
              <w:br/>
              <w:t>Dear Tom,</w:t>
            </w:r>
            <w:r>
              <w:rPr>
                <w:rFonts w:ascii="Arial" w:eastAsia="Arial" w:hAnsi="Arial" w:cs="Arial"/>
                <w:color w:val="000000"/>
              </w:rPr>
              <w:br/>
              <w:t>Thank you for your email. I’m ___. I live in Shenzhen with ___. I like / do not like sports because ___. At weekends, I often ___. I also enjoy ___. Do you ___? Please write back soon.</w:t>
            </w:r>
            <w:r>
              <w:rPr>
                <w:rFonts w:ascii="Arial" w:eastAsia="Arial" w:hAnsi="Arial" w:cs="Arial"/>
                <w:color w:val="000000"/>
              </w:rPr>
              <w:br/>
              <w:t>Your friend, ___</w:t>
            </w:r>
          </w:p>
        </w:tc>
      </w:tr>
    </w:tbl>
    <w:p w14:paraId="6EEB0D33" w14:textId="77777777" w:rsidR="006641D3" w:rsidRDefault="00000000">
      <w:pPr>
        <w:pStyle w:val="Body"/>
        <w:keepNext/>
        <w:spacing w:before="120"/>
      </w:pPr>
      <w:r>
        <w:rPr>
          <w:rFonts w:ascii="Arial" w:eastAsia="Arial" w:hAnsi="Arial" w:cs="Arial"/>
          <w:b/>
          <w:color w:val="000000"/>
        </w:rPr>
        <w:t>Task 4: Peer feedback and revision (primary focus: transfer and innovation).</w:t>
      </w:r>
    </w:p>
    <w:p w14:paraId="4A664B99" w14:textId="77777777" w:rsidR="006641D3" w:rsidRDefault="00000000">
      <w:pPr>
        <w:pStyle w:val="Body"/>
      </w:pPr>
      <w:r>
        <w:rPr>
          <w:rFonts w:ascii="Arial" w:eastAsia="Arial" w:hAnsi="Arial" w:cs="Arial"/>
          <w:color w:val="000000"/>
        </w:rPr>
        <w:t>A reader checklist (Table 5) guides attention to responsiveness, relevant information, and comprehensibility. Writers use the feedback to make at least one revision and briefly explain the reason.</w:t>
      </w:r>
    </w:p>
    <w:p w14:paraId="516EFFFA" w14:textId="77777777" w:rsidR="006641D3" w:rsidRDefault="00000000">
      <w:pPr>
        <w:pStyle w:val="Body"/>
      </w:pPr>
      <w:r>
        <w:rPr>
          <w:rFonts w:ascii="Arial" w:eastAsia="Arial" w:hAnsi="Arial" w:cs="Arial"/>
          <w:color w:val="000000"/>
        </w:rPr>
        <w:t>Peer response requires preparation. Pupils can discuss a teacher-created example and practice identifying an unanswered question before exchanging work. Action research in Croatian primary EFL classrooms illustrates the importance of adapting peer feedback to young learners (</w:t>
      </w:r>
      <w:proofErr w:type="spellStart"/>
      <w:r>
        <w:rPr>
          <w:rFonts w:ascii="Arial" w:eastAsia="Arial" w:hAnsi="Arial" w:cs="Arial"/>
          <w:color w:val="000000"/>
        </w:rPr>
        <w:t>Perinčić</w:t>
      </w:r>
      <w:proofErr w:type="spellEnd"/>
      <w:r>
        <w:rPr>
          <w:rFonts w:ascii="Arial" w:eastAsia="Arial" w:hAnsi="Arial" w:cs="Arial"/>
          <w:color w:val="000000"/>
        </w:rPr>
        <w:t xml:space="preserve"> </w:t>
      </w:r>
      <w:proofErr w:type="spellStart"/>
      <w:r>
        <w:rPr>
          <w:rFonts w:ascii="Arial" w:eastAsia="Arial" w:hAnsi="Arial" w:cs="Arial"/>
          <w:color w:val="000000"/>
        </w:rPr>
        <w:t>Tičić</w:t>
      </w:r>
      <w:proofErr w:type="spellEnd"/>
      <w:r>
        <w:rPr>
          <w:rFonts w:ascii="Arial" w:eastAsia="Arial" w:hAnsi="Arial" w:cs="Arial"/>
          <w:color w:val="000000"/>
        </w:rPr>
        <w:t xml:space="preserve"> &amp; </w:t>
      </w:r>
      <w:proofErr w:type="spellStart"/>
      <w:r>
        <w:rPr>
          <w:rFonts w:ascii="Arial" w:eastAsia="Arial" w:hAnsi="Arial" w:cs="Arial"/>
          <w:color w:val="000000"/>
        </w:rPr>
        <w:t>Štulina</w:t>
      </w:r>
      <w:proofErr w:type="spellEnd"/>
      <w:r>
        <w:rPr>
          <w:rFonts w:ascii="Arial" w:eastAsia="Arial" w:hAnsi="Arial" w:cs="Arial"/>
          <w:color w:val="000000"/>
        </w:rPr>
        <w:t>, 2024). This is a recommended refinement, not an additional outcome attributed to the present class.</w:t>
      </w:r>
    </w:p>
    <w:p w14:paraId="2A5EFA08" w14:textId="77777777" w:rsidR="006641D3" w:rsidRDefault="00000000">
      <w:pPr>
        <w:pStyle w:val="Body"/>
        <w:keepNext/>
        <w:spacing w:after="60"/>
        <w:jc w:val="left"/>
      </w:pPr>
      <w:r>
        <w:rPr>
          <w:rFonts w:ascii="Arial" w:eastAsia="Arial" w:hAnsi="Arial" w:cs="Arial"/>
          <w:b/>
          <w:color w:val="000000"/>
        </w:rPr>
        <w:lastRenderedPageBreak/>
        <w:t>Table 5. Task 4: Be a helpful reader</w:t>
      </w:r>
    </w:p>
    <w:tbl>
      <w:tblPr>
        <w:tblW w:w="8208" w:type="dxa"/>
        <w:jc w:val="center"/>
        <w:tblBorders>
          <w:top w:val="single" w:sz="4" w:space="0" w:color="000000"/>
          <w:bottom w:val="single" w:sz="4" w:space="0" w:color="000000"/>
        </w:tblBorders>
        <w:tblLayout w:type="fixed"/>
        <w:tblCellMar>
          <w:top w:w="60" w:type="dxa"/>
          <w:left w:w="90" w:type="dxa"/>
          <w:bottom w:w="60" w:type="dxa"/>
          <w:right w:w="90" w:type="dxa"/>
        </w:tblCellMar>
        <w:tblLook w:val="04A0" w:firstRow="1" w:lastRow="0" w:firstColumn="1" w:lastColumn="0" w:noHBand="0" w:noVBand="1"/>
      </w:tblPr>
      <w:tblGrid>
        <w:gridCol w:w="8208"/>
      </w:tblGrid>
      <w:tr w:rsidR="006641D3" w14:paraId="69BDCA45" w14:textId="77777777">
        <w:trPr>
          <w:cantSplit/>
          <w:jc w:val="center"/>
        </w:trPr>
        <w:tc>
          <w:tcPr>
            <w:tcW w:w="8208" w:type="dxa"/>
            <w:vAlign w:val="center"/>
          </w:tcPr>
          <w:p w14:paraId="18AAC114" w14:textId="77777777" w:rsidR="006641D3" w:rsidRDefault="00000000">
            <w:pPr>
              <w:pStyle w:val="Body"/>
              <w:keepLines/>
              <w:spacing w:after="0" w:line="480" w:lineRule="auto"/>
              <w:jc w:val="left"/>
            </w:pPr>
            <w:r>
              <w:rPr>
                <w:rFonts w:ascii="Arial" w:eastAsia="Arial" w:hAnsi="Arial" w:cs="Arial"/>
                <w:color w:val="000000"/>
              </w:rPr>
              <w:t>Read your partner’s reply alongside Tom’s message.</w:t>
            </w:r>
            <w:r>
              <w:rPr>
                <w:rFonts w:ascii="Arial" w:eastAsia="Arial" w:hAnsi="Arial" w:cs="Arial"/>
                <w:color w:val="000000"/>
              </w:rPr>
              <w:br/>
              <w:t>Both questions are answered: Yes / Not yet</w:t>
            </w:r>
            <w:r>
              <w:rPr>
                <w:rFonts w:ascii="Arial" w:eastAsia="Arial" w:hAnsi="Arial" w:cs="Arial"/>
                <w:color w:val="000000"/>
              </w:rPr>
              <w:br/>
              <w:t>Family and interests are introduced: Yes / Not yet</w:t>
            </w:r>
            <w:r>
              <w:rPr>
                <w:rFonts w:ascii="Arial" w:eastAsia="Arial" w:hAnsi="Arial" w:cs="Arial"/>
                <w:color w:val="000000"/>
              </w:rPr>
              <w:br/>
              <w:t>One or two relevant questions are included: Yes / Not yet</w:t>
            </w:r>
            <w:r>
              <w:rPr>
                <w:rFonts w:ascii="Arial" w:eastAsia="Arial" w:hAnsi="Arial" w:cs="Arial"/>
                <w:color w:val="000000"/>
              </w:rPr>
              <w:br/>
              <w:t>Underline any sentence whose meaning is unclear.</w:t>
            </w:r>
          </w:p>
        </w:tc>
      </w:tr>
      <w:tr w:rsidR="006641D3" w14:paraId="40E9BD09" w14:textId="77777777">
        <w:trPr>
          <w:cantSplit/>
          <w:jc w:val="center"/>
        </w:trPr>
        <w:tc>
          <w:tcPr>
            <w:tcW w:w="8208" w:type="dxa"/>
            <w:vAlign w:val="center"/>
          </w:tcPr>
          <w:p w14:paraId="3105A723" w14:textId="77777777" w:rsidR="006641D3" w:rsidRDefault="00000000">
            <w:pPr>
              <w:pStyle w:val="Body"/>
              <w:keepLines/>
              <w:spacing w:after="0" w:line="480" w:lineRule="auto"/>
              <w:jc w:val="left"/>
            </w:pPr>
            <w:r>
              <w:rPr>
                <w:rFonts w:ascii="Arial" w:eastAsia="Arial" w:hAnsi="Arial" w:cs="Arial"/>
                <w:color w:val="000000"/>
              </w:rPr>
              <w:t>One part I understood well: ____________________</w:t>
            </w:r>
            <w:r>
              <w:rPr>
                <w:rFonts w:ascii="Arial" w:eastAsia="Arial" w:hAnsi="Arial" w:cs="Arial"/>
                <w:color w:val="000000"/>
              </w:rPr>
              <w:br/>
              <w:t>One suggestion: ____________________</w:t>
            </w:r>
            <w:r>
              <w:rPr>
                <w:rFonts w:ascii="Arial" w:eastAsia="Arial" w:hAnsi="Arial" w:cs="Arial"/>
                <w:color w:val="000000"/>
              </w:rPr>
              <w:br/>
              <w:t>Writer’s revision: I changed ____________________ because ____________________.</w:t>
            </w:r>
          </w:p>
        </w:tc>
      </w:tr>
    </w:tbl>
    <w:p w14:paraId="6205DB82" w14:textId="77777777" w:rsidR="006641D3" w:rsidRDefault="00000000">
      <w:pPr>
        <w:pStyle w:val="Body"/>
        <w:keepNext/>
        <w:spacing w:before="120" w:after="120"/>
        <w:jc w:val="left"/>
      </w:pPr>
      <w:r>
        <w:rPr>
          <w:rFonts w:ascii="Arial" w:eastAsia="Arial" w:hAnsi="Arial" w:cs="Arial"/>
          <w:b/>
          <w:color w:val="000000"/>
          <w:sz w:val="22"/>
          <w:szCs w:val="22"/>
        </w:rPr>
        <w:t>2.6 Assessment design: analytic rubric</w:t>
      </w:r>
    </w:p>
    <w:p w14:paraId="15C2F0E2" w14:textId="77777777" w:rsidR="006641D3" w:rsidRDefault="00000000">
      <w:pPr>
        <w:pStyle w:val="Body"/>
      </w:pPr>
      <w:r>
        <w:rPr>
          <w:rFonts w:ascii="Arial" w:eastAsia="Arial" w:hAnsi="Arial" w:cs="Arial"/>
          <w:color w:val="000000"/>
        </w:rPr>
        <w:t>A three-level analytic rubric assesses task-relevant performance rather than visual decoration (Table 6).</w:t>
      </w:r>
    </w:p>
    <w:p w14:paraId="729FBBBB" w14:textId="77777777" w:rsidR="006641D3" w:rsidRDefault="00000000">
      <w:pPr>
        <w:pStyle w:val="Body"/>
      </w:pPr>
      <w:r>
        <w:rPr>
          <w:rFonts w:ascii="Arial" w:eastAsia="Arial" w:hAnsi="Arial" w:cs="Arial"/>
          <w:color w:val="000000"/>
        </w:rPr>
        <w:t>The rubric separates related aspects of performance to guide feedback. Content completion concerns the presence of required information; audience awareness concerns how the message acknowledges the reader and invites a response. Higher-level descriptors build on the basic requirements. The dimensions overlap and require professional judgment; they are classroom descriptions, not independent psychometric scales.</w:t>
      </w:r>
    </w:p>
    <w:p w14:paraId="74F1E686" w14:textId="77777777" w:rsidR="006641D3" w:rsidRDefault="00000000">
      <w:pPr>
        <w:pStyle w:val="Body"/>
        <w:keepNext/>
        <w:spacing w:after="60"/>
        <w:jc w:val="left"/>
      </w:pPr>
      <w:r>
        <w:rPr>
          <w:rFonts w:ascii="Arial" w:eastAsia="Arial" w:hAnsi="Arial" w:cs="Arial"/>
          <w:b/>
          <w:color w:val="000000"/>
        </w:rPr>
        <w:t>Table 6. Analytic rubric for the e-friend email task</w:t>
      </w:r>
    </w:p>
    <w:tbl>
      <w:tblPr>
        <w:tblW w:w="5000" w:type="pct"/>
        <w:jc w:val="center"/>
        <w:tblBorders>
          <w:top w:val="single" w:sz="4" w:space="0" w:color="000000"/>
          <w:bottom w:val="single" w:sz="4" w:space="0" w:color="000000"/>
        </w:tblBorders>
        <w:tblCellMar>
          <w:top w:w="60" w:type="dxa"/>
          <w:left w:w="90" w:type="dxa"/>
          <w:bottom w:w="60" w:type="dxa"/>
          <w:right w:w="90" w:type="dxa"/>
        </w:tblCellMar>
        <w:tblLook w:val="04A0" w:firstRow="1" w:lastRow="0" w:firstColumn="1" w:lastColumn="0" w:noHBand="0" w:noVBand="1"/>
      </w:tblPr>
      <w:tblGrid>
        <w:gridCol w:w="1809"/>
        <w:gridCol w:w="2236"/>
        <w:gridCol w:w="2043"/>
        <w:gridCol w:w="2300"/>
      </w:tblGrid>
      <w:tr w:rsidR="006641D3" w14:paraId="1DD95DBF" w14:textId="77777777">
        <w:trPr>
          <w:cantSplit/>
          <w:tblHeader/>
          <w:jc w:val="center"/>
        </w:trPr>
        <w:tc>
          <w:tcPr>
            <w:tcW w:w="1078" w:type="pct"/>
            <w:tcBorders>
              <w:bottom w:val="single" w:sz="4" w:space="0" w:color="000000"/>
            </w:tcBorders>
            <w:vAlign w:val="center"/>
          </w:tcPr>
          <w:p w14:paraId="7F258A9A" w14:textId="77777777" w:rsidR="006641D3" w:rsidRDefault="00000000">
            <w:pPr>
              <w:pStyle w:val="Body"/>
              <w:keepNext/>
              <w:keepLines/>
              <w:spacing w:after="0"/>
              <w:jc w:val="left"/>
            </w:pPr>
            <w:r>
              <w:rPr>
                <w:rFonts w:ascii="Arial" w:eastAsia="Arial" w:hAnsi="Arial" w:cs="Arial"/>
                <w:b/>
                <w:color w:val="000000"/>
              </w:rPr>
              <w:t>Dimension</w:t>
            </w:r>
          </w:p>
        </w:tc>
        <w:tc>
          <w:tcPr>
            <w:tcW w:w="1332" w:type="pct"/>
            <w:tcBorders>
              <w:bottom w:val="single" w:sz="4" w:space="0" w:color="000000"/>
            </w:tcBorders>
            <w:vAlign w:val="center"/>
          </w:tcPr>
          <w:p w14:paraId="5E4333C0" w14:textId="77777777" w:rsidR="006641D3" w:rsidRDefault="00000000">
            <w:pPr>
              <w:pStyle w:val="Body"/>
              <w:keepNext/>
              <w:keepLines/>
              <w:spacing w:after="0"/>
              <w:jc w:val="left"/>
            </w:pPr>
            <w:r>
              <w:rPr>
                <w:rFonts w:ascii="Arial" w:eastAsia="Arial" w:hAnsi="Arial" w:cs="Arial"/>
                <w:b/>
                <w:color w:val="000000"/>
              </w:rPr>
              <w:t>Needs support</w:t>
            </w:r>
          </w:p>
        </w:tc>
        <w:tc>
          <w:tcPr>
            <w:tcW w:w="1218" w:type="pct"/>
            <w:tcBorders>
              <w:bottom w:val="single" w:sz="4" w:space="0" w:color="000000"/>
            </w:tcBorders>
            <w:vAlign w:val="center"/>
          </w:tcPr>
          <w:p w14:paraId="532525B0" w14:textId="77777777" w:rsidR="006641D3" w:rsidRDefault="00000000">
            <w:pPr>
              <w:pStyle w:val="Body"/>
              <w:keepNext/>
              <w:keepLines/>
              <w:spacing w:after="0"/>
              <w:jc w:val="left"/>
            </w:pPr>
            <w:r>
              <w:rPr>
                <w:rFonts w:ascii="Arial" w:eastAsia="Arial" w:hAnsi="Arial" w:cs="Arial"/>
                <w:b/>
                <w:color w:val="000000"/>
              </w:rPr>
              <w:t>Meets basic expectations</w:t>
            </w:r>
          </w:p>
        </w:tc>
        <w:tc>
          <w:tcPr>
            <w:tcW w:w="1370" w:type="pct"/>
            <w:tcBorders>
              <w:bottom w:val="single" w:sz="4" w:space="0" w:color="000000"/>
            </w:tcBorders>
            <w:vAlign w:val="center"/>
          </w:tcPr>
          <w:p w14:paraId="5323C214" w14:textId="77777777" w:rsidR="006641D3" w:rsidRDefault="00000000">
            <w:pPr>
              <w:pStyle w:val="Body"/>
              <w:keepNext/>
              <w:keepLines/>
              <w:spacing w:after="0"/>
              <w:jc w:val="left"/>
            </w:pPr>
            <w:r>
              <w:rPr>
                <w:rFonts w:ascii="Arial" w:eastAsia="Arial" w:hAnsi="Arial" w:cs="Arial"/>
                <w:b/>
                <w:color w:val="000000"/>
              </w:rPr>
              <w:t>Consistently meets expectations</w:t>
            </w:r>
          </w:p>
        </w:tc>
      </w:tr>
      <w:tr w:rsidR="006641D3" w14:paraId="18AE9576" w14:textId="77777777">
        <w:trPr>
          <w:cantSplit/>
          <w:jc w:val="center"/>
        </w:trPr>
        <w:tc>
          <w:tcPr>
            <w:tcW w:w="1078" w:type="pct"/>
            <w:vAlign w:val="center"/>
          </w:tcPr>
          <w:p w14:paraId="36EE321E" w14:textId="77777777" w:rsidR="006641D3" w:rsidRDefault="00000000">
            <w:pPr>
              <w:pStyle w:val="Body"/>
              <w:keepLines/>
              <w:spacing w:after="0"/>
              <w:jc w:val="left"/>
            </w:pPr>
            <w:r>
              <w:rPr>
                <w:rFonts w:ascii="Arial" w:eastAsia="Arial" w:hAnsi="Arial" w:cs="Arial"/>
                <w:color w:val="000000"/>
              </w:rPr>
              <w:t>Content completion and responsiveness</w:t>
            </w:r>
          </w:p>
        </w:tc>
        <w:tc>
          <w:tcPr>
            <w:tcW w:w="1332" w:type="pct"/>
            <w:vAlign w:val="center"/>
          </w:tcPr>
          <w:p w14:paraId="6B05788B" w14:textId="77777777" w:rsidR="006641D3" w:rsidRDefault="00000000">
            <w:pPr>
              <w:pStyle w:val="Body"/>
              <w:keepLines/>
              <w:spacing w:after="0"/>
              <w:jc w:val="left"/>
            </w:pPr>
            <w:r>
              <w:rPr>
                <w:rFonts w:ascii="Arial" w:eastAsia="Arial" w:hAnsi="Arial" w:cs="Arial"/>
                <w:color w:val="000000"/>
              </w:rPr>
              <w:t>Omits one or both answers, or leaves out required family or interest information.</w:t>
            </w:r>
          </w:p>
        </w:tc>
        <w:tc>
          <w:tcPr>
            <w:tcW w:w="1218" w:type="pct"/>
            <w:vAlign w:val="center"/>
          </w:tcPr>
          <w:p w14:paraId="4BEE6FEC" w14:textId="77777777" w:rsidR="006641D3" w:rsidRDefault="00000000">
            <w:pPr>
              <w:pStyle w:val="Body"/>
              <w:keepLines/>
              <w:spacing w:after="0"/>
              <w:jc w:val="left"/>
            </w:pPr>
            <w:r>
              <w:rPr>
                <w:rFonts w:ascii="Arial" w:eastAsia="Arial" w:hAnsi="Arial" w:cs="Arial"/>
                <w:color w:val="000000"/>
              </w:rPr>
              <w:t>Answers both questions and introduces family and interests.</w:t>
            </w:r>
          </w:p>
        </w:tc>
        <w:tc>
          <w:tcPr>
            <w:tcW w:w="1370" w:type="pct"/>
            <w:vAlign w:val="center"/>
          </w:tcPr>
          <w:p w14:paraId="15487B4A" w14:textId="77777777" w:rsidR="006641D3" w:rsidRDefault="00000000">
            <w:pPr>
              <w:pStyle w:val="Body"/>
              <w:keepLines/>
              <w:spacing w:after="0"/>
              <w:jc w:val="left"/>
            </w:pPr>
            <w:r>
              <w:rPr>
                <w:rFonts w:ascii="Arial" w:eastAsia="Arial" w:hAnsi="Arial" w:cs="Arial"/>
                <w:color w:val="000000"/>
              </w:rPr>
              <w:t>Meets the basic requirements and connects relevant details to the sender’s message.</w:t>
            </w:r>
          </w:p>
        </w:tc>
      </w:tr>
      <w:tr w:rsidR="006641D3" w14:paraId="3E55E118" w14:textId="77777777">
        <w:trPr>
          <w:cantSplit/>
          <w:jc w:val="center"/>
        </w:trPr>
        <w:tc>
          <w:tcPr>
            <w:tcW w:w="1078" w:type="pct"/>
            <w:vAlign w:val="center"/>
          </w:tcPr>
          <w:p w14:paraId="7CA87F98" w14:textId="77777777" w:rsidR="006641D3" w:rsidRDefault="00000000">
            <w:pPr>
              <w:pStyle w:val="Body"/>
              <w:keepLines/>
              <w:spacing w:after="0"/>
              <w:jc w:val="left"/>
            </w:pPr>
            <w:r>
              <w:rPr>
                <w:rFonts w:ascii="Arial" w:eastAsia="Arial" w:hAnsi="Arial" w:cs="Arial"/>
                <w:color w:val="000000"/>
              </w:rPr>
              <w:t>Language use</w:t>
            </w:r>
          </w:p>
        </w:tc>
        <w:tc>
          <w:tcPr>
            <w:tcW w:w="1332" w:type="pct"/>
            <w:vAlign w:val="center"/>
          </w:tcPr>
          <w:p w14:paraId="6733DF1B" w14:textId="77777777" w:rsidR="006641D3" w:rsidRDefault="00000000">
            <w:pPr>
              <w:pStyle w:val="Body"/>
              <w:keepLines/>
              <w:spacing w:after="0"/>
              <w:jc w:val="left"/>
            </w:pPr>
            <w:r>
              <w:rPr>
                <w:rFonts w:ascii="Arial" w:eastAsia="Arial" w:hAnsi="Arial" w:cs="Arial"/>
                <w:color w:val="000000"/>
              </w:rPr>
              <w:t>Disconnected sentences hinder understanding.</w:t>
            </w:r>
          </w:p>
        </w:tc>
        <w:tc>
          <w:tcPr>
            <w:tcW w:w="1218" w:type="pct"/>
            <w:vAlign w:val="center"/>
          </w:tcPr>
          <w:p w14:paraId="4C02F66F" w14:textId="77777777" w:rsidR="006641D3" w:rsidRDefault="00000000">
            <w:pPr>
              <w:pStyle w:val="Body"/>
              <w:keepLines/>
              <w:spacing w:after="0"/>
              <w:jc w:val="left"/>
            </w:pPr>
            <w:r>
              <w:rPr>
                <w:rFonts w:ascii="Arial" w:eastAsia="Arial" w:hAnsi="Arial" w:cs="Arial"/>
                <w:color w:val="000000"/>
              </w:rPr>
              <w:t>Uses the unit’s target structures to communicate information reasonably clearly.</w:t>
            </w:r>
          </w:p>
        </w:tc>
        <w:tc>
          <w:tcPr>
            <w:tcW w:w="1370" w:type="pct"/>
            <w:vAlign w:val="center"/>
          </w:tcPr>
          <w:p w14:paraId="28B4E22F" w14:textId="77777777" w:rsidR="006641D3" w:rsidRDefault="00000000">
            <w:pPr>
              <w:pStyle w:val="Body"/>
              <w:keepLines/>
              <w:spacing w:after="0"/>
              <w:jc w:val="left"/>
            </w:pPr>
            <w:r>
              <w:rPr>
                <w:rFonts w:ascii="Arial" w:eastAsia="Arial" w:hAnsi="Arial" w:cs="Arial"/>
                <w:color w:val="000000"/>
              </w:rPr>
              <w:t>Writes coherently and provides reasons or relevant supporting details.</w:t>
            </w:r>
          </w:p>
        </w:tc>
      </w:tr>
      <w:tr w:rsidR="006641D3" w14:paraId="468330C4" w14:textId="77777777">
        <w:trPr>
          <w:cantSplit/>
          <w:jc w:val="center"/>
        </w:trPr>
        <w:tc>
          <w:tcPr>
            <w:tcW w:w="1078" w:type="pct"/>
            <w:vAlign w:val="center"/>
          </w:tcPr>
          <w:p w14:paraId="7FA91C26" w14:textId="77777777" w:rsidR="006641D3" w:rsidRDefault="00000000">
            <w:pPr>
              <w:pStyle w:val="Body"/>
              <w:keepLines/>
              <w:spacing w:after="0"/>
              <w:jc w:val="left"/>
            </w:pPr>
            <w:r>
              <w:rPr>
                <w:rFonts w:ascii="Arial" w:eastAsia="Arial" w:hAnsi="Arial" w:cs="Arial"/>
                <w:color w:val="000000"/>
              </w:rPr>
              <w:t>Audience awareness</w:t>
            </w:r>
          </w:p>
        </w:tc>
        <w:tc>
          <w:tcPr>
            <w:tcW w:w="1332" w:type="pct"/>
            <w:vAlign w:val="center"/>
          </w:tcPr>
          <w:p w14:paraId="15A9D41F" w14:textId="77777777" w:rsidR="006641D3" w:rsidRDefault="00000000">
            <w:pPr>
              <w:pStyle w:val="Body"/>
              <w:keepLines/>
              <w:spacing w:after="0"/>
              <w:jc w:val="left"/>
            </w:pPr>
            <w:r>
              <w:rPr>
                <w:rFonts w:ascii="Arial" w:eastAsia="Arial" w:hAnsi="Arial" w:cs="Arial"/>
                <w:color w:val="000000"/>
              </w:rPr>
              <w:t>Shows limited consideration of the reader; the text consists mainly of one-way statements.</w:t>
            </w:r>
          </w:p>
        </w:tc>
        <w:tc>
          <w:tcPr>
            <w:tcW w:w="1218" w:type="pct"/>
            <w:vAlign w:val="center"/>
          </w:tcPr>
          <w:p w14:paraId="2F3B558C" w14:textId="77777777" w:rsidR="006641D3" w:rsidRDefault="00000000">
            <w:pPr>
              <w:pStyle w:val="Body"/>
              <w:keepLines/>
              <w:spacing w:after="0"/>
              <w:jc w:val="left"/>
            </w:pPr>
            <w:r>
              <w:rPr>
                <w:rFonts w:ascii="Arial" w:eastAsia="Arial" w:hAnsi="Arial" w:cs="Arial"/>
                <w:color w:val="000000"/>
              </w:rPr>
              <w:t>Asks one or two relevant questions to sustain the exchange.</w:t>
            </w:r>
          </w:p>
        </w:tc>
        <w:tc>
          <w:tcPr>
            <w:tcW w:w="1370" w:type="pct"/>
            <w:vAlign w:val="center"/>
          </w:tcPr>
          <w:p w14:paraId="124D9CC0" w14:textId="77777777" w:rsidR="006641D3" w:rsidRDefault="00000000">
            <w:pPr>
              <w:pStyle w:val="Body"/>
              <w:keepLines/>
              <w:spacing w:after="0"/>
              <w:jc w:val="left"/>
            </w:pPr>
            <w:r>
              <w:rPr>
                <w:rFonts w:ascii="Arial" w:eastAsia="Arial" w:hAnsi="Arial" w:cs="Arial"/>
                <w:color w:val="000000"/>
              </w:rPr>
              <w:t>Meets the basic requirements and links questions to the sender’s information using an appropriate tone.</w:t>
            </w:r>
          </w:p>
        </w:tc>
      </w:tr>
      <w:tr w:rsidR="006641D3" w14:paraId="090C434C" w14:textId="77777777">
        <w:trPr>
          <w:cantSplit/>
          <w:jc w:val="center"/>
        </w:trPr>
        <w:tc>
          <w:tcPr>
            <w:tcW w:w="1078" w:type="pct"/>
            <w:vAlign w:val="center"/>
          </w:tcPr>
          <w:p w14:paraId="31F29FD4" w14:textId="77777777" w:rsidR="006641D3" w:rsidRDefault="00000000">
            <w:pPr>
              <w:pStyle w:val="Body"/>
              <w:keepLines/>
              <w:spacing w:after="0"/>
              <w:jc w:val="left"/>
            </w:pPr>
            <w:r>
              <w:rPr>
                <w:rFonts w:ascii="Arial" w:eastAsia="Arial" w:hAnsi="Arial" w:cs="Arial"/>
                <w:color w:val="000000"/>
              </w:rPr>
              <w:lastRenderedPageBreak/>
              <w:t>Checking and revision</w:t>
            </w:r>
          </w:p>
        </w:tc>
        <w:tc>
          <w:tcPr>
            <w:tcW w:w="1332" w:type="pct"/>
            <w:vAlign w:val="center"/>
          </w:tcPr>
          <w:p w14:paraId="43EA4C93" w14:textId="77777777" w:rsidR="006641D3" w:rsidRDefault="00000000">
            <w:pPr>
              <w:pStyle w:val="Body"/>
              <w:keepLines/>
              <w:spacing w:after="0"/>
              <w:jc w:val="left"/>
            </w:pPr>
            <w:r>
              <w:rPr>
                <w:rFonts w:ascii="Arial" w:eastAsia="Arial" w:hAnsi="Arial" w:cs="Arial"/>
                <w:color w:val="000000"/>
              </w:rPr>
              <w:t>Requires prompting to identify problems.</w:t>
            </w:r>
          </w:p>
        </w:tc>
        <w:tc>
          <w:tcPr>
            <w:tcW w:w="1218" w:type="pct"/>
            <w:vAlign w:val="center"/>
          </w:tcPr>
          <w:p w14:paraId="0E8884F6" w14:textId="77777777" w:rsidR="006641D3" w:rsidRDefault="00000000">
            <w:pPr>
              <w:pStyle w:val="Body"/>
              <w:keepLines/>
              <w:spacing w:after="0"/>
              <w:jc w:val="left"/>
            </w:pPr>
            <w:r>
              <w:rPr>
                <w:rFonts w:ascii="Arial" w:eastAsia="Arial" w:hAnsi="Arial" w:cs="Arial"/>
                <w:color w:val="000000"/>
              </w:rPr>
              <w:t>Revises one key issue in response to peer feedback.</w:t>
            </w:r>
          </w:p>
        </w:tc>
        <w:tc>
          <w:tcPr>
            <w:tcW w:w="1370" w:type="pct"/>
            <w:vAlign w:val="center"/>
          </w:tcPr>
          <w:p w14:paraId="266197E0" w14:textId="77777777" w:rsidR="006641D3" w:rsidRDefault="00000000">
            <w:pPr>
              <w:pStyle w:val="Body"/>
              <w:keepLines/>
              <w:spacing w:after="0"/>
              <w:jc w:val="left"/>
            </w:pPr>
            <w:r>
              <w:rPr>
                <w:rFonts w:ascii="Arial" w:eastAsia="Arial" w:hAnsi="Arial" w:cs="Arial"/>
                <w:color w:val="000000"/>
              </w:rPr>
              <w:t>Makes a relevant revision, independently checks the text, and explains the change.</w:t>
            </w:r>
          </w:p>
        </w:tc>
      </w:tr>
    </w:tbl>
    <w:p w14:paraId="367E62B2" w14:textId="77777777" w:rsidR="006641D3" w:rsidRDefault="00000000">
      <w:pPr>
        <w:pStyle w:val="Body"/>
        <w:spacing w:before="120"/>
      </w:pPr>
      <w:r>
        <w:rPr>
          <w:rFonts w:ascii="Arial" w:eastAsia="Arial" w:hAnsi="Arial" w:cs="Arial"/>
          <w:color w:val="000000"/>
        </w:rPr>
        <w:t>Formative assessment depends on using evidence to adjust learning, not simply recording a level (Black &amp; Wiliam, 1998). Feedback should identify the gap between the current response and the task purpose and make the next action understandable (Hattie &amp; Timperley, 2007). For example, a writer who omits a question needs a prompt to reread the incoming message before extensive correction of minor language errors. In a manageable feedback cycle, one or two priorities can be addressed first, followed by a check that the revision resolves the identified problem.</w:t>
      </w:r>
    </w:p>
    <w:p w14:paraId="299D2753" w14:textId="77777777" w:rsidR="006641D3" w:rsidRDefault="00000000">
      <w:pPr>
        <w:pStyle w:val="AbstHead"/>
        <w:spacing w:after="120"/>
      </w:pPr>
      <w:r>
        <w:rPr>
          <w:rFonts w:ascii="Arial" w:eastAsia="Arial" w:hAnsi="Arial" w:cs="Arial"/>
          <w:color w:val="000000"/>
          <w:szCs w:val="22"/>
        </w:rPr>
        <w:t>3. RESULTS AND DISCUSSION</w:t>
      </w:r>
    </w:p>
    <w:p w14:paraId="0CFA5AC5" w14:textId="77777777" w:rsidR="006641D3" w:rsidRDefault="00000000">
      <w:pPr>
        <w:pStyle w:val="Body"/>
        <w:keepNext/>
        <w:spacing w:after="120"/>
        <w:jc w:val="left"/>
      </w:pPr>
      <w:r>
        <w:rPr>
          <w:rFonts w:ascii="Arial" w:eastAsia="Arial" w:hAnsi="Arial" w:cs="Arial"/>
          <w:b/>
          <w:color w:val="000000"/>
          <w:sz w:val="22"/>
          <w:szCs w:val="22"/>
        </w:rPr>
        <w:t>3.1 Key classroom observations</w:t>
      </w:r>
    </w:p>
    <w:p w14:paraId="7B78F335" w14:textId="77777777" w:rsidR="006641D3" w:rsidRDefault="00000000">
      <w:pPr>
        <w:pStyle w:val="Body"/>
      </w:pPr>
      <w:r>
        <w:rPr>
          <w:rFonts w:ascii="Arial" w:eastAsia="Arial" w:hAnsi="Arial" w:cs="Arial"/>
          <w:b/>
          <w:color w:val="000000"/>
        </w:rPr>
        <w:t>Task 1 outcomes.</w:t>
      </w:r>
      <w:r>
        <w:rPr>
          <w:rFonts w:ascii="Arial" w:eastAsia="Arial" w:hAnsi="Arial" w:cs="Arial"/>
          <w:color w:val="000000"/>
        </w:rPr>
        <w:t xml:space="preserve"> The teacher reported completed information cards alongside a recurring language distinction: some pupils wrote “play football” instead of “talk about football.” This conflates an activity with a conversation topic. In the subsequent lesson, the teacher contrasted expressions for discussing topics with those for participating in activities.</w:t>
      </w:r>
    </w:p>
    <w:p w14:paraId="6A172892" w14:textId="77777777" w:rsidR="006641D3" w:rsidRDefault="00000000">
      <w:pPr>
        <w:pStyle w:val="Body"/>
      </w:pPr>
      <w:r>
        <w:rPr>
          <w:rFonts w:ascii="Arial" w:eastAsia="Arial" w:hAnsi="Arial" w:cs="Arial"/>
          <w:b/>
          <w:color w:val="000000"/>
        </w:rPr>
        <w:t>Task 3 outcomes.</w:t>
      </w:r>
      <w:r>
        <w:rPr>
          <w:rFonts w:ascii="Arial" w:eastAsia="Arial" w:hAnsi="Arial" w:cs="Arial"/>
          <w:color w:val="000000"/>
        </w:rPr>
        <w:t xml:space="preserve"> The teacher identified first drafts that followed the model to introduce the writer but did not answer the sender’s questions. This pattern exposed a gap between producing familiar sentences and using them responsively. It supplied a concrete focus for the reader checklist in Task 4.</w:t>
      </w:r>
    </w:p>
    <w:p w14:paraId="157C4DAC" w14:textId="77777777" w:rsidR="006641D3" w:rsidRDefault="00000000">
      <w:pPr>
        <w:pStyle w:val="Body"/>
      </w:pPr>
      <w:r>
        <w:rPr>
          <w:rFonts w:ascii="Arial" w:eastAsia="Arial" w:hAnsi="Arial" w:cs="Arial"/>
          <w:b/>
          <w:color w:val="000000"/>
        </w:rPr>
        <w:t>Revision outcomes.</w:t>
      </w:r>
      <w:r>
        <w:rPr>
          <w:rFonts w:ascii="Arial" w:eastAsia="Arial" w:hAnsi="Arial" w:cs="Arial"/>
          <w:color w:val="000000"/>
        </w:rPr>
        <w:t xml:space="preserve"> The teacher reported that revisions following peer assessment included answers to the incoming questions. The change concerned responsiveness rather than simply producing more sentences.</w:t>
      </w:r>
    </w:p>
    <w:p w14:paraId="5CBC70C9" w14:textId="77777777" w:rsidR="006641D3" w:rsidRDefault="00000000">
      <w:pPr>
        <w:pStyle w:val="Body"/>
      </w:pPr>
      <w:r>
        <w:rPr>
          <w:rFonts w:ascii="Arial" w:eastAsia="Arial" w:hAnsi="Arial" w:cs="Arial"/>
          <w:b/>
          <w:color w:val="000000"/>
        </w:rPr>
        <w:t>Workload.</w:t>
      </w:r>
      <w:r>
        <w:rPr>
          <w:rFonts w:ascii="Arial" w:eastAsia="Arial" w:hAnsi="Arial" w:cs="Arial"/>
          <w:color w:val="000000"/>
        </w:rPr>
        <w:t xml:space="preserve"> The teacher described pupils attempting expressions beyond the unit’s scope and advised them to complete a supported version before further elaboration. This observation identifies a source of additional effort but does not quantify completion time.</w:t>
      </w:r>
    </w:p>
    <w:p w14:paraId="443FBCCA" w14:textId="77777777" w:rsidR="006641D3" w:rsidRDefault="00000000">
      <w:pPr>
        <w:pStyle w:val="Body"/>
      </w:pPr>
      <w:r>
        <w:rPr>
          <w:rFonts w:ascii="Arial" w:eastAsia="Arial" w:hAnsi="Arial" w:cs="Arial"/>
          <w:color w:val="000000"/>
        </w:rPr>
        <w:t xml:space="preserve">The class size of 36 describes participation, not the number of matched </w:t>
      </w:r>
      <w:proofErr w:type="gramStart"/>
      <w:r>
        <w:rPr>
          <w:rFonts w:ascii="Arial" w:eastAsia="Arial" w:hAnsi="Arial" w:cs="Arial"/>
          <w:color w:val="000000"/>
        </w:rPr>
        <w:t>draft</w:t>
      </w:r>
      <w:proofErr w:type="gramEnd"/>
      <w:r>
        <w:rPr>
          <w:rFonts w:ascii="Arial" w:eastAsia="Arial" w:hAnsi="Arial" w:cs="Arial"/>
          <w:color w:val="000000"/>
        </w:rPr>
        <w:t>–revision pairs analyzed. The reported patterns have no accompanying pupil-level counts, timing records, or independent ratings. Teacher guidance, repeated exposure, and peer response occurred within the same sequence, so their contributions cannot be separated. The findings identify classroom problems and instructional responses; they establish neither a causal effect nor compliance with the daily homework ceiling across subjects.</w:t>
      </w:r>
    </w:p>
    <w:p w14:paraId="5C3A6F31" w14:textId="77777777" w:rsidR="006641D3" w:rsidRDefault="00000000">
      <w:pPr>
        <w:pStyle w:val="Body"/>
        <w:keepNext/>
        <w:spacing w:after="120"/>
        <w:jc w:val="left"/>
      </w:pPr>
      <w:r>
        <w:rPr>
          <w:rFonts w:ascii="Arial" w:eastAsia="Arial" w:hAnsi="Arial" w:cs="Arial"/>
          <w:b/>
          <w:color w:val="000000"/>
          <w:sz w:val="22"/>
          <w:szCs w:val="22"/>
        </w:rPr>
        <w:t>3.2 Discussion: how connected tasks may support learning under “Double Reduction”</w:t>
      </w:r>
    </w:p>
    <w:p w14:paraId="48C89486" w14:textId="77777777" w:rsidR="006641D3" w:rsidRDefault="00000000">
      <w:pPr>
        <w:pStyle w:val="Body"/>
      </w:pPr>
      <w:r>
        <w:rPr>
          <w:rFonts w:ascii="Arial" w:eastAsia="Arial" w:hAnsi="Arial" w:cs="Arial"/>
          <w:color w:val="000000"/>
        </w:rPr>
        <w:t>Three implications emerge from this classroom illustration.</w:t>
      </w:r>
    </w:p>
    <w:p w14:paraId="51F6BDD5" w14:textId="77777777" w:rsidR="006641D3" w:rsidRDefault="00000000">
      <w:pPr>
        <w:pStyle w:val="Body"/>
      </w:pPr>
      <w:r>
        <w:rPr>
          <w:rFonts w:ascii="Arial" w:eastAsia="Arial" w:hAnsi="Arial" w:cs="Arial"/>
          <w:color w:val="000000"/>
        </w:rPr>
        <w:t xml:space="preserve">First, the distinctive value of innovative assignments lies in learning support, not product novelty. A short email written for an identifiable reader may offer greater educational value than an elaborate poster that no one reads. The relevant criteria are whether language use </w:t>
      </w:r>
      <w:r>
        <w:rPr>
          <w:rFonts w:ascii="Arial" w:eastAsia="Arial" w:hAnsi="Arial" w:cs="Arial"/>
          <w:color w:val="000000"/>
        </w:rPr>
        <w:lastRenderedPageBreak/>
        <w:t>is necessary for meaning-making and whether pupils engage meaningfully with content—not whether the product looks new.</w:t>
      </w:r>
    </w:p>
    <w:p w14:paraId="01DD7677" w14:textId="77777777" w:rsidR="006641D3" w:rsidRDefault="00000000">
      <w:pPr>
        <w:pStyle w:val="Body"/>
      </w:pPr>
      <w:r>
        <w:rPr>
          <w:rFonts w:ascii="Arial" w:eastAsia="Arial" w:hAnsi="Arial" w:cs="Arial"/>
          <w:color w:val="000000"/>
        </w:rPr>
        <w:t>The connection between tasks is central to this interpretation. The information card organizes source content, the interest sheet supports selection, the email requires adaptation, and revision returns attention to communicative purpose. Each product supplies a resource for a later activity. This rationale is consistent with elementary writing research on explicit strategy instruction and support for composing (Graham et al., 2012). It remains necessary to test whether pupils can use these processes independently in a different unit; successful completion of one supported sequence is not sufficient evidence of durable transfer.</w:t>
      </w:r>
    </w:p>
    <w:p w14:paraId="28165DCB" w14:textId="77777777" w:rsidR="006641D3" w:rsidRDefault="00000000">
      <w:pPr>
        <w:pStyle w:val="Body"/>
      </w:pPr>
      <w:r>
        <w:rPr>
          <w:rFonts w:ascii="Arial" w:eastAsia="Arial" w:hAnsi="Arial" w:cs="Arial"/>
          <w:color w:val="000000"/>
        </w:rPr>
        <w:t>Second, workload reduction requires explicit task replacement and scrutiny of hidden non-language demands. Innovative tasks should replace existing exercises addressing the same objectives rather than supplement them. Drawing, information searching, and device operation should be examined for their contribution to language learning, and schools should provide opportunities for supported completion where necessary.</w:t>
      </w:r>
    </w:p>
    <w:p w14:paraId="7D18EED1" w14:textId="77777777" w:rsidR="006641D3" w:rsidRDefault="00000000">
      <w:pPr>
        <w:pStyle w:val="Body"/>
      </w:pPr>
      <w:r>
        <w:rPr>
          <w:rFonts w:ascii="Arial" w:eastAsia="Arial" w:hAnsi="Arial" w:cs="Arial"/>
          <w:color w:val="000000"/>
        </w:rPr>
        <w:t>Differentiation also has an equity dimension. If successful completion depends on adult translation, printing facilities, or a family’s ability to produce digital media, the assignment may partly assess access to resources. A paper-based reply, a limited vocabulary bank, and opportunities to seek clarification at school can reduce these dependencies. More advanced learners can explain a shared interest or formulate a more relevant question within the same task, so increased challenge does not have to mean increased volume.</w:t>
      </w:r>
    </w:p>
    <w:p w14:paraId="408EB000" w14:textId="77777777" w:rsidR="006641D3" w:rsidRDefault="00000000">
      <w:pPr>
        <w:pStyle w:val="Body"/>
      </w:pPr>
      <w:r>
        <w:rPr>
          <w:rFonts w:ascii="Arial" w:eastAsia="Arial" w:hAnsi="Arial" w:cs="Arial"/>
          <w:color w:val="000000"/>
        </w:rPr>
        <w:t>Third, assessment should focus on both learning quality and the evidence needed for subsequent instruction. Difficulties can remain obscured by general grades; analytic assessment makes them visible and provides a basis for targeted revision and teaching adjustments.</w:t>
      </w:r>
    </w:p>
    <w:p w14:paraId="3D02D561" w14:textId="77777777" w:rsidR="006641D3" w:rsidRDefault="00000000">
      <w:pPr>
        <w:pStyle w:val="Body"/>
      </w:pPr>
      <w:r>
        <w:rPr>
          <w:rFonts w:ascii="Arial" w:eastAsia="Arial" w:hAnsi="Arial" w:cs="Arial"/>
          <w:color w:val="000000"/>
        </w:rPr>
        <w:t>A meta-analysis of controlled studies found an overall positive effect of peer assessment across educational levels and subjects (Double et al., 2020). This supports considering peer assessment, while its effect in the present class remains unmeasured. Its practical role here is to provide a reader’s response that the writer can use. The relevant question is whether comments identify a specific problem and lead to a useful revision.</w:t>
      </w:r>
    </w:p>
    <w:p w14:paraId="30C0BADD" w14:textId="77777777" w:rsidR="006641D3" w:rsidRDefault="00000000">
      <w:pPr>
        <w:pStyle w:val="Body"/>
        <w:keepNext/>
        <w:spacing w:after="120"/>
        <w:jc w:val="left"/>
      </w:pPr>
      <w:r>
        <w:rPr>
          <w:rFonts w:ascii="Arial" w:eastAsia="Arial" w:hAnsi="Arial" w:cs="Arial"/>
          <w:b/>
          <w:color w:val="000000"/>
          <w:sz w:val="22"/>
          <w:szCs w:val="22"/>
        </w:rPr>
        <w:t>3.3 How the principles translate into observable learning</w:t>
      </w:r>
    </w:p>
    <w:p w14:paraId="6CCD74D8" w14:textId="77777777" w:rsidR="006641D3" w:rsidRDefault="00000000">
      <w:pPr>
        <w:pStyle w:val="Body"/>
      </w:pPr>
      <w:r>
        <w:rPr>
          <w:rFonts w:ascii="Arial" w:eastAsia="Arial" w:hAnsi="Arial" w:cs="Arial"/>
          <w:color w:val="000000"/>
        </w:rPr>
        <w:t>Using Unit 6, “E-friends,” this paper illustrates how competency-oriented principles can be operationalized as a unit-level task sequence. Objective alignment defines writing performance in terms of responsiveness and communicative adequacy. Thematic coherence connects tasks so that earlier work supplies resources for later writing. Embedded assessment makes omissions visible and provides a basis for revising both the email and subsequent teaching.</w:t>
      </w:r>
    </w:p>
    <w:p w14:paraId="21086407" w14:textId="77777777" w:rsidR="006641D3" w:rsidRDefault="00000000">
      <w:pPr>
        <w:pStyle w:val="Body"/>
      </w:pPr>
      <w:r>
        <w:rPr>
          <w:rFonts w:ascii="Arial" w:eastAsia="Arial" w:hAnsi="Arial" w:cs="Arial"/>
          <w:color w:val="000000"/>
        </w:rPr>
        <w:t>The sequence also makes learning-to-learn explicit. Planning, checking progress against a purpose, and explaining a revision connect with self-regulated learning processes (Panadero, 2017). These can be expressed through short questions: What does my reader need to know? Have I answered the message? What will I change? Such prompts support practice in monitoring writing; independent self-regulation would require evidence beyond completing the checklist.</w:t>
      </w:r>
    </w:p>
    <w:p w14:paraId="59F22733" w14:textId="77777777" w:rsidR="006641D3" w:rsidRDefault="00000000">
      <w:pPr>
        <w:pStyle w:val="Body"/>
      </w:pPr>
      <w:r>
        <w:rPr>
          <w:rFonts w:ascii="Arial" w:eastAsia="Arial" w:hAnsi="Arial" w:cs="Arial"/>
          <w:color w:val="000000"/>
        </w:rPr>
        <w:lastRenderedPageBreak/>
        <w:t>Writing quality also needs to be distinguished from productivity. Kim et al. (2021) found in their meta-analysis of early primary writing interventions that outcomes varied with instructional focus, learner characteristics, and the dimension assessed. Its kindergarten-to-Grade-3 scope does not exactly match the present group aged 12–13, but the distinction remains relevant: adding sentences is not equivalent to improving relevance or coherence. Subsequent applications should examine whether a revision answers a question, clarifies meaning, or sustains the exchange.</w:t>
      </w:r>
    </w:p>
    <w:p w14:paraId="39D6B462" w14:textId="77777777" w:rsidR="006641D3" w:rsidRDefault="00000000">
      <w:pPr>
        <w:pStyle w:val="Body"/>
        <w:keepNext/>
        <w:spacing w:after="120"/>
        <w:jc w:val="left"/>
      </w:pPr>
      <w:r>
        <w:rPr>
          <w:rFonts w:ascii="Arial" w:eastAsia="Arial" w:hAnsi="Arial" w:cs="Arial"/>
          <w:b/>
          <w:color w:val="000000"/>
          <w:sz w:val="22"/>
          <w:szCs w:val="22"/>
        </w:rPr>
        <w:t>3.4 Practical conditions for sustained implementation</w:t>
      </w:r>
    </w:p>
    <w:p w14:paraId="7CD2D9CE" w14:textId="77777777" w:rsidR="006641D3" w:rsidRDefault="00000000">
      <w:pPr>
        <w:pStyle w:val="Body"/>
      </w:pPr>
      <w:r>
        <w:rPr>
          <w:rFonts w:ascii="Arial" w:eastAsia="Arial" w:hAnsi="Arial" w:cs="Arial"/>
          <w:color w:val="000000"/>
        </w:rPr>
        <w:t>Sustaining the approach requires attention to teachers’ preparation and feedback workload. Reusable incoming messages, planning organizers, and reader checklists provide a practical starting point. Teachers can compare rubric examples and review whether materials elicit the intended performance. Chen and Murray (2025) also highlight the role of usable materials and collaboration between teacher educators and school mentors. For this framework, the practical implication is to accompany new task materials with discussion of their purposes and criteria.</w:t>
      </w:r>
    </w:p>
    <w:p w14:paraId="3FFABB9B" w14:textId="77777777" w:rsidR="006641D3" w:rsidRDefault="00000000">
      <w:pPr>
        <w:pStyle w:val="Body"/>
      </w:pPr>
      <w:r>
        <w:rPr>
          <w:rFonts w:ascii="Arial" w:eastAsia="Arial" w:hAnsi="Arial" w:cs="Arial"/>
          <w:color w:val="000000"/>
        </w:rPr>
        <w:t>Attention to communication remains compatible with language accuracy. When an error obscures meaning, targeted explanation or brief practice can help. When meaning is clear, the teacher can prioritize responsiveness and address less consequential errors later. The immediate objective determines the feedback priority, connecting diagnostic homework feedback with subsequent classroom teaching.</w:t>
      </w:r>
    </w:p>
    <w:p w14:paraId="10FC083F" w14:textId="77777777" w:rsidR="006641D3" w:rsidRDefault="00000000">
      <w:pPr>
        <w:pStyle w:val="AbstHead"/>
        <w:spacing w:after="120"/>
      </w:pPr>
      <w:r>
        <w:rPr>
          <w:rFonts w:ascii="Arial" w:eastAsia="Arial" w:hAnsi="Arial" w:cs="Arial"/>
          <w:color w:val="000000"/>
          <w:szCs w:val="22"/>
        </w:rPr>
        <w:t>4. CONCLUSION</w:t>
      </w:r>
    </w:p>
    <w:p w14:paraId="2FD511AF" w14:textId="77777777" w:rsidR="006641D3" w:rsidRDefault="00000000">
      <w:pPr>
        <w:pStyle w:val="Body"/>
      </w:pPr>
      <w:r>
        <w:rPr>
          <w:rFonts w:ascii="Arial" w:eastAsia="Arial" w:hAnsi="Arial" w:cs="Arial"/>
          <w:color w:val="000000"/>
        </w:rPr>
        <w:t>Under the “Double Reduction” policy, reforming primary English assignments requires more than replacing familiar formats with novel ones. The central task is to realign objectives, learning activities, assessment, and pupil effort.</w:t>
      </w:r>
    </w:p>
    <w:p w14:paraId="1C143447" w14:textId="77777777" w:rsidR="006641D3" w:rsidRDefault="00000000">
      <w:pPr>
        <w:pStyle w:val="Body"/>
      </w:pPr>
      <w:r>
        <w:rPr>
          <w:rFonts w:ascii="Arial" w:eastAsia="Arial" w:hAnsi="Arial" w:cs="Arial"/>
          <w:color w:val="000000"/>
        </w:rPr>
        <w:t>This paper presented a design and implementation framework through a connected task sequence based on Unit 6, “E-friends.” The framework suggests that innovative assignments should cultivate meaningful language use and audience awareness, supported by clear objectives, purposeful tasks, differentiated scaffolding, and embedded assessment.</w:t>
      </w:r>
    </w:p>
    <w:p w14:paraId="4E264921" w14:textId="77777777" w:rsidR="006641D3" w:rsidRDefault="00000000">
      <w:pPr>
        <w:pStyle w:val="Body"/>
      </w:pPr>
      <w:r>
        <w:rPr>
          <w:rFonts w:ascii="Arial" w:eastAsia="Arial" w:hAnsi="Arial" w:cs="Arial"/>
          <w:b/>
          <w:color w:val="000000"/>
        </w:rPr>
        <w:t>Limitations.</w:t>
      </w:r>
      <w:r>
        <w:rPr>
          <w:rFonts w:ascii="Arial" w:eastAsia="Arial" w:hAnsi="Arial" w:cs="Arial"/>
          <w:color w:val="000000"/>
        </w:rPr>
        <w:t xml:space="preserve"> The observations concern one unit and one class of 36 pupils aged 12–13. They cannot establish sustained development of audience awareness, independent transfer, or the effectiveness of the sequence across proficiency levels. The absence of a comparison group and systematic outcome measures limits the conclusions to the instructional case described.</w:t>
      </w:r>
    </w:p>
    <w:p w14:paraId="2DD05FD0" w14:textId="77777777" w:rsidR="006641D3" w:rsidRDefault="00000000">
      <w:pPr>
        <w:pStyle w:val="Body"/>
      </w:pPr>
      <w:r>
        <w:rPr>
          <w:rFonts w:ascii="Arial" w:eastAsia="Arial" w:hAnsi="Arial" w:cs="Arial"/>
          <w:color w:val="000000"/>
        </w:rPr>
        <w:t>Future studies could compare task sequences addressing equivalent objectives and workload, document the level of support pupils use, and assess a later writing task on a new topic. Anonymized drafts and revisions, transparent scoring procedures, and independent rating would strengthen the evidence. Recording variation in completion time and assistance would also help distinguish accessible task design from successful performance achieved through extensive support. These steps would allow the practical framework to be examined without assuming that its intended benefits have already been established.</w:t>
      </w:r>
    </w:p>
    <w:p w14:paraId="6A13D993" w14:textId="77777777" w:rsidR="006641D3" w:rsidRDefault="006641D3">
      <w:pPr>
        <w:pStyle w:val="AbstHead"/>
        <w:spacing w:after="120"/>
        <w:rPr>
          <w:rFonts w:ascii="Arial" w:eastAsia="Arial" w:hAnsi="Arial" w:cs="Arial"/>
          <w:color w:val="000000"/>
          <w:szCs w:val="22"/>
        </w:rPr>
      </w:pPr>
    </w:p>
    <w:p w14:paraId="168EBE90" w14:textId="77777777" w:rsidR="006641D3" w:rsidRDefault="00000000">
      <w:pPr>
        <w:pStyle w:val="AbstHead"/>
        <w:spacing w:after="120"/>
      </w:pPr>
      <w:r>
        <w:rPr>
          <w:rFonts w:ascii="Arial" w:eastAsia="Arial" w:hAnsi="Arial" w:cs="Arial"/>
          <w:color w:val="000000"/>
          <w:szCs w:val="22"/>
        </w:rPr>
        <w:t>COMPETING INTERESTS</w:t>
      </w:r>
    </w:p>
    <w:p w14:paraId="7D314BD6" w14:textId="77777777" w:rsidR="006641D3" w:rsidRDefault="00000000">
      <w:pPr>
        <w:pStyle w:val="Body"/>
      </w:pPr>
      <w:r>
        <w:rPr>
          <w:rFonts w:ascii="Arial" w:eastAsia="Arial" w:hAnsi="Arial" w:cs="Arial"/>
          <w:color w:val="000000"/>
        </w:rPr>
        <w:t>The author declares that no competing interests exist.</w:t>
      </w:r>
    </w:p>
    <w:p w14:paraId="63BD9C6C" w14:textId="77777777" w:rsidR="000A2817" w:rsidRDefault="000A2817">
      <w:pPr>
        <w:pStyle w:val="Body"/>
        <w:rPr>
          <w:rFonts w:ascii="Arial" w:eastAsia="Arial" w:hAnsi="Arial" w:cs="Arial"/>
          <w:color w:val="000000"/>
        </w:rPr>
      </w:pPr>
    </w:p>
    <w:p w14:paraId="1AA4D956" w14:textId="77777777" w:rsidR="000A2817" w:rsidRDefault="000A2817" w:rsidP="000A2817">
      <w:pPr>
        <w:rPr>
          <w:rFonts w:ascii="Times New Roman" w:hAnsi="Times New Roman"/>
          <w:b/>
        </w:rPr>
      </w:pPr>
      <w:r w:rsidRPr="000839CE">
        <w:rPr>
          <w:rFonts w:ascii="Times New Roman" w:hAnsi="Times New Roman"/>
          <w:b/>
        </w:rPr>
        <w:t>Declaration of AI Use</w:t>
      </w:r>
    </w:p>
    <w:p w14:paraId="41326E1E" w14:textId="77777777" w:rsidR="000A2817" w:rsidRDefault="000A2817" w:rsidP="000A2817">
      <w:pPr>
        <w:rPr>
          <w:rFonts w:ascii="Times New Roman" w:hAnsi="Times New Roman"/>
          <w:b/>
        </w:rPr>
      </w:pPr>
    </w:p>
    <w:p w14:paraId="46B73F61" w14:textId="77777777" w:rsidR="000A2817" w:rsidRDefault="000A2817" w:rsidP="000A2817">
      <w:pPr>
        <w:rPr>
          <w:rFonts w:ascii="Times New Roman" w:hAnsi="Times New Roman"/>
          <w:b/>
        </w:rPr>
      </w:pPr>
    </w:p>
    <w:p w14:paraId="7F0734D7" w14:textId="77777777" w:rsidR="000A2817" w:rsidRDefault="000A2817" w:rsidP="000A2817">
      <w:pPr>
        <w:rPr>
          <w:rFonts w:ascii="Times New Roman" w:hAnsi="Times New Roman"/>
          <w:b/>
        </w:rPr>
      </w:pPr>
    </w:p>
    <w:p w14:paraId="52831CAE" w14:textId="77777777" w:rsidR="000A2817" w:rsidRPr="002D08AC" w:rsidRDefault="000A2817" w:rsidP="000A2817">
      <w:pPr>
        <w:rPr>
          <w:rFonts w:ascii="Arial" w:hAnsi="Arial" w:cs="Arial"/>
        </w:rPr>
      </w:pPr>
      <w:r w:rsidRPr="002D08AC">
        <w:rPr>
          <w:rFonts w:ascii="Arial" w:hAnsi="Arial" w:cs="Arial"/>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p>
    <w:p w14:paraId="76B50C46" w14:textId="77777777" w:rsidR="000A2817" w:rsidRDefault="000A2817">
      <w:pPr>
        <w:pStyle w:val="Body"/>
      </w:pPr>
    </w:p>
    <w:p w14:paraId="0CA76B47" w14:textId="77777777" w:rsidR="006641D3" w:rsidRDefault="00000000">
      <w:pPr>
        <w:pStyle w:val="AbstHead"/>
        <w:pageBreakBefore/>
        <w:spacing w:after="120"/>
      </w:pPr>
      <w:r>
        <w:rPr>
          <w:rFonts w:ascii="Arial" w:eastAsia="Arial" w:hAnsi="Arial" w:cs="Arial"/>
          <w:color w:val="000000"/>
          <w:szCs w:val="22"/>
        </w:rPr>
        <w:lastRenderedPageBreak/>
        <w:t>REFERENCES</w:t>
      </w:r>
    </w:p>
    <w:p w14:paraId="0DCB3705" w14:textId="77777777" w:rsidR="006641D3" w:rsidRDefault="00000000">
      <w:pPr>
        <w:pStyle w:val="Body"/>
        <w:keepLines/>
        <w:jc w:val="left"/>
      </w:pPr>
      <w:r>
        <w:rPr>
          <w:rFonts w:ascii="Arial" w:hAnsi="Arial" w:cs="Arial"/>
          <w:color w:val="000000"/>
        </w:rPr>
        <w:t xml:space="preserve">1. Chen, L., &amp; Lin, S. (2026). Examining China’s “Double Reduction” policy: Promises and challenges for balanced and quality development in compulsory education. </w:t>
      </w:r>
      <w:r>
        <w:rPr>
          <w:rFonts w:ascii="Arial" w:hAnsi="Arial" w:cs="Arial"/>
          <w:i/>
          <w:color w:val="000000"/>
        </w:rPr>
        <w:t>ECNU Review of Education</w:t>
      </w:r>
      <w:r>
        <w:rPr>
          <w:rFonts w:ascii="Arial" w:hAnsi="Arial" w:cs="Arial"/>
          <w:color w:val="000000"/>
        </w:rPr>
        <w:t xml:space="preserve">, 9(2), Article 20965311241265123. </w:t>
      </w:r>
      <w:hyperlink r:id="rId15">
        <w:r w:rsidR="006641D3">
          <w:rPr>
            <w:rFonts w:ascii="Arial" w:hAnsi="Arial" w:cs="Arial"/>
            <w:color w:val="000000"/>
          </w:rPr>
          <w:t>https://doi.org/10.1177/20965311241265123</w:t>
        </w:r>
      </w:hyperlink>
    </w:p>
    <w:p w14:paraId="480A8572" w14:textId="77777777" w:rsidR="006641D3" w:rsidRDefault="00000000">
      <w:pPr>
        <w:pStyle w:val="Body"/>
        <w:keepLines/>
        <w:jc w:val="left"/>
      </w:pPr>
      <w:r>
        <w:rPr>
          <w:rFonts w:ascii="Arial" w:hAnsi="Arial" w:cs="Arial"/>
          <w:color w:val="000000"/>
        </w:rPr>
        <w:t xml:space="preserve">2. Cooper, H., Robinson, J. C., &amp; </w:t>
      </w:r>
      <w:proofErr w:type="spellStart"/>
      <w:r>
        <w:rPr>
          <w:rFonts w:ascii="Arial" w:hAnsi="Arial" w:cs="Arial"/>
          <w:color w:val="000000"/>
        </w:rPr>
        <w:t>Patall</w:t>
      </w:r>
      <w:proofErr w:type="spellEnd"/>
      <w:r>
        <w:rPr>
          <w:rFonts w:ascii="Arial" w:hAnsi="Arial" w:cs="Arial"/>
          <w:color w:val="000000"/>
        </w:rPr>
        <w:t xml:space="preserve">, E. A. (2006). Does homework improve academic achievement? A synthesis of research, 1987–2003. </w:t>
      </w:r>
      <w:r>
        <w:rPr>
          <w:rFonts w:ascii="Arial" w:hAnsi="Arial" w:cs="Arial"/>
          <w:i/>
          <w:color w:val="000000"/>
        </w:rPr>
        <w:t>Review of Educational Research</w:t>
      </w:r>
      <w:r>
        <w:rPr>
          <w:rFonts w:ascii="Arial" w:hAnsi="Arial" w:cs="Arial"/>
          <w:color w:val="000000"/>
        </w:rPr>
        <w:t xml:space="preserve">, 76(1), 1–62. </w:t>
      </w:r>
      <w:hyperlink r:id="rId16">
        <w:r w:rsidR="006641D3">
          <w:rPr>
            <w:rFonts w:ascii="Arial" w:hAnsi="Arial" w:cs="Arial"/>
            <w:color w:val="000000"/>
          </w:rPr>
          <w:t>https://doi.org/10.3102/00346543076001001</w:t>
        </w:r>
      </w:hyperlink>
    </w:p>
    <w:p w14:paraId="56AE3CF5" w14:textId="77777777" w:rsidR="006641D3" w:rsidRDefault="00000000">
      <w:pPr>
        <w:pStyle w:val="Body"/>
        <w:keepLines/>
        <w:jc w:val="left"/>
      </w:pPr>
      <w:r>
        <w:rPr>
          <w:rFonts w:ascii="Arial" w:hAnsi="Arial" w:cs="Arial"/>
          <w:color w:val="000000"/>
        </w:rPr>
        <w:t xml:space="preserve">3. </w:t>
      </w:r>
      <w:proofErr w:type="spellStart"/>
      <w:r>
        <w:rPr>
          <w:rFonts w:ascii="Arial" w:hAnsi="Arial" w:cs="Arial"/>
          <w:color w:val="000000"/>
        </w:rPr>
        <w:t>Dolean</w:t>
      </w:r>
      <w:proofErr w:type="spellEnd"/>
      <w:r>
        <w:rPr>
          <w:rFonts w:ascii="Arial" w:hAnsi="Arial" w:cs="Arial"/>
          <w:color w:val="000000"/>
        </w:rPr>
        <w:t xml:space="preserve">, D. D., &amp; </w:t>
      </w:r>
      <w:proofErr w:type="spellStart"/>
      <w:r>
        <w:rPr>
          <w:rFonts w:ascii="Arial" w:hAnsi="Arial" w:cs="Arial"/>
          <w:color w:val="000000"/>
        </w:rPr>
        <w:t>Lervag</w:t>
      </w:r>
      <w:proofErr w:type="spellEnd"/>
      <w:r>
        <w:rPr>
          <w:rFonts w:ascii="Arial" w:hAnsi="Arial" w:cs="Arial"/>
          <w:color w:val="000000"/>
        </w:rPr>
        <w:t xml:space="preserve">, A. (2022). Variations of homework amount assigned in elementary school can impact academic achievement. </w:t>
      </w:r>
      <w:r>
        <w:rPr>
          <w:rFonts w:ascii="Arial" w:hAnsi="Arial" w:cs="Arial"/>
          <w:i/>
          <w:color w:val="000000"/>
        </w:rPr>
        <w:t>The Journal of Experimental Education</w:t>
      </w:r>
      <w:r>
        <w:rPr>
          <w:rFonts w:ascii="Arial" w:hAnsi="Arial" w:cs="Arial"/>
          <w:color w:val="000000"/>
        </w:rPr>
        <w:t xml:space="preserve">, 90(2), 280–296. </w:t>
      </w:r>
      <w:hyperlink r:id="rId17">
        <w:r w:rsidR="006641D3">
          <w:rPr>
            <w:rFonts w:ascii="Arial" w:hAnsi="Arial" w:cs="Arial"/>
            <w:color w:val="000000"/>
          </w:rPr>
          <w:t>https://doi.org/10.1080/00220973.2020.1861422</w:t>
        </w:r>
      </w:hyperlink>
    </w:p>
    <w:p w14:paraId="756554F9" w14:textId="77777777" w:rsidR="006641D3" w:rsidRDefault="00000000">
      <w:pPr>
        <w:pStyle w:val="Body"/>
        <w:keepLines/>
        <w:jc w:val="left"/>
      </w:pPr>
      <w:r>
        <w:rPr>
          <w:rFonts w:ascii="Arial" w:hAnsi="Arial" w:cs="Arial"/>
          <w:color w:val="000000"/>
        </w:rPr>
        <w:t xml:space="preserve">4. Chen, Z., &amp; Murray, N. (2025). Initial teacher education in transition: Responding to English language curriculum reform in China. </w:t>
      </w:r>
      <w:r>
        <w:rPr>
          <w:rFonts w:ascii="Arial" w:hAnsi="Arial" w:cs="Arial"/>
          <w:i/>
          <w:color w:val="000000"/>
        </w:rPr>
        <w:t>Journal of Education for Teaching</w:t>
      </w:r>
      <w:r>
        <w:rPr>
          <w:rFonts w:ascii="Arial" w:hAnsi="Arial" w:cs="Arial"/>
          <w:color w:val="000000"/>
        </w:rPr>
        <w:t xml:space="preserve">, 51(4), 666–681. </w:t>
      </w:r>
      <w:hyperlink r:id="rId18">
        <w:r w:rsidR="006641D3">
          <w:rPr>
            <w:rFonts w:ascii="Arial" w:hAnsi="Arial" w:cs="Arial"/>
            <w:color w:val="000000"/>
          </w:rPr>
          <w:t>https://doi.org/10.1080/02607476.2025.2525826</w:t>
        </w:r>
      </w:hyperlink>
    </w:p>
    <w:p w14:paraId="4B79C9B8" w14:textId="77777777" w:rsidR="006641D3" w:rsidRDefault="00000000">
      <w:pPr>
        <w:pStyle w:val="Body"/>
        <w:keepLines/>
        <w:jc w:val="left"/>
      </w:pPr>
      <w:r>
        <w:rPr>
          <w:rFonts w:ascii="Arial" w:hAnsi="Arial" w:cs="Arial"/>
          <w:color w:val="000000"/>
        </w:rPr>
        <w:t xml:space="preserve">5. Biggs, J. (1996). Enhancing teaching through constructive alignment. </w:t>
      </w:r>
      <w:r>
        <w:rPr>
          <w:rFonts w:ascii="Arial" w:hAnsi="Arial" w:cs="Arial"/>
          <w:i/>
          <w:color w:val="000000"/>
        </w:rPr>
        <w:t>Higher Education</w:t>
      </w:r>
      <w:r>
        <w:rPr>
          <w:rFonts w:ascii="Arial" w:hAnsi="Arial" w:cs="Arial"/>
          <w:color w:val="000000"/>
        </w:rPr>
        <w:t xml:space="preserve">, 32(3), 347–364. </w:t>
      </w:r>
      <w:hyperlink r:id="rId19">
        <w:r w:rsidR="006641D3">
          <w:rPr>
            <w:rFonts w:ascii="Arial" w:hAnsi="Arial" w:cs="Arial"/>
            <w:color w:val="000000"/>
          </w:rPr>
          <w:t>https://doi.org/10.1007/BF00138871</w:t>
        </w:r>
      </w:hyperlink>
    </w:p>
    <w:p w14:paraId="1A3C7C07" w14:textId="77777777" w:rsidR="006641D3" w:rsidRDefault="00000000">
      <w:pPr>
        <w:pStyle w:val="Body"/>
        <w:keepLines/>
        <w:jc w:val="left"/>
      </w:pPr>
      <w:r>
        <w:rPr>
          <w:rFonts w:ascii="Arial" w:hAnsi="Arial" w:cs="Arial"/>
          <w:color w:val="000000"/>
        </w:rPr>
        <w:t xml:space="preserve">6. Ellis, R. (2009). Task-based language teaching: Sorting out the misunderstandings. </w:t>
      </w:r>
      <w:r>
        <w:rPr>
          <w:rFonts w:ascii="Arial" w:hAnsi="Arial" w:cs="Arial"/>
          <w:i/>
          <w:color w:val="000000"/>
        </w:rPr>
        <w:t>International Journal of Applied Linguistics</w:t>
      </w:r>
      <w:r>
        <w:rPr>
          <w:rFonts w:ascii="Arial" w:hAnsi="Arial" w:cs="Arial"/>
          <w:color w:val="000000"/>
        </w:rPr>
        <w:t xml:space="preserve">, 19(3), 221–246. </w:t>
      </w:r>
      <w:hyperlink r:id="rId20">
        <w:r w:rsidR="006641D3">
          <w:rPr>
            <w:rFonts w:ascii="Arial" w:hAnsi="Arial" w:cs="Arial"/>
            <w:color w:val="000000"/>
          </w:rPr>
          <w:t>https://doi.org/10.1111/j.1473-4192.2009.00231.x</w:t>
        </w:r>
      </w:hyperlink>
    </w:p>
    <w:p w14:paraId="1D6EC667" w14:textId="77777777" w:rsidR="006641D3" w:rsidRDefault="00000000">
      <w:pPr>
        <w:pStyle w:val="Body"/>
        <w:keepLines/>
        <w:jc w:val="left"/>
      </w:pPr>
      <w:r>
        <w:rPr>
          <w:rFonts w:ascii="Arial" w:hAnsi="Arial" w:cs="Arial"/>
          <w:color w:val="000000"/>
        </w:rPr>
        <w:t xml:space="preserve">7. Graham, S., McKeown, D., </w:t>
      </w:r>
      <w:proofErr w:type="spellStart"/>
      <w:r>
        <w:rPr>
          <w:rFonts w:ascii="Arial" w:hAnsi="Arial" w:cs="Arial"/>
          <w:color w:val="000000"/>
        </w:rPr>
        <w:t>Kiuhara</w:t>
      </w:r>
      <w:proofErr w:type="spellEnd"/>
      <w:r>
        <w:rPr>
          <w:rFonts w:ascii="Arial" w:hAnsi="Arial" w:cs="Arial"/>
          <w:color w:val="000000"/>
        </w:rPr>
        <w:t xml:space="preserve">, S., &amp; Harris, K. R. (2012). A meta-analysis of writing instruction for students in the elementary grades. </w:t>
      </w:r>
      <w:r>
        <w:rPr>
          <w:rFonts w:ascii="Arial" w:hAnsi="Arial" w:cs="Arial"/>
          <w:i/>
          <w:color w:val="000000"/>
        </w:rPr>
        <w:t>Journal of Educational Psychology</w:t>
      </w:r>
      <w:r>
        <w:rPr>
          <w:rFonts w:ascii="Arial" w:hAnsi="Arial" w:cs="Arial"/>
          <w:color w:val="000000"/>
        </w:rPr>
        <w:t xml:space="preserve">, 104(4), 879–896. </w:t>
      </w:r>
      <w:hyperlink r:id="rId21">
        <w:r w:rsidR="006641D3">
          <w:rPr>
            <w:rFonts w:ascii="Arial" w:hAnsi="Arial" w:cs="Arial"/>
            <w:color w:val="000000"/>
          </w:rPr>
          <w:t>https://doi.org/10.1037/a0029185</w:t>
        </w:r>
      </w:hyperlink>
    </w:p>
    <w:p w14:paraId="3DBE1730" w14:textId="77777777" w:rsidR="006641D3" w:rsidRDefault="00000000">
      <w:pPr>
        <w:pStyle w:val="Body"/>
        <w:keepLines/>
        <w:jc w:val="left"/>
      </w:pPr>
      <w:r>
        <w:rPr>
          <w:rFonts w:ascii="Arial" w:hAnsi="Arial" w:cs="Arial"/>
          <w:color w:val="000000"/>
        </w:rPr>
        <w:t xml:space="preserve">8. Luquin, M., &amp; García Mayo, M. P. (2020). Collaborative writing and feedback: An exploratory study of the potential of models in primary EFL students’ writing performance. </w:t>
      </w:r>
      <w:r>
        <w:rPr>
          <w:rFonts w:ascii="Arial" w:hAnsi="Arial" w:cs="Arial"/>
          <w:i/>
          <w:color w:val="000000"/>
        </w:rPr>
        <w:t>Language Teaching for Young Learners</w:t>
      </w:r>
      <w:r>
        <w:rPr>
          <w:rFonts w:ascii="Arial" w:hAnsi="Arial" w:cs="Arial"/>
          <w:color w:val="000000"/>
        </w:rPr>
        <w:t xml:space="preserve">, 2(1), 73–100. </w:t>
      </w:r>
      <w:hyperlink r:id="rId22">
        <w:r w:rsidR="006641D3">
          <w:rPr>
            <w:rFonts w:ascii="Arial" w:hAnsi="Arial" w:cs="Arial"/>
            <w:color w:val="000000"/>
          </w:rPr>
          <w:t>https://doi.org/10.1075/ltyl.19007.luq</w:t>
        </w:r>
      </w:hyperlink>
    </w:p>
    <w:p w14:paraId="408C6800" w14:textId="77777777" w:rsidR="006641D3" w:rsidRDefault="00000000">
      <w:pPr>
        <w:pStyle w:val="Body"/>
        <w:keepLines/>
        <w:jc w:val="left"/>
      </w:pPr>
      <w:r>
        <w:rPr>
          <w:rFonts w:ascii="Arial" w:hAnsi="Arial" w:cs="Arial"/>
          <w:color w:val="000000"/>
        </w:rPr>
        <w:t xml:space="preserve">9. Cameron, L. (2001). Theme-based teaching and learning. In </w:t>
      </w:r>
      <w:r>
        <w:rPr>
          <w:rFonts w:ascii="Arial" w:hAnsi="Arial" w:cs="Arial"/>
          <w:i/>
          <w:color w:val="000000"/>
        </w:rPr>
        <w:t>Teaching languages to young learners</w:t>
      </w:r>
      <w:r>
        <w:rPr>
          <w:rFonts w:ascii="Arial" w:hAnsi="Arial" w:cs="Arial"/>
          <w:color w:val="000000"/>
        </w:rPr>
        <w:t xml:space="preserve"> (pp. 180–198). Cambridge University Press. </w:t>
      </w:r>
      <w:hyperlink r:id="rId23">
        <w:r w:rsidR="006641D3">
          <w:rPr>
            <w:rFonts w:ascii="Arial" w:hAnsi="Arial" w:cs="Arial"/>
            <w:color w:val="000000"/>
          </w:rPr>
          <w:t>https://doi.org/10.1017/CBO9780511733109.009</w:t>
        </w:r>
      </w:hyperlink>
    </w:p>
    <w:p w14:paraId="657EA07D" w14:textId="77777777" w:rsidR="006641D3" w:rsidRDefault="00000000">
      <w:pPr>
        <w:pStyle w:val="Body"/>
        <w:keepLines/>
        <w:jc w:val="left"/>
      </w:pPr>
      <w:r>
        <w:rPr>
          <w:rFonts w:ascii="Arial" w:hAnsi="Arial" w:cs="Arial"/>
          <w:color w:val="000000"/>
        </w:rPr>
        <w:t xml:space="preserve">10. Wood, D., Bruner, J. S., &amp; Ross, G. (1976). The role of tutoring in problem solving. </w:t>
      </w:r>
      <w:r>
        <w:rPr>
          <w:rFonts w:ascii="Arial" w:hAnsi="Arial" w:cs="Arial"/>
          <w:i/>
          <w:color w:val="000000"/>
        </w:rPr>
        <w:t>Journal of Child Psychology and Psychiatry</w:t>
      </w:r>
      <w:r>
        <w:rPr>
          <w:rFonts w:ascii="Arial" w:hAnsi="Arial" w:cs="Arial"/>
          <w:color w:val="000000"/>
        </w:rPr>
        <w:t xml:space="preserve">, 17(2), 89–100. </w:t>
      </w:r>
      <w:hyperlink r:id="rId24">
        <w:r w:rsidR="006641D3">
          <w:rPr>
            <w:rFonts w:ascii="Arial" w:hAnsi="Arial" w:cs="Arial"/>
            <w:color w:val="000000"/>
          </w:rPr>
          <w:t>https://doi.org/10.1111/j.1469-7610.1976.tb00381.x</w:t>
        </w:r>
      </w:hyperlink>
    </w:p>
    <w:p w14:paraId="45DFC91B" w14:textId="77777777" w:rsidR="006641D3" w:rsidRDefault="00000000">
      <w:pPr>
        <w:pStyle w:val="Body"/>
        <w:keepLines/>
        <w:pageBreakBefore/>
        <w:jc w:val="left"/>
      </w:pPr>
      <w:r>
        <w:rPr>
          <w:rFonts w:ascii="Arial" w:hAnsi="Arial" w:cs="Arial"/>
          <w:color w:val="000000"/>
        </w:rPr>
        <w:lastRenderedPageBreak/>
        <w:t xml:space="preserve">11. Black, P., &amp; Wiliam, D. (2009). Developing the theory of formative assessment. </w:t>
      </w:r>
      <w:r>
        <w:rPr>
          <w:rFonts w:ascii="Arial" w:hAnsi="Arial" w:cs="Arial"/>
          <w:i/>
          <w:color w:val="000000"/>
        </w:rPr>
        <w:t>Educational Assessment, Evaluation and Accountability</w:t>
      </w:r>
      <w:r>
        <w:rPr>
          <w:rFonts w:ascii="Arial" w:hAnsi="Arial" w:cs="Arial"/>
          <w:color w:val="000000"/>
        </w:rPr>
        <w:t xml:space="preserve">, 21(1), 5–31. </w:t>
      </w:r>
      <w:hyperlink r:id="rId25">
        <w:r w:rsidR="006641D3">
          <w:rPr>
            <w:rFonts w:ascii="Arial" w:hAnsi="Arial" w:cs="Arial"/>
            <w:color w:val="000000"/>
          </w:rPr>
          <w:t>https://doi.org/10.1007/s11092-008-9068-5</w:t>
        </w:r>
      </w:hyperlink>
    </w:p>
    <w:p w14:paraId="3532E7A7" w14:textId="77777777" w:rsidR="006641D3" w:rsidRDefault="00000000">
      <w:pPr>
        <w:pStyle w:val="Body"/>
        <w:keepLines/>
        <w:jc w:val="left"/>
      </w:pPr>
      <w:r>
        <w:rPr>
          <w:rFonts w:ascii="Arial" w:hAnsi="Arial" w:cs="Arial"/>
          <w:color w:val="000000"/>
        </w:rPr>
        <w:t xml:space="preserve">12. </w:t>
      </w:r>
      <w:proofErr w:type="spellStart"/>
      <w:r>
        <w:rPr>
          <w:rFonts w:ascii="Arial" w:hAnsi="Arial" w:cs="Arial"/>
          <w:color w:val="000000"/>
        </w:rPr>
        <w:t>Sweller</w:t>
      </w:r>
      <w:proofErr w:type="spellEnd"/>
      <w:r>
        <w:rPr>
          <w:rFonts w:ascii="Arial" w:hAnsi="Arial" w:cs="Arial"/>
          <w:color w:val="000000"/>
        </w:rPr>
        <w:t xml:space="preserve">, J., van </w:t>
      </w:r>
      <w:proofErr w:type="spellStart"/>
      <w:r>
        <w:rPr>
          <w:rFonts w:ascii="Arial" w:hAnsi="Arial" w:cs="Arial"/>
          <w:color w:val="000000"/>
        </w:rPr>
        <w:t>Merriënboer</w:t>
      </w:r>
      <w:proofErr w:type="spellEnd"/>
      <w:r>
        <w:rPr>
          <w:rFonts w:ascii="Arial" w:hAnsi="Arial" w:cs="Arial"/>
          <w:color w:val="000000"/>
        </w:rPr>
        <w:t xml:space="preserve">, J. J. G., &amp; Paas, F. (2019). Cognitive architecture and instructional design: 20 years later. </w:t>
      </w:r>
      <w:r>
        <w:rPr>
          <w:rFonts w:ascii="Arial" w:hAnsi="Arial" w:cs="Arial"/>
          <w:i/>
          <w:color w:val="000000"/>
        </w:rPr>
        <w:t>Educational Psychology Review</w:t>
      </w:r>
      <w:r>
        <w:rPr>
          <w:rFonts w:ascii="Arial" w:hAnsi="Arial" w:cs="Arial"/>
          <w:color w:val="000000"/>
        </w:rPr>
        <w:t xml:space="preserve">, 31(2), 261–292. </w:t>
      </w:r>
      <w:hyperlink r:id="rId26">
        <w:r w:rsidR="006641D3">
          <w:rPr>
            <w:rFonts w:ascii="Arial" w:hAnsi="Arial" w:cs="Arial"/>
            <w:color w:val="000000"/>
          </w:rPr>
          <w:t>https://doi.org/10.1007/s10648-019-09465-5</w:t>
        </w:r>
      </w:hyperlink>
    </w:p>
    <w:p w14:paraId="7CEDB925" w14:textId="77777777" w:rsidR="006641D3" w:rsidRDefault="00000000">
      <w:pPr>
        <w:pStyle w:val="Body"/>
        <w:keepLines/>
        <w:jc w:val="left"/>
      </w:pPr>
      <w:r>
        <w:rPr>
          <w:rFonts w:ascii="Arial" w:hAnsi="Arial" w:cs="Arial"/>
          <w:color w:val="000000"/>
        </w:rPr>
        <w:t xml:space="preserve">13. Ellis, R. (2020). Task-based language teaching for beginner-level young learners. </w:t>
      </w:r>
      <w:r>
        <w:rPr>
          <w:rFonts w:ascii="Arial" w:hAnsi="Arial" w:cs="Arial"/>
          <w:i/>
          <w:color w:val="000000"/>
        </w:rPr>
        <w:t>Language Teaching for Young Learners</w:t>
      </w:r>
      <w:r>
        <w:rPr>
          <w:rFonts w:ascii="Arial" w:hAnsi="Arial" w:cs="Arial"/>
          <w:color w:val="000000"/>
        </w:rPr>
        <w:t xml:space="preserve">, 2(1), 4–27. </w:t>
      </w:r>
      <w:hyperlink r:id="rId27">
        <w:r w:rsidR="006641D3">
          <w:rPr>
            <w:rFonts w:ascii="Arial" w:hAnsi="Arial" w:cs="Arial"/>
            <w:color w:val="000000"/>
          </w:rPr>
          <w:t>https://doi.org/10.1075/ltyl.19005.ell</w:t>
        </w:r>
      </w:hyperlink>
    </w:p>
    <w:p w14:paraId="46E4CB95" w14:textId="77777777" w:rsidR="006641D3" w:rsidRDefault="00000000">
      <w:pPr>
        <w:pStyle w:val="Body"/>
        <w:keepLines/>
        <w:jc w:val="left"/>
      </w:pPr>
      <w:r>
        <w:rPr>
          <w:rFonts w:ascii="Arial" w:hAnsi="Arial" w:cs="Arial"/>
          <w:color w:val="000000"/>
        </w:rPr>
        <w:t xml:space="preserve">14. </w:t>
      </w:r>
      <w:proofErr w:type="spellStart"/>
      <w:r>
        <w:rPr>
          <w:rFonts w:ascii="Arial" w:hAnsi="Arial" w:cs="Arial"/>
          <w:color w:val="000000"/>
        </w:rPr>
        <w:t>Perinčić</w:t>
      </w:r>
      <w:proofErr w:type="spellEnd"/>
      <w:r>
        <w:rPr>
          <w:rFonts w:ascii="Arial" w:hAnsi="Arial" w:cs="Arial"/>
          <w:color w:val="000000"/>
        </w:rPr>
        <w:t xml:space="preserve"> Tičić, N., &amp; </w:t>
      </w:r>
      <w:proofErr w:type="spellStart"/>
      <w:r>
        <w:rPr>
          <w:rFonts w:ascii="Arial" w:hAnsi="Arial" w:cs="Arial"/>
          <w:color w:val="000000"/>
        </w:rPr>
        <w:t>Štulina</w:t>
      </w:r>
      <w:proofErr w:type="spellEnd"/>
      <w:r>
        <w:rPr>
          <w:rFonts w:ascii="Arial" w:hAnsi="Arial" w:cs="Arial"/>
          <w:color w:val="000000"/>
        </w:rPr>
        <w:t xml:space="preserve">, A. (2024). </w:t>
      </w:r>
      <w:proofErr w:type="gramStart"/>
      <w:r>
        <w:rPr>
          <w:rFonts w:ascii="Arial" w:hAnsi="Arial" w:cs="Arial"/>
          <w:color w:val="000000"/>
        </w:rPr>
        <w:t>An action research</w:t>
      </w:r>
      <w:proofErr w:type="gramEnd"/>
      <w:r>
        <w:rPr>
          <w:rFonts w:ascii="Arial" w:hAnsi="Arial" w:cs="Arial"/>
          <w:color w:val="000000"/>
        </w:rPr>
        <w:t xml:space="preserve"> on peer feedback in the Croatian primary EFL school context. </w:t>
      </w:r>
      <w:proofErr w:type="spellStart"/>
      <w:r>
        <w:rPr>
          <w:rFonts w:ascii="Arial" w:hAnsi="Arial" w:cs="Arial"/>
          <w:i/>
          <w:color w:val="000000"/>
        </w:rPr>
        <w:t>Elektronički</w:t>
      </w:r>
      <w:proofErr w:type="spellEnd"/>
      <w:r>
        <w:rPr>
          <w:rFonts w:ascii="Arial" w:hAnsi="Arial" w:cs="Arial"/>
          <w:i/>
          <w:color w:val="000000"/>
        </w:rPr>
        <w:t xml:space="preserve"> </w:t>
      </w:r>
      <w:proofErr w:type="spellStart"/>
      <w:r>
        <w:rPr>
          <w:rFonts w:ascii="Arial" w:hAnsi="Arial" w:cs="Arial"/>
          <w:i/>
          <w:color w:val="000000"/>
        </w:rPr>
        <w:t>zbornik</w:t>
      </w:r>
      <w:proofErr w:type="spellEnd"/>
      <w:r>
        <w:rPr>
          <w:rFonts w:ascii="Arial" w:hAnsi="Arial" w:cs="Arial"/>
          <w:i/>
          <w:color w:val="000000"/>
        </w:rPr>
        <w:t xml:space="preserve"> </w:t>
      </w:r>
      <w:proofErr w:type="spellStart"/>
      <w:r>
        <w:rPr>
          <w:rFonts w:ascii="Arial" w:hAnsi="Arial" w:cs="Arial"/>
          <w:i/>
          <w:color w:val="000000"/>
        </w:rPr>
        <w:t>radova</w:t>
      </w:r>
      <w:proofErr w:type="spellEnd"/>
      <w:r>
        <w:rPr>
          <w:rFonts w:ascii="Arial" w:hAnsi="Arial" w:cs="Arial"/>
          <w:i/>
          <w:color w:val="000000"/>
        </w:rPr>
        <w:t xml:space="preserve"> </w:t>
      </w:r>
      <w:proofErr w:type="spellStart"/>
      <w:r>
        <w:rPr>
          <w:rFonts w:ascii="Arial" w:hAnsi="Arial" w:cs="Arial"/>
          <w:i/>
          <w:color w:val="000000"/>
        </w:rPr>
        <w:t>Veleučilišta</w:t>
      </w:r>
      <w:proofErr w:type="spellEnd"/>
      <w:r>
        <w:rPr>
          <w:rFonts w:ascii="Arial" w:hAnsi="Arial" w:cs="Arial"/>
          <w:i/>
          <w:color w:val="000000"/>
        </w:rPr>
        <w:t xml:space="preserve"> u </w:t>
      </w:r>
      <w:proofErr w:type="spellStart"/>
      <w:r>
        <w:rPr>
          <w:rFonts w:ascii="Arial" w:hAnsi="Arial" w:cs="Arial"/>
          <w:i/>
          <w:color w:val="000000"/>
        </w:rPr>
        <w:t>Šibeniku</w:t>
      </w:r>
      <w:proofErr w:type="spellEnd"/>
      <w:r>
        <w:rPr>
          <w:rFonts w:ascii="Arial" w:hAnsi="Arial" w:cs="Arial"/>
          <w:color w:val="000000"/>
        </w:rPr>
        <w:t xml:space="preserve">, 18(1–2), 191–200. </w:t>
      </w:r>
      <w:hyperlink r:id="rId28">
        <w:r w:rsidR="006641D3">
          <w:rPr>
            <w:rFonts w:ascii="Arial" w:hAnsi="Arial" w:cs="Arial"/>
            <w:color w:val="000000"/>
          </w:rPr>
          <w:t>https://doi.org/10.51650/ezrvs.18.1-2.11</w:t>
        </w:r>
      </w:hyperlink>
    </w:p>
    <w:p w14:paraId="5262F8CE" w14:textId="77777777" w:rsidR="006641D3" w:rsidRDefault="00000000">
      <w:pPr>
        <w:pStyle w:val="Body"/>
        <w:keepLines/>
        <w:jc w:val="left"/>
      </w:pPr>
      <w:r>
        <w:rPr>
          <w:rFonts w:ascii="Arial" w:hAnsi="Arial" w:cs="Arial"/>
          <w:color w:val="000000"/>
        </w:rPr>
        <w:t xml:space="preserve">15. Black, P., &amp; Wiliam, D. (1998). Assessment and classroom learning. </w:t>
      </w:r>
      <w:r>
        <w:rPr>
          <w:rFonts w:ascii="Arial" w:hAnsi="Arial" w:cs="Arial"/>
          <w:i/>
          <w:color w:val="000000"/>
        </w:rPr>
        <w:t>Assessment in Education: Principles, Policy &amp; Practice</w:t>
      </w:r>
      <w:r>
        <w:rPr>
          <w:rFonts w:ascii="Arial" w:hAnsi="Arial" w:cs="Arial"/>
          <w:color w:val="000000"/>
        </w:rPr>
        <w:t xml:space="preserve">, 5(1), 7–74. </w:t>
      </w:r>
      <w:hyperlink r:id="rId29">
        <w:r w:rsidR="006641D3">
          <w:rPr>
            <w:rFonts w:ascii="Arial" w:hAnsi="Arial" w:cs="Arial"/>
            <w:color w:val="000000"/>
          </w:rPr>
          <w:t>https://doi.org/10.1080/0969595980050102</w:t>
        </w:r>
      </w:hyperlink>
    </w:p>
    <w:p w14:paraId="39EFE355" w14:textId="77777777" w:rsidR="006641D3" w:rsidRDefault="00000000">
      <w:pPr>
        <w:pStyle w:val="Body"/>
        <w:keepLines/>
        <w:jc w:val="left"/>
      </w:pPr>
      <w:r>
        <w:rPr>
          <w:rFonts w:ascii="Arial" w:hAnsi="Arial" w:cs="Arial"/>
          <w:color w:val="000000"/>
        </w:rPr>
        <w:t xml:space="preserve">16. Hattie, J., &amp; Timperley, H. (2007). The power of feedback. </w:t>
      </w:r>
      <w:r>
        <w:rPr>
          <w:rFonts w:ascii="Arial" w:hAnsi="Arial" w:cs="Arial"/>
          <w:i/>
          <w:color w:val="000000"/>
        </w:rPr>
        <w:t>Review of Educational Research</w:t>
      </w:r>
      <w:r>
        <w:rPr>
          <w:rFonts w:ascii="Arial" w:hAnsi="Arial" w:cs="Arial"/>
          <w:color w:val="000000"/>
        </w:rPr>
        <w:t xml:space="preserve">, 77(1), 81–112. </w:t>
      </w:r>
      <w:hyperlink r:id="rId30">
        <w:r w:rsidR="006641D3">
          <w:rPr>
            <w:rFonts w:ascii="Arial" w:hAnsi="Arial" w:cs="Arial"/>
            <w:color w:val="000000"/>
          </w:rPr>
          <w:t>https://doi.org/10.3102/003465430298487</w:t>
        </w:r>
      </w:hyperlink>
    </w:p>
    <w:p w14:paraId="42F10E51" w14:textId="77777777" w:rsidR="006641D3" w:rsidRDefault="00000000">
      <w:pPr>
        <w:pStyle w:val="Body"/>
        <w:keepLines/>
        <w:jc w:val="left"/>
      </w:pPr>
      <w:r>
        <w:rPr>
          <w:rFonts w:ascii="Arial" w:hAnsi="Arial" w:cs="Arial"/>
          <w:color w:val="000000"/>
        </w:rPr>
        <w:t xml:space="preserve">17. Double, K. S., McGrane, J. A., &amp; </w:t>
      </w:r>
      <w:proofErr w:type="spellStart"/>
      <w:r>
        <w:rPr>
          <w:rFonts w:ascii="Arial" w:hAnsi="Arial" w:cs="Arial"/>
          <w:color w:val="000000"/>
        </w:rPr>
        <w:t>Hopfenbeck</w:t>
      </w:r>
      <w:proofErr w:type="spellEnd"/>
      <w:r>
        <w:rPr>
          <w:rFonts w:ascii="Arial" w:hAnsi="Arial" w:cs="Arial"/>
          <w:color w:val="000000"/>
        </w:rPr>
        <w:t xml:space="preserve">, T. N. (2020). The impact of peer assessment on academic performance: A meta-analysis of control group studies. </w:t>
      </w:r>
      <w:r>
        <w:rPr>
          <w:rFonts w:ascii="Arial" w:hAnsi="Arial" w:cs="Arial"/>
          <w:i/>
          <w:color w:val="000000"/>
        </w:rPr>
        <w:t>Educational Psychology Review</w:t>
      </w:r>
      <w:r>
        <w:rPr>
          <w:rFonts w:ascii="Arial" w:hAnsi="Arial" w:cs="Arial"/>
          <w:color w:val="000000"/>
        </w:rPr>
        <w:t xml:space="preserve">, 32(2), 481–509. </w:t>
      </w:r>
      <w:hyperlink r:id="rId31">
        <w:r w:rsidR="006641D3">
          <w:rPr>
            <w:rFonts w:ascii="Arial" w:hAnsi="Arial" w:cs="Arial"/>
            <w:color w:val="000000"/>
          </w:rPr>
          <w:t>https://doi.org/10.1007/s10648-019-09510-3</w:t>
        </w:r>
      </w:hyperlink>
    </w:p>
    <w:p w14:paraId="34BF1C7B" w14:textId="77777777" w:rsidR="006641D3" w:rsidRDefault="00000000">
      <w:pPr>
        <w:pStyle w:val="Body"/>
        <w:keepLines/>
        <w:jc w:val="left"/>
      </w:pPr>
      <w:r>
        <w:rPr>
          <w:rFonts w:ascii="Arial" w:hAnsi="Arial" w:cs="Arial"/>
          <w:color w:val="000000"/>
        </w:rPr>
        <w:t xml:space="preserve">18. Panadero, E. (2017). A review of self-regulated learning: Six models and four directions for research. </w:t>
      </w:r>
      <w:r>
        <w:rPr>
          <w:rFonts w:ascii="Arial" w:hAnsi="Arial" w:cs="Arial"/>
          <w:i/>
          <w:color w:val="000000"/>
        </w:rPr>
        <w:t>Frontiers in Psychology</w:t>
      </w:r>
      <w:r>
        <w:rPr>
          <w:rFonts w:ascii="Arial" w:hAnsi="Arial" w:cs="Arial"/>
          <w:color w:val="000000"/>
        </w:rPr>
        <w:t xml:space="preserve">, 8, 422. </w:t>
      </w:r>
      <w:hyperlink r:id="rId32">
        <w:r w:rsidR="006641D3">
          <w:rPr>
            <w:rFonts w:ascii="Arial" w:hAnsi="Arial" w:cs="Arial"/>
            <w:color w:val="000000"/>
          </w:rPr>
          <w:t>https://doi.org/10.3389/fpsyg.2017.00422</w:t>
        </w:r>
      </w:hyperlink>
    </w:p>
    <w:p w14:paraId="22B47978" w14:textId="77777777" w:rsidR="006641D3" w:rsidRDefault="00000000">
      <w:pPr>
        <w:pStyle w:val="Body"/>
        <w:keepLines/>
        <w:jc w:val="left"/>
      </w:pPr>
      <w:r>
        <w:rPr>
          <w:rFonts w:ascii="Arial" w:hAnsi="Arial" w:cs="Arial"/>
          <w:color w:val="000000"/>
        </w:rPr>
        <w:t xml:space="preserve">19. Kim, Y.-S. G., Yang, D., Reyes, M., &amp; Connor, C. (2021). Writing instruction improves students’ writing skills differentially depending on focal instruction and children: A meta-analysis for primary grade students. </w:t>
      </w:r>
      <w:r>
        <w:rPr>
          <w:rFonts w:ascii="Arial" w:hAnsi="Arial" w:cs="Arial"/>
          <w:i/>
          <w:color w:val="000000"/>
        </w:rPr>
        <w:t>Educational Research Review</w:t>
      </w:r>
      <w:r>
        <w:rPr>
          <w:rFonts w:ascii="Arial" w:hAnsi="Arial" w:cs="Arial"/>
          <w:color w:val="000000"/>
        </w:rPr>
        <w:t xml:space="preserve">, 34, 100408. </w:t>
      </w:r>
      <w:hyperlink r:id="rId33">
        <w:r w:rsidR="006641D3">
          <w:rPr>
            <w:rFonts w:ascii="Arial" w:hAnsi="Arial" w:cs="Arial"/>
            <w:color w:val="000000"/>
          </w:rPr>
          <w:t>https://doi.org/10.1016/j.edurev.2021.100408</w:t>
        </w:r>
      </w:hyperlink>
    </w:p>
    <w:sectPr w:rsidR="006641D3" w:rsidSect="002F794E">
      <w:headerReference w:type="even" r:id="rId34"/>
      <w:headerReference w:type="default" r:id="rId35"/>
      <w:footerReference w:type="default" r:id="rId36"/>
      <w:headerReference w:type="first" r:id="rId37"/>
      <w:type w:val="continuous"/>
      <w:pgSz w:w="12240" w:h="15840"/>
      <w:pgMar w:top="1440" w:right="2016" w:bottom="2016" w:left="2016" w:header="720" w:footer="1123"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90AB7A" w14:textId="77777777" w:rsidR="00CD08D4" w:rsidRDefault="00CD08D4">
      <w:r>
        <w:separator/>
      </w:r>
    </w:p>
  </w:endnote>
  <w:endnote w:type="continuationSeparator" w:id="0">
    <w:p w14:paraId="3BEAA316" w14:textId="77777777" w:rsidR="00CD08D4" w:rsidRDefault="00CD08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4AF765" w14:textId="77777777" w:rsidR="00B724AE" w:rsidRDefault="00B724A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FBC1CB" w14:textId="77777777" w:rsidR="00B724AE" w:rsidRDefault="00B724A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E8050A" w14:textId="0D77B02B" w:rsidR="006641D3" w:rsidRPr="00B724AE" w:rsidRDefault="006641D3" w:rsidP="00B724AE">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FEB3F6" w14:textId="77777777" w:rsidR="006641D3" w:rsidRDefault="006641D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DEA4E5" w14:textId="77777777" w:rsidR="00CD08D4" w:rsidRDefault="00CD08D4">
      <w:r>
        <w:separator/>
      </w:r>
    </w:p>
  </w:footnote>
  <w:footnote w:type="continuationSeparator" w:id="0">
    <w:p w14:paraId="5A60C5F4" w14:textId="77777777" w:rsidR="00CD08D4" w:rsidRDefault="00CD08D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0A48D5" w14:textId="729E2E3C" w:rsidR="00B724AE" w:rsidRDefault="00B724AE">
    <w:pPr>
      <w:pStyle w:val="Header"/>
    </w:pPr>
    <w:r>
      <w:rPr>
        <w:noProof/>
      </w:rPr>
      <w:pict w14:anchorId="284B7A4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13786876" o:spid="_x0000_s1026" type="#_x0000_t136" style="position:absolute;margin-left:0;margin-top:0;width:520.65pt;height:57.85pt;rotation:315;z-index:-251655168;mso-position-horizontal:center;mso-position-horizontal-relative:margin;mso-position-vertical:center;mso-position-vertical-relative:margin" o:allowincell="f" fillcolor="silver" stroked="f">
          <v:fill opacity=".5"/>
          <v:textpath style="font-family:&quot;Helvetica&quot;;font-size:1pt" string="UNDER PEER REVIEW"/>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913875" w14:textId="732677C1" w:rsidR="00B724AE" w:rsidRDefault="00B724AE">
    <w:pPr>
      <w:pStyle w:val="Header"/>
    </w:pPr>
    <w:r>
      <w:rPr>
        <w:noProof/>
      </w:rPr>
      <w:pict w14:anchorId="149A010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13786877" o:spid="_x0000_s1027" type="#_x0000_t136" style="position:absolute;margin-left:0;margin-top:0;width:520.65pt;height:57.85pt;rotation:315;z-index:-251653120;mso-position-horizontal:center;mso-position-horizontal-relative:margin;mso-position-vertical:center;mso-position-vertical-relative:margin" o:allowincell="f" fillcolor="silver" stroked="f">
          <v:fill opacity=".5"/>
          <v:textpath style="font-family:&quot;Helvetica&quot;;font-size:1pt" string="UNDER PEER REVIEW"/>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21729B" w14:textId="3454DA15" w:rsidR="006641D3" w:rsidRDefault="00B724AE">
    <w:pPr>
      <w:ind w:left="2160"/>
      <w:jc w:val="center"/>
      <w:rPr>
        <w:rFonts w:ascii="Times New Roman" w:eastAsia="Calibri" w:hAnsi="Times New Roman"/>
        <w:i/>
        <w:sz w:val="18"/>
        <w:szCs w:val="22"/>
      </w:rPr>
    </w:pPr>
    <w:r>
      <w:rPr>
        <w:noProof/>
      </w:rPr>
      <w:pict w14:anchorId="7928FBE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13786875" o:spid="_x0000_s1025" type="#_x0000_t136" style="position:absolute;left:0;text-align:left;margin-left:0;margin-top:0;width:520.65pt;height:57.85pt;rotation:315;z-index:-251657216;mso-position-horizontal:center;mso-position-horizontal-relative:margin;mso-position-vertical:center;mso-position-vertical-relative:margin" o:allowincell="f" fillcolor="silver" stroked="f">
          <v:fill opacity=".5"/>
          <v:textpath style="font-family:&quot;Helvetica&quot;;font-size:1pt" string="UNDER PEER REVIEW"/>
        </v:shape>
      </w:pict>
    </w:r>
  </w:p>
  <w:p w14:paraId="6C366D96" w14:textId="77777777" w:rsidR="006641D3" w:rsidRDefault="00000000">
    <w:pPr>
      <w:ind w:left="4320"/>
      <w:rPr>
        <w:rFonts w:ascii="Times New Roman" w:eastAsia="Calibri" w:hAnsi="Times New Roman"/>
        <w:i/>
        <w:sz w:val="18"/>
        <w:szCs w:val="22"/>
      </w:rPr>
    </w:pPr>
    <w:r>
      <w:rPr>
        <w:rFonts w:ascii="Times New Roman" w:eastAsia="Calibri" w:hAnsi="Times New Roman"/>
        <w:i/>
        <w:sz w:val="18"/>
        <w:szCs w:val="22"/>
      </w:rPr>
      <w:t xml:space="preserve">.     </w:t>
    </w:r>
  </w:p>
  <w:p w14:paraId="7F17060E" w14:textId="77777777" w:rsidR="006641D3" w:rsidRDefault="00000000">
    <w:pPr>
      <w:jc w:val="center"/>
      <w:rPr>
        <w:rFonts w:ascii="Times New Roman" w:eastAsia="Calibri" w:hAnsi="Times New Roman"/>
        <w:i/>
        <w:sz w:val="18"/>
        <w:szCs w:val="22"/>
      </w:rPr>
    </w:pPr>
    <w:r>
      <w:rPr>
        <w:rFonts w:ascii="Times New Roman" w:eastAsia="Calibri" w:hAnsi="Times New Roman"/>
        <w:i/>
        <w:sz w:val="18"/>
        <w:szCs w:val="22"/>
      </w:rPr>
      <w:t>.</w:t>
    </w:r>
  </w:p>
  <w:p w14:paraId="31503CF3" w14:textId="77777777" w:rsidR="006641D3" w:rsidRDefault="00000000">
    <w:pPr>
      <w:spacing w:after="200"/>
      <w:jc w:val="center"/>
      <w:rPr>
        <w:rFonts w:ascii="Times New Roman" w:eastAsia="Calibri" w:hAnsi="Times New Roman"/>
        <w:b/>
        <w:i/>
        <w:sz w:val="32"/>
        <w:szCs w:val="22"/>
      </w:rPr>
    </w:pPr>
    <w:r>
      <w:rPr>
        <w:rFonts w:ascii="Times New Roman" w:eastAsia="Calibri" w:hAnsi="Times New Roman"/>
        <w:b/>
        <w:i/>
        <w:sz w:val="32"/>
        <w:szCs w:val="22"/>
      </w:rPr>
      <w:t xml:space="preserve">              . </w:t>
    </w:r>
  </w:p>
  <w:p w14:paraId="6E3F0579" w14:textId="77777777" w:rsidR="006641D3" w:rsidRDefault="00000000">
    <w:pPr>
      <w:jc w:val="center"/>
      <w:rPr>
        <w:rFonts w:ascii="Times New Roman" w:eastAsia="Calibri" w:hAnsi="Times New Roman"/>
        <w:i/>
        <w:sz w:val="18"/>
        <w:szCs w:val="22"/>
      </w:rPr>
    </w:pPr>
    <w:r>
      <w:rPr>
        <w:rFonts w:ascii="Times New Roman" w:eastAsia="Calibri" w:hAnsi="Times New Roman"/>
        <w:i/>
        <w:sz w:val="18"/>
        <w:szCs w:val="22"/>
      </w:rPr>
      <w:t xml:space="preserve">                     </w:t>
    </w:r>
  </w:p>
  <w:p w14:paraId="02C1F2F0" w14:textId="77777777" w:rsidR="006641D3" w:rsidRDefault="00000000">
    <w:pPr>
      <w:tabs>
        <w:tab w:val="left" w:pos="2145"/>
      </w:tabs>
      <w:rPr>
        <w:rFonts w:ascii="Times New Roman" w:eastAsia="Calibri" w:hAnsi="Times New Roman"/>
        <w:i/>
        <w:sz w:val="18"/>
        <w:szCs w:val="22"/>
      </w:rPr>
    </w:pPr>
    <w:r>
      <w:rPr>
        <w:rFonts w:ascii="Times New Roman" w:eastAsia="Calibri" w:hAnsi="Times New Roman"/>
        <w:i/>
        <w:sz w:val="18"/>
        <w:szCs w:val="22"/>
      </w:rPr>
      <w:tab/>
      <w:t>.</w:t>
    </w:r>
  </w:p>
  <w:p w14:paraId="65919DF4" w14:textId="77777777" w:rsidR="006641D3" w:rsidRDefault="00000000">
    <w:pPr>
      <w:pStyle w:val="Header"/>
    </w:pPr>
    <w:r>
      <w:t>..</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E269B9" w14:textId="2C2CA5BF" w:rsidR="00B724AE" w:rsidRDefault="00B724AE">
    <w:pPr>
      <w:pStyle w:val="Header"/>
    </w:pPr>
    <w:r>
      <w:rPr>
        <w:noProof/>
      </w:rPr>
      <w:pict w14:anchorId="281441C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13786879" o:spid="_x0000_s1031" type="#_x0000_t136" style="position:absolute;margin-left:0;margin-top:0;width:520.65pt;height:57.85pt;rotation:315;z-index:-251644928;mso-position-horizontal:center;mso-position-horizontal-relative:margin;mso-position-vertical:center;mso-position-vertical-relative:margin" o:allowincell="f" fillcolor="silver" stroked="f">
          <v:fill opacity=".5"/>
          <v:textpath style="font-family:&quot;Helvetica&quot;;font-size:1pt" string="UNDER PEER REVIEW"/>
        </v:shape>
      </w:pict>
    </w:r>
    <w:r>
      <w:rPr>
        <w:noProof/>
      </w:rPr>
      <w:pict w14:anchorId="6D7CDACA">
        <v:shape id="_x0000_s1030" type="#_x0000_t136" style="position:absolute;margin-left:0;margin-top:0;width:520.65pt;height:57.85pt;rotation:315;z-index:-251646976;mso-position-horizontal:center;mso-position-horizontal-relative:margin;mso-position-vertical:center;mso-position-vertical-relative:margin" o:allowincell="f" fillcolor="silver" stroked="f">
          <v:fill opacity=".5"/>
          <v:textpath style="font-family:&quot;Helvetica&quot;;font-size:1pt" string="UNDER PEER REVIEW"/>
        </v:shape>
      </w:pic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E7A9D8" w14:textId="5DEDF909" w:rsidR="00B724AE" w:rsidRDefault="00B724AE">
    <w:pPr>
      <w:pStyle w:val="Header"/>
    </w:pPr>
    <w:r>
      <w:rPr>
        <w:noProof/>
      </w:rPr>
      <w:pict w14:anchorId="21A54FA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13786880" o:spid="_x0000_s1033" type="#_x0000_t136" style="position:absolute;margin-left:0;margin-top:0;width:520.65pt;height:57.85pt;rotation:315;z-index:-251640832;mso-position-horizontal:center;mso-position-horizontal-relative:margin;mso-position-vertical:center;mso-position-vertical-relative:margin" o:allowincell="f" fillcolor="silver" stroked="f">
          <v:fill opacity=".5"/>
          <v:textpath style="font-family:&quot;Helvetica&quot;;font-size:1pt" string="UNDER PEER REVIEW"/>
        </v:shape>
      </w:pict>
    </w:r>
    <w:r>
      <w:rPr>
        <w:noProof/>
      </w:rPr>
      <w:pict w14:anchorId="67B88588">
        <v:shape id="_x0000_s1032" type="#_x0000_t136" style="position:absolute;margin-left:0;margin-top:0;width:520.65pt;height:57.85pt;rotation:315;z-index:-251642880;mso-position-horizontal:center;mso-position-horizontal-relative:margin;mso-position-vertical:center;mso-position-vertical-relative:margin" o:allowincell="f" fillcolor="silver" stroked="f">
          <v:fill opacity=".5"/>
          <v:textpath style="font-family:&quot;Helvetica&quot;;font-size:1pt" string="UNDER PEER REVIEW"/>
        </v:shape>
      </w:pic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20EB18" w14:textId="555E6898" w:rsidR="00B724AE" w:rsidRDefault="00B724AE">
    <w:pPr>
      <w:ind w:left="2160"/>
      <w:jc w:val="center"/>
      <w:rPr>
        <w:rFonts w:ascii="Times New Roman" w:eastAsia="Calibri" w:hAnsi="Times New Roman"/>
        <w:i/>
        <w:sz w:val="18"/>
        <w:szCs w:val="22"/>
      </w:rPr>
    </w:pPr>
    <w:r>
      <w:rPr>
        <w:noProof/>
      </w:rPr>
      <w:pict w14:anchorId="42EB3BB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13786878" o:spid="_x0000_s1029" type="#_x0000_t136" style="position:absolute;left:0;text-align:left;margin-left:0;margin-top:0;width:520.65pt;height:57.85pt;rotation:315;z-index:-251649024;mso-position-horizontal:center;mso-position-horizontal-relative:margin;mso-position-vertical:center;mso-position-vertical-relative:margin" o:allowincell="f" fillcolor="silver" stroked="f">
          <v:fill opacity=".5"/>
          <v:textpath style="font-family:&quot;Helvetica&quot;;font-size:1pt" string="UNDER PEER REVIEW"/>
        </v:shape>
      </w:pict>
    </w:r>
    <w:r>
      <w:rPr>
        <w:noProof/>
      </w:rPr>
      <w:pict w14:anchorId="22BC0BE4">
        <v:shape id="_x0000_s1028" type="#_x0000_t136" style="position:absolute;left:0;text-align:left;margin-left:0;margin-top:0;width:520.65pt;height:57.85pt;rotation:315;z-index:-251651072;mso-position-horizontal:center;mso-position-horizontal-relative:margin;mso-position-vertical:center;mso-position-vertical-relative:margin" o:allowincell="f" fillcolor="silver" stroked="f">
          <v:fill opacity=".5"/>
          <v:textpath style="font-family:&quot;Helvetica&quot;;font-size:1pt" string="UNDER PEER REVIEW"/>
        </v:shape>
      </w:pict>
    </w:r>
  </w:p>
  <w:p w14:paraId="40E7B336" w14:textId="77777777" w:rsidR="00B724AE" w:rsidRDefault="00B724AE">
    <w:pPr>
      <w:ind w:left="4320"/>
      <w:rPr>
        <w:rFonts w:ascii="Times New Roman" w:eastAsia="Calibri" w:hAnsi="Times New Roman"/>
        <w:i/>
        <w:sz w:val="18"/>
        <w:szCs w:val="22"/>
      </w:rPr>
    </w:pPr>
    <w:r>
      <w:rPr>
        <w:rFonts w:ascii="Times New Roman" w:eastAsia="Calibri" w:hAnsi="Times New Roman"/>
        <w:i/>
        <w:sz w:val="18"/>
        <w:szCs w:val="22"/>
      </w:rPr>
      <w:t xml:space="preserve">.     </w:t>
    </w:r>
  </w:p>
  <w:p w14:paraId="13D30100" w14:textId="77777777" w:rsidR="00B724AE" w:rsidRDefault="00B724AE">
    <w:pPr>
      <w:jc w:val="center"/>
      <w:rPr>
        <w:rFonts w:ascii="Times New Roman" w:eastAsia="Calibri" w:hAnsi="Times New Roman"/>
        <w:i/>
        <w:sz w:val="18"/>
        <w:szCs w:val="22"/>
      </w:rPr>
    </w:pPr>
    <w:r>
      <w:rPr>
        <w:rFonts w:ascii="Times New Roman" w:eastAsia="Calibri" w:hAnsi="Times New Roman"/>
        <w:i/>
        <w:sz w:val="18"/>
        <w:szCs w:val="22"/>
      </w:rPr>
      <w:t>.</w:t>
    </w:r>
  </w:p>
  <w:p w14:paraId="20DA236F" w14:textId="77777777" w:rsidR="00B724AE" w:rsidRDefault="00B724AE">
    <w:pPr>
      <w:spacing w:after="200"/>
      <w:jc w:val="center"/>
      <w:rPr>
        <w:rFonts w:ascii="Times New Roman" w:eastAsia="Calibri" w:hAnsi="Times New Roman"/>
        <w:b/>
        <w:i/>
        <w:sz w:val="32"/>
        <w:szCs w:val="22"/>
      </w:rPr>
    </w:pPr>
    <w:r>
      <w:rPr>
        <w:rFonts w:ascii="Times New Roman" w:eastAsia="Calibri" w:hAnsi="Times New Roman"/>
        <w:b/>
        <w:i/>
        <w:sz w:val="32"/>
        <w:szCs w:val="22"/>
      </w:rPr>
      <w:t xml:space="preserve">              . </w:t>
    </w:r>
  </w:p>
  <w:p w14:paraId="6B8E2945" w14:textId="77777777" w:rsidR="00B724AE" w:rsidRDefault="00B724AE">
    <w:pPr>
      <w:jc w:val="center"/>
      <w:rPr>
        <w:rFonts w:ascii="Times New Roman" w:eastAsia="Calibri" w:hAnsi="Times New Roman"/>
        <w:i/>
        <w:sz w:val="18"/>
        <w:szCs w:val="22"/>
      </w:rPr>
    </w:pPr>
    <w:r>
      <w:rPr>
        <w:rFonts w:ascii="Times New Roman" w:eastAsia="Calibri" w:hAnsi="Times New Roman"/>
        <w:i/>
        <w:sz w:val="18"/>
        <w:szCs w:val="22"/>
      </w:rPr>
      <w:t xml:space="preserve">                     </w:t>
    </w:r>
  </w:p>
  <w:p w14:paraId="47D23500" w14:textId="77777777" w:rsidR="00B724AE" w:rsidRDefault="00B724AE">
    <w:pPr>
      <w:tabs>
        <w:tab w:val="left" w:pos="2145"/>
      </w:tabs>
      <w:rPr>
        <w:rFonts w:ascii="Times New Roman" w:eastAsia="Calibri" w:hAnsi="Times New Roman"/>
        <w:i/>
        <w:sz w:val="18"/>
        <w:szCs w:val="22"/>
      </w:rPr>
    </w:pPr>
    <w:r>
      <w:rPr>
        <w:rFonts w:ascii="Times New Roman" w:eastAsia="Calibri" w:hAnsi="Times New Roman"/>
        <w:i/>
        <w:sz w:val="18"/>
        <w:szCs w:val="22"/>
      </w:rPr>
      <w:tab/>
      <w:t>.</w:t>
    </w:r>
  </w:p>
  <w:p w14:paraId="6648216E" w14:textId="77777777" w:rsidR="00B724AE" w:rsidRDefault="00B724AE">
    <w:pPr>
      <w:pStyle w:val="Header"/>
    </w:pPr>
    <w:r>
      <w: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1604DCD"/>
    <w:multiLevelType w:val="singleLevel"/>
    <w:tmpl w:val="71604DCD"/>
    <w:lvl w:ilvl="0">
      <w:start w:val="1"/>
      <w:numFmt w:val="decimal"/>
      <w:pStyle w:val="Reference"/>
      <w:lvlText w:val="%1."/>
      <w:lvlJc w:val="left"/>
      <w:pPr>
        <w:tabs>
          <w:tab w:val="left" w:pos="360"/>
        </w:tabs>
        <w:ind w:left="360" w:hanging="360"/>
      </w:pPr>
    </w:lvl>
  </w:abstractNum>
  <w:num w:numId="1" w16cid:durableId="110418309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3"/>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00"/>
  <w:noPunctuationKerning/>
  <w:characterSpacingControl w:val="doNotCompress"/>
  <w:hdrShapeDefaults>
    <o:shapedefaults v:ext="edit" spidmax="2050" fillcolor="white">
      <v:fill color="white"/>
    </o:shapedefaults>
    <o:shapelayout v:ext="edit">
      <o:idmap v:ext="edit" data="1"/>
    </o:shapelayout>
  </w:hdrShapeDefaults>
  <w:footnotePr>
    <w:footnote w:id="-1"/>
    <w:footnote w:id="0"/>
  </w:footnotePr>
  <w:endnotePr>
    <w:endnote w:id="-1"/>
    <w:endnote w:id="0"/>
  </w:endnotePr>
  <w:compat>
    <w:doNotExpandShiftReturn/>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A6219"/>
    <w:rsid w:val="00000F8F"/>
    <w:rsid w:val="00030174"/>
    <w:rsid w:val="0004579C"/>
    <w:rsid w:val="000A2817"/>
    <w:rsid w:val="000A47FA"/>
    <w:rsid w:val="000A65D3"/>
    <w:rsid w:val="000B1E33"/>
    <w:rsid w:val="000D689F"/>
    <w:rsid w:val="000E1119"/>
    <w:rsid w:val="000E7B7B"/>
    <w:rsid w:val="000E7D62"/>
    <w:rsid w:val="00103357"/>
    <w:rsid w:val="00123C9F"/>
    <w:rsid w:val="00126190"/>
    <w:rsid w:val="00130F17"/>
    <w:rsid w:val="001320BF"/>
    <w:rsid w:val="00163BC4"/>
    <w:rsid w:val="00191062"/>
    <w:rsid w:val="00192B72"/>
    <w:rsid w:val="001A29D8"/>
    <w:rsid w:val="001A5CAA"/>
    <w:rsid w:val="001B0427"/>
    <w:rsid w:val="001D3A51"/>
    <w:rsid w:val="001E10D2"/>
    <w:rsid w:val="001E25B4"/>
    <w:rsid w:val="001E44FE"/>
    <w:rsid w:val="00200595"/>
    <w:rsid w:val="00204835"/>
    <w:rsid w:val="00231920"/>
    <w:rsid w:val="0023195C"/>
    <w:rsid w:val="0024282C"/>
    <w:rsid w:val="002460DC"/>
    <w:rsid w:val="00250985"/>
    <w:rsid w:val="002556F6"/>
    <w:rsid w:val="00283105"/>
    <w:rsid w:val="00284C4C"/>
    <w:rsid w:val="00287E68"/>
    <w:rsid w:val="00296529"/>
    <w:rsid w:val="00297885"/>
    <w:rsid w:val="002B27FB"/>
    <w:rsid w:val="002B685A"/>
    <w:rsid w:val="002C57D2"/>
    <w:rsid w:val="002E0D56"/>
    <w:rsid w:val="002F794E"/>
    <w:rsid w:val="003026C0"/>
    <w:rsid w:val="00315186"/>
    <w:rsid w:val="0033343E"/>
    <w:rsid w:val="003512C2"/>
    <w:rsid w:val="003523B7"/>
    <w:rsid w:val="00371FB6"/>
    <w:rsid w:val="003755E0"/>
    <w:rsid w:val="003763C1"/>
    <w:rsid w:val="00376BBE"/>
    <w:rsid w:val="0039224F"/>
    <w:rsid w:val="003A43A4"/>
    <w:rsid w:val="003A7E18"/>
    <w:rsid w:val="003C4C86"/>
    <w:rsid w:val="003C6258"/>
    <w:rsid w:val="003E2904"/>
    <w:rsid w:val="00401927"/>
    <w:rsid w:val="0041027F"/>
    <w:rsid w:val="00412475"/>
    <w:rsid w:val="00423789"/>
    <w:rsid w:val="00440F43"/>
    <w:rsid w:val="00441B6F"/>
    <w:rsid w:val="00446221"/>
    <w:rsid w:val="00450E62"/>
    <w:rsid w:val="004525F3"/>
    <w:rsid w:val="004539DB"/>
    <w:rsid w:val="00471A80"/>
    <w:rsid w:val="004D305E"/>
    <w:rsid w:val="004D4277"/>
    <w:rsid w:val="00502516"/>
    <w:rsid w:val="00505F06"/>
    <w:rsid w:val="00506828"/>
    <w:rsid w:val="0053056E"/>
    <w:rsid w:val="00534BAA"/>
    <w:rsid w:val="00554FDA"/>
    <w:rsid w:val="005C784C"/>
    <w:rsid w:val="005D17F6"/>
    <w:rsid w:val="005E5539"/>
    <w:rsid w:val="00602BF5"/>
    <w:rsid w:val="00617FDD"/>
    <w:rsid w:val="00633614"/>
    <w:rsid w:val="00633F68"/>
    <w:rsid w:val="00636EB2"/>
    <w:rsid w:val="006375B8"/>
    <w:rsid w:val="006641D3"/>
    <w:rsid w:val="0066510A"/>
    <w:rsid w:val="00673F9F"/>
    <w:rsid w:val="00685AE4"/>
    <w:rsid w:val="00686953"/>
    <w:rsid w:val="00687DEA"/>
    <w:rsid w:val="00687E67"/>
    <w:rsid w:val="006967F7"/>
    <w:rsid w:val="006A250C"/>
    <w:rsid w:val="006B21D3"/>
    <w:rsid w:val="006B57D0"/>
    <w:rsid w:val="006D30FF"/>
    <w:rsid w:val="006D6940"/>
    <w:rsid w:val="006F11EC"/>
    <w:rsid w:val="0070082C"/>
    <w:rsid w:val="007369E6"/>
    <w:rsid w:val="00746E59"/>
    <w:rsid w:val="00754C9A"/>
    <w:rsid w:val="0075599A"/>
    <w:rsid w:val="00761D52"/>
    <w:rsid w:val="0077749E"/>
    <w:rsid w:val="00790ADA"/>
    <w:rsid w:val="007D2288"/>
    <w:rsid w:val="007E088F"/>
    <w:rsid w:val="007F7B32"/>
    <w:rsid w:val="00804BC2"/>
    <w:rsid w:val="0081431A"/>
    <w:rsid w:val="008237AB"/>
    <w:rsid w:val="0083216F"/>
    <w:rsid w:val="00846BFB"/>
    <w:rsid w:val="00860000"/>
    <w:rsid w:val="00863BD3"/>
    <w:rsid w:val="008641ED"/>
    <w:rsid w:val="00866D66"/>
    <w:rsid w:val="008671C6"/>
    <w:rsid w:val="00875803"/>
    <w:rsid w:val="008B459E"/>
    <w:rsid w:val="008E13AE"/>
    <w:rsid w:val="008E1506"/>
    <w:rsid w:val="008E710C"/>
    <w:rsid w:val="008F69D6"/>
    <w:rsid w:val="00902823"/>
    <w:rsid w:val="00915CA6"/>
    <w:rsid w:val="00927834"/>
    <w:rsid w:val="009500A6"/>
    <w:rsid w:val="00957C18"/>
    <w:rsid w:val="009659BA"/>
    <w:rsid w:val="00983040"/>
    <w:rsid w:val="009B3FB9"/>
    <w:rsid w:val="009C2465"/>
    <w:rsid w:val="009D35A0"/>
    <w:rsid w:val="009D7EB7"/>
    <w:rsid w:val="009E048A"/>
    <w:rsid w:val="009E08E9"/>
    <w:rsid w:val="009E3DB9"/>
    <w:rsid w:val="009E6E35"/>
    <w:rsid w:val="009F0EDA"/>
    <w:rsid w:val="00A03B96"/>
    <w:rsid w:val="00A05B19"/>
    <w:rsid w:val="00A1134E"/>
    <w:rsid w:val="00A24E7E"/>
    <w:rsid w:val="00A258C3"/>
    <w:rsid w:val="00A347C0"/>
    <w:rsid w:val="00A51431"/>
    <w:rsid w:val="00A539AD"/>
    <w:rsid w:val="00A94063"/>
    <w:rsid w:val="00AA6219"/>
    <w:rsid w:val="00AA74E0"/>
    <w:rsid w:val="00AB703F"/>
    <w:rsid w:val="00AC6BB8"/>
    <w:rsid w:val="00AE008F"/>
    <w:rsid w:val="00B01FCD"/>
    <w:rsid w:val="00B1776C"/>
    <w:rsid w:val="00B52583"/>
    <w:rsid w:val="00B52896"/>
    <w:rsid w:val="00B724AE"/>
    <w:rsid w:val="00B95236"/>
    <w:rsid w:val="00B96BD9"/>
    <w:rsid w:val="00BA1B01"/>
    <w:rsid w:val="00BA2641"/>
    <w:rsid w:val="00BB37AA"/>
    <w:rsid w:val="00BC53A0"/>
    <w:rsid w:val="00BE62AD"/>
    <w:rsid w:val="00BF121F"/>
    <w:rsid w:val="00BF1F80"/>
    <w:rsid w:val="00C166EF"/>
    <w:rsid w:val="00C17EB0"/>
    <w:rsid w:val="00C27F5F"/>
    <w:rsid w:val="00C30A0F"/>
    <w:rsid w:val="00C37E61"/>
    <w:rsid w:val="00C70F1B"/>
    <w:rsid w:val="00C71A47"/>
    <w:rsid w:val="00C7464C"/>
    <w:rsid w:val="00C85588"/>
    <w:rsid w:val="00C93CAA"/>
    <w:rsid w:val="00CD08D4"/>
    <w:rsid w:val="00CD6755"/>
    <w:rsid w:val="00CD6856"/>
    <w:rsid w:val="00CE0089"/>
    <w:rsid w:val="00CE793C"/>
    <w:rsid w:val="00CF193C"/>
    <w:rsid w:val="00D173F1"/>
    <w:rsid w:val="00D36784"/>
    <w:rsid w:val="00D74CB0"/>
    <w:rsid w:val="00D8295D"/>
    <w:rsid w:val="00DC2A65"/>
    <w:rsid w:val="00DE15F0"/>
    <w:rsid w:val="00DE5663"/>
    <w:rsid w:val="00DE78AA"/>
    <w:rsid w:val="00E053D0"/>
    <w:rsid w:val="00E15994"/>
    <w:rsid w:val="00E3114E"/>
    <w:rsid w:val="00E31A70"/>
    <w:rsid w:val="00E35B02"/>
    <w:rsid w:val="00E66496"/>
    <w:rsid w:val="00E66B35"/>
    <w:rsid w:val="00E66E10"/>
    <w:rsid w:val="00E769F6"/>
    <w:rsid w:val="00E8407C"/>
    <w:rsid w:val="00E84F3C"/>
    <w:rsid w:val="00EA012C"/>
    <w:rsid w:val="00EC6A55"/>
    <w:rsid w:val="00ED0288"/>
    <w:rsid w:val="00EE17F9"/>
    <w:rsid w:val="00EE52CB"/>
    <w:rsid w:val="00EF581D"/>
    <w:rsid w:val="00EF7FD8"/>
    <w:rsid w:val="00F06F59"/>
    <w:rsid w:val="00F17988"/>
    <w:rsid w:val="00F469F0"/>
    <w:rsid w:val="00F53273"/>
    <w:rsid w:val="00F755E4"/>
    <w:rsid w:val="00F777A9"/>
    <w:rsid w:val="00F77D02"/>
    <w:rsid w:val="00FB3A86"/>
    <w:rsid w:val="00FD36C8"/>
    <w:rsid w:val="0DCF1DDC"/>
    <w:rsid w:val="170F047A"/>
    <w:rsid w:val="3C457188"/>
    <w:rsid w:val="49CE136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color="white">
      <v:fill color="white"/>
    </o:shapedefaults>
    <o:shapelayout v:ext="edit">
      <o:idmap v:ext="edit" data="2"/>
    </o:shapelayout>
  </w:shapeDefaults>
  <w:decimalSymbol w:val="."/>
  <w:listSeparator w:val=","/>
  <w14:docId w14:val="05D96B66"/>
  <w15:docId w15:val="{8D2A8DA9-66F6-4CA2-9815-4AFA25ECD5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uiPriority="99" w:unhideWhenUsed="1" w:qFormat="1"/>
    <w:lsdException w:name="header" w:qFormat="1"/>
    <w:lsdException w:name="footer"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uiPriority="99" w:unhideWhenUsed="1" w:qFormat="1"/>
    <w:lsdException w:name="line number" w:qFormat="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qFormat="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qFormat="1"/>
    <w:lsdException w:name="Body Text 3" w:qFormat="1"/>
    <w:lsdException w:name="Body Text Indent 2" w:semiHidden="1" w:unhideWhenUsed="1"/>
    <w:lsdException w:name="Body Text Indent 3" w:semiHidden="1" w:unhideWhenUsed="1"/>
    <w:lsdException w:name="Block Text" w:semiHidden="1" w:unhideWhenUsed="1"/>
    <w:lsdException w:name="Hyperlink" w:qFormat="1"/>
    <w:lsdException w:name="FollowedHyperlink" w:qFormat="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qFormat="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Grid" w:uiPriority="59" w:qFormat="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Helvetica" w:eastAsia="Times New Roman" w:hAnsi="Helvetica"/>
      <w:lang w:val="en-US" w:eastAsia="en-US"/>
    </w:rPr>
  </w:style>
  <w:style w:type="paragraph" w:styleId="Heading1">
    <w:name w:val="heading 1"/>
    <w:basedOn w:val="Normal"/>
    <w:next w:val="Normal"/>
    <w:qFormat/>
    <w:pPr>
      <w:keepNext/>
      <w:spacing w:before="240" w:after="60"/>
      <w:outlineLvl w:val="0"/>
    </w:pPr>
    <w:rPr>
      <w:rFonts w:ascii="Arial" w:hAnsi="Arial"/>
      <w:b/>
      <w:kern w:val="28"/>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link w:val="CommentTextChar"/>
    <w:uiPriority w:val="99"/>
    <w:unhideWhenUsed/>
    <w:qFormat/>
    <w:rPr>
      <w:rFonts w:ascii="Times New Roman" w:hAnsi="Times New Roman"/>
      <w:lang w:val="nb-NO" w:eastAsia="nb-NO"/>
    </w:rPr>
  </w:style>
  <w:style w:type="paragraph" w:styleId="BodyText3">
    <w:name w:val="Body Text 3"/>
    <w:basedOn w:val="Normal"/>
    <w:link w:val="BodyText3Char"/>
    <w:qFormat/>
    <w:pPr>
      <w:spacing w:after="120"/>
    </w:pPr>
    <w:rPr>
      <w:sz w:val="16"/>
      <w:szCs w:val="16"/>
    </w:rPr>
  </w:style>
  <w:style w:type="paragraph" w:styleId="BalloonText">
    <w:name w:val="Balloon Text"/>
    <w:basedOn w:val="Normal"/>
    <w:link w:val="BalloonTextChar"/>
    <w:qFormat/>
    <w:rPr>
      <w:rFonts w:ascii="Tahoma" w:hAnsi="Tahoma" w:cs="Tahoma"/>
      <w:sz w:val="16"/>
      <w:szCs w:val="16"/>
    </w:rPr>
  </w:style>
  <w:style w:type="paragraph" w:styleId="Footer">
    <w:name w:val="footer"/>
    <w:basedOn w:val="Normal"/>
    <w:qFormat/>
    <w:pPr>
      <w:tabs>
        <w:tab w:val="center" w:pos="4320"/>
        <w:tab w:val="right" w:pos="8640"/>
      </w:tabs>
    </w:pPr>
  </w:style>
  <w:style w:type="paragraph" w:styleId="Header">
    <w:name w:val="header"/>
    <w:basedOn w:val="Normal"/>
    <w:qFormat/>
    <w:pPr>
      <w:tabs>
        <w:tab w:val="center" w:pos="4320"/>
        <w:tab w:val="right" w:pos="8640"/>
      </w:tabs>
    </w:pPr>
  </w:style>
  <w:style w:type="paragraph" w:styleId="Signature">
    <w:name w:val="Signature"/>
    <w:basedOn w:val="Normal"/>
    <w:qFormat/>
    <w:pPr>
      <w:ind w:left="4320"/>
    </w:pPr>
  </w:style>
  <w:style w:type="paragraph" w:styleId="BodyText2">
    <w:name w:val="Body Text 2"/>
    <w:basedOn w:val="Normal"/>
    <w:link w:val="BodyText2Char"/>
    <w:qFormat/>
    <w:pPr>
      <w:spacing w:after="120" w:line="480" w:lineRule="auto"/>
    </w:pPr>
  </w:style>
  <w:style w:type="paragraph" w:styleId="NormalWeb">
    <w:name w:val="Normal (Web)"/>
    <w:basedOn w:val="Normal"/>
    <w:semiHidden/>
    <w:unhideWhenUsed/>
    <w:qFormat/>
    <w:pPr>
      <w:spacing w:beforeAutospacing="1" w:afterAutospacing="1"/>
    </w:pPr>
    <w:rPr>
      <w:sz w:val="24"/>
      <w:lang w:eastAsia="zh-CN"/>
    </w:rPr>
  </w:style>
  <w:style w:type="paragraph" w:styleId="Title">
    <w:name w:val="Title"/>
    <w:basedOn w:val="Normal"/>
    <w:qFormat/>
    <w:pPr>
      <w:spacing w:after="360"/>
      <w:jc w:val="right"/>
    </w:pPr>
    <w:rPr>
      <w:b/>
      <w:kern w:val="28"/>
      <w:sz w:val="36"/>
    </w:rPr>
  </w:style>
  <w:style w:type="table" w:styleId="TableGrid">
    <w:name w:val="Table Grid"/>
    <w:basedOn w:val="TableNormal"/>
    <w:uiPriority w:val="59"/>
    <w:qFormat/>
    <w:rPr>
      <w:rFonts w:ascii="Calibri" w:eastAsia="Calibri"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FollowedHyperlink">
    <w:name w:val="FollowedHyperlink"/>
    <w:basedOn w:val="DefaultParagraphFont"/>
    <w:qFormat/>
    <w:rPr>
      <w:color w:val="800080"/>
      <w:u w:val="single"/>
    </w:rPr>
  </w:style>
  <w:style w:type="character" w:styleId="Emphasis">
    <w:name w:val="Emphasis"/>
    <w:basedOn w:val="DefaultParagraphFont"/>
    <w:uiPriority w:val="20"/>
    <w:qFormat/>
    <w:rPr>
      <w:i/>
      <w:iCs/>
    </w:rPr>
  </w:style>
  <w:style w:type="character" w:styleId="LineNumber">
    <w:name w:val="line number"/>
    <w:basedOn w:val="DefaultParagraphFont"/>
    <w:qFormat/>
  </w:style>
  <w:style w:type="character" w:styleId="Hyperlink">
    <w:name w:val="Hyperlink"/>
    <w:basedOn w:val="DefaultParagraphFont"/>
    <w:qFormat/>
    <w:rPr>
      <w:color w:val="FF0080"/>
      <w:u w:val="single"/>
    </w:rPr>
  </w:style>
  <w:style w:type="character" w:styleId="CommentReference">
    <w:name w:val="annotation reference"/>
    <w:basedOn w:val="DefaultParagraphFont"/>
    <w:uiPriority w:val="99"/>
    <w:unhideWhenUsed/>
    <w:qFormat/>
    <w:rPr>
      <w:sz w:val="16"/>
      <w:szCs w:val="16"/>
    </w:rPr>
  </w:style>
  <w:style w:type="paragraph" w:customStyle="1" w:styleId="Author">
    <w:name w:val="Author"/>
    <w:basedOn w:val="Normal"/>
    <w:qFormat/>
    <w:pPr>
      <w:spacing w:line="280" w:lineRule="exact"/>
      <w:jc w:val="right"/>
    </w:pPr>
    <w:rPr>
      <w:b/>
      <w:sz w:val="24"/>
    </w:rPr>
  </w:style>
  <w:style w:type="paragraph" w:customStyle="1" w:styleId="Affiliation">
    <w:name w:val="Affiliation"/>
    <w:basedOn w:val="Normal"/>
    <w:qFormat/>
    <w:pPr>
      <w:spacing w:after="240" w:line="240" w:lineRule="exact"/>
      <w:jc w:val="right"/>
    </w:pPr>
  </w:style>
  <w:style w:type="paragraph" w:customStyle="1" w:styleId="Body">
    <w:name w:val="Body"/>
    <w:basedOn w:val="Normal"/>
    <w:qFormat/>
    <w:pPr>
      <w:spacing w:after="240"/>
      <w:jc w:val="both"/>
    </w:pPr>
  </w:style>
  <w:style w:type="paragraph" w:customStyle="1" w:styleId="AbstHead">
    <w:name w:val="Abst Head"/>
    <w:basedOn w:val="MainHead"/>
    <w:qFormat/>
    <w:rPr>
      <w:sz w:val="22"/>
    </w:rPr>
  </w:style>
  <w:style w:type="paragraph" w:customStyle="1" w:styleId="MainHead">
    <w:name w:val="Main Head"/>
    <w:basedOn w:val="Normal"/>
    <w:qFormat/>
    <w:pPr>
      <w:keepNext/>
      <w:spacing w:after="240"/>
    </w:pPr>
    <w:rPr>
      <w:b/>
      <w:caps/>
    </w:rPr>
  </w:style>
  <w:style w:type="paragraph" w:customStyle="1" w:styleId="IntroHead">
    <w:name w:val="Intro Head"/>
    <w:basedOn w:val="MainHead"/>
    <w:qFormat/>
    <w:rPr>
      <w:sz w:val="22"/>
    </w:rPr>
  </w:style>
  <w:style w:type="paragraph" w:customStyle="1" w:styleId="PaperNumber">
    <w:name w:val="Paper Number"/>
    <w:basedOn w:val="Normal"/>
    <w:qFormat/>
    <w:pPr>
      <w:spacing w:after="280" w:line="280" w:lineRule="exact"/>
      <w:jc w:val="right"/>
    </w:pPr>
    <w:rPr>
      <w:b/>
      <w:sz w:val="28"/>
    </w:rPr>
  </w:style>
  <w:style w:type="paragraph" w:customStyle="1" w:styleId="ConcHead">
    <w:name w:val="Conc Head"/>
    <w:basedOn w:val="MainHead"/>
    <w:qFormat/>
    <w:rPr>
      <w:sz w:val="22"/>
    </w:rPr>
  </w:style>
  <w:style w:type="paragraph" w:customStyle="1" w:styleId="AcknHead">
    <w:name w:val="Ackn Head"/>
    <w:basedOn w:val="MainHead"/>
    <w:qFormat/>
    <w:rPr>
      <w:sz w:val="22"/>
    </w:rPr>
  </w:style>
  <w:style w:type="paragraph" w:customStyle="1" w:styleId="ReferHead">
    <w:name w:val="Refer Head"/>
    <w:basedOn w:val="MainHead"/>
    <w:qFormat/>
    <w:rPr>
      <w:sz w:val="22"/>
    </w:rPr>
  </w:style>
  <w:style w:type="paragraph" w:customStyle="1" w:styleId="AddSrcHead">
    <w:name w:val="AddSrc Head"/>
    <w:basedOn w:val="MainHead"/>
    <w:qFormat/>
    <w:rPr>
      <w:sz w:val="22"/>
    </w:rPr>
  </w:style>
  <w:style w:type="paragraph" w:customStyle="1" w:styleId="DefAcrHead">
    <w:name w:val="DefAcrHead"/>
    <w:basedOn w:val="MainHead"/>
    <w:qFormat/>
    <w:rPr>
      <w:sz w:val="22"/>
    </w:rPr>
  </w:style>
  <w:style w:type="paragraph" w:customStyle="1" w:styleId="Copyright">
    <w:name w:val="Copyright"/>
    <w:basedOn w:val="Normal"/>
    <w:qFormat/>
    <w:pPr>
      <w:spacing w:after="960" w:line="200" w:lineRule="exact"/>
    </w:pPr>
    <w:rPr>
      <w:sz w:val="16"/>
    </w:rPr>
  </w:style>
  <w:style w:type="paragraph" w:customStyle="1" w:styleId="Reference">
    <w:name w:val="Reference"/>
    <w:basedOn w:val="Body"/>
    <w:qFormat/>
    <w:pPr>
      <w:numPr>
        <w:numId w:val="1"/>
      </w:numPr>
      <w:spacing w:after="0" w:line="240" w:lineRule="exact"/>
    </w:pPr>
  </w:style>
  <w:style w:type="paragraph" w:customStyle="1" w:styleId="Head1">
    <w:name w:val="Head1"/>
    <w:basedOn w:val="MainHead"/>
    <w:qFormat/>
    <w:rPr>
      <w:sz w:val="22"/>
    </w:rPr>
  </w:style>
  <w:style w:type="paragraph" w:customStyle="1" w:styleId="ContactHead">
    <w:name w:val="Contact Head"/>
    <w:basedOn w:val="MainHead"/>
    <w:qFormat/>
    <w:rPr>
      <w:sz w:val="22"/>
    </w:rPr>
  </w:style>
  <w:style w:type="paragraph" w:customStyle="1" w:styleId="Head3">
    <w:name w:val="Head3"/>
    <w:basedOn w:val="Head2"/>
    <w:qFormat/>
    <w:rPr>
      <w:caps w:val="0"/>
      <w:u w:val="single"/>
    </w:rPr>
  </w:style>
  <w:style w:type="paragraph" w:customStyle="1" w:styleId="Head2">
    <w:name w:val="Head2"/>
    <w:basedOn w:val="Normal"/>
    <w:next w:val="Body"/>
    <w:qFormat/>
    <w:pPr>
      <w:keepNext/>
      <w:spacing w:after="240"/>
    </w:pPr>
    <w:rPr>
      <w:caps/>
    </w:rPr>
  </w:style>
  <w:style w:type="paragraph" w:customStyle="1" w:styleId="Head4">
    <w:name w:val="Head4"/>
    <w:basedOn w:val="Head3"/>
    <w:qFormat/>
    <w:rPr>
      <w:u w:val="none"/>
    </w:rPr>
  </w:style>
  <w:style w:type="paragraph" w:customStyle="1" w:styleId="UnordList">
    <w:name w:val="Unord List"/>
    <w:basedOn w:val="Body"/>
    <w:qFormat/>
    <w:pPr>
      <w:spacing w:after="0"/>
      <w:ind w:left="360" w:hanging="360"/>
    </w:pPr>
  </w:style>
  <w:style w:type="paragraph" w:customStyle="1" w:styleId="OrdList">
    <w:name w:val="Ord List"/>
    <w:basedOn w:val="UnordList"/>
    <w:qFormat/>
    <w:pPr>
      <w:jc w:val="left"/>
    </w:pPr>
  </w:style>
  <w:style w:type="paragraph" w:customStyle="1" w:styleId="Appendix">
    <w:name w:val="Appendix"/>
    <w:basedOn w:val="MainHead"/>
    <w:qFormat/>
    <w:rPr>
      <w:sz w:val="22"/>
    </w:rPr>
  </w:style>
  <w:style w:type="paragraph" w:customStyle="1" w:styleId="Term">
    <w:name w:val="Term"/>
    <w:basedOn w:val="Body"/>
    <w:qFormat/>
    <w:pPr>
      <w:spacing w:after="0"/>
    </w:pPr>
    <w:rPr>
      <w:b/>
    </w:rPr>
  </w:style>
  <w:style w:type="paragraph" w:customStyle="1" w:styleId="Definition">
    <w:name w:val="Definition"/>
    <w:basedOn w:val="Body"/>
    <w:qFormat/>
  </w:style>
  <w:style w:type="character" w:customStyle="1" w:styleId="Bold">
    <w:name w:val="Bold"/>
    <w:qFormat/>
    <w:rPr>
      <w:b/>
    </w:rPr>
  </w:style>
  <w:style w:type="character" w:customStyle="1" w:styleId="Italic">
    <w:name w:val="Italic"/>
    <w:qFormat/>
    <w:rPr>
      <w:i/>
    </w:rPr>
  </w:style>
  <w:style w:type="character" w:customStyle="1" w:styleId="Underline">
    <w:name w:val="Underline"/>
    <w:qFormat/>
    <w:rPr>
      <w:u w:val="single"/>
    </w:rPr>
  </w:style>
  <w:style w:type="paragraph" w:customStyle="1" w:styleId="Equation">
    <w:name w:val="Equation"/>
    <w:basedOn w:val="Body"/>
    <w:qFormat/>
  </w:style>
  <w:style w:type="paragraph" w:customStyle="1" w:styleId="Figure">
    <w:name w:val="Figure"/>
    <w:basedOn w:val="Copyright"/>
    <w:qFormat/>
    <w:pPr>
      <w:spacing w:after="240"/>
    </w:pPr>
    <w:rPr>
      <w:sz w:val="20"/>
    </w:rPr>
  </w:style>
  <w:style w:type="paragraph" w:customStyle="1" w:styleId="Head40">
    <w:name w:val="Head 4"/>
    <w:basedOn w:val="Head3"/>
    <w:qFormat/>
    <w:rPr>
      <w:u w:val="none"/>
    </w:rPr>
  </w:style>
  <w:style w:type="paragraph" w:customStyle="1" w:styleId="Paper">
    <w:name w:val="Paper"/>
    <w:basedOn w:val="Normal"/>
    <w:qFormat/>
    <w:pPr>
      <w:spacing w:after="360" w:line="440" w:lineRule="exact"/>
      <w:jc w:val="right"/>
    </w:pPr>
    <w:rPr>
      <w:b/>
      <w:sz w:val="36"/>
    </w:rPr>
  </w:style>
  <w:style w:type="character" w:customStyle="1" w:styleId="Subscript">
    <w:name w:val="Subscript"/>
    <w:qFormat/>
    <w:rPr>
      <w:vertAlign w:val="subscript"/>
    </w:rPr>
  </w:style>
  <w:style w:type="character" w:customStyle="1" w:styleId="Superscript">
    <w:name w:val="Superscript"/>
    <w:qFormat/>
    <w:rPr>
      <w:vertAlign w:val="superscript"/>
    </w:rPr>
  </w:style>
  <w:style w:type="character" w:customStyle="1" w:styleId="Symbol">
    <w:name w:val="Symbol"/>
    <w:qFormat/>
    <w:rPr>
      <w:rFonts w:ascii="Symbol" w:hAnsi="Symbol"/>
    </w:rPr>
  </w:style>
  <w:style w:type="paragraph" w:customStyle="1" w:styleId="SymbolP">
    <w:name w:val="Symbol P"/>
    <w:basedOn w:val="Body"/>
    <w:qFormat/>
    <w:pPr>
      <w:tabs>
        <w:tab w:val="left" w:pos="720"/>
        <w:tab w:val="left" w:pos="3780"/>
      </w:tabs>
      <w:spacing w:after="0"/>
    </w:pPr>
    <w:rPr>
      <w:sz w:val="24"/>
    </w:rPr>
  </w:style>
  <w:style w:type="character" w:customStyle="1" w:styleId="BoldItal">
    <w:name w:val="BoldItal"/>
    <w:basedOn w:val="DefaultParagraphFont"/>
    <w:qFormat/>
    <w:rPr>
      <w:b/>
      <w:i/>
    </w:rPr>
  </w:style>
  <w:style w:type="character" w:customStyle="1" w:styleId="SubItal">
    <w:name w:val="SubItal"/>
    <w:qFormat/>
    <w:rPr>
      <w:i/>
      <w:vertAlign w:val="subscript"/>
    </w:rPr>
  </w:style>
  <w:style w:type="character" w:customStyle="1" w:styleId="SuperItal">
    <w:name w:val="SuperItal"/>
    <w:qFormat/>
    <w:rPr>
      <w:i/>
      <w:vertAlign w:val="superscript"/>
    </w:rPr>
  </w:style>
  <w:style w:type="character" w:customStyle="1" w:styleId="SymItal">
    <w:name w:val="SymItal"/>
    <w:qFormat/>
    <w:rPr>
      <w:rFonts w:ascii="Symbol" w:hAnsi="Symbol"/>
      <w:i/>
    </w:rPr>
  </w:style>
  <w:style w:type="character" w:customStyle="1" w:styleId="BodyText2Char">
    <w:name w:val="Body Text 2 Char"/>
    <w:basedOn w:val="DefaultParagraphFont"/>
    <w:link w:val="BodyText2"/>
    <w:qFormat/>
    <w:rPr>
      <w:rFonts w:ascii="Helvetica" w:hAnsi="Helvetica"/>
    </w:rPr>
  </w:style>
  <w:style w:type="character" w:customStyle="1" w:styleId="CommentTextChar">
    <w:name w:val="Comment Text Char"/>
    <w:basedOn w:val="DefaultParagraphFont"/>
    <w:link w:val="CommentText"/>
    <w:uiPriority w:val="99"/>
    <w:qFormat/>
    <w:rPr>
      <w:lang w:val="nb-NO" w:eastAsia="nb-NO"/>
    </w:rPr>
  </w:style>
  <w:style w:type="character" w:customStyle="1" w:styleId="BalloonTextChar">
    <w:name w:val="Balloon Text Char"/>
    <w:basedOn w:val="DefaultParagraphFont"/>
    <w:link w:val="BalloonText"/>
    <w:qFormat/>
    <w:rPr>
      <w:rFonts w:ascii="Tahoma" w:hAnsi="Tahoma" w:cs="Tahoma"/>
      <w:sz w:val="16"/>
      <w:szCs w:val="16"/>
    </w:rPr>
  </w:style>
  <w:style w:type="character" w:customStyle="1" w:styleId="BodyText3Char">
    <w:name w:val="Body Text 3 Char"/>
    <w:basedOn w:val="DefaultParagraphFont"/>
    <w:link w:val="BodyText3"/>
    <w:qFormat/>
    <w:rPr>
      <w:rFonts w:ascii="Helvetica" w:hAnsi="Helvetica"/>
      <w:sz w:val="16"/>
      <w:szCs w:val="16"/>
    </w:rPr>
  </w:style>
  <w:style w:type="character" w:customStyle="1" w:styleId="UnresolvedMention1">
    <w:name w:val="Unresolved Mention1"/>
    <w:basedOn w:val="DefaultParagraphFont"/>
    <w:uiPriority w:val="99"/>
    <w:semiHidden/>
    <w:unhideWhenUsed/>
    <w:qFormat/>
    <w:rPr>
      <w:color w:val="605E5C"/>
      <w:shd w:val="clear" w:color="auto" w:fill="E1DFDD"/>
    </w:rPr>
  </w:style>
  <w:style w:type="character" w:styleId="UnresolvedMention">
    <w:name w:val="Unresolved Mention"/>
    <w:basedOn w:val="DefaultParagraphFont"/>
    <w:uiPriority w:val="99"/>
    <w:semiHidden/>
    <w:unhideWhenUsed/>
    <w:rsid w:val="008237A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hyperlink" Target="https://doi.org/10.1080/02607476.2025.2525826" TargetMode="External"/><Relationship Id="rId26" Type="http://schemas.openxmlformats.org/officeDocument/2006/relationships/hyperlink" Target="https://doi.org/10.1007/s10648-019-09465-5" TargetMode="External"/><Relationship Id="rId39" Type="http://schemas.openxmlformats.org/officeDocument/2006/relationships/theme" Target="theme/theme1.xml"/><Relationship Id="rId21" Type="http://schemas.openxmlformats.org/officeDocument/2006/relationships/hyperlink" Target="https://doi.org/10.1037/a0029185" TargetMode="External"/><Relationship Id="rId34" Type="http://schemas.openxmlformats.org/officeDocument/2006/relationships/header" Target="header4.xml"/><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hyperlink" Target="https://doi.org/10.1080/00220973.2020.1861422" TargetMode="External"/><Relationship Id="rId25" Type="http://schemas.openxmlformats.org/officeDocument/2006/relationships/hyperlink" Target="https://doi.org/10.1007/s11092-008-9068-5" TargetMode="External"/><Relationship Id="rId33" Type="http://schemas.openxmlformats.org/officeDocument/2006/relationships/hyperlink" Target="https://doi.org/10.1016/j.edurev.2021.100408" TargetMode="External"/><Relationship Id="rId38"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doi.org/10.3102/00346543076001001" TargetMode="External"/><Relationship Id="rId20" Type="http://schemas.openxmlformats.org/officeDocument/2006/relationships/hyperlink" Target="https://doi.org/10.1111/j.1473-4192.2009.00231.x" TargetMode="External"/><Relationship Id="rId29" Type="http://schemas.openxmlformats.org/officeDocument/2006/relationships/hyperlink" Target="https://doi.org/10.1080/0969595980050102"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24" Type="http://schemas.openxmlformats.org/officeDocument/2006/relationships/hyperlink" Target="https://doi.org/10.1111/j.1469-7610.1976.tb00381.x" TargetMode="External"/><Relationship Id="rId32" Type="http://schemas.openxmlformats.org/officeDocument/2006/relationships/hyperlink" Target="https://doi.org/10.3389/fpsyg.2017.00422" TargetMode="External"/><Relationship Id="rId37" Type="http://schemas.openxmlformats.org/officeDocument/2006/relationships/header" Target="header6.xml"/><Relationship Id="rId5" Type="http://schemas.openxmlformats.org/officeDocument/2006/relationships/settings" Target="settings.xml"/><Relationship Id="rId15" Type="http://schemas.openxmlformats.org/officeDocument/2006/relationships/hyperlink" Target="https://doi.org/10.1177/20965311241265123" TargetMode="External"/><Relationship Id="rId23" Type="http://schemas.openxmlformats.org/officeDocument/2006/relationships/hyperlink" Target="https://doi.org/10.1017/CBO9780511733109.009" TargetMode="External"/><Relationship Id="rId28" Type="http://schemas.openxmlformats.org/officeDocument/2006/relationships/hyperlink" Target="https://doi.org/10.51650/ezrvs.18.1-2.11" TargetMode="External"/><Relationship Id="rId36" Type="http://schemas.openxmlformats.org/officeDocument/2006/relationships/footer" Target="footer4.xml"/><Relationship Id="rId10" Type="http://schemas.openxmlformats.org/officeDocument/2006/relationships/header" Target="header2.xml"/><Relationship Id="rId19" Type="http://schemas.openxmlformats.org/officeDocument/2006/relationships/hyperlink" Target="https://doi.org/10.1007/BF00138871" TargetMode="External"/><Relationship Id="rId31" Type="http://schemas.openxmlformats.org/officeDocument/2006/relationships/hyperlink" Target="https://doi.org/10.1007/s10648-019-09510-3" TargetMode="Externa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yperlink" Target="https://doi.org/10.1075/ltyl.19007.luq" TargetMode="External"/><Relationship Id="rId27" Type="http://schemas.openxmlformats.org/officeDocument/2006/relationships/hyperlink" Target="https://doi.org/10.1075/ltyl.19005.ell" TargetMode="External"/><Relationship Id="rId30" Type="http://schemas.openxmlformats.org/officeDocument/2006/relationships/hyperlink" Target="https://doi.org/10.3102/003465430298487" TargetMode="External"/><Relationship Id="rId35" Type="http://schemas.openxmlformats.org/officeDocument/2006/relationships/header" Target="header5.xml"/><Relationship Id="rId8" Type="http://schemas.openxmlformats.org/officeDocument/2006/relationships/endnotes" Target="endnotes.xml"/><Relationship Id="rId3" Type="http://schemas.openxmlformats.org/officeDocument/2006/relationships/numbering" Target="numbering.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logan\Local%20Settings\Temporary%20Internet%20Files\OLK35\2007%20paper%20templat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AC6B4140-A4C2-4412-95D0-BDBE9DF0D2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2007 paper template</Template>
  <TotalTime>27</TotalTime>
  <Pages>14</Pages>
  <Words>5406</Words>
  <Characters>30816</Characters>
  <Application>Microsoft Office Word</Application>
  <DocSecurity>0</DocSecurity>
  <Lines>256</Lines>
  <Paragraphs>72</Paragraphs>
  <ScaleCrop>false</ScaleCrop>
  <Company>aaaa</Company>
  <LinksUpToDate>false</LinksUpToDate>
  <CharactersWithSpaces>36150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From Formal Novelty to Competency Advancement: The Design and Practice of Innovative Primary English Homework under China’s “Double Reduction” Policy</dc:title>
  <dc:creator>Minlu Tan</dc:creator>
  <cp:lastModifiedBy>SDI 1166</cp:lastModifiedBy>
  <cp:revision>33</cp:revision>
  <cp:lastPrinted>1999-07-06T11:00:00Z</cp:lastPrinted>
  <dcterms:created xsi:type="dcterms:W3CDTF">2014-10-25T14:34:00Z</dcterms:created>
  <dcterms:modified xsi:type="dcterms:W3CDTF">2026-10-08T10:00:00Z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eyJoZGlkIjoiOWVhNzc1N2E1NzZiZDkyNWQ3OTI1Y2QwOWVkZWM0YTIiLCJ1c2VySWQiOiIzNzc0NDQ5MTkifQ==</vt:lpwstr>
  </property>
  <property fmtid="{D5CDD505-2E9C-101B-9397-08002B2CF9AE}" pid="3" name="KSOProductBuildVer">
    <vt:lpwstr>2052-12.1.0.28043</vt:lpwstr>
  </property>
  <property fmtid="{D5CDD505-2E9C-101B-9397-08002B2CF9AE}" pid="4" name="ICV">
    <vt:lpwstr>13CC4BF20F1C42BE919178095CE36D95_13</vt:lpwstr>
  </property>
</Properties>
</file>