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C94FC" w14:textId="77777777" w:rsidR="00315015" w:rsidRPr="00315015" w:rsidRDefault="00315015" w:rsidP="00315015">
      <w:pPr>
        <w:pStyle w:val="Title"/>
        <w:jc w:val="center"/>
        <w:rPr>
          <w:bCs/>
          <w:i/>
          <w:iCs/>
          <w:u w:val="single"/>
          <w:lang w:val="en-US"/>
        </w:rPr>
      </w:pPr>
      <w:r w:rsidRPr="00315015">
        <w:rPr>
          <w:bCs/>
          <w:i/>
          <w:iCs/>
          <w:u w:val="single"/>
          <w:lang w:val="en-US"/>
        </w:rPr>
        <w:t>Review Article</w:t>
      </w:r>
    </w:p>
    <w:p w14:paraId="14C1B0C6" w14:textId="11488517" w:rsidR="006316A5" w:rsidRDefault="00000000">
      <w:pPr>
        <w:pStyle w:val="Title"/>
        <w:jc w:val="center"/>
      </w:pPr>
      <w:r>
        <w:t>Impacts of Water Hyacinth on Aquatic Ecosystems and Its Management</w:t>
      </w:r>
    </w:p>
    <w:p w14:paraId="65A754F3" w14:textId="77777777" w:rsidR="006316A5" w:rsidRDefault="00000000">
      <w:pPr>
        <w:pStyle w:val="Heading1"/>
      </w:pPr>
      <w:r>
        <w:t>Abstract</w:t>
      </w:r>
    </w:p>
    <w:p w14:paraId="5F72D0E2" w14:textId="77777777" w:rsidR="006316A5" w:rsidRDefault="00000000">
      <w:pPr>
        <w:jc w:val="both"/>
      </w:pPr>
      <w:r>
        <w:t>Water hyacinth is simultaneously an invasive ecosystem engineer, a symptom of catchment degradation and a potential source of recoverable biomass. These overlapping roles complicate assessments that equate plant presence with ecological damage or visible clearance with restoration. This critical narrative review examines the mechanisms, context dependence and management implications of water hyacinth invasion across freshwater lakes, reservoirs, wetlands and slow-flowing channels. Targeted scholarly searching and citation tracing identified research published through 31 July 2026, with evidence appraised according to study design, environmental comparability, outcome measurement and duration. The synthesis connects invasion ecology, water quality, biodiversity, human exposure, biological control and biomass processing rather than ranking interventions solely by short-term plant suppression. The most consistent evidence concerns shading, oxygen depletion under extensive persistent mats, obstruction of water-dependent activities and changes in habitat composition. Nutrient concentrations, fish assemblages, disease-transmission potential and greenhouse-gas fluxes show more conditional responses. Contradictory findings frequently reflect differences in hydrological exchange, reference habitat, plant rooting, decomposition and measurement scale. Physical removal can rapidly restore access and export nutrients, but recurrence remains likely where propagules and favourable growth conditions persist. Biological control can provide substantial suppression, including in nutrient-rich reservoirs, although agent establishment, seasonal population recovery and sustained delivery determine performance. Herbicides and microbial products require formulation-specific assessment and cannot be judged safe from plant mortality or basic water chemistry alone. Biomass utilisation offers complementary disposal and resource-recovery pathways, but laboratory yields do not establish commercial viability, contaminant safety or landscape-scale control. A defensible management strategy separates immediate hazard reduction, sustained suppression and ecological recovery, linking each objective to appropriate monitoring. Priorities include replicated long-term intervention studies, whole-system nutrient and greenhouse-gas accounting, independent economic evaluation and participatory assessment of who benefits from control. Durable management depends on matching interventions to ecological processes and institutional capacity rather than treating water hyacinth as either an unqualified menace or an inherently sustainable resource.</w:t>
      </w:r>
    </w:p>
    <w:p w14:paraId="52C44970" w14:textId="77777777" w:rsidR="006316A5" w:rsidRDefault="00000000">
      <w:pPr>
        <w:spacing w:after="220"/>
        <w:jc w:val="both"/>
      </w:pPr>
      <w:r>
        <w:rPr>
          <w:b/>
        </w:rPr>
        <w:t xml:space="preserve">Keywords: </w:t>
      </w:r>
      <w:r>
        <w:rPr>
          <w:i/>
        </w:rPr>
        <w:t>Pontederia crassipes</w:t>
      </w:r>
      <w:r>
        <w:t>; eutrophication; biological control; ecological restoration; biomass valorisation; freshwater biodiversity; adaptive management</w:t>
      </w:r>
    </w:p>
    <w:p w14:paraId="4F4237A3" w14:textId="77777777" w:rsidR="006316A5" w:rsidRDefault="00000000">
      <w:pPr>
        <w:pStyle w:val="Heading1"/>
      </w:pPr>
      <w:r>
        <w:lastRenderedPageBreak/>
        <w:t>1. Introduction</w:t>
      </w:r>
    </w:p>
    <w:p w14:paraId="3A5D3BE9" w14:textId="77777777" w:rsidR="006316A5" w:rsidRDefault="00000000">
      <w:pPr>
        <w:jc w:val="both"/>
      </w:pPr>
      <w:r>
        <w:t xml:space="preserve">Water hyacinth, </w:t>
      </w:r>
      <w:r>
        <w:rPr>
          <w:i/>
        </w:rPr>
        <w:t>Pontederia crassipes</w:t>
      </w:r>
      <w:r>
        <w:t xml:space="preserve"> Mart., is a floating freshwater macrophyte widely known under its synonym </w:t>
      </w:r>
      <w:r>
        <w:rPr>
          <w:i/>
        </w:rPr>
        <w:t>Eichhornia crassipes</w:t>
      </w:r>
      <w:r>
        <w:t xml:space="preserve"> (Mart.) Solms. The revised placement within </w:t>
      </w:r>
      <w:r>
        <w:rPr>
          <w:i/>
        </w:rPr>
        <w:t>Pontederia</w:t>
      </w:r>
      <w:r>
        <w:t xml:space="preserve"> reflects a phylogenetic reassessment of </w:t>
      </w:r>
      <w:proofErr w:type="spellStart"/>
      <w:r>
        <w:rPr>
          <w:i/>
        </w:rPr>
        <w:t>Pontederia</w:t>
      </w:r>
      <w:r>
        <w:t>ceae</w:t>
      </w:r>
      <w:proofErr w:type="spellEnd"/>
      <w:r>
        <w:t xml:space="preserve"> rather than the discovery of a different invasive species. Retaining both names in literature searches is therefore necessary to connect contemporary research with the substantial earlier literature. Its buoyant growth form, vegetative propagation and capacity to occupy the water surface make it an unusually conspicuous agent of environmental change, although conspicuousness alone is not an adequate measure of impact (Pellegrini et al., 2018; Wilson et al., 2005).</w:t>
      </w:r>
    </w:p>
    <w:p w14:paraId="25D02F5D" w14:textId="77777777" w:rsidR="006316A5" w:rsidRDefault="00000000">
      <w:pPr>
        <w:jc w:val="both"/>
      </w:pPr>
      <w:r>
        <w:t xml:space="preserve">The ecological problem is not simply that an alien plant grows rapidly. A surface mat intercepts light above other aquatic producers while placing extensive roots and associated organisms within the water column. The resulting habitat differs from both unvegetated water and native macrophyte communities. Dense infestations can interfere with fisheries, transport and water access, but effects depend on which habitat is displaced, how long cover persists and which people rely on the affected water body. The foundational synthesis by </w:t>
      </w:r>
      <w:proofErr w:type="spellStart"/>
      <w:r>
        <w:t>Villamagna</w:t>
      </w:r>
      <w:proofErr w:type="spellEnd"/>
      <w:r>
        <w:t xml:space="preserve"> and Murphy identified these ecological and socioeconomic dimensions together. Subsequent evidence has strengthened the case for separating broad invasion concerns from locally demonstrated effects (Abba &amp; </w:t>
      </w:r>
      <w:proofErr w:type="spellStart"/>
      <w:r>
        <w:t>Sankarannair</w:t>
      </w:r>
      <w:proofErr w:type="spellEnd"/>
      <w:r>
        <w:t xml:space="preserve">, 2024; </w:t>
      </w:r>
      <w:proofErr w:type="spellStart"/>
      <w:r>
        <w:t>Villamagna</w:t>
      </w:r>
      <w:proofErr w:type="spellEnd"/>
      <w:r>
        <w:t xml:space="preserve"> &amp; Murphy, 2010).</w:t>
      </w:r>
    </w:p>
    <w:p w14:paraId="3EB5D4D5" w14:textId="77777777" w:rsidR="006316A5" w:rsidRDefault="00000000">
      <w:pPr>
        <w:jc w:val="both"/>
      </w:pPr>
      <w:r>
        <w:t>Recent syntheses do not eliminate this need for discrimination. A species-specific meta-analysis found negative pooled effects on dissolved oxygen and nitrogen concentrations, but several other endpoints remained inconsistent. A wider meta-analysis of alien aquatic macrophytes likewise distinguished reductions in diversity from less consistent abundance responses. These results challenge the habit of treating every water-quality variable, every taxonomic group and every ecological service as responding in the same direction. They also caution against converting a mean effect across heterogeneous studies into a universal threshold for action (Jha &amp; Li, 2025; Tasker et al., 2022).</w:t>
      </w:r>
    </w:p>
    <w:p w14:paraId="60B2C53F" w14:textId="77777777" w:rsidR="006316A5" w:rsidRDefault="00000000">
      <w:pPr>
        <w:jc w:val="both"/>
      </w:pPr>
      <w:r>
        <w:t>Management creates another interpretive difficulty. An intervention may reduce floating cover while leaving decomposing material, nutrient inputs or dispersal routes largely unchanged. Conversely, an intervention that does not eradicate the plant may still protect a water intake, maintain fishing access or reduce recurrent obstruction. The large post-removal rebound documented at Lake Tana and sustained biological suppression reported from Hartbeespoort Dam illustrate different management trajectories rather than a simple contest between successful and unsuccessful technologies. Their implications depend on the objective, spatial scale and duration of evaluation (Chala et al., 2026; Coetzee et al., 2022).</w:t>
      </w:r>
    </w:p>
    <w:p w14:paraId="4545E1DF" w14:textId="77777777" w:rsidR="006316A5" w:rsidRDefault="00000000">
      <w:pPr>
        <w:jc w:val="both"/>
      </w:pPr>
      <w:r>
        <w:t xml:space="preserve">The literature increasingly discusses utilisation alongside physical, chemical and biological control. This broadening is useful because disposal is an integral part of harvesting, not a separate problem. Nevertheless, a conversion process that produces methane, an adsorbent or a soil amendment does not by itself demonstrate that an infestation can be economically controlled. Existing management and utilisation reviews map many candidate pathways, while recent bibliometric work identifies persistent gaps in comparable ecological measurements. A </w:t>
      </w:r>
      <w:r>
        <w:lastRenderedPageBreak/>
        <w:t>further review is justified when it explicitly links these bodies of evidence and tests the assumptions connecting technical performance to ecosystem recovery (Brito et al., 2026; Ilo et al., 2020; Saeed et al., 2026).</w:t>
      </w:r>
    </w:p>
    <w:p w14:paraId="24F6F5A4" w14:textId="77777777" w:rsidR="006316A5" w:rsidRDefault="00000000">
      <w:pPr>
        <w:pStyle w:val="Heading2"/>
      </w:pPr>
      <w:r>
        <w:t>1.1 Scope, Research Gap and Objectives</w:t>
      </w:r>
    </w:p>
    <w:p w14:paraId="313A4EF3" w14:textId="77777777" w:rsidR="006316A5" w:rsidRDefault="00000000">
      <w:pPr>
        <w:jc w:val="both"/>
      </w:pPr>
      <w:r>
        <w:t>This review addresses water hyacinth in freshwater lakes, reservoirs, wetlands and slow-flowing channels, including freshwater-dominated tidal settings. It considers physical and biogeochemical change, biodiversity, fisheries, human exposure and water-dependent livelihoods, followed by prevention, control, restoration and biomass utilisation. Evidence from contained treatment systems is considered only where it clarifies a mechanism or management trade-off; it is not treated as direct evidence of benefits from invasion in open waters. Marine systems, medicinal applications and exhaustive inventories of industrial products are outside the scope.</w:t>
      </w:r>
    </w:p>
    <w:p w14:paraId="24F386DD" w14:textId="77777777" w:rsidR="006316A5" w:rsidRDefault="00000000">
      <w:pPr>
        <w:jc w:val="both"/>
      </w:pPr>
      <w:r>
        <w:t>The central gap is the weak connection between measures of plant suppression and measures of ecosystem recovery. The objectives are to distinguish consistent impacts from context-dependent responses, identify why apparently conflicting studies disagree, evaluate the conditions under which management approaches are transferable, and develop an outcome-based framework for integrated management. The contribution is an analytical separation of immediate hazard reduction, sustained suppression and ecological recovery, with nutrient export, biomass fate and distributional consequences treated as explicit parts of the management decision.</w:t>
      </w:r>
    </w:p>
    <w:p w14:paraId="2D8983CF" w14:textId="77777777" w:rsidR="006316A5" w:rsidRDefault="00000000">
      <w:pPr>
        <w:pStyle w:val="Heading1"/>
      </w:pPr>
      <w:r>
        <w:t>2. Methods for Literature Selection</w:t>
      </w:r>
    </w:p>
    <w:p w14:paraId="0F926688" w14:textId="77777777" w:rsidR="006316A5" w:rsidRDefault="00000000">
      <w:pPr>
        <w:pStyle w:val="Heading2"/>
      </w:pPr>
      <w:r>
        <w:t>2.1 Review Design and Rationale</w:t>
      </w:r>
    </w:p>
    <w:p w14:paraId="7E742A12" w14:textId="77777777" w:rsidR="006316A5" w:rsidRDefault="00000000">
      <w:pPr>
        <w:jc w:val="both"/>
      </w:pPr>
      <w:r>
        <w:t>A critical narrative design was selected because the review question crosses ecological experiments, observational surveys, biological-control programmes, economic models and biomass-conversion studies. These designs do not share a defensible common effect measure. Combining them numerically would obscure rather than resolve differences in causal inference and system boundaries. The quality principles represented by the Scale for the Assessment of Narrative Review Articles informed the emphasis on a clear question, transparent searching, appropriate referencing and explicit scientific reasoning. No formal numerical appraisal score was assigned (</w:t>
      </w:r>
      <w:proofErr w:type="spellStart"/>
      <w:r>
        <w:t>Baethge</w:t>
      </w:r>
      <w:proofErr w:type="spellEnd"/>
      <w:r>
        <w:t xml:space="preserve"> et al., 2019).</w:t>
      </w:r>
    </w:p>
    <w:p w14:paraId="497EFD5C" w14:textId="77777777" w:rsidR="006316A5" w:rsidRDefault="00000000">
      <w:pPr>
        <w:pStyle w:val="Heading2"/>
      </w:pPr>
      <w:r>
        <w:t>2.2 Information Sources</w:t>
      </w:r>
    </w:p>
    <w:p w14:paraId="27CA7FF9" w14:textId="77777777" w:rsidR="006316A5" w:rsidRDefault="00000000">
      <w:pPr>
        <w:jc w:val="both"/>
      </w:pPr>
      <w:r>
        <w:t>Retrieval used live, search-engine-assisted scholarly searches, including targeted searches of PubMed, PubMed Central and the Directory of Open Access Journals, together with institutional research repositories and governmental research records. Reference lists in relevant reviews and original articles supplied additional candidates, which were followed to identifiable article records. Official article pages, indexed bibliographic records and accessible original texts were used to verify bibliographic details and the claims attributed to each source. This was targeted retrieval rather than an exhaustive export from any subscription database.</w:t>
      </w:r>
    </w:p>
    <w:p w14:paraId="1E9C4D39" w14:textId="77777777" w:rsidR="006316A5" w:rsidRDefault="00000000">
      <w:pPr>
        <w:pStyle w:val="Heading2"/>
      </w:pPr>
      <w:r>
        <w:lastRenderedPageBreak/>
        <w:t>2.3 Search Strategy and Search Period</w:t>
      </w:r>
    </w:p>
    <w:p w14:paraId="6D4B4E68" w14:textId="77777777" w:rsidR="006316A5" w:rsidRDefault="00000000">
      <w:pPr>
        <w:jc w:val="both"/>
      </w:pPr>
      <w:r>
        <w:t>The principal publication window was 1 January 2000 to 31 July 2026. The starting period captures contemporary intervention research and the transition towards integrated management while retaining established ecological work relevant to current practice. Searches and bibliographic verification were completed on 29 September 2026, with the publication cutoff applied during selection. Online-first records were assessed by their first publication date, while final volume and pagination were used when available.</w:t>
      </w:r>
    </w:p>
    <w:p w14:paraId="7D0BEFA7" w14:textId="77777777" w:rsidR="006316A5" w:rsidRDefault="00000000">
      <w:pPr>
        <w:jc w:val="both"/>
      </w:pPr>
      <w:r>
        <w:t>Search concepts combined the common and scientific names with impacts, mechanisms and interventions. Representative searches actually used included ("water hyacinth" OR "</w:t>
      </w:r>
      <w:r>
        <w:rPr>
          <w:i/>
        </w:rPr>
        <w:t>Eichhornia crassipes</w:t>
      </w:r>
      <w:r>
        <w:t>" OR "</w:t>
      </w:r>
      <w:r>
        <w:rPr>
          <w:i/>
        </w:rPr>
        <w:t>Pontederia crassipes</w:t>
      </w:r>
      <w:r>
        <w:t>") AND (ecosystem OR oxygen OR biodiversity), and ("water hyacinth" OR "</w:t>
      </w:r>
      <w:r>
        <w:rPr>
          <w:i/>
        </w:rPr>
        <w:t>Pontederia crassipes</w:t>
      </w:r>
      <w:r>
        <w:t>") AND (management OR "biological control" OR utilisation). Focused searches added nutrient, methane, fish, schistosome, turbidity, herbicide, remote sensing, biochar, anaerobic digestion, socioeconomic and climate terms. Exact-title and DOI searches verified candidate references. Searches for corrections and retractions supplemented inspection of available article records.</w:t>
      </w:r>
    </w:p>
    <w:p w14:paraId="4DF5CDE2" w14:textId="77777777" w:rsidR="006316A5" w:rsidRDefault="00000000">
      <w:pPr>
        <w:pStyle w:val="Heading2"/>
      </w:pPr>
      <w:r>
        <w:t>2.4 Eligibility Criteria</w:t>
      </w:r>
    </w:p>
    <w:p w14:paraId="69E82673" w14:textId="77777777" w:rsidR="006316A5" w:rsidRDefault="00000000">
      <w:pPr>
        <w:jc w:val="both"/>
      </w:pPr>
      <w:r>
        <w:t>Eligible sources were peer-reviewed journal articles with identifiable authorship and complete, verifiable bibliographic information. Priority was given to original field studies, controlled experiments, long-term management observations and rigorous syntheses directly relevant to water hyacinth. Broader aquatic-macrophyte or biological-control reviews were included only for clearly identified conceptual comparisons. Geographical eligibility was global. English-language publications were selected; a multilingual bibliographic search was not undertaken. Preprints, promotional accounts, patents, unverifiable references and studies outside the ecological or management scope were excluded.</w:t>
      </w:r>
    </w:p>
    <w:p w14:paraId="0A17F155" w14:textId="77777777" w:rsidR="006316A5" w:rsidRDefault="00000000">
      <w:pPr>
        <w:pStyle w:val="Heading2"/>
      </w:pPr>
      <w:r>
        <w:t>2.5 Screening, Duplicate Handling and Study Selection</w:t>
      </w:r>
    </w:p>
    <w:p w14:paraId="5391FE67" w14:textId="77777777" w:rsidR="006316A5" w:rsidRDefault="00000000">
      <w:pPr>
        <w:jc w:val="both"/>
      </w:pPr>
      <w:r>
        <w:t>Titles and abstracts were assessed for relevance before accessible full texts or detailed original article records were examined. DOI identity and normalised titles were used to distinguish duplicates, including repository copies and online-first versions of the same publication. Selection was iterative and purposive, seeking contrasting findings and informative designs rather than a census of every publication. No independent duplicate screening was undertaken. Where only an abstract was accessible, interpretation was restricted to the reported result and no detailed claim about unreported methods was made. No retrospective screening counts or systematic-review flow diagram were constructed.</w:t>
      </w:r>
    </w:p>
    <w:p w14:paraId="22D99BEC" w14:textId="77777777" w:rsidR="006316A5" w:rsidRDefault="00000000">
      <w:pPr>
        <w:pStyle w:val="Heading2"/>
      </w:pPr>
      <w:r>
        <w:t>2.6 Critical Appraisal and Evidence Synthesis</w:t>
      </w:r>
    </w:p>
    <w:p w14:paraId="113F72CC" w14:textId="77777777" w:rsidR="006316A5" w:rsidRDefault="00000000">
      <w:pPr>
        <w:jc w:val="both"/>
      </w:pPr>
      <w:r>
        <w:t xml:space="preserve">Appraisal considered the independence of sampling units, suitability of controls, exposure definition, temporal coverage, measurement validity and treatment of confounding. Intervention studies were examined for simultaneous environmental changes, follow-up duration and distinction between immediate suppression and recurrence. Biomass studies were assessed for </w:t>
      </w:r>
      <w:r>
        <w:lastRenderedPageBreak/>
        <w:t>feedstock characterisation, experimental scale, accounting boundaries and evidence supporting safety or economic claims. Economic and participatory studies were considered separately from experiments establishing ecological mechanisms.</w:t>
      </w:r>
    </w:p>
    <w:p w14:paraId="4A23A937" w14:textId="77777777" w:rsidR="006316A5" w:rsidRDefault="00000000">
      <w:pPr>
        <w:jc w:val="both"/>
      </w:pPr>
      <w:r>
        <w:t>The synthesis grouped evidence by process and decision problem. Apparent disagreement was examined against hydrology, nutrient status, reference habitat, plant density and biomass fate. Greater confidence was attached to convergent findings across independent designs than to repeated assertions in reviews. Quantitative examples were retained only where the outcome and denominator were clear. The qualitative confidence judgements in the tables are interpretive assessments, not formal risk-of-bias scores. Proposed management and research priorities are deductions from this synthesis rather than interventions validated by the review itself.</w:t>
      </w:r>
    </w:p>
    <w:p w14:paraId="551F8A28" w14:textId="77777777" w:rsidR="006316A5" w:rsidRDefault="00000000">
      <w:pPr>
        <w:pStyle w:val="Heading1"/>
      </w:pPr>
      <w:r>
        <w:t>3. Invasion Processes and the Conditions That Modify Impact</w:t>
      </w:r>
    </w:p>
    <w:p w14:paraId="3603FEF1" w14:textId="77777777" w:rsidR="006316A5" w:rsidRDefault="00000000">
      <w:pPr>
        <w:pStyle w:val="Heading2"/>
      </w:pPr>
      <w:r>
        <w:t>3.1 Growth, Dispersal and the Meaning of Infestation</w:t>
      </w:r>
    </w:p>
    <w:p w14:paraId="5258384B" w14:textId="77777777" w:rsidR="006316A5" w:rsidRDefault="00000000">
      <w:pPr>
        <w:jc w:val="both"/>
      </w:pPr>
      <w:r>
        <w:t>Water hyacinth population growth is responsive to both temperature and nutrient supply. Modelling by Wilson and colleagues integrated these determinants and compared predicted growth with observations from a natural infestation. This provides a more useful starting point than assuming a constant doubling time. The same plant may expand quickly during favourable conditions and stagnate when growth is constrained. A reported maximum growth rate should therefore not be used to estimate annual biomass production without accounting for seasonality, density dependence and losses (Wilson et al., 2005).</w:t>
      </w:r>
    </w:p>
    <w:p w14:paraId="1D747FCC" w14:textId="77777777" w:rsidR="006316A5" w:rsidRDefault="00000000">
      <w:pPr>
        <w:jc w:val="both"/>
      </w:pPr>
      <w:r>
        <w:t>An infestation also has a spatial organisation. Scattered plants, narrow marginal bands and a continuous floating mat are not equivalent exposures, even when their presence is recorded using the same binary indicator. For synthesis and management, cover should be interpreted alongside mat thickness, persistence, rooting and proximity to critical habitats or infrastructure. Recent work on global biomass and environmental correlations demonstrates how inconsistent reporting limits comparison across native and invaded ranges. The practical inference is that monitoring must describe the state of the vegetation, not simply whether the species was detected (Brito et al., 2026).</w:t>
      </w:r>
    </w:p>
    <w:p w14:paraId="195773D4" w14:textId="77777777" w:rsidR="006316A5" w:rsidRDefault="00000000">
      <w:pPr>
        <w:jc w:val="both"/>
      </w:pPr>
      <w:r>
        <w:t xml:space="preserve">Dispersal further complicates attribution. A mat observed at a shoreline may have grown there, drifted from another part of a lake or accumulated after wind and water-level changes. Therefore, rapid local expansion is not necessarily evidence of equally rapid local production. Similarly, apparent disappearance from a satellite image can reflect redistribution rather than mortality. The Lake Tana removal assessment and time-series mapping in the </w:t>
      </w:r>
      <w:proofErr w:type="spellStart"/>
      <w:r>
        <w:t>Anzali</w:t>
      </w:r>
      <w:proofErr w:type="spellEnd"/>
      <w:r>
        <w:t xml:space="preserve"> wetland show the value of repeated spatial observations, but neither makes planimetric area interchangeable with standing dry biomass or nutrient stocks (Chala et al., 2026; </w:t>
      </w:r>
      <w:proofErr w:type="spellStart"/>
      <w:r>
        <w:t>Pirbasti</w:t>
      </w:r>
      <w:proofErr w:type="spellEnd"/>
      <w:r>
        <w:t xml:space="preserve"> et al., 2024).</w:t>
      </w:r>
    </w:p>
    <w:p w14:paraId="4B0340C4" w14:textId="77777777" w:rsidR="006316A5" w:rsidRDefault="00000000">
      <w:pPr>
        <w:pStyle w:val="Heading2"/>
      </w:pPr>
      <w:r>
        <w:t>3.2 Eutrophication as Driver and Feedback</w:t>
      </w:r>
    </w:p>
    <w:p w14:paraId="56D8743F" w14:textId="77777777" w:rsidR="006316A5" w:rsidRDefault="00000000">
      <w:pPr>
        <w:jc w:val="both"/>
      </w:pPr>
      <w:r>
        <w:t xml:space="preserve">Nutrient enrichment favours the growth of water hyacinth, but the plant also redistributes nutrients among water, living tissues and decomposing material. These processes make the distinction between cause and consequence essential. Lake Tana observations associate </w:t>
      </w:r>
      <w:r>
        <w:lastRenderedPageBreak/>
        <w:t>deteriorating nutrient conditions with invaded nearshore environments, yet a spatial association cannot isolate the effects of the plant from tributary inputs or shoreline disturbance. Conversely, reduced dissolved nutrient concentrations beneath vegetation may reflect uptake without indicating that the entire water body has become less eutrophic (</w:t>
      </w:r>
      <w:proofErr w:type="spellStart"/>
      <w:r>
        <w:t>Dersseh</w:t>
      </w:r>
      <w:proofErr w:type="spellEnd"/>
      <w:r>
        <w:t xml:space="preserve"> et al., 2022; Jha &amp; Li, 2025).</w:t>
      </w:r>
    </w:p>
    <w:p w14:paraId="48F074F2" w14:textId="77777777" w:rsidR="006316A5" w:rsidRDefault="00000000">
      <w:pPr>
        <w:jc w:val="both"/>
      </w:pPr>
      <w:r>
        <w:t>The apparent paradox disappears when the relevant compartment is specified. Nutrients can leave the sampled water while remaining within the ecosystem as plant biomass. Removal of that biomass can create an export pathway; death in place can return some of the assimilated material. These are different outcomes, although both may initially reduce green cover. The observed nutrient increases following mechanical shredding provide direct support for treating biomass fate as part of the intervention rather than an operational detail added after control has occurred (Greenfield et al., 2007).</w:t>
      </w:r>
    </w:p>
    <w:p w14:paraId="4BC33C82" w14:textId="77777777" w:rsidR="006316A5" w:rsidRDefault="00000000">
      <w:pPr>
        <w:jc w:val="both"/>
      </w:pPr>
      <w:r>
        <w:t xml:space="preserve">Catchment nutrient reduction is consequently a defensible component of durable management, but not a reason to postpone all local action. Earlier evidence showed that excessive enrichment can favour plant growth relative to herbivore damage. More recent </w:t>
      </w:r>
      <w:proofErr w:type="spellStart"/>
      <w:r>
        <w:t>inundative</w:t>
      </w:r>
      <w:proofErr w:type="spellEnd"/>
      <w:r>
        <w:t xml:space="preserve"> biological-control outcomes demonstrate that appreciable suppression can nevertheless occur in highly enriched reservoirs. The synthesis supports a conditional interpretation: nutrient supply modifies the amount and continuity of control effort required, rather than acting as a universal switch that makes biological control either possible or impossible (Coetzee &amp; Hill, 2012; Coetzee et al., 2022).</w:t>
      </w:r>
    </w:p>
    <w:p w14:paraId="1BF523D7" w14:textId="77777777" w:rsidR="006316A5" w:rsidRDefault="00000000">
      <w:pPr>
        <w:pStyle w:val="Heading2"/>
      </w:pPr>
      <w:r>
        <w:t>3.3 Hydrology, Climate and Transferability</w:t>
      </w:r>
    </w:p>
    <w:p w14:paraId="266CB610" w14:textId="77777777" w:rsidR="006316A5" w:rsidRDefault="00000000">
      <w:pPr>
        <w:jc w:val="both"/>
      </w:pPr>
      <w:r>
        <w:t xml:space="preserve">Hydrological exchange helps explain why apparently similar treatments produce different oxygen responses. A stagnant embayment and a tidally exchanged channel differ in their capacity to import oxygenated water and redistribute decomposition products. Greenfield and colleagues observed opposite post-shredding oxygen responses at hydrologically contrasting sites. Tobias and colleagues also showed that an immediately upstream location could be an imperfect comparator </w:t>
      </w:r>
      <w:proofErr w:type="gramStart"/>
      <w:r>
        <w:t>where</w:t>
      </w:r>
      <w:proofErr w:type="gramEnd"/>
      <w:r>
        <w:t xml:space="preserve"> tidal movement connected treatment and reference areas. Study design must therefore follow water movement, not assume that geographical proximity guarantees comparability (Greenfield et al., 2007; Tobias et al., 2019).</w:t>
      </w:r>
    </w:p>
    <w:p w14:paraId="33915E2D" w14:textId="77777777" w:rsidR="006316A5" w:rsidRDefault="00000000">
      <w:pPr>
        <w:jc w:val="both"/>
      </w:pPr>
      <w:r>
        <w:t>Climatic suitability modelling identifies regions where water hyacinth could persist under specified temperature and moisture conditions. Such projections are useful for surveillance, but they do not establish where propagules will arrive, which water bodies will be nutrient-rich or whether control will prevent establishment. A shallow-lake competition model further indicates that temperature and limiting nutrients can alter the balance between floating and submerged vegetation. Its outcomes remain conditional on growth formulations and assumed responses of the competing plants, so they should generate hypotheses rather than be read as precise forecasts of replacement (Kriticos &amp; Brunel, 2016; Xu &amp; DeAngelis, 2024).</w:t>
      </w:r>
    </w:p>
    <w:p w14:paraId="6AD6C06F" w14:textId="77777777" w:rsidR="006316A5" w:rsidRDefault="00000000">
      <w:pPr>
        <w:jc w:val="both"/>
      </w:pPr>
      <w:r>
        <w:t xml:space="preserve">Temperature can also affect the plant and its enemies differently. A management programme may face a period in which plant growth resumes faster than an insect population recovers after </w:t>
      </w:r>
      <w:r>
        <w:lastRenderedPageBreak/>
        <w:t>winter. The general climate-mismatch literature identifies this as a reason why an agent successful in one region may be less effective elsewhere. Evidence of local establishment does not eliminate the need to examine seasonal synchrony, because an insect can persist while failing to reach damaging abundance at the required time (Harms et al., 2021; Miller et al., 2023).</w:t>
      </w:r>
    </w:p>
    <w:p w14:paraId="4BA1453B" w14:textId="77777777" w:rsidR="006316A5" w:rsidRDefault="00000000">
      <w:pPr>
        <w:jc w:val="both"/>
      </w:pPr>
      <w:r>
        <w:t>Table 1 organises these modifiers around the inference each permits and the inference it does not. Its main implication is that transferable management requires matching processes and monitoring scales, not simply selecting a technology previously used in another country.</w:t>
      </w:r>
    </w:p>
    <w:p w14:paraId="04E9B949" w14:textId="77777777" w:rsidR="006316A5" w:rsidRDefault="00000000">
      <w:pPr>
        <w:keepNext/>
        <w:spacing w:before="160" w:after="60"/>
      </w:pPr>
      <w:r>
        <w:rPr>
          <w:b/>
        </w:rPr>
        <w:t>Table 1</w:t>
      </w:r>
    </w:p>
    <w:p w14:paraId="1575D8A0" w14:textId="77777777" w:rsidR="006316A5" w:rsidRDefault="00000000">
      <w:pPr>
        <w:keepNext/>
        <w:spacing w:after="120"/>
      </w:pPr>
      <w:r>
        <w:rPr>
          <w:i/>
        </w:rPr>
        <w:t>Contextual modifiers of water-hyacinth impacts and management transferability</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1923CE8D"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50420F4" w14:textId="77777777" w:rsidR="006316A5" w:rsidRDefault="00000000">
            <w:pPr>
              <w:keepLines/>
              <w:spacing w:after="0" w:line="254" w:lineRule="auto"/>
            </w:pPr>
            <w:r>
              <w:rPr>
                <w:b/>
                <w:sz w:val="20"/>
              </w:rPr>
              <w:t>Modifier</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A711EA2" w14:textId="77777777" w:rsidR="006316A5" w:rsidRDefault="00000000">
            <w:pPr>
              <w:keepLines/>
              <w:spacing w:after="0" w:line="254" w:lineRule="auto"/>
            </w:pPr>
            <w:r>
              <w:rPr>
                <w:b/>
                <w:sz w:val="20"/>
              </w:rPr>
              <w:t>Interpretive implication</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10B11F92" w14:textId="77777777" w:rsidR="006316A5" w:rsidRDefault="00000000">
            <w:pPr>
              <w:keepLines/>
              <w:spacing w:after="0" w:line="254" w:lineRule="auto"/>
            </w:pPr>
            <w:r>
              <w:rPr>
                <w:b/>
                <w:sz w:val="20"/>
              </w:rPr>
              <w:t>Management consequence</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7614DB09" w14:textId="77777777" w:rsidR="006316A5" w:rsidRDefault="00000000">
            <w:pPr>
              <w:keepLines/>
              <w:spacing w:after="0" w:line="254" w:lineRule="auto"/>
            </w:pPr>
            <w:r>
              <w:rPr>
                <w:b/>
                <w:sz w:val="20"/>
              </w:rPr>
              <w:t>Supporting references</w:t>
            </w:r>
          </w:p>
        </w:tc>
      </w:tr>
      <w:tr w:rsidR="006316A5" w14:paraId="69FB72C3"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0DB7A874" w14:textId="77777777" w:rsidR="006316A5" w:rsidRDefault="00000000">
            <w:pPr>
              <w:keepLines/>
              <w:spacing w:after="0" w:line="254" w:lineRule="auto"/>
            </w:pPr>
            <w:r>
              <w:rPr>
                <w:sz w:val="20"/>
              </w:rPr>
              <w:t>Nutrient supply</w:t>
            </w:r>
          </w:p>
        </w:tc>
        <w:tc>
          <w:tcPr>
            <w:tcW w:w="2448" w:type="dxa"/>
            <w:tcBorders>
              <w:bottom w:val="single" w:sz="3" w:space="0" w:color="CCCCCC"/>
            </w:tcBorders>
            <w:tcMar>
              <w:top w:w="80" w:type="dxa"/>
              <w:left w:w="90" w:type="dxa"/>
              <w:bottom w:w="80" w:type="dxa"/>
              <w:right w:w="90" w:type="dxa"/>
            </w:tcMar>
            <w:vAlign w:val="center"/>
          </w:tcPr>
          <w:p w14:paraId="59C62A94" w14:textId="77777777" w:rsidR="006316A5" w:rsidRDefault="00000000">
            <w:pPr>
              <w:keepLines/>
              <w:spacing w:after="0" w:line="254" w:lineRule="auto"/>
            </w:pPr>
            <w:r>
              <w:rPr>
                <w:sz w:val="20"/>
              </w:rPr>
              <w:t>Plant uptake can lower a sampled nutrient fraction without reducing the whole-system nutrient stock.</w:t>
            </w:r>
          </w:p>
        </w:tc>
        <w:tc>
          <w:tcPr>
            <w:tcW w:w="3197" w:type="dxa"/>
            <w:tcBorders>
              <w:bottom w:val="single" w:sz="3" w:space="0" w:color="CCCCCC"/>
            </w:tcBorders>
            <w:tcMar>
              <w:top w:w="80" w:type="dxa"/>
              <w:left w:w="90" w:type="dxa"/>
              <w:bottom w:w="80" w:type="dxa"/>
              <w:right w:w="90" w:type="dxa"/>
            </w:tcMar>
            <w:vAlign w:val="center"/>
          </w:tcPr>
          <w:p w14:paraId="225C51B3" w14:textId="77777777" w:rsidR="006316A5" w:rsidRDefault="00000000">
            <w:pPr>
              <w:keepLines/>
              <w:spacing w:after="0" w:line="254" w:lineRule="auto"/>
            </w:pPr>
            <w:r>
              <w:rPr>
                <w:sz w:val="20"/>
              </w:rPr>
              <w:t>Pair concentration measurements with loads and biomass export; address external inputs.</w:t>
            </w:r>
          </w:p>
        </w:tc>
        <w:tc>
          <w:tcPr>
            <w:tcW w:w="2174" w:type="dxa"/>
            <w:tcBorders>
              <w:bottom w:val="single" w:sz="3" w:space="0" w:color="CCCCCC"/>
            </w:tcBorders>
            <w:tcMar>
              <w:top w:w="80" w:type="dxa"/>
              <w:left w:w="90" w:type="dxa"/>
              <w:bottom w:w="80" w:type="dxa"/>
              <w:right w:w="90" w:type="dxa"/>
            </w:tcMar>
            <w:vAlign w:val="center"/>
          </w:tcPr>
          <w:p w14:paraId="4AB70303" w14:textId="77777777" w:rsidR="006316A5" w:rsidRDefault="00000000">
            <w:pPr>
              <w:keepLines/>
              <w:spacing w:after="0" w:line="254" w:lineRule="auto"/>
            </w:pPr>
            <w:r>
              <w:rPr>
                <w:sz w:val="20"/>
              </w:rPr>
              <w:t>(</w:t>
            </w:r>
            <w:proofErr w:type="spellStart"/>
            <w:r>
              <w:rPr>
                <w:sz w:val="20"/>
              </w:rPr>
              <w:t>Dersseh</w:t>
            </w:r>
            <w:proofErr w:type="spellEnd"/>
            <w:r>
              <w:rPr>
                <w:sz w:val="20"/>
              </w:rPr>
              <w:t xml:space="preserve"> et al., 2022; Jha &amp; Li, 2025)</w:t>
            </w:r>
          </w:p>
        </w:tc>
      </w:tr>
      <w:tr w:rsidR="006316A5" w14:paraId="5F9C69B4"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E6E9986" w14:textId="77777777" w:rsidR="006316A5" w:rsidRDefault="00000000">
            <w:pPr>
              <w:keepLines/>
              <w:spacing w:after="0" w:line="254" w:lineRule="auto"/>
            </w:pPr>
            <w:r>
              <w:rPr>
                <w:sz w:val="20"/>
              </w:rPr>
              <w:t>Cover and persistence</w:t>
            </w:r>
          </w:p>
        </w:tc>
        <w:tc>
          <w:tcPr>
            <w:tcW w:w="2448" w:type="dxa"/>
            <w:tcBorders>
              <w:bottom w:val="single" w:sz="3" w:space="0" w:color="CCCCCC"/>
            </w:tcBorders>
            <w:tcMar>
              <w:top w:w="80" w:type="dxa"/>
              <w:left w:w="90" w:type="dxa"/>
              <w:bottom w:w="80" w:type="dxa"/>
              <w:right w:w="90" w:type="dxa"/>
            </w:tcMar>
            <w:vAlign w:val="center"/>
          </w:tcPr>
          <w:p w14:paraId="24049F18" w14:textId="77777777" w:rsidR="006316A5" w:rsidRDefault="00000000">
            <w:pPr>
              <w:keepLines/>
              <w:spacing w:after="0" w:line="254" w:lineRule="auto"/>
            </w:pPr>
            <w:r>
              <w:rPr>
                <w:sz w:val="20"/>
              </w:rPr>
              <w:t>Presence alone does not distinguish scattered plants from a continuous, persistent canopy.</w:t>
            </w:r>
          </w:p>
        </w:tc>
        <w:tc>
          <w:tcPr>
            <w:tcW w:w="3197" w:type="dxa"/>
            <w:tcBorders>
              <w:bottom w:val="single" w:sz="3" w:space="0" w:color="CCCCCC"/>
            </w:tcBorders>
            <w:tcMar>
              <w:top w:w="80" w:type="dxa"/>
              <w:left w:w="90" w:type="dxa"/>
              <w:bottom w:w="80" w:type="dxa"/>
              <w:right w:w="90" w:type="dxa"/>
            </w:tcMar>
            <w:vAlign w:val="center"/>
          </w:tcPr>
          <w:p w14:paraId="60582778" w14:textId="77777777" w:rsidR="006316A5" w:rsidRDefault="00000000">
            <w:pPr>
              <w:keepLines/>
              <w:spacing w:after="0" w:line="254" w:lineRule="auto"/>
            </w:pPr>
            <w:r>
              <w:rPr>
                <w:sz w:val="20"/>
              </w:rPr>
              <w:t>Record extent, duration, density and the location of critical habitats.</w:t>
            </w:r>
          </w:p>
        </w:tc>
        <w:tc>
          <w:tcPr>
            <w:tcW w:w="2174" w:type="dxa"/>
            <w:tcBorders>
              <w:bottom w:val="single" w:sz="3" w:space="0" w:color="CCCCCC"/>
            </w:tcBorders>
            <w:tcMar>
              <w:top w:w="80" w:type="dxa"/>
              <w:left w:w="90" w:type="dxa"/>
              <w:bottom w:w="80" w:type="dxa"/>
              <w:right w:w="90" w:type="dxa"/>
            </w:tcMar>
            <w:vAlign w:val="center"/>
          </w:tcPr>
          <w:p w14:paraId="30EF18F0" w14:textId="77777777" w:rsidR="006316A5" w:rsidRDefault="00000000">
            <w:pPr>
              <w:keepLines/>
              <w:spacing w:after="0" w:line="254" w:lineRule="auto"/>
            </w:pPr>
            <w:r>
              <w:rPr>
                <w:sz w:val="20"/>
              </w:rPr>
              <w:t>(Brito et al., 2026; Wilson et al., 2005)</w:t>
            </w:r>
          </w:p>
        </w:tc>
      </w:tr>
      <w:tr w:rsidR="006316A5" w14:paraId="08B0B599"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0E901947" w14:textId="77777777" w:rsidR="006316A5" w:rsidRDefault="00000000">
            <w:pPr>
              <w:keepLines/>
              <w:spacing w:after="0" w:line="254" w:lineRule="auto"/>
            </w:pPr>
            <w:r>
              <w:rPr>
                <w:sz w:val="20"/>
              </w:rPr>
              <w:t>Hydrological exchange</w:t>
            </w:r>
          </w:p>
        </w:tc>
        <w:tc>
          <w:tcPr>
            <w:tcW w:w="2448" w:type="dxa"/>
            <w:tcBorders>
              <w:bottom w:val="single" w:sz="3" w:space="0" w:color="CCCCCC"/>
            </w:tcBorders>
            <w:tcMar>
              <w:top w:w="80" w:type="dxa"/>
              <w:left w:w="90" w:type="dxa"/>
              <w:bottom w:w="80" w:type="dxa"/>
              <w:right w:w="90" w:type="dxa"/>
            </w:tcMar>
            <w:vAlign w:val="center"/>
          </w:tcPr>
          <w:p w14:paraId="49266813" w14:textId="77777777" w:rsidR="006316A5" w:rsidRDefault="00000000">
            <w:pPr>
              <w:keepLines/>
              <w:spacing w:after="0" w:line="254" w:lineRule="auto"/>
            </w:pPr>
            <w:r>
              <w:rPr>
                <w:sz w:val="20"/>
              </w:rPr>
              <w:t>Transport can alter oxygen response and contaminate nearby reference sites.</w:t>
            </w:r>
          </w:p>
        </w:tc>
        <w:tc>
          <w:tcPr>
            <w:tcW w:w="3197" w:type="dxa"/>
            <w:tcBorders>
              <w:bottom w:val="single" w:sz="3" w:space="0" w:color="CCCCCC"/>
            </w:tcBorders>
            <w:tcMar>
              <w:top w:w="80" w:type="dxa"/>
              <w:left w:w="90" w:type="dxa"/>
              <w:bottom w:w="80" w:type="dxa"/>
              <w:right w:w="90" w:type="dxa"/>
            </w:tcMar>
            <w:vAlign w:val="center"/>
          </w:tcPr>
          <w:p w14:paraId="61736BFB" w14:textId="77777777" w:rsidR="006316A5" w:rsidRDefault="00000000">
            <w:pPr>
              <w:keepLines/>
              <w:spacing w:after="0" w:line="254" w:lineRule="auto"/>
            </w:pPr>
            <w:r>
              <w:rPr>
                <w:sz w:val="20"/>
              </w:rPr>
              <w:t>Select controls using flow and tidal connectivity; monitor the receiving area.</w:t>
            </w:r>
          </w:p>
        </w:tc>
        <w:tc>
          <w:tcPr>
            <w:tcW w:w="2174" w:type="dxa"/>
            <w:tcBorders>
              <w:bottom w:val="single" w:sz="3" w:space="0" w:color="CCCCCC"/>
            </w:tcBorders>
            <w:tcMar>
              <w:top w:w="80" w:type="dxa"/>
              <w:left w:w="90" w:type="dxa"/>
              <w:bottom w:w="80" w:type="dxa"/>
              <w:right w:w="90" w:type="dxa"/>
            </w:tcMar>
            <w:vAlign w:val="center"/>
          </w:tcPr>
          <w:p w14:paraId="2402562D" w14:textId="77777777" w:rsidR="006316A5" w:rsidRDefault="00000000">
            <w:pPr>
              <w:keepLines/>
              <w:spacing w:after="0" w:line="254" w:lineRule="auto"/>
            </w:pPr>
            <w:r>
              <w:rPr>
                <w:sz w:val="20"/>
              </w:rPr>
              <w:t>(Greenfield et al., 2007; Tobias et al., 2019)</w:t>
            </w:r>
          </w:p>
        </w:tc>
      </w:tr>
      <w:tr w:rsidR="006316A5" w14:paraId="61C6A2EC"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E33595D" w14:textId="77777777" w:rsidR="006316A5" w:rsidRDefault="00000000">
            <w:pPr>
              <w:keepLines/>
              <w:spacing w:after="0" w:line="254" w:lineRule="auto"/>
            </w:pPr>
            <w:r>
              <w:rPr>
                <w:sz w:val="20"/>
              </w:rPr>
              <w:t>Depth and rooting</w:t>
            </w:r>
          </w:p>
        </w:tc>
        <w:tc>
          <w:tcPr>
            <w:tcW w:w="2448" w:type="dxa"/>
            <w:tcBorders>
              <w:bottom w:val="single" w:sz="3" w:space="0" w:color="CCCCCC"/>
            </w:tcBorders>
            <w:tcMar>
              <w:top w:w="80" w:type="dxa"/>
              <w:left w:w="90" w:type="dxa"/>
              <w:bottom w:w="80" w:type="dxa"/>
              <w:right w:w="90" w:type="dxa"/>
            </w:tcMar>
            <w:vAlign w:val="center"/>
          </w:tcPr>
          <w:p w14:paraId="12F83A20" w14:textId="77777777" w:rsidR="006316A5" w:rsidRDefault="00000000">
            <w:pPr>
              <w:keepLines/>
              <w:spacing w:after="0" w:line="254" w:lineRule="auto"/>
            </w:pPr>
            <w:r>
              <w:rPr>
                <w:sz w:val="20"/>
              </w:rPr>
              <w:t>Shallow sediment contact can change methane pathways relative to freely floating plants.</w:t>
            </w:r>
          </w:p>
        </w:tc>
        <w:tc>
          <w:tcPr>
            <w:tcW w:w="3197" w:type="dxa"/>
            <w:tcBorders>
              <w:bottom w:val="single" w:sz="3" w:space="0" w:color="CCCCCC"/>
            </w:tcBorders>
            <w:tcMar>
              <w:top w:w="80" w:type="dxa"/>
              <w:left w:w="90" w:type="dxa"/>
              <w:bottom w:w="80" w:type="dxa"/>
              <w:right w:w="90" w:type="dxa"/>
            </w:tcMar>
            <w:vAlign w:val="center"/>
          </w:tcPr>
          <w:p w14:paraId="57DAA27C" w14:textId="77777777" w:rsidR="006316A5" w:rsidRDefault="00000000">
            <w:pPr>
              <w:keepLines/>
              <w:spacing w:after="0" w:line="254" w:lineRule="auto"/>
            </w:pPr>
            <w:r>
              <w:rPr>
                <w:sz w:val="20"/>
              </w:rPr>
              <w:t>Stratify greenhouse-gas sampling by depth, rooting and emission pathway.</w:t>
            </w:r>
          </w:p>
        </w:tc>
        <w:tc>
          <w:tcPr>
            <w:tcW w:w="2174" w:type="dxa"/>
            <w:tcBorders>
              <w:bottom w:val="single" w:sz="3" w:space="0" w:color="CCCCCC"/>
            </w:tcBorders>
            <w:tcMar>
              <w:top w:w="80" w:type="dxa"/>
              <w:left w:w="90" w:type="dxa"/>
              <w:bottom w:w="80" w:type="dxa"/>
              <w:right w:w="90" w:type="dxa"/>
            </w:tcMar>
            <w:vAlign w:val="center"/>
          </w:tcPr>
          <w:p w14:paraId="7998461C" w14:textId="77777777" w:rsidR="006316A5" w:rsidRDefault="00000000">
            <w:pPr>
              <w:keepLines/>
              <w:spacing w:after="0" w:line="254" w:lineRule="auto"/>
            </w:pPr>
            <w:r>
              <w:rPr>
                <w:sz w:val="20"/>
              </w:rPr>
              <w:t>(</w:t>
            </w:r>
            <w:proofErr w:type="spellStart"/>
            <w:r>
              <w:rPr>
                <w:sz w:val="20"/>
              </w:rPr>
              <w:t>Attermeyer</w:t>
            </w:r>
            <w:proofErr w:type="spellEnd"/>
            <w:r>
              <w:rPr>
                <w:sz w:val="20"/>
              </w:rPr>
              <w:t xml:space="preserve"> et al., 2016; Oliveira Junior et al., 2021)</w:t>
            </w:r>
          </w:p>
        </w:tc>
      </w:tr>
      <w:tr w:rsidR="006316A5" w14:paraId="457D8803"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C65103A" w14:textId="77777777" w:rsidR="006316A5" w:rsidRDefault="00000000">
            <w:pPr>
              <w:keepLines/>
              <w:spacing w:after="0" w:line="254" w:lineRule="auto"/>
            </w:pPr>
            <w:r>
              <w:rPr>
                <w:sz w:val="20"/>
              </w:rPr>
              <w:t>Reference habitat</w:t>
            </w:r>
          </w:p>
        </w:tc>
        <w:tc>
          <w:tcPr>
            <w:tcW w:w="2448" w:type="dxa"/>
            <w:tcBorders>
              <w:bottom w:val="single" w:sz="3" w:space="0" w:color="CCCCCC"/>
            </w:tcBorders>
            <w:tcMar>
              <w:top w:w="80" w:type="dxa"/>
              <w:left w:w="90" w:type="dxa"/>
              <w:bottom w:w="80" w:type="dxa"/>
              <w:right w:w="90" w:type="dxa"/>
            </w:tcMar>
            <w:vAlign w:val="center"/>
          </w:tcPr>
          <w:p w14:paraId="6C2C4866" w14:textId="77777777" w:rsidR="006316A5" w:rsidRDefault="00000000">
            <w:pPr>
              <w:keepLines/>
              <w:spacing w:after="0" w:line="254" w:lineRule="auto"/>
            </w:pPr>
            <w:r>
              <w:rPr>
                <w:sz w:val="20"/>
              </w:rPr>
              <w:t>More organisms than in open water does not imply equivalence to native vegetation.</w:t>
            </w:r>
          </w:p>
        </w:tc>
        <w:tc>
          <w:tcPr>
            <w:tcW w:w="3197" w:type="dxa"/>
            <w:tcBorders>
              <w:bottom w:val="single" w:sz="3" w:space="0" w:color="CCCCCC"/>
            </w:tcBorders>
            <w:tcMar>
              <w:top w:w="80" w:type="dxa"/>
              <w:left w:w="90" w:type="dxa"/>
              <w:bottom w:w="80" w:type="dxa"/>
              <w:right w:w="90" w:type="dxa"/>
            </w:tcMar>
            <w:vAlign w:val="center"/>
          </w:tcPr>
          <w:p w14:paraId="79E26E42" w14:textId="77777777" w:rsidR="006316A5" w:rsidRDefault="00000000">
            <w:pPr>
              <w:keepLines/>
              <w:spacing w:after="0" w:line="254" w:lineRule="auto"/>
            </w:pPr>
            <w:r>
              <w:rPr>
                <w:sz w:val="20"/>
              </w:rPr>
              <w:t>Use native-habitat comparisons and distinguish composition, abundance and function.</w:t>
            </w:r>
          </w:p>
        </w:tc>
        <w:tc>
          <w:tcPr>
            <w:tcW w:w="2174" w:type="dxa"/>
            <w:tcBorders>
              <w:bottom w:val="single" w:sz="3" w:space="0" w:color="CCCCCC"/>
            </w:tcBorders>
            <w:tcMar>
              <w:top w:w="80" w:type="dxa"/>
              <w:left w:w="90" w:type="dxa"/>
              <w:bottom w:w="80" w:type="dxa"/>
              <w:right w:w="90" w:type="dxa"/>
            </w:tcMar>
            <w:vAlign w:val="center"/>
          </w:tcPr>
          <w:p w14:paraId="7EACC7E5" w14:textId="77777777" w:rsidR="006316A5" w:rsidRDefault="00000000">
            <w:pPr>
              <w:keepLines/>
              <w:spacing w:after="0" w:line="254" w:lineRule="auto"/>
            </w:pPr>
            <w:r>
              <w:rPr>
                <w:sz w:val="20"/>
              </w:rPr>
              <w:t>(Tasker et al., 2022; Toft et al., 2003)</w:t>
            </w:r>
          </w:p>
        </w:tc>
      </w:tr>
      <w:tr w:rsidR="006316A5" w14:paraId="59AC7F1B"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7BD7C39D" w14:textId="77777777" w:rsidR="006316A5" w:rsidRDefault="00000000">
            <w:pPr>
              <w:keepLines/>
              <w:spacing w:after="0" w:line="254" w:lineRule="auto"/>
            </w:pPr>
            <w:r>
              <w:rPr>
                <w:sz w:val="20"/>
              </w:rPr>
              <w:t>Agent-environment match</w:t>
            </w:r>
          </w:p>
        </w:tc>
        <w:tc>
          <w:tcPr>
            <w:tcW w:w="2448" w:type="dxa"/>
            <w:tcBorders>
              <w:bottom w:val="single" w:sz="8" w:space="0" w:color="555555"/>
            </w:tcBorders>
            <w:tcMar>
              <w:top w:w="80" w:type="dxa"/>
              <w:left w:w="90" w:type="dxa"/>
              <w:bottom w:w="80" w:type="dxa"/>
              <w:right w:w="90" w:type="dxa"/>
            </w:tcMar>
            <w:vAlign w:val="center"/>
          </w:tcPr>
          <w:p w14:paraId="1F7846CA" w14:textId="77777777" w:rsidR="006316A5" w:rsidRDefault="00000000">
            <w:pPr>
              <w:keepLines/>
              <w:spacing w:after="0" w:line="254" w:lineRule="auto"/>
            </w:pPr>
            <w:r>
              <w:rPr>
                <w:sz w:val="20"/>
              </w:rPr>
              <w:t>An agent may establish without producing timely, sustained suppression.</w:t>
            </w:r>
          </w:p>
        </w:tc>
        <w:tc>
          <w:tcPr>
            <w:tcW w:w="3197" w:type="dxa"/>
            <w:tcBorders>
              <w:bottom w:val="single" w:sz="8" w:space="0" w:color="555555"/>
            </w:tcBorders>
            <w:tcMar>
              <w:top w:w="80" w:type="dxa"/>
              <w:left w:w="90" w:type="dxa"/>
              <w:bottom w:w="80" w:type="dxa"/>
              <w:right w:w="90" w:type="dxa"/>
            </w:tcMar>
            <w:vAlign w:val="center"/>
          </w:tcPr>
          <w:p w14:paraId="64406475" w14:textId="77777777" w:rsidR="006316A5" w:rsidRDefault="00000000">
            <w:pPr>
              <w:keepLines/>
              <w:spacing w:after="0" w:line="254" w:lineRule="auto"/>
            </w:pPr>
            <w:r>
              <w:rPr>
                <w:sz w:val="20"/>
              </w:rPr>
              <w:t>Monitor seasonal density, temperature and turbidity alongside plant response.</w:t>
            </w:r>
          </w:p>
        </w:tc>
        <w:tc>
          <w:tcPr>
            <w:tcW w:w="2174" w:type="dxa"/>
            <w:tcBorders>
              <w:bottom w:val="single" w:sz="8" w:space="0" w:color="555555"/>
            </w:tcBorders>
            <w:tcMar>
              <w:top w:w="80" w:type="dxa"/>
              <w:left w:w="90" w:type="dxa"/>
              <w:bottom w:w="80" w:type="dxa"/>
              <w:right w:w="90" w:type="dxa"/>
            </w:tcMar>
            <w:vAlign w:val="center"/>
          </w:tcPr>
          <w:p w14:paraId="155ADBBC" w14:textId="77777777" w:rsidR="006316A5" w:rsidRDefault="00000000">
            <w:pPr>
              <w:keepLines/>
              <w:spacing w:after="0" w:line="254" w:lineRule="auto"/>
            </w:pPr>
            <w:r>
              <w:rPr>
                <w:sz w:val="20"/>
              </w:rPr>
              <w:t xml:space="preserve">(Harms et al., 2021; </w:t>
            </w:r>
            <w:proofErr w:type="spellStart"/>
            <w:r>
              <w:rPr>
                <w:sz w:val="20"/>
              </w:rPr>
              <w:t>Mukarugwiro</w:t>
            </w:r>
            <w:proofErr w:type="spellEnd"/>
            <w:r>
              <w:rPr>
                <w:sz w:val="20"/>
              </w:rPr>
              <w:t xml:space="preserve"> et al., 2023)</w:t>
            </w:r>
          </w:p>
        </w:tc>
      </w:tr>
    </w:tbl>
    <w:p w14:paraId="49951769" w14:textId="77777777" w:rsidR="006316A5" w:rsidRDefault="00000000">
      <w:pPr>
        <w:spacing w:before="100" w:after="180" w:line="252" w:lineRule="auto"/>
      </w:pPr>
      <w:r>
        <w:rPr>
          <w:i/>
          <w:sz w:val="20"/>
        </w:rPr>
        <w:t xml:space="preserve">Note. </w:t>
      </w:r>
      <w:r>
        <w:rPr>
          <w:sz w:val="20"/>
        </w:rPr>
        <w:t>The table presents a selective analytical synthesis. Management consequences are deductions from the cited evidence, not universally validated thresholds.</w:t>
      </w:r>
    </w:p>
    <w:p w14:paraId="77AFE07F" w14:textId="77777777" w:rsidR="006316A5" w:rsidRDefault="00000000">
      <w:pPr>
        <w:pStyle w:val="Heading1"/>
      </w:pPr>
      <w:r>
        <w:t>4. Physicochemical Change and Biogeochemical Trade-Offs</w:t>
      </w:r>
    </w:p>
    <w:p w14:paraId="314461AC" w14:textId="77777777" w:rsidR="006316A5" w:rsidRDefault="00000000">
      <w:pPr>
        <w:pStyle w:val="Heading2"/>
      </w:pPr>
      <w:r>
        <w:t>4.1 Light, Oxygen and Water Quality</w:t>
      </w:r>
    </w:p>
    <w:p w14:paraId="2763CEF0" w14:textId="77777777" w:rsidR="006316A5" w:rsidRDefault="00000000">
      <w:pPr>
        <w:jc w:val="both"/>
      </w:pPr>
      <w:r>
        <w:t xml:space="preserve">The strongest general evidence concerns the reduction of oxygen under substantial water-hyacinth cover. Jha and Li synthesised 25 original studies and reported a standardised mean difference of -2.26 for dissolved oxygen, with a 95% confidence interval from -3.94 to -0.56. This is a dimensionless comparison, not a decline of 2.26 mg/L. Its magnitude indicates a </w:t>
      </w:r>
      <w:r>
        <w:lastRenderedPageBreak/>
        <w:t>substantial pooled contrast, but the underlying conditions and baseline concentrations determine whether an individual site approaches a biologically hazardous state (Jha &amp; Li, 2025).</w:t>
      </w:r>
    </w:p>
    <w:p w14:paraId="3B06A3A8" w14:textId="77777777" w:rsidR="006316A5" w:rsidRDefault="00000000">
      <w:pPr>
        <w:jc w:val="both"/>
      </w:pPr>
      <w:r>
        <w:t xml:space="preserve">The mechanistic interpretation combines reduced light for submerged producers with respiration and decomposition within and beneath the mat. It would nevertheless be incorrect to infer that every covered site is continuously anoxic. Patch edges, open channels and fluctuating cover can create a heterogeneous oxygen environment. Older ecological syntheses support the importance of shading and oxygen limitation, while recent local experiments demonstrate that site-scale responses can be weaker or more variable where the surrounding lake is already strongly degraded (Corman et al., 2023; </w:t>
      </w:r>
      <w:proofErr w:type="spellStart"/>
      <w:r>
        <w:t>Villamagna</w:t>
      </w:r>
      <w:proofErr w:type="spellEnd"/>
      <w:r>
        <w:t xml:space="preserve"> &amp; Murphy, 2010).</w:t>
      </w:r>
    </w:p>
    <w:p w14:paraId="08C12F0A" w14:textId="77777777" w:rsidR="006316A5" w:rsidRDefault="00000000">
      <w:pPr>
        <w:jc w:val="both"/>
      </w:pPr>
      <w:r>
        <w:t>For management, the relevant question is often not whether mean oxygen changes but whether organisms experience longer or more frequent low-oxygen episodes. A daytime surface sample can miss the part of the exposure most relevant to fish survival or benthic processes. This review therefore proposes measuring diel minima, vertical profiles and the duration of low-oxygen events alongside cover. These measurements would distinguish a short-lived local improvement from sustained habitat recovery without imposing a single oxygen criterion across species with different tolerances. The proposal follows from the scale dependence demonstrated in field studies rather than from a validated universal monitoring threshold (Corman et al., 2023; Tobias et al., 2019).</w:t>
      </w:r>
    </w:p>
    <w:p w14:paraId="76363F49" w14:textId="77777777" w:rsidR="006316A5" w:rsidRDefault="00000000">
      <w:pPr>
        <w:jc w:val="both"/>
      </w:pPr>
      <w:r>
        <w:t>Water clarity should also be interpreted carefully. A reduction in suspended particles beneath roots is not synonymous with greater light availability to the benthos when an opaque canopy remains overhead. Likewise, disappearance of the canopy can increase incident light without correcting background turbidity. Management evaluations that select only favourable water-quality indicators risk overlooking this distinction. A useful assessment pairs canopy cover with underwater light and the performance of the intended native community, rather than assuming that a change in one optical measurement represents restoration (Toft et al., 2003; Xu &amp; DeAngelis, 2024).</w:t>
      </w:r>
    </w:p>
    <w:p w14:paraId="1A26DD9D" w14:textId="77777777" w:rsidR="006316A5" w:rsidRDefault="00000000">
      <w:pPr>
        <w:pStyle w:val="Heading2"/>
      </w:pPr>
      <w:r>
        <w:t>4.2 Nutrient Retention, Release and the Limits of Phytoremediation</w:t>
      </w:r>
    </w:p>
    <w:p w14:paraId="6010A0E2" w14:textId="77777777" w:rsidR="006316A5" w:rsidRDefault="00000000">
      <w:pPr>
        <w:jc w:val="both"/>
      </w:pPr>
      <w:r>
        <w:t>The nutrient result in the species-specific meta-analysis was also negative: the pooled standardised mean difference for nitrogen was -1.70, with a 95% confidence interval from -3.19 to -0.20. This supports nutrient uptake or redistribution as an important process, but not a universal improvement in ecological condition. The same synthesis found no consistent response for several other endpoints. A mat can therefore reduce a measured nutrient fraction while worsening oxygen conditions, making single-variable descriptions such as water purification inadequate (Jha &amp; Li, 2025).</w:t>
      </w:r>
    </w:p>
    <w:p w14:paraId="78F8D790" w14:textId="77777777" w:rsidR="006316A5" w:rsidRDefault="00000000">
      <w:pPr>
        <w:jc w:val="both"/>
      </w:pPr>
      <w:r>
        <w:t xml:space="preserve">The three in situ experiments reported by Corman and colleagues in a hypereutrophic part of Lake Victoria did not demonstrate an overriding water-quality benefit from increasing water-hyacinth density. Removal reduced coliforms and </w:t>
      </w:r>
      <w:r>
        <w:rPr>
          <w:i/>
        </w:rPr>
        <w:t>Escherichia coli</w:t>
      </w:r>
      <w:r>
        <w:t xml:space="preserve">, whereas the reported microcystin response was weaker and did not meet the conventional 0.05 significance threshold. This distinction matters because combining these outcomes under a general claim of toxin </w:t>
      </w:r>
      <w:r>
        <w:lastRenderedPageBreak/>
        <w:t>removal would overstate the findings. The experiments show that intervention responses depend on background conditions and the specific endpoint being measured (Corman et al., 2023).</w:t>
      </w:r>
    </w:p>
    <w:p w14:paraId="7D72AADE" w14:textId="77777777" w:rsidR="006316A5" w:rsidRDefault="00000000">
      <w:pPr>
        <w:jc w:val="both"/>
      </w:pPr>
      <w:r>
        <w:t>A treatment-system claim should specify whether a pollutant is transformed, immobilised, taken into tissue or merely transferred to another compartment. For nitrogen, gaseous loss and biomass export have different implications from short-term assimilation. For phosphorus and metals, disappearance from the water requires an accounting of the retained material. The review's inference is that credible phytoremediation assessment needs inflow and outflow loads, water balance, harvested biomass and residual contamination, not just paired initial and final concentrations. The contrast between water-quality observations and post-shredding nutrient release makes this accounting especially relevant to open-water management (</w:t>
      </w:r>
      <w:proofErr w:type="spellStart"/>
      <w:r>
        <w:t>Dersseh</w:t>
      </w:r>
      <w:proofErr w:type="spellEnd"/>
      <w:r>
        <w:t xml:space="preserve"> et al., 2022; Greenfield et al., 2007).</w:t>
      </w:r>
    </w:p>
    <w:p w14:paraId="3311F4B8" w14:textId="77777777" w:rsidR="006316A5" w:rsidRDefault="00000000">
      <w:pPr>
        <w:jc w:val="both"/>
      </w:pPr>
      <w:r>
        <w:t xml:space="preserve">Root-associated microbial communities add plausible mechanisms but also another level of uncertainty. Yadav and colleagues identified a distinctive </w:t>
      </w:r>
      <w:proofErr w:type="spellStart"/>
      <w:r>
        <w:t>rhizobiome</w:t>
      </w:r>
      <w:proofErr w:type="spellEnd"/>
      <w:r>
        <w:t xml:space="preserve"> and genes associated with environmental functions in an urban river. Sequence-based functional potential does not measure an </w:t>
      </w:r>
      <w:proofErr w:type="gramStart"/>
      <w:r>
        <w:t>in situ</w:t>
      </w:r>
      <w:proofErr w:type="gramEnd"/>
      <w:r>
        <w:t xml:space="preserve"> degradation rate, establish complete detoxification or demonstrate reduced human exposure. Nor does detection of resistance-related genes alone establish a clinical risk. Such findings are most useful for designing targeted process measurements rather than being treated as proof that the invasive plant provides a safe treatment service (Yadav et al., 2024).</w:t>
      </w:r>
    </w:p>
    <w:p w14:paraId="52E60A3D" w14:textId="77777777" w:rsidR="006316A5" w:rsidRDefault="00000000">
      <w:pPr>
        <w:pStyle w:val="Heading2"/>
      </w:pPr>
      <w:r>
        <w:t>4.3 Greenhouse-Gas Fluxes and Carbon Accounting</w:t>
      </w:r>
    </w:p>
    <w:p w14:paraId="5E23A65E" w14:textId="77777777" w:rsidR="006316A5" w:rsidRDefault="00000000">
      <w:pPr>
        <w:jc w:val="both"/>
      </w:pPr>
      <w:r>
        <w:t xml:space="preserve">Greenhouse-gas evidence is explicitly conditional. In a small tropical lake in India, </w:t>
      </w:r>
      <w:proofErr w:type="spellStart"/>
      <w:r>
        <w:t>Attermeyer</w:t>
      </w:r>
      <w:proofErr w:type="spellEnd"/>
      <w:r>
        <w:t xml:space="preserve"> and colleagues found lower diffusive carbon dioxide and methane emissions beneath floating vegetation, while methane ebullition did not differ significantly. Their measurements support a distinction among emission pathways; they do not establish that invasion is a long-term climate-mitigation measure. Reduced exchange across a covered surface can coexist with continued gas production, and a short observation period cannot establish the subsequent fate of accumulated carbon (</w:t>
      </w:r>
      <w:proofErr w:type="spellStart"/>
      <w:r>
        <w:t>Attermeyer</w:t>
      </w:r>
      <w:proofErr w:type="spellEnd"/>
      <w:r>
        <w:t xml:space="preserve"> et al., 2016).</w:t>
      </w:r>
    </w:p>
    <w:p w14:paraId="18B246AF" w14:textId="77777777" w:rsidR="006316A5" w:rsidRDefault="00000000">
      <w:pPr>
        <w:jc w:val="both"/>
      </w:pPr>
      <w:r>
        <w:t>A field comparison across Amazonian and Pantanal water bodies found much greater methane emissions where water hyacinth rooted in shallow sediments than where plants floated over deeper water. The study also described substantial carbon dioxide uptake, but emphasised the temporary character of storage in vegetation. In a subtropical Chinese lake, water-hyacinth habitats showed higher methane emissions than several comparison habitats. These results need not be mutually contradictory because rooting, sediment contact, habitat identity and emission pathways differed (Oliveira Junior et al., 2021; Zhou et al., 2022).</w:t>
      </w:r>
    </w:p>
    <w:p w14:paraId="0A4E5595" w14:textId="77777777" w:rsidR="006316A5" w:rsidRDefault="00000000">
      <w:pPr>
        <w:jc w:val="both"/>
      </w:pPr>
      <w:r>
        <w:t xml:space="preserve">The inference for assessment is to resist selecting the most favourable flux component. A whole-system comparison would include diffusion, ebullition, plant-associated transport where relevant, seasonal cover and the fate of harvested or senescent material. It would also state the counterfactual: untreated infestation, open water, native vegetation or an alternative control method. Without that definition, an apparent carbon benefit can arise simply because different system boundaries were used. Climate claims for harvesting or bioenergy should account for </w:t>
      </w:r>
      <w:r>
        <w:lastRenderedPageBreak/>
        <w:t>processing energy and methane leakage as well as avoided decay, a requirement not satisfied by measuring plant carbon content alone (</w:t>
      </w:r>
      <w:proofErr w:type="spellStart"/>
      <w:r>
        <w:t>Attermeyer</w:t>
      </w:r>
      <w:proofErr w:type="spellEnd"/>
      <w:r>
        <w:t xml:space="preserve"> et al., 2016; Chai et al., 2023; Oliveira Junior et al., 2021).</w:t>
      </w:r>
    </w:p>
    <w:p w14:paraId="7A35FCD5" w14:textId="77777777" w:rsidR="006316A5" w:rsidRDefault="00000000">
      <w:pPr>
        <w:pStyle w:val="Heading2"/>
      </w:pPr>
      <w:r>
        <w:t>4.4 Disturbance, Treatment and Recovery Trajectories</w:t>
      </w:r>
    </w:p>
    <w:p w14:paraId="04317111" w14:textId="77777777" w:rsidR="006316A5" w:rsidRDefault="00000000">
      <w:pPr>
        <w:jc w:val="both"/>
      </w:pPr>
      <w:r>
        <w:t>Treatment can change water quality through both removal of the living canopy and addition of dead organic matter. The balance depends on how much biomass is exported and how rapidly the remaining material decomposes relative to local exchange. This explains why short-term deterioration and longer-term improvement are not mutually exclusive outcomes. In the California Delta, the regional before-after comparison by Tobias and colleagues suggested that dissolved oxygen and turbidity became more similar to regional conditions after treatment, even though contrasts against immediately upstream sites were less informative (Tobias et al., 2019).</w:t>
      </w:r>
    </w:p>
    <w:p w14:paraId="77CB4C0D" w14:textId="77777777" w:rsidR="006316A5" w:rsidRDefault="00000000">
      <w:pPr>
        <w:jc w:val="both"/>
      </w:pPr>
      <w:r>
        <w:t>Consequently, a single post-treatment sampling date is an inadequate basis for declaring an intervention environmentally benign or harmful. Monitoring should capture the disturbance pulse and the recovery period, with comparable untreated or differently treated sites where possible. Table 2 summarises representative evidence that distinguishes robust directions from conditional outcomes. The studies are not a ranking of locations: their analytical value lies in showing which design features and environmental differences explain the apparently conflicting results.</w:t>
      </w:r>
    </w:p>
    <w:p w14:paraId="4D317560" w14:textId="77777777" w:rsidR="006316A5" w:rsidRDefault="00000000">
      <w:pPr>
        <w:keepNext/>
        <w:spacing w:before="160" w:after="60"/>
      </w:pPr>
      <w:r>
        <w:rPr>
          <w:b/>
        </w:rPr>
        <w:t>Table 2</w:t>
      </w:r>
    </w:p>
    <w:p w14:paraId="7D70B804" w14:textId="77777777" w:rsidR="006316A5" w:rsidRDefault="00000000">
      <w:pPr>
        <w:keepNext/>
        <w:spacing w:after="120"/>
      </w:pPr>
      <w:r>
        <w:rPr>
          <w:i/>
        </w:rPr>
        <w:t>Representative evidence explaining consistent and conditional ecosystem responses</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3BB27EAE"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85070FB" w14:textId="77777777" w:rsidR="006316A5" w:rsidRDefault="00000000">
            <w:pPr>
              <w:keepLines/>
              <w:spacing w:after="0" w:line="254" w:lineRule="auto"/>
            </w:pPr>
            <w:r>
              <w:rPr>
                <w:b/>
                <w:sz w:val="20"/>
              </w:rPr>
              <w:t>Evidence and setting</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710B2D04" w14:textId="77777777" w:rsidR="006316A5" w:rsidRDefault="00000000">
            <w:pPr>
              <w:keepLines/>
              <w:spacing w:after="0" w:line="254" w:lineRule="auto"/>
            </w:pPr>
            <w:r>
              <w:rPr>
                <w:b/>
                <w:sz w:val="20"/>
              </w:rPr>
              <w:t>Main result</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54CAD881" w14:textId="77777777" w:rsidR="006316A5" w:rsidRDefault="00000000">
            <w:pPr>
              <w:keepLines/>
              <w:spacing w:after="0" w:line="254" w:lineRule="auto"/>
            </w:pPr>
            <w:r>
              <w:rPr>
                <w:b/>
                <w:sz w:val="20"/>
              </w:rPr>
              <w:t>Inference and limitation</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04E0B5FE" w14:textId="77777777" w:rsidR="006316A5" w:rsidRDefault="00000000">
            <w:pPr>
              <w:keepLines/>
              <w:spacing w:after="0" w:line="254" w:lineRule="auto"/>
            </w:pPr>
            <w:r>
              <w:rPr>
                <w:b/>
                <w:sz w:val="20"/>
              </w:rPr>
              <w:t>Supporting references</w:t>
            </w:r>
          </w:p>
        </w:tc>
      </w:tr>
      <w:tr w:rsidR="006316A5" w14:paraId="4D42AF55"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49B2B5E6" w14:textId="77777777" w:rsidR="006316A5" w:rsidRDefault="00000000">
            <w:pPr>
              <w:keepLines/>
              <w:spacing w:after="0" w:line="254" w:lineRule="auto"/>
            </w:pPr>
            <w:r>
              <w:rPr>
                <w:sz w:val="20"/>
              </w:rPr>
              <w:t>Species-specific meta-analysis</w:t>
            </w:r>
          </w:p>
        </w:tc>
        <w:tc>
          <w:tcPr>
            <w:tcW w:w="2448" w:type="dxa"/>
            <w:tcBorders>
              <w:bottom w:val="single" w:sz="3" w:space="0" w:color="CCCCCC"/>
            </w:tcBorders>
            <w:tcMar>
              <w:top w:w="80" w:type="dxa"/>
              <w:left w:w="90" w:type="dxa"/>
              <w:bottom w:w="80" w:type="dxa"/>
              <w:right w:w="90" w:type="dxa"/>
            </w:tcMar>
            <w:vAlign w:val="center"/>
          </w:tcPr>
          <w:p w14:paraId="67F9067A" w14:textId="77777777" w:rsidR="006316A5" w:rsidRDefault="00000000">
            <w:pPr>
              <w:keepLines/>
              <w:spacing w:after="0" w:line="254" w:lineRule="auto"/>
            </w:pPr>
            <w:r>
              <w:rPr>
                <w:sz w:val="20"/>
              </w:rPr>
              <w:t>Lower pooled dissolved oxygen and nitrogen; several other responses were inconsistent.</w:t>
            </w:r>
          </w:p>
        </w:tc>
        <w:tc>
          <w:tcPr>
            <w:tcW w:w="3197" w:type="dxa"/>
            <w:tcBorders>
              <w:bottom w:val="single" w:sz="3" w:space="0" w:color="CCCCCC"/>
            </w:tcBorders>
            <w:tcMar>
              <w:top w:w="80" w:type="dxa"/>
              <w:left w:w="90" w:type="dxa"/>
              <w:bottom w:w="80" w:type="dxa"/>
              <w:right w:w="90" w:type="dxa"/>
            </w:tcMar>
            <w:vAlign w:val="center"/>
          </w:tcPr>
          <w:p w14:paraId="577A72ED" w14:textId="77777777" w:rsidR="006316A5" w:rsidRDefault="00000000">
            <w:pPr>
              <w:keepLines/>
              <w:spacing w:after="0" w:line="254" w:lineRule="auto"/>
            </w:pPr>
            <w:r>
              <w:rPr>
                <w:sz w:val="20"/>
              </w:rPr>
              <w:t>Relatively strong support for direction of oxygen change; standardised effects are not local concentrations.</w:t>
            </w:r>
          </w:p>
        </w:tc>
        <w:tc>
          <w:tcPr>
            <w:tcW w:w="2174" w:type="dxa"/>
            <w:tcBorders>
              <w:bottom w:val="single" w:sz="3" w:space="0" w:color="CCCCCC"/>
            </w:tcBorders>
            <w:tcMar>
              <w:top w:w="80" w:type="dxa"/>
              <w:left w:w="90" w:type="dxa"/>
              <w:bottom w:w="80" w:type="dxa"/>
              <w:right w:w="90" w:type="dxa"/>
            </w:tcMar>
            <w:vAlign w:val="center"/>
          </w:tcPr>
          <w:p w14:paraId="0F97CA90" w14:textId="77777777" w:rsidR="006316A5" w:rsidRDefault="00000000">
            <w:pPr>
              <w:keepLines/>
              <w:spacing w:after="0" w:line="254" w:lineRule="auto"/>
            </w:pPr>
            <w:r>
              <w:rPr>
                <w:sz w:val="20"/>
              </w:rPr>
              <w:t>(Jha &amp; Li, 2025)</w:t>
            </w:r>
          </w:p>
        </w:tc>
      </w:tr>
      <w:tr w:rsidR="006316A5" w14:paraId="779ED416"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24D327D" w14:textId="77777777" w:rsidR="006316A5" w:rsidRDefault="00000000">
            <w:pPr>
              <w:keepLines/>
              <w:spacing w:after="0" w:line="254" w:lineRule="auto"/>
            </w:pPr>
            <w:r>
              <w:rPr>
                <w:sz w:val="20"/>
              </w:rPr>
              <w:t>Lake Victoria field experiments</w:t>
            </w:r>
          </w:p>
        </w:tc>
        <w:tc>
          <w:tcPr>
            <w:tcW w:w="2448" w:type="dxa"/>
            <w:tcBorders>
              <w:bottom w:val="single" w:sz="3" w:space="0" w:color="CCCCCC"/>
            </w:tcBorders>
            <w:tcMar>
              <w:top w:w="80" w:type="dxa"/>
              <w:left w:w="90" w:type="dxa"/>
              <w:bottom w:w="80" w:type="dxa"/>
              <w:right w:w="90" w:type="dxa"/>
            </w:tcMar>
            <w:vAlign w:val="center"/>
          </w:tcPr>
          <w:p w14:paraId="36969A63" w14:textId="77777777" w:rsidR="006316A5" w:rsidRDefault="00000000">
            <w:pPr>
              <w:keepLines/>
              <w:spacing w:after="0" w:line="254" w:lineRule="auto"/>
            </w:pPr>
            <w:r>
              <w:rPr>
                <w:sz w:val="20"/>
              </w:rPr>
              <w:t>No overriding water-quality benefit from greater plant density; removal reduced bacterial indicators.</w:t>
            </w:r>
          </w:p>
        </w:tc>
        <w:tc>
          <w:tcPr>
            <w:tcW w:w="3197" w:type="dxa"/>
            <w:tcBorders>
              <w:bottom w:val="single" w:sz="3" w:space="0" w:color="CCCCCC"/>
            </w:tcBorders>
            <w:tcMar>
              <w:top w:w="80" w:type="dxa"/>
              <w:left w:w="90" w:type="dxa"/>
              <w:bottom w:w="80" w:type="dxa"/>
              <w:right w:w="90" w:type="dxa"/>
            </w:tcMar>
            <w:vAlign w:val="center"/>
          </w:tcPr>
          <w:p w14:paraId="4AAD8B8D" w14:textId="77777777" w:rsidR="006316A5" w:rsidRDefault="00000000">
            <w:pPr>
              <w:keepLines/>
              <w:spacing w:after="0" w:line="254" w:lineRule="auto"/>
            </w:pPr>
            <w:r>
              <w:rPr>
                <w:sz w:val="20"/>
              </w:rPr>
              <w:t>Experimental support within a hypereutrophic setting; the weaker microcystin response remained uncertain.</w:t>
            </w:r>
          </w:p>
        </w:tc>
        <w:tc>
          <w:tcPr>
            <w:tcW w:w="2174" w:type="dxa"/>
            <w:tcBorders>
              <w:bottom w:val="single" w:sz="3" w:space="0" w:color="CCCCCC"/>
            </w:tcBorders>
            <w:tcMar>
              <w:top w:w="80" w:type="dxa"/>
              <w:left w:w="90" w:type="dxa"/>
              <w:bottom w:w="80" w:type="dxa"/>
              <w:right w:w="90" w:type="dxa"/>
            </w:tcMar>
            <w:vAlign w:val="center"/>
          </w:tcPr>
          <w:p w14:paraId="7ECF73EA" w14:textId="77777777" w:rsidR="006316A5" w:rsidRDefault="00000000">
            <w:pPr>
              <w:keepLines/>
              <w:spacing w:after="0" w:line="254" w:lineRule="auto"/>
            </w:pPr>
            <w:r>
              <w:rPr>
                <w:sz w:val="20"/>
              </w:rPr>
              <w:t>(Corman et al., 2023)</w:t>
            </w:r>
          </w:p>
        </w:tc>
      </w:tr>
      <w:tr w:rsidR="006316A5" w14:paraId="6239B758"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33B4867" w14:textId="77777777" w:rsidR="006316A5" w:rsidRDefault="00000000">
            <w:pPr>
              <w:keepLines/>
              <w:spacing w:after="0" w:line="254" w:lineRule="auto"/>
            </w:pPr>
            <w:r>
              <w:rPr>
                <w:sz w:val="20"/>
              </w:rPr>
              <w:t>California shredding study</w:t>
            </w:r>
          </w:p>
        </w:tc>
        <w:tc>
          <w:tcPr>
            <w:tcW w:w="2448" w:type="dxa"/>
            <w:tcBorders>
              <w:bottom w:val="single" w:sz="3" w:space="0" w:color="CCCCCC"/>
            </w:tcBorders>
            <w:tcMar>
              <w:top w:w="80" w:type="dxa"/>
              <w:left w:w="90" w:type="dxa"/>
              <w:bottom w:w="80" w:type="dxa"/>
              <w:right w:w="90" w:type="dxa"/>
            </w:tcMar>
            <w:vAlign w:val="center"/>
          </w:tcPr>
          <w:p w14:paraId="34556D5D" w14:textId="77777777" w:rsidR="006316A5" w:rsidRDefault="00000000">
            <w:pPr>
              <w:keepLines/>
              <w:spacing w:after="0" w:line="254" w:lineRule="auto"/>
            </w:pPr>
            <w:r>
              <w:rPr>
                <w:sz w:val="20"/>
              </w:rPr>
              <w:t>Nitrogen and phosphorus increased after shredding; oxygen responses differed between sites.</w:t>
            </w:r>
          </w:p>
        </w:tc>
        <w:tc>
          <w:tcPr>
            <w:tcW w:w="3197" w:type="dxa"/>
            <w:tcBorders>
              <w:bottom w:val="single" w:sz="3" w:space="0" w:color="CCCCCC"/>
            </w:tcBorders>
            <w:tcMar>
              <w:top w:w="80" w:type="dxa"/>
              <w:left w:w="90" w:type="dxa"/>
              <w:bottom w:w="80" w:type="dxa"/>
              <w:right w:w="90" w:type="dxa"/>
            </w:tcMar>
            <w:vAlign w:val="center"/>
          </w:tcPr>
          <w:p w14:paraId="4C51495F" w14:textId="77777777" w:rsidR="006316A5" w:rsidRDefault="00000000">
            <w:pPr>
              <w:keepLines/>
              <w:spacing w:after="0" w:line="254" w:lineRule="auto"/>
            </w:pPr>
            <w:r>
              <w:rPr>
                <w:sz w:val="20"/>
              </w:rPr>
              <w:t>Direct support for biomass-fate and exchange effects; shredding is not equivalent to nutrient export.</w:t>
            </w:r>
          </w:p>
        </w:tc>
        <w:tc>
          <w:tcPr>
            <w:tcW w:w="2174" w:type="dxa"/>
            <w:tcBorders>
              <w:bottom w:val="single" w:sz="3" w:space="0" w:color="CCCCCC"/>
            </w:tcBorders>
            <w:tcMar>
              <w:top w:w="80" w:type="dxa"/>
              <w:left w:w="90" w:type="dxa"/>
              <w:bottom w:w="80" w:type="dxa"/>
              <w:right w:w="90" w:type="dxa"/>
            </w:tcMar>
            <w:vAlign w:val="center"/>
          </w:tcPr>
          <w:p w14:paraId="6578B161" w14:textId="77777777" w:rsidR="006316A5" w:rsidRDefault="00000000">
            <w:pPr>
              <w:keepLines/>
              <w:spacing w:after="0" w:line="254" w:lineRule="auto"/>
            </w:pPr>
            <w:r>
              <w:rPr>
                <w:sz w:val="20"/>
              </w:rPr>
              <w:t>(Greenfield et al., 2007)</w:t>
            </w:r>
          </w:p>
        </w:tc>
      </w:tr>
      <w:tr w:rsidR="006316A5" w14:paraId="5A6A0172"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5B3B9464" w14:textId="77777777" w:rsidR="006316A5" w:rsidRDefault="00000000">
            <w:pPr>
              <w:keepLines/>
              <w:spacing w:after="0" w:line="254" w:lineRule="auto"/>
            </w:pPr>
            <w:r>
              <w:rPr>
                <w:sz w:val="20"/>
              </w:rPr>
              <w:t>California tidal treatment monitoring</w:t>
            </w:r>
          </w:p>
        </w:tc>
        <w:tc>
          <w:tcPr>
            <w:tcW w:w="2448" w:type="dxa"/>
            <w:tcBorders>
              <w:bottom w:val="single" w:sz="3" w:space="0" w:color="CCCCCC"/>
            </w:tcBorders>
            <w:tcMar>
              <w:top w:w="80" w:type="dxa"/>
              <w:left w:w="90" w:type="dxa"/>
              <w:bottom w:w="80" w:type="dxa"/>
              <w:right w:w="90" w:type="dxa"/>
            </w:tcMar>
            <w:vAlign w:val="center"/>
          </w:tcPr>
          <w:p w14:paraId="17B8AFF9" w14:textId="77777777" w:rsidR="006316A5" w:rsidRDefault="00000000">
            <w:pPr>
              <w:keepLines/>
              <w:spacing w:after="0" w:line="254" w:lineRule="auto"/>
            </w:pPr>
            <w:r>
              <w:rPr>
                <w:sz w:val="20"/>
              </w:rPr>
              <w:t>Post-treatment oxygen and turbidity became more similar to regional conditions.</w:t>
            </w:r>
          </w:p>
        </w:tc>
        <w:tc>
          <w:tcPr>
            <w:tcW w:w="3197" w:type="dxa"/>
            <w:tcBorders>
              <w:bottom w:val="single" w:sz="3" w:space="0" w:color="CCCCCC"/>
            </w:tcBorders>
            <w:tcMar>
              <w:top w:w="80" w:type="dxa"/>
              <w:left w:w="90" w:type="dxa"/>
              <w:bottom w:w="80" w:type="dxa"/>
              <w:right w:w="90" w:type="dxa"/>
            </w:tcMar>
            <w:vAlign w:val="center"/>
          </w:tcPr>
          <w:p w14:paraId="2343AFA9" w14:textId="77777777" w:rsidR="006316A5" w:rsidRDefault="00000000">
            <w:pPr>
              <w:keepLines/>
              <w:spacing w:after="0" w:line="254" w:lineRule="auto"/>
            </w:pPr>
            <w:r>
              <w:rPr>
                <w:sz w:val="20"/>
              </w:rPr>
              <w:t>Before-after comparisons improved interpretation, but tidal connectivity complicated local controls.</w:t>
            </w:r>
          </w:p>
        </w:tc>
        <w:tc>
          <w:tcPr>
            <w:tcW w:w="2174" w:type="dxa"/>
            <w:tcBorders>
              <w:bottom w:val="single" w:sz="3" w:space="0" w:color="CCCCCC"/>
            </w:tcBorders>
            <w:tcMar>
              <w:top w:w="80" w:type="dxa"/>
              <w:left w:w="90" w:type="dxa"/>
              <w:bottom w:w="80" w:type="dxa"/>
              <w:right w:w="90" w:type="dxa"/>
            </w:tcMar>
            <w:vAlign w:val="center"/>
          </w:tcPr>
          <w:p w14:paraId="76B6B5D1" w14:textId="77777777" w:rsidR="006316A5" w:rsidRDefault="00000000">
            <w:pPr>
              <w:keepLines/>
              <w:spacing w:after="0" w:line="254" w:lineRule="auto"/>
            </w:pPr>
            <w:r>
              <w:rPr>
                <w:sz w:val="20"/>
              </w:rPr>
              <w:t>(Tobias et al., 2019)</w:t>
            </w:r>
          </w:p>
        </w:tc>
      </w:tr>
      <w:tr w:rsidR="006316A5" w14:paraId="21651002"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FC64942" w14:textId="77777777" w:rsidR="006316A5" w:rsidRDefault="00000000">
            <w:pPr>
              <w:keepLines/>
              <w:spacing w:after="0" w:line="254" w:lineRule="auto"/>
            </w:pPr>
            <w:r>
              <w:rPr>
                <w:sz w:val="20"/>
              </w:rPr>
              <w:t>Native-habitat comparison</w:t>
            </w:r>
          </w:p>
        </w:tc>
        <w:tc>
          <w:tcPr>
            <w:tcW w:w="2448" w:type="dxa"/>
            <w:tcBorders>
              <w:bottom w:val="single" w:sz="3" w:space="0" w:color="CCCCCC"/>
            </w:tcBorders>
            <w:tcMar>
              <w:top w:w="80" w:type="dxa"/>
              <w:left w:w="90" w:type="dxa"/>
              <w:bottom w:w="80" w:type="dxa"/>
              <w:right w:w="90" w:type="dxa"/>
            </w:tcMar>
            <w:vAlign w:val="center"/>
          </w:tcPr>
          <w:p w14:paraId="64F53075" w14:textId="77777777" w:rsidR="006316A5" w:rsidRDefault="00000000">
            <w:pPr>
              <w:keepLines/>
              <w:spacing w:after="0" w:line="254" w:lineRule="auto"/>
            </w:pPr>
            <w:r>
              <w:rPr>
                <w:sz w:val="20"/>
              </w:rPr>
              <w:t>Hyacinth and native pennywort supported different invertebrate communities and fish diets.</w:t>
            </w:r>
          </w:p>
        </w:tc>
        <w:tc>
          <w:tcPr>
            <w:tcW w:w="3197" w:type="dxa"/>
            <w:tcBorders>
              <w:bottom w:val="single" w:sz="3" w:space="0" w:color="CCCCCC"/>
            </w:tcBorders>
            <w:tcMar>
              <w:top w:w="80" w:type="dxa"/>
              <w:left w:w="90" w:type="dxa"/>
              <w:bottom w:w="80" w:type="dxa"/>
              <w:right w:w="90" w:type="dxa"/>
            </w:tcMar>
            <w:vAlign w:val="center"/>
          </w:tcPr>
          <w:p w14:paraId="2D50DD49" w14:textId="77777777" w:rsidR="006316A5" w:rsidRDefault="00000000">
            <w:pPr>
              <w:keepLines/>
              <w:spacing w:after="0" w:line="254" w:lineRule="auto"/>
            </w:pPr>
            <w:r>
              <w:rPr>
                <w:sz w:val="20"/>
              </w:rPr>
              <w:t>Habitat complexity alone does not establish ecological equivalence or population-level fish effects.</w:t>
            </w:r>
          </w:p>
        </w:tc>
        <w:tc>
          <w:tcPr>
            <w:tcW w:w="2174" w:type="dxa"/>
            <w:tcBorders>
              <w:bottom w:val="single" w:sz="3" w:space="0" w:color="CCCCCC"/>
            </w:tcBorders>
            <w:tcMar>
              <w:top w:w="80" w:type="dxa"/>
              <w:left w:w="90" w:type="dxa"/>
              <w:bottom w:w="80" w:type="dxa"/>
              <w:right w:w="90" w:type="dxa"/>
            </w:tcMar>
            <w:vAlign w:val="center"/>
          </w:tcPr>
          <w:p w14:paraId="1245F8C3" w14:textId="77777777" w:rsidR="006316A5" w:rsidRDefault="00000000">
            <w:pPr>
              <w:keepLines/>
              <w:spacing w:after="0" w:line="254" w:lineRule="auto"/>
            </w:pPr>
            <w:r>
              <w:rPr>
                <w:sz w:val="20"/>
              </w:rPr>
              <w:t>(Toft et al., 2003)</w:t>
            </w:r>
          </w:p>
        </w:tc>
      </w:tr>
      <w:tr w:rsidR="006316A5" w14:paraId="156B3567"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3D23D4EC" w14:textId="77777777" w:rsidR="006316A5" w:rsidRDefault="00000000">
            <w:pPr>
              <w:keepLines/>
              <w:spacing w:after="0" w:line="254" w:lineRule="auto"/>
            </w:pPr>
            <w:r>
              <w:rPr>
                <w:sz w:val="20"/>
              </w:rPr>
              <w:lastRenderedPageBreak/>
              <w:t>Tropical and subtropical gas studies</w:t>
            </w:r>
          </w:p>
        </w:tc>
        <w:tc>
          <w:tcPr>
            <w:tcW w:w="2448" w:type="dxa"/>
            <w:tcBorders>
              <w:bottom w:val="single" w:sz="3" w:space="0" w:color="CCCCCC"/>
            </w:tcBorders>
            <w:tcMar>
              <w:top w:w="80" w:type="dxa"/>
              <w:left w:w="90" w:type="dxa"/>
              <w:bottom w:w="80" w:type="dxa"/>
              <w:right w:w="90" w:type="dxa"/>
            </w:tcMar>
            <w:vAlign w:val="center"/>
          </w:tcPr>
          <w:p w14:paraId="22AC446B" w14:textId="77777777" w:rsidR="006316A5" w:rsidRDefault="00000000">
            <w:pPr>
              <w:keepLines/>
              <w:spacing w:after="0" w:line="254" w:lineRule="auto"/>
            </w:pPr>
            <w:r>
              <w:rPr>
                <w:sz w:val="20"/>
              </w:rPr>
              <w:t>Lower diffusive fluxes in one setting contrasted with greater methane in rooted or other invaded habitats.</w:t>
            </w:r>
          </w:p>
        </w:tc>
        <w:tc>
          <w:tcPr>
            <w:tcW w:w="3197" w:type="dxa"/>
            <w:tcBorders>
              <w:bottom w:val="single" w:sz="3" w:space="0" w:color="CCCCCC"/>
            </w:tcBorders>
            <w:tcMar>
              <w:top w:w="80" w:type="dxa"/>
              <w:left w:w="90" w:type="dxa"/>
              <w:bottom w:w="80" w:type="dxa"/>
              <w:right w:w="90" w:type="dxa"/>
            </w:tcMar>
            <w:vAlign w:val="center"/>
          </w:tcPr>
          <w:p w14:paraId="45C978D0" w14:textId="77777777" w:rsidR="006316A5" w:rsidRDefault="00000000">
            <w:pPr>
              <w:keepLines/>
              <w:spacing w:after="0" w:line="254" w:lineRule="auto"/>
            </w:pPr>
            <w:r>
              <w:rPr>
                <w:sz w:val="20"/>
              </w:rPr>
              <w:t>No defensible universal climate effect; pathways, depth, season and reference habitat differed.</w:t>
            </w:r>
          </w:p>
        </w:tc>
        <w:tc>
          <w:tcPr>
            <w:tcW w:w="2174" w:type="dxa"/>
            <w:tcBorders>
              <w:bottom w:val="single" w:sz="3" w:space="0" w:color="CCCCCC"/>
            </w:tcBorders>
            <w:tcMar>
              <w:top w:w="80" w:type="dxa"/>
              <w:left w:w="90" w:type="dxa"/>
              <w:bottom w:w="80" w:type="dxa"/>
              <w:right w:w="90" w:type="dxa"/>
            </w:tcMar>
            <w:vAlign w:val="center"/>
          </w:tcPr>
          <w:p w14:paraId="5D2CA963" w14:textId="77777777" w:rsidR="006316A5" w:rsidRDefault="00000000">
            <w:pPr>
              <w:keepLines/>
              <w:spacing w:after="0" w:line="254" w:lineRule="auto"/>
            </w:pPr>
            <w:r>
              <w:rPr>
                <w:sz w:val="20"/>
              </w:rPr>
              <w:t>(</w:t>
            </w:r>
            <w:proofErr w:type="spellStart"/>
            <w:r>
              <w:rPr>
                <w:sz w:val="20"/>
              </w:rPr>
              <w:t>Attermeyer</w:t>
            </w:r>
            <w:proofErr w:type="spellEnd"/>
            <w:r>
              <w:rPr>
                <w:sz w:val="20"/>
              </w:rPr>
              <w:t xml:space="preserve"> et al., 2016; Oliveira Junior et al., 2021; Zhou et al., 2022)</w:t>
            </w:r>
          </w:p>
        </w:tc>
      </w:tr>
      <w:tr w:rsidR="006316A5" w14:paraId="4C8D3004"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4CEC5C40" w14:textId="77777777" w:rsidR="006316A5" w:rsidRDefault="00000000">
            <w:pPr>
              <w:keepLines/>
              <w:spacing w:after="0" w:line="254" w:lineRule="auto"/>
            </w:pPr>
            <w:r>
              <w:rPr>
                <w:sz w:val="20"/>
              </w:rPr>
              <w:t>Schistosome mesocosms</w:t>
            </w:r>
          </w:p>
        </w:tc>
        <w:tc>
          <w:tcPr>
            <w:tcW w:w="2448" w:type="dxa"/>
            <w:tcBorders>
              <w:bottom w:val="single" w:sz="8" w:space="0" w:color="555555"/>
            </w:tcBorders>
            <w:tcMar>
              <w:top w:w="80" w:type="dxa"/>
              <w:left w:w="90" w:type="dxa"/>
              <w:bottom w:w="80" w:type="dxa"/>
              <w:right w:w="90" w:type="dxa"/>
            </w:tcMar>
            <w:vAlign w:val="center"/>
          </w:tcPr>
          <w:p w14:paraId="229BE70E" w14:textId="77777777" w:rsidR="006316A5" w:rsidRDefault="00000000">
            <w:pPr>
              <w:keepLines/>
              <w:spacing w:after="0" w:line="254" w:lineRule="auto"/>
            </w:pPr>
            <w:r>
              <w:rPr>
                <w:sz w:val="20"/>
              </w:rPr>
              <w:t>Invasion and destructive management increased parasite-production potential.</w:t>
            </w:r>
          </w:p>
        </w:tc>
        <w:tc>
          <w:tcPr>
            <w:tcW w:w="3197" w:type="dxa"/>
            <w:tcBorders>
              <w:bottom w:val="single" w:sz="8" w:space="0" w:color="555555"/>
            </w:tcBorders>
            <w:tcMar>
              <w:top w:w="80" w:type="dxa"/>
              <w:left w:w="90" w:type="dxa"/>
              <w:bottom w:w="80" w:type="dxa"/>
              <w:right w:w="90" w:type="dxa"/>
            </w:tcMar>
            <w:vAlign w:val="center"/>
          </w:tcPr>
          <w:p w14:paraId="51FBDBD4" w14:textId="77777777" w:rsidR="006316A5" w:rsidRDefault="00000000">
            <w:pPr>
              <w:keepLines/>
              <w:spacing w:after="0" w:line="254" w:lineRule="auto"/>
            </w:pPr>
            <w:r>
              <w:rPr>
                <w:sz w:val="20"/>
              </w:rPr>
              <w:t>Controlled mechanistic evidence; not a measurement of disease incidence in people.</w:t>
            </w:r>
          </w:p>
        </w:tc>
        <w:tc>
          <w:tcPr>
            <w:tcW w:w="2174" w:type="dxa"/>
            <w:tcBorders>
              <w:bottom w:val="single" w:sz="8" w:space="0" w:color="555555"/>
            </w:tcBorders>
            <w:tcMar>
              <w:top w:w="80" w:type="dxa"/>
              <w:left w:w="90" w:type="dxa"/>
              <w:bottom w:w="80" w:type="dxa"/>
              <w:right w:w="90" w:type="dxa"/>
            </w:tcMar>
            <w:vAlign w:val="center"/>
          </w:tcPr>
          <w:p w14:paraId="462D2264" w14:textId="77777777" w:rsidR="006316A5" w:rsidRDefault="00000000">
            <w:pPr>
              <w:keepLines/>
              <w:spacing w:after="0" w:line="254" w:lineRule="auto"/>
            </w:pPr>
            <w:r>
              <w:rPr>
                <w:sz w:val="20"/>
              </w:rPr>
              <w:t>(Desautels et al., 2023)</w:t>
            </w:r>
          </w:p>
        </w:tc>
      </w:tr>
    </w:tbl>
    <w:p w14:paraId="5F77F38D" w14:textId="77777777" w:rsidR="006316A5" w:rsidRDefault="00000000">
      <w:pPr>
        <w:spacing w:before="100" w:after="180" w:line="252" w:lineRule="auto"/>
      </w:pPr>
      <w:r>
        <w:rPr>
          <w:i/>
          <w:sz w:val="20"/>
        </w:rPr>
        <w:t xml:space="preserve">Note. </w:t>
      </w:r>
      <w:r>
        <w:rPr>
          <w:sz w:val="20"/>
        </w:rPr>
        <w:t>Qualitative confidence reflects this review's interpretation of design and scope, not a formal risk-of-bias score. The studies are representative, not exhaustive.</w:t>
      </w:r>
    </w:p>
    <w:p w14:paraId="17C749DB" w14:textId="77777777" w:rsidR="006316A5" w:rsidRDefault="00000000">
      <w:pPr>
        <w:pStyle w:val="Heading1"/>
      </w:pPr>
      <w:r>
        <w:t>5. Biodiversity, Human Exposure and Water-Dependent Livelihoods</w:t>
      </w:r>
    </w:p>
    <w:p w14:paraId="53692409" w14:textId="77777777" w:rsidR="006316A5" w:rsidRDefault="00000000">
      <w:pPr>
        <w:pStyle w:val="Heading2"/>
      </w:pPr>
      <w:r>
        <w:t>5.1 Habitat Structure Is Not Equivalent to Habitat Quality</w:t>
      </w:r>
    </w:p>
    <w:p w14:paraId="03984012" w14:textId="77777777" w:rsidR="006316A5" w:rsidRDefault="00000000">
      <w:pPr>
        <w:jc w:val="both"/>
      </w:pPr>
      <w:r>
        <w:t>Water-hyacinth roots provide physical structure, but structure alone does not identify the ecological value of a habitat. In the Sacramento-San Joaquin Delta, a comparison with native pennywort found differences in invertebrate assemblages and fish diets despite the extensive root surface available under hyacinth. The native-vegetation comparator is important: an invader may support more organisms than unvegetated water while supporting fewer, or different, organisms than the community it replaces. Claims of biodiversity enhancement are therefore incomplete unless the reference condition and taxonomic composition are specified (Toft et al., 2003).</w:t>
      </w:r>
    </w:p>
    <w:p w14:paraId="02DE9B01" w14:textId="77777777" w:rsidR="006316A5" w:rsidRDefault="00000000">
      <w:pPr>
        <w:jc w:val="both"/>
      </w:pPr>
      <w:r>
        <w:t>This distinction also clarifies the difference between abundance and diversity. A dense population of a tolerant invertebrate can increase total counts while sensitive taxa disappear. The broader meta-analysis by Tasker and colleagues found that alien aquatic macrophytes generally reduced diversity, whereas abundance responses were less consistent and differed among organism groups and plant growth forms. Because that synthesis included multiple invasive species, it cannot provide a water-hyacinth-specific effect for every assemblage. It does, however, support the methodological requirement to report more than a single total abundance measure (Tasker et al., 2022).</w:t>
      </w:r>
    </w:p>
    <w:p w14:paraId="30ED2C23" w14:textId="77777777" w:rsidR="006316A5" w:rsidRDefault="00000000">
      <w:pPr>
        <w:jc w:val="both"/>
      </w:pPr>
      <w:r>
        <w:t>For food-web assessment, the next question is whether organisms supported by a mat are accessible and nutritionally useful to consumers. Counts of root-associated animals cannot answer this without evidence of consumption, growth or recruitment. Similarly, a local shift in fish diets identifies a pathway of ecological change but does not alone establish a population decline. The implication is to link habitat surveys to functional endpoints rather than expand species lists without a causal question. Native habitat comparisons and temporal replication would strengthen interpretation where invasion has occurred alongside shoreline modification or declining water quality (Toft et al., 2003).</w:t>
      </w:r>
    </w:p>
    <w:p w14:paraId="15C30C18" w14:textId="77777777" w:rsidR="006316A5" w:rsidRDefault="00000000">
      <w:pPr>
        <w:jc w:val="both"/>
      </w:pPr>
      <w:r>
        <w:t xml:space="preserve">Submerged plants face a distinct competitive problem because a floating canopy intercepts their light above the water surface. Yet the direction and persistence of replacement also depend on </w:t>
      </w:r>
      <w:r>
        <w:lastRenderedPageBreak/>
        <w:t>nutrient supply, turbidity and the responses of the competing species. The model of Xu and DeAngelis predicts different competitive outcomes across temperature and nutrient conditions, including circumstances compatible with coexistence. Its value is in identifying combinations to test, not in proving that every removal will restore submerged vegetation. Recovery still requires the desired plants to establish under the post-treatment environment (Xu &amp; DeAngelis, 2024).</w:t>
      </w:r>
    </w:p>
    <w:p w14:paraId="76B3A2DF" w14:textId="77777777" w:rsidR="006316A5" w:rsidRDefault="00000000">
      <w:pPr>
        <w:pStyle w:val="Heading2"/>
      </w:pPr>
      <w:r>
        <w:t>5.2 Fish Aggregation, Fisheries Production and Harvesting Pressure</w:t>
      </w:r>
    </w:p>
    <w:p w14:paraId="647C4104" w14:textId="77777777" w:rsidR="006316A5" w:rsidRDefault="00000000">
      <w:pPr>
        <w:jc w:val="both"/>
      </w:pPr>
      <w:r>
        <w:t xml:space="preserve">Fisheries impacts should be separated into habitat effects, fish availability and access by fishers. An obstruction can reduce catch because boats or nets cannot reach fishing grounds even when local fish abundance has not declined. Conversely, vegetation may aggregate fish and increase catchability without increasing production. The socioeconomic literature documents both impediments and locally valued uses, making it inappropriate to infer fish-stock change directly from household reports of declining or increasing catches (Abba &amp; </w:t>
      </w:r>
      <w:proofErr w:type="spellStart"/>
      <w:r>
        <w:t>Sankarannair</w:t>
      </w:r>
      <w:proofErr w:type="spellEnd"/>
      <w:r>
        <w:t xml:space="preserve">, 2024; </w:t>
      </w:r>
      <w:proofErr w:type="spellStart"/>
      <w:r>
        <w:t>Enyew</w:t>
      </w:r>
      <w:proofErr w:type="spellEnd"/>
      <w:r>
        <w:t xml:space="preserve"> et al., 2020).</w:t>
      </w:r>
    </w:p>
    <w:p w14:paraId="0DD727F9" w14:textId="77777777" w:rsidR="006316A5" w:rsidRDefault="00000000">
      <w:pPr>
        <w:jc w:val="both"/>
      </w:pPr>
      <w:r>
        <w:t>Recent evidence from Bangladesh makes the aggregation-production distinction particularly clear. Hossain and colleagues found more fish species and greater local abundance beneath deliberately assembled water-hyacinth patches. The subsequent drawdown harvest was non-selective, including fish of different sizes and threatened species. Their study could not determine whether the practice increased production or chiefly redistributed existing fish. Thus, a locally profitable use can coexist with a sustainability concern, and higher catch efficiency should not be presented as an unqualified ecosystem benefit (Hossain et al., 2025).</w:t>
      </w:r>
    </w:p>
    <w:p w14:paraId="1225360E" w14:textId="77777777" w:rsidR="006316A5" w:rsidRDefault="00000000">
      <w:pPr>
        <w:jc w:val="both"/>
      </w:pPr>
      <w:r>
        <w:t>A defensible fishery assessment would therefore combine standardised catch per unit effort with independent abundance or recruitment measures, recording gear, access and habitat change. It would distinguish temporary refuge from habitat supporting completion of the life cycle. Where the management objective is conservation, abundance of common tolerant species may be less informative than persistence of sensitive or threatened taxa. Where it is livelihood protection, time spent travelling or clearing nets may matter independently of stock status. These are complementary endpoints, not interchangeable explanations of the same outcome.</w:t>
      </w:r>
    </w:p>
    <w:p w14:paraId="38976C36" w14:textId="77777777" w:rsidR="006316A5" w:rsidRDefault="00000000">
      <w:pPr>
        <w:jc w:val="both"/>
      </w:pPr>
      <w:r>
        <w:t>The choice between these endpoints also affects public decisions. Clearing an access corridor may deliver an immediate livelihood benefit without changing lake-wide fish biomass. Retaining some structured native habitat may be necessary to avoid converting the intervention into indiscriminate vegetation removal. The review therefore favours habitat-specific objectives over a target of vegetation-free water. This is a reasoned management implication of the contrast between native-habitat comparisons and fishing practices that exploit local aggregation (Hossain et al., 2025; Toft et al., 2003).</w:t>
      </w:r>
    </w:p>
    <w:p w14:paraId="241F2524" w14:textId="77777777" w:rsidR="006316A5" w:rsidRDefault="00000000">
      <w:pPr>
        <w:pStyle w:val="Heading2"/>
      </w:pPr>
      <w:r>
        <w:t>5.3 Pathogens, Vectors and the Consequences of Destructive Control</w:t>
      </w:r>
    </w:p>
    <w:p w14:paraId="59E0A188" w14:textId="77777777" w:rsidR="006316A5" w:rsidRDefault="00000000">
      <w:pPr>
        <w:jc w:val="both"/>
      </w:pPr>
      <w:r>
        <w:t xml:space="preserve">Water hyacinth can alter habitat for intermediate hosts and organisms associated with human exposure, but evidence of vector occurrence is not evidence of increased disease incidence. Desautels and colleagues experimentally examined schistosome transmission potential in </w:t>
      </w:r>
      <w:r>
        <w:lastRenderedPageBreak/>
        <w:t>replicated mesocosms over 17 weeks. Unmanaged invasion produced substantially more cercariae than uninvaded conditions, while destructive management that left plant material in the system produced an even larger response. The reported increases were approximately sixfold and tenfold, respectively. These results concern a controlled parasite-host system, not measured infection rates in human communities (Desautels et al., 2023).</w:t>
      </w:r>
    </w:p>
    <w:p w14:paraId="19A1B4E0" w14:textId="77777777" w:rsidR="006316A5" w:rsidRDefault="00000000">
      <w:pPr>
        <w:jc w:val="both"/>
      </w:pPr>
      <w:r>
        <w:t>The experiment is nevertheless important because it distinguishes destruction from removal. Changes in resources and snail body size can modify parasite production without a matching change in snail abundance. Counting intermediate hosts alone may therefore miss a biologically relevant management effect. The appropriate inference is not that all control increases disease risk, but that the fate of organic material and the chosen transmission endpoint matter. Extrapolation to a particular lake requires confirmation of compatible hosts, parasites, environmental conditions and human water contact (Desautels et al., 2023).</w:t>
      </w:r>
    </w:p>
    <w:p w14:paraId="6BA4C060" w14:textId="77777777" w:rsidR="006316A5" w:rsidRDefault="00000000">
      <w:pPr>
        <w:jc w:val="both"/>
      </w:pPr>
      <w:r>
        <w:t>Field evidence also resists a simple narrative in which covered water always supports more disease vectors. A survey of invaded, uninvaded and cleared habitats in the Lake Tana watershed found important differences among invertebrate communities, including greater mosquito-larval occurrence in cleared habitats. Because habitat type and management history were not randomly assigned, the result does not show that removal causes malaria. It does show why surveillance should include the post-clearance shoreline and residual pools, not only the original mat (</w:t>
      </w:r>
      <w:proofErr w:type="spellStart"/>
      <w:r>
        <w:t>Gezie</w:t>
      </w:r>
      <w:proofErr w:type="spellEnd"/>
      <w:r>
        <w:t xml:space="preserve"> et al., 2018).</w:t>
      </w:r>
    </w:p>
    <w:p w14:paraId="2A751C43" w14:textId="77777777" w:rsidR="006316A5" w:rsidRDefault="00000000">
      <w:pPr>
        <w:jc w:val="both"/>
      </w:pPr>
      <w:r>
        <w:t>Human-health interpretation needs a complete exposure pathway. Detection of faecal indicators, toxin-producing organisms or potential vectors establishes a concern at a particular stage, but downstream risk also depends on viability, concentration, contact and protective practices. The reduced bacterial indicators after experimental removal in Lake Victoria are informative, while the weaker microcystin result should remain qualified. Management assessments should distinguish environmental indicators, transmission potential and clinical outcomes rather than merge them into a single claim of improved public health (Corman et al., 2023).</w:t>
      </w:r>
    </w:p>
    <w:p w14:paraId="69C9F3B4" w14:textId="77777777" w:rsidR="006316A5" w:rsidRDefault="00000000">
      <w:pPr>
        <w:pStyle w:val="Heading2"/>
      </w:pPr>
      <w:r>
        <w:t>5.4 Livelihood Distribution and the Legitimacy of Control</w:t>
      </w:r>
    </w:p>
    <w:p w14:paraId="03973788" w14:textId="77777777" w:rsidR="006316A5" w:rsidRDefault="00000000">
      <w:pPr>
        <w:jc w:val="both"/>
      </w:pPr>
      <w:r>
        <w:t xml:space="preserve">The costs of infestation and the benefits of removal are unevenly distributed. In the Lake Tana household study, respondents described effects on fisheries, agriculture and access, alongside difficulties coordinating control. Such surveys reveal consequences that ecological sampling alone cannot capture, although recall, respondent selection and the absence of an unaffected counterfactual limit </w:t>
      </w:r>
      <w:proofErr w:type="gramStart"/>
      <w:r>
        <w:t>causal estimates</w:t>
      </w:r>
      <w:proofErr w:type="gramEnd"/>
      <w:r>
        <w:t>. They are strongest as evidence of experienced constraints and priorities, not as precise measures of the entire economic loss attributable to the plant (</w:t>
      </w:r>
      <w:proofErr w:type="spellStart"/>
      <w:r>
        <w:t>Enyew</w:t>
      </w:r>
      <w:proofErr w:type="spellEnd"/>
      <w:r>
        <w:t xml:space="preserve"> et al., 2020).</w:t>
      </w:r>
    </w:p>
    <w:p w14:paraId="5B3A088A" w14:textId="77777777" w:rsidR="006316A5" w:rsidRDefault="00000000">
      <w:pPr>
        <w:jc w:val="both"/>
      </w:pPr>
      <w:r>
        <w:t>The Bangladesh evidence adds a further complication: people may recognise substantial harms while relying on the same plant for particular activities. This is not necessarily ignorance about invasion. It can reflect a rational response to available livelihoods and the long-standing place of the plant in local practice. Management that removes a useful material without addressing replacement costs may be resisted even where ecological damage is accepted. A distribution-</w:t>
      </w:r>
      <w:r>
        <w:lastRenderedPageBreak/>
        <w:t>sensitive programme would identify affected groups and the services they value before setting uniform control targets (Hossain et al., 2025).</w:t>
      </w:r>
    </w:p>
    <w:p w14:paraId="5C666F72" w14:textId="77777777" w:rsidR="006316A5" w:rsidRDefault="00000000">
      <w:pPr>
        <w:jc w:val="both"/>
      </w:pPr>
      <w:r>
        <w:t>The normative implication is to avoid treating community participation as unpaid implementation after technical decisions have already been made. Participants should help define acceptable access, disposal locations and trade-offs, while technical assessment establishes where local preferences conflict with conservation or downstream risks. Success can then be evaluated against explicit, sometimes competing objectives. An intervention may be ecologically justified yet require transitional support, just as an economically valued use may remain ecologically damaging. Making these distinctions visible is preferable to assuming that either eradication or utilisation automatically serves everyone.</w:t>
      </w:r>
    </w:p>
    <w:p w14:paraId="60CE5608" w14:textId="77777777" w:rsidR="006316A5" w:rsidRDefault="00000000">
      <w:pPr>
        <w:pStyle w:val="Heading1"/>
      </w:pPr>
      <w:r>
        <w:t>6. Management Options: Effectiveness, Constraints and Unintended Effects</w:t>
      </w:r>
    </w:p>
    <w:p w14:paraId="66C76724" w14:textId="77777777" w:rsidR="006316A5" w:rsidRDefault="00000000">
      <w:pPr>
        <w:pStyle w:val="Heading2"/>
      </w:pPr>
      <w:r>
        <w:t>6.1 Prevention, Early Response and Control Objectives</w:t>
      </w:r>
    </w:p>
    <w:p w14:paraId="0ACCC20C" w14:textId="77777777" w:rsidR="006316A5" w:rsidRDefault="00000000">
      <w:pPr>
        <w:jc w:val="both"/>
      </w:pPr>
      <w:r>
        <w:t>Management begins with a distinction between preventing establishment, containing spread and suppressing an established population. Climate-risk modelling provides a rationale for surveillance beyond currently dense infestations, but surveillance priorities must also account for plausible introduction pathways and suitable water bodies. Prevention is not justified by climatic suitability alone, nor should a lack of current dense cover be interpreted as absence of risk. The decision is to search where establishment would be both plausible and consequential (Kriticos &amp; Brunel, 2016).</w:t>
      </w:r>
    </w:p>
    <w:p w14:paraId="6C3D0466" w14:textId="77777777" w:rsidR="006316A5" w:rsidRDefault="00000000">
      <w:pPr>
        <w:jc w:val="both"/>
      </w:pPr>
      <w:r>
        <w:t>In established systems, the objective should specify the service or ecological state to be protected. Maintaining an intake, protecting a nursery habitat and restoring an entire wetland demand different spatial scales and response times. A treatment that succeeds at the first objective may be insufficient for the third. This distinction also helps interpret reviews that catalogue methods by frequency of use. The predominance of a method in published programmes shows experience and geographical emphasis, not necessarily superior effectiveness against every alternative (Saeed et al., 2026).</w:t>
      </w:r>
    </w:p>
    <w:p w14:paraId="7BDEA62D" w14:textId="77777777" w:rsidR="006316A5" w:rsidRDefault="00000000">
      <w:pPr>
        <w:jc w:val="both"/>
      </w:pPr>
      <w:r>
        <w:t>Prevention and maintenance should not be omitted from cost comparisons simply because they remove little biomass. Their benefit may be avoiding a future infestation or preventing recurrent obstruction. Conversely, a campaign that removes a large mass may be responding to delayed action rather than demonstrating efficiency. An outcome-based evaluation would compare total effort over time against the condition achieved, rather than reward tonnes handled or hectares treated alone. This inference is consistent with economic work that values ecosystem services rather than just operational outputs (</w:t>
      </w:r>
      <w:proofErr w:type="spellStart"/>
      <w:r>
        <w:t>Wainger</w:t>
      </w:r>
      <w:proofErr w:type="spellEnd"/>
      <w:r>
        <w:t xml:space="preserve"> et al., 2018).</w:t>
      </w:r>
    </w:p>
    <w:p w14:paraId="279A068F" w14:textId="77777777" w:rsidR="006316A5" w:rsidRDefault="00000000">
      <w:pPr>
        <w:pStyle w:val="Heading2"/>
      </w:pPr>
      <w:r>
        <w:t>6.2 Manual and Mechanical Removal</w:t>
      </w:r>
    </w:p>
    <w:p w14:paraId="5AFA5950" w14:textId="77777777" w:rsidR="006316A5" w:rsidRDefault="00000000">
      <w:pPr>
        <w:jc w:val="both"/>
      </w:pPr>
      <w:r>
        <w:t>Physical removal has a clear advantage where rapid clearance and export of material are required. Its effect is immediate and spatially directed, and harvested biomass can be measured. Yet removing the visible mat does not demonstrate removal of all propagules or correction of favourable growth conditions. At Lake Tana, the 2020 campaign removed more than three-</w:t>
      </w:r>
      <w:r>
        <w:lastRenderedPageBreak/>
        <w:t>quarters of the mapped infestation, but mapped cover a year later exceeded the initial extent. This is strong evidence of recurrence in that setting, not evidence that access gained during the intervening period had no value (Chala et al., 2026).</w:t>
      </w:r>
    </w:p>
    <w:p w14:paraId="51414933" w14:textId="77777777" w:rsidR="006316A5" w:rsidRDefault="00000000">
      <w:pPr>
        <w:jc w:val="both"/>
      </w:pPr>
      <w:r>
        <w:t>The limitations of that case should remain explicit. The remote-sensing comparison lacked replicated untreated lake sectors representing an independent counterfactual, and the available images captured different dates and environmental conditions. Nutrient enrichment is a plausible explanation for regrowth, but the study did not quantify its causal contribution relative to dispersal, seasonal conditions or remaining plants. Management should therefore use the result to justify follow-up and catchment diagnosis, not to infer a universal failure rate for harvesting (Chala et al., 2026).</w:t>
      </w:r>
    </w:p>
    <w:p w14:paraId="50A1FC06" w14:textId="77777777" w:rsidR="006316A5" w:rsidRDefault="00000000">
      <w:pPr>
        <w:jc w:val="both"/>
      </w:pPr>
      <w:r>
        <w:t>Removal must also be distinguished from shredding. Cutting vegetation into fragments while leaving it in the water changes particle size and decomposition conditions but does not create the same nutrient-export pathway. The California shredding study reported increases in total Kjeldahl nitrogen and total phosphorus after treatment, with site-specific oxygen responses. It follows that the terms mechanical control and biomass removal should not be used interchangeably in evidence tables or procurement specifications. The handling and final destination of material are part of the treatment definition (Greenfield et al., 2007).</w:t>
      </w:r>
    </w:p>
    <w:p w14:paraId="714E4B7E" w14:textId="77777777" w:rsidR="006316A5" w:rsidRDefault="00000000">
      <w:pPr>
        <w:jc w:val="both"/>
      </w:pPr>
      <w:r>
        <w:t>The review proposes evaluating physical operations by access restored, viable material contained, dry biomass exported and the interval before retreatment, alongside damage to non-target habitat. These outcomes are more informative than wet mass alone, which depends strongly on water content. Shoreline storage also needs attention: moving biomass a few metres is not necessarily an ecological export when leachate or fragments can return. The economic comparison should include unloading, transport, processing and safe residual disposal rather than end at the harvester's discharge point.</w:t>
      </w:r>
    </w:p>
    <w:p w14:paraId="63B30E64" w14:textId="77777777" w:rsidR="006316A5" w:rsidRDefault="00000000">
      <w:pPr>
        <w:pStyle w:val="Heading2"/>
      </w:pPr>
      <w:r>
        <w:t>6.3 Herbicides and the Difference Between Efficacy and Safety</w:t>
      </w:r>
    </w:p>
    <w:p w14:paraId="673C08A3" w14:textId="77777777" w:rsidR="006316A5" w:rsidRDefault="00000000">
      <w:pPr>
        <w:jc w:val="both"/>
      </w:pPr>
      <w:r>
        <w:t xml:space="preserve">Herbicides can suppress water hyacinth rapidly, but the evidence must distinguish control of the target plant from ecosystem safety. In the </w:t>
      </w:r>
      <w:proofErr w:type="spellStart"/>
      <w:r>
        <w:t>Cangkuang</w:t>
      </w:r>
      <w:proofErr w:type="spellEnd"/>
      <w:r>
        <w:t xml:space="preserve"> Lake study, small replicated plots showed substantial suppression over a 42-day observation period, without adverse changes in selected basic water-quality variables as judged against the study's criteria. That finding does not establish the absence of effects on all non-target organisms, chronic exposure or subsequent regeneration. Its strongest inference concerns short-term target response under the tested conditions (</w:t>
      </w:r>
      <w:proofErr w:type="spellStart"/>
      <w:r>
        <w:t>Kurniadie</w:t>
      </w:r>
      <w:proofErr w:type="spellEnd"/>
      <w:r>
        <w:t xml:space="preserve"> et al., 2023).</w:t>
      </w:r>
    </w:p>
    <w:p w14:paraId="05244E27" w14:textId="77777777" w:rsidR="006316A5" w:rsidRDefault="00000000">
      <w:pPr>
        <w:jc w:val="both"/>
      </w:pPr>
      <w:r>
        <w:t>Likewise, favourable water quality after operational treatment cannot be assumed to result solely from low chemical toxicity. Removing a dense canopy may improve habitat even when the intervention creates a transient disturbance. Conversely, poor oxygen after treatment may reflect decomposition rather than direct toxic action. The California tidal comparison demonstrates why evaluating treatment against both local and broader reference conditions can change interpretation. Separating these mechanisms is necessary before generalising that chemical control either degrades or improves water quality (Tobias et al., 2019).</w:t>
      </w:r>
    </w:p>
    <w:p w14:paraId="5CD6E816" w14:textId="77777777" w:rsidR="006316A5" w:rsidRDefault="00000000">
      <w:pPr>
        <w:jc w:val="both"/>
      </w:pPr>
      <w:r>
        <w:lastRenderedPageBreak/>
        <w:t xml:space="preserve">Compatibility with biological control is formulation- and endpoint-specific. Moran and colleagues tested herbicides and adjuvants against the planthopper </w:t>
      </w:r>
      <w:proofErr w:type="spellStart"/>
      <w:r>
        <w:rPr>
          <w:i/>
        </w:rPr>
        <w:t>Megamelus</w:t>
      </w:r>
      <w:proofErr w:type="spellEnd"/>
      <w:r>
        <w:rPr>
          <w:i/>
        </w:rPr>
        <w:t xml:space="preserve"> </w:t>
      </w:r>
      <w:proofErr w:type="spellStart"/>
      <w:r>
        <w:rPr>
          <w:i/>
        </w:rPr>
        <w:t>scutellaris</w:t>
      </w:r>
      <w:proofErr w:type="spellEnd"/>
      <w:r>
        <w:t>. Diquat and a paraffinic-oil treatment produced adverse survival effects in the tested conditions, whereas several other active ingredients did not show comparable acute toxicity. The absence of direct mortality in a test does not establish full compatibility because host destruction, reproduction and delayed recovery may still matter. The study supports selective coordination, not the blanket claim that all herbicides can be combined safely with all agents (Moran et al., 2023).</w:t>
      </w:r>
    </w:p>
    <w:p w14:paraId="3B927D7E" w14:textId="77777777" w:rsidR="006316A5" w:rsidRDefault="00000000">
      <w:pPr>
        <w:jc w:val="both"/>
      </w:pPr>
      <w:r>
        <w:t>The practical implication is that chemical decisions require local authorisation, an appropriate aquatic formulation, trained application and a monitoring plan specific to the exposed environment. This review does not provide a universal product or dose recommendation. Staged treatment may be appropriate where biomass decay could overload oxygen supply, but the acceptable scale should be determined by local conditions. Basic compliance measurements are necessary where required; they should not be substituted for an ecological evaluation that includes non-target vegetation, invertebrates and recovery.</w:t>
      </w:r>
    </w:p>
    <w:p w14:paraId="7DE51B05" w14:textId="77777777" w:rsidR="006316A5" w:rsidRDefault="00000000">
      <w:pPr>
        <w:pStyle w:val="Heading2"/>
      </w:pPr>
      <w:r>
        <w:t>6.4 Biological Control and the Importance of Sustained Delivery</w:t>
      </w:r>
    </w:p>
    <w:p w14:paraId="594A7D42" w14:textId="77777777" w:rsidR="006316A5" w:rsidRDefault="00000000">
      <w:pPr>
        <w:jc w:val="both"/>
      </w:pPr>
      <w:r>
        <w:t xml:space="preserve">Biological control changes the growth and competitive performance of water hyacinth rather than necessarily removing all plants. Agents such as </w:t>
      </w:r>
      <w:proofErr w:type="spellStart"/>
      <w:r>
        <w:rPr>
          <w:i/>
        </w:rPr>
        <w:t>Neochetina</w:t>
      </w:r>
      <w:proofErr w:type="spellEnd"/>
      <w:r>
        <w:rPr>
          <w:i/>
        </w:rPr>
        <w:t xml:space="preserve"> </w:t>
      </w:r>
      <w:proofErr w:type="spellStart"/>
      <w:r>
        <w:rPr>
          <w:i/>
        </w:rPr>
        <w:t>eichhorniae</w:t>
      </w:r>
      <w:proofErr w:type="spellEnd"/>
      <w:r>
        <w:t xml:space="preserve"> and </w:t>
      </w:r>
      <w:r>
        <w:rPr>
          <w:i/>
        </w:rPr>
        <w:t>N. bruchi</w:t>
      </w:r>
      <w:r>
        <w:t xml:space="preserve"> weevils and the planthopper </w:t>
      </w:r>
      <w:r>
        <w:rPr>
          <w:i/>
        </w:rPr>
        <w:t xml:space="preserve">M. </w:t>
      </w:r>
      <w:proofErr w:type="spellStart"/>
      <w:r>
        <w:rPr>
          <w:i/>
        </w:rPr>
        <w:t>scutellaris</w:t>
      </w:r>
      <w:proofErr w:type="spellEnd"/>
      <w:r>
        <w:t xml:space="preserve"> act through different feeding and life-history pathways. Their establishment and impact depend on climate, host condition and environmental constraints. Long-term observations of </w:t>
      </w:r>
      <w:r>
        <w:rPr>
          <w:i/>
        </w:rPr>
        <w:t xml:space="preserve">M. </w:t>
      </w:r>
      <w:proofErr w:type="spellStart"/>
      <w:r>
        <w:rPr>
          <w:i/>
        </w:rPr>
        <w:t>scutellaris</w:t>
      </w:r>
      <w:proofErr w:type="spellEnd"/>
      <w:r>
        <w:t xml:space="preserve"> in South Africa demonstrate establishment across numerous sites, but the presence of an overwintering population is a different endpoint from suppression below an operationally acceptable cover (Miller et al., 2023).</w:t>
      </w:r>
    </w:p>
    <w:p w14:paraId="19B4434A" w14:textId="77777777" w:rsidR="006316A5" w:rsidRDefault="00000000">
      <w:pPr>
        <w:jc w:val="both"/>
      </w:pPr>
      <w:r>
        <w:t xml:space="preserve">The Hartbeespoort result is especially informative because it challenges an overly pessimistic interpretation of eutrophication. </w:t>
      </w:r>
      <w:proofErr w:type="spellStart"/>
      <w:r>
        <w:t>Inundative</w:t>
      </w:r>
      <w:proofErr w:type="spellEnd"/>
      <w:r>
        <w:t xml:space="preserve"> releases of </w:t>
      </w:r>
      <w:r>
        <w:rPr>
          <w:i/>
        </w:rPr>
        <w:t xml:space="preserve">M. </w:t>
      </w:r>
      <w:proofErr w:type="spellStart"/>
      <w:r>
        <w:rPr>
          <w:i/>
        </w:rPr>
        <w:t>scutellaris</w:t>
      </w:r>
      <w:proofErr w:type="spellEnd"/>
      <w:r>
        <w:t xml:space="preserve"> were associated with a reduction in cover from approximately 37% to less than 6% in two consecutive years at a high-elevation, hypertrophic reservoir. This is a substantial field outcome. Nevertheless, it arose within an actively supported release programme rather than an experiment proving that a single introduction would maintain the same result indefinitely. Suppression should therefore be attributed to the delivered programme, not simply to the availability of the insect species (Coetzee et al., 2022).</w:t>
      </w:r>
    </w:p>
    <w:p w14:paraId="33864074" w14:textId="77777777" w:rsidR="006316A5" w:rsidRDefault="00000000">
      <w:pPr>
        <w:jc w:val="both"/>
      </w:pPr>
      <w:r>
        <w:t>The distinction between classical and augmentative implementation affects both expectations and costs. A self-sustaining established agent may reduce future intervention, whereas repeated mass release requires continuing production, transport and coordination. Community engagement at Hartbeespoort expanded the network supporting releases and monitoring over several years. The associated cover and insect observations support the value of sustained delivery, although the survey component does not establish that all residents participated equally or that community engagement alone caused the ecological outcome (Moffat et al., 2024).</w:t>
      </w:r>
    </w:p>
    <w:p w14:paraId="4063826C" w14:textId="77777777" w:rsidR="006316A5" w:rsidRDefault="00000000">
      <w:pPr>
        <w:jc w:val="both"/>
      </w:pPr>
      <w:r>
        <w:lastRenderedPageBreak/>
        <w:t xml:space="preserve">Environmental matching extends beyond temperature. Laboratory experiments informed by Rwandan waters found that increasing turbidity reduced successful development of </w:t>
      </w:r>
      <w:r>
        <w:rPr>
          <w:i/>
        </w:rPr>
        <w:t xml:space="preserve">N. </w:t>
      </w:r>
      <w:proofErr w:type="spellStart"/>
      <w:r>
        <w:rPr>
          <w:i/>
        </w:rPr>
        <w:t>eichhorniae</w:t>
      </w:r>
      <w:proofErr w:type="spellEnd"/>
      <w:r>
        <w:t>, indicating a potential constraint associated with the aquatic stages of the weevil's life cycle. These findings offer a mechanism for variable field establishment, not a universal turbidity cutoff applicable to every water body. They also suggest that a plant can thrive under conditions that are unfavourable to its control agent, reinforcing the need to monitor both populations and their environment (</w:t>
      </w:r>
      <w:proofErr w:type="spellStart"/>
      <w:r>
        <w:t>Mukarugwiro</w:t>
      </w:r>
      <w:proofErr w:type="spellEnd"/>
      <w:r>
        <w:t xml:space="preserve"> et al., 2023).</w:t>
      </w:r>
    </w:p>
    <w:p w14:paraId="448F52BC" w14:textId="77777777" w:rsidR="006316A5" w:rsidRDefault="00000000">
      <w:pPr>
        <w:jc w:val="both"/>
      </w:pPr>
      <w:r>
        <w:t xml:space="preserve">Biological control should therefore be assessed using agent density, seasonal persistence, plant growth and cover, and the ecosystem services ultimately protected. A prolonged lag before suppression may be acceptable in a broad reservoir but unacceptable at an essential intake. That is a reason to combine compatible short-term protection with longer-term suppression, not to reject biological control for failing to behave like an immediate mechanical intervention. Host-specificity and release assessment remain prerequisites; natural origin alone is not an adequate basis for introducing an organism (Harms et al., 2021; </w:t>
      </w:r>
      <w:proofErr w:type="spellStart"/>
      <w:r>
        <w:t>Karouach</w:t>
      </w:r>
      <w:proofErr w:type="spellEnd"/>
      <w:r>
        <w:t xml:space="preserve"> et al., 2022).</w:t>
      </w:r>
    </w:p>
    <w:p w14:paraId="4965C68B" w14:textId="77777777" w:rsidR="006316A5" w:rsidRDefault="00000000">
      <w:pPr>
        <w:pStyle w:val="Heading2"/>
      </w:pPr>
      <w:r>
        <w:t>6.5 Microbial Products and Emerging Bioherbicides</w:t>
      </w:r>
    </w:p>
    <w:p w14:paraId="607EB0F0" w14:textId="77777777" w:rsidR="006316A5" w:rsidRDefault="00000000">
      <w:pPr>
        <w:jc w:val="both"/>
      </w:pPr>
      <w:r>
        <w:t xml:space="preserve">Microbial products require the same separation of mechanism, field efficacy and safety. A study of a </w:t>
      </w:r>
      <w:r>
        <w:rPr>
          <w:i/>
        </w:rPr>
        <w:t xml:space="preserve">Fusarium </w:t>
      </w:r>
      <w:proofErr w:type="spellStart"/>
      <w:r>
        <w:rPr>
          <w:i/>
        </w:rPr>
        <w:t>equiseti</w:t>
      </w:r>
      <w:proofErr w:type="spellEnd"/>
      <w:r>
        <w:t xml:space="preserve"> crude extract demonstrated phytotoxicity to water-hyacinth leaf discs, including pigment loss and tissue injury. It also reported effects in an </w:t>
      </w:r>
      <w:r>
        <w:rPr>
          <w:i/>
        </w:rPr>
        <w:t>Allium cepa</w:t>
      </w:r>
      <w:r>
        <w:t xml:space="preserve"> assay. These observations justify investigating the active constituents and their modes of action, but do not establish selectivity, environmental persistence or safe application to open water. A crude extract that damages plant tissue is a candidate for further testing, not a validated ecosystem-management tool (</w:t>
      </w:r>
      <w:proofErr w:type="spellStart"/>
      <w:r>
        <w:t>Laosinwattana</w:t>
      </w:r>
      <w:proofErr w:type="spellEnd"/>
      <w:r>
        <w:t xml:space="preserve"> et al., 2024).</w:t>
      </w:r>
    </w:p>
    <w:p w14:paraId="7756DD59" w14:textId="77777777" w:rsidR="006316A5" w:rsidRDefault="00000000">
      <w:pPr>
        <w:jc w:val="both"/>
      </w:pPr>
      <w:r>
        <w:t>The evidentiary progression should move from characterised composition and reproducible dose-response relationships to whole-plant tests, non-target assays and contained field trials before operational claims are made. Repeated use would also require attention to batch consistency and realistic exposure. Similar caution applies when a review presents promising microbial or botanical approaches alongside established field programmes: placing them in the same list must not imply equivalent maturity. Table 3 compares the management options by defensible use, limitations and the evidence required to assess success.</w:t>
      </w:r>
    </w:p>
    <w:p w14:paraId="5A768A54" w14:textId="77777777" w:rsidR="006316A5" w:rsidRDefault="00000000">
      <w:pPr>
        <w:keepNext/>
        <w:spacing w:before="160" w:after="60"/>
      </w:pPr>
      <w:r>
        <w:rPr>
          <w:b/>
        </w:rPr>
        <w:t>Table 3</w:t>
      </w:r>
    </w:p>
    <w:p w14:paraId="10A5A10B" w14:textId="77777777" w:rsidR="006316A5" w:rsidRDefault="00000000">
      <w:pPr>
        <w:keepNext/>
        <w:spacing w:after="120"/>
      </w:pPr>
      <w:r>
        <w:rPr>
          <w:i/>
        </w:rPr>
        <w:t>Management options assessed against objectives, constraints and unintended effects</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614480FD"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3D1FE562" w14:textId="77777777" w:rsidR="006316A5" w:rsidRDefault="00000000">
            <w:pPr>
              <w:keepLines/>
              <w:spacing w:after="0" w:line="254" w:lineRule="auto"/>
            </w:pPr>
            <w:r>
              <w:rPr>
                <w:b/>
                <w:sz w:val="20"/>
              </w:rPr>
              <w:t>Option</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0BAFB7E6" w14:textId="77777777" w:rsidR="006316A5" w:rsidRDefault="00000000">
            <w:pPr>
              <w:keepLines/>
              <w:spacing w:after="0" w:line="254" w:lineRule="auto"/>
            </w:pPr>
            <w:r>
              <w:rPr>
                <w:b/>
                <w:sz w:val="20"/>
              </w:rPr>
              <w:t>Defensible role</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F2E971E" w14:textId="77777777" w:rsidR="006316A5" w:rsidRDefault="00000000">
            <w:pPr>
              <w:keepLines/>
              <w:spacing w:after="0" w:line="254" w:lineRule="auto"/>
            </w:pPr>
            <w:r>
              <w:rPr>
                <w:b/>
                <w:sz w:val="20"/>
              </w:rPr>
              <w:t>Principal constraint or assessment need</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69684C50" w14:textId="77777777" w:rsidR="006316A5" w:rsidRDefault="00000000">
            <w:pPr>
              <w:keepLines/>
              <w:spacing w:after="0" w:line="254" w:lineRule="auto"/>
            </w:pPr>
            <w:r>
              <w:rPr>
                <w:b/>
                <w:sz w:val="20"/>
              </w:rPr>
              <w:t>Supporting references</w:t>
            </w:r>
          </w:p>
        </w:tc>
      </w:tr>
      <w:tr w:rsidR="006316A5" w14:paraId="19371B46"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C154147" w14:textId="77777777" w:rsidR="006316A5" w:rsidRDefault="00000000">
            <w:pPr>
              <w:keepLines/>
              <w:spacing w:after="0" w:line="254" w:lineRule="auto"/>
            </w:pPr>
            <w:r>
              <w:rPr>
                <w:sz w:val="20"/>
              </w:rPr>
              <w:t>Prevention and early response</w:t>
            </w:r>
          </w:p>
        </w:tc>
        <w:tc>
          <w:tcPr>
            <w:tcW w:w="2448" w:type="dxa"/>
            <w:tcBorders>
              <w:bottom w:val="single" w:sz="3" w:space="0" w:color="CCCCCC"/>
            </w:tcBorders>
            <w:tcMar>
              <w:top w:w="80" w:type="dxa"/>
              <w:left w:w="90" w:type="dxa"/>
              <w:bottom w:w="80" w:type="dxa"/>
              <w:right w:w="90" w:type="dxa"/>
            </w:tcMar>
            <w:vAlign w:val="center"/>
          </w:tcPr>
          <w:p w14:paraId="767612B0" w14:textId="77777777" w:rsidR="006316A5" w:rsidRDefault="00000000">
            <w:pPr>
              <w:keepLines/>
              <w:spacing w:after="0" w:line="254" w:lineRule="auto"/>
            </w:pPr>
            <w:r>
              <w:rPr>
                <w:sz w:val="20"/>
              </w:rPr>
              <w:t>Avoid establishment or contain newly detected populations in priority water bodies.</w:t>
            </w:r>
          </w:p>
        </w:tc>
        <w:tc>
          <w:tcPr>
            <w:tcW w:w="3197" w:type="dxa"/>
            <w:tcBorders>
              <w:bottom w:val="single" w:sz="3" w:space="0" w:color="CCCCCC"/>
            </w:tcBorders>
            <w:tcMar>
              <w:top w:w="80" w:type="dxa"/>
              <w:left w:w="90" w:type="dxa"/>
              <w:bottom w:w="80" w:type="dxa"/>
              <w:right w:w="90" w:type="dxa"/>
            </w:tcMar>
            <w:vAlign w:val="center"/>
          </w:tcPr>
          <w:p w14:paraId="2AB7D83C" w14:textId="77777777" w:rsidR="006316A5" w:rsidRDefault="00000000">
            <w:pPr>
              <w:keepLines/>
              <w:spacing w:after="0" w:line="254" w:lineRule="auto"/>
            </w:pPr>
            <w:r>
              <w:rPr>
                <w:sz w:val="20"/>
              </w:rPr>
              <w:t>Climatic suitability does not predict introduction; surveillance must include pathways and consequences.</w:t>
            </w:r>
          </w:p>
        </w:tc>
        <w:tc>
          <w:tcPr>
            <w:tcW w:w="2174" w:type="dxa"/>
            <w:tcBorders>
              <w:bottom w:val="single" w:sz="3" w:space="0" w:color="CCCCCC"/>
            </w:tcBorders>
            <w:tcMar>
              <w:top w:w="80" w:type="dxa"/>
              <w:left w:w="90" w:type="dxa"/>
              <w:bottom w:w="80" w:type="dxa"/>
              <w:right w:w="90" w:type="dxa"/>
            </w:tcMar>
            <w:vAlign w:val="center"/>
          </w:tcPr>
          <w:p w14:paraId="69EF37A8" w14:textId="77777777" w:rsidR="006316A5" w:rsidRDefault="00000000">
            <w:pPr>
              <w:keepLines/>
              <w:spacing w:after="0" w:line="254" w:lineRule="auto"/>
            </w:pPr>
            <w:r>
              <w:rPr>
                <w:sz w:val="20"/>
              </w:rPr>
              <w:t>(Kriticos &amp; Brunel, 2016)</w:t>
            </w:r>
          </w:p>
        </w:tc>
      </w:tr>
      <w:tr w:rsidR="006316A5" w14:paraId="5EA50DBC"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21E0DD7" w14:textId="77777777" w:rsidR="006316A5" w:rsidRDefault="00000000">
            <w:pPr>
              <w:keepLines/>
              <w:spacing w:after="0" w:line="254" w:lineRule="auto"/>
            </w:pPr>
            <w:r>
              <w:rPr>
                <w:sz w:val="20"/>
              </w:rPr>
              <w:lastRenderedPageBreak/>
              <w:t>Manual or mechanical removal</w:t>
            </w:r>
          </w:p>
        </w:tc>
        <w:tc>
          <w:tcPr>
            <w:tcW w:w="2448" w:type="dxa"/>
            <w:tcBorders>
              <w:bottom w:val="single" w:sz="3" w:space="0" w:color="CCCCCC"/>
            </w:tcBorders>
            <w:tcMar>
              <w:top w:w="80" w:type="dxa"/>
              <w:left w:w="90" w:type="dxa"/>
              <w:bottom w:w="80" w:type="dxa"/>
              <w:right w:w="90" w:type="dxa"/>
            </w:tcMar>
            <w:vAlign w:val="center"/>
          </w:tcPr>
          <w:p w14:paraId="0605E0E7" w14:textId="77777777" w:rsidR="006316A5" w:rsidRDefault="00000000">
            <w:pPr>
              <w:keepLines/>
              <w:spacing w:after="0" w:line="254" w:lineRule="auto"/>
            </w:pPr>
            <w:r>
              <w:rPr>
                <w:sz w:val="20"/>
              </w:rPr>
              <w:t>Rapid clearance of selected areas and measurable biomass export.</w:t>
            </w:r>
          </w:p>
        </w:tc>
        <w:tc>
          <w:tcPr>
            <w:tcW w:w="3197" w:type="dxa"/>
            <w:tcBorders>
              <w:bottom w:val="single" w:sz="3" w:space="0" w:color="CCCCCC"/>
            </w:tcBorders>
            <w:tcMar>
              <w:top w:w="80" w:type="dxa"/>
              <w:left w:w="90" w:type="dxa"/>
              <w:bottom w:w="80" w:type="dxa"/>
              <w:right w:w="90" w:type="dxa"/>
            </w:tcMar>
            <w:vAlign w:val="center"/>
          </w:tcPr>
          <w:p w14:paraId="2A91B1B2" w14:textId="77777777" w:rsidR="006316A5" w:rsidRDefault="00000000">
            <w:pPr>
              <w:keepLines/>
              <w:spacing w:after="0" w:line="254" w:lineRule="auto"/>
            </w:pPr>
            <w:r>
              <w:rPr>
                <w:sz w:val="20"/>
              </w:rPr>
              <w:t>Recolonisation and maintenance; include transport, disposal and non-target habitat in evaluation.</w:t>
            </w:r>
          </w:p>
        </w:tc>
        <w:tc>
          <w:tcPr>
            <w:tcW w:w="2174" w:type="dxa"/>
            <w:tcBorders>
              <w:bottom w:val="single" w:sz="3" w:space="0" w:color="CCCCCC"/>
            </w:tcBorders>
            <w:tcMar>
              <w:top w:w="80" w:type="dxa"/>
              <w:left w:w="90" w:type="dxa"/>
              <w:bottom w:w="80" w:type="dxa"/>
              <w:right w:w="90" w:type="dxa"/>
            </w:tcMar>
            <w:vAlign w:val="center"/>
          </w:tcPr>
          <w:p w14:paraId="325AC0D9" w14:textId="77777777" w:rsidR="006316A5" w:rsidRDefault="00000000">
            <w:pPr>
              <w:keepLines/>
              <w:spacing w:after="0" w:line="254" w:lineRule="auto"/>
            </w:pPr>
            <w:r>
              <w:rPr>
                <w:sz w:val="20"/>
              </w:rPr>
              <w:t xml:space="preserve">(Chala et al., 2026; </w:t>
            </w:r>
            <w:proofErr w:type="spellStart"/>
            <w:r>
              <w:rPr>
                <w:sz w:val="20"/>
              </w:rPr>
              <w:t>Karouach</w:t>
            </w:r>
            <w:proofErr w:type="spellEnd"/>
            <w:r>
              <w:rPr>
                <w:sz w:val="20"/>
              </w:rPr>
              <w:t xml:space="preserve"> et al., 2022)</w:t>
            </w:r>
          </w:p>
        </w:tc>
      </w:tr>
      <w:tr w:rsidR="006316A5" w14:paraId="47A9E325"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D0CDB61" w14:textId="77777777" w:rsidR="006316A5" w:rsidRDefault="00000000">
            <w:pPr>
              <w:keepLines/>
              <w:spacing w:after="0" w:line="254" w:lineRule="auto"/>
            </w:pPr>
            <w:r>
              <w:rPr>
                <w:sz w:val="20"/>
              </w:rPr>
              <w:t>Shredding in place</w:t>
            </w:r>
          </w:p>
        </w:tc>
        <w:tc>
          <w:tcPr>
            <w:tcW w:w="2448" w:type="dxa"/>
            <w:tcBorders>
              <w:bottom w:val="single" w:sz="3" w:space="0" w:color="CCCCCC"/>
            </w:tcBorders>
            <w:tcMar>
              <w:top w:w="80" w:type="dxa"/>
              <w:left w:w="90" w:type="dxa"/>
              <w:bottom w:w="80" w:type="dxa"/>
              <w:right w:w="90" w:type="dxa"/>
            </w:tcMar>
            <w:vAlign w:val="center"/>
          </w:tcPr>
          <w:p w14:paraId="714922A1" w14:textId="77777777" w:rsidR="006316A5" w:rsidRDefault="00000000">
            <w:pPr>
              <w:keepLines/>
              <w:spacing w:after="0" w:line="254" w:lineRule="auto"/>
            </w:pPr>
            <w:r>
              <w:rPr>
                <w:sz w:val="20"/>
              </w:rPr>
              <w:t>Physical disruption of a mat without full export.</w:t>
            </w:r>
          </w:p>
        </w:tc>
        <w:tc>
          <w:tcPr>
            <w:tcW w:w="3197" w:type="dxa"/>
            <w:tcBorders>
              <w:bottom w:val="single" w:sz="3" w:space="0" w:color="CCCCCC"/>
            </w:tcBorders>
            <w:tcMar>
              <w:top w:w="80" w:type="dxa"/>
              <w:left w:w="90" w:type="dxa"/>
              <w:bottom w:w="80" w:type="dxa"/>
              <w:right w:w="90" w:type="dxa"/>
            </w:tcMar>
            <w:vAlign w:val="center"/>
          </w:tcPr>
          <w:p w14:paraId="1DC26736" w14:textId="77777777" w:rsidR="006316A5" w:rsidRDefault="00000000">
            <w:pPr>
              <w:keepLines/>
              <w:spacing w:after="0" w:line="254" w:lineRule="auto"/>
            </w:pPr>
            <w:r>
              <w:rPr>
                <w:sz w:val="20"/>
              </w:rPr>
              <w:t>Retains organic material and nutrients; assess decomposition and site-specific oxygen response.</w:t>
            </w:r>
          </w:p>
        </w:tc>
        <w:tc>
          <w:tcPr>
            <w:tcW w:w="2174" w:type="dxa"/>
            <w:tcBorders>
              <w:bottom w:val="single" w:sz="3" w:space="0" w:color="CCCCCC"/>
            </w:tcBorders>
            <w:tcMar>
              <w:top w:w="80" w:type="dxa"/>
              <w:left w:w="90" w:type="dxa"/>
              <w:bottom w:w="80" w:type="dxa"/>
              <w:right w:w="90" w:type="dxa"/>
            </w:tcMar>
            <w:vAlign w:val="center"/>
          </w:tcPr>
          <w:p w14:paraId="45FE4BAC" w14:textId="77777777" w:rsidR="006316A5" w:rsidRDefault="00000000">
            <w:pPr>
              <w:keepLines/>
              <w:spacing w:after="0" w:line="254" w:lineRule="auto"/>
            </w:pPr>
            <w:r>
              <w:rPr>
                <w:sz w:val="20"/>
              </w:rPr>
              <w:t>(Greenfield et al., 2007)</w:t>
            </w:r>
          </w:p>
        </w:tc>
      </w:tr>
      <w:tr w:rsidR="006316A5" w14:paraId="3F69FD13"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5B7BDE3A" w14:textId="77777777" w:rsidR="006316A5" w:rsidRDefault="00000000">
            <w:pPr>
              <w:keepLines/>
              <w:spacing w:after="0" w:line="254" w:lineRule="auto"/>
            </w:pPr>
            <w:r>
              <w:rPr>
                <w:sz w:val="20"/>
              </w:rPr>
              <w:t>Aquatic herbicides</w:t>
            </w:r>
          </w:p>
        </w:tc>
        <w:tc>
          <w:tcPr>
            <w:tcW w:w="2448" w:type="dxa"/>
            <w:tcBorders>
              <w:bottom w:val="single" w:sz="3" w:space="0" w:color="CCCCCC"/>
            </w:tcBorders>
            <w:tcMar>
              <w:top w:w="80" w:type="dxa"/>
              <w:left w:w="90" w:type="dxa"/>
              <w:bottom w:w="80" w:type="dxa"/>
              <w:right w:w="90" w:type="dxa"/>
            </w:tcMar>
            <w:vAlign w:val="center"/>
          </w:tcPr>
          <w:p w14:paraId="3A094477" w14:textId="77777777" w:rsidR="006316A5" w:rsidRDefault="00000000">
            <w:pPr>
              <w:keepLines/>
              <w:spacing w:after="0" w:line="254" w:lineRule="auto"/>
            </w:pPr>
            <w:r>
              <w:rPr>
                <w:sz w:val="20"/>
              </w:rPr>
              <w:t>Targeted suppression where locally authorised and appropriate.</w:t>
            </w:r>
          </w:p>
        </w:tc>
        <w:tc>
          <w:tcPr>
            <w:tcW w:w="3197" w:type="dxa"/>
            <w:tcBorders>
              <w:bottom w:val="single" w:sz="3" w:space="0" w:color="CCCCCC"/>
            </w:tcBorders>
            <w:tcMar>
              <w:top w:w="80" w:type="dxa"/>
              <w:left w:w="90" w:type="dxa"/>
              <w:bottom w:w="80" w:type="dxa"/>
              <w:right w:w="90" w:type="dxa"/>
            </w:tcMar>
            <w:vAlign w:val="center"/>
          </w:tcPr>
          <w:p w14:paraId="10946A91" w14:textId="77777777" w:rsidR="006316A5" w:rsidRDefault="00000000">
            <w:pPr>
              <w:keepLines/>
              <w:spacing w:after="0" w:line="254" w:lineRule="auto"/>
            </w:pPr>
            <w:r>
              <w:rPr>
                <w:sz w:val="20"/>
              </w:rPr>
              <w:t>Plant mortality and basic water chemistry do not establish chronic or non-target safety; check agent compatibility.</w:t>
            </w:r>
          </w:p>
        </w:tc>
        <w:tc>
          <w:tcPr>
            <w:tcW w:w="2174" w:type="dxa"/>
            <w:tcBorders>
              <w:bottom w:val="single" w:sz="3" w:space="0" w:color="CCCCCC"/>
            </w:tcBorders>
            <w:tcMar>
              <w:top w:w="80" w:type="dxa"/>
              <w:left w:w="90" w:type="dxa"/>
              <w:bottom w:w="80" w:type="dxa"/>
              <w:right w:w="90" w:type="dxa"/>
            </w:tcMar>
            <w:vAlign w:val="center"/>
          </w:tcPr>
          <w:p w14:paraId="28C8EE48" w14:textId="77777777" w:rsidR="006316A5" w:rsidRDefault="00000000">
            <w:pPr>
              <w:keepLines/>
              <w:spacing w:after="0" w:line="254" w:lineRule="auto"/>
            </w:pPr>
            <w:r>
              <w:rPr>
                <w:sz w:val="20"/>
              </w:rPr>
              <w:t>(</w:t>
            </w:r>
            <w:proofErr w:type="spellStart"/>
            <w:r>
              <w:rPr>
                <w:sz w:val="20"/>
              </w:rPr>
              <w:t>Kurniadie</w:t>
            </w:r>
            <w:proofErr w:type="spellEnd"/>
            <w:r>
              <w:rPr>
                <w:sz w:val="20"/>
              </w:rPr>
              <w:t xml:space="preserve"> et al., 2023; Moran et al., 2023; Tobias et al., 2019)</w:t>
            </w:r>
          </w:p>
        </w:tc>
      </w:tr>
      <w:tr w:rsidR="006316A5" w14:paraId="3DCE6831"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01E8F3A" w14:textId="77777777" w:rsidR="006316A5" w:rsidRDefault="00000000">
            <w:pPr>
              <w:keepLines/>
              <w:spacing w:after="0" w:line="254" w:lineRule="auto"/>
            </w:pPr>
            <w:r>
              <w:rPr>
                <w:sz w:val="20"/>
              </w:rPr>
              <w:t>Biological control</w:t>
            </w:r>
          </w:p>
        </w:tc>
        <w:tc>
          <w:tcPr>
            <w:tcW w:w="2448" w:type="dxa"/>
            <w:tcBorders>
              <w:bottom w:val="single" w:sz="3" w:space="0" w:color="CCCCCC"/>
            </w:tcBorders>
            <w:tcMar>
              <w:top w:w="80" w:type="dxa"/>
              <w:left w:w="90" w:type="dxa"/>
              <w:bottom w:w="80" w:type="dxa"/>
              <w:right w:w="90" w:type="dxa"/>
            </w:tcMar>
            <w:vAlign w:val="center"/>
          </w:tcPr>
          <w:p w14:paraId="0F698F4C" w14:textId="77777777" w:rsidR="006316A5" w:rsidRDefault="00000000">
            <w:pPr>
              <w:keepLines/>
              <w:spacing w:after="0" w:line="254" w:lineRule="auto"/>
            </w:pPr>
            <w:r>
              <w:rPr>
                <w:sz w:val="20"/>
              </w:rPr>
              <w:t>Sustained suppression through environmentally matched agents, with augmentation where needed.</w:t>
            </w:r>
          </w:p>
        </w:tc>
        <w:tc>
          <w:tcPr>
            <w:tcW w:w="3197" w:type="dxa"/>
            <w:tcBorders>
              <w:bottom w:val="single" w:sz="3" w:space="0" w:color="CCCCCC"/>
            </w:tcBorders>
            <w:tcMar>
              <w:top w:w="80" w:type="dxa"/>
              <w:left w:w="90" w:type="dxa"/>
              <w:bottom w:w="80" w:type="dxa"/>
              <w:right w:w="90" w:type="dxa"/>
            </w:tcMar>
            <w:vAlign w:val="center"/>
          </w:tcPr>
          <w:p w14:paraId="5FAB0750" w14:textId="77777777" w:rsidR="006316A5" w:rsidRDefault="00000000">
            <w:pPr>
              <w:keepLines/>
              <w:spacing w:after="0" w:line="254" w:lineRule="auto"/>
            </w:pPr>
            <w:r>
              <w:rPr>
                <w:sz w:val="20"/>
              </w:rPr>
              <w:t>Establishment is not impact; seasonal recovery, turbidity, release continuity and host specificity matter.</w:t>
            </w:r>
          </w:p>
        </w:tc>
        <w:tc>
          <w:tcPr>
            <w:tcW w:w="2174" w:type="dxa"/>
            <w:tcBorders>
              <w:bottom w:val="single" w:sz="3" w:space="0" w:color="CCCCCC"/>
            </w:tcBorders>
            <w:tcMar>
              <w:top w:w="80" w:type="dxa"/>
              <w:left w:w="90" w:type="dxa"/>
              <w:bottom w:w="80" w:type="dxa"/>
              <w:right w:w="90" w:type="dxa"/>
            </w:tcMar>
            <w:vAlign w:val="center"/>
          </w:tcPr>
          <w:p w14:paraId="3F446473" w14:textId="77777777" w:rsidR="006316A5" w:rsidRDefault="00000000">
            <w:pPr>
              <w:keepLines/>
              <w:spacing w:after="0" w:line="254" w:lineRule="auto"/>
            </w:pPr>
            <w:r>
              <w:rPr>
                <w:sz w:val="20"/>
              </w:rPr>
              <w:t xml:space="preserve">(Coetzee et al., 2022; Miller et al., 2023; </w:t>
            </w:r>
            <w:proofErr w:type="spellStart"/>
            <w:r>
              <w:rPr>
                <w:sz w:val="20"/>
              </w:rPr>
              <w:t>Mukarugwiro</w:t>
            </w:r>
            <w:proofErr w:type="spellEnd"/>
            <w:r>
              <w:rPr>
                <w:sz w:val="20"/>
              </w:rPr>
              <w:t xml:space="preserve"> et al., 2023)</w:t>
            </w:r>
          </w:p>
        </w:tc>
      </w:tr>
      <w:tr w:rsidR="006316A5" w14:paraId="32D3ACED"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32800687" w14:textId="77777777" w:rsidR="006316A5" w:rsidRDefault="00000000">
            <w:pPr>
              <w:keepLines/>
              <w:spacing w:after="0" w:line="254" w:lineRule="auto"/>
            </w:pPr>
            <w:r>
              <w:rPr>
                <w:sz w:val="20"/>
              </w:rPr>
              <w:t>Microbial products</w:t>
            </w:r>
          </w:p>
        </w:tc>
        <w:tc>
          <w:tcPr>
            <w:tcW w:w="2448" w:type="dxa"/>
            <w:tcBorders>
              <w:bottom w:val="single" w:sz="3" w:space="0" w:color="CCCCCC"/>
            </w:tcBorders>
            <w:tcMar>
              <w:top w:w="80" w:type="dxa"/>
              <w:left w:w="90" w:type="dxa"/>
              <w:bottom w:w="80" w:type="dxa"/>
              <w:right w:w="90" w:type="dxa"/>
            </w:tcMar>
            <w:vAlign w:val="center"/>
          </w:tcPr>
          <w:p w14:paraId="74874401" w14:textId="77777777" w:rsidR="006316A5" w:rsidRDefault="00000000">
            <w:pPr>
              <w:keepLines/>
              <w:spacing w:after="0" w:line="254" w:lineRule="auto"/>
            </w:pPr>
            <w:r>
              <w:rPr>
                <w:sz w:val="20"/>
              </w:rPr>
              <w:t>Candidate pathways for further contained efficacy and selectivity testing.</w:t>
            </w:r>
          </w:p>
        </w:tc>
        <w:tc>
          <w:tcPr>
            <w:tcW w:w="3197" w:type="dxa"/>
            <w:tcBorders>
              <w:bottom w:val="single" w:sz="3" w:space="0" w:color="CCCCCC"/>
            </w:tcBorders>
            <w:tcMar>
              <w:top w:w="80" w:type="dxa"/>
              <w:left w:w="90" w:type="dxa"/>
              <w:bottom w:w="80" w:type="dxa"/>
              <w:right w:w="90" w:type="dxa"/>
            </w:tcMar>
            <w:vAlign w:val="center"/>
          </w:tcPr>
          <w:p w14:paraId="0448C7D6" w14:textId="77777777" w:rsidR="006316A5" w:rsidRDefault="00000000">
            <w:pPr>
              <w:keepLines/>
              <w:spacing w:after="0" w:line="254" w:lineRule="auto"/>
            </w:pPr>
            <w:r>
              <w:rPr>
                <w:sz w:val="20"/>
              </w:rPr>
              <w:t>Leaf-disc phytotoxicity does not establish whole-plant field performance or ecosystem safety.</w:t>
            </w:r>
          </w:p>
        </w:tc>
        <w:tc>
          <w:tcPr>
            <w:tcW w:w="2174" w:type="dxa"/>
            <w:tcBorders>
              <w:bottom w:val="single" w:sz="3" w:space="0" w:color="CCCCCC"/>
            </w:tcBorders>
            <w:tcMar>
              <w:top w:w="80" w:type="dxa"/>
              <w:left w:w="90" w:type="dxa"/>
              <w:bottom w:w="80" w:type="dxa"/>
              <w:right w:w="90" w:type="dxa"/>
            </w:tcMar>
            <w:vAlign w:val="center"/>
          </w:tcPr>
          <w:p w14:paraId="77271EC0" w14:textId="77777777" w:rsidR="006316A5" w:rsidRDefault="00000000">
            <w:pPr>
              <w:keepLines/>
              <w:spacing w:after="0" w:line="254" w:lineRule="auto"/>
            </w:pPr>
            <w:r>
              <w:rPr>
                <w:sz w:val="20"/>
              </w:rPr>
              <w:t>(</w:t>
            </w:r>
            <w:proofErr w:type="spellStart"/>
            <w:r>
              <w:rPr>
                <w:sz w:val="20"/>
              </w:rPr>
              <w:t>Laosinwattana</w:t>
            </w:r>
            <w:proofErr w:type="spellEnd"/>
            <w:r>
              <w:rPr>
                <w:sz w:val="20"/>
              </w:rPr>
              <w:t xml:space="preserve"> et al., 2024)</w:t>
            </w:r>
          </w:p>
        </w:tc>
      </w:tr>
      <w:tr w:rsidR="006316A5" w14:paraId="3B2F8F76"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7D9DDFA1" w14:textId="77777777" w:rsidR="006316A5" w:rsidRDefault="00000000">
            <w:pPr>
              <w:keepLines/>
              <w:spacing w:after="0" w:line="254" w:lineRule="auto"/>
            </w:pPr>
            <w:r>
              <w:rPr>
                <w:sz w:val="20"/>
              </w:rPr>
              <w:t>Nutrient management</w:t>
            </w:r>
          </w:p>
        </w:tc>
        <w:tc>
          <w:tcPr>
            <w:tcW w:w="2448" w:type="dxa"/>
            <w:tcBorders>
              <w:bottom w:val="single" w:sz="8" w:space="0" w:color="555555"/>
            </w:tcBorders>
            <w:tcMar>
              <w:top w:w="80" w:type="dxa"/>
              <w:left w:w="90" w:type="dxa"/>
              <w:bottom w:w="80" w:type="dxa"/>
              <w:right w:w="90" w:type="dxa"/>
            </w:tcMar>
            <w:vAlign w:val="center"/>
          </w:tcPr>
          <w:p w14:paraId="2C991408" w14:textId="77777777" w:rsidR="006316A5" w:rsidRDefault="00000000">
            <w:pPr>
              <w:keepLines/>
              <w:spacing w:after="0" w:line="254" w:lineRule="auto"/>
            </w:pPr>
            <w:r>
              <w:rPr>
                <w:sz w:val="20"/>
              </w:rPr>
              <w:t>Reduce growth-supporting pressure and support longer-term recovery.</w:t>
            </w:r>
          </w:p>
        </w:tc>
        <w:tc>
          <w:tcPr>
            <w:tcW w:w="3197" w:type="dxa"/>
            <w:tcBorders>
              <w:bottom w:val="single" w:sz="8" w:space="0" w:color="555555"/>
            </w:tcBorders>
            <w:tcMar>
              <w:top w:w="80" w:type="dxa"/>
              <w:left w:w="90" w:type="dxa"/>
              <w:bottom w:w="80" w:type="dxa"/>
              <w:right w:w="90" w:type="dxa"/>
            </w:tcMar>
            <w:vAlign w:val="center"/>
          </w:tcPr>
          <w:p w14:paraId="07A24A28" w14:textId="77777777" w:rsidR="006316A5" w:rsidRDefault="00000000">
            <w:pPr>
              <w:keepLines/>
              <w:spacing w:after="0" w:line="254" w:lineRule="auto"/>
            </w:pPr>
            <w:r>
              <w:rPr>
                <w:sz w:val="20"/>
              </w:rPr>
              <w:t>Does not necessarily resolve immediate obstruction; site-specific loads and response lags require measurement.</w:t>
            </w:r>
          </w:p>
        </w:tc>
        <w:tc>
          <w:tcPr>
            <w:tcW w:w="2174" w:type="dxa"/>
            <w:tcBorders>
              <w:bottom w:val="single" w:sz="8" w:space="0" w:color="555555"/>
            </w:tcBorders>
            <w:tcMar>
              <w:top w:w="80" w:type="dxa"/>
              <w:left w:w="90" w:type="dxa"/>
              <w:bottom w:w="80" w:type="dxa"/>
              <w:right w:w="90" w:type="dxa"/>
            </w:tcMar>
            <w:vAlign w:val="center"/>
          </w:tcPr>
          <w:p w14:paraId="78038C70" w14:textId="77777777" w:rsidR="006316A5" w:rsidRDefault="00000000">
            <w:pPr>
              <w:keepLines/>
              <w:spacing w:after="0" w:line="254" w:lineRule="auto"/>
            </w:pPr>
            <w:r>
              <w:rPr>
                <w:sz w:val="20"/>
              </w:rPr>
              <w:t xml:space="preserve">(Coetzee &amp; Hill, 2012; </w:t>
            </w:r>
            <w:proofErr w:type="spellStart"/>
            <w:r>
              <w:rPr>
                <w:sz w:val="20"/>
              </w:rPr>
              <w:t>Dersseh</w:t>
            </w:r>
            <w:proofErr w:type="spellEnd"/>
            <w:r>
              <w:rPr>
                <w:sz w:val="20"/>
              </w:rPr>
              <w:t xml:space="preserve"> et al., 2022)</w:t>
            </w:r>
          </w:p>
        </w:tc>
      </w:tr>
    </w:tbl>
    <w:p w14:paraId="2A9F7590" w14:textId="77777777" w:rsidR="006316A5" w:rsidRDefault="00000000">
      <w:pPr>
        <w:spacing w:before="100" w:after="180" w:line="252" w:lineRule="auto"/>
      </w:pPr>
      <w:r>
        <w:rPr>
          <w:i/>
          <w:sz w:val="20"/>
        </w:rPr>
        <w:t xml:space="preserve">Note. </w:t>
      </w:r>
      <w:r>
        <w:rPr>
          <w:sz w:val="20"/>
        </w:rPr>
        <w:t>The table is not a product recommendation or a ranking of universal effectiveness. Locally applicable authorisations and ecological safeguards remain necessary.</w:t>
      </w:r>
    </w:p>
    <w:p w14:paraId="426DEB08" w14:textId="77777777" w:rsidR="006316A5" w:rsidRDefault="00000000">
      <w:pPr>
        <w:pStyle w:val="Heading1"/>
      </w:pPr>
      <w:r>
        <w:t>7. Integrated Management and the Measurement of Ecological Recovery</w:t>
      </w:r>
    </w:p>
    <w:p w14:paraId="0DDE63F5" w14:textId="77777777" w:rsidR="006316A5" w:rsidRDefault="00000000">
      <w:pPr>
        <w:pStyle w:val="Heading2"/>
      </w:pPr>
      <w:r>
        <w:t>7.1 Integration as a Sequence of Compatible Decisions</w:t>
      </w:r>
    </w:p>
    <w:p w14:paraId="27AD5D83" w14:textId="77777777" w:rsidR="006316A5" w:rsidRDefault="00000000">
      <w:pPr>
        <w:jc w:val="both"/>
      </w:pPr>
      <w:r>
        <w:t>Integrated management should mean coordinated action against distinct causes and consequences, not the simultaneous use of every available method. The ecological diagnosis identifies the dominant constraint, such as persistent nutrient supply, recurrent incoming mats or a seasonal mismatch between plants and control agents. Immediate action then protects essential functions, while the longer-term programme addresses recurrence and recovery. Reviews advocate combining methods, but the test of integration is whether each component has a defined purpose and is compatible with the others (</w:t>
      </w:r>
      <w:proofErr w:type="spellStart"/>
      <w:r>
        <w:t>Karouach</w:t>
      </w:r>
      <w:proofErr w:type="spellEnd"/>
      <w:r>
        <w:t xml:space="preserve"> et al., 2022; Saeed et al., 2026).</w:t>
      </w:r>
    </w:p>
    <w:p w14:paraId="40E92436" w14:textId="77777777" w:rsidR="006316A5" w:rsidRDefault="00000000">
      <w:pPr>
        <w:jc w:val="both"/>
      </w:pPr>
      <w:r>
        <w:t xml:space="preserve">A useful distinction is between emergency clearance and strategic suppression. Where access is acutely restricted, selective physical removal can create a functional corridor while biological control is established elsewhere. Where agent populations are already contributing to suppression, indiscriminate removal of all host plants could remove the organisms the programme is trying to retain. Chemical treatments likewise require coordination with agent exposure and recovery. This review proposes maintaining spatially explicit treatment records </w:t>
      </w:r>
      <w:r>
        <w:lastRenderedPageBreak/>
        <w:t>and, where compatible with the protection objective, identifying refuges or recolonisation sources rather than treating the water body as a uniform operational unit (Miller et al., 2023; Moran et al., 2023).</w:t>
      </w:r>
    </w:p>
    <w:p w14:paraId="4B1EF93E" w14:textId="77777777" w:rsidR="006316A5" w:rsidRDefault="00000000">
      <w:pPr>
        <w:jc w:val="both"/>
      </w:pPr>
      <w:r>
        <w:t>Integration also requires coordinating sectors with different time horizons. Water managers may need a clear intake immediately, agricultural authorities may address nutrient sources over years, and communities may expect seasonal fishing access. These objectives are not necessarily in conflict, but they become difficult to reconcile when one short-term output is used to judge the whole programme. The appropriate performance statement should therefore specify the function protected, the period of protection and the associated maintenance commitment. Persistent external loading should be recorded as a constraint, not used retrospectively to redefine an unsuccessful treatment as success (Chala et al., 2026; Moffat et al., 2024).</w:t>
      </w:r>
    </w:p>
    <w:p w14:paraId="7E4CA041" w14:textId="77777777" w:rsidR="006316A5" w:rsidRDefault="00000000">
      <w:pPr>
        <w:jc w:val="both"/>
      </w:pPr>
      <w:r>
        <w:t>There is no universal treatment sequence supported across all reviewed settings. A sheltered, nutrient-rich lake margin may require repeated export and local oxygen surveillance, while a dynamic channel may be better served by interception of incoming mats and protection of key access points. These are conditional scenarios derived from the hydrological and recurrence evidence, not comparative trials establishing an optimal package. Their value is to make the reasoning testable: each proposed component should predict a measurable change that would justify retaining, modifying or stopping it (Greenfield et al., 2007; Tobias et al., 2019).</w:t>
      </w:r>
    </w:p>
    <w:p w14:paraId="5CACCA8F" w14:textId="77777777" w:rsidR="006316A5" w:rsidRDefault="00000000">
      <w:pPr>
        <w:pStyle w:val="Heading2"/>
      </w:pPr>
      <w:r>
        <w:t>7.2 Define Recovery Before Selecting Its Indicators</w:t>
      </w:r>
    </w:p>
    <w:p w14:paraId="6BE3ADFB" w14:textId="77777777" w:rsidR="006316A5" w:rsidRDefault="00000000">
      <w:pPr>
        <w:jc w:val="both"/>
      </w:pPr>
      <w:r>
        <w:t>Ecological recovery is not the absence of water hyacinth alone. A cleared site may remain turbid, nutrient-rich or dominated by another undesirable assemblage. Conversely, partial suppression may produce a meaningful improvement if native habitat and water-dependent activities recover. The endpoint must therefore specify what should replace the mat and which functions should be restored. Native-reference comparisons and the variable responses of aquatic communities support this requirement, although they do not identify a single desired community for all water bodies (Tasker et al., 2022; Toft et al., 2003).</w:t>
      </w:r>
    </w:p>
    <w:p w14:paraId="189674D1" w14:textId="77777777" w:rsidR="006316A5" w:rsidRDefault="00000000">
      <w:pPr>
        <w:jc w:val="both"/>
      </w:pPr>
      <w:r>
        <w:t>The proposed monitoring framework separates three levels. Operational indicators describe what was delivered, including treatment area, release effort and biomass export. Pressure indicators describe the continuing conditions favouring infestation, including incoming plants and nutrient loading. Outcome indicators describe what matters ecologically and socially, including low-oxygen exposure, native vegetation, fish recruitment and reliable access. Keeping these levels separate prevents a busy programme from being judged effective solely because it treated a large area or released many insects.</w:t>
      </w:r>
    </w:p>
    <w:p w14:paraId="5F0C2880" w14:textId="77777777" w:rsidR="006316A5" w:rsidRDefault="00000000">
      <w:pPr>
        <w:jc w:val="both"/>
      </w:pPr>
      <w:r>
        <w:t xml:space="preserve">Baseline information is required at each level, but its precision can reflect the decision. A small access project may need repeatable measures of corridor obstruction and maintenance effort rather than a lake-wide ecological survey. A restoration programme claiming improved biodiversity requires more demanding comparison and follow-up. In both cases, indicators should be collected consistently through relevant seasons. The review recommends predefining </w:t>
      </w:r>
      <w:r>
        <w:lastRenderedPageBreak/>
        <w:t>what change would trigger an additional intervention and what evidence would justify reducing treatment, avoiding an open-ended cycle of action without learning.</w:t>
      </w:r>
    </w:p>
    <w:p w14:paraId="707AA7A4" w14:textId="77777777" w:rsidR="006316A5" w:rsidRDefault="00000000">
      <w:pPr>
        <w:jc w:val="both"/>
      </w:pPr>
      <w:r>
        <w:t>Table 4 translates these distinctions into an outcome-based monitoring framework. The proposed measures are intended to guide local design rather than operate as universal thresholds. Their main advantage is that they make it possible to distinguish successful treatment delivery from sustained ecological and social benefit.</w:t>
      </w:r>
    </w:p>
    <w:p w14:paraId="2C7E230F" w14:textId="77777777" w:rsidR="006316A5" w:rsidRDefault="00000000">
      <w:pPr>
        <w:keepNext/>
        <w:spacing w:before="160" w:after="60"/>
      </w:pPr>
      <w:r>
        <w:rPr>
          <w:b/>
        </w:rPr>
        <w:t>Table 4</w:t>
      </w:r>
    </w:p>
    <w:p w14:paraId="7E13C040" w14:textId="77777777" w:rsidR="006316A5" w:rsidRDefault="00000000">
      <w:pPr>
        <w:keepNext/>
        <w:spacing w:after="120"/>
      </w:pPr>
      <w:r>
        <w:rPr>
          <w:i/>
        </w:rPr>
        <w:t>An outcome-based framework for monitoring integrated management</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797A3388"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56C3543B" w14:textId="77777777" w:rsidR="006316A5" w:rsidRDefault="00000000">
            <w:pPr>
              <w:keepLines/>
              <w:spacing w:after="0" w:line="254" w:lineRule="auto"/>
            </w:pPr>
            <w:r>
              <w:rPr>
                <w:b/>
                <w:sz w:val="20"/>
              </w:rPr>
              <w:t>Decision objective</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1E833460" w14:textId="77777777" w:rsidR="006316A5" w:rsidRDefault="00000000">
            <w:pPr>
              <w:keepLines/>
              <w:spacing w:after="0" w:line="254" w:lineRule="auto"/>
            </w:pPr>
            <w:r>
              <w:rPr>
                <w:b/>
                <w:sz w:val="20"/>
              </w:rPr>
              <w:t>Proposed measurements</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2A7D11A8" w14:textId="77777777" w:rsidR="006316A5" w:rsidRDefault="00000000">
            <w:pPr>
              <w:keepLines/>
              <w:spacing w:after="0" w:line="254" w:lineRule="auto"/>
            </w:pPr>
            <w:r>
              <w:rPr>
                <w:b/>
                <w:sz w:val="20"/>
              </w:rPr>
              <w:t>Interpretation and design safeguard</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1B1B1826" w14:textId="77777777" w:rsidR="006316A5" w:rsidRDefault="00000000">
            <w:pPr>
              <w:keepLines/>
              <w:spacing w:after="0" w:line="254" w:lineRule="auto"/>
            </w:pPr>
            <w:r>
              <w:rPr>
                <w:b/>
                <w:sz w:val="20"/>
              </w:rPr>
              <w:t>Supporting references</w:t>
            </w:r>
          </w:p>
        </w:tc>
      </w:tr>
      <w:tr w:rsidR="006316A5" w14:paraId="31C9E027"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017DE6B" w14:textId="77777777" w:rsidR="006316A5" w:rsidRDefault="00000000">
            <w:pPr>
              <w:keepLines/>
              <w:spacing w:after="0" w:line="254" w:lineRule="auto"/>
            </w:pPr>
            <w:r>
              <w:rPr>
                <w:sz w:val="20"/>
              </w:rPr>
              <w:t>Immediate access</w:t>
            </w:r>
          </w:p>
        </w:tc>
        <w:tc>
          <w:tcPr>
            <w:tcW w:w="2448" w:type="dxa"/>
            <w:tcBorders>
              <w:bottom w:val="single" w:sz="3" w:space="0" w:color="CCCCCC"/>
            </w:tcBorders>
            <w:tcMar>
              <w:top w:w="80" w:type="dxa"/>
              <w:left w:w="90" w:type="dxa"/>
              <w:bottom w:w="80" w:type="dxa"/>
              <w:right w:w="90" w:type="dxa"/>
            </w:tcMar>
            <w:vAlign w:val="center"/>
          </w:tcPr>
          <w:p w14:paraId="0EBC8C03" w14:textId="77777777" w:rsidR="006316A5" w:rsidRDefault="00000000">
            <w:pPr>
              <w:keepLines/>
              <w:spacing w:after="0" w:line="254" w:lineRule="auto"/>
            </w:pPr>
            <w:r>
              <w:rPr>
                <w:sz w:val="20"/>
              </w:rPr>
              <w:t>Obstructed area, usable corridor duration, intake interruptions and retreatment effort.</w:t>
            </w:r>
          </w:p>
        </w:tc>
        <w:tc>
          <w:tcPr>
            <w:tcW w:w="3197" w:type="dxa"/>
            <w:tcBorders>
              <w:bottom w:val="single" w:sz="3" w:space="0" w:color="CCCCCC"/>
            </w:tcBorders>
            <w:tcMar>
              <w:top w:w="80" w:type="dxa"/>
              <w:left w:w="90" w:type="dxa"/>
              <w:bottom w:w="80" w:type="dxa"/>
              <w:right w:w="90" w:type="dxa"/>
            </w:tcMar>
            <w:vAlign w:val="center"/>
          </w:tcPr>
          <w:p w14:paraId="7253FA19" w14:textId="77777777" w:rsidR="006316A5" w:rsidRDefault="00000000">
            <w:pPr>
              <w:keepLines/>
              <w:spacing w:after="0" w:line="254" w:lineRule="auto"/>
            </w:pPr>
            <w:r>
              <w:rPr>
                <w:sz w:val="20"/>
              </w:rPr>
              <w:t>Measure the protected service; hectares treated alone do not show reliable access.</w:t>
            </w:r>
          </w:p>
        </w:tc>
        <w:tc>
          <w:tcPr>
            <w:tcW w:w="2174" w:type="dxa"/>
            <w:tcBorders>
              <w:bottom w:val="single" w:sz="3" w:space="0" w:color="CCCCCC"/>
            </w:tcBorders>
            <w:tcMar>
              <w:top w:w="80" w:type="dxa"/>
              <w:left w:w="90" w:type="dxa"/>
              <w:bottom w:w="80" w:type="dxa"/>
              <w:right w:w="90" w:type="dxa"/>
            </w:tcMar>
            <w:vAlign w:val="center"/>
          </w:tcPr>
          <w:p w14:paraId="1AAE74F7" w14:textId="77777777" w:rsidR="006316A5" w:rsidRDefault="00000000">
            <w:pPr>
              <w:keepLines/>
              <w:spacing w:after="0" w:line="254" w:lineRule="auto"/>
            </w:pPr>
            <w:r>
              <w:rPr>
                <w:sz w:val="20"/>
              </w:rPr>
              <w:t>(</w:t>
            </w:r>
            <w:proofErr w:type="spellStart"/>
            <w:r>
              <w:rPr>
                <w:sz w:val="20"/>
              </w:rPr>
              <w:t>Enyew</w:t>
            </w:r>
            <w:proofErr w:type="spellEnd"/>
            <w:r>
              <w:rPr>
                <w:sz w:val="20"/>
              </w:rPr>
              <w:t xml:space="preserve"> et al., 2020; </w:t>
            </w:r>
            <w:proofErr w:type="spellStart"/>
            <w:r>
              <w:rPr>
                <w:sz w:val="20"/>
              </w:rPr>
              <w:t>Wainger</w:t>
            </w:r>
            <w:proofErr w:type="spellEnd"/>
            <w:r>
              <w:rPr>
                <w:sz w:val="20"/>
              </w:rPr>
              <w:t xml:space="preserve"> et al., 2018)</w:t>
            </w:r>
          </w:p>
        </w:tc>
      </w:tr>
      <w:tr w:rsidR="006316A5" w14:paraId="4F9FD0A3"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8A90964" w14:textId="77777777" w:rsidR="006316A5" w:rsidRDefault="00000000">
            <w:pPr>
              <w:keepLines/>
              <w:spacing w:after="0" w:line="254" w:lineRule="auto"/>
            </w:pPr>
            <w:r>
              <w:rPr>
                <w:sz w:val="20"/>
              </w:rPr>
              <w:t>Sustained suppression</w:t>
            </w:r>
          </w:p>
        </w:tc>
        <w:tc>
          <w:tcPr>
            <w:tcW w:w="2448" w:type="dxa"/>
            <w:tcBorders>
              <w:bottom w:val="single" w:sz="3" w:space="0" w:color="CCCCCC"/>
            </w:tcBorders>
            <w:tcMar>
              <w:top w:w="80" w:type="dxa"/>
              <w:left w:w="90" w:type="dxa"/>
              <w:bottom w:w="80" w:type="dxa"/>
              <w:right w:w="90" w:type="dxa"/>
            </w:tcMar>
            <w:vAlign w:val="center"/>
          </w:tcPr>
          <w:p w14:paraId="77DA1745" w14:textId="77777777" w:rsidR="006316A5" w:rsidRDefault="00000000">
            <w:pPr>
              <w:keepLines/>
              <w:spacing w:after="0" w:line="254" w:lineRule="auto"/>
            </w:pPr>
            <w:r>
              <w:rPr>
                <w:sz w:val="20"/>
              </w:rPr>
              <w:t>Repeated cover and density, viable regrowth, agent density and recorded release effort.</w:t>
            </w:r>
          </w:p>
        </w:tc>
        <w:tc>
          <w:tcPr>
            <w:tcW w:w="3197" w:type="dxa"/>
            <w:tcBorders>
              <w:bottom w:val="single" w:sz="3" w:space="0" w:color="CCCCCC"/>
            </w:tcBorders>
            <w:tcMar>
              <w:top w:w="80" w:type="dxa"/>
              <w:left w:w="90" w:type="dxa"/>
              <w:bottom w:w="80" w:type="dxa"/>
              <w:right w:w="90" w:type="dxa"/>
            </w:tcMar>
            <w:vAlign w:val="center"/>
          </w:tcPr>
          <w:p w14:paraId="04BB9906" w14:textId="77777777" w:rsidR="006316A5" w:rsidRDefault="00000000">
            <w:pPr>
              <w:keepLines/>
              <w:spacing w:after="0" w:line="254" w:lineRule="auto"/>
            </w:pPr>
            <w:r>
              <w:rPr>
                <w:sz w:val="20"/>
              </w:rPr>
              <w:t>Separate treatment delivery, agent establishment and suppression; include seasonal follow-up.</w:t>
            </w:r>
          </w:p>
        </w:tc>
        <w:tc>
          <w:tcPr>
            <w:tcW w:w="2174" w:type="dxa"/>
            <w:tcBorders>
              <w:bottom w:val="single" w:sz="3" w:space="0" w:color="CCCCCC"/>
            </w:tcBorders>
            <w:tcMar>
              <w:top w:w="80" w:type="dxa"/>
              <w:left w:w="90" w:type="dxa"/>
              <w:bottom w:w="80" w:type="dxa"/>
              <w:right w:w="90" w:type="dxa"/>
            </w:tcMar>
            <w:vAlign w:val="center"/>
          </w:tcPr>
          <w:p w14:paraId="2BEA1E79" w14:textId="77777777" w:rsidR="006316A5" w:rsidRDefault="00000000">
            <w:pPr>
              <w:keepLines/>
              <w:spacing w:after="0" w:line="254" w:lineRule="auto"/>
            </w:pPr>
            <w:r>
              <w:rPr>
                <w:sz w:val="20"/>
              </w:rPr>
              <w:t>(Coetzee et al., 2022; Miller et al., 2023; Moffat et al., 2024)</w:t>
            </w:r>
          </w:p>
        </w:tc>
      </w:tr>
      <w:tr w:rsidR="006316A5" w14:paraId="7F5FF549"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4113DE66" w14:textId="77777777" w:rsidR="006316A5" w:rsidRDefault="00000000">
            <w:pPr>
              <w:keepLines/>
              <w:spacing w:after="0" w:line="254" w:lineRule="auto"/>
            </w:pPr>
            <w:r>
              <w:rPr>
                <w:sz w:val="20"/>
              </w:rPr>
              <w:t>Oxygen recovery</w:t>
            </w:r>
          </w:p>
        </w:tc>
        <w:tc>
          <w:tcPr>
            <w:tcW w:w="2448" w:type="dxa"/>
            <w:tcBorders>
              <w:bottom w:val="single" w:sz="3" w:space="0" w:color="CCCCCC"/>
            </w:tcBorders>
            <w:tcMar>
              <w:top w:w="80" w:type="dxa"/>
              <w:left w:w="90" w:type="dxa"/>
              <w:bottom w:w="80" w:type="dxa"/>
              <w:right w:w="90" w:type="dxa"/>
            </w:tcMar>
            <w:vAlign w:val="center"/>
          </w:tcPr>
          <w:p w14:paraId="3247B916" w14:textId="77777777" w:rsidR="006316A5" w:rsidRDefault="00000000">
            <w:pPr>
              <w:keepLines/>
              <w:spacing w:after="0" w:line="254" w:lineRule="auto"/>
            </w:pPr>
            <w:r>
              <w:rPr>
                <w:sz w:val="20"/>
              </w:rPr>
              <w:t>Diel minima, depth profiles, duration of low-oxygen episodes and hydrological exchange.</w:t>
            </w:r>
          </w:p>
        </w:tc>
        <w:tc>
          <w:tcPr>
            <w:tcW w:w="3197" w:type="dxa"/>
            <w:tcBorders>
              <w:bottom w:val="single" w:sz="3" w:space="0" w:color="CCCCCC"/>
            </w:tcBorders>
            <w:tcMar>
              <w:top w:w="80" w:type="dxa"/>
              <w:left w:w="90" w:type="dxa"/>
              <w:bottom w:w="80" w:type="dxa"/>
              <w:right w:w="90" w:type="dxa"/>
            </w:tcMar>
            <w:vAlign w:val="center"/>
          </w:tcPr>
          <w:p w14:paraId="04944628" w14:textId="77777777" w:rsidR="006316A5" w:rsidRDefault="00000000">
            <w:pPr>
              <w:keepLines/>
              <w:spacing w:after="0" w:line="254" w:lineRule="auto"/>
            </w:pPr>
            <w:r>
              <w:rPr>
                <w:sz w:val="20"/>
              </w:rPr>
              <w:t>Use comparable sampling and independent controls; avoid reliance on daytime surface means.</w:t>
            </w:r>
          </w:p>
        </w:tc>
        <w:tc>
          <w:tcPr>
            <w:tcW w:w="2174" w:type="dxa"/>
            <w:tcBorders>
              <w:bottom w:val="single" w:sz="3" w:space="0" w:color="CCCCCC"/>
            </w:tcBorders>
            <w:tcMar>
              <w:top w:w="80" w:type="dxa"/>
              <w:left w:w="90" w:type="dxa"/>
              <w:bottom w:w="80" w:type="dxa"/>
              <w:right w:w="90" w:type="dxa"/>
            </w:tcMar>
            <w:vAlign w:val="center"/>
          </w:tcPr>
          <w:p w14:paraId="475412BF" w14:textId="77777777" w:rsidR="006316A5" w:rsidRDefault="00000000">
            <w:pPr>
              <w:keepLines/>
              <w:spacing w:after="0" w:line="254" w:lineRule="auto"/>
            </w:pPr>
            <w:r>
              <w:rPr>
                <w:sz w:val="20"/>
              </w:rPr>
              <w:t>(Corman et al., 2023; Tobias et al., 2019)</w:t>
            </w:r>
          </w:p>
        </w:tc>
      </w:tr>
      <w:tr w:rsidR="006316A5" w14:paraId="1CBCED1B"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F51F1CD" w14:textId="77777777" w:rsidR="006316A5" w:rsidRDefault="00000000">
            <w:pPr>
              <w:keepLines/>
              <w:spacing w:after="0" w:line="254" w:lineRule="auto"/>
            </w:pPr>
            <w:r>
              <w:rPr>
                <w:sz w:val="20"/>
              </w:rPr>
              <w:t>Nutrient export</w:t>
            </w:r>
          </w:p>
        </w:tc>
        <w:tc>
          <w:tcPr>
            <w:tcW w:w="2448" w:type="dxa"/>
            <w:tcBorders>
              <w:bottom w:val="single" w:sz="3" w:space="0" w:color="CCCCCC"/>
            </w:tcBorders>
            <w:tcMar>
              <w:top w:w="80" w:type="dxa"/>
              <w:left w:w="90" w:type="dxa"/>
              <w:bottom w:w="80" w:type="dxa"/>
              <w:right w:w="90" w:type="dxa"/>
            </w:tcMar>
            <w:vAlign w:val="center"/>
          </w:tcPr>
          <w:p w14:paraId="25B5F7C0" w14:textId="77777777" w:rsidR="006316A5" w:rsidRDefault="00000000">
            <w:pPr>
              <w:keepLines/>
              <w:spacing w:after="0" w:line="254" w:lineRule="auto"/>
            </w:pPr>
            <w:r>
              <w:rPr>
                <w:sz w:val="20"/>
              </w:rPr>
              <w:t>Dry biomass removed, tissue composition, tributary loads and residual-material fate.</w:t>
            </w:r>
          </w:p>
        </w:tc>
        <w:tc>
          <w:tcPr>
            <w:tcW w:w="3197" w:type="dxa"/>
            <w:tcBorders>
              <w:bottom w:val="single" w:sz="3" w:space="0" w:color="CCCCCC"/>
            </w:tcBorders>
            <w:tcMar>
              <w:top w:w="80" w:type="dxa"/>
              <w:left w:w="90" w:type="dxa"/>
              <w:bottom w:w="80" w:type="dxa"/>
              <w:right w:w="90" w:type="dxa"/>
            </w:tcMar>
            <w:vAlign w:val="center"/>
          </w:tcPr>
          <w:p w14:paraId="50EE5605" w14:textId="77777777" w:rsidR="006316A5" w:rsidRDefault="00000000">
            <w:pPr>
              <w:keepLines/>
              <w:spacing w:after="0" w:line="254" w:lineRule="auto"/>
            </w:pPr>
            <w:r>
              <w:rPr>
                <w:sz w:val="20"/>
              </w:rPr>
              <w:t>A lower water concentration or shredded mat does not demonstrate whole-system nutrient removal.</w:t>
            </w:r>
          </w:p>
        </w:tc>
        <w:tc>
          <w:tcPr>
            <w:tcW w:w="2174" w:type="dxa"/>
            <w:tcBorders>
              <w:bottom w:val="single" w:sz="3" w:space="0" w:color="CCCCCC"/>
            </w:tcBorders>
            <w:tcMar>
              <w:top w:w="80" w:type="dxa"/>
              <w:left w:w="90" w:type="dxa"/>
              <w:bottom w:w="80" w:type="dxa"/>
              <w:right w:w="90" w:type="dxa"/>
            </w:tcMar>
            <w:vAlign w:val="center"/>
          </w:tcPr>
          <w:p w14:paraId="6266CC6A" w14:textId="77777777" w:rsidR="006316A5" w:rsidRDefault="00000000">
            <w:pPr>
              <w:keepLines/>
              <w:spacing w:after="0" w:line="254" w:lineRule="auto"/>
            </w:pPr>
            <w:r>
              <w:rPr>
                <w:sz w:val="20"/>
              </w:rPr>
              <w:t>(</w:t>
            </w:r>
            <w:proofErr w:type="spellStart"/>
            <w:r>
              <w:rPr>
                <w:sz w:val="20"/>
              </w:rPr>
              <w:t>Dersseh</w:t>
            </w:r>
            <w:proofErr w:type="spellEnd"/>
            <w:r>
              <w:rPr>
                <w:sz w:val="20"/>
              </w:rPr>
              <w:t xml:space="preserve"> et al., 2022; Greenfield et al., 2007)</w:t>
            </w:r>
          </w:p>
        </w:tc>
      </w:tr>
      <w:tr w:rsidR="006316A5" w14:paraId="2336007C"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16E0DC2F" w14:textId="77777777" w:rsidR="006316A5" w:rsidRDefault="00000000">
            <w:pPr>
              <w:keepLines/>
              <w:spacing w:after="0" w:line="254" w:lineRule="auto"/>
            </w:pPr>
            <w:r>
              <w:rPr>
                <w:sz w:val="20"/>
              </w:rPr>
              <w:t>Biodiversity and fishery recovery</w:t>
            </w:r>
          </w:p>
        </w:tc>
        <w:tc>
          <w:tcPr>
            <w:tcW w:w="2448" w:type="dxa"/>
            <w:tcBorders>
              <w:bottom w:val="single" w:sz="3" w:space="0" w:color="CCCCCC"/>
            </w:tcBorders>
            <w:tcMar>
              <w:top w:w="80" w:type="dxa"/>
              <w:left w:w="90" w:type="dxa"/>
              <w:bottom w:w="80" w:type="dxa"/>
              <w:right w:w="90" w:type="dxa"/>
            </w:tcMar>
            <w:vAlign w:val="center"/>
          </w:tcPr>
          <w:p w14:paraId="4B6BB377" w14:textId="77777777" w:rsidR="006316A5" w:rsidRDefault="00000000">
            <w:pPr>
              <w:keepLines/>
              <w:spacing w:after="0" w:line="254" w:lineRule="auto"/>
            </w:pPr>
            <w:r>
              <w:rPr>
                <w:sz w:val="20"/>
              </w:rPr>
              <w:t>Native vegetation, assemblage composition, recruitment, fishing effort and access.</w:t>
            </w:r>
          </w:p>
        </w:tc>
        <w:tc>
          <w:tcPr>
            <w:tcW w:w="3197" w:type="dxa"/>
            <w:tcBorders>
              <w:bottom w:val="single" w:sz="3" w:space="0" w:color="CCCCCC"/>
            </w:tcBorders>
            <w:tcMar>
              <w:top w:w="80" w:type="dxa"/>
              <w:left w:w="90" w:type="dxa"/>
              <w:bottom w:w="80" w:type="dxa"/>
              <w:right w:w="90" w:type="dxa"/>
            </w:tcMar>
            <w:vAlign w:val="center"/>
          </w:tcPr>
          <w:p w14:paraId="7DD0C580" w14:textId="77777777" w:rsidR="006316A5" w:rsidRDefault="00000000">
            <w:pPr>
              <w:keepLines/>
              <w:spacing w:after="0" w:line="254" w:lineRule="auto"/>
            </w:pPr>
            <w:r>
              <w:rPr>
                <w:sz w:val="20"/>
              </w:rPr>
              <w:t>Distinguish aggregation from production and tolerant-species abundance from conservation value.</w:t>
            </w:r>
          </w:p>
        </w:tc>
        <w:tc>
          <w:tcPr>
            <w:tcW w:w="2174" w:type="dxa"/>
            <w:tcBorders>
              <w:bottom w:val="single" w:sz="3" w:space="0" w:color="CCCCCC"/>
            </w:tcBorders>
            <w:tcMar>
              <w:top w:w="80" w:type="dxa"/>
              <w:left w:w="90" w:type="dxa"/>
              <w:bottom w:w="80" w:type="dxa"/>
              <w:right w:w="90" w:type="dxa"/>
            </w:tcMar>
            <w:vAlign w:val="center"/>
          </w:tcPr>
          <w:p w14:paraId="4D35C792" w14:textId="77777777" w:rsidR="006316A5" w:rsidRDefault="00000000">
            <w:pPr>
              <w:keepLines/>
              <w:spacing w:after="0" w:line="254" w:lineRule="auto"/>
            </w:pPr>
            <w:r>
              <w:rPr>
                <w:sz w:val="20"/>
              </w:rPr>
              <w:t>(Hossain et al., 2025; Tasker et al., 2022; Toft et al., 2003)</w:t>
            </w:r>
          </w:p>
        </w:tc>
      </w:tr>
      <w:tr w:rsidR="006316A5" w14:paraId="65DBD10A"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69BD63B8" w14:textId="77777777" w:rsidR="006316A5" w:rsidRDefault="00000000">
            <w:pPr>
              <w:keepLines/>
              <w:spacing w:after="0" w:line="254" w:lineRule="auto"/>
            </w:pPr>
            <w:r>
              <w:rPr>
                <w:sz w:val="20"/>
              </w:rPr>
              <w:t>Exposure and safe disposal</w:t>
            </w:r>
          </w:p>
        </w:tc>
        <w:tc>
          <w:tcPr>
            <w:tcW w:w="2448" w:type="dxa"/>
            <w:tcBorders>
              <w:bottom w:val="single" w:sz="3" w:space="0" w:color="CCCCCC"/>
            </w:tcBorders>
            <w:tcMar>
              <w:top w:w="80" w:type="dxa"/>
              <w:left w:w="90" w:type="dxa"/>
              <w:bottom w:w="80" w:type="dxa"/>
              <w:right w:w="90" w:type="dxa"/>
            </w:tcMar>
            <w:vAlign w:val="center"/>
          </w:tcPr>
          <w:p w14:paraId="21A77F69" w14:textId="77777777" w:rsidR="006316A5" w:rsidRDefault="00000000">
            <w:pPr>
              <w:keepLines/>
              <w:spacing w:after="0" w:line="254" w:lineRule="auto"/>
            </w:pPr>
            <w:r>
              <w:rPr>
                <w:sz w:val="20"/>
              </w:rPr>
              <w:t>Relevant microbial indicators, intermediate-host condition, contaminant content and disposal records.</w:t>
            </w:r>
          </w:p>
        </w:tc>
        <w:tc>
          <w:tcPr>
            <w:tcW w:w="3197" w:type="dxa"/>
            <w:tcBorders>
              <w:bottom w:val="single" w:sz="3" w:space="0" w:color="CCCCCC"/>
            </w:tcBorders>
            <w:tcMar>
              <w:top w:w="80" w:type="dxa"/>
              <w:left w:w="90" w:type="dxa"/>
              <w:bottom w:w="80" w:type="dxa"/>
              <w:right w:w="90" w:type="dxa"/>
            </w:tcMar>
            <w:vAlign w:val="center"/>
          </w:tcPr>
          <w:p w14:paraId="31CF9266" w14:textId="77777777" w:rsidR="006316A5" w:rsidRDefault="00000000">
            <w:pPr>
              <w:keepLines/>
              <w:spacing w:after="0" w:line="254" w:lineRule="auto"/>
            </w:pPr>
            <w:r>
              <w:rPr>
                <w:sz w:val="20"/>
              </w:rPr>
              <w:t>Do not infer human disease or product safety from a single environmental indicator.</w:t>
            </w:r>
          </w:p>
        </w:tc>
        <w:tc>
          <w:tcPr>
            <w:tcW w:w="2174" w:type="dxa"/>
            <w:tcBorders>
              <w:bottom w:val="single" w:sz="3" w:space="0" w:color="CCCCCC"/>
            </w:tcBorders>
            <w:tcMar>
              <w:top w:w="80" w:type="dxa"/>
              <w:left w:w="90" w:type="dxa"/>
              <w:bottom w:w="80" w:type="dxa"/>
              <w:right w:w="90" w:type="dxa"/>
            </w:tcMar>
            <w:vAlign w:val="center"/>
          </w:tcPr>
          <w:p w14:paraId="03300FD3" w14:textId="77777777" w:rsidR="006316A5" w:rsidRDefault="00000000">
            <w:pPr>
              <w:keepLines/>
              <w:spacing w:after="0" w:line="254" w:lineRule="auto"/>
            </w:pPr>
            <w:r>
              <w:rPr>
                <w:sz w:val="20"/>
              </w:rPr>
              <w:t xml:space="preserve">(Desautels et al., 2023; </w:t>
            </w:r>
            <w:proofErr w:type="spellStart"/>
            <w:r>
              <w:rPr>
                <w:sz w:val="20"/>
              </w:rPr>
              <w:t>Gezie</w:t>
            </w:r>
            <w:proofErr w:type="spellEnd"/>
            <w:r>
              <w:rPr>
                <w:sz w:val="20"/>
              </w:rPr>
              <w:t xml:space="preserve"> et al., 2018; Kassa et al., 2025)</w:t>
            </w:r>
          </w:p>
        </w:tc>
      </w:tr>
      <w:tr w:rsidR="006316A5" w14:paraId="580B6CED"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3CEF601A" w14:textId="77777777" w:rsidR="006316A5" w:rsidRDefault="00000000">
            <w:pPr>
              <w:keepLines/>
              <w:spacing w:after="0" w:line="254" w:lineRule="auto"/>
            </w:pPr>
            <w:r>
              <w:rPr>
                <w:sz w:val="20"/>
              </w:rPr>
              <w:t>Durable social benefit</w:t>
            </w:r>
          </w:p>
        </w:tc>
        <w:tc>
          <w:tcPr>
            <w:tcW w:w="2448" w:type="dxa"/>
            <w:tcBorders>
              <w:bottom w:val="single" w:sz="8" w:space="0" w:color="555555"/>
            </w:tcBorders>
            <w:tcMar>
              <w:top w:w="80" w:type="dxa"/>
              <w:left w:w="90" w:type="dxa"/>
              <w:bottom w:w="80" w:type="dxa"/>
              <w:right w:w="90" w:type="dxa"/>
            </w:tcMar>
            <w:vAlign w:val="center"/>
          </w:tcPr>
          <w:p w14:paraId="46468C67" w14:textId="77777777" w:rsidR="006316A5" w:rsidRDefault="00000000">
            <w:pPr>
              <w:keepLines/>
              <w:spacing w:after="0" w:line="254" w:lineRule="auto"/>
            </w:pPr>
            <w:r>
              <w:rPr>
                <w:sz w:val="20"/>
              </w:rPr>
              <w:t>Full maintenance cost, household time, service reliability and distribution of benefits.</w:t>
            </w:r>
          </w:p>
        </w:tc>
        <w:tc>
          <w:tcPr>
            <w:tcW w:w="3197" w:type="dxa"/>
            <w:tcBorders>
              <w:bottom w:val="single" w:sz="8" w:space="0" w:color="555555"/>
            </w:tcBorders>
            <w:tcMar>
              <w:top w:w="80" w:type="dxa"/>
              <w:left w:w="90" w:type="dxa"/>
              <w:bottom w:w="80" w:type="dxa"/>
              <w:right w:w="90" w:type="dxa"/>
            </w:tcMar>
            <w:vAlign w:val="center"/>
          </w:tcPr>
          <w:p w14:paraId="1B8525C9" w14:textId="77777777" w:rsidR="006316A5" w:rsidRDefault="00000000">
            <w:pPr>
              <w:keepLines/>
              <w:spacing w:after="0" w:line="254" w:lineRule="auto"/>
            </w:pPr>
            <w:r>
              <w:rPr>
                <w:sz w:val="20"/>
              </w:rPr>
              <w:t>Include non-participants and displaced costs; retain explicit counterfactual assumptions.</w:t>
            </w:r>
          </w:p>
        </w:tc>
        <w:tc>
          <w:tcPr>
            <w:tcW w:w="2174" w:type="dxa"/>
            <w:tcBorders>
              <w:bottom w:val="single" w:sz="8" w:space="0" w:color="555555"/>
            </w:tcBorders>
            <w:tcMar>
              <w:top w:w="80" w:type="dxa"/>
              <w:left w:w="90" w:type="dxa"/>
              <w:bottom w:w="80" w:type="dxa"/>
              <w:right w:w="90" w:type="dxa"/>
            </w:tcMar>
            <w:vAlign w:val="center"/>
          </w:tcPr>
          <w:p w14:paraId="5E0745BE" w14:textId="77777777" w:rsidR="006316A5" w:rsidRDefault="00000000">
            <w:pPr>
              <w:keepLines/>
              <w:spacing w:after="0" w:line="254" w:lineRule="auto"/>
            </w:pPr>
            <w:r>
              <w:rPr>
                <w:sz w:val="20"/>
              </w:rPr>
              <w:t xml:space="preserve">(Hossain et al., 2025; Moffat et al., 2024; </w:t>
            </w:r>
            <w:proofErr w:type="spellStart"/>
            <w:r>
              <w:rPr>
                <w:sz w:val="20"/>
              </w:rPr>
              <w:t>Wainger</w:t>
            </w:r>
            <w:proofErr w:type="spellEnd"/>
            <w:r>
              <w:rPr>
                <w:sz w:val="20"/>
              </w:rPr>
              <w:t xml:space="preserve"> et al., 2018)</w:t>
            </w:r>
          </w:p>
        </w:tc>
      </w:tr>
    </w:tbl>
    <w:p w14:paraId="495EB74F" w14:textId="77777777" w:rsidR="006316A5" w:rsidRDefault="00000000">
      <w:pPr>
        <w:spacing w:before="100" w:after="180" w:line="252" w:lineRule="auto"/>
      </w:pPr>
      <w:r>
        <w:rPr>
          <w:i/>
          <w:sz w:val="20"/>
        </w:rPr>
        <w:t xml:space="preserve">Note. </w:t>
      </w:r>
      <w:r>
        <w:rPr>
          <w:sz w:val="20"/>
        </w:rPr>
        <w:t>This is a proposed framework developed from the synthesis. Indicator selection and action thresholds require local specification and prospective evaluation.</w:t>
      </w:r>
    </w:p>
    <w:p w14:paraId="51AB2B2A" w14:textId="77777777" w:rsidR="006316A5" w:rsidRDefault="00000000">
      <w:pPr>
        <w:pStyle w:val="Heading2"/>
      </w:pPr>
      <w:r>
        <w:lastRenderedPageBreak/>
        <w:t>7.3 Remote Sensing, Field Validation and Causal Evaluation</w:t>
      </w:r>
    </w:p>
    <w:p w14:paraId="2EA3BF74" w14:textId="77777777" w:rsidR="006316A5" w:rsidRDefault="00000000">
      <w:pPr>
        <w:jc w:val="both"/>
      </w:pPr>
      <w:r>
        <w:t xml:space="preserve">Remote sensing can greatly improve the spatial and temporal record of infestation. In the </w:t>
      </w:r>
      <w:proofErr w:type="spellStart"/>
      <w:r>
        <w:t>Anzali</w:t>
      </w:r>
      <w:proofErr w:type="spellEnd"/>
      <w:r>
        <w:t xml:space="preserve"> wetland, Sentinel-2 time-series analysis distinguished stages of the water-hyacinth growth cycle with high classification performance in the evaluated dataset. Such work can support mapping, prioritisation and follow-up, but accuracy within a local training and validation setting is not evidence of equivalent performance across different sensors, seasons or vegetation mixtures. Independent validation remains necessary before maps are used to compare management outcomes between water bodies (</w:t>
      </w:r>
      <w:proofErr w:type="spellStart"/>
      <w:r>
        <w:t>Pirbasti</w:t>
      </w:r>
      <w:proofErr w:type="spellEnd"/>
      <w:r>
        <w:t xml:space="preserve"> et al., 2024).</w:t>
      </w:r>
    </w:p>
    <w:p w14:paraId="5AF48CC5" w14:textId="77777777" w:rsidR="006316A5" w:rsidRDefault="00000000">
      <w:pPr>
        <w:jc w:val="both"/>
      </w:pPr>
      <w:r>
        <w:t>A map is also not a direct measurement of all outcomes of interest. It can locate surface vegetation while missing dissolved oxygen below the mat, submerged recovery or contamination of harvested material. Nor does an area reduction identify its cause. Wind-driven redistribution, water-level change, mortality and removal can produce similar surface patterns. Combining imagery with intervention logs and fixed field stations would make these alternatives more distinguishable. The interpretation of the Lake Tana rebound particularly benefits from this separation of observed cover change from inferred ecological drivers (Chala et al., 2026).</w:t>
      </w:r>
    </w:p>
    <w:p w14:paraId="72C95447" w14:textId="77777777" w:rsidR="006316A5" w:rsidRDefault="00000000">
      <w:pPr>
        <w:jc w:val="both"/>
      </w:pPr>
      <w:r>
        <w:t>Before-after-control-impact designs offer a stronger basis for attributing change than simple before-after comparison, provided the controls are independent and ecologically comparable. The California tidal study demonstrates why independence must be evaluated hydrologically. A reference location connected to a treatment plume or drifting mat may not represent an untreated counterfactual. Where random allocation is impossible, multiple comparison sites, repeated pre-intervention observations and explicit recording of concurrent changes can improve inference without pretending to reproduce a randomised experiment (Tobias et al., 2019).</w:t>
      </w:r>
    </w:p>
    <w:p w14:paraId="30B32B85" w14:textId="77777777" w:rsidR="006316A5" w:rsidRDefault="00000000">
      <w:pPr>
        <w:jc w:val="both"/>
      </w:pPr>
      <w:r>
        <w:t>Monitoring data should also retain unsuccessful or ambiguous outcomes. A programme that records only heavily infested sites before treatment and only successfully cleared sites afterwards creates a favourable narrative by design. Fixed sampling locations, transparent missing-data records and stable definitions of cover and treatment would make evaluations more comparable. These are methodological recommendations arising from the limitations of operational evidence, not a claim that the reviewed programmes all used biased sampling. Their purpose is to make adaptive management capable of detecting failure as well as documenting success.</w:t>
      </w:r>
    </w:p>
    <w:p w14:paraId="64994D61" w14:textId="77777777" w:rsidR="006316A5" w:rsidRDefault="00000000">
      <w:pPr>
        <w:pStyle w:val="Heading2"/>
      </w:pPr>
      <w:r>
        <w:t>7.4 Economic Evaluation and Institutional Continuity</w:t>
      </w:r>
    </w:p>
    <w:p w14:paraId="683A67B0" w14:textId="77777777" w:rsidR="006316A5" w:rsidRDefault="00000000">
      <w:pPr>
        <w:jc w:val="both"/>
      </w:pPr>
      <w:r>
        <w:t xml:space="preserve">Economic evaluation should compare the value of services protected with the full cost of obtaining and maintaining them. </w:t>
      </w:r>
      <w:proofErr w:type="spellStart"/>
      <w:r>
        <w:t>Wainger</w:t>
      </w:r>
      <w:proofErr w:type="spellEnd"/>
      <w:r>
        <w:t xml:space="preserve"> and colleagues estimated that the ecosystem-service benefits of water-hyacinth management in Louisiana substantially exceeded research and control expenditure. The analysis is important because it moves beyond the cost of treating vegetation to the value of avoided impairment. Its estimates nevertheless depend on modelled counterfactual conditions and context-specific valuation, so the reported benefit-cost relationship is not a multiplier transferable to a different country or water body (</w:t>
      </w:r>
      <w:proofErr w:type="spellStart"/>
      <w:r>
        <w:t>Wainger</w:t>
      </w:r>
      <w:proofErr w:type="spellEnd"/>
      <w:r>
        <w:t xml:space="preserve"> et al., 2018).</w:t>
      </w:r>
    </w:p>
    <w:p w14:paraId="23A8C8E5" w14:textId="77777777" w:rsidR="006316A5" w:rsidRDefault="00000000">
      <w:pPr>
        <w:jc w:val="both"/>
      </w:pPr>
      <w:r>
        <w:t xml:space="preserve">Cost boundaries can reverse an apparent ranking. A cheap treatment per hectare may require frequent repetition or create expensive disposal requirements. Biological suppression may have </w:t>
      </w:r>
      <w:r>
        <w:lastRenderedPageBreak/>
        <w:t>substantial initial research and rearing costs but different maintenance demands. A utilisation project can generate income while still relying on subsidised harvesting or failing to pay for contaminated residues. Comparisons should state who bears these costs and whether displaced expenditure is counted as a benefit. The relevant quantity is not the sale price of a product or the price of a treatment alone.</w:t>
      </w:r>
    </w:p>
    <w:p w14:paraId="1D2FB9A2" w14:textId="77777777" w:rsidR="006316A5" w:rsidRDefault="00000000">
      <w:pPr>
        <w:jc w:val="both"/>
      </w:pPr>
      <w:r>
        <w:t>Institutional continuity is as important as technical choice. The Hartbeespoort experience indicates that release networks and community engagement can support sustained implementation, while the Lake Tana survey documents coordination difficulties associated with control. Together these studies suggest that maintenance responsibilities, accessible reporting and predictable resources deserve explicit treatment in programme design. They do not show that participation removes the need for professional expertise or public funding. A durable programme requires an accountable arrangement for responding when monitoring indicates renewed risk (</w:t>
      </w:r>
      <w:proofErr w:type="spellStart"/>
      <w:r>
        <w:t>Enyew</w:t>
      </w:r>
      <w:proofErr w:type="spellEnd"/>
      <w:r>
        <w:t xml:space="preserve"> et al., 2020; Moffat et al., 2024).</w:t>
      </w:r>
    </w:p>
    <w:p w14:paraId="4AF1376B" w14:textId="77777777" w:rsidR="006316A5" w:rsidRDefault="00000000">
      <w:pPr>
        <w:pStyle w:val="Heading1"/>
      </w:pPr>
      <w:r>
        <w:t>8. Biomass Utilisation Without Creating a New Environmental Liability</w:t>
      </w:r>
    </w:p>
    <w:p w14:paraId="22E7ED39" w14:textId="77777777" w:rsidR="006316A5" w:rsidRDefault="00000000">
      <w:pPr>
        <w:pStyle w:val="Heading2"/>
      </w:pPr>
      <w:r>
        <w:t>8.1 Resource Recovery as a Complement to Control</w:t>
      </w:r>
    </w:p>
    <w:p w14:paraId="36846605" w14:textId="77777777" w:rsidR="006316A5" w:rsidRDefault="00000000">
      <w:pPr>
        <w:jc w:val="both"/>
      </w:pPr>
      <w:r>
        <w:t>The strongest argument for utilisation is that harvested biomass already requires handling. Converting some of it into a useful product may offset disposal costs and create local value. Reviews identify pathways including anaerobic digestion, soil amendments, adsorbents and fibre-based products, but their technological maturity and economic evidence differ substantially. The benefits-oriented literature usefully challenges the assumption that every harvested plant is only waste. The corresponding caution is that a technically useful feedstock is not automatically available at the required quality, location or price (Ilo et al., 2020; Saeed et al., 2026).</w:t>
      </w:r>
    </w:p>
    <w:p w14:paraId="104A9E25" w14:textId="77777777" w:rsidR="006316A5" w:rsidRDefault="00000000">
      <w:pPr>
        <w:jc w:val="both"/>
      </w:pPr>
      <w:r>
        <w:t>A management-compatible business model should remain viable as infestation declines. A facility requiring a guaranteed supply from an invasive population may create incentives to retain, cultivate or transport the plant. This is an economic design risk rather than evidence that every utilisation project causes reinvasion. A defensible response is to plan substitution with other residues, prohibit deliberate spread and link procurement to authorised removal. Commercial success should complement the ecological objective rather than make continued infestation financially necessary.</w:t>
      </w:r>
    </w:p>
    <w:p w14:paraId="19A19A21" w14:textId="77777777" w:rsidR="006316A5" w:rsidRDefault="00000000">
      <w:pPr>
        <w:jc w:val="both"/>
      </w:pPr>
      <w:r>
        <w:t>Feedstock accounting must begin before processing. Wet mass, dry mass and organic matter are different denominators, and water content strongly affects transport and conversion costs. Location also matters because a plant harvested from contaminated water may require a different destination from apparently similar material collected elsewhere. Traceable collection areas, representative composition testing and a documented residual pathway are therefore proposed as prerequisites for scaling, not optional refinements after a product has been developed (Aranda-García et al., 2024; Kassa et al., 2025).</w:t>
      </w:r>
    </w:p>
    <w:p w14:paraId="67A2AFAA" w14:textId="77777777" w:rsidR="006316A5" w:rsidRDefault="00000000">
      <w:pPr>
        <w:pStyle w:val="Heading2"/>
      </w:pPr>
      <w:r>
        <w:lastRenderedPageBreak/>
        <w:t>8.2 Anaerobic Digestion and Net Energy Performance</w:t>
      </w:r>
    </w:p>
    <w:p w14:paraId="6739F821" w14:textId="77777777" w:rsidR="006316A5" w:rsidRDefault="00000000">
      <w:pPr>
        <w:jc w:val="both"/>
      </w:pPr>
      <w:r>
        <w:t>Anaerobic digestion can recover energy from biodegradable water-hyacinth biomass. Obi and colleagues showed that an inoculum derived from digestion feedstock could enhance methane production in a batch experiment. The result supports the importance of microbial conditioning under the tested conditions. It does not establish stable performance in a continuously operated plant receiving variable harvested material, nor does the presence of nutrient-cycling genes demonstrate the agronomic effectiveness of the resulting digestate (Obi et al., 2023).</w:t>
      </w:r>
    </w:p>
    <w:p w14:paraId="35F0EEFE" w14:textId="77777777" w:rsidR="006316A5" w:rsidRDefault="00000000">
      <w:pPr>
        <w:jc w:val="both"/>
      </w:pPr>
      <w:r>
        <w:t>Thermophilic co-digestion experiments by Chai and colleagues further show that water hyacinth can be combined with agro-industrial residues. Interpretation requires attention to the mixture, temperature and denominator used for methane yield. A yield expressed per unit of chemical oxygen demand removed cannot be compared directly with one expressed per unit of volatile solids added. Nor can a co-digestion gain automatically be attributed to the hyacinth component without a suitable comparison with the other feedstocks (Chai et al., 2023).</w:t>
      </w:r>
    </w:p>
    <w:p w14:paraId="770D5A6A" w14:textId="77777777" w:rsidR="006316A5" w:rsidRDefault="00000000">
      <w:pPr>
        <w:jc w:val="both"/>
      </w:pPr>
      <w:r>
        <w:t>The next evidentiary step is a net energy and environmental balance under realistic operation. Heating, pretreatment, dewatering, mixing and transport require resources, while methane leakage can erode the climate value of gas recovery. The counterfactual may be unmanaged decay, composting, disposal or another energy feedstock, and each produces a different comparison. The review therefore treats higher laboratory methane yield as an intermediate performance measure rather than a demonstration of a sustainable energy system. Pilot operation across seasonal feedstock changes would address a more decision-relevant uncertainty than further optimisation under a single idealised condition.</w:t>
      </w:r>
    </w:p>
    <w:p w14:paraId="56529409" w14:textId="77777777" w:rsidR="006316A5" w:rsidRDefault="00000000">
      <w:pPr>
        <w:jc w:val="both"/>
      </w:pPr>
      <w:r>
        <w:t>Digestate handling is equally important. Energy recovery does not make all incoming contaminants disappear, and nutrient-rich effluent can become another water-quality burden if its application exceeds crop demand or storage is inadequate. A defensible project would assess both the useful energy delivered and the residual material safely managed. This whole-process requirement follows from the distinction between conversion efficiency and final environmental fate, which also applies to adsorption and thermal processing (Chai et al., 2023; Obi et al., 2023).</w:t>
      </w:r>
    </w:p>
    <w:p w14:paraId="3905FD1B" w14:textId="77777777" w:rsidR="006316A5" w:rsidRDefault="00000000">
      <w:pPr>
        <w:pStyle w:val="Heading2"/>
      </w:pPr>
      <w:r>
        <w:t>8.3 Soil Amendments, Biochar and Contaminant Transfer</w:t>
      </w:r>
    </w:p>
    <w:p w14:paraId="35CBB480" w14:textId="77777777" w:rsidR="006316A5" w:rsidRDefault="00000000">
      <w:pPr>
        <w:jc w:val="both"/>
      </w:pPr>
      <w:r>
        <w:t>Water-hyacinth biomass can supply material for composts and other soil amendments, but nutrient content alone is not sufficient evidence of suitability. Relevant questions include maturity, application rate, salinity, contaminant concentrations and the receiving soil. A material may increase crop growth in one trial while being inappropriate for repeated use elsewhere. Reviews advocating agricultural utilisation recognise the need for treatment and safety precautions; the evaluation should therefore compare locally feasible alternatives rather than assume that an organic origin guarantees environmental benefit (Ilo et al., 2020).</w:t>
      </w:r>
    </w:p>
    <w:p w14:paraId="62D8551C" w14:textId="77777777" w:rsidR="006316A5" w:rsidRDefault="00000000">
      <w:pPr>
        <w:jc w:val="both"/>
      </w:pPr>
      <w:r>
        <w:t xml:space="preserve">Kassa and colleagues combined biochar characterisation with an agricultural trial involving teff. Their study provides stronger evidence of agronomic relevance than a laboratory characterisation alone, and it reported favourable crop responses under the evaluated conditions. Nevertheless, the measured composition belonged to a particular feedstock and processing procedure. A result </w:t>
      </w:r>
      <w:r>
        <w:lastRenderedPageBreak/>
        <w:t>showing acceptable concentrations of selected metals in that material is not a guarantee for plants harvested from industrially contaminated water. The study also does not establish long-term carbon permanence or the safety of indefinite repeated application (Kassa et al., 2025).</w:t>
      </w:r>
    </w:p>
    <w:p w14:paraId="2045FF5F" w14:textId="77777777" w:rsidR="006316A5" w:rsidRDefault="00000000">
      <w:pPr>
        <w:jc w:val="both"/>
      </w:pPr>
      <w:r>
        <w:t>Thermal conversion changes the distribution and form of elements rather than simply eliminating them. An application decision should therefore consider both total concentrations and the exposure pathways relevant to soil, crops and water. For a nutrient-bearing amendment, agronomic value depends on plant availability and timing, not total elemental content alone. These are reasons to report soil and crop responses over more than one season and to track the residues that do not enter the marketed product. A high product yield or favourable microscopy cannot substitute for these measurements.</w:t>
      </w:r>
    </w:p>
    <w:p w14:paraId="38629E14" w14:textId="77777777" w:rsidR="006316A5" w:rsidRDefault="00000000">
      <w:pPr>
        <w:jc w:val="both"/>
      </w:pPr>
      <w:r>
        <w:t>The most credible route to agricultural use is source-specific approval tied to a defined receiving system. Where feedstock quality varies, batches may require different destinations or rejection. Where the crop is used for food or feed, edible-tissue measurements become relevant to the claim of safe use. This review does not infer that all hyacinth amendments are hazardous; rather, it rejects the equally unsupported assumption that all are safe. The distinction protects useful recovery pathways from being promoted beyond the evidence that presently supports them (Kassa et al., 2025).</w:t>
      </w:r>
    </w:p>
    <w:p w14:paraId="3A573271" w14:textId="77777777" w:rsidR="006316A5" w:rsidRDefault="00000000">
      <w:pPr>
        <w:pStyle w:val="Heading2"/>
      </w:pPr>
      <w:r>
        <w:t>8.4 Adsorbents, Remediation Products and Higher-Value Materials</w:t>
      </w:r>
    </w:p>
    <w:p w14:paraId="3E36F656" w14:textId="77777777" w:rsidR="006316A5" w:rsidRDefault="00000000">
      <w:pPr>
        <w:jc w:val="both"/>
      </w:pPr>
      <w:r>
        <w:t xml:space="preserve">Biosorption studies show that processed water-hyacinth material can bind selected contaminants under controlled conditions. Aranda-García and colleagues demonstrated removal of </w:t>
      </w:r>
      <w:proofErr w:type="spellStart"/>
      <w:r>
        <w:t>metanil</w:t>
      </w:r>
      <w:proofErr w:type="spellEnd"/>
      <w:r>
        <w:t xml:space="preserve"> yellow using leaf-derived material in batch experiments, with strong dependence on conditions including acidic </w:t>
      </w:r>
      <w:proofErr w:type="spellStart"/>
      <w:r>
        <w:t>pH.</w:t>
      </w:r>
      <w:proofErr w:type="spellEnd"/>
      <w:r>
        <w:t xml:space="preserve"> This supports an adsorption mechanism and a candidate material. It does not demonstrate complete degradation of the dye, performance in a complex effluent or economic superiority to established adsorbents (Aranda-García et al., 2024).</w:t>
      </w:r>
    </w:p>
    <w:p w14:paraId="5D95208D" w14:textId="77777777" w:rsidR="006316A5" w:rsidRDefault="00000000">
      <w:pPr>
        <w:jc w:val="both"/>
      </w:pPr>
      <w:r>
        <w:t>Scale-up requires measurements that batch isotherms do not provide. These include hydraulic performance, breakthrough, regeneration, competing solutes and the fate of the exhausted adsorbent. Adjusting a large wastewater flow to an extreme pH may create costs and residual treatment needs absent from the adsorption experiment. The appropriate comparison is therefore the complete treatment train, not the maximum fitted adsorption capacity. Similar scrutiny should apply to labels such as green and cost-effective when the underlying study has not performed life-cycle or economic assessment.</w:t>
      </w:r>
    </w:p>
    <w:p w14:paraId="3D0E9CDC" w14:textId="77777777" w:rsidR="006316A5" w:rsidRDefault="00000000">
      <w:pPr>
        <w:jc w:val="both"/>
      </w:pPr>
      <w:r>
        <w:t>Higher-value products such as fibres or composite constituents may use only a fraction of harvested biomass or require consistent quality. Their commercial relevance cannot be inferred from the size of the invaded area alone. A local craft pathway may be worthwhile without materially reducing a large infestation, while a high-throughput process may remove substantial biomass but produce little net revenue. These possibilities should be evaluated separately. The review's criterion is whether the proposed pathway safely handles a meaningful share of authorised removals and improves the management balance relative to available disposal alternatives (Ilo et al., 2020).</w:t>
      </w:r>
    </w:p>
    <w:p w14:paraId="74A48361" w14:textId="77777777" w:rsidR="006316A5" w:rsidRDefault="00000000">
      <w:pPr>
        <w:pStyle w:val="Heading2"/>
      </w:pPr>
      <w:r>
        <w:lastRenderedPageBreak/>
        <w:t>8.5 A Decision Test for Responsible Utilisation</w:t>
      </w:r>
    </w:p>
    <w:p w14:paraId="665109CF" w14:textId="77777777" w:rsidR="006316A5" w:rsidRDefault="00000000">
      <w:pPr>
        <w:jc w:val="both"/>
      </w:pPr>
      <w:r>
        <w:t>A utilisation proposal should pass several linked tests: a defined removal objective, traceable feedstock, a process compatible with its composition, demonstrable product demand and an acceptable destination for residuals. These are analytical conditions, not proof that a particular project will succeed. They identify where evidence is required before scale-up. A positive result for one condition, such as methane yield or adsorption capacity, cannot compensate for an unresolved contaminant or disposal problem.</w:t>
      </w:r>
    </w:p>
    <w:p w14:paraId="4DF247DA" w14:textId="77777777" w:rsidR="006316A5" w:rsidRDefault="00000000">
      <w:pPr>
        <w:jc w:val="both"/>
      </w:pPr>
      <w:r>
        <w:t>Table 5 applies this reasoning to representative utilisation pathways. It separates demonstrated experimental capabilities from the additional evidence needed for implementation. The central implication is that resource recovery should be evaluated as part of a removal-and-restoration system, rather than as an independent justification for allowing an invasive population to persist.</w:t>
      </w:r>
    </w:p>
    <w:p w14:paraId="62BB677C" w14:textId="77777777" w:rsidR="006316A5" w:rsidRDefault="00000000">
      <w:pPr>
        <w:keepNext/>
        <w:spacing w:before="160" w:after="60"/>
      </w:pPr>
      <w:r>
        <w:rPr>
          <w:b/>
        </w:rPr>
        <w:t>Table 5</w:t>
      </w:r>
    </w:p>
    <w:p w14:paraId="4A7DF276" w14:textId="77777777" w:rsidR="006316A5" w:rsidRDefault="00000000">
      <w:pPr>
        <w:keepNext/>
        <w:spacing w:after="120"/>
      </w:pPr>
      <w:r>
        <w:rPr>
          <w:i/>
        </w:rPr>
        <w:t>Biomass-utilisation pathways and the evidence required before scale-up</w:t>
      </w:r>
    </w:p>
    <w:tbl>
      <w:tblPr>
        <w:tblW w:w="0" w:type="auto"/>
        <w:jc w:val="center"/>
        <w:tblLayout w:type="fixed"/>
        <w:tblLook w:val="04A0" w:firstRow="1" w:lastRow="0" w:firstColumn="1" w:lastColumn="0" w:noHBand="0" w:noVBand="1"/>
      </w:tblPr>
      <w:tblGrid>
        <w:gridCol w:w="1541"/>
        <w:gridCol w:w="2448"/>
        <w:gridCol w:w="3197"/>
        <w:gridCol w:w="2174"/>
      </w:tblGrid>
      <w:tr w:rsidR="006316A5" w14:paraId="3E311978" w14:textId="77777777">
        <w:trPr>
          <w:cantSplit/>
          <w:tblHeader/>
          <w:jc w:val="center"/>
        </w:trPr>
        <w:tc>
          <w:tcPr>
            <w:tcW w:w="1541"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5CCB80B7" w14:textId="77777777" w:rsidR="006316A5" w:rsidRDefault="00000000">
            <w:pPr>
              <w:keepLines/>
              <w:spacing w:after="0" w:line="254" w:lineRule="auto"/>
            </w:pPr>
            <w:r>
              <w:rPr>
                <w:b/>
                <w:sz w:val="20"/>
              </w:rPr>
              <w:t>Pathway</w:t>
            </w:r>
          </w:p>
        </w:tc>
        <w:tc>
          <w:tcPr>
            <w:tcW w:w="2448"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0615E33F" w14:textId="77777777" w:rsidR="006316A5" w:rsidRDefault="00000000">
            <w:pPr>
              <w:keepLines/>
              <w:spacing w:after="0" w:line="254" w:lineRule="auto"/>
            </w:pPr>
            <w:r>
              <w:rPr>
                <w:b/>
                <w:sz w:val="20"/>
              </w:rPr>
              <w:t>Demonstrated capability</w:t>
            </w:r>
          </w:p>
        </w:tc>
        <w:tc>
          <w:tcPr>
            <w:tcW w:w="3197"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10BB978B" w14:textId="77777777" w:rsidR="006316A5" w:rsidRDefault="00000000">
            <w:pPr>
              <w:keepLines/>
              <w:spacing w:after="0" w:line="254" w:lineRule="auto"/>
            </w:pPr>
            <w:r>
              <w:rPr>
                <w:b/>
                <w:sz w:val="20"/>
              </w:rPr>
              <w:t>Unresolved implementation requirement</w:t>
            </w:r>
          </w:p>
        </w:tc>
        <w:tc>
          <w:tcPr>
            <w:tcW w:w="2174" w:type="dxa"/>
            <w:tcBorders>
              <w:top w:val="single" w:sz="10" w:space="0" w:color="222222"/>
              <w:bottom w:val="single" w:sz="7" w:space="0" w:color="555555"/>
            </w:tcBorders>
            <w:shd w:val="clear" w:color="auto" w:fill="F1F1F1"/>
            <w:tcMar>
              <w:top w:w="80" w:type="dxa"/>
              <w:left w:w="90" w:type="dxa"/>
              <w:bottom w:w="80" w:type="dxa"/>
              <w:right w:w="90" w:type="dxa"/>
            </w:tcMar>
            <w:vAlign w:val="center"/>
          </w:tcPr>
          <w:p w14:paraId="07B1770E" w14:textId="77777777" w:rsidR="006316A5" w:rsidRDefault="00000000">
            <w:pPr>
              <w:keepLines/>
              <w:spacing w:after="0" w:line="254" w:lineRule="auto"/>
            </w:pPr>
            <w:r>
              <w:rPr>
                <w:b/>
                <w:sz w:val="20"/>
              </w:rPr>
              <w:t>Supporting references</w:t>
            </w:r>
          </w:p>
        </w:tc>
      </w:tr>
      <w:tr w:rsidR="006316A5" w14:paraId="3DA62C1B"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CAAF212" w14:textId="77777777" w:rsidR="006316A5" w:rsidRDefault="00000000">
            <w:pPr>
              <w:keepLines/>
              <w:spacing w:after="0" w:line="254" w:lineRule="auto"/>
            </w:pPr>
            <w:r>
              <w:rPr>
                <w:sz w:val="20"/>
              </w:rPr>
              <w:t>Anaerobic digestion</w:t>
            </w:r>
          </w:p>
        </w:tc>
        <w:tc>
          <w:tcPr>
            <w:tcW w:w="2448" w:type="dxa"/>
            <w:tcBorders>
              <w:bottom w:val="single" w:sz="3" w:space="0" w:color="CCCCCC"/>
            </w:tcBorders>
            <w:tcMar>
              <w:top w:w="80" w:type="dxa"/>
              <w:left w:w="90" w:type="dxa"/>
              <w:bottom w:w="80" w:type="dxa"/>
              <w:right w:w="90" w:type="dxa"/>
            </w:tcMar>
            <w:vAlign w:val="center"/>
          </w:tcPr>
          <w:p w14:paraId="4515A8CE" w14:textId="77777777" w:rsidR="006316A5" w:rsidRDefault="00000000">
            <w:pPr>
              <w:keepLines/>
              <w:spacing w:after="0" w:line="254" w:lineRule="auto"/>
            </w:pPr>
            <w:r>
              <w:rPr>
                <w:sz w:val="20"/>
              </w:rPr>
              <w:t>Methane production can be enhanced through inoculum selection and co-digestion.</w:t>
            </w:r>
          </w:p>
        </w:tc>
        <w:tc>
          <w:tcPr>
            <w:tcW w:w="3197" w:type="dxa"/>
            <w:tcBorders>
              <w:bottom w:val="single" w:sz="3" w:space="0" w:color="CCCCCC"/>
            </w:tcBorders>
            <w:tcMar>
              <w:top w:w="80" w:type="dxa"/>
              <w:left w:w="90" w:type="dxa"/>
              <w:bottom w:w="80" w:type="dxa"/>
              <w:right w:w="90" w:type="dxa"/>
            </w:tcMar>
            <w:vAlign w:val="center"/>
          </w:tcPr>
          <w:p w14:paraId="6AF9C1DF" w14:textId="77777777" w:rsidR="006316A5" w:rsidRDefault="00000000">
            <w:pPr>
              <w:keepLines/>
              <w:spacing w:after="0" w:line="254" w:lineRule="auto"/>
            </w:pPr>
            <w:r>
              <w:rPr>
                <w:sz w:val="20"/>
              </w:rPr>
              <w:t>Continuous operation, seasonal feedstock, net energy, methane leakage and digestate management.</w:t>
            </w:r>
          </w:p>
        </w:tc>
        <w:tc>
          <w:tcPr>
            <w:tcW w:w="2174" w:type="dxa"/>
            <w:tcBorders>
              <w:bottom w:val="single" w:sz="3" w:space="0" w:color="CCCCCC"/>
            </w:tcBorders>
            <w:tcMar>
              <w:top w:w="80" w:type="dxa"/>
              <w:left w:w="90" w:type="dxa"/>
              <w:bottom w:w="80" w:type="dxa"/>
              <w:right w:w="90" w:type="dxa"/>
            </w:tcMar>
            <w:vAlign w:val="center"/>
          </w:tcPr>
          <w:p w14:paraId="0A8F7C74" w14:textId="77777777" w:rsidR="006316A5" w:rsidRDefault="00000000">
            <w:pPr>
              <w:keepLines/>
              <w:spacing w:after="0" w:line="254" w:lineRule="auto"/>
            </w:pPr>
            <w:r>
              <w:rPr>
                <w:sz w:val="20"/>
              </w:rPr>
              <w:t>(Chai et al., 2023; Obi et al., 2023)</w:t>
            </w:r>
          </w:p>
        </w:tc>
      </w:tr>
      <w:tr w:rsidR="006316A5" w14:paraId="0029B32F"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2AF6E9F7" w14:textId="77777777" w:rsidR="006316A5" w:rsidRDefault="00000000">
            <w:pPr>
              <w:keepLines/>
              <w:spacing w:after="0" w:line="254" w:lineRule="auto"/>
            </w:pPr>
            <w:r>
              <w:rPr>
                <w:sz w:val="20"/>
              </w:rPr>
              <w:t>Biochar and soil amendment</w:t>
            </w:r>
          </w:p>
        </w:tc>
        <w:tc>
          <w:tcPr>
            <w:tcW w:w="2448" w:type="dxa"/>
            <w:tcBorders>
              <w:bottom w:val="single" w:sz="3" w:space="0" w:color="CCCCCC"/>
            </w:tcBorders>
            <w:tcMar>
              <w:top w:w="80" w:type="dxa"/>
              <w:left w:w="90" w:type="dxa"/>
              <w:bottom w:w="80" w:type="dxa"/>
              <w:right w:w="90" w:type="dxa"/>
            </w:tcMar>
            <w:vAlign w:val="center"/>
          </w:tcPr>
          <w:p w14:paraId="5D7A809F" w14:textId="77777777" w:rsidR="006316A5" w:rsidRDefault="00000000">
            <w:pPr>
              <w:keepLines/>
              <w:spacing w:after="0" w:line="254" w:lineRule="auto"/>
            </w:pPr>
            <w:r>
              <w:rPr>
                <w:sz w:val="20"/>
              </w:rPr>
              <w:t>A characterised hyacinth-derived biochar showed agronomic benefits in a teff trial.</w:t>
            </w:r>
          </w:p>
        </w:tc>
        <w:tc>
          <w:tcPr>
            <w:tcW w:w="3197" w:type="dxa"/>
            <w:tcBorders>
              <w:bottom w:val="single" w:sz="3" w:space="0" w:color="CCCCCC"/>
            </w:tcBorders>
            <w:tcMar>
              <w:top w:w="80" w:type="dxa"/>
              <w:left w:w="90" w:type="dxa"/>
              <w:bottom w:w="80" w:type="dxa"/>
              <w:right w:w="90" w:type="dxa"/>
            </w:tcMar>
            <w:vAlign w:val="center"/>
          </w:tcPr>
          <w:p w14:paraId="3FA53013" w14:textId="77777777" w:rsidR="006316A5" w:rsidRDefault="00000000">
            <w:pPr>
              <w:keepLines/>
              <w:spacing w:after="0" w:line="254" w:lineRule="auto"/>
            </w:pPr>
            <w:r>
              <w:rPr>
                <w:sz w:val="20"/>
              </w:rPr>
              <w:t>Source-specific contaminants, application response, repeated use and long-term carbon fate.</w:t>
            </w:r>
          </w:p>
        </w:tc>
        <w:tc>
          <w:tcPr>
            <w:tcW w:w="2174" w:type="dxa"/>
            <w:tcBorders>
              <w:bottom w:val="single" w:sz="3" w:space="0" w:color="CCCCCC"/>
            </w:tcBorders>
            <w:tcMar>
              <w:top w:w="80" w:type="dxa"/>
              <w:left w:w="90" w:type="dxa"/>
              <w:bottom w:w="80" w:type="dxa"/>
              <w:right w:w="90" w:type="dxa"/>
            </w:tcMar>
            <w:vAlign w:val="center"/>
          </w:tcPr>
          <w:p w14:paraId="3F321A5A" w14:textId="77777777" w:rsidR="006316A5" w:rsidRDefault="00000000">
            <w:pPr>
              <w:keepLines/>
              <w:spacing w:after="0" w:line="254" w:lineRule="auto"/>
            </w:pPr>
            <w:r>
              <w:rPr>
                <w:sz w:val="20"/>
              </w:rPr>
              <w:t>(Kassa et al., 2025)</w:t>
            </w:r>
          </w:p>
        </w:tc>
      </w:tr>
      <w:tr w:rsidR="006316A5" w14:paraId="64642682"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5ACBC64C" w14:textId="77777777" w:rsidR="006316A5" w:rsidRDefault="00000000">
            <w:pPr>
              <w:keepLines/>
              <w:spacing w:after="0" w:line="254" w:lineRule="auto"/>
            </w:pPr>
            <w:r>
              <w:rPr>
                <w:sz w:val="20"/>
              </w:rPr>
              <w:t>Compost and other agricultural uses</w:t>
            </w:r>
          </w:p>
        </w:tc>
        <w:tc>
          <w:tcPr>
            <w:tcW w:w="2448" w:type="dxa"/>
            <w:tcBorders>
              <w:bottom w:val="single" w:sz="3" w:space="0" w:color="CCCCCC"/>
            </w:tcBorders>
            <w:tcMar>
              <w:top w:w="80" w:type="dxa"/>
              <w:left w:w="90" w:type="dxa"/>
              <w:bottom w:w="80" w:type="dxa"/>
              <w:right w:w="90" w:type="dxa"/>
            </w:tcMar>
            <w:vAlign w:val="center"/>
          </w:tcPr>
          <w:p w14:paraId="5683429A" w14:textId="77777777" w:rsidR="006316A5" w:rsidRDefault="00000000">
            <w:pPr>
              <w:keepLines/>
              <w:spacing w:after="0" w:line="254" w:lineRule="auto"/>
            </w:pPr>
            <w:r>
              <w:rPr>
                <w:sz w:val="20"/>
              </w:rPr>
              <w:t>Reviews identify nutrient-recovery and substitution opportunities.</w:t>
            </w:r>
          </w:p>
        </w:tc>
        <w:tc>
          <w:tcPr>
            <w:tcW w:w="3197" w:type="dxa"/>
            <w:tcBorders>
              <w:bottom w:val="single" w:sz="3" w:space="0" w:color="CCCCCC"/>
            </w:tcBorders>
            <w:tcMar>
              <w:top w:w="80" w:type="dxa"/>
              <w:left w:w="90" w:type="dxa"/>
              <w:bottom w:w="80" w:type="dxa"/>
              <w:right w:w="90" w:type="dxa"/>
            </w:tcMar>
            <w:vAlign w:val="center"/>
          </w:tcPr>
          <w:p w14:paraId="049EF2E1" w14:textId="77777777" w:rsidR="006316A5" w:rsidRDefault="00000000">
            <w:pPr>
              <w:keepLines/>
              <w:spacing w:after="0" w:line="254" w:lineRule="auto"/>
            </w:pPr>
            <w:r>
              <w:rPr>
                <w:sz w:val="20"/>
              </w:rPr>
              <w:t>Maturity, salinity, crop exposure, comparative agronomic performance and safe residual handling.</w:t>
            </w:r>
          </w:p>
        </w:tc>
        <w:tc>
          <w:tcPr>
            <w:tcW w:w="2174" w:type="dxa"/>
            <w:tcBorders>
              <w:bottom w:val="single" w:sz="3" w:space="0" w:color="CCCCCC"/>
            </w:tcBorders>
            <w:tcMar>
              <w:top w:w="80" w:type="dxa"/>
              <w:left w:w="90" w:type="dxa"/>
              <w:bottom w:w="80" w:type="dxa"/>
              <w:right w:w="90" w:type="dxa"/>
            </w:tcMar>
            <w:vAlign w:val="center"/>
          </w:tcPr>
          <w:p w14:paraId="60D8488D" w14:textId="77777777" w:rsidR="006316A5" w:rsidRDefault="00000000">
            <w:pPr>
              <w:keepLines/>
              <w:spacing w:after="0" w:line="254" w:lineRule="auto"/>
            </w:pPr>
            <w:r>
              <w:rPr>
                <w:sz w:val="20"/>
              </w:rPr>
              <w:t>(Ilo et al., 2020)</w:t>
            </w:r>
          </w:p>
        </w:tc>
      </w:tr>
      <w:tr w:rsidR="006316A5" w14:paraId="2D569A68" w14:textId="77777777">
        <w:trPr>
          <w:cantSplit/>
          <w:jc w:val="center"/>
        </w:trPr>
        <w:tc>
          <w:tcPr>
            <w:tcW w:w="1541" w:type="dxa"/>
            <w:tcBorders>
              <w:bottom w:val="single" w:sz="3" w:space="0" w:color="CCCCCC"/>
            </w:tcBorders>
            <w:tcMar>
              <w:top w:w="80" w:type="dxa"/>
              <w:left w:w="90" w:type="dxa"/>
              <w:bottom w:w="80" w:type="dxa"/>
              <w:right w:w="90" w:type="dxa"/>
            </w:tcMar>
            <w:vAlign w:val="center"/>
          </w:tcPr>
          <w:p w14:paraId="71262888" w14:textId="77777777" w:rsidR="006316A5" w:rsidRDefault="00000000">
            <w:pPr>
              <w:keepLines/>
              <w:spacing w:after="0" w:line="254" w:lineRule="auto"/>
            </w:pPr>
            <w:r>
              <w:rPr>
                <w:sz w:val="20"/>
              </w:rPr>
              <w:t>Biosorbents</w:t>
            </w:r>
          </w:p>
        </w:tc>
        <w:tc>
          <w:tcPr>
            <w:tcW w:w="2448" w:type="dxa"/>
            <w:tcBorders>
              <w:bottom w:val="single" w:sz="3" w:space="0" w:color="CCCCCC"/>
            </w:tcBorders>
            <w:tcMar>
              <w:top w:w="80" w:type="dxa"/>
              <w:left w:w="90" w:type="dxa"/>
              <w:bottom w:w="80" w:type="dxa"/>
              <w:right w:w="90" w:type="dxa"/>
            </w:tcMar>
            <w:vAlign w:val="center"/>
          </w:tcPr>
          <w:p w14:paraId="5FEDEB68" w14:textId="77777777" w:rsidR="006316A5" w:rsidRDefault="00000000">
            <w:pPr>
              <w:keepLines/>
              <w:spacing w:after="0" w:line="254" w:lineRule="auto"/>
            </w:pPr>
            <w:r>
              <w:rPr>
                <w:sz w:val="20"/>
              </w:rPr>
              <w:t>Leaf-derived material adsorbed a model dye under controlled batch conditions.</w:t>
            </w:r>
          </w:p>
        </w:tc>
        <w:tc>
          <w:tcPr>
            <w:tcW w:w="3197" w:type="dxa"/>
            <w:tcBorders>
              <w:bottom w:val="single" w:sz="3" w:space="0" w:color="CCCCCC"/>
            </w:tcBorders>
            <w:tcMar>
              <w:top w:w="80" w:type="dxa"/>
              <w:left w:w="90" w:type="dxa"/>
              <w:bottom w:w="80" w:type="dxa"/>
              <w:right w:w="90" w:type="dxa"/>
            </w:tcMar>
            <w:vAlign w:val="center"/>
          </w:tcPr>
          <w:p w14:paraId="456CD451" w14:textId="77777777" w:rsidR="006316A5" w:rsidRDefault="00000000">
            <w:pPr>
              <w:keepLines/>
              <w:spacing w:after="0" w:line="254" w:lineRule="auto"/>
            </w:pPr>
            <w:r>
              <w:rPr>
                <w:sz w:val="20"/>
              </w:rPr>
              <w:t>Real effluents, continuous-flow performance, pH-adjustment costs, regeneration and exhausted sorbent disposal.</w:t>
            </w:r>
          </w:p>
        </w:tc>
        <w:tc>
          <w:tcPr>
            <w:tcW w:w="2174" w:type="dxa"/>
            <w:tcBorders>
              <w:bottom w:val="single" w:sz="3" w:space="0" w:color="CCCCCC"/>
            </w:tcBorders>
            <w:tcMar>
              <w:top w:w="80" w:type="dxa"/>
              <w:left w:w="90" w:type="dxa"/>
              <w:bottom w:w="80" w:type="dxa"/>
              <w:right w:w="90" w:type="dxa"/>
            </w:tcMar>
            <w:vAlign w:val="center"/>
          </w:tcPr>
          <w:p w14:paraId="7B19F19A" w14:textId="77777777" w:rsidR="006316A5" w:rsidRDefault="00000000">
            <w:pPr>
              <w:keepLines/>
              <w:spacing w:after="0" w:line="254" w:lineRule="auto"/>
            </w:pPr>
            <w:r>
              <w:rPr>
                <w:sz w:val="20"/>
              </w:rPr>
              <w:t>(Aranda-García et al., 2024)</w:t>
            </w:r>
          </w:p>
        </w:tc>
      </w:tr>
      <w:tr w:rsidR="006316A5" w14:paraId="35685EFA" w14:textId="77777777">
        <w:trPr>
          <w:cantSplit/>
          <w:jc w:val="center"/>
        </w:trPr>
        <w:tc>
          <w:tcPr>
            <w:tcW w:w="1541" w:type="dxa"/>
            <w:tcBorders>
              <w:bottom w:val="single" w:sz="8" w:space="0" w:color="555555"/>
            </w:tcBorders>
            <w:tcMar>
              <w:top w:w="80" w:type="dxa"/>
              <w:left w:w="90" w:type="dxa"/>
              <w:bottom w:w="80" w:type="dxa"/>
              <w:right w:w="90" w:type="dxa"/>
            </w:tcMar>
            <w:vAlign w:val="center"/>
          </w:tcPr>
          <w:p w14:paraId="6E6E4C30" w14:textId="77777777" w:rsidR="006316A5" w:rsidRDefault="00000000">
            <w:pPr>
              <w:keepLines/>
              <w:spacing w:after="0" w:line="254" w:lineRule="auto"/>
            </w:pPr>
            <w:r>
              <w:rPr>
                <w:sz w:val="20"/>
              </w:rPr>
              <w:t>Fibre and higher-value products</w:t>
            </w:r>
          </w:p>
        </w:tc>
        <w:tc>
          <w:tcPr>
            <w:tcW w:w="2448" w:type="dxa"/>
            <w:tcBorders>
              <w:bottom w:val="single" w:sz="8" w:space="0" w:color="555555"/>
            </w:tcBorders>
            <w:tcMar>
              <w:top w:w="80" w:type="dxa"/>
              <w:left w:w="90" w:type="dxa"/>
              <w:bottom w:w="80" w:type="dxa"/>
              <w:right w:w="90" w:type="dxa"/>
            </w:tcMar>
            <w:vAlign w:val="center"/>
          </w:tcPr>
          <w:p w14:paraId="186DC76C" w14:textId="77777777" w:rsidR="006316A5" w:rsidRDefault="00000000">
            <w:pPr>
              <w:keepLines/>
              <w:spacing w:after="0" w:line="254" w:lineRule="auto"/>
            </w:pPr>
            <w:r>
              <w:rPr>
                <w:sz w:val="20"/>
              </w:rPr>
              <w:t>Potential routes for local value creation and partial use of removed biomass.</w:t>
            </w:r>
          </w:p>
        </w:tc>
        <w:tc>
          <w:tcPr>
            <w:tcW w:w="3197" w:type="dxa"/>
            <w:tcBorders>
              <w:bottom w:val="single" w:sz="8" w:space="0" w:color="555555"/>
            </w:tcBorders>
            <w:tcMar>
              <w:top w:w="80" w:type="dxa"/>
              <w:left w:w="90" w:type="dxa"/>
              <w:bottom w:w="80" w:type="dxa"/>
              <w:right w:w="90" w:type="dxa"/>
            </w:tcMar>
            <w:vAlign w:val="center"/>
          </w:tcPr>
          <w:p w14:paraId="468848FC" w14:textId="77777777" w:rsidR="006316A5" w:rsidRDefault="00000000">
            <w:pPr>
              <w:keepLines/>
              <w:spacing w:after="0" w:line="254" w:lineRule="auto"/>
            </w:pPr>
            <w:r>
              <w:rPr>
                <w:sz w:val="20"/>
              </w:rPr>
              <w:t>Demand, consistent quality, proportion of removals utilised and viability as infestation declines.</w:t>
            </w:r>
          </w:p>
        </w:tc>
        <w:tc>
          <w:tcPr>
            <w:tcW w:w="2174" w:type="dxa"/>
            <w:tcBorders>
              <w:bottom w:val="single" w:sz="8" w:space="0" w:color="555555"/>
            </w:tcBorders>
            <w:tcMar>
              <w:top w:w="80" w:type="dxa"/>
              <w:left w:w="90" w:type="dxa"/>
              <w:bottom w:w="80" w:type="dxa"/>
              <w:right w:w="90" w:type="dxa"/>
            </w:tcMar>
            <w:vAlign w:val="center"/>
          </w:tcPr>
          <w:p w14:paraId="7564C1B6" w14:textId="77777777" w:rsidR="006316A5" w:rsidRDefault="00000000">
            <w:pPr>
              <w:keepLines/>
              <w:spacing w:after="0" w:line="254" w:lineRule="auto"/>
            </w:pPr>
            <w:r>
              <w:rPr>
                <w:sz w:val="20"/>
              </w:rPr>
              <w:t>(Ilo et al., 2020; Saeed et al., 2026)</w:t>
            </w:r>
          </w:p>
        </w:tc>
      </w:tr>
    </w:tbl>
    <w:p w14:paraId="00105A0A" w14:textId="77777777" w:rsidR="006316A5" w:rsidRDefault="00000000">
      <w:pPr>
        <w:spacing w:before="100" w:after="180" w:line="252" w:lineRule="auto"/>
      </w:pPr>
      <w:r>
        <w:rPr>
          <w:i/>
          <w:sz w:val="20"/>
        </w:rPr>
        <w:t xml:space="preserve">Note. </w:t>
      </w:r>
      <w:r>
        <w:rPr>
          <w:sz w:val="20"/>
        </w:rPr>
        <w:t>pH denotes the measure of acidity or alkalinity. Technical capability is distinguished from demonstrated commercial viability, contaminant safety and contribution to ecosystem restoration.</w:t>
      </w:r>
    </w:p>
    <w:p w14:paraId="0E5AF479" w14:textId="77777777" w:rsidR="006316A5" w:rsidRDefault="00000000">
      <w:pPr>
        <w:pStyle w:val="Heading1"/>
      </w:pPr>
      <w:r>
        <w:t>9. Future Directions</w:t>
      </w:r>
    </w:p>
    <w:p w14:paraId="52617A55" w14:textId="77777777" w:rsidR="006316A5" w:rsidRDefault="00000000">
      <w:pPr>
        <w:pStyle w:val="Heading2"/>
      </w:pPr>
      <w:r>
        <w:t>9.1 Establish When Suppression Produces Recovery</w:t>
      </w:r>
    </w:p>
    <w:p w14:paraId="009EF51B" w14:textId="77777777" w:rsidR="006316A5" w:rsidRDefault="00000000">
      <w:pPr>
        <w:jc w:val="both"/>
      </w:pPr>
      <w:r>
        <w:t xml:space="preserve">The immediate research priority is to connect changes in cover with the recovery of ecological functions. Multi-site intervention studies should compare removal, destruction in place, biological suppression and appropriate untreated or alternative-treatment controls, while </w:t>
      </w:r>
      <w:r>
        <w:lastRenderedPageBreak/>
        <w:t>measuring oxygen exposure, nutrient loads and native-community responses. The contrasting water-quality trajectories in existing studies show why sampling must include both the initial disturbance and subsequent growing seasons. Where random allocation is infeasible, replicated before-after comparisons with hydrologically defensible controls would still improve attribution (Greenfield et al., 2007; Tobias et al., 2019).</w:t>
      </w:r>
    </w:p>
    <w:p w14:paraId="6D2DAF20" w14:textId="77777777" w:rsidR="006316A5" w:rsidRDefault="00000000">
      <w:pPr>
        <w:jc w:val="both"/>
      </w:pPr>
      <w:r>
        <w:t>These studies should record the intensity and persistence of infestation before treatment. Without those measures, a small effect could reflect a weak intervention, mild initial exposure or a degraded background environment with little capacity to recover. Sampling along cover and duration gradients would help identify nonlinear responses and conditions under which partial suppression is sufficient. The aim should not be a single global cover threshold, but a set of context-specific relationships that managers can test against local objectives (Brito et al., 2026; Jha &amp; Li, 2025).</w:t>
      </w:r>
    </w:p>
    <w:p w14:paraId="0CA43FD0" w14:textId="77777777" w:rsidR="006316A5" w:rsidRDefault="00000000">
      <w:pPr>
        <w:jc w:val="both"/>
      </w:pPr>
      <w:r>
        <w:t xml:space="preserve">Long-term follow-up should distinguish reinvasion from regrowth and determine whether the desired replacement community establishes. This requires linking imagery, field observations and intervention records rather than using each as a separate evidence stream. Continued monitoring after visible success is particularly valuable because recurrence can otherwise be mistaken for an entirely new problem. The proposed advance is a transition from reporting clearance events to estimating the duration and reliability of recovery (Chala et al., 2026; </w:t>
      </w:r>
      <w:proofErr w:type="spellStart"/>
      <w:r>
        <w:t>Pirbasti</w:t>
      </w:r>
      <w:proofErr w:type="spellEnd"/>
      <w:r>
        <w:t xml:space="preserve"> et al., 2024).</w:t>
      </w:r>
    </w:p>
    <w:p w14:paraId="1430BDD8" w14:textId="77777777" w:rsidR="006316A5" w:rsidRDefault="00000000">
      <w:pPr>
        <w:pStyle w:val="Heading2"/>
      </w:pPr>
      <w:r>
        <w:t>9.2 Improve Biological-Control Matching and Programme Evaluation</w:t>
      </w:r>
    </w:p>
    <w:p w14:paraId="2CEFD28C" w14:textId="77777777" w:rsidR="006316A5" w:rsidRDefault="00000000">
      <w:pPr>
        <w:jc w:val="both"/>
      </w:pPr>
      <w:r>
        <w:t xml:space="preserve">A second priority is to identify combinations of agent, environment and release strategy that produce dependable suppression. Coordinated trials should record temperature, turbidity, host quality, release density and seasonal recovery alongside plant outcomes. Establishment alone should not be the success criterion. The relevant question is whether agents reach damaging abundance early enough, and for long enough, to protect the specified ecosystem service. Such comparisons would test the mechanisms suggested by climate-mismatch and turbidity studies (Harms et al., 2021; </w:t>
      </w:r>
      <w:proofErr w:type="spellStart"/>
      <w:r>
        <w:t>Mukarugwiro</w:t>
      </w:r>
      <w:proofErr w:type="spellEnd"/>
      <w:r>
        <w:t xml:space="preserve"> et al., 2023).</w:t>
      </w:r>
    </w:p>
    <w:p w14:paraId="076D1EDA" w14:textId="77777777" w:rsidR="006316A5" w:rsidRDefault="00000000">
      <w:pPr>
        <w:jc w:val="both"/>
      </w:pPr>
      <w:r>
        <w:t>Operational studies should also separate the biological contribution from the delivery system. Repeated release, community monitoring and changes in chemical treatment can occur together, making attribution difficult. Transparent records of each component, coupled with matched comparison sites where possible, would clarify which investments are essential. The evidence from Hartbeespoort provides a strong basis for such work, but not a substitute for testing the approach in other climatic and institutional settings (Coetzee et al., 2022; Moffat et al., 2024).</w:t>
      </w:r>
    </w:p>
    <w:p w14:paraId="00454A72" w14:textId="77777777" w:rsidR="006316A5" w:rsidRDefault="00000000">
      <w:pPr>
        <w:pStyle w:val="Heading2"/>
      </w:pPr>
      <w:r>
        <w:t>9.3 Measure Complete Exposure and Material Pathways</w:t>
      </w:r>
    </w:p>
    <w:p w14:paraId="7D45A232" w14:textId="77777777" w:rsidR="006316A5" w:rsidRDefault="00000000">
      <w:pPr>
        <w:jc w:val="both"/>
      </w:pPr>
      <w:r>
        <w:t xml:space="preserve">Health research should move beyond the presence of potential vectors to the mechanisms connecting vegetation management with exposure. Mesocosm findings justify field studies of parasite production and host condition, while field observations justify monitoring cleared shoreline habitats as well as standing mats. Studies linking environmental indicators with human </w:t>
      </w:r>
      <w:r>
        <w:lastRenderedPageBreak/>
        <w:t xml:space="preserve">outcomes would require appropriate epidemiological design and ethical oversight. Until such evidence exists, management claims should distinguish reduced environmental hazard from demonstrated reduction in disease (Desautels et al., 2023; </w:t>
      </w:r>
      <w:proofErr w:type="spellStart"/>
      <w:r>
        <w:t>Gezie</w:t>
      </w:r>
      <w:proofErr w:type="spellEnd"/>
      <w:r>
        <w:t xml:space="preserve"> et al., 2018).</w:t>
      </w:r>
    </w:p>
    <w:p w14:paraId="736C4D80" w14:textId="77777777" w:rsidR="006316A5" w:rsidRDefault="00000000">
      <w:pPr>
        <w:jc w:val="both"/>
      </w:pPr>
      <w:r>
        <w:t>Biogeochemical studies should similarly close material pathways. Paired gas measurements across seasons, water depths and biomass fates are needed to resolve when water hyacinth changes net greenhouse-gas exchange rather than a single flux component. Nutrient-export claims require measured dry biomass and composition, and utilisation studies require residual accounting. This is especially important where plant uptake is used to support both remediation and carbon-benefit claims without tracking what happens after senescence or processing (</w:t>
      </w:r>
      <w:proofErr w:type="spellStart"/>
      <w:r>
        <w:t>Attermeyer</w:t>
      </w:r>
      <w:proofErr w:type="spellEnd"/>
      <w:r>
        <w:t xml:space="preserve"> et al., 2016; Oliveira Junior et al., 2021; Zhou et al., 2022).</w:t>
      </w:r>
    </w:p>
    <w:p w14:paraId="1CE620F6" w14:textId="77777777" w:rsidR="006316A5" w:rsidRDefault="00000000">
      <w:pPr>
        <w:pStyle w:val="Heading2"/>
      </w:pPr>
      <w:r>
        <w:t>9.4 Evaluate Scalable Utilisation and Fair Management</w:t>
      </w:r>
    </w:p>
    <w:p w14:paraId="438B41C7" w14:textId="77777777" w:rsidR="006316A5" w:rsidRDefault="00000000">
      <w:pPr>
        <w:jc w:val="both"/>
      </w:pPr>
      <w:r>
        <w:t>For utilisation, the priority is independently evaluated pilot operation rather than another isolated demonstration of maximum conversion performance. Trials should cover seasonal feedstock variability, collection and transport, energy demand, product quality and residual disposal. Agricultural applications require repeated-season soil and crop measurements, while adsorbents require continuous-flow and regeneration testing. These designs address the gap between current experimental capability and claims of safe, economically durable deployment (Aranda-García et al., 2024; Chai et al., 2023; Kassa et al., 2025).</w:t>
      </w:r>
    </w:p>
    <w:p w14:paraId="506742EA" w14:textId="77777777" w:rsidR="006316A5" w:rsidRDefault="00000000">
      <w:pPr>
        <w:jc w:val="both"/>
      </w:pPr>
      <w:r>
        <w:t xml:space="preserve">Economic and social evaluation should be integrated from the outset. A programme may generate a positive aggregate return while imposing costs on particular groups or depending on unpaid labour. Comparative evaluations should therefore measure service reliability, household time, livelihood changes and the distribution of both expenditure and benefits. They should also test whether utilisation incentives remain compatible with reducing infestation. Together, these priorities would replace broad advocacy for integrated management with evidence about which combinations work, for whom, at what cost and over what period (Hossain et al., 2025; </w:t>
      </w:r>
      <w:proofErr w:type="spellStart"/>
      <w:r>
        <w:t>Wainger</w:t>
      </w:r>
      <w:proofErr w:type="spellEnd"/>
      <w:r>
        <w:t xml:space="preserve"> et al., 2018).</w:t>
      </w:r>
    </w:p>
    <w:p w14:paraId="247ED9C2" w14:textId="77777777" w:rsidR="006316A5" w:rsidRDefault="00000000">
      <w:pPr>
        <w:pStyle w:val="Heading1"/>
      </w:pPr>
      <w:r>
        <w:t>10. Conclusions</w:t>
      </w:r>
    </w:p>
    <w:p w14:paraId="3174BDA5" w14:textId="77777777" w:rsidR="006316A5" w:rsidRDefault="00000000">
      <w:pPr>
        <w:jc w:val="both"/>
      </w:pPr>
      <w:r>
        <w:t>Water hyacinth affects aquatic ecosystems through a combination of surface occupation, altered habitat structure and redistribution of nutrients and organic matter. The most defensible general conclusions concern the consequences of dense, persistent cover for light availability, oxygen conditions and access to water-dependent activities. Responses of nutrient concentrations, fish communities, disease-transmission potential and greenhouse-gas exchange are more conditional. Their interpretation requires attention to reference habitat, hydrological exchange, plant rooting, exposure duration and the fate of biomass.</w:t>
      </w:r>
    </w:p>
    <w:p w14:paraId="669C386F" w14:textId="77777777" w:rsidR="006316A5" w:rsidRDefault="00000000">
      <w:pPr>
        <w:jc w:val="both"/>
      </w:pPr>
      <w:r>
        <w:t xml:space="preserve">No single control method performs the same function under all conditions. Physical removal can rapidly restore access and export material but requires follow-up where favourable growth conditions and propagules remain. Biological control can achieve substantial field suppression, including in enriched systems, although sustained delivery and environmental matching matter. </w:t>
      </w:r>
      <w:r>
        <w:lastRenderedPageBreak/>
        <w:t>Herbicides and emerging microbial products must be judged by non-target effects and recovery as well as target mortality. Integration is therefore a sequence of compatible, objective-specific decisions rather than an indiscriminate combination of techniques.</w:t>
      </w:r>
    </w:p>
    <w:p w14:paraId="122DDDD5" w14:textId="77777777" w:rsidR="006316A5" w:rsidRDefault="00000000">
      <w:pPr>
        <w:jc w:val="both"/>
      </w:pPr>
      <w:r>
        <w:t>Biomass utilisation can improve the handling of authorised removals, but technical conversion is not equivalent to economic viability, contaminant safety or ecosystem restoration. A credible programme keeps the control objective primary and accounts for collection, processing and residual fate. Across all approaches, visible clearance should be treated as an intermediate result. The stronger measure of success is a sustained reduction in ecological and social harm, demonstrated through explicit baselines, appropriate comparisons and continued monitoring. This shifts management from repeated responses to conspicuous vegetation towards protection of the aquatic functions and livelihoods that the intervention is intended to restore.</w:t>
      </w:r>
    </w:p>
    <w:p w14:paraId="04A3F040" w14:textId="77777777" w:rsidR="006316A5" w:rsidRDefault="00000000">
      <w:pPr>
        <w:pStyle w:val="Heading1"/>
      </w:pPr>
      <w:r>
        <w:t>11. Limitations</w:t>
      </w:r>
    </w:p>
    <w:p w14:paraId="20447FC0" w14:textId="77777777" w:rsidR="006316A5" w:rsidRDefault="00000000">
      <w:pPr>
        <w:jc w:val="both"/>
      </w:pPr>
      <w:r>
        <w:t>This narrative review remains susceptible to selection and interpretive bias despite a transparent search approach and explicit appraisal criteria. Literature selection was purposive, and independent duplicate screening or blinded assessment was not undertaken. The synthesis should therefore be read as a critical interpretation of a verified evidence base rather than an exhaustive inventory of every eligible study.</w:t>
      </w:r>
    </w:p>
    <w:p w14:paraId="7EE59A93" w14:textId="77777777" w:rsidR="006316A5" w:rsidRDefault="00000000">
      <w:pPr>
        <w:jc w:val="both"/>
      </w:pPr>
      <w:r>
        <w:t>Search-engine-assisted retrieval, restricted access to some full texts and the English-language restriction may have excluded relevant regional research. Subscription-database exports were not available. Studies accessible only through detailed abstracts could support their stated results but not a complete assessment of statistical procedures or unreported limitations. The availability of accessible and well-documented work also produced uneven geographical coverage, with particularly informative cases from eastern and southern Africa, the Americas and parts of Asia.</w:t>
      </w:r>
    </w:p>
    <w:p w14:paraId="4967F196" w14:textId="77777777" w:rsidR="006316A5" w:rsidRDefault="00000000">
      <w:pPr>
        <w:jc w:val="both"/>
      </w:pPr>
      <w:r>
        <w:t>Differences in infestation intensity, reference habitats, hydrological settings, intervention definitions and follow-up periods constrained direct comparison. Operational field evidence often lacked independent untreated controls, while controlled experiments necessarily simplified natural systems. Biomass-processing studies frequently used defined feedstocks and short experimental runs that do not represent commercial operation. These limitations prevented a defensible pooled estimate of overall impact or a universal ranking of management options.</w:t>
      </w:r>
    </w:p>
    <w:p w14:paraId="33ABEED2" w14:textId="77777777" w:rsidR="006316A5" w:rsidRDefault="00000000">
      <w:pPr>
        <w:jc w:val="both"/>
      </w:pPr>
      <w:r>
        <w:t>The proposed monitoring and decision frameworks have not themselves been prospectively validated. They organise existing evidence and identify testable requirements rather than establish fixed thresholds or guaranteed outcomes. Publication bias towards successful treatments or promising products may persist, and evidence published after the stated cutoff is not represented. Long-term recovery, distributional consequences and complete environmental accounting remain less well established than short-term suppression or laboratory feasibility.</w:t>
      </w:r>
    </w:p>
    <w:p w14:paraId="55F4CB61" w14:textId="77777777" w:rsidR="00315015" w:rsidRDefault="00315015" w:rsidP="00315015">
      <w:pPr>
        <w:spacing w:after="0" w:line="240" w:lineRule="auto"/>
        <w:rPr>
          <w:rFonts w:cs="Times New Roman"/>
          <w:b/>
        </w:rPr>
      </w:pPr>
      <w:r w:rsidRPr="000839CE">
        <w:rPr>
          <w:rFonts w:cs="Times New Roman"/>
          <w:b/>
        </w:rPr>
        <w:t>Declaration of AI Use</w:t>
      </w:r>
    </w:p>
    <w:p w14:paraId="2B2B3A22" w14:textId="77777777" w:rsidR="00315015" w:rsidRDefault="00315015" w:rsidP="00315015">
      <w:pPr>
        <w:spacing w:after="0" w:line="240" w:lineRule="auto"/>
        <w:rPr>
          <w:rFonts w:cs="Times New Roman"/>
          <w:b/>
        </w:rPr>
      </w:pPr>
    </w:p>
    <w:p w14:paraId="3461E16D" w14:textId="77777777" w:rsidR="00315015" w:rsidRDefault="00315015" w:rsidP="00315015">
      <w:pPr>
        <w:spacing w:after="0" w:line="240" w:lineRule="auto"/>
        <w:rPr>
          <w:rFonts w:cs="Times New Roman"/>
          <w:b/>
        </w:rPr>
      </w:pPr>
    </w:p>
    <w:p w14:paraId="2A11D97B" w14:textId="77777777" w:rsidR="00315015" w:rsidRDefault="00315015" w:rsidP="00315015">
      <w:pPr>
        <w:spacing w:after="0" w:line="240" w:lineRule="auto"/>
        <w:rPr>
          <w:rFonts w:cs="Times New Roman"/>
          <w:b/>
        </w:rPr>
      </w:pPr>
    </w:p>
    <w:p w14:paraId="09D11715" w14:textId="77777777" w:rsidR="00315015" w:rsidRPr="002D08AC" w:rsidRDefault="00315015" w:rsidP="00315015">
      <w:pPr>
        <w:spacing w:after="0" w:line="240" w:lineRule="auto"/>
        <w:rPr>
          <w:rFonts w:ascii="Arial" w:hAnsi="Arial" w:cs="Arial"/>
          <w:sz w:val="20"/>
          <w:szCs w:val="20"/>
        </w:rPr>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3AFC7B" w14:textId="77777777" w:rsidR="00315015" w:rsidRDefault="00315015">
      <w:pPr>
        <w:jc w:val="both"/>
      </w:pPr>
    </w:p>
    <w:p w14:paraId="65F5B445" w14:textId="77777777" w:rsidR="006316A5" w:rsidRDefault="00000000">
      <w:pPr>
        <w:pStyle w:val="Heading1"/>
        <w:pageBreakBefore/>
      </w:pPr>
      <w:r>
        <w:lastRenderedPageBreak/>
        <w:t>References</w:t>
      </w:r>
    </w:p>
    <w:p w14:paraId="4309A439" w14:textId="77777777" w:rsidR="00427E5A" w:rsidRDefault="00427E5A" w:rsidP="00427E5A">
      <w:r>
        <w:t xml:space="preserve">Abba, A., &amp; </w:t>
      </w:r>
      <w:proofErr w:type="spellStart"/>
      <w:r>
        <w:t>Sankarannair</w:t>
      </w:r>
      <w:proofErr w:type="spellEnd"/>
      <w:r>
        <w:t>, S. (2024). Global impact of water hyacinth (Eichhornia crassipes) on rural communities and mitigation strategies: A systematic review. Environmental Science and Pollution Research, 31(31), 43616–43632. https://doi.org/10.1007/s11356-024-33905-7</w:t>
      </w:r>
    </w:p>
    <w:p w14:paraId="63EE0069" w14:textId="77777777" w:rsidR="00427E5A" w:rsidRDefault="00427E5A" w:rsidP="00427E5A">
      <w:r>
        <w:t xml:space="preserve">Aranda-García, E., Guerrero-Coronilla, I., &amp; Cristiani-Urbina, E. (2024). Water hyacinth leaves are an efficient, green, and cost-effective biosorbent for the removal of </w:t>
      </w:r>
      <w:proofErr w:type="spellStart"/>
      <w:r>
        <w:t>metanil</w:t>
      </w:r>
      <w:proofErr w:type="spellEnd"/>
      <w:r>
        <w:t xml:space="preserve"> yellow from aqueous solution: Kinetics, isotherm, and thermodynamic studies. Molecules, 29(14), Article 3409. https://doi.org/10.3390/molecules29143409</w:t>
      </w:r>
    </w:p>
    <w:p w14:paraId="3C92B6F4" w14:textId="77777777" w:rsidR="00427E5A" w:rsidRDefault="00427E5A" w:rsidP="00427E5A">
      <w:proofErr w:type="spellStart"/>
      <w:r>
        <w:t>Attermeyer</w:t>
      </w:r>
      <w:proofErr w:type="spellEnd"/>
      <w:r>
        <w:t xml:space="preserve">, K., Flury, S., Jayakumar, R., </w:t>
      </w:r>
      <w:proofErr w:type="spellStart"/>
      <w:r>
        <w:t>Fiener</w:t>
      </w:r>
      <w:proofErr w:type="spellEnd"/>
      <w:r>
        <w:t xml:space="preserve">, P., Steger, K., Arya, V., Wilken, F., van </w:t>
      </w:r>
      <w:proofErr w:type="spellStart"/>
      <w:r>
        <w:t>Geldern</w:t>
      </w:r>
      <w:proofErr w:type="spellEnd"/>
      <w:r>
        <w:t xml:space="preserve">, R., &amp; </w:t>
      </w:r>
      <w:proofErr w:type="spellStart"/>
      <w:r>
        <w:t>Premke</w:t>
      </w:r>
      <w:proofErr w:type="spellEnd"/>
      <w:r>
        <w:t>, K. (2016). Invasive floating macrophytes reduce greenhouse gas emissions from a small tropical lake. Scientific Reports, 6, Article 20424. https://doi.org/10.1038/srep20424</w:t>
      </w:r>
    </w:p>
    <w:p w14:paraId="63817D50" w14:textId="77777777" w:rsidR="00427E5A" w:rsidRDefault="00427E5A" w:rsidP="00427E5A">
      <w:proofErr w:type="spellStart"/>
      <w:r>
        <w:t>Baethge</w:t>
      </w:r>
      <w:proofErr w:type="spellEnd"/>
      <w:r>
        <w:t>, C., Goldbeck-Wood, S., &amp; Mertens, S. (2019). SANRA—a scale for the quality assessment of narrative review articles. Research Integrity and Peer Review, 4, Article 5. https://doi.org/10.1186/s41073-019-0064-8</w:t>
      </w:r>
    </w:p>
    <w:p w14:paraId="79B15B9F" w14:textId="77777777" w:rsidR="00427E5A" w:rsidRDefault="00427E5A" w:rsidP="00427E5A">
      <w:r>
        <w:t>Brito, L. S., Lillebø, A. I., &amp; Teixeira, H. (2026). Global distribution of Pontederia crassipes: A systematic and bibliometric review of biomass variations and environmental correlations. Frontiers in Environmental Science, 14, Article 1703625. https://doi.org/10.3389/fenvs.2026.1703625</w:t>
      </w:r>
    </w:p>
    <w:p w14:paraId="2414E2BE" w14:textId="77777777" w:rsidR="00427E5A" w:rsidRDefault="00427E5A" w:rsidP="00427E5A">
      <w:r>
        <w:t xml:space="preserve">Chai, A., Wong, Y.-S., Ong, S.-A., </w:t>
      </w:r>
      <w:proofErr w:type="spellStart"/>
      <w:r>
        <w:t>Lutpi</w:t>
      </w:r>
      <w:proofErr w:type="spellEnd"/>
      <w:r>
        <w:t xml:space="preserve">, N. A., Sam, S.-T., </w:t>
      </w:r>
      <w:proofErr w:type="spellStart"/>
      <w:r>
        <w:t>Wirach</w:t>
      </w:r>
      <w:proofErr w:type="spellEnd"/>
      <w:r>
        <w:t>, T., Kee, W.-C., &amp; Khoo, H.-C. (2023). Exploring the potential of thermophilic anaerobic co-digestion between agro-industrial waste and water hyacinth: Operational performance, kinetic study and degradation pathway. Bioprocess and Biosystems Engineering, 46(7), 995–1009. https://doi.org/10.1007/s00449-023-02879-0</w:t>
      </w:r>
    </w:p>
    <w:p w14:paraId="504B4FCA" w14:textId="77777777" w:rsidR="00427E5A" w:rsidRDefault="00427E5A" w:rsidP="00427E5A">
      <w:r>
        <w:t xml:space="preserve">Chala, D., Tsegaye, D., Alem, H., </w:t>
      </w:r>
      <w:proofErr w:type="spellStart"/>
      <w:r>
        <w:t>Asalf</w:t>
      </w:r>
      <w:proofErr w:type="spellEnd"/>
      <w:r>
        <w:t xml:space="preserve">, B., Moges, M. E., Abate, N. T., </w:t>
      </w:r>
      <w:proofErr w:type="spellStart"/>
      <w:r>
        <w:t>Wondie</w:t>
      </w:r>
      <w:proofErr w:type="spellEnd"/>
      <w:r>
        <w:t xml:space="preserve">, A., Tadesse, A. T., </w:t>
      </w:r>
      <w:proofErr w:type="spellStart"/>
      <w:r>
        <w:t>Aticho</w:t>
      </w:r>
      <w:proofErr w:type="spellEnd"/>
      <w:r>
        <w:t xml:space="preserve">, A., </w:t>
      </w:r>
      <w:proofErr w:type="spellStart"/>
      <w:r>
        <w:t>Gonsamo</w:t>
      </w:r>
      <w:proofErr w:type="spellEnd"/>
      <w:r>
        <w:t>, A., Wang, L., Lundgren, E., Kerby, J., &amp; Svenning, J. C. (2026). Beyond removal: Strategies for sustainable control of water hyacinth in tropical freshwater ecosystems. Environmental Management, 76, Article 187. https://doi.org/10.1007/s00267-026-02494-1</w:t>
      </w:r>
    </w:p>
    <w:p w14:paraId="7440DE22" w14:textId="77777777" w:rsidR="00427E5A" w:rsidRDefault="00427E5A" w:rsidP="00427E5A">
      <w:r>
        <w:t xml:space="preserve">Coetzee, J. A., &amp; Hill, M. P. (2012). The role of eutrophication in the biological control of water hyacinth, Eichhornia crassipes, in South Africa. </w:t>
      </w:r>
      <w:proofErr w:type="spellStart"/>
      <w:r>
        <w:t>BioControl</w:t>
      </w:r>
      <w:proofErr w:type="spellEnd"/>
      <w:r>
        <w:t>, 57(2), 247–261. https://doi.org/10.1007/s10526-011-9426-y</w:t>
      </w:r>
    </w:p>
    <w:p w14:paraId="7796B1D0" w14:textId="77777777" w:rsidR="00427E5A" w:rsidRDefault="00427E5A" w:rsidP="00427E5A">
      <w:r>
        <w:t xml:space="preserve">Coetzee, J. A., Miller, B. E., Kinsler, D., Sebola, K., &amp; Hill, M. P. (2022). It's a numbers game: </w:t>
      </w:r>
      <w:proofErr w:type="spellStart"/>
      <w:r>
        <w:t>Inundative</w:t>
      </w:r>
      <w:proofErr w:type="spellEnd"/>
      <w:r>
        <w:t xml:space="preserve"> biological control of water hyacinth (Pontederia crassipes), using </w:t>
      </w:r>
      <w:proofErr w:type="spellStart"/>
      <w:r>
        <w:t>Megamelus</w:t>
      </w:r>
      <w:proofErr w:type="spellEnd"/>
      <w:r>
        <w:t xml:space="preserve"> </w:t>
      </w:r>
      <w:proofErr w:type="spellStart"/>
      <w:r>
        <w:t>scutellaris</w:t>
      </w:r>
      <w:proofErr w:type="spellEnd"/>
      <w:r>
        <w:t xml:space="preserve"> (Hemiptera: </w:t>
      </w:r>
      <w:proofErr w:type="spellStart"/>
      <w:r>
        <w:t>Delphacidae</w:t>
      </w:r>
      <w:proofErr w:type="spellEnd"/>
      <w:r>
        <w:t>) yields success at a high elevation, hypertrophic reservoir in South Africa. Biocontrol Science and Technology, 32(11), 1302–1311. https://doi.org/10.1080/09583157.2022.2109594</w:t>
      </w:r>
    </w:p>
    <w:p w14:paraId="6B307551" w14:textId="77777777" w:rsidR="00427E5A" w:rsidRDefault="00427E5A" w:rsidP="00427E5A">
      <w:r>
        <w:lastRenderedPageBreak/>
        <w:t xml:space="preserve">Corman, J. R., Roegner, A., </w:t>
      </w:r>
      <w:proofErr w:type="spellStart"/>
      <w:r>
        <w:t>Ogari</w:t>
      </w:r>
      <w:proofErr w:type="spellEnd"/>
      <w:r>
        <w:t>, Z., Miller, T. R., &amp; Aura, C. M. (2023). Local-scale impacts of water hyacinth on water quality in a hypereutrophic lake. Frontiers in Water, 5, Article 917837. https://doi.org/10.3389/frwa.2023.917837</w:t>
      </w:r>
    </w:p>
    <w:p w14:paraId="3D118EE6" w14:textId="77777777" w:rsidR="00427E5A" w:rsidRDefault="00427E5A" w:rsidP="00427E5A">
      <w:proofErr w:type="spellStart"/>
      <w:r>
        <w:t>Dersseh</w:t>
      </w:r>
      <w:proofErr w:type="spellEnd"/>
      <w:r>
        <w:t xml:space="preserve">, M. G., Steenhuis, T. S., </w:t>
      </w:r>
      <w:proofErr w:type="spellStart"/>
      <w:r>
        <w:t>Kibret</w:t>
      </w:r>
      <w:proofErr w:type="spellEnd"/>
      <w:r>
        <w:t xml:space="preserve">, A. A., </w:t>
      </w:r>
      <w:proofErr w:type="spellStart"/>
      <w:r>
        <w:t>Eneyew</w:t>
      </w:r>
      <w:proofErr w:type="spellEnd"/>
      <w:r>
        <w:t xml:space="preserve">, B. M., Kebedew, M. G., </w:t>
      </w:r>
      <w:proofErr w:type="spellStart"/>
      <w:r>
        <w:t>Zimale</w:t>
      </w:r>
      <w:proofErr w:type="spellEnd"/>
      <w:r>
        <w:t xml:space="preserve">, F. A., </w:t>
      </w:r>
      <w:proofErr w:type="spellStart"/>
      <w:r>
        <w:t>Worqlul</w:t>
      </w:r>
      <w:proofErr w:type="spellEnd"/>
      <w:r>
        <w:t xml:space="preserve">, A. W., Moges, M. A., Abebe, W. B., </w:t>
      </w:r>
      <w:proofErr w:type="spellStart"/>
      <w:r>
        <w:t>Mhiret</w:t>
      </w:r>
      <w:proofErr w:type="spellEnd"/>
      <w:r>
        <w:t>, D. A., Melesse, A. M., &amp; Tilahun, S. A. (2022). Water quality characteristics of a water hyacinth infested tropical highland lake: Lake Tana, Ethiopia. Frontiers in Water, 4, Article 774710. https://doi.org/10.3389/frwa.2022.774710</w:t>
      </w:r>
    </w:p>
    <w:p w14:paraId="65A3EBBD" w14:textId="77777777" w:rsidR="00427E5A" w:rsidRDefault="00427E5A" w:rsidP="00427E5A">
      <w:r>
        <w:t>Desautels, D. J., Hartman, R. B., Weber, M. E., Jacob, N., Sun, A., &amp; Civitello, D. J. (2023). Experimental water hyacinth invasion and destructive management increase human schistosome transmission potential. Ecological Applications, 33(2), Article e2767. https://doi.org/10.1002/eap.2767</w:t>
      </w:r>
    </w:p>
    <w:p w14:paraId="5C9797DC" w14:textId="77777777" w:rsidR="00427E5A" w:rsidRDefault="00427E5A" w:rsidP="00427E5A">
      <w:r>
        <w:t xml:space="preserve">Enyew, B. G., Assefa, W. W., &amp; </w:t>
      </w:r>
      <w:proofErr w:type="spellStart"/>
      <w:r>
        <w:t>Gezie</w:t>
      </w:r>
      <w:proofErr w:type="spellEnd"/>
      <w:r>
        <w:t>, A. (2020). Socioeconomic effects of water hyacinth (</w:t>
      </w:r>
      <w:proofErr w:type="spellStart"/>
      <w:r>
        <w:t>Echhornia</w:t>
      </w:r>
      <w:proofErr w:type="spellEnd"/>
      <w:r>
        <w:t xml:space="preserve"> Crassipes) in Lake Tana, North Western Ethiopia. PLOS ONE, 15(9), Article e0237668. https://doi.org/10.1371/journal.pone.0237668</w:t>
      </w:r>
    </w:p>
    <w:p w14:paraId="3EA9C9D5" w14:textId="77777777" w:rsidR="00427E5A" w:rsidRDefault="00427E5A" w:rsidP="00427E5A">
      <w:r>
        <w:t>Gezie, A., Assefa, W. W., Getnet, B., Anteneh, W., Dejen, E., &amp; Mereta, S. T. (2018). Potential impacts of water hyacinth invasion and management on water quality and human health in Lake Tana watershed, Northwest Ethiopia. Biological Invasions, 20(9), 2517–2534. https://doi.org/10.1007/s10530-018-1717-0</w:t>
      </w:r>
    </w:p>
    <w:p w14:paraId="12B0D456" w14:textId="77777777" w:rsidR="00427E5A" w:rsidRDefault="00427E5A" w:rsidP="00427E5A">
      <w:r>
        <w:t>Greenfield, B. K., Siemering, G. S., Andrews, J. C., Rajan, M., Andrews, S. P., &amp; Spencer, D. F. (2007). Mechanical shredding of water hyacinth (Eichhornia crassipes): Effects on water quality in the Sacramento-San Joaquin River Delta, California. Estuaries and Coasts, 30(4), 627–640. https://doi.org/10.1007/BF02841960</w:t>
      </w:r>
    </w:p>
    <w:p w14:paraId="24CEA68F" w14:textId="77777777" w:rsidR="00427E5A" w:rsidRDefault="00427E5A" w:rsidP="00427E5A">
      <w:r>
        <w:t>Harms, N. E., Knight, I. A., Pratt, P. D., Reddy, A. M., Mukherjee, A., Gong, P., Coetzee, J., Raghu, S., &amp; Diaz, R. (2021). Climate mismatch between introduced biological control agents and their invasive host plants: Improving biological control of tropical weeds in temperate regions. Insects, 12(6), Article 549. https://doi.org/10.3390/insects12060549</w:t>
      </w:r>
    </w:p>
    <w:p w14:paraId="26D88215" w14:textId="77777777" w:rsidR="00427E5A" w:rsidRDefault="00427E5A" w:rsidP="00427E5A">
      <w:r>
        <w:t xml:space="preserve">Hossain, M., Sun, J., </w:t>
      </w:r>
      <w:proofErr w:type="spellStart"/>
      <w:r>
        <w:t>Kashmi</w:t>
      </w:r>
      <w:proofErr w:type="spellEnd"/>
      <w:r>
        <w:t>, N. S., Lucas, M. C., &amp; Galib, S. M. (2025). Socio-ecological complexity in managing long-standing invasive water hyacinth in wetland agriculture and fisheries. People and Nature, 7(10), 2407–2420. https://doi.org/10.1002/pan3.70129</w:t>
      </w:r>
    </w:p>
    <w:p w14:paraId="5B033A11" w14:textId="77777777" w:rsidR="00427E5A" w:rsidRDefault="00427E5A" w:rsidP="00427E5A">
      <w:r>
        <w:t xml:space="preserve">Ilo, O. P., </w:t>
      </w:r>
      <w:proofErr w:type="spellStart"/>
      <w:r>
        <w:t>Simatele</w:t>
      </w:r>
      <w:proofErr w:type="spellEnd"/>
      <w:r>
        <w:t>, M. D., Nkomo, S. L., Mkhize, N. M., &amp; Prabhu, N. G. (2020). The benefits of water hyacinth (Eichhornia crassipes) for Southern Africa: A review. Sustainability, 12(21), Article 9222. https://doi.org/10.3390/su12219222</w:t>
      </w:r>
    </w:p>
    <w:p w14:paraId="25D7813C" w14:textId="77777777" w:rsidR="00427E5A" w:rsidRDefault="00427E5A" w:rsidP="00427E5A">
      <w:r>
        <w:t>Jha, R. R., &amp; Li, D. (2025). Quantifying the effects of water hyacinth (Pontederia crassipes) on freshwater ecosystems: A meta-analysis. Biological Invasions, 27, Article 27. https://doi.org/10.1007/s10530-024-03499-9</w:t>
      </w:r>
    </w:p>
    <w:p w14:paraId="57859337" w14:textId="77777777" w:rsidR="00427E5A" w:rsidRDefault="00427E5A" w:rsidP="00427E5A">
      <w:proofErr w:type="spellStart"/>
      <w:r>
        <w:t>Karouach</w:t>
      </w:r>
      <w:proofErr w:type="spellEnd"/>
      <w:r>
        <w:t xml:space="preserve">, F., Ben Bakrim, W., </w:t>
      </w:r>
      <w:proofErr w:type="spellStart"/>
      <w:r>
        <w:t>Ezzariai</w:t>
      </w:r>
      <w:proofErr w:type="spellEnd"/>
      <w:r>
        <w:t xml:space="preserve">, A., </w:t>
      </w:r>
      <w:proofErr w:type="spellStart"/>
      <w:r>
        <w:t>Sobeh</w:t>
      </w:r>
      <w:proofErr w:type="spellEnd"/>
      <w:r>
        <w:t xml:space="preserve">, M., </w:t>
      </w:r>
      <w:proofErr w:type="spellStart"/>
      <w:r>
        <w:t>Kibret</w:t>
      </w:r>
      <w:proofErr w:type="spellEnd"/>
      <w:r>
        <w:t xml:space="preserve">, M., Yasri, A., Hafidi, M., &amp; </w:t>
      </w:r>
      <w:proofErr w:type="spellStart"/>
      <w:r>
        <w:t>Kouisni</w:t>
      </w:r>
      <w:proofErr w:type="spellEnd"/>
      <w:r>
        <w:t xml:space="preserve">, L. (2022). A comprehensive evaluation of the existing approaches for controlling and </w:t>
      </w:r>
      <w:r>
        <w:lastRenderedPageBreak/>
        <w:t>managing the proliferation of water hyacinth (Eichhornia crassipes): Review. Frontiers in Environmental Science, 9, Article 767871. https://doi.org/10.3389/fenvs.2021.767871</w:t>
      </w:r>
    </w:p>
    <w:p w14:paraId="3A6D9C91" w14:textId="77777777" w:rsidR="00427E5A" w:rsidRDefault="00427E5A" w:rsidP="00427E5A">
      <w:r>
        <w:t xml:space="preserve">Kassa, Y., Amare, A., Nega, T., Alem, T., </w:t>
      </w:r>
      <w:proofErr w:type="spellStart"/>
      <w:r>
        <w:t>Gedefaw</w:t>
      </w:r>
      <w:proofErr w:type="spellEnd"/>
      <w:r>
        <w:t xml:space="preserve">, M., Chala, B., Freyer, B., Waldmann, B., Fentie, T., Mulu, T., Adgo, T., Ayalew, G., Adugna, M., &amp; </w:t>
      </w:r>
      <w:proofErr w:type="spellStart"/>
      <w:r>
        <w:t>Tibebe</w:t>
      </w:r>
      <w:proofErr w:type="spellEnd"/>
      <w:r>
        <w:t>, D. (2025). Water hyacinth conversion to biochar for soil nutrient enhancement in improving agricultural product. Scientific Reports, 15, Article 1820. https://doi.org/10.1038/s41598-024-84729-x</w:t>
      </w:r>
    </w:p>
    <w:p w14:paraId="1A1C3C9F" w14:textId="77777777" w:rsidR="00427E5A" w:rsidRDefault="00427E5A" w:rsidP="00427E5A">
      <w:r>
        <w:t>Kriticos, D. J., &amp; Brunel, S. (2016). Assessing and managing the current and future pest risk from water hyacinth, (Eichhornia crassipes), an invasive aquatic plant threatening the environment and water security. PLOS ONE, 11(8), Article e0120054. https://doi.org/10.1371/journal.pone.0120054</w:t>
      </w:r>
    </w:p>
    <w:p w14:paraId="484E605A" w14:textId="77777777" w:rsidR="00427E5A" w:rsidRDefault="00427E5A" w:rsidP="00427E5A">
      <w:r>
        <w:t xml:space="preserve">Kurniadie, D., </w:t>
      </w:r>
      <w:proofErr w:type="spellStart"/>
      <w:r>
        <w:t>Rezkia</w:t>
      </w:r>
      <w:proofErr w:type="spellEnd"/>
      <w:r>
        <w:t xml:space="preserve">, N. N., </w:t>
      </w:r>
      <w:proofErr w:type="spellStart"/>
      <w:r>
        <w:t>Widayat</w:t>
      </w:r>
      <w:proofErr w:type="spellEnd"/>
      <w:r>
        <w:t xml:space="preserve">, D., </w:t>
      </w:r>
      <w:proofErr w:type="spellStart"/>
      <w:r>
        <w:t>Widiawan</w:t>
      </w:r>
      <w:proofErr w:type="spellEnd"/>
      <w:r>
        <w:t xml:space="preserve">, A., Duy, L., &amp; Prabowo, D. P. (2023). Control of aquatic weed Eichhornia crassipes using </w:t>
      </w:r>
      <w:proofErr w:type="spellStart"/>
      <w:r>
        <w:t>florpyrauxifen</w:t>
      </w:r>
      <w:proofErr w:type="spellEnd"/>
      <w:r>
        <w:t xml:space="preserve">-benzyl herbicide-Case study in </w:t>
      </w:r>
      <w:proofErr w:type="spellStart"/>
      <w:r>
        <w:t>Cangkuang</w:t>
      </w:r>
      <w:proofErr w:type="spellEnd"/>
      <w:r>
        <w:t xml:space="preserve"> Lake (Indonesia). Water, 15(10), Article 1859. https://doi.org/10.3390/w15101859</w:t>
      </w:r>
    </w:p>
    <w:p w14:paraId="01D32634" w14:textId="77777777" w:rsidR="00427E5A" w:rsidRDefault="00427E5A" w:rsidP="00427E5A">
      <w:proofErr w:type="spellStart"/>
      <w:r>
        <w:t>Laosinwattana</w:t>
      </w:r>
      <w:proofErr w:type="spellEnd"/>
      <w:r>
        <w:t xml:space="preserve">, C., </w:t>
      </w:r>
      <w:proofErr w:type="spellStart"/>
      <w:r>
        <w:t>Manichart</w:t>
      </w:r>
      <w:proofErr w:type="spellEnd"/>
      <w:r>
        <w:t xml:space="preserve">, N., </w:t>
      </w:r>
      <w:proofErr w:type="spellStart"/>
      <w:r>
        <w:t>Thongbang</w:t>
      </w:r>
      <w:proofErr w:type="spellEnd"/>
      <w:r>
        <w:t xml:space="preserve">, M., </w:t>
      </w:r>
      <w:proofErr w:type="spellStart"/>
      <w:r>
        <w:t>Wichittrakarn</w:t>
      </w:r>
      <w:proofErr w:type="spellEnd"/>
      <w:r>
        <w:t xml:space="preserve">, P., Somala, N., &amp; </w:t>
      </w:r>
      <w:proofErr w:type="spellStart"/>
      <w:r>
        <w:t>Teerarak</w:t>
      </w:r>
      <w:proofErr w:type="spellEnd"/>
      <w:r>
        <w:t xml:space="preserve">, M. (2024). The effect of natural herbicide from Fusarium </w:t>
      </w:r>
      <w:proofErr w:type="spellStart"/>
      <w:r>
        <w:t>equiseti</w:t>
      </w:r>
      <w:proofErr w:type="spellEnd"/>
      <w:r>
        <w:t xml:space="preserve"> crude extract on the aquatic weed water hyacinth (</w:t>
      </w:r>
      <w:proofErr w:type="spellStart"/>
      <w:r>
        <w:t>Eichornia</w:t>
      </w:r>
      <w:proofErr w:type="spellEnd"/>
      <w:r>
        <w:t xml:space="preserve"> crassipes (Mart.) Solms). Scientific Reports, 14, Article 19542. https://doi.org/10.1038/s41598-024-70694-y</w:t>
      </w:r>
    </w:p>
    <w:p w14:paraId="1C6D53A3" w14:textId="77777777" w:rsidR="00427E5A" w:rsidRDefault="00427E5A" w:rsidP="00427E5A">
      <w:r>
        <w:t>Miller, B. E., Coetzee, J. A., &amp; Hill, M. P. (2023). Evaluating the establishment of a new water hyacinth biological control agent in South Africa. African Entomology, 31, Article e15613. https://doi.org/10.17159/2254-8854/2023/a15613</w:t>
      </w:r>
    </w:p>
    <w:p w14:paraId="292E5748" w14:textId="77777777" w:rsidR="00427E5A" w:rsidRDefault="00427E5A" w:rsidP="00427E5A">
      <w:r>
        <w:t xml:space="preserve">Moffat, R., Weaver, K., </w:t>
      </w:r>
      <w:proofErr w:type="spellStart"/>
      <w:r>
        <w:t>Ngxande</w:t>
      </w:r>
      <w:proofErr w:type="spellEnd"/>
      <w:r>
        <w:t>-Koza, S., Sebola, K., English, K., Kinsler, D., &amp; Coetzee, J. (2024). Bridging boundaries: Six years of community engagement with biological control implementation and monitoring of water hyacinth on Hartbeespoort Dam, South Africa. Biological Control, 194, Article 105544. https://doi.org/10.1016/j.biocontrol.2024.105544</w:t>
      </w:r>
    </w:p>
    <w:p w14:paraId="71D71F13" w14:textId="77777777" w:rsidR="00427E5A" w:rsidRDefault="00427E5A" w:rsidP="00427E5A">
      <w:r>
        <w:t xml:space="preserve">Moran, P. J., </w:t>
      </w:r>
      <w:proofErr w:type="spellStart"/>
      <w:r>
        <w:t>Miskella</w:t>
      </w:r>
      <w:proofErr w:type="spellEnd"/>
      <w:r>
        <w:t xml:space="preserve">, J. J., Morgan, C. M., &amp; Madsen, J. D. (2023). Toxicity of herbicides used for control of </w:t>
      </w:r>
      <w:proofErr w:type="spellStart"/>
      <w:r>
        <w:t>waterhyacinth</w:t>
      </w:r>
      <w:proofErr w:type="spellEnd"/>
      <w:r>
        <w:t xml:space="preserve"> in the California Delta towards the planthopper </w:t>
      </w:r>
      <w:proofErr w:type="spellStart"/>
      <w:r>
        <w:t>Megamelus</w:t>
      </w:r>
      <w:proofErr w:type="spellEnd"/>
      <w:r>
        <w:t xml:space="preserve"> </w:t>
      </w:r>
      <w:proofErr w:type="spellStart"/>
      <w:r>
        <w:t>scutellaris</w:t>
      </w:r>
      <w:proofErr w:type="spellEnd"/>
      <w:r>
        <w:t xml:space="preserve"> released for biological control. Biocontrol Science and Technology, 33(5), 448–466. https://doi.org/10.1080/09583157.2023.2196707</w:t>
      </w:r>
    </w:p>
    <w:p w14:paraId="64D00566" w14:textId="77777777" w:rsidR="00427E5A" w:rsidRDefault="00427E5A" w:rsidP="00427E5A">
      <w:proofErr w:type="spellStart"/>
      <w:r>
        <w:t>Mukarugwiro</w:t>
      </w:r>
      <w:proofErr w:type="spellEnd"/>
      <w:r>
        <w:t xml:space="preserve">, J. A., </w:t>
      </w:r>
      <w:proofErr w:type="spellStart"/>
      <w:r>
        <w:t>Newete</w:t>
      </w:r>
      <w:proofErr w:type="spellEnd"/>
      <w:r>
        <w:t xml:space="preserve">, S. W., </w:t>
      </w:r>
      <w:proofErr w:type="spellStart"/>
      <w:r>
        <w:t>Nsanganwimana</w:t>
      </w:r>
      <w:proofErr w:type="spellEnd"/>
      <w:r>
        <w:t xml:space="preserve">, F., &amp; Byrne, M. J. (2023). Water turbidity affects the establishment of </w:t>
      </w:r>
      <w:proofErr w:type="spellStart"/>
      <w:r>
        <w:t>Neochetina</w:t>
      </w:r>
      <w:proofErr w:type="spellEnd"/>
      <w:r>
        <w:t xml:space="preserve"> </w:t>
      </w:r>
      <w:proofErr w:type="spellStart"/>
      <w:r>
        <w:t>eichhorniae</w:t>
      </w:r>
      <w:proofErr w:type="spellEnd"/>
      <w:r>
        <w:t xml:space="preserve"> (Warner) (Coleoptera: Curculionidae): Implications for biological control of water hyacinth. Environmental Research, 237(Part 1), Article 116946. https://doi.org/10.1016/j.envres.2023.116946</w:t>
      </w:r>
    </w:p>
    <w:p w14:paraId="1B6C10AB" w14:textId="77777777" w:rsidR="00427E5A" w:rsidRDefault="00427E5A" w:rsidP="00427E5A">
      <w:r>
        <w:t xml:space="preserve">Obi, L. U., </w:t>
      </w:r>
      <w:proofErr w:type="spellStart"/>
      <w:r>
        <w:t>Roopnarain</w:t>
      </w:r>
      <w:proofErr w:type="spellEnd"/>
      <w:r>
        <w:t>, A., Tekere, M., &amp; Adeleke, R. A. (2023). Bioaugmentation potential of inoculum derived from anaerobic digestion feedstock for enhanced methane production using water hyacinth. World Journal of Microbiology and Biotechnology, 39(6), Article 153. https://doi.org/10.1007/s11274-023-03600-9</w:t>
      </w:r>
    </w:p>
    <w:p w14:paraId="1BC83834" w14:textId="77777777" w:rsidR="00427E5A" w:rsidRDefault="00427E5A" w:rsidP="00427E5A">
      <w:r>
        <w:lastRenderedPageBreak/>
        <w:t xml:space="preserve">Oliveira Junior, E. S., van Bergen, T. J. H. M., Nauta, J., </w:t>
      </w:r>
      <w:proofErr w:type="spellStart"/>
      <w:r>
        <w:t>Budiša</w:t>
      </w:r>
      <w:proofErr w:type="spellEnd"/>
      <w:r>
        <w:t xml:space="preserve">, A., Aben, R. C. H., </w:t>
      </w:r>
      <w:proofErr w:type="spellStart"/>
      <w:r>
        <w:t>Weideveld</w:t>
      </w:r>
      <w:proofErr w:type="spellEnd"/>
      <w:r>
        <w:t>, S. T. J., de Souza, C. A., Muniz, C. C., Roelofs, J., Lamers, L. P. M., &amp; Kosten, S. (2021). Water hyacinth's effect on greenhouse gas fluxes: A field study in a wide variety of tropical water bodies. Ecosystems, 24, 988–1004. https://doi.org/10.1007/s10021-020-00564-x</w:t>
      </w:r>
    </w:p>
    <w:p w14:paraId="6B20F2B0" w14:textId="77777777" w:rsidR="00427E5A" w:rsidRDefault="00427E5A" w:rsidP="00427E5A">
      <w:r>
        <w:t xml:space="preserve">Pellegrini, M. O. O., Horn, C. N., &amp; Almeida, R. F. (2018). Total evidence phylogeny of </w:t>
      </w:r>
      <w:proofErr w:type="spellStart"/>
      <w:r>
        <w:t>Pontederiaceae</w:t>
      </w:r>
      <w:proofErr w:type="spellEnd"/>
      <w:r>
        <w:t xml:space="preserve"> (</w:t>
      </w:r>
      <w:proofErr w:type="spellStart"/>
      <w:r>
        <w:t>Commelinales</w:t>
      </w:r>
      <w:proofErr w:type="spellEnd"/>
      <w:r>
        <w:t xml:space="preserve">) sheds light on the necessity of its </w:t>
      </w:r>
      <w:proofErr w:type="spellStart"/>
      <w:r>
        <w:t>recircumscription</w:t>
      </w:r>
      <w:proofErr w:type="spellEnd"/>
      <w:r>
        <w:t xml:space="preserve"> and synopsis of Pontederia </w:t>
      </w:r>
      <w:proofErr w:type="gramStart"/>
      <w:r>
        <w:t>L..</w:t>
      </w:r>
      <w:proofErr w:type="gramEnd"/>
      <w:r>
        <w:t xml:space="preserve"> </w:t>
      </w:r>
      <w:proofErr w:type="spellStart"/>
      <w:r>
        <w:t>PhytoKeys</w:t>
      </w:r>
      <w:proofErr w:type="spellEnd"/>
      <w:r>
        <w:t>, 108, 25–83. https://doi.org/10.3897/phytokeys.108.27652</w:t>
      </w:r>
    </w:p>
    <w:p w14:paraId="6A0B34EF" w14:textId="77777777" w:rsidR="00427E5A" w:rsidRDefault="00427E5A" w:rsidP="00427E5A">
      <w:proofErr w:type="spellStart"/>
      <w:r>
        <w:t>Pirbasti</w:t>
      </w:r>
      <w:proofErr w:type="spellEnd"/>
      <w:r>
        <w:t xml:space="preserve">, M. A., Akbari, V., Bhowmik, D., Maharaj, S., &amp; Marino, A. (2024). Detection and mapping of water hyacinth growth cycle in </w:t>
      </w:r>
      <w:proofErr w:type="spellStart"/>
      <w:r>
        <w:t>Anzali</w:t>
      </w:r>
      <w:proofErr w:type="spellEnd"/>
      <w:r>
        <w:t xml:space="preserve"> International Wetland using Sentinel-2 time series. IEEE Journal of Selected Topics in Applied Earth Observations and Remote Sensing, 17, 13346–13357. https://doi.org/10.1109/JSTARS.2024.3427002</w:t>
      </w:r>
    </w:p>
    <w:p w14:paraId="4AFA9D59" w14:textId="77777777" w:rsidR="00427E5A" w:rsidRDefault="00427E5A" w:rsidP="00427E5A">
      <w:r>
        <w:t xml:space="preserve">Saeed, U., Das, R., Thapliyal, A., </w:t>
      </w:r>
      <w:proofErr w:type="spellStart"/>
      <w:r>
        <w:t>Badola</w:t>
      </w:r>
      <w:proofErr w:type="spellEnd"/>
      <w:r>
        <w:t>, R., &amp; Hussain, S. A. (2026). A systematic review of global control and management strategies for water hyacinth (Pontederia crassipes). Environmental Science and Pollution Research, 33, 12195–12216. https://doi.org/10.1007/s11356-026-38081-4</w:t>
      </w:r>
    </w:p>
    <w:p w14:paraId="0B734816" w14:textId="77777777" w:rsidR="00427E5A" w:rsidRDefault="00427E5A" w:rsidP="00427E5A">
      <w:r>
        <w:t xml:space="preserve">Tasker, S. J. L., Foggo, A., &amp; </w:t>
      </w:r>
      <w:proofErr w:type="spellStart"/>
      <w:r>
        <w:t>Bilton</w:t>
      </w:r>
      <w:proofErr w:type="spellEnd"/>
      <w:r>
        <w:t>, D. T. (2022). Quantifying the ecological impacts of alien aquatic macrophytes: A global meta-analysis of effects on fish, macroinvertebrate and macrophyte assemblages. Freshwater Biology, 67(11), 1847–1860. https://doi.org/10.1111/fwb.13985</w:t>
      </w:r>
    </w:p>
    <w:p w14:paraId="60A124EB" w14:textId="77777777" w:rsidR="00427E5A" w:rsidRDefault="00427E5A" w:rsidP="00427E5A">
      <w:r>
        <w:t xml:space="preserve">Tobias, V. D., Conrad, J. L., </w:t>
      </w:r>
      <w:proofErr w:type="spellStart"/>
      <w:r>
        <w:t>Mahardja</w:t>
      </w:r>
      <w:proofErr w:type="spellEnd"/>
      <w:r>
        <w:t>, B., &amp; Khanna, S. (2019). Impacts of water hyacinth treatment on water quality in a tidal estuarine environment. Biological Invasions, 21(12), 3479–3490. https://doi.org/10.1007/s10530-019-02061-2</w:t>
      </w:r>
    </w:p>
    <w:p w14:paraId="21123CAA" w14:textId="77777777" w:rsidR="00427E5A" w:rsidRDefault="00427E5A" w:rsidP="00427E5A">
      <w:r>
        <w:t xml:space="preserve">Toft, J. D., </w:t>
      </w:r>
      <w:proofErr w:type="spellStart"/>
      <w:r>
        <w:t>Simenstad</w:t>
      </w:r>
      <w:proofErr w:type="spellEnd"/>
      <w:r>
        <w:t>, C. A., Cordell, J. R., &amp; Grimaldo, L. F. (2003). The effects of introduced water hyacinth on habitat structure, invertebrate assemblages, and fish diets. Estuaries, 26(3B), 746–758. https://doi.org/10.1007/BF02711985</w:t>
      </w:r>
    </w:p>
    <w:p w14:paraId="53AE11CF" w14:textId="77777777" w:rsidR="00427E5A" w:rsidRDefault="00427E5A" w:rsidP="00427E5A">
      <w:proofErr w:type="spellStart"/>
      <w:r>
        <w:t>Villamagna</w:t>
      </w:r>
      <w:proofErr w:type="spellEnd"/>
      <w:r>
        <w:t>, A. M., &amp; Murphy, B. R. (2010). Ecological and socio-economic impacts of invasive water hyacinth (Eichhornia crassipes): A review. Freshwater Biology, 55(2), 282–298. https://doi.org/10.1111/j.1365-2427.2009.02294.x</w:t>
      </w:r>
    </w:p>
    <w:p w14:paraId="57EE1A0C" w14:textId="77777777" w:rsidR="00427E5A" w:rsidRDefault="00427E5A" w:rsidP="00427E5A">
      <w:proofErr w:type="spellStart"/>
      <w:r>
        <w:t>Wainger</w:t>
      </w:r>
      <w:proofErr w:type="spellEnd"/>
      <w:r>
        <w:t xml:space="preserve">, L. A., Harms, N. E., Magen, C., Liang, D., Nesslage, G. M., McMurray, A. M., &amp; Cofrancesco, A. F. (2018). Evidence-based economic analysis demonstrates that ecosystem service benefits of water hyacinth management greatly exceed research and control costs. </w:t>
      </w:r>
      <w:proofErr w:type="spellStart"/>
      <w:r>
        <w:t>PeerJ</w:t>
      </w:r>
      <w:proofErr w:type="spellEnd"/>
      <w:r>
        <w:t>, 6, Article e4824. https://doi.org/10.7717/peerj.4824</w:t>
      </w:r>
    </w:p>
    <w:p w14:paraId="646A351E" w14:textId="77777777" w:rsidR="00427E5A" w:rsidRDefault="00427E5A" w:rsidP="00427E5A">
      <w:r>
        <w:t>Wilson, J. R., Holst, N., &amp; Rees, M. (2005). Determinants and patterns of population growth in water hyacinth. Aquatic Botany, 81(1), 51–67. https://doi.org/10.1016/j.aquabot.2004.11.002</w:t>
      </w:r>
    </w:p>
    <w:p w14:paraId="5984BC47" w14:textId="77777777" w:rsidR="00427E5A" w:rsidRDefault="00427E5A" w:rsidP="00427E5A">
      <w:r>
        <w:t xml:space="preserve">Xu, L., &amp; DeAngelis, D. L. (2024). </w:t>
      </w:r>
      <w:proofErr w:type="spellStart"/>
      <w:r>
        <w:t>Modeling</w:t>
      </w:r>
      <w:proofErr w:type="spellEnd"/>
      <w:r>
        <w:t xml:space="preserve"> the effects of temperature and limiting nutrients on the competition of an invasive floating plant, Pontederia crassipes, with submersed vegetation in a shallow lake. Plants, 13(18), Article 2621. https://doi.org/10.3390/plants13182621</w:t>
      </w:r>
    </w:p>
    <w:p w14:paraId="5437DDB6" w14:textId="77777777" w:rsidR="00427E5A" w:rsidRDefault="00427E5A" w:rsidP="00427E5A">
      <w:r>
        <w:lastRenderedPageBreak/>
        <w:t xml:space="preserve">Yadav, R., Rajput, V., &amp; </w:t>
      </w:r>
      <w:proofErr w:type="spellStart"/>
      <w:r>
        <w:t>Dharne</w:t>
      </w:r>
      <w:proofErr w:type="spellEnd"/>
      <w:r>
        <w:t xml:space="preserve">, M. (2024). Insights into the community structure and environmental functions of water hyacinth </w:t>
      </w:r>
      <w:proofErr w:type="spellStart"/>
      <w:r>
        <w:t>rhizobiome</w:t>
      </w:r>
      <w:proofErr w:type="spellEnd"/>
      <w:r>
        <w:t xml:space="preserve"> in urban river ecosystem. Environmental Science and Pollution Research, 31, 59571–59582. https://doi.org/10.1007/s11356-024-35187-5</w:t>
      </w:r>
    </w:p>
    <w:p w14:paraId="0725DE45" w14:textId="7E417ADC" w:rsidR="00427E5A" w:rsidRPr="00427E5A" w:rsidRDefault="00427E5A" w:rsidP="00427E5A">
      <w:r>
        <w:t>Zhou, W., Xiang, S., Shi, Y., Xu, X., Lu, H., Ou, W., &amp; Yang, J. (2022). Invasive water hyacinth (Eichhornia crassipes) increases methane emissions from a subtropical lake in the Yangtze River in China. Diversity, 14(12), Article 1036. https://doi.org/10.3390/d14121036</w:t>
      </w:r>
    </w:p>
    <w:sectPr w:rsidR="00427E5A" w:rsidRPr="00427E5A"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440" w:bottom="1224"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E1C0" w14:textId="77777777" w:rsidR="0037252E" w:rsidRDefault="0037252E">
      <w:pPr>
        <w:spacing w:after="0" w:line="240" w:lineRule="auto"/>
      </w:pPr>
      <w:r>
        <w:separator/>
      </w:r>
    </w:p>
  </w:endnote>
  <w:endnote w:type="continuationSeparator" w:id="0">
    <w:p w14:paraId="74D2F872" w14:textId="77777777" w:rsidR="0037252E" w:rsidRDefault="00372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F948" w14:textId="77777777" w:rsidR="005D1568" w:rsidRDefault="005D1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986C" w14:textId="77777777" w:rsidR="006316A5" w:rsidRDefault="00000000">
    <w:pPr>
      <w:pStyle w:val="Footer"/>
      <w:jc w:val="center"/>
    </w:pP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864E" w14:textId="77777777" w:rsidR="005D1568" w:rsidRDefault="005D1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DC348" w14:textId="77777777" w:rsidR="0037252E" w:rsidRDefault="0037252E">
      <w:pPr>
        <w:spacing w:after="0" w:line="240" w:lineRule="auto"/>
      </w:pPr>
      <w:r>
        <w:separator/>
      </w:r>
    </w:p>
  </w:footnote>
  <w:footnote w:type="continuationSeparator" w:id="0">
    <w:p w14:paraId="42823D2C" w14:textId="77777777" w:rsidR="0037252E" w:rsidRDefault="00372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EAAA" w14:textId="24A09022" w:rsidR="005D1568" w:rsidRDefault="005D1568">
    <w:pPr>
      <w:pStyle w:val="Header"/>
    </w:pPr>
    <w:r>
      <w:rPr>
        <w:noProof/>
      </w:rPr>
      <w:pict w14:anchorId="0280D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345266"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6E7C" w14:textId="7A10D58E" w:rsidR="005D1568" w:rsidRDefault="005D1568">
    <w:pPr>
      <w:pStyle w:val="Header"/>
    </w:pPr>
    <w:r>
      <w:rPr>
        <w:noProof/>
      </w:rPr>
      <w:pict w14:anchorId="7108CF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345267"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D003" w14:textId="5789B198" w:rsidR="005D1568" w:rsidRDefault="005D1568">
    <w:pPr>
      <w:pStyle w:val="Header"/>
    </w:pPr>
    <w:r>
      <w:rPr>
        <w:noProof/>
      </w:rPr>
      <w:pict w14:anchorId="05C451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345265"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4672594">
    <w:abstractNumId w:val="8"/>
  </w:num>
  <w:num w:numId="2" w16cid:durableId="965157787">
    <w:abstractNumId w:val="6"/>
  </w:num>
  <w:num w:numId="3" w16cid:durableId="734203108">
    <w:abstractNumId w:val="5"/>
  </w:num>
  <w:num w:numId="4" w16cid:durableId="610402936">
    <w:abstractNumId w:val="4"/>
  </w:num>
  <w:num w:numId="5" w16cid:durableId="333653885">
    <w:abstractNumId w:val="7"/>
  </w:num>
  <w:num w:numId="6" w16cid:durableId="1660310521">
    <w:abstractNumId w:val="3"/>
  </w:num>
  <w:num w:numId="7" w16cid:durableId="1818568123">
    <w:abstractNumId w:val="2"/>
  </w:num>
  <w:num w:numId="8" w16cid:durableId="1860699657">
    <w:abstractNumId w:val="1"/>
  </w:num>
  <w:num w:numId="9" w16cid:durableId="47856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779"/>
    <w:rsid w:val="0006063C"/>
    <w:rsid w:val="0015074B"/>
    <w:rsid w:val="001A5C69"/>
    <w:rsid w:val="0029639D"/>
    <w:rsid w:val="00315015"/>
    <w:rsid w:val="00326F90"/>
    <w:rsid w:val="0037252E"/>
    <w:rsid w:val="00427E5A"/>
    <w:rsid w:val="005D1568"/>
    <w:rsid w:val="006316A5"/>
    <w:rsid w:val="006C19CA"/>
    <w:rsid w:val="00AA1D8D"/>
    <w:rsid w:val="00B47730"/>
    <w:rsid w:val="00BF6478"/>
    <w:rsid w:val="00CB0664"/>
    <w:rsid w:val="00DA62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DA312A"/>
  <w14:defaultImageDpi w14:val="300"/>
  <w15:docId w15:val="{D326BFD6-1F71-4748-BA5F-50B37BAE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Times New Roman" w:hAnsi="Times New Roman"/>
      <w:color w:val="000000"/>
      <w:sz w:val="24"/>
      <w:lang w:val="en-GB"/>
    </w:rPr>
  </w:style>
  <w:style w:type="paragraph" w:styleId="Heading1">
    <w:name w:val="heading 1"/>
    <w:basedOn w:val="Normal"/>
    <w:next w:val="Normal"/>
    <w:link w:val="Heading1Char"/>
    <w:uiPriority w:val="9"/>
    <w:qFormat/>
    <w:rsid w:val="00FC693F"/>
    <w:pPr>
      <w:keepNext/>
      <w:keepLines/>
      <w:spacing w:before="260" w:after="120"/>
      <w:outlineLvl w:val="0"/>
    </w:pPr>
    <w:rPr>
      <w:rFonts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9" w:lineRule="auto"/>
      <w:contextualSpacing/>
    </w:pPr>
    <w:rPr>
      <w:rFonts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15154</Words>
  <Characters>86379</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Impacts of Water Hyacinth on Aquatic Ecosystems and Its Management: A Critical Narrative Review</dc:title>
  <dc:subject>Critical narrative review</dc:subject>
  <dc:creator/>
  <cp:keywords>water hyacinth; Pontederia crassipes; aquatic ecosystems; management</cp:keywords>
  <dc:description/>
  <cp:lastModifiedBy>SDI 1084</cp:lastModifiedBy>
  <cp:revision>4</cp:revision>
  <dcterms:created xsi:type="dcterms:W3CDTF">2026-09-29T00:00:00Z</dcterms:created>
  <dcterms:modified xsi:type="dcterms:W3CDTF">2026-09-29T11:01:00Z</dcterms:modified>
  <cp:category/>
</cp:coreProperties>
</file>