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89930" w14:textId="77777777" w:rsidR="005C4BF0" w:rsidRPr="00137D90" w:rsidRDefault="00000000" w:rsidP="00CF51FB">
      <w:pPr>
        <w:spacing w:after="200" w:line="360" w:lineRule="auto"/>
        <w:jc w:val="center"/>
        <w:rPr>
          <w:b/>
          <w:bCs/>
        </w:rPr>
      </w:pPr>
      <w:r w:rsidRPr="00137D90">
        <w:rPr>
          <w:b/>
          <w:bCs/>
        </w:rPr>
        <w:t>Review Article</w:t>
      </w:r>
    </w:p>
    <w:p w14:paraId="3AB99351" w14:textId="77777777" w:rsidR="005C4BF0" w:rsidRPr="00137D90" w:rsidRDefault="00000000" w:rsidP="00CF51FB">
      <w:pPr>
        <w:spacing w:after="240" w:line="360" w:lineRule="auto"/>
        <w:jc w:val="center"/>
      </w:pPr>
      <w:r w:rsidRPr="00137D90">
        <w:rPr>
          <w:b/>
          <w:bCs/>
        </w:rPr>
        <w:t>Chemical Engineering Strategies for Wastewater Treatment in Agro-Industries</w:t>
      </w:r>
    </w:p>
    <w:p w14:paraId="34F7A1E9" w14:textId="66B1E090" w:rsidR="005C4BF0" w:rsidRDefault="005C4BF0" w:rsidP="00CF51FB">
      <w:pPr>
        <w:spacing w:after="320" w:line="360" w:lineRule="auto"/>
        <w:jc w:val="center"/>
      </w:pPr>
    </w:p>
    <w:p w14:paraId="1F1CE390" w14:textId="77777777" w:rsidR="0058005B" w:rsidRPr="00137D90" w:rsidRDefault="0058005B" w:rsidP="00CF51FB">
      <w:pPr>
        <w:spacing w:after="320" w:line="360" w:lineRule="auto"/>
        <w:jc w:val="center"/>
      </w:pPr>
    </w:p>
    <w:p w14:paraId="1B0B2EE7" w14:textId="77777777" w:rsidR="005C4BF0" w:rsidRPr="00137D90" w:rsidRDefault="00000000" w:rsidP="00CF51FB">
      <w:pPr>
        <w:pStyle w:val="Heading1"/>
        <w:spacing w:before="320" w:after="140" w:line="360" w:lineRule="auto"/>
        <w:jc w:val="both"/>
        <w:rPr>
          <w:sz w:val="24"/>
          <w:szCs w:val="24"/>
        </w:rPr>
      </w:pPr>
      <w:r w:rsidRPr="00137D90">
        <w:rPr>
          <w:sz w:val="24"/>
          <w:szCs w:val="24"/>
        </w:rPr>
        <w:t>ABSTRACT</w:t>
      </w:r>
    </w:p>
    <w:p w14:paraId="171323CB" w14:textId="33EE5D6E" w:rsidR="005C4BF0" w:rsidRPr="00137D90" w:rsidRDefault="00000000" w:rsidP="00CF51FB">
      <w:pPr>
        <w:spacing w:after="160" w:line="360" w:lineRule="auto"/>
        <w:ind w:firstLine="720"/>
        <w:jc w:val="both"/>
      </w:pPr>
      <w:r w:rsidRPr="00137D90">
        <w:t>Agro-industries</w:t>
      </w:r>
      <w:r w:rsidR="00AF2CFF" w:rsidRPr="00137D90">
        <w:t xml:space="preserve">, </w:t>
      </w:r>
      <w:r w:rsidRPr="00137D90">
        <w:t>sugar and distillery complexes, dairies, palm and olive oil mills, starch and tapioca units, breweries, slaughterhouses, poultry processors and fruit and vegetable canneries</w:t>
      </w:r>
      <w:r w:rsidR="007F7B62" w:rsidRPr="00137D90">
        <w:t xml:space="preserve"> </w:t>
      </w:r>
      <w:r w:rsidRPr="00137D90">
        <w:t>generate effluents that are seasonal, hydraulically erratic and extraordinarily concentrated, with chemical oxygen demand (COD) frequently between 2,000 and 200,000 mg L</w:t>
      </w:r>
      <w:r w:rsidRPr="00137D90">
        <w:rPr>
          <w:vertAlign w:val="superscript"/>
        </w:rPr>
        <w:t>-1</w:t>
      </w:r>
      <w:r w:rsidRPr="00137D90">
        <w:t xml:space="preserve"> and nutrient loads far above those of municipal sewage. Conventional end</w:t>
      </w:r>
      <w:r w:rsidR="00B930B1" w:rsidRPr="00137D90">
        <w:t xml:space="preserve"> </w:t>
      </w:r>
      <w:r w:rsidRPr="00137D90">
        <w:t>of</w:t>
      </w:r>
      <w:r w:rsidR="00B930B1" w:rsidRPr="00137D90">
        <w:t xml:space="preserve"> </w:t>
      </w:r>
      <w:r w:rsidRPr="00137D90">
        <w:t xml:space="preserve">pipe disposal wastes both water and the nitrogen, phosphorus and potassium these streams carry, while land application of untreated effluent degrades soil structure, </w:t>
      </w:r>
      <w:r w:rsidR="000619D1" w:rsidRPr="00137D90">
        <w:t>salinizes</w:t>
      </w:r>
      <w:r w:rsidRPr="00137D90">
        <w:t xml:space="preserve"> the root zone and depresses crop performance. This review organises the treatment of agro-industrial wastewater as a sequence of chemical engineering unit operations rather than a catalogue of technologies. Effluent characteristics are first compiled by sector and translated into design-relevant descriptors </w:t>
      </w:r>
      <w:r w:rsidR="00C946FD" w:rsidRPr="00137D90">
        <w:t xml:space="preserve">- </w:t>
      </w:r>
      <w:r w:rsidRPr="00137D90">
        <w:t xml:space="preserve">COD/BOD5 ratio, C:N:P stoichiometry, alkalinity, suspended and colloidal fractions, oil and grease, phenolics, colour and salinity </w:t>
      </w:r>
      <w:r w:rsidR="00C946FD" w:rsidRPr="00137D90">
        <w:t xml:space="preserve">- </w:t>
      </w:r>
      <w:r w:rsidRPr="00137D90">
        <w:t xml:space="preserve">that determine process selection. Preliminary and physicochemical operations (equalisation, coagulation–flocculation, dissolved air flotation, chemical precipitation), biological reactor engineering (activated sludge and its sequencing-batch and attached-growth variants; upflow anaerobic sludge blanket, expanded granular sludge bed and anaerobic membrane bioreactors), advanced oxidation and electrochemical processes, adsorption on agro-residue-derived biochar, and pressure- and osmotically driven membrane separations are each examined in terms of governing kinetics, mass transfer limitations, loading rates, energy demand and residual management. Particular attention is given to resource recovery biomethane, struvite, ammonia, volatile fatty acids, polyphenols and reclaimed water and to the agronomic quality of reclaimed effluent, evaluated through electrical conductivity, sodium adsorption ratio, residual sodium carbonate, trace-element burden and pathogen indicators. The review argues that no single unit operation is adequate for these matrices, and that robust performance comes from deliberately </w:t>
      </w:r>
      <w:r w:rsidRPr="00137D90">
        <w:lastRenderedPageBreak/>
        <w:t>sequenced trains in which an anaerobic bioreactor handles the bulk organic load and energy recovery, a polishing step addresses recalcitrant colour and micropollutants, and a nutrient-recovery loop diverts N and P to a fertiliser product rather than to a receiving water. Optimisation approaches (response surface methodology, artificial neural networks, life cycle and techno</w:t>
      </w:r>
      <w:r w:rsidR="00945C2F" w:rsidRPr="00137D90">
        <w:t xml:space="preserve"> </w:t>
      </w:r>
      <w:r w:rsidRPr="00137D90">
        <w:t>economic assessment) and the principal barriers to adoption in small and medium agro-enterprises are discussed, and research priorities are identified for low-energy, low-sludge, recovery-oriented process trains suited to tropical and subtropical agricultural economies.</w:t>
      </w:r>
    </w:p>
    <w:p w14:paraId="5450EE59" w14:textId="53D006A7" w:rsidR="005C4BF0" w:rsidRPr="00137D90" w:rsidRDefault="00000000" w:rsidP="00CF51FB">
      <w:pPr>
        <w:spacing w:after="260" w:line="360" w:lineRule="auto"/>
        <w:jc w:val="both"/>
      </w:pPr>
      <w:r>
        <w:t>Keywords: Agro-industrial effluent; anaerobic digestion; advanced oxidation processes; membrane separation; nutrient recovery; struvite; treated wastewater reuse; circular bioeconomy.</w:t>
      </w:r>
    </w:p>
    <w:p w14:paraId="3FD4B0BC" w14:textId="77777777" w:rsidR="005C4BF0" w:rsidRPr="00137D90" w:rsidRDefault="00000000" w:rsidP="00CF51FB">
      <w:pPr>
        <w:pStyle w:val="Heading1"/>
        <w:spacing w:before="320" w:after="140" w:line="360" w:lineRule="auto"/>
        <w:jc w:val="both"/>
        <w:rPr>
          <w:sz w:val="24"/>
          <w:szCs w:val="24"/>
        </w:rPr>
      </w:pPr>
      <w:r w:rsidRPr="00137D90">
        <w:rPr>
          <w:sz w:val="24"/>
          <w:szCs w:val="24"/>
        </w:rPr>
        <w:t>1. INTRODUCTION</w:t>
      </w:r>
    </w:p>
    <w:p w14:paraId="5D8D056B" w14:textId="485E2F3D" w:rsidR="005C4BF0" w:rsidRPr="00137D90" w:rsidRDefault="00000000" w:rsidP="00CF51FB">
      <w:pPr>
        <w:spacing w:after="160" w:line="360" w:lineRule="auto"/>
        <w:ind w:firstLine="720"/>
        <w:jc w:val="both"/>
      </w:pPr>
      <w:r w:rsidRPr="00137D90">
        <w:t>Agro-processing converts perishable biomass into storable, tradable commodities, and in doing so it consumes and contaminates very large volumes of water. Washing, blanching, peeling, extraction, fermentation, distillation, rendering, clean</w:t>
      </w:r>
      <w:r w:rsidR="00FA6078" w:rsidRPr="00137D90">
        <w:t xml:space="preserve"> </w:t>
      </w:r>
      <w:r w:rsidRPr="00137D90">
        <w:t>in</w:t>
      </w:r>
      <w:r w:rsidR="00FA6078" w:rsidRPr="00137D90">
        <w:t xml:space="preserve"> </w:t>
      </w:r>
      <w:r w:rsidRPr="00137D90">
        <w:t xml:space="preserve">place and cooling all discharge streams whose composition mirrors the raw material: dissolved and colloidal carbohydrates, proteins, lipids, organic acids, plant pigments, phenolics, and in animal processing </w:t>
      </w:r>
      <w:r w:rsidR="00DF2CA9" w:rsidRPr="00137D90">
        <w:t>-</w:t>
      </w:r>
      <w:r w:rsidRPr="00137D90">
        <w:t xml:space="preserve"> blood, fats and faecal matter. Because these constituents are almost entirely of biological origin, the effluent is nutritionally rich and highly biodegradable in bulk, yet contains recalcitrant fractions (melanoidins, tannins, lignin-derived phenolics, surfactants, disinfectant residues) that resist ordinary biological treatment and persist as colour, toxicity and oxygen demand in receiving waters (Chowdhary </w:t>
      </w:r>
      <w:r w:rsidR="00863831" w:rsidRPr="00137D90">
        <w:rPr>
          <w:i/>
          <w:iCs/>
        </w:rPr>
        <w:t>et al</w:t>
      </w:r>
      <w:r w:rsidRPr="00137D90">
        <w:t xml:space="preserve">., 2018; Paraskeva &amp; Diamadopoulos, 2006; Kushwaha </w:t>
      </w:r>
      <w:r w:rsidR="00863831" w:rsidRPr="00137D90">
        <w:rPr>
          <w:i/>
          <w:iCs/>
        </w:rPr>
        <w:t>et al</w:t>
      </w:r>
      <w:r w:rsidRPr="00137D90">
        <w:t>., 2011).</w:t>
      </w:r>
    </w:p>
    <w:p w14:paraId="0615D402" w14:textId="237AA69F" w:rsidR="005C4BF0" w:rsidRPr="00137D90" w:rsidRDefault="00000000" w:rsidP="00CF51FB">
      <w:pPr>
        <w:spacing w:after="160" w:line="360" w:lineRule="auto"/>
        <w:ind w:firstLine="720"/>
        <w:jc w:val="both"/>
      </w:pPr>
      <w:r w:rsidRPr="00137D90">
        <w:t>The scale of the problem is not marginal. A single cane sugar and attached distillery complex may discharge 8–15 L of spent wash per litre of alcohol produced, at COD values two orders of magnitude above domestic sewage. Palm oil mills generate roughly 0.6–0.7 m</w:t>
      </w:r>
      <w:r w:rsidRPr="00137D90">
        <w:rPr>
          <w:vertAlign w:val="superscript"/>
        </w:rPr>
        <w:t>3</w:t>
      </w:r>
      <w:r w:rsidRPr="00137D90">
        <w:t xml:space="preserve"> of palm oil mill effluent (POME) per tonne of fresh fruit bunches processed. Dairies use 1–10 L of water per litre of milk handled, most of it leaving as a warm, alkaline, fat</w:t>
      </w:r>
      <w:r w:rsidR="00C7714A" w:rsidRPr="00137D90">
        <w:t xml:space="preserve"> </w:t>
      </w:r>
      <w:r w:rsidRPr="00137D90">
        <w:t>and protein</w:t>
      </w:r>
      <w:r w:rsidR="00C7714A" w:rsidRPr="00137D90">
        <w:t xml:space="preserve"> </w:t>
      </w:r>
      <w:r w:rsidRPr="00137D90">
        <w:t xml:space="preserve">bearing stream from clean-in-place cycles. Olive mills, slaughterhouses, cassava starch units, breweries and fruit canneries each contribute seasonal pulses of concentrated waste that overwhelm municipal works designed for a steady, dilute, largely domestic influent (Poh &amp; Chong, 2009; Bustillo-Lecompte &amp; Mehrvar, 2015; Simate </w:t>
      </w:r>
      <w:r w:rsidR="00863831" w:rsidRPr="00137D90">
        <w:rPr>
          <w:i/>
          <w:iCs/>
        </w:rPr>
        <w:t>et al</w:t>
      </w:r>
      <w:r w:rsidRPr="00137D90">
        <w:t>., 2011).</w:t>
      </w:r>
    </w:p>
    <w:p w14:paraId="0E73070E" w14:textId="57EF4E9A" w:rsidR="005C4BF0" w:rsidRPr="00137D90" w:rsidRDefault="00000000" w:rsidP="00CF51FB">
      <w:pPr>
        <w:spacing w:after="160" w:line="360" w:lineRule="auto"/>
        <w:ind w:firstLine="720"/>
        <w:jc w:val="both"/>
      </w:pPr>
      <w:r w:rsidRPr="00137D90">
        <w:lastRenderedPageBreak/>
        <w:t>Two features distinguish agro-industrial wastewater from most other industrial effluents and shape the engineering response. First, its organic load is largely recoverable energy: one kilogram of COD converted to methane yields approximately 0.35 m</w:t>
      </w:r>
      <w:r w:rsidRPr="00137D90">
        <w:rPr>
          <w:vertAlign w:val="superscript"/>
        </w:rPr>
        <w:t>3</w:t>
      </w:r>
      <w:r w:rsidRPr="00137D90">
        <w:t xml:space="preserve"> CH</w:t>
      </w:r>
      <w:r w:rsidRPr="00137D90">
        <w:rPr>
          <w:vertAlign w:val="subscript"/>
        </w:rPr>
        <w:t>4</w:t>
      </w:r>
      <w:r w:rsidRPr="00137D90">
        <w:t xml:space="preserve"> at standard temperature and pressure, so a distillery or palm oil mill effluent is better understood as a fuel stream than as a disposal liability. Second, its nitrogen, phosphorus and potassium content is agronomically meaningful. Distillery spent wash carries substantial potassium; slaughterhouse and poultry effluent is nitrogen</w:t>
      </w:r>
      <w:r w:rsidR="002A1F1C" w:rsidRPr="00137D90">
        <w:t xml:space="preserve"> </w:t>
      </w:r>
      <w:r w:rsidRPr="00137D90">
        <w:t>rich; dairy and food-processing streams are phosphorus</w:t>
      </w:r>
      <w:r w:rsidR="002A1F1C" w:rsidRPr="00137D90">
        <w:t xml:space="preserve"> </w:t>
      </w:r>
      <w:r w:rsidRPr="00137D90">
        <w:t>bearing. Discharging these nutrients causes eutrophication; recovering them displaces mineral fertiliser whose manufacture is itself energy and carbon</w:t>
      </w:r>
      <w:r w:rsidR="00183081" w:rsidRPr="00137D90">
        <w:t xml:space="preserve"> </w:t>
      </w:r>
      <w:r w:rsidRPr="00137D90">
        <w:t>intensive. The treatment objective, therefore, is not simply the destruction of pollutants but their directed transformation into products</w:t>
      </w:r>
      <w:r w:rsidR="00183081" w:rsidRPr="00137D90">
        <w:t xml:space="preserve"> </w:t>
      </w:r>
      <w:r w:rsidRPr="00137D90">
        <w:t xml:space="preserve">methane, struvite, ammonium salts, organic amendments and reclaimed irrigation water (Mekonnen &amp; Hoekstra, 2016; Batstone </w:t>
      </w:r>
      <w:r w:rsidR="00863831" w:rsidRPr="00137D90">
        <w:rPr>
          <w:i/>
          <w:iCs/>
        </w:rPr>
        <w:t>et al</w:t>
      </w:r>
      <w:r w:rsidRPr="00137D90">
        <w:t xml:space="preserve">., 2015; Puyol </w:t>
      </w:r>
      <w:r w:rsidR="00863831" w:rsidRPr="00137D90">
        <w:rPr>
          <w:i/>
          <w:iCs/>
        </w:rPr>
        <w:t>et al</w:t>
      </w:r>
      <w:r w:rsidRPr="00137D90">
        <w:t>., 2017).</w:t>
      </w:r>
    </w:p>
    <w:p w14:paraId="6DE24BA5" w14:textId="36598C6C" w:rsidR="005C4BF0" w:rsidRPr="00137D90" w:rsidRDefault="00000000" w:rsidP="00CF51FB">
      <w:pPr>
        <w:spacing w:after="160" w:line="360" w:lineRule="auto"/>
        <w:ind w:firstLine="720"/>
        <w:jc w:val="both"/>
      </w:pPr>
      <w:r w:rsidRPr="00137D90">
        <w:t>That reframing is where chemical engineering contributes most directly. Treatment plants are chemical plants: the same mass and energy balances, reaction kinetics, mass transfer correlations, separation theory, reactor residence</w:t>
      </w:r>
      <w:r w:rsidR="00183081" w:rsidRPr="00137D90">
        <w:t xml:space="preserve"> </w:t>
      </w:r>
      <w:r w:rsidRPr="00137D90">
        <w:t>time distributions and process control logic that govern a fermenter or a distillation train govern an upflow anaerobic sludge blanket (UASB) reactor, a dissolved air flotation (DAF) cell or a nanofiltration skid. Selecting a technology because it is fashionable, rather than because a rate</w:t>
      </w:r>
      <w:r w:rsidR="00D047F8" w:rsidRPr="00137D90">
        <w:t xml:space="preserve"> </w:t>
      </w:r>
      <w:r w:rsidRPr="00137D90">
        <w:t>limiting step has been identified, is the most common reason agro-industrial effluent plants underperform after commissioning.</w:t>
      </w:r>
    </w:p>
    <w:p w14:paraId="5DE4D865" w14:textId="77777777" w:rsidR="005C4BF0" w:rsidRPr="00137D90" w:rsidRDefault="00000000" w:rsidP="00CF51FB">
      <w:pPr>
        <w:pStyle w:val="Heading1"/>
        <w:spacing w:before="320" w:after="140" w:line="360" w:lineRule="auto"/>
        <w:jc w:val="both"/>
        <w:rPr>
          <w:sz w:val="24"/>
          <w:szCs w:val="24"/>
        </w:rPr>
      </w:pPr>
      <w:r w:rsidRPr="00137D90">
        <w:rPr>
          <w:sz w:val="24"/>
          <w:szCs w:val="24"/>
        </w:rPr>
        <w:t>2. ORIGIN, CHARACTERISTICS AND DESIGN DESCRIPTORS OF AGRO-INDUSTRIAL EFFLUENTS</w:t>
      </w:r>
    </w:p>
    <w:p w14:paraId="2F4E810B" w14:textId="77777777" w:rsidR="005C4BF0" w:rsidRPr="00137D90" w:rsidRDefault="00000000" w:rsidP="00CF51FB">
      <w:pPr>
        <w:pStyle w:val="Heading2"/>
        <w:spacing w:before="240" w:after="100" w:line="360" w:lineRule="auto"/>
        <w:jc w:val="both"/>
      </w:pPr>
      <w:r w:rsidRPr="00137D90">
        <w:t>2.1 Sector-wise characterisation</w:t>
      </w:r>
    </w:p>
    <w:p w14:paraId="71B9617A" w14:textId="1AC4D36D" w:rsidR="005C4BF0" w:rsidRPr="00137D90" w:rsidRDefault="00000000" w:rsidP="00CF51FB">
      <w:pPr>
        <w:spacing w:after="160" w:line="360" w:lineRule="auto"/>
        <w:ind w:firstLine="720"/>
        <w:jc w:val="both"/>
      </w:pPr>
      <w:r w:rsidRPr="00137D90">
        <w:t>Table 1 summarises typical ranges reported for the major agro-industrial sub</w:t>
      </w:r>
      <w:r w:rsidR="00892F75" w:rsidRPr="00137D90">
        <w:t xml:space="preserve"> </w:t>
      </w:r>
      <w:r w:rsidRPr="00137D90">
        <w:t>sectors. The ranges are wide because they reflect differences in raw material, process technology, degree of water recycling and sampling point; they should be read as indicative of magnitude and of the dominant contaminant, not as design values. Site</w:t>
      </w:r>
      <w:r w:rsidR="00892F75" w:rsidRPr="00137D90">
        <w:t xml:space="preserve"> </w:t>
      </w:r>
      <w:r w:rsidRPr="00137D90">
        <w:t>specific characterisation over at least one full processing season remains indispensable.</w:t>
      </w:r>
    </w:p>
    <w:p w14:paraId="6FDD8765" w14:textId="2FFEEDB5" w:rsidR="005C4BF0" w:rsidRPr="00137D90" w:rsidRDefault="00000000" w:rsidP="00CF51FB">
      <w:pPr>
        <w:spacing w:before="200" w:after="80" w:line="360" w:lineRule="auto"/>
        <w:jc w:val="both"/>
      </w:pPr>
      <w:r w:rsidRPr="00137D90">
        <w:rPr>
          <w:b/>
          <w:bCs/>
        </w:rPr>
        <w:t xml:space="preserve">Table 1. Indicative characteristics of major agro-industrial effluents (Chowdhary </w:t>
      </w:r>
      <w:r w:rsidR="00863831" w:rsidRPr="00137D90">
        <w:rPr>
          <w:b/>
          <w:bCs/>
          <w:i/>
          <w:iCs/>
        </w:rPr>
        <w:t>et al</w:t>
      </w:r>
      <w:r w:rsidRPr="00137D90">
        <w:rPr>
          <w:b/>
          <w:bCs/>
        </w:rPr>
        <w:t xml:space="preserve">., 2018; Paraskeva &amp; Diamadopoulos, 2006; Kushwaha </w:t>
      </w:r>
      <w:r w:rsidR="00863831" w:rsidRPr="00137D90">
        <w:rPr>
          <w:b/>
          <w:bCs/>
          <w:i/>
          <w:iCs/>
        </w:rPr>
        <w:t>et al</w:t>
      </w:r>
      <w:r w:rsidRPr="00137D90">
        <w:rPr>
          <w:b/>
          <w:bCs/>
        </w:rPr>
        <w:t xml:space="preserve">., 2011; Poh &amp; Chong, 2009; </w:t>
      </w:r>
      <w:r w:rsidRPr="00137D90">
        <w:rPr>
          <w:b/>
          <w:bCs/>
        </w:rPr>
        <w:lastRenderedPageBreak/>
        <w:t xml:space="preserve">Bustillo-Lecompte &amp; Mehrvar, 2015; Simate </w:t>
      </w:r>
      <w:r w:rsidR="00863831" w:rsidRPr="00137D90">
        <w:rPr>
          <w:b/>
          <w:bCs/>
          <w:i/>
          <w:iCs/>
        </w:rPr>
        <w:t>et al</w:t>
      </w:r>
      <w:r w:rsidRPr="00137D90">
        <w:rPr>
          <w:b/>
          <w:bCs/>
        </w:rPr>
        <w:t xml:space="preserve">., 2011; Satyawali &amp; Balakrishnan, 2008; Ahmad </w:t>
      </w:r>
      <w:r w:rsidR="00863831" w:rsidRPr="00137D90">
        <w:rPr>
          <w:b/>
          <w:bCs/>
          <w:i/>
          <w:iCs/>
        </w:rPr>
        <w:t>et al</w:t>
      </w:r>
      <w:r w:rsidRPr="00137D90">
        <w:rPr>
          <w:b/>
          <w:bCs/>
        </w:rPr>
        <w:t xml:space="preserve">., 2003; Rajesh Banu </w:t>
      </w:r>
      <w:r w:rsidR="00863831" w:rsidRPr="00137D90">
        <w:rPr>
          <w:b/>
          <w:bCs/>
          <w:i/>
          <w:iCs/>
        </w:rPr>
        <w:t>et al</w:t>
      </w:r>
      <w:r w:rsidRPr="00137D90">
        <w:rPr>
          <w:b/>
          <w:bCs/>
        </w:rPr>
        <w:t xml:space="preserve">., 2007; Sridevi </w:t>
      </w:r>
      <w:r w:rsidR="00863831" w:rsidRPr="00137D90">
        <w:rPr>
          <w:b/>
          <w:bCs/>
          <w:i/>
          <w:iCs/>
        </w:rPr>
        <w:t>et al</w:t>
      </w:r>
      <w:r w:rsidRPr="00137D90">
        <w:rPr>
          <w:b/>
          <w:bCs/>
        </w:rPr>
        <w:t>., 2012; Kaushik &amp; Thakur, 2013))</w:t>
      </w:r>
    </w:p>
    <w:tbl>
      <w:tblPr>
        <w:tblW w:w="100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28"/>
        <w:gridCol w:w="1476"/>
        <w:gridCol w:w="1478"/>
        <w:gridCol w:w="1283"/>
        <w:gridCol w:w="898"/>
        <w:gridCol w:w="3167"/>
      </w:tblGrid>
      <w:tr w:rsidR="005C4BF0" w:rsidRPr="00994704" w14:paraId="393EA175" w14:textId="77777777" w:rsidTr="009E5BBC">
        <w:trPr>
          <w:trHeight w:val="657"/>
          <w:tblHeader/>
          <w:jc w:val="center"/>
        </w:trPr>
        <w:tc>
          <w:tcPr>
            <w:tcW w:w="1728" w:type="dxa"/>
            <w:shd w:val="clear" w:color="auto" w:fill="E8EEED"/>
            <w:tcMar>
              <w:top w:w="60" w:type="dxa"/>
              <w:left w:w="90" w:type="dxa"/>
              <w:bottom w:w="60" w:type="dxa"/>
              <w:right w:w="90" w:type="dxa"/>
            </w:tcMar>
          </w:tcPr>
          <w:p w14:paraId="20A0141F" w14:textId="77777777" w:rsidR="005C4BF0" w:rsidRPr="00994704" w:rsidRDefault="00000000" w:rsidP="00CF51FB">
            <w:pPr>
              <w:spacing w:line="360" w:lineRule="auto"/>
              <w:jc w:val="both"/>
              <w:rPr>
                <w:sz w:val="20"/>
                <w:szCs w:val="20"/>
              </w:rPr>
            </w:pPr>
            <w:r w:rsidRPr="00994704">
              <w:rPr>
                <w:b/>
                <w:bCs/>
                <w:sz w:val="20"/>
                <w:szCs w:val="20"/>
              </w:rPr>
              <w:t>Sector</w:t>
            </w:r>
          </w:p>
        </w:tc>
        <w:tc>
          <w:tcPr>
            <w:tcW w:w="1476" w:type="dxa"/>
            <w:shd w:val="clear" w:color="auto" w:fill="E8EEED"/>
            <w:tcMar>
              <w:top w:w="60" w:type="dxa"/>
              <w:left w:w="90" w:type="dxa"/>
              <w:bottom w:w="60" w:type="dxa"/>
              <w:right w:w="90" w:type="dxa"/>
            </w:tcMar>
          </w:tcPr>
          <w:p w14:paraId="3830A86D" w14:textId="77777777" w:rsidR="005C4BF0" w:rsidRPr="00994704" w:rsidRDefault="00000000" w:rsidP="00CF51FB">
            <w:pPr>
              <w:spacing w:line="360" w:lineRule="auto"/>
              <w:jc w:val="both"/>
              <w:rPr>
                <w:sz w:val="20"/>
                <w:szCs w:val="20"/>
              </w:rPr>
            </w:pPr>
            <w:r w:rsidRPr="00994704">
              <w:rPr>
                <w:b/>
                <w:bCs/>
                <w:sz w:val="20"/>
                <w:szCs w:val="20"/>
              </w:rPr>
              <w:t>COD (mg L</w:t>
            </w:r>
            <w:r w:rsidRPr="00994704">
              <w:rPr>
                <w:b/>
                <w:bCs/>
                <w:sz w:val="20"/>
                <w:szCs w:val="20"/>
                <w:vertAlign w:val="superscript"/>
              </w:rPr>
              <w:t>-1</w:t>
            </w:r>
            <w:r w:rsidRPr="00994704">
              <w:rPr>
                <w:b/>
                <w:bCs/>
                <w:sz w:val="20"/>
                <w:szCs w:val="20"/>
              </w:rPr>
              <w:t>)</w:t>
            </w:r>
          </w:p>
        </w:tc>
        <w:tc>
          <w:tcPr>
            <w:tcW w:w="1478" w:type="dxa"/>
            <w:shd w:val="clear" w:color="auto" w:fill="E8EEED"/>
            <w:tcMar>
              <w:top w:w="60" w:type="dxa"/>
              <w:left w:w="90" w:type="dxa"/>
              <w:bottom w:w="60" w:type="dxa"/>
              <w:right w:w="90" w:type="dxa"/>
            </w:tcMar>
          </w:tcPr>
          <w:p w14:paraId="3DBA3C28" w14:textId="77777777" w:rsidR="005C4BF0" w:rsidRPr="00994704" w:rsidRDefault="00000000" w:rsidP="00CF51FB">
            <w:pPr>
              <w:spacing w:line="360" w:lineRule="auto"/>
              <w:jc w:val="both"/>
              <w:rPr>
                <w:sz w:val="20"/>
                <w:szCs w:val="20"/>
              </w:rPr>
            </w:pPr>
            <w:r w:rsidRPr="00994704">
              <w:rPr>
                <w:b/>
                <w:bCs/>
                <w:sz w:val="20"/>
                <w:szCs w:val="20"/>
              </w:rPr>
              <w:t>BOD5/COD</w:t>
            </w:r>
          </w:p>
        </w:tc>
        <w:tc>
          <w:tcPr>
            <w:tcW w:w="1283" w:type="dxa"/>
            <w:shd w:val="clear" w:color="auto" w:fill="E8EEED"/>
            <w:tcMar>
              <w:top w:w="60" w:type="dxa"/>
              <w:left w:w="90" w:type="dxa"/>
              <w:bottom w:w="60" w:type="dxa"/>
              <w:right w:w="90" w:type="dxa"/>
            </w:tcMar>
          </w:tcPr>
          <w:p w14:paraId="2CA2AD37" w14:textId="77777777" w:rsidR="005C4BF0" w:rsidRPr="00994704" w:rsidRDefault="00000000" w:rsidP="00CF51FB">
            <w:pPr>
              <w:spacing w:line="360" w:lineRule="auto"/>
              <w:jc w:val="both"/>
              <w:rPr>
                <w:sz w:val="20"/>
                <w:szCs w:val="20"/>
              </w:rPr>
            </w:pPr>
            <w:r w:rsidRPr="00994704">
              <w:rPr>
                <w:b/>
                <w:bCs/>
                <w:sz w:val="20"/>
                <w:szCs w:val="20"/>
              </w:rPr>
              <w:t>TSS (mg L</w:t>
            </w:r>
            <w:r w:rsidRPr="00994704">
              <w:rPr>
                <w:b/>
                <w:bCs/>
                <w:sz w:val="20"/>
                <w:szCs w:val="20"/>
                <w:vertAlign w:val="superscript"/>
              </w:rPr>
              <w:t>-1</w:t>
            </w:r>
            <w:r w:rsidRPr="00994704">
              <w:rPr>
                <w:b/>
                <w:bCs/>
                <w:sz w:val="20"/>
                <w:szCs w:val="20"/>
              </w:rPr>
              <w:t>)</w:t>
            </w:r>
          </w:p>
        </w:tc>
        <w:tc>
          <w:tcPr>
            <w:tcW w:w="898" w:type="dxa"/>
            <w:shd w:val="clear" w:color="auto" w:fill="E8EEED"/>
            <w:tcMar>
              <w:top w:w="60" w:type="dxa"/>
              <w:left w:w="90" w:type="dxa"/>
              <w:bottom w:w="60" w:type="dxa"/>
              <w:right w:w="90" w:type="dxa"/>
            </w:tcMar>
          </w:tcPr>
          <w:p w14:paraId="77DBD2EC" w14:textId="77777777" w:rsidR="005C4BF0" w:rsidRPr="00994704" w:rsidRDefault="00000000" w:rsidP="00CF51FB">
            <w:pPr>
              <w:spacing w:line="360" w:lineRule="auto"/>
              <w:jc w:val="both"/>
              <w:rPr>
                <w:sz w:val="20"/>
                <w:szCs w:val="20"/>
              </w:rPr>
            </w:pPr>
            <w:r w:rsidRPr="00994704">
              <w:rPr>
                <w:b/>
                <w:bCs/>
                <w:sz w:val="20"/>
                <w:szCs w:val="20"/>
              </w:rPr>
              <w:t>pH</w:t>
            </w:r>
          </w:p>
        </w:tc>
        <w:tc>
          <w:tcPr>
            <w:tcW w:w="3167" w:type="dxa"/>
            <w:shd w:val="clear" w:color="auto" w:fill="E8EEED"/>
            <w:tcMar>
              <w:top w:w="60" w:type="dxa"/>
              <w:left w:w="90" w:type="dxa"/>
              <w:bottom w:w="60" w:type="dxa"/>
              <w:right w:w="90" w:type="dxa"/>
            </w:tcMar>
          </w:tcPr>
          <w:p w14:paraId="47378D90" w14:textId="77777777" w:rsidR="005C4BF0" w:rsidRPr="00994704" w:rsidRDefault="00000000" w:rsidP="00CF51FB">
            <w:pPr>
              <w:spacing w:line="360" w:lineRule="auto"/>
              <w:jc w:val="both"/>
              <w:rPr>
                <w:sz w:val="20"/>
                <w:szCs w:val="20"/>
              </w:rPr>
            </w:pPr>
            <w:r w:rsidRPr="00994704">
              <w:rPr>
                <w:b/>
                <w:bCs/>
                <w:sz w:val="20"/>
                <w:szCs w:val="20"/>
              </w:rPr>
              <w:t>Dominant challenge</w:t>
            </w:r>
          </w:p>
        </w:tc>
      </w:tr>
      <w:tr w:rsidR="005C4BF0" w:rsidRPr="00994704" w14:paraId="6B819672" w14:textId="77777777" w:rsidTr="009E5BBC">
        <w:trPr>
          <w:trHeight w:val="650"/>
          <w:jc w:val="center"/>
        </w:trPr>
        <w:tc>
          <w:tcPr>
            <w:tcW w:w="1728" w:type="dxa"/>
            <w:tcMar>
              <w:top w:w="60" w:type="dxa"/>
              <w:left w:w="90" w:type="dxa"/>
              <w:bottom w:w="60" w:type="dxa"/>
              <w:right w:w="90" w:type="dxa"/>
            </w:tcMar>
          </w:tcPr>
          <w:p w14:paraId="32C4DEAB" w14:textId="77777777" w:rsidR="005C4BF0" w:rsidRPr="00994704" w:rsidRDefault="00000000" w:rsidP="00CF51FB">
            <w:pPr>
              <w:spacing w:line="360" w:lineRule="auto"/>
              <w:jc w:val="both"/>
              <w:rPr>
                <w:sz w:val="20"/>
                <w:szCs w:val="20"/>
              </w:rPr>
            </w:pPr>
            <w:r w:rsidRPr="00994704">
              <w:rPr>
                <w:sz w:val="20"/>
                <w:szCs w:val="20"/>
              </w:rPr>
              <w:t>Distillery spent wash</w:t>
            </w:r>
          </w:p>
        </w:tc>
        <w:tc>
          <w:tcPr>
            <w:tcW w:w="1476" w:type="dxa"/>
            <w:tcMar>
              <w:top w:w="60" w:type="dxa"/>
              <w:left w:w="90" w:type="dxa"/>
              <w:bottom w:w="60" w:type="dxa"/>
              <w:right w:w="90" w:type="dxa"/>
            </w:tcMar>
          </w:tcPr>
          <w:p w14:paraId="459F25CE" w14:textId="77777777" w:rsidR="005C4BF0" w:rsidRPr="00994704" w:rsidRDefault="00000000" w:rsidP="00CF51FB">
            <w:pPr>
              <w:spacing w:line="360" w:lineRule="auto"/>
              <w:jc w:val="both"/>
              <w:rPr>
                <w:sz w:val="20"/>
                <w:szCs w:val="20"/>
              </w:rPr>
            </w:pPr>
            <w:r w:rsidRPr="00994704">
              <w:rPr>
                <w:sz w:val="20"/>
                <w:szCs w:val="20"/>
              </w:rPr>
              <w:t>80,000–150,000</w:t>
            </w:r>
          </w:p>
        </w:tc>
        <w:tc>
          <w:tcPr>
            <w:tcW w:w="1478" w:type="dxa"/>
            <w:tcMar>
              <w:top w:w="60" w:type="dxa"/>
              <w:left w:w="90" w:type="dxa"/>
              <w:bottom w:w="60" w:type="dxa"/>
              <w:right w:w="90" w:type="dxa"/>
            </w:tcMar>
          </w:tcPr>
          <w:p w14:paraId="057A27F5" w14:textId="77777777" w:rsidR="005C4BF0" w:rsidRPr="00994704" w:rsidRDefault="00000000" w:rsidP="00CF51FB">
            <w:pPr>
              <w:spacing w:line="360" w:lineRule="auto"/>
              <w:jc w:val="both"/>
              <w:rPr>
                <w:sz w:val="20"/>
                <w:szCs w:val="20"/>
              </w:rPr>
            </w:pPr>
            <w:r w:rsidRPr="00994704">
              <w:rPr>
                <w:sz w:val="20"/>
                <w:szCs w:val="20"/>
              </w:rPr>
              <w:t>0.40–0.55</w:t>
            </w:r>
          </w:p>
        </w:tc>
        <w:tc>
          <w:tcPr>
            <w:tcW w:w="1283" w:type="dxa"/>
            <w:tcMar>
              <w:top w:w="60" w:type="dxa"/>
              <w:left w:w="90" w:type="dxa"/>
              <w:bottom w:w="60" w:type="dxa"/>
              <w:right w:w="90" w:type="dxa"/>
            </w:tcMar>
          </w:tcPr>
          <w:p w14:paraId="3A5B867F" w14:textId="77777777" w:rsidR="005C4BF0" w:rsidRPr="00994704" w:rsidRDefault="00000000" w:rsidP="00CF51FB">
            <w:pPr>
              <w:spacing w:line="360" w:lineRule="auto"/>
              <w:jc w:val="both"/>
              <w:rPr>
                <w:sz w:val="20"/>
                <w:szCs w:val="20"/>
              </w:rPr>
            </w:pPr>
            <w:r w:rsidRPr="00994704">
              <w:rPr>
                <w:sz w:val="20"/>
                <w:szCs w:val="20"/>
              </w:rPr>
              <w:t>10,000–40,000</w:t>
            </w:r>
          </w:p>
        </w:tc>
        <w:tc>
          <w:tcPr>
            <w:tcW w:w="898" w:type="dxa"/>
            <w:tcMar>
              <w:top w:w="60" w:type="dxa"/>
              <w:left w:w="90" w:type="dxa"/>
              <w:bottom w:w="60" w:type="dxa"/>
              <w:right w:w="90" w:type="dxa"/>
            </w:tcMar>
          </w:tcPr>
          <w:p w14:paraId="64437B38" w14:textId="77777777" w:rsidR="005C4BF0" w:rsidRPr="00994704" w:rsidRDefault="00000000" w:rsidP="00CF51FB">
            <w:pPr>
              <w:spacing w:line="360" w:lineRule="auto"/>
              <w:jc w:val="both"/>
              <w:rPr>
                <w:sz w:val="20"/>
                <w:szCs w:val="20"/>
              </w:rPr>
            </w:pPr>
            <w:r w:rsidRPr="00994704">
              <w:rPr>
                <w:sz w:val="20"/>
                <w:szCs w:val="20"/>
              </w:rPr>
              <w:t>3.5–4.5</w:t>
            </w:r>
          </w:p>
        </w:tc>
        <w:tc>
          <w:tcPr>
            <w:tcW w:w="3167" w:type="dxa"/>
            <w:tcMar>
              <w:top w:w="60" w:type="dxa"/>
              <w:left w:w="90" w:type="dxa"/>
              <w:bottom w:w="60" w:type="dxa"/>
              <w:right w:w="90" w:type="dxa"/>
            </w:tcMar>
          </w:tcPr>
          <w:p w14:paraId="0BDAFF52" w14:textId="77777777" w:rsidR="005C4BF0" w:rsidRPr="00994704" w:rsidRDefault="00000000" w:rsidP="00CF51FB">
            <w:pPr>
              <w:spacing w:line="360" w:lineRule="auto"/>
              <w:jc w:val="both"/>
              <w:rPr>
                <w:sz w:val="20"/>
                <w:szCs w:val="20"/>
              </w:rPr>
            </w:pPr>
            <w:r w:rsidRPr="00994704">
              <w:rPr>
                <w:sz w:val="20"/>
                <w:szCs w:val="20"/>
              </w:rPr>
              <w:t>Melanoidin colour, K+, sulphate, acidity</w:t>
            </w:r>
          </w:p>
        </w:tc>
      </w:tr>
      <w:tr w:rsidR="005C4BF0" w:rsidRPr="00994704" w14:paraId="116814F8" w14:textId="77777777" w:rsidTr="009E5BBC">
        <w:trPr>
          <w:trHeight w:val="328"/>
          <w:jc w:val="center"/>
        </w:trPr>
        <w:tc>
          <w:tcPr>
            <w:tcW w:w="1728" w:type="dxa"/>
            <w:tcMar>
              <w:top w:w="60" w:type="dxa"/>
              <w:left w:w="90" w:type="dxa"/>
              <w:bottom w:w="60" w:type="dxa"/>
              <w:right w:w="90" w:type="dxa"/>
            </w:tcMar>
          </w:tcPr>
          <w:p w14:paraId="65759351" w14:textId="77777777" w:rsidR="005C4BF0" w:rsidRPr="00994704" w:rsidRDefault="00000000" w:rsidP="00CF51FB">
            <w:pPr>
              <w:spacing w:line="360" w:lineRule="auto"/>
              <w:jc w:val="both"/>
              <w:rPr>
                <w:sz w:val="20"/>
                <w:szCs w:val="20"/>
              </w:rPr>
            </w:pPr>
            <w:r w:rsidRPr="00994704">
              <w:rPr>
                <w:sz w:val="20"/>
                <w:szCs w:val="20"/>
              </w:rPr>
              <w:t>Sugar mill (cane)</w:t>
            </w:r>
          </w:p>
        </w:tc>
        <w:tc>
          <w:tcPr>
            <w:tcW w:w="1476" w:type="dxa"/>
            <w:tcMar>
              <w:top w:w="60" w:type="dxa"/>
              <w:left w:w="90" w:type="dxa"/>
              <w:bottom w:w="60" w:type="dxa"/>
              <w:right w:w="90" w:type="dxa"/>
            </w:tcMar>
          </w:tcPr>
          <w:p w14:paraId="6AA166A9" w14:textId="77777777" w:rsidR="005C4BF0" w:rsidRPr="00994704" w:rsidRDefault="00000000" w:rsidP="00CF51FB">
            <w:pPr>
              <w:spacing w:line="360" w:lineRule="auto"/>
              <w:jc w:val="both"/>
              <w:rPr>
                <w:sz w:val="20"/>
                <w:szCs w:val="20"/>
              </w:rPr>
            </w:pPr>
            <w:r w:rsidRPr="00994704">
              <w:rPr>
                <w:sz w:val="20"/>
                <w:szCs w:val="20"/>
              </w:rPr>
              <w:t>1,500–6,000</w:t>
            </w:r>
          </w:p>
        </w:tc>
        <w:tc>
          <w:tcPr>
            <w:tcW w:w="1478" w:type="dxa"/>
            <w:tcMar>
              <w:top w:w="60" w:type="dxa"/>
              <w:left w:w="90" w:type="dxa"/>
              <w:bottom w:w="60" w:type="dxa"/>
              <w:right w:w="90" w:type="dxa"/>
            </w:tcMar>
          </w:tcPr>
          <w:p w14:paraId="4CEC523C" w14:textId="77777777" w:rsidR="005C4BF0" w:rsidRPr="00994704" w:rsidRDefault="00000000" w:rsidP="00CF51FB">
            <w:pPr>
              <w:spacing w:line="360" w:lineRule="auto"/>
              <w:jc w:val="both"/>
              <w:rPr>
                <w:sz w:val="20"/>
                <w:szCs w:val="20"/>
              </w:rPr>
            </w:pPr>
            <w:r w:rsidRPr="00994704">
              <w:rPr>
                <w:sz w:val="20"/>
                <w:szCs w:val="20"/>
              </w:rPr>
              <w:t>0.50–0.65</w:t>
            </w:r>
          </w:p>
        </w:tc>
        <w:tc>
          <w:tcPr>
            <w:tcW w:w="1283" w:type="dxa"/>
            <w:tcMar>
              <w:top w:w="60" w:type="dxa"/>
              <w:left w:w="90" w:type="dxa"/>
              <w:bottom w:w="60" w:type="dxa"/>
              <w:right w:w="90" w:type="dxa"/>
            </w:tcMar>
          </w:tcPr>
          <w:p w14:paraId="211BB6C5" w14:textId="77777777" w:rsidR="005C4BF0" w:rsidRPr="00994704" w:rsidRDefault="00000000" w:rsidP="00CF51FB">
            <w:pPr>
              <w:spacing w:line="360" w:lineRule="auto"/>
              <w:jc w:val="both"/>
              <w:rPr>
                <w:sz w:val="20"/>
                <w:szCs w:val="20"/>
              </w:rPr>
            </w:pPr>
            <w:r w:rsidRPr="00994704">
              <w:rPr>
                <w:sz w:val="20"/>
                <w:szCs w:val="20"/>
              </w:rPr>
              <w:t>500–3,000</w:t>
            </w:r>
          </w:p>
        </w:tc>
        <w:tc>
          <w:tcPr>
            <w:tcW w:w="898" w:type="dxa"/>
            <w:tcMar>
              <w:top w:w="60" w:type="dxa"/>
              <w:left w:w="90" w:type="dxa"/>
              <w:bottom w:w="60" w:type="dxa"/>
              <w:right w:w="90" w:type="dxa"/>
            </w:tcMar>
          </w:tcPr>
          <w:p w14:paraId="3F3F576B" w14:textId="77777777" w:rsidR="005C4BF0" w:rsidRPr="00994704" w:rsidRDefault="00000000" w:rsidP="00CF51FB">
            <w:pPr>
              <w:spacing w:line="360" w:lineRule="auto"/>
              <w:jc w:val="both"/>
              <w:rPr>
                <w:sz w:val="20"/>
                <w:szCs w:val="20"/>
              </w:rPr>
            </w:pPr>
            <w:r w:rsidRPr="00994704">
              <w:rPr>
                <w:sz w:val="20"/>
                <w:szCs w:val="20"/>
              </w:rPr>
              <w:t>5.0–7.5</w:t>
            </w:r>
          </w:p>
        </w:tc>
        <w:tc>
          <w:tcPr>
            <w:tcW w:w="3167" w:type="dxa"/>
            <w:tcMar>
              <w:top w:w="60" w:type="dxa"/>
              <w:left w:w="90" w:type="dxa"/>
              <w:bottom w:w="60" w:type="dxa"/>
              <w:right w:w="90" w:type="dxa"/>
            </w:tcMar>
          </w:tcPr>
          <w:p w14:paraId="7C097205" w14:textId="77777777" w:rsidR="005C4BF0" w:rsidRPr="00994704" w:rsidRDefault="00000000" w:rsidP="00CF51FB">
            <w:pPr>
              <w:spacing w:line="360" w:lineRule="auto"/>
              <w:jc w:val="both"/>
              <w:rPr>
                <w:sz w:val="20"/>
                <w:szCs w:val="20"/>
              </w:rPr>
            </w:pPr>
            <w:r w:rsidRPr="00994704">
              <w:rPr>
                <w:sz w:val="20"/>
                <w:szCs w:val="20"/>
              </w:rPr>
              <w:t>Seasonality, sugars, mill-house oil</w:t>
            </w:r>
          </w:p>
        </w:tc>
      </w:tr>
      <w:tr w:rsidR="005C4BF0" w:rsidRPr="00994704" w14:paraId="4DE7DBBB" w14:textId="77777777" w:rsidTr="009E5BBC">
        <w:trPr>
          <w:trHeight w:val="657"/>
          <w:jc w:val="center"/>
        </w:trPr>
        <w:tc>
          <w:tcPr>
            <w:tcW w:w="1728" w:type="dxa"/>
            <w:tcMar>
              <w:top w:w="60" w:type="dxa"/>
              <w:left w:w="90" w:type="dxa"/>
              <w:bottom w:w="60" w:type="dxa"/>
              <w:right w:w="90" w:type="dxa"/>
            </w:tcMar>
          </w:tcPr>
          <w:p w14:paraId="60F917FA" w14:textId="77777777" w:rsidR="005C4BF0" w:rsidRPr="00994704" w:rsidRDefault="00000000" w:rsidP="00CF51FB">
            <w:pPr>
              <w:spacing w:line="360" w:lineRule="auto"/>
              <w:jc w:val="both"/>
              <w:rPr>
                <w:sz w:val="20"/>
                <w:szCs w:val="20"/>
              </w:rPr>
            </w:pPr>
            <w:r w:rsidRPr="00994704">
              <w:rPr>
                <w:sz w:val="20"/>
                <w:szCs w:val="20"/>
              </w:rPr>
              <w:t>Palm oil mill (POME)</w:t>
            </w:r>
          </w:p>
        </w:tc>
        <w:tc>
          <w:tcPr>
            <w:tcW w:w="1476" w:type="dxa"/>
            <w:tcMar>
              <w:top w:w="60" w:type="dxa"/>
              <w:left w:w="90" w:type="dxa"/>
              <w:bottom w:w="60" w:type="dxa"/>
              <w:right w:w="90" w:type="dxa"/>
            </w:tcMar>
          </w:tcPr>
          <w:p w14:paraId="4F19C044" w14:textId="77777777" w:rsidR="005C4BF0" w:rsidRPr="00994704" w:rsidRDefault="00000000" w:rsidP="00CF51FB">
            <w:pPr>
              <w:spacing w:line="360" w:lineRule="auto"/>
              <w:jc w:val="both"/>
              <w:rPr>
                <w:sz w:val="20"/>
                <w:szCs w:val="20"/>
              </w:rPr>
            </w:pPr>
            <w:r w:rsidRPr="00994704">
              <w:rPr>
                <w:sz w:val="20"/>
                <w:szCs w:val="20"/>
              </w:rPr>
              <w:t>45,000–65,000</w:t>
            </w:r>
          </w:p>
        </w:tc>
        <w:tc>
          <w:tcPr>
            <w:tcW w:w="1478" w:type="dxa"/>
            <w:tcMar>
              <w:top w:w="60" w:type="dxa"/>
              <w:left w:w="90" w:type="dxa"/>
              <w:bottom w:w="60" w:type="dxa"/>
              <w:right w:w="90" w:type="dxa"/>
            </w:tcMar>
          </w:tcPr>
          <w:p w14:paraId="29F1C081" w14:textId="77777777" w:rsidR="005C4BF0" w:rsidRPr="00994704" w:rsidRDefault="00000000" w:rsidP="00CF51FB">
            <w:pPr>
              <w:spacing w:line="360" w:lineRule="auto"/>
              <w:jc w:val="both"/>
              <w:rPr>
                <w:sz w:val="20"/>
                <w:szCs w:val="20"/>
              </w:rPr>
            </w:pPr>
            <w:r w:rsidRPr="00994704">
              <w:rPr>
                <w:sz w:val="20"/>
                <w:szCs w:val="20"/>
              </w:rPr>
              <w:t>0.50–0.60</w:t>
            </w:r>
          </w:p>
        </w:tc>
        <w:tc>
          <w:tcPr>
            <w:tcW w:w="1283" w:type="dxa"/>
            <w:tcMar>
              <w:top w:w="60" w:type="dxa"/>
              <w:left w:w="90" w:type="dxa"/>
              <w:bottom w:w="60" w:type="dxa"/>
              <w:right w:w="90" w:type="dxa"/>
            </w:tcMar>
          </w:tcPr>
          <w:p w14:paraId="3A72D980" w14:textId="77777777" w:rsidR="005C4BF0" w:rsidRPr="00994704" w:rsidRDefault="00000000" w:rsidP="00CF51FB">
            <w:pPr>
              <w:spacing w:line="360" w:lineRule="auto"/>
              <w:jc w:val="both"/>
              <w:rPr>
                <w:sz w:val="20"/>
                <w:szCs w:val="20"/>
              </w:rPr>
            </w:pPr>
            <w:r w:rsidRPr="00994704">
              <w:rPr>
                <w:sz w:val="20"/>
                <w:szCs w:val="20"/>
              </w:rPr>
              <w:t>15,000–30,000</w:t>
            </w:r>
          </w:p>
        </w:tc>
        <w:tc>
          <w:tcPr>
            <w:tcW w:w="898" w:type="dxa"/>
            <w:tcMar>
              <w:top w:w="60" w:type="dxa"/>
              <w:left w:w="90" w:type="dxa"/>
              <w:bottom w:w="60" w:type="dxa"/>
              <w:right w:w="90" w:type="dxa"/>
            </w:tcMar>
          </w:tcPr>
          <w:p w14:paraId="630EC5A9" w14:textId="77777777" w:rsidR="005C4BF0" w:rsidRPr="00994704" w:rsidRDefault="00000000" w:rsidP="00CF51FB">
            <w:pPr>
              <w:spacing w:line="360" w:lineRule="auto"/>
              <w:jc w:val="both"/>
              <w:rPr>
                <w:sz w:val="20"/>
                <w:szCs w:val="20"/>
              </w:rPr>
            </w:pPr>
            <w:r w:rsidRPr="00994704">
              <w:rPr>
                <w:sz w:val="20"/>
                <w:szCs w:val="20"/>
              </w:rPr>
              <w:t>4.0–5.0</w:t>
            </w:r>
          </w:p>
        </w:tc>
        <w:tc>
          <w:tcPr>
            <w:tcW w:w="3167" w:type="dxa"/>
            <w:tcMar>
              <w:top w:w="60" w:type="dxa"/>
              <w:left w:w="90" w:type="dxa"/>
              <w:bottom w:w="60" w:type="dxa"/>
              <w:right w:w="90" w:type="dxa"/>
            </w:tcMar>
          </w:tcPr>
          <w:p w14:paraId="48C1CD25" w14:textId="77777777" w:rsidR="005C4BF0" w:rsidRPr="00994704" w:rsidRDefault="00000000" w:rsidP="00CF51FB">
            <w:pPr>
              <w:spacing w:line="360" w:lineRule="auto"/>
              <w:jc w:val="both"/>
              <w:rPr>
                <w:sz w:val="20"/>
                <w:szCs w:val="20"/>
              </w:rPr>
            </w:pPr>
            <w:r w:rsidRPr="00994704">
              <w:rPr>
                <w:sz w:val="20"/>
                <w:szCs w:val="20"/>
              </w:rPr>
              <w:t>Oil and grease, high temperature, solids</w:t>
            </w:r>
          </w:p>
        </w:tc>
      </w:tr>
      <w:tr w:rsidR="005C4BF0" w:rsidRPr="00994704" w14:paraId="7F78A9EC" w14:textId="77777777" w:rsidTr="009E5BBC">
        <w:trPr>
          <w:trHeight w:val="657"/>
          <w:jc w:val="center"/>
        </w:trPr>
        <w:tc>
          <w:tcPr>
            <w:tcW w:w="1728" w:type="dxa"/>
            <w:tcMar>
              <w:top w:w="60" w:type="dxa"/>
              <w:left w:w="90" w:type="dxa"/>
              <w:bottom w:w="60" w:type="dxa"/>
              <w:right w:w="90" w:type="dxa"/>
            </w:tcMar>
          </w:tcPr>
          <w:p w14:paraId="52E58639" w14:textId="77777777" w:rsidR="005C4BF0" w:rsidRPr="00994704" w:rsidRDefault="00000000" w:rsidP="00CF51FB">
            <w:pPr>
              <w:spacing w:line="360" w:lineRule="auto"/>
              <w:jc w:val="both"/>
              <w:rPr>
                <w:sz w:val="20"/>
                <w:szCs w:val="20"/>
              </w:rPr>
            </w:pPr>
            <w:r w:rsidRPr="00994704">
              <w:rPr>
                <w:sz w:val="20"/>
                <w:szCs w:val="20"/>
              </w:rPr>
              <w:t>Olive mill (three-phase)</w:t>
            </w:r>
          </w:p>
        </w:tc>
        <w:tc>
          <w:tcPr>
            <w:tcW w:w="1476" w:type="dxa"/>
            <w:tcMar>
              <w:top w:w="60" w:type="dxa"/>
              <w:left w:w="90" w:type="dxa"/>
              <w:bottom w:w="60" w:type="dxa"/>
              <w:right w:w="90" w:type="dxa"/>
            </w:tcMar>
          </w:tcPr>
          <w:p w14:paraId="4A5B2B1F" w14:textId="77777777" w:rsidR="005C4BF0" w:rsidRPr="00994704" w:rsidRDefault="00000000" w:rsidP="00CF51FB">
            <w:pPr>
              <w:spacing w:line="360" w:lineRule="auto"/>
              <w:jc w:val="both"/>
              <w:rPr>
                <w:sz w:val="20"/>
                <w:szCs w:val="20"/>
              </w:rPr>
            </w:pPr>
            <w:r w:rsidRPr="00994704">
              <w:rPr>
                <w:sz w:val="20"/>
                <w:szCs w:val="20"/>
              </w:rPr>
              <w:t>40,000–200,000</w:t>
            </w:r>
          </w:p>
        </w:tc>
        <w:tc>
          <w:tcPr>
            <w:tcW w:w="1478" w:type="dxa"/>
            <w:tcMar>
              <w:top w:w="60" w:type="dxa"/>
              <w:left w:w="90" w:type="dxa"/>
              <w:bottom w:w="60" w:type="dxa"/>
              <w:right w:w="90" w:type="dxa"/>
            </w:tcMar>
          </w:tcPr>
          <w:p w14:paraId="26922C1D" w14:textId="77777777" w:rsidR="005C4BF0" w:rsidRPr="00994704" w:rsidRDefault="00000000" w:rsidP="00CF51FB">
            <w:pPr>
              <w:spacing w:line="360" w:lineRule="auto"/>
              <w:jc w:val="both"/>
              <w:rPr>
                <w:sz w:val="20"/>
                <w:szCs w:val="20"/>
              </w:rPr>
            </w:pPr>
            <w:r w:rsidRPr="00994704">
              <w:rPr>
                <w:sz w:val="20"/>
                <w:szCs w:val="20"/>
              </w:rPr>
              <w:t>0.20–0.35</w:t>
            </w:r>
          </w:p>
        </w:tc>
        <w:tc>
          <w:tcPr>
            <w:tcW w:w="1283" w:type="dxa"/>
            <w:tcMar>
              <w:top w:w="60" w:type="dxa"/>
              <w:left w:w="90" w:type="dxa"/>
              <w:bottom w:w="60" w:type="dxa"/>
              <w:right w:w="90" w:type="dxa"/>
            </w:tcMar>
          </w:tcPr>
          <w:p w14:paraId="50B324EF" w14:textId="77777777" w:rsidR="005C4BF0" w:rsidRPr="00994704" w:rsidRDefault="00000000" w:rsidP="00CF51FB">
            <w:pPr>
              <w:spacing w:line="360" w:lineRule="auto"/>
              <w:jc w:val="both"/>
              <w:rPr>
                <w:sz w:val="20"/>
                <w:szCs w:val="20"/>
              </w:rPr>
            </w:pPr>
            <w:r w:rsidRPr="00994704">
              <w:rPr>
                <w:sz w:val="20"/>
                <w:szCs w:val="20"/>
              </w:rPr>
              <w:t>1,000–20,000</w:t>
            </w:r>
          </w:p>
        </w:tc>
        <w:tc>
          <w:tcPr>
            <w:tcW w:w="898" w:type="dxa"/>
            <w:tcMar>
              <w:top w:w="60" w:type="dxa"/>
              <w:left w:w="90" w:type="dxa"/>
              <w:bottom w:w="60" w:type="dxa"/>
              <w:right w:w="90" w:type="dxa"/>
            </w:tcMar>
          </w:tcPr>
          <w:p w14:paraId="039CBAD9" w14:textId="77777777" w:rsidR="005C4BF0" w:rsidRPr="00994704" w:rsidRDefault="00000000" w:rsidP="00CF51FB">
            <w:pPr>
              <w:spacing w:line="360" w:lineRule="auto"/>
              <w:jc w:val="both"/>
              <w:rPr>
                <w:sz w:val="20"/>
                <w:szCs w:val="20"/>
              </w:rPr>
            </w:pPr>
            <w:r w:rsidRPr="00994704">
              <w:rPr>
                <w:sz w:val="20"/>
                <w:szCs w:val="20"/>
              </w:rPr>
              <w:t>4.0–5.5</w:t>
            </w:r>
          </w:p>
        </w:tc>
        <w:tc>
          <w:tcPr>
            <w:tcW w:w="3167" w:type="dxa"/>
            <w:tcMar>
              <w:top w:w="60" w:type="dxa"/>
              <w:left w:w="90" w:type="dxa"/>
              <w:bottom w:w="60" w:type="dxa"/>
              <w:right w:w="90" w:type="dxa"/>
            </w:tcMar>
          </w:tcPr>
          <w:p w14:paraId="2EB8B807" w14:textId="77777777" w:rsidR="005C4BF0" w:rsidRPr="00994704" w:rsidRDefault="00000000" w:rsidP="00CF51FB">
            <w:pPr>
              <w:spacing w:line="360" w:lineRule="auto"/>
              <w:jc w:val="both"/>
              <w:rPr>
                <w:sz w:val="20"/>
                <w:szCs w:val="20"/>
              </w:rPr>
            </w:pPr>
            <w:r w:rsidRPr="00994704">
              <w:rPr>
                <w:sz w:val="20"/>
                <w:szCs w:val="20"/>
              </w:rPr>
              <w:t>Polyphenol phytotoxicity, low biodegradability</w:t>
            </w:r>
          </w:p>
        </w:tc>
      </w:tr>
      <w:tr w:rsidR="005C4BF0" w:rsidRPr="00994704" w14:paraId="3146E458" w14:textId="77777777" w:rsidTr="009E5BBC">
        <w:trPr>
          <w:trHeight w:val="657"/>
          <w:jc w:val="center"/>
        </w:trPr>
        <w:tc>
          <w:tcPr>
            <w:tcW w:w="1728" w:type="dxa"/>
            <w:tcMar>
              <w:top w:w="60" w:type="dxa"/>
              <w:left w:w="90" w:type="dxa"/>
              <w:bottom w:w="60" w:type="dxa"/>
              <w:right w:w="90" w:type="dxa"/>
            </w:tcMar>
          </w:tcPr>
          <w:p w14:paraId="531BCA94" w14:textId="77777777" w:rsidR="005C4BF0" w:rsidRPr="00994704" w:rsidRDefault="00000000" w:rsidP="00CF51FB">
            <w:pPr>
              <w:spacing w:line="360" w:lineRule="auto"/>
              <w:jc w:val="both"/>
              <w:rPr>
                <w:sz w:val="20"/>
                <w:szCs w:val="20"/>
              </w:rPr>
            </w:pPr>
            <w:r w:rsidRPr="00994704">
              <w:rPr>
                <w:sz w:val="20"/>
                <w:szCs w:val="20"/>
              </w:rPr>
              <w:t>Dairy processing</w:t>
            </w:r>
          </w:p>
        </w:tc>
        <w:tc>
          <w:tcPr>
            <w:tcW w:w="1476" w:type="dxa"/>
            <w:tcMar>
              <w:top w:w="60" w:type="dxa"/>
              <w:left w:w="90" w:type="dxa"/>
              <w:bottom w:w="60" w:type="dxa"/>
              <w:right w:w="90" w:type="dxa"/>
            </w:tcMar>
          </w:tcPr>
          <w:p w14:paraId="6C3775BE" w14:textId="77777777" w:rsidR="005C4BF0" w:rsidRPr="00994704" w:rsidRDefault="00000000" w:rsidP="00CF51FB">
            <w:pPr>
              <w:spacing w:line="360" w:lineRule="auto"/>
              <w:jc w:val="both"/>
              <w:rPr>
                <w:sz w:val="20"/>
                <w:szCs w:val="20"/>
              </w:rPr>
            </w:pPr>
            <w:r w:rsidRPr="00994704">
              <w:rPr>
                <w:sz w:val="20"/>
                <w:szCs w:val="20"/>
              </w:rPr>
              <w:t>1,000–6,000</w:t>
            </w:r>
          </w:p>
        </w:tc>
        <w:tc>
          <w:tcPr>
            <w:tcW w:w="1478" w:type="dxa"/>
            <w:tcMar>
              <w:top w:w="60" w:type="dxa"/>
              <w:left w:w="90" w:type="dxa"/>
              <w:bottom w:w="60" w:type="dxa"/>
              <w:right w:w="90" w:type="dxa"/>
            </w:tcMar>
          </w:tcPr>
          <w:p w14:paraId="26ACDC08" w14:textId="77777777" w:rsidR="005C4BF0" w:rsidRPr="00994704" w:rsidRDefault="00000000" w:rsidP="00CF51FB">
            <w:pPr>
              <w:spacing w:line="360" w:lineRule="auto"/>
              <w:jc w:val="both"/>
              <w:rPr>
                <w:sz w:val="20"/>
                <w:szCs w:val="20"/>
              </w:rPr>
            </w:pPr>
            <w:r w:rsidRPr="00994704">
              <w:rPr>
                <w:sz w:val="20"/>
                <w:szCs w:val="20"/>
              </w:rPr>
              <w:t>0.55–0.70</w:t>
            </w:r>
          </w:p>
        </w:tc>
        <w:tc>
          <w:tcPr>
            <w:tcW w:w="1283" w:type="dxa"/>
            <w:tcMar>
              <w:top w:w="60" w:type="dxa"/>
              <w:left w:w="90" w:type="dxa"/>
              <w:bottom w:w="60" w:type="dxa"/>
              <w:right w:w="90" w:type="dxa"/>
            </w:tcMar>
          </w:tcPr>
          <w:p w14:paraId="5081E8DC" w14:textId="77777777" w:rsidR="005C4BF0" w:rsidRPr="00994704" w:rsidRDefault="00000000" w:rsidP="00CF51FB">
            <w:pPr>
              <w:spacing w:line="360" w:lineRule="auto"/>
              <w:jc w:val="both"/>
              <w:rPr>
                <w:sz w:val="20"/>
                <w:szCs w:val="20"/>
              </w:rPr>
            </w:pPr>
            <w:r w:rsidRPr="00994704">
              <w:rPr>
                <w:sz w:val="20"/>
                <w:szCs w:val="20"/>
              </w:rPr>
              <w:t>300–3,000</w:t>
            </w:r>
          </w:p>
        </w:tc>
        <w:tc>
          <w:tcPr>
            <w:tcW w:w="898" w:type="dxa"/>
            <w:tcMar>
              <w:top w:w="60" w:type="dxa"/>
              <w:left w:w="90" w:type="dxa"/>
              <w:bottom w:w="60" w:type="dxa"/>
              <w:right w:w="90" w:type="dxa"/>
            </w:tcMar>
          </w:tcPr>
          <w:p w14:paraId="22CF247A" w14:textId="77777777" w:rsidR="005C4BF0" w:rsidRPr="00994704" w:rsidRDefault="00000000" w:rsidP="00CF51FB">
            <w:pPr>
              <w:spacing w:line="360" w:lineRule="auto"/>
              <w:jc w:val="both"/>
              <w:rPr>
                <w:sz w:val="20"/>
                <w:szCs w:val="20"/>
              </w:rPr>
            </w:pPr>
            <w:r w:rsidRPr="00994704">
              <w:rPr>
                <w:sz w:val="20"/>
                <w:szCs w:val="20"/>
              </w:rPr>
              <w:t>4.5–11.0</w:t>
            </w:r>
          </w:p>
        </w:tc>
        <w:tc>
          <w:tcPr>
            <w:tcW w:w="3167" w:type="dxa"/>
            <w:tcMar>
              <w:top w:w="60" w:type="dxa"/>
              <w:left w:w="90" w:type="dxa"/>
              <w:bottom w:w="60" w:type="dxa"/>
              <w:right w:w="90" w:type="dxa"/>
            </w:tcMar>
          </w:tcPr>
          <w:p w14:paraId="7FB72D04" w14:textId="77777777" w:rsidR="005C4BF0" w:rsidRPr="00994704" w:rsidRDefault="00000000" w:rsidP="00CF51FB">
            <w:pPr>
              <w:spacing w:line="360" w:lineRule="auto"/>
              <w:jc w:val="both"/>
              <w:rPr>
                <w:sz w:val="20"/>
                <w:szCs w:val="20"/>
              </w:rPr>
            </w:pPr>
            <w:r w:rsidRPr="00994704">
              <w:rPr>
                <w:sz w:val="20"/>
                <w:szCs w:val="20"/>
              </w:rPr>
              <w:t>Fat, protein, pH swings from CIP chemicals</w:t>
            </w:r>
          </w:p>
        </w:tc>
      </w:tr>
      <w:tr w:rsidR="005C4BF0" w:rsidRPr="00994704" w14:paraId="083E3915" w14:textId="77777777" w:rsidTr="009E5BBC">
        <w:trPr>
          <w:trHeight w:val="650"/>
          <w:jc w:val="center"/>
        </w:trPr>
        <w:tc>
          <w:tcPr>
            <w:tcW w:w="1728" w:type="dxa"/>
            <w:tcMar>
              <w:top w:w="60" w:type="dxa"/>
              <w:left w:w="90" w:type="dxa"/>
              <w:bottom w:w="60" w:type="dxa"/>
              <w:right w:w="90" w:type="dxa"/>
            </w:tcMar>
          </w:tcPr>
          <w:p w14:paraId="07B2E168" w14:textId="77777777" w:rsidR="005C4BF0" w:rsidRPr="00994704" w:rsidRDefault="00000000" w:rsidP="00CF51FB">
            <w:pPr>
              <w:spacing w:line="360" w:lineRule="auto"/>
              <w:jc w:val="both"/>
              <w:rPr>
                <w:sz w:val="20"/>
                <w:szCs w:val="20"/>
              </w:rPr>
            </w:pPr>
            <w:r w:rsidRPr="00994704">
              <w:rPr>
                <w:sz w:val="20"/>
                <w:szCs w:val="20"/>
              </w:rPr>
              <w:t>Slaughterhouse / meat</w:t>
            </w:r>
          </w:p>
        </w:tc>
        <w:tc>
          <w:tcPr>
            <w:tcW w:w="1476" w:type="dxa"/>
            <w:tcMar>
              <w:top w:w="60" w:type="dxa"/>
              <w:left w:w="90" w:type="dxa"/>
              <w:bottom w:w="60" w:type="dxa"/>
              <w:right w:w="90" w:type="dxa"/>
            </w:tcMar>
          </w:tcPr>
          <w:p w14:paraId="747E19A9" w14:textId="77777777" w:rsidR="005C4BF0" w:rsidRPr="00994704" w:rsidRDefault="00000000" w:rsidP="00CF51FB">
            <w:pPr>
              <w:spacing w:line="360" w:lineRule="auto"/>
              <w:jc w:val="both"/>
              <w:rPr>
                <w:sz w:val="20"/>
                <w:szCs w:val="20"/>
              </w:rPr>
            </w:pPr>
            <w:r w:rsidRPr="00994704">
              <w:rPr>
                <w:sz w:val="20"/>
                <w:szCs w:val="20"/>
              </w:rPr>
              <w:t>2,000–8,000</w:t>
            </w:r>
          </w:p>
        </w:tc>
        <w:tc>
          <w:tcPr>
            <w:tcW w:w="1478" w:type="dxa"/>
            <w:tcMar>
              <w:top w:w="60" w:type="dxa"/>
              <w:left w:w="90" w:type="dxa"/>
              <w:bottom w:w="60" w:type="dxa"/>
              <w:right w:w="90" w:type="dxa"/>
            </w:tcMar>
          </w:tcPr>
          <w:p w14:paraId="24AB6228" w14:textId="77777777" w:rsidR="005C4BF0" w:rsidRPr="00994704" w:rsidRDefault="00000000" w:rsidP="00CF51FB">
            <w:pPr>
              <w:spacing w:line="360" w:lineRule="auto"/>
              <w:jc w:val="both"/>
              <w:rPr>
                <w:sz w:val="20"/>
                <w:szCs w:val="20"/>
              </w:rPr>
            </w:pPr>
            <w:r w:rsidRPr="00994704">
              <w:rPr>
                <w:sz w:val="20"/>
                <w:szCs w:val="20"/>
              </w:rPr>
              <w:t>0.50–0.65</w:t>
            </w:r>
          </w:p>
        </w:tc>
        <w:tc>
          <w:tcPr>
            <w:tcW w:w="1283" w:type="dxa"/>
            <w:tcMar>
              <w:top w:w="60" w:type="dxa"/>
              <w:left w:w="90" w:type="dxa"/>
              <w:bottom w:w="60" w:type="dxa"/>
              <w:right w:w="90" w:type="dxa"/>
            </w:tcMar>
          </w:tcPr>
          <w:p w14:paraId="5DE15273" w14:textId="77777777" w:rsidR="005C4BF0" w:rsidRPr="00994704" w:rsidRDefault="00000000" w:rsidP="00CF51FB">
            <w:pPr>
              <w:spacing w:line="360" w:lineRule="auto"/>
              <w:jc w:val="both"/>
              <w:rPr>
                <w:sz w:val="20"/>
                <w:szCs w:val="20"/>
              </w:rPr>
            </w:pPr>
            <w:r w:rsidRPr="00994704">
              <w:rPr>
                <w:sz w:val="20"/>
                <w:szCs w:val="20"/>
              </w:rPr>
              <w:t>500–4,000</w:t>
            </w:r>
          </w:p>
        </w:tc>
        <w:tc>
          <w:tcPr>
            <w:tcW w:w="898" w:type="dxa"/>
            <w:tcMar>
              <w:top w:w="60" w:type="dxa"/>
              <w:left w:w="90" w:type="dxa"/>
              <w:bottom w:w="60" w:type="dxa"/>
              <w:right w:w="90" w:type="dxa"/>
            </w:tcMar>
          </w:tcPr>
          <w:p w14:paraId="2824EF47" w14:textId="77777777" w:rsidR="005C4BF0" w:rsidRPr="00994704" w:rsidRDefault="00000000" w:rsidP="00CF51FB">
            <w:pPr>
              <w:spacing w:line="360" w:lineRule="auto"/>
              <w:jc w:val="both"/>
              <w:rPr>
                <w:sz w:val="20"/>
                <w:szCs w:val="20"/>
              </w:rPr>
            </w:pPr>
            <w:r w:rsidRPr="00994704">
              <w:rPr>
                <w:sz w:val="20"/>
                <w:szCs w:val="20"/>
              </w:rPr>
              <w:t>6.0–8.0</w:t>
            </w:r>
          </w:p>
        </w:tc>
        <w:tc>
          <w:tcPr>
            <w:tcW w:w="3167" w:type="dxa"/>
            <w:tcMar>
              <w:top w:w="60" w:type="dxa"/>
              <w:left w:w="90" w:type="dxa"/>
              <w:bottom w:w="60" w:type="dxa"/>
              <w:right w:w="90" w:type="dxa"/>
            </w:tcMar>
          </w:tcPr>
          <w:p w14:paraId="2BFC470B" w14:textId="77777777" w:rsidR="005C4BF0" w:rsidRPr="00994704" w:rsidRDefault="00000000" w:rsidP="00CF51FB">
            <w:pPr>
              <w:spacing w:line="360" w:lineRule="auto"/>
              <w:jc w:val="both"/>
              <w:rPr>
                <w:sz w:val="20"/>
                <w:szCs w:val="20"/>
              </w:rPr>
            </w:pPr>
            <w:r w:rsidRPr="00994704">
              <w:rPr>
                <w:sz w:val="20"/>
                <w:szCs w:val="20"/>
              </w:rPr>
              <w:t>Blood, fat, high TKN, pathogens</w:t>
            </w:r>
          </w:p>
        </w:tc>
      </w:tr>
      <w:tr w:rsidR="005C4BF0" w:rsidRPr="00994704" w14:paraId="73A1442F" w14:textId="77777777" w:rsidTr="009E5BBC">
        <w:trPr>
          <w:trHeight w:val="657"/>
          <w:jc w:val="center"/>
        </w:trPr>
        <w:tc>
          <w:tcPr>
            <w:tcW w:w="1728" w:type="dxa"/>
            <w:tcMar>
              <w:top w:w="60" w:type="dxa"/>
              <w:left w:w="90" w:type="dxa"/>
              <w:bottom w:w="60" w:type="dxa"/>
              <w:right w:w="90" w:type="dxa"/>
            </w:tcMar>
          </w:tcPr>
          <w:p w14:paraId="56208410" w14:textId="77777777" w:rsidR="005C4BF0" w:rsidRPr="00994704" w:rsidRDefault="00000000" w:rsidP="00CF51FB">
            <w:pPr>
              <w:spacing w:line="360" w:lineRule="auto"/>
              <w:jc w:val="both"/>
              <w:rPr>
                <w:sz w:val="20"/>
                <w:szCs w:val="20"/>
              </w:rPr>
            </w:pPr>
            <w:r w:rsidRPr="00994704">
              <w:rPr>
                <w:sz w:val="20"/>
                <w:szCs w:val="20"/>
              </w:rPr>
              <w:t>Poultry processing</w:t>
            </w:r>
          </w:p>
        </w:tc>
        <w:tc>
          <w:tcPr>
            <w:tcW w:w="1476" w:type="dxa"/>
            <w:tcMar>
              <w:top w:w="60" w:type="dxa"/>
              <w:left w:w="90" w:type="dxa"/>
              <w:bottom w:w="60" w:type="dxa"/>
              <w:right w:w="90" w:type="dxa"/>
            </w:tcMar>
          </w:tcPr>
          <w:p w14:paraId="387744D0" w14:textId="77777777" w:rsidR="005C4BF0" w:rsidRPr="00994704" w:rsidRDefault="00000000" w:rsidP="00CF51FB">
            <w:pPr>
              <w:spacing w:line="360" w:lineRule="auto"/>
              <w:jc w:val="both"/>
              <w:rPr>
                <w:sz w:val="20"/>
                <w:szCs w:val="20"/>
              </w:rPr>
            </w:pPr>
            <w:r w:rsidRPr="00994704">
              <w:rPr>
                <w:sz w:val="20"/>
                <w:szCs w:val="20"/>
              </w:rPr>
              <w:t>1,500–5,000</w:t>
            </w:r>
          </w:p>
        </w:tc>
        <w:tc>
          <w:tcPr>
            <w:tcW w:w="1478" w:type="dxa"/>
            <w:tcMar>
              <w:top w:w="60" w:type="dxa"/>
              <w:left w:w="90" w:type="dxa"/>
              <w:bottom w:w="60" w:type="dxa"/>
              <w:right w:w="90" w:type="dxa"/>
            </w:tcMar>
          </w:tcPr>
          <w:p w14:paraId="5297A1B9" w14:textId="77777777" w:rsidR="005C4BF0" w:rsidRPr="00994704" w:rsidRDefault="00000000" w:rsidP="00CF51FB">
            <w:pPr>
              <w:spacing w:line="360" w:lineRule="auto"/>
              <w:jc w:val="both"/>
              <w:rPr>
                <w:sz w:val="20"/>
                <w:szCs w:val="20"/>
              </w:rPr>
            </w:pPr>
            <w:r w:rsidRPr="00994704">
              <w:rPr>
                <w:sz w:val="20"/>
                <w:szCs w:val="20"/>
              </w:rPr>
              <w:t>0.50–0.70</w:t>
            </w:r>
          </w:p>
        </w:tc>
        <w:tc>
          <w:tcPr>
            <w:tcW w:w="1283" w:type="dxa"/>
            <w:tcMar>
              <w:top w:w="60" w:type="dxa"/>
              <w:left w:w="90" w:type="dxa"/>
              <w:bottom w:w="60" w:type="dxa"/>
              <w:right w:w="90" w:type="dxa"/>
            </w:tcMar>
          </w:tcPr>
          <w:p w14:paraId="1E241EF6" w14:textId="77777777" w:rsidR="005C4BF0" w:rsidRPr="00994704" w:rsidRDefault="00000000" w:rsidP="00CF51FB">
            <w:pPr>
              <w:spacing w:line="360" w:lineRule="auto"/>
              <w:jc w:val="both"/>
              <w:rPr>
                <w:sz w:val="20"/>
                <w:szCs w:val="20"/>
              </w:rPr>
            </w:pPr>
            <w:r w:rsidRPr="00994704">
              <w:rPr>
                <w:sz w:val="20"/>
                <w:szCs w:val="20"/>
              </w:rPr>
              <w:t>500–2,500</w:t>
            </w:r>
          </w:p>
        </w:tc>
        <w:tc>
          <w:tcPr>
            <w:tcW w:w="898" w:type="dxa"/>
            <w:tcMar>
              <w:top w:w="60" w:type="dxa"/>
              <w:left w:w="90" w:type="dxa"/>
              <w:bottom w:w="60" w:type="dxa"/>
              <w:right w:w="90" w:type="dxa"/>
            </w:tcMar>
          </w:tcPr>
          <w:p w14:paraId="6AC4744B" w14:textId="77777777" w:rsidR="005C4BF0" w:rsidRPr="00994704" w:rsidRDefault="00000000" w:rsidP="00CF51FB">
            <w:pPr>
              <w:spacing w:line="360" w:lineRule="auto"/>
              <w:jc w:val="both"/>
              <w:rPr>
                <w:sz w:val="20"/>
                <w:szCs w:val="20"/>
              </w:rPr>
            </w:pPr>
            <w:r w:rsidRPr="00994704">
              <w:rPr>
                <w:sz w:val="20"/>
                <w:szCs w:val="20"/>
              </w:rPr>
              <w:t>6.5–8.0</w:t>
            </w:r>
          </w:p>
        </w:tc>
        <w:tc>
          <w:tcPr>
            <w:tcW w:w="3167" w:type="dxa"/>
            <w:tcMar>
              <w:top w:w="60" w:type="dxa"/>
              <w:left w:w="90" w:type="dxa"/>
              <w:bottom w:w="60" w:type="dxa"/>
              <w:right w:w="90" w:type="dxa"/>
            </w:tcMar>
          </w:tcPr>
          <w:p w14:paraId="0DAE528B" w14:textId="77777777" w:rsidR="005C4BF0" w:rsidRPr="00994704" w:rsidRDefault="00000000" w:rsidP="00CF51FB">
            <w:pPr>
              <w:spacing w:line="360" w:lineRule="auto"/>
              <w:jc w:val="both"/>
              <w:rPr>
                <w:sz w:val="20"/>
                <w:szCs w:val="20"/>
              </w:rPr>
            </w:pPr>
            <w:r w:rsidRPr="00994704">
              <w:rPr>
                <w:sz w:val="20"/>
                <w:szCs w:val="20"/>
              </w:rPr>
              <w:t>Nitrogen load, feathers, grease</w:t>
            </w:r>
          </w:p>
        </w:tc>
      </w:tr>
      <w:tr w:rsidR="005C4BF0" w:rsidRPr="00994704" w14:paraId="0E5F0418" w14:textId="77777777" w:rsidTr="009E5BBC">
        <w:trPr>
          <w:trHeight w:val="657"/>
          <w:jc w:val="center"/>
        </w:trPr>
        <w:tc>
          <w:tcPr>
            <w:tcW w:w="1728" w:type="dxa"/>
            <w:tcMar>
              <w:top w:w="60" w:type="dxa"/>
              <w:left w:w="90" w:type="dxa"/>
              <w:bottom w:w="60" w:type="dxa"/>
              <w:right w:w="90" w:type="dxa"/>
            </w:tcMar>
          </w:tcPr>
          <w:p w14:paraId="0CC1A6EE" w14:textId="77777777" w:rsidR="005C4BF0" w:rsidRPr="00994704" w:rsidRDefault="00000000" w:rsidP="00CF51FB">
            <w:pPr>
              <w:spacing w:line="360" w:lineRule="auto"/>
              <w:jc w:val="both"/>
              <w:rPr>
                <w:sz w:val="20"/>
                <w:szCs w:val="20"/>
              </w:rPr>
            </w:pPr>
            <w:r w:rsidRPr="00994704">
              <w:rPr>
                <w:sz w:val="20"/>
                <w:szCs w:val="20"/>
              </w:rPr>
              <w:t>Cassava / tapioca starch</w:t>
            </w:r>
          </w:p>
        </w:tc>
        <w:tc>
          <w:tcPr>
            <w:tcW w:w="1476" w:type="dxa"/>
            <w:tcMar>
              <w:top w:w="60" w:type="dxa"/>
              <w:left w:w="90" w:type="dxa"/>
              <w:bottom w:w="60" w:type="dxa"/>
              <w:right w:w="90" w:type="dxa"/>
            </w:tcMar>
          </w:tcPr>
          <w:p w14:paraId="7C2DA2A4" w14:textId="77777777" w:rsidR="005C4BF0" w:rsidRPr="00994704" w:rsidRDefault="00000000" w:rsidP="00CF51FB">
            <w:pPr>
              <w:spacing w:line="360" w:lineRule="auto"/>
              <w:jc w:val="both"/>
              <w:rPr>
                <w:sz w:val="20"/>
                <w:szCs w:val="20"/>
              </w:rPr>
            </w:pPr>
            <w:r w:rsidRPr="00994704">
              <w:rPr>
                <w:sz w:val="20"/>
                <w:szCs w:val="20"/>
              </w:rPr>
              <w:t>10,000–30,000</w:t>
            </w:r>
          </w:p>
        </w:tc>
        <w:tc>
          <w:tcPr>
            <w:tcW w:w="1478" w:type="dxa"/>
            <w:tcMar>
              <w:top w:w="60" w:type="dxa"/>
              <w:left w:w="90" w:type="dxa"/>
              <w:bottom w:w="60" w:type="dxa"/>
              <w:right w:w="90" w:type="dxa"/>
            </w:tcMar>
          </w:tcPr>
          <w:p w14:paraId="7DC577E4" w14:textId="77777777" w:rsidR="005C4BF0" w:rsidRPr="00994704" w:rsidRDefault="00000000" w:rsidP="00CF51FB">
            <w:pPr>
              <w:spacing w:line="360" w:lineRule="auto"/>
              <w:jc w:val="both"/>
              <w:rPr>
                <w:sz w:val="20"/>
                <w:szCs w:val="20"/>
              </w:rPr>
            </w:pPr>
            <w:r w:rsidRPr="00994704">
              <w:rPr>
                <w:sz w:val="20"/>
                <w:szCs w:val="20"/>
              </w:rPr>
              <w:t>0.55–0.70</w:t>
            </w:r>
          </w:p>
        </w:tc>
        <w:tc>
          <w:tcPr>
            <w:tcW w:w="1283" w:type="dxa"/>
            <w:tcMar>
              <w:top w:w="60" w:type="dxa"/>
              <w:left w:w="90" w:type="dxa"/>
              <w:bottom w:w="60" w:type="dxa"/>
              <w:right w:w="90" w:type="dxa"/>
            </w:tcMar>
          </w:tcPr>
          <w:p w14:paraId="1B957206" w14:textId="77777777" w:rsidR="005C4BF0" w:rsidRPr="00994704" w:rsidRDefault="00000000" w:rsidP="00CF51FB">
            <w:pPr>
              <w:spacing w:line="360" w:lineRule="auto"/>
              <w:jc w:val="both"/>
              <w:rPr>
                <w:sz w:val="20"/>
                <w:szCs w:val="20"/>
              </w:rPr>
            </w:pPr>
            <w:r w:rsidRPr="00994704">
              <w:rPr>
                <w:sz w:val="20"/>
                <w:szCs w:val="20"/>
              </w:rPr>
              <w:t>2,000–10,000</w:t>
            </w:r>
          </w:p>
        </w:tc>
        <w:tc>
          <w:tcPr>
            <w:tcW w:w="898" w:type="dxa"/>
            <w:tcMar>
              <w:top w:w="60" w:type="dxa"/>
              <w:left w:w="90" w:type="dxa"/>
              <w:bottom w:w="60" w:type="dxa"/>
              <w:right w:w="90" w:type="dxa"/>
            </w:tcMar>
          </w:tcPr>
          <w:p w14:paraId="4F43FDF6" w14:textId="77777777" w:rsidR="005C4BF0" w:rsidRPr="00994704" w:rsidRDefault="00000000" w:rsidP="00CF51FB">
            <w:pPr>
              <w:spacing w:line="360" w:lineRule="auto"/>
              <w:jc w:val="both"/>
              <w:rPr>
                <w:sz w:val="20"/>
                <w:szCs w:val="20"/>
              </w:rPr>
            </w:pPr>
            <w:r w:rsidRPr="00994704">
              <w:rPr>
                <w:sz w:val="20"/>
                <w:szCs w:val="20"/>
              </w:rPr>
              <w:t>3.8–5.5</w:t>
            </w:r>
          </w:p>
        </w:tc>
        <w:tc>
          <w:tcPr>
            <w:tcW w:w="3167" w:type="dxa"/>
            <w:tcMar>
              <w:top w:w="60" w:type="dxa"/>
              <w:left w:w="90" w:type="dxa"/>
              <w:bottom w:w="60" w:type="dxa"/>
              <w:right w:w="90" w:type="dxa"/>
            </w:tcMar>
          </w:tcPr>
          <w:p w14:paraId="7E729F87" w14:textId="77777777" w:rsidR="005C4BF0" w:rsidRPr="00994704" w:rsidRDefault="00000000" w:rsidP="00CF51FB">
            <w:pPr>
              <w:spacing w:line="360" w:lineRule="auto"/>
              <w:jc w:val="both"/>
              <w:rPr>
                <w:sz w:val="20"/>
                <w:szCs w:val="20"/>
              </w:rPr>
            </w:pPr>
            <w:r w:rsidRPr="00994704">
              <w:rPr>
                <w:sz w:val="20"/>
                <w:szCs w:val="20"/>
              </w:rPr>
              <w:t>Cyanogenic compounds, starch solids, acidity</w:t>
            </w:r>
          </w:p>
        </w:tc>
      </w:tr>
      <w:tr w:rsidR="005C4BF0" w:rsidRPr="00994704" w14:paraId="688EC999" w14:textId="77777777" w:rsidTr="009E5BBC">
        <w:trPr>
          <w:trHeight w:val="657"/>
          <w:jc w:val="center"/>
        </w:trPr>
        <w:tc>
          <w:tcPr>
            <w:tcW w:w="1728" w:type="dxa"/>
            <w:tcMar>
              <w:top w:w="60" w:type="dxa"/>
              <w:left w:w="90" w:type="dxa"/>
              <w:bottom w:w="60" w:type="dxa"/>
              <w:right w:w="90" w:type="dxa"/>
            </w:tcMar>
          </w:tcPr>
          <w:p w14:paraId="6E2CBE8B" w14:textId="77777777" w:rsidR="005C4BF0" w:rsidRPr="00994704" w:rsidRDefault="00000000" w:rsidP="00CF51FB">
            <w:pPr>
              <w:spacing w:line="360" w:lineRule="auto"/>
              <w:jc w:val="both"/>
              <w:rPr>
                <w:sz w:val="20"/>
                <w:szCs w:val="20"/>
              </w:rPr>
            </w:pPr>
            <w:r w:rsidRPr="00994704">
              <w:rPr>
                <w:sz w:val="20"/>
                <w:szCs w:val="20"/>
              </w:rPr>
              <w:t>Brewery</w:t>
            </w:r>
          </w:p>
        </w:tc>
        <w:tc>
          <w:tcPr>
            <w:tcW w:w="1476" w:type="dxa"/>
            <w:tcMar>
              <w:top w:w="60" w:type="dxa"/>
              <w:left w:w="90" w:type="dxa"/>
              <w:bottom w:w="60" w:type="dxa"/>
              <w:right w:w="90" w:type="dxa"/>
            </w:tcMar>
          </w:tcPr>
          <w:p w14:paraId="4596D2AE" w14:textId="77777777" w:rsidR="005C4BF0" w:rsidRPr="00994704" w:rsidRDefault="00000000" w:rsidP="00CF51FB">
            <w:pPr>
              <w:spacing w:line="360" w:lineRule="auto"/>
              <w:jc w:val="both"/>
              <w:rPr>
                <w:sz w:val="20"/>
                <w:szCs w:val="20"/>
              </w:rPr>
            </w:pPr>
            <w:r w:rsidRPr="00994704">
              <w:rPr>
                <w:sz w:val="20"/>
                <w:szCs w:val="20"/>
              </w:rPr>
              <w:t>2,000–6,000</w:t>
            </w:r>
          </w:p>
        </w:tc>
        <w:tc>
          <w:tcPr>
            <w:tcW w:w="1478" w:type="dxa"/>
            <w:tcMar>
              <w:top w:w="60" w:type="dxa"/>
              <w:left w:w="90" w:type="dxa"/>
              <w:bottom w:w="60" w:type="dxa"/>
              <w:right w:w="90" w:type="dxa"/>
            </w:tcMar>
          </w:tcPr>
          <w:p w14:paraId="461D4489" w14:textId="77777777" w:rsidR="005C4BF0" w:rsidRPr="00994704" w:rsidRDefault="00000000" w:rsidP="00CF51FB">
            <w:pPr>
              <w:spacing w:line="360" w:lineRule="auto"/>
              <w:jc w:val="both"/>
              <w:rPr>
                <w:sz w:val="20"/>
                <w:szCs w:val="20"/>
              </w:rPr>
            </w:pPr>
            <w:r w:rsidRPr="00994704">
              <w:rPr>
                <w:sz w:val="20"/>
                <w:szCs w:val="20"/>
              </w:rPr>
              <w:t>0.55–0.70</w:t>
            </w:r>
          </w:p>
        </w:tc>
        <w:tc>
          <w:tcPr>
            <w:tcW w:w="1283" w:type="dxa"/>
            <w:tcMar>
              <w:top w:w="60" w:type="dxa"/>
              <w:left w:w="90" w:type="dxa"/>
              <w:bottom w:w="60" w:type="dxa"/>
              <w:right w:w="90" w:type="dxa"/>
            </w:tcMar>
          </w:tcPr>
          <w:p w14:paraId="6BDB281D" w14:textId="77777777" w:rsidR="005C4BF0" w:rsidRPr="00994704" w:rsidRDefault="00000000" w:rsidP="00CF51FB">
            <w:pPr>
              <w:spacing w:line="360" w:lineRule="auto"/>
              <w:jc w:val="both"/>
              <w:rPr>
                <w:sz w:val="20"/>
                <w:szCs w:val="20"/>
              </w:rPr>
            </w:pPr>
            <w:r w:rsidRPr="00994704">
              <w:rPr>
                <w:sz w:val="20"/>
                <w:szCs w:val="20"/>
              </w:rPr>
              <w:t>200–1,500</w:t>
            </w:r>
          </w:p>
        </w:tc>
        <w:tc>
          <w:tcPr>
            <w:tcW w:w="898" w:type="dxa"/>
            <w:tcMar>
              <w:top w:w="60" w:type="dxa"/>
              <w:left w:w="90" w:type="dxa"/>
              <w:bottom w:w="60" w:type="dxa"/>
              <w:right w:w="90" w:type="dxa"/>
            </w:tcMar>
          </w:tcPr>
          <w:p w14:paraId="519ED366" w14:textId="77777777" w:rsidR="005C4BF0" w:rsidRPr="00994704" w:rsidRDefault="00000000" w:rsidP="00CF51FB">
            <w:pPr>
              <w:spacing w:line="360" w:lineRule="auto"/>
              <w:jc w:val="both"/>
              <w:rPr>
                <w:sz w:val="20"/>
                <w:szCs w:val="20"/>
              </w:rPr>
            </w:pPr>
            <w:r w:rsidRPr="00994704">
              <w:rPr>
                <w:sz w:val="20"/>
                <w:szCs w:val="20"/>
              </w:rPr>
              <w:t>3.0–12.0</w:t>
            </w:r>
          </w:p>
        </w:tc>
        <w:tc>
          <w:tcPr>
            <w:tcW w:w="3167" w:type="dxa"/>
            <w:tcMar>
              <w:top w:w="60" w:type="dxa"/>
              <w:left w:w="90" w:type="dxa"/>
              <w:bottom w:w="60" w:type="dxa"/>
              <w:right w:w="90" w:type="dxa"/>
            </w:tcMar>
          </w:tcPr>
          <w:p w14:paraId="5520DB6D" w14:textId="77777777" w:rsidR="005C4BF0" w:rsidRPr="00994704" w:rsidRDefault="00000000" w:rsidP="00CF51FB">
            <w:pPr>
              <w:spacing w:line="360" w:lineRule="auto"/>
              <w:jc w:val="both"/>
              <w:rPr>
                <w:sz w:val="20"/>
                <w:szCs w:val="20"/>
              </w:rPr>
            </w:pPr>
            <w:r w:rsidRPr="00994704">
              <w:rPr>
                <w:sz w:val="20"/>
                <w:szCs w:val="20"/>
              </w:rPr>
              <w:t>Shock loads, alkaline/acidic CIP pulses</w:t>
            </w:r>
          </w:p>
        </w:tc>
      </w:tr>
      <w:tr w:rsidR="005C4BF0" w:rsidRPr="00994704" w14:paraId="528A0223" w14:textId="77777777" w:rsidTr="009E5BBC">
        <w:trPr>
          <w:trHeight w:val="650"/>
          <w:jc w:val="center"/>
        </w:trPr>
        <w:tc>
          <w:tcPr>
            <w:tcW w:w="1728" w:type="dxa"/>
            <w:tcMar>
              <w:top w:w="60" w:type="dxa"/>
              <w:left w:w="90" w:type="dxa"/>
              <w:bottom w:w="60" w:type="dxa"/>
              <w:right w:w="90" w:type="dxa"/>
            </w:tcMar>
          </w:tcPr>
          <w:p w14:paraId="48D8ED17" w14:textId="77777777" w:rsidR="005C4BF0" w:rsidRPr="00994704" w:rsidRDefault="00000000" w:rsidP="00CF51FB">
            <w:pPr>
              <w:spacing w:line="360" w:lineRule="auto"/>
              <w:jc w:val="both"/>
              <w:rPr>
                <w:sz w:val="20"/>
                <w:szCs w:val="20"/>
              </w:rPr>
            </w:pPr>
            <w:r w:rsidRPr="00994704">
              <w:rPr>
                <w:sz w:val="20"/>
                <w:szCs w:val="20"/>
              </w:rPr>
              <w:t>Coffee wet processing</w:t>
            </w:r>
          </w:p>
        </w:tc>
        <w:tc>
          <w:tcPr>
            <w:tcW w:w="1476" w:type="dxa"/>
            <w:tcMar>
              <w:top w:w="60" w:type="dxa"/>
              <w:left w:w="90" w:type="dxa"/>
              <w:bottom w:w="60" w:type="dxa"/>
              <w:right w:w="90" w:type="dxa"/>
            </w:tcMar>
          </w:tcPr>
          <w:p w14:paraId="450C6485" w14:textId="77777777" w:rsidR="005C4BF0" w:rsidRPr="00994704" w:rsidRDefault="00000000" w:rsidP="00CF51FB">
            <w:pPr>
              <w:spacing w:line="360" w:lineRule="auto"/>
              <w:jc w:val="both"/>
              <w:rPr>
                <w:sz w:val="20"/>
                <w:szCs w:val="20"/>
              </w:rPr>
            </w:pPr>
            <w:r w:rsidRPr="00994704">
              <w:rPr>
                <w:sz w:val="20"/>
                <w:szCs w:val="20"/>
              </w:rPr>
              <w:t>3,000–20,000</w:t>
            </w:r>
          </w:p>
        </w:tc>
        <w:tc>
          <w:tcPr>
            <w:tcW w:w="1478" w:type="dxa"/>
            <w:tcMar>
              <w:top w:w="60" w:type="dxa"/>
              <w:left w:w="90" w:type="dxa"/>
              <w:bottom w:w="60" w:type="dxa"/>
              <w:right w:w="90" w:type="dxa"/>
            </w:tcMar>
          </w:tcPr>
          <w:p w14:paraId="07792201" w14:textId="77777777" w:rsidR="005C4BF0" w:rsidRPr="00994704" w:rsidRDefault="00000000" w:rsidP="00CF51FB">
            <w:pPr>
              <w:spacing w:line="360" w:lineRule="auto"/>
              <w:jc w:val="both"/>
              <w:rPr>
                <w:sz w:val="20"/>
                <w:szCs w:val="20"/>
              </w:rPr>
            </w:pPr>
            <w:r w:rsidRPr="00994704">
              <w:rPr>
                <w:sz w:val="20"/>
                <w:szCs w:val="20"/>
              </w:rPr>
              <w:t>0.45–0.60</w:t>
            </w:r>
          </w:p>
        </w:tc>
        <w:tc>
          <w:tcPr>
            <w:tcW w:w="1283" w:type="dxa"/>
            <w:tcMar>
              <w:top w:w="60" w:type="dxa"/>
              <w:left w:w="90" w:type="dxa"/>
              <w:bottom w:w="60" w:type="dxa"/>
              <w:right w:w="90" w:type="dxa"/>
            </w:tcMar>
          </w:tcPr>
          <w:p w14:paraId="4D1A321D" w14:textId="77777777" w:rsidR="005C4BF0" w:rsidRPr="00994704" w:rsidRDefault="00000000" w:rsidP="00CF51FB">
            <w:pPr>
              <w:spacing w:line="360" w:lineRule="auto"/>
              <w:jc w:val="both"/>
              <w:rPr>
                <w:sz w:val="20"/>
                <w:szCs w:val="20"/>
              </w:rPr>
            </w:pPr>
            <w:r w:rsidRPr="00994704">
              <w:rPr>
                <w:sz w:val="20"/>
                <w:szCs w:val="20"/>
              </w:rPr>
              <w:t>500–5,000</w:t>
            </w:r>
          </w:p>
        </w:tc>
        <w:tc>
          <w:tcPr>
            <w:tcW w:w="898" w:type="dxa"/>
            <w:tcMar>
              <w:top w:w="60" w:type="dxa"/>
              <w:left w:w="90" w:type="dxa"/>
              <w:bottom w:w="60" w:type="dxa"/>
              <w:right w:w="90" w:type="dxa"/>
            </w:tcMar>
          </w:tcPr>
          <w:p w14:paraId="010173C2" w14:textId="77777777" w:rsidR="005C4BF0" w:rsidRPr="00994704" w:rsidRDefault="00000000" w:rsidP="00CF51FB">
            <w:pPr>
              <w:spacing w:line="360" w:lineRule="auto"/>
              <w:jc w:val="both"/>
              <w:rPr>
                <w:sz w:val="20"/>
                <w:szCs w:val="20"/>
              </w:rPr>
            </w:pPr>
            <w:r w:rsidRPr="00994704">
              <w:rPr>
                <w:sz w:val="20"/>
                <w:szCs w:val="20"/>
              </w:rPr>
              <w:t>3.5–5.0</w:t>
            </w:r>
          </w:p>
        </w:tc>
        <w:tc>
          <w:tcPr>
            <w:tcW w:w="3167" w:type="dxa"/>
            <w:tcMar>
              <w:top w:w="60" w:type="dxa"/>
              <w:left w:w="90" w:type="dxa"/>
              <w:bottom w:w="60" w:type="dxa"/>
              <w:right w:w="90" w:type="dxa"/>
            </w:tcMar>
          </w:tcPr>
          <w:p w14:paraId="2FC27833" w14:textId="77777777" w:rsidR="005C4BF0" w:rsidRPr="00994704" w:rsidRDefault="00000000" w:rsidP="00CF51FB">
            <w:pPr>
              <w:spacing w:line="360" w:lineRule="auto"/>
              <w:jc w:val="both"/>
              <w:rPr>
                <w:sz w:val="20"/>
                <w:szCs w:val="20"/>
              </w:rPr>
            </w:pPr>
            <w:r w:rsidRPr="00994704">
              <w:rPr>
                <w:sz w:val="20"/>
                <w:szCs w:val="20"/>
              </w:rPr>
              <w:t>Caffeine, tannins, pulp solids, acidity</w:t>
            </w:r>
          </w:p>
        </w:tc>
      </w:tr>
      <w:tr w:rsidR="005C4BF0" w:rsidRPr="00994704" w14:paraId="7760BA22" w14:textId="77777777" w:rsidTr="009E5BBC">
        <w:trPr>
          <w:trHeight w:val="657"/>
          <w:jc w:val="center"/>
        </w:trPr>
        <w:tc>
          <w:tcPr>
            <w:tcW w:w="1728" w:type="dxa"/>
            <w:tcMar>
              <w:top w:w="60" w:type="dxa"/>
              <w:left w:w="90" w:type="dxa"/>
              <w:bottom w:w="60" w:type="dxa"/>
              <w:right w:w="90" w:type="dxa"/>
            </w:tcMar>
          </w:tcPr>
          <w:p w14:paraId="1380D43E" w14:textId="77777777" w:rsidR="005C4BF0" w:rsidRPr="00994704" w:rsidRDefault="00000000" w:rsidP="00CF51FB">
            <w:pPr>
              <w:spacing w:line="360" w:lineRule="auto"/>
              <w:jc w:val="both"/>
              <w:rPr>
                <w:sz w:val="20"/>
                <w:szCs w:val="20"/>
              </w:rPr>
            </w:pPr>
            <w:r w:rsidRPr="00994704">
              <w:rPr>
                <w:sz w:val="20"/>
                <w:szCs w:val="20"/>
              </w:rPr>
              <w:t>Fruit &amp; vegetable canning</w:t>
            </w:r>
          </w:p>
        </w:tc>
        <w:tc>
          <w:tcPr>
            <w:tcW w:w="1476" w:type="dxa"/>
            <w:tcMar>
              <w:top w:w="60" w:type="dxa"/>
              <w:left w:w="90" w:type="dxa"/>
              <w:bottom w:w="60" w:type="dxa"/>
              <w:right w:w="90" w:type="dxa"/>
            </w:tcMar>
          </w:tcPr>
          <w:p w14:paraId="505B104F" w14:textId="77777777" w:rsidR="005C4BF0" w:rsidRPr="00994704" w:rsidRDefault="00000000" w:rsidP="00CF51FB">
            <w:pPr>
              <w:spacing w:line="360" w:lineRule="auto"/>
              <w:jc w:val="both"/>
              <w:rPr>
                <w:sz w:val="20"/>
                <w:szCs w:val="20"/>
              </w:rPr>
            </w:pPr>
            <w:r w:rsidRPr="00994704">
              <w:rPr>
                <w:sz w:val="20"/>
                <w:szCs w:val="20"/>
              </w:rPr>
              <w:t>1,000–8,000</w:t>
            </w:r>
          </w:p>
        </w:tc>
        <w:tc>
          <w:tcPr>
            <w:tcW w:w="1478" w:type="dxa"/>
            <w:tcMar>
              <w:top w:w="60" w:type="dxa"/>
              <w:left w:w="90" w:type="dxa"/>
              <w:bottom w:w="60" w:type="dxa"/>
              <w:right w:w="90" w:type="dxa"/>
            </w:tcMar>
          </w:tcPr>
          <w:p w14:paraId="508D92F8" w14:textId="77777777" w:rsidR="005C4BF0" w:rsidRPr="00994704" w:rsidRDefault="00000000" w:rsidP="00CF51FB">
            <w:pPr>
              <w:spacing w:line="360" w:lineRule="auto"/>
              <w:jc w:val="both"/>
              <w:rPr>
                <w:sz w:val="20"/>
                <w:szCs w:val="20"/>
              </w:rPr>
            </w:pPr>
            <w:r w:rsidRPr="00994704">
              <w:rPr>
                <w:sz w:val="20"/>
                <w:szCs w:val="20"/>
              </w:rPr>
              <w:t>0.50–0.70</w:t>
            </w:r>
          </w:p>
        </w:tc>
        <w:tc>
          <w:tcPr>
            <w:tcW w:w="1283" w:type="dxa"/>
            <w:tcMar>
              <w:top w:w="60" w:type="dxa"/>
              <w:left w:w="90" w:type="dxa"/>
              <w:bottom w:w="60" w:type="dxa"/>
              <w:right w:w="90" w:type="dxa"/>
            </w:tcMar>
          </w:tcPr>
          <w:p w14:paraId="624C1FFD" w14:textId="77777777" w:rsidR="005C4BF0" w:rsidRPr="00994704" w:rsidRDefault="00000000" w:rsidP="00CF51FB">
            <w:pPr>
              <w:spacing w:line="360" w:lineRule="auto"/>
              <w:jc w:val="both"/>
              <w:rPr>
                <w:sz w:val="20"/>
                <w:szCs w:val="20"/>
              </w:rPr>
            </w:pPr>
            <w:r w:rsidRPr="00994704">
              <w:rPr>
                <w:sz w:val="20"/>
                <w:szCs w:val="20"/>
              </w:rPr>
              <w:t>200–3,000</w:t>
            </w:r>
          </w:p>
        </w:tc>
        <w:tc>
          <w:tcPr>
            <w:tcW w:w="898" w:type="dxa"/>
            <w:tcMar>
              <w:top w:w="60" w:type="dxa"/>
              <w:left w:w="90" w:type="dxa"/>
              <w:bottom w:w="60" w:type="dxa"/>
              <w:right w:w="90" w:type="dxa"/>
            </w:tcMar>
          </w:tcPr>
          <w:p w14:paraId="1D741C55" w14:textId="77777777" w:rsidR="005C4BF0" w:rsidRPr="00994704" w:rsidRDefault="00000000" w:rsidP="00CF51FB">
            <w:pPr>
              <w:spacing w:line="360" w:lineRule="auto"/>
              <w:jc w:val="both"/>
              <w:rPr>
                <w:sz w:val="20"/>
                <w:szCs w:val="20"/>
              </w:rPr>
            </w:pPr>
            <w:r w:rsidRPr="00994704">
              <w:rPr>
                <w:sz w:val="20"/>
                <w:szCs w:val="20"/>
              </w:rPr>
              <w:t>4.5–8.0</w:t>
            </w:r>
          </w:p>
        </w:tc>
        <w:tc>
          <w:tcPr>
            <w:tcW w:w="3167" w:type="dxa"/>
            <w:tcMar>
              <w:top w:w="60" w:type="dxa"/>
              <w:left w:w="90" w:type="dxa"/>
              <w:bottom w:w="60" w:type="dxa"/>
              <w:right w:w="90" w:type="dxa"/>
            </w:tcMar>
          </w:tcPr>
          <w:p w14:paraId="0A6FA02E" w14:textId="77777777" w:rsidR="005C4BF0" w:rsidRPr="00994704" w:rsidRDefault="00000000" w:rsidP="00CF51FB">
            <w:pPr>
              <w:spacing w:line="360" w:lineRule="auto"/>
              <w:jc w:val="both"/>
              <w:rPr>
                <w:sz w:val="20"/>
                <w:szCs w:val="20"/>
              </w:rPr>
            </w:pPr>
            <w:r w:rsidRPr="00994704">
              <w:rPr>
                <w:sz w:val="20"/>
                <w:szCs w:val="20"/>
              </w:rPr>
              <w:t>Strong seasonality, pigments, caustic peeling</w:t>
            </w:r>
          </w:p>
        </w:tc>
      </w:tr>
    </w:tbl>
    <w:p w14:paraId="07B75BB9" w14:textId="77777777" w:rsidR="005C4BF0" w:rsidRPr="00137D90" w:rsidRDefault="00000000" w:rsidP="00CF51FB">
      <w:pPr>
        <w:pStyle w:val="Heading2"/>
        <w:spacing w:before="240" w:after="100" w:line="360" w:lineRule="auto"/>
        <w:jc w:val="both"/>
      </w:pPr>
      <w:r w:rsidRPr="00137D90">
        <w:t>2.2 Descriptors that govern process selection</w:t>
      </w:r>
    </w:p>
    <w:p w14:paraId="204679D0" w14:textId="6676E305" w:rsidR="005C4BF0" w:rsidRPr="00137D90" w:rsidRDefault="00000000" w:rsidP="00CF51FB">
      <w:pPr>
        <w:spacing w:after="160" w:line="360" w:lineRule="auto"/>
        <w:ind w:firstLine="720"/>
        <w:jc w:val="both"/>
      </w:pPr>
      <w:r w:rsidRPr="00137D90">
        <w:t xml:space="preserve">Biodegradability index (BOD5/COD). Values above about 0.4 indicate that biological treatment can carry the main organic load; values below roughly 0.3 as in olive mill wastewater and in biologically pretreated distillery effluent signal a recalcitrant residue that will pass through a bioreactor and require chemical oxidation, adsorption or membrane rejection. The index is </w:t>
      </w:r>
      <w:r w:rsidRPr="00137D90">
        <w:lastRenderedPageBreak/>
        <w:t xml:space="preserve">therefore the single most useful first screening parameter, and it should be re-measured after each treatment stage, because a process that removes readily degradable COD necessarily lowers the index of what remains (Chowdhary </w:t>
      </w:r>
      <w:r w:rsidR="00863831" w:rsidRPr="00137D90">
        <w:rPr>
          <w:i/>
          <w:iCs/>
        </w:rPr>
        <w:t>et al</w:t>
      </w:r>
      <w:r w:rsidRPr="00137D90">
        <w:t xml:space="preserve">., 2018; Oller </w:t>
      </w:r>
      <w:r w:rsidR="00863831" w:rsidRPr="00137D90">
        <w:rPr>
          <w:i/>
          <w:iCs/>
        </w:rPr>
        <w:t>et al</w:t>
      </w:r>
      <w:r w:rsidRPr="00137D90">
        <w:t>., 2011).</w:t>
      </w:r>
    </w:p>
    <w:p w14:paraId="4ABBDD7B" w14:textId="0A6B26D1" w:rsidR="005C4BF0" w:rsidRPr="00137D90" w:rsidRDefault="00000000" w:rsidP="00CF51FB">
      <w:pPr>
        <w:spacing w:after="160" w:line="360" w:lineRule="auto"/>
        <w:ind w:firstLine="720"/>
        <w:jc w:val="both"/>
      </w:pPr>
      <w:r w:rsidRPr="00137D90">
        <w:t>Nutrient stoichiometry. Anaerobic digestion operates well near a COD:N:P ratio of about 350:5:1 (equivalently a C:N ratio of roughly 20–30:1); aerobic systems require closer to 100:5:1 on a BOD basis. Carbohydrate-dominated streams (starch, sugar, brewery, fruit) are nitrogen-deficient and either need supplementation or, preferably, co</w:t>
      </w:r>
      <w:r w:rsidR="00B82815" w:rsidRPr="00137D90">
        <w:t xml:space="preserve"> </w:t>
      </w:r>
      <w:r w:rsidRPr="00137D90">
        <w:t>treatment with a nitrogen-rich stream such as slaughterhouse effluent or livestock slurry. Protein-rich streams (dairy, meat, poultry) carry excess nitrogen that appears as ammonia during digestion and can inhibit methanogens above roughly 1,500–3,000 mg L</w:t>
      </w:r>
      <w:r w:rsidRPr="00137D90">
        <w:rPr>
          <w:vertAlign w:val="superscript"/>
        </w:rPr>
        <w:t>-1</w:t>
      </w:r>
      <w:r w:rsidRPr="00137D90">
        <w:t xml:space="preserve"> free ammoniacal nitrogen, depending on acclimation, pH and temperature. Matching complementary streams is thus a stoichiometric design decision, not merely an operational convenience (Mata-Alvarez </w:t>
      </w:r>
      <w:r w:rsidR="00863831" w:rsidRPr="00137D90">
        <w:rPr>
          <w:i/>
          <w:iCs/>
        </w:rPr>
        <w:t>et al</w:t>
      </w:r>
      <w:r w:rsidRPr="00137D90">
        <w:t>., 2014; Yenigün &amp; Demirel, 2013).</w:t>
      </w:r>
    </w:p>
    <w:p w14:paraId="242C8503" w14:textId="5F783728" w:rsidR="005C4BF0" w:rsidRPr="00137D90" w:rsidRDefault="00000000" w:rsidP="00EA560B">
      <w:pPr>
        <w:spacing w:after="160" w:line="360" w:lineRule="auto"/>
        <w:ind w:firstLine="720"/>
        <w:jc w:val="both"/>
      </w:pPr>
      <w:r w:rsidRPr="00137D90">
        <w:rPr>
          <w:b/>
          <w:bCs/>
        </w:rPr>
        <w:t xml:space="preserve">Alkalinity and buffering. </w:t>
      </w:r>
      <w:r w:rsidRPr="00137D90">
        <w:t xml:space="preserve">Acidogenesis generates volatile fatty acids (VFAs) faster than methanogens consume them during load increases. Without sufficient bicarbonate alkalinity commonly expressed as an intermediate-to-partial alkalinity (IA/PA) ratio below about 0.3 for stable operation </w:t>
      </w:r>
      <w:r w:rsidR="00D35673" w:rsidRPr="00137D90">
        <w:t xml:space="preserve">- </w:t>
      </w:r>
      <w:r w:rsidRPr="00137D90">
        <w:t>pH falls, methanogenesis is inhibited and the reactor sours. Acidic agro-effluents (cassava, coffee, POME, spent wash) therefore need alkali dosing, effluent recirculation or co-digestion with an alkaline stream.</w:t>
      </w:r>
    </w:p>
    <w:p w14:paraId="5AF788F3" w14:textId="77777777" w:rsidR="005C4BF0" w:rsidRPr="00137D90" w:rsidRDefault="00000000" w:rsidP="00EA560B">
      <w:pPr>
        <w:spacing w:after="160" w:line="360" w:lineRule="auto"/>
        <w:ind w:firstLine="720"/>
        <w:jc w:val="both"/>
      </w:pPr>
      <w:r w:rsidRPr="00137D90">
        <w:rPr>
          <w:b/>
          <w:bCs/>
        </w:rPr>
        <w:t xml:space="preserve">Suspended, colloidal and dissolved fractions. </w:t>
      </w:r>
      <w:r w:rsidRPr="00137D90">
        <w:t>Particle size distribution determines whether gravity, flotation, coagulation or membrane rejection is appropriate. In POME and starch effluent much of the COD is particulate and can be removed physically at low cost; in spent wash and dairy permeate the COD is predominantly dissolved and cannot.</w:t>
      </w:r>
    </w:p>
    <w:p w14:paraId="654DA958" w14:textId="7A4DFF60" w:rsidR="005C4BF0" w:rsidRPr="00137D90" w:rsidRDefault="00000000" w:rsidP="00EA560B">
      <w:pPr>
        <w:spacing w:after="160" w:line="360" w:lineRule="auto"/>
        <w:ind w:firstLine="720"/>
        <w:jc w:val="both"/>
      </w:pPr>
      <w:r w:rsidRPr="00137D90">
        <w:rPr>
          <w:b/>
          <w:bCs/>
        </w:rPr>
        <w:t xml:space="preserve">Oil, grease and fat. </w:t>
      </w:r>
      <w:r w:rsidRPr="00137D90">
        <w:t>Lipids are energy</w:t>
      </w:r>
      <w:r w:rsidR="00E4778F" w:rsidRPr="00137D90">
        <w:t xml:space="preserve"> </w:t>
      </w:r>
      <w:r w:rsidRPr="00137D90">
        <w:t>dense substrates but form long-chain fatty acids that adsorb to biomass, cause sludge flotation and inhibit methanogenesis. Fat, oil and grease above roughly 100–150 mg L</w:t>
      </w:r>
      <w:r w:rsidRPr="00137D90">
        <w:rPr>
          <w:vertAlign w:val="superscript"/>
        </w:rPr>
        <w:t>-1</w:t>
      </w:r>
      <w:r w:rsidRPr="00137D90">
        <w:t xml:space="preserve"> entering a high-rate anaerobic reactor is a design fault; upstream DAF or a grease trap is mandatory.</w:t>
      </w:r>
    </w:p>
    <w:p w14:paraId="6F66715A" w14:textId="77777777" w:rsidR="005C4BF0" w:rsidRPr="00137D90" w:rsidRDefault="00000000" w:rsidP="00EA560B">
      <w:pPr>
        <w:spacing w:after="160" w:line="360" w:lineRule="auto"/>
        <w:ind w:firstLine="720"/>
        <w:jc w:val="both"/>
      </w:pPr>
      <w:r w:rsidRPr="00137D90">
        <w:rPr>
          <w:b/>
          <w:bCs/>
        </w:rPr>
        <w:t xml:space="preserve">Colour, phenolics and toxicity. </w:t>
      </w:r>
      <w:r w:rsidRPr="00137D90">
        <w:t xml:space="preserve">Melanoidins from Maillard reactions in distillery and molasses streams, tannins in coffee and cassava, and polyphenols in olive mill wastewater all exert antimicrobial activity, absorb strongly in the visible range and resist aerobic degradation. Their </w:t>
      </w:r>
      <w:r w:rsidRPr="00137D90">
        <w:lastRenderedPageBreak/>
        <w:t>presence dictates a polishing stage and, in some cases, argues for selective recovery rather than destruction.</w:t>
      </w:r>
    </w:p>
    <w:p w14:paraId="48178879" w14:textId="31BA7263" w:rsidR="005C4BF0" w:rsidRPr="00137D90" w:rsidRDefault="00000000" w:rsidP="00884416">
      <w:pPr>
        <w:spacing w:after="160" w:line="360" w:lineRule="auto"/>
        <w:ind w:firstLine="720"/>
        <w:jc w:val="both"/>
      </w:pPr>
      <w:r w:rsidRPr="00137D90">
        <w:rPr>
          <w:b/>
          <w:bCs/>
        </w:rPr>
        <w:t xml:space="preserve">Salinity and sodicity. </w:t>
      </w:r>
      <w:r w:rsidRPr="00137D90">
        <w:t>Electrical conductivity (EC), sodium, chloride and sulphate largely determine whether treated effluent can be reused for irrigation. Caustic</w:t>
      </w:r>
      <w:r w:rsidR="00884416" w:rsidRPr="00137D90">
        <w:t xml:space="preserve"> </w:t>
      </w:r>
      <w:r w:rsidRPr="00137D90">
        <w:t>based clean-in-place, brine curing and ion-exchange regeneration all raise sodium, and no conventional biological or oxidative process removes it. Salinity is consequently a constraint to be managed at source rather than a load to be treated downstream</w:t>
      </w:r>
      <w:r w:rsidR="00884416" w:rsidRPr="00137D90">
        <w:t xml:space="preserve">, </w:t>
      </w:r>
      <w:r w:rsidRPr="00137D90">
        <w:t>a point returned to in Section 10.</w:t>
      </w:r>
    </w:p>
    <w:p w14:paraId="49DB70AF" w14:textId="77777777" w:rsidR="005C4BF0" w:rsidRPr="00137D90" w:rsidRDefault="00000000" w:rsidP="00CF51FB">
      <w:pPr>
        <w:pStyle w:val="Heading1"/>
        <w:spacing w:before="320" w:after="140" w:line="360" w:lineRule="auto"/>
        <w:jc w:val="both"/>
        <w:rPr>
          <w:sz w:val="24"/>
          <w:szCs w:val="24"/>
        </w:rPr>
      </w:pPr>
      <w:r w:rsidRPr="00137D90">
        <w:rPr>
          <w:sz w:val="24"/>
          <w:szCs w:val="24"/>
        </w:rPr>
        <w:t>3. THE CHEMICAL ENGINEERING FRAMEWORK: FROM UNIT OPERATIONS TO TREATMENT TRAINS</w:t>
      </w:r>
    </w:p>
    <w:p w14:paraId="027EC48B" w14:textId="53BC7334" w:rsidR="005C4BF0" w:rsidRPr="00137D90" w:rsidRDefault="00000000" w:rsidP="00CF51FB">
      <w:pPr>
        <w:spacing w:after="160" w:line="360" w:lineRule="auto"/>
        <w:ind w:firstLine="720"/>
        <w:jc w:val="both"/>
      </w:pPr>
      <w:r w:rsidRPr="00137D90">
        <w:t xml:space="preserve">A treatment plant is a process flowsheet. Its design begins with a material balance over the whole works flow, COD, nitrogen, phosphorus, solids, salinity </w:t>
      </w:r>
      <w:r w:rsidR="00523262" w:rsidRPr="00137D90">
        <w:t>-</w:t>
      </w:r>
      <w:r w:rsidRPr="00137D90">
        <w:t xml:space="preserve"> and proceeds by allocating each load to the unit operation that removes it at the lowest combined capital, energy and residual cost. Three principles organise the exercise.</w:t>
      </w:r>
    </w:p>
    <w:p w14:paraId="5446A93D" w14:textId="288ACB1F" w:rsidR="005C4BF0" w:rsidRPr="00137D90" w:rsidRDefault="00000000" w:rsidP="00CF51FB">
      <w:pPr>
        <w:spacing w:after="160" w:line="360" w:lineRule="auto"/>
        <w:ind w:firstLine="720"/>
        <w:jc w:val="both"/>
      </w:pPr>
      <w:r w:rsidRPr="00137D90">
        <w:t xml:space="preserve">Load segregation at source. Mixing a concentrated stream with a dilute one destroys the value of both: it dilutes the concentrated stream below the threshold at which anaerobic energy recovery is attractive, and it contaminates the dilute stream that might have been reused directly after minimal treatment. Segregating cooling water, condensate, floor washings and process condensates from high-strength process liquor is almost always the highest-return intervention in an agro-industrial plant, and it costs pipework rather than process equipment (Wang </w:t>
      </w:r>
      <w:r w:rsidR="00863831" w:rsidRPr="00137D90">
        <w:rPr>
          <w:i/>
          <w:iCs/>
        </w:rPr>
        <w:t>et al</w:t>
      </w:r>
      <w:r w:rsidRPr="00137D90">
        <w:t>., 2006).</w:t>
      </w:r>
    </w:p>
    <w:p w14:paraId="35D77177" w14:textId="5822F187" w:rsidR="005C4BF0" w:rsidRPr="00137D90" w:rsidRDefault="00000000" w:rsidP="006C2EC3">
      <w:pPr>
        <w:spacing w:after="160" w:line="360" w:lineRule="auto"/>
        <w:ind w:firstLine="720"/>
        <w:jc w:val="both"/>
      </w:pPr>
      <w:r w:rsidRPr="00137D90">
        <w:rPr>
          <w:b/>
          <w:bCs/>
        </w:rPr>
        <w:t xml:space="preserve">Sequencing by removal mechanism. </w:t>
      </w:r>
      <w:r w:rsidRPr="00137D90">
        <w:t>Physical separation precedes chemical conditioning, which precedes biological conversion, which precedes advanced polishing. Each stage is sized to deliver an influent that lies inside the operating envelope of the next. An anaerobic reactor is not a solids separator; an advanced oxidation process is not a bulk COD destroyer. Placing an ozonation or Fenton unit ahead of a biological stage is justified only when the aim is to raise the biodegradability of a recalcitrant matrix partial oxidation as a conditioning step, at a deliberately sub-stoichiometric oxidant dose</w:t>
      </w:r>
      <w:r w:rsidR="00F76839" w:rsidRPr="00137D90">
        <w:t xml:space="preserve"> </w:t>
      </w:r>
      <w:r w:rsidRPr="00137D90">
        <w:t>and not to mineralise the load, which would be prohibitively expensive.</w:t>
      </w:r>
    </w:p>
    <w:p w14:paraId="2528A6B8" w14:textId="77777777" w:rsidR="005C4BF0" w:rsidRPr="00137D90" w:rsidRDefault="00000000" w:rsidP="006C2EC3">
      <w:pPr>
        <w:spacing w:after="160" w:line="360" w:lineRule="auto"/>
        <w:ind w:firstLine="720"/>
        <w:jc w:val="both"/>
      </w:pPr>
      <w:r w:rsidRPr="00137D90">
        <w:rPr>
          <w:b/>
          <w:bCs/>
        </w:rPr>
        <w:lastRenderedPageBreak/>
        <w:t xml:space="preserve">Design for the residual. </w:t>
      </w:r>
      <w:r w:rsidRPr="00137D90">
        <w:t>Every separation concentrates what it removes. Coagulation produces chemical sludge; membranes produce a retentate of one-fifth the volume and five times the concentration; evaporation produces a brine or a solid. A flowsheet that does not specify the fate of each residual is incomplete, and the cost of residual management frequently exceeds that of the primary treatment step.</w:t>
      </w:r>
    </w:p>
    <w:p w14:paraId="7C4102A1" w14:textId="2118475B" w:rsidR="00863A36" w:rsidRPr="00137D90" w:rsidRDefault="00863A36" w:rsidP="00CF51FB">
      <w:pPr>
        <w:spacing w:after="160" w:line="360" w:lineRule="auto"/>
        <w:jc w:val="both"/>
      </w:pPr>
      <w:r w:rsidRPr="00137D90">
        <w:rPr>
          <w:noProof/>
        </w:rPr>
        <w:drawing>
          <wp:inline distT="0" distB="0" distL="0" distR="0" wp14:anchorId="7902D20C" wp14:editId="688F3F6F">
            <wp:extent cx="6389370" cy="4259580"/>
            <wp:effectExtent l="0" t="0" r="0" b="7620"/>
            <wp:docPr id="85328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89370" cy="4259580"/>
                    </a:xfrm>
                    <a:prstGeom prst="rect">
                      <a:avLst/>
                    </a:prstGeom>
                    <a:noFill/>
                    <a:ln>
                      <a:noFill/>
                    </a:ln>
                  </pic:spPr>
                </pic:pic>
              </a:graphicData>
            </a:graphic>
          </wp:inline>
        </w:drawing>
      </w:r>
    </w:p>
    <w:p w14:paraId="3BBC19F6" w14:textId="4F989CF0" w:rsidR="00863A36" w:rsidRPr="00137D90" w:rsidRDefault="00863A36" w:rsidP="00CF51FB">
      <w:pPr>
        <w:spacing w:after="160" w:line="360" w:lineRule="auto"/>
        <w:jc w:val="center"/>
        <w:rPr>
          <w:b/>
          <w:bCs/>
        </w:rPr>
      </w:pPr>
      <w:r w:rsidRPr="00137D90">
        <w:rPr>
          <w:b/>
          <w:bCs/>
        </w:rPr>
        <w:t>Figure 1. Generic treatment-train architecture for high-strength agro-industrial effluent.</w:t>
      </w:r>
    </w:p>
    <w:p w14:paraId="11C7AE2B" w14:textId="17D6E282" w:rsidR="005C4BF0" w:rsidRPr="00137D90" w:rsidRDefault="00000000" w:rsidP="00CF51FB">
      <w:pPr>
        <w:spacing w:after="120" w:line="360" w:lineRule="auto"/>
        <w:ind w:firstLine="720"/>
        <w:jc w:val="both"/>
      </w:pPr>
      <w:r w:rsidRPr="00137D90">
        <w:t>Figure 1 shows the resulting generic architecture: screening and grease removal, equalisation and neutralisation, coagulation–flocculation with dissolved air flotation, a high-rate anaerobic reactor with biogas recovery, an aerobic polishing stage for residual BOD and nitrogen, a nutrient-recovery loop yielding struvite or ammonium sulphate, a polishing step (advanced oxidation, adsorption or nanofiltration/reverse osmosis) and finally disinfection and storage ahead of irrigation reuse or discharge. Each recovery outlet biogas, fertiliser, reclaimed water is what distinguishes a resource-oriented flowsheet from an end-of-pipe one.</w:t>
      </w:r>
    </w:p>
    <w:p w14:paraId="3471534E" w14:textId="77777777" w:rsidR="005C4BF0" w:rsidRPr="00137D90" w:rsidRDefault="00000000" w:rsidP="00CF51FB">
      <w:pPr>
        <w:pStyle w:val="Heading1"/>
        <w:spacing w:before="320" w:after="140" w:line="360" w:lineRule="auto"/>
        <w:jc w:val="both"/>
        <w:rPr>
          <w:sz w:val="24"/>
          <w:szCs w:val="24"/>
        </w:rPr>
      </w:pPr>
      <w:r w:rsidRPr="00137D90">
        <w:rPr>
          <w:sz w:val="24"/>
          <w:szCs w:val="24"/>
        </w:rPr>
        <w:lastRenderedPageBreak/>
        <w:t>4. PRELIMINARY AND PHYSICOCHEMICAL TREATMENT</w:t>
      </w:r>
    </w:p>
    <w:p w14:paraId="7A95AD33" w14:textId="77777777" w:rsidR="005C4BF0" w:rsidRPr="00137D90" w:rsidRDefault="00000000" w:rsidP="00CF51FB">
      <w:pPr>
        <w:pStyle w:val="Heading2"/>
        <w:spacing w:before="240" w:after="100" w:line="360" w:lineRule="auto"/>
        <w:jc w:val="both"/>
      </w:pPr>
      <w:r w:rsidRPr="00137D90">
        <w:t>4.1 Equalisation and neutralisation</w:t>
      </w:r>
    </w:p>
    <w:p w14:paraId="5B2283DF" w14:textId="50C7FC7C" w:rsidR="005C4BF0" w:rsidRPr="00137D90" w:rsidRDefault="00000000" w:rsidP="00CF51FB">
      <w:pPr>
        <w:spacing w:after="160" w:line="360" w:lineRule="auto"/>
        <w:ind w:firstLine="720"/>
        <w:jc w:val="both"/>
      </w:pPr>
      <w:r w:rsidRPr="00137D90">
        <w:t>Agro-processing is batch</w:t>
      </w:r>
      <w:r w:rsidR="00C25D9E" w:rsidRPr="00137D90">
        <w:t xml:space="preserve"> </w:t>
      </w:r>
      <w:r w:rsidRPr="00137D90">
        <w:t>driven: a clean-in-place cycle, a vessel drain or a shift changeover sends a concentrated slug into the drain in minutes. Downstream biological reactors respond to concentration and load, not to averages, so an equalisation basin sized for 8–24 hours of average flow with adequate mixing to prevent settling and, for warm effluents, provision for temperature moderation is the cheapest reliability measure available. Neutralisation to pH 6.5–7.5 follows, using lime, sodium hydroxide, sulphuric acid or, preferably, the plant's own acidic and alkaline streams blended against each other to reduce both chemical cost and the salinity penalty that neutralisation otherwise imposes.</w:t>
      </w:r>
    </w:p>
    <w:p w14:paraId="5629F613" w14:textId="77777777" w:rsidR="005C4BF0" w:rsidRPr="00137D90" w:rsidRDefault="00000000" w:rsidP="00CF51FB">
      <w:pPr>
        <w:pStyle w:val="Heading2"/>
        <w:spacing w:before="240" w:after="100" w:line="360" w:lineRule="auto"/>
        <w:jc w:val="both"/>
      </w:pPr>
      <w:r w:rsidRPr="00137D90">
        <w:t>4.2 Coagulation–flocculation</w:t>
      </w:r>
    </w:p>
    <w:p w14:paraId="22D21E9B" w14:textId="4AB10208" w:rsidR="005C4BF0" w:rsidRPr="00137D90" w:rsidRDefault="00000000" w:rsidP="00CF51FB">
      <w:pPr>
        <w:spacing w:after="160" w:line="360" w:lineRule="auto"/>
        <w:ind w:firstLine="720"/>
        <w:jc w:val="both"/>
      </w:pPr>
      <w:r w:rsidRPr="00137D90">
        <w:t>Colloidal organics in agro</w:t>
      </w:r>
      <w:r w:rsidR="007363EF" w:rsidRPr="00137D90">
        <w:t xml:space="preserve"> </w:t>
      </w:r>
      <w:r w:rsidRPr="00137D90">
        <w:t xml:space="preserve">effluent are stabilised by surface charge and hydration. Coagulation destabilises them through charge neutralisation and sweep flocculation. Aluminium sulphate, ferric chloride, ferrous sulphate and polyaluminium chloride are conventional; their performance depends sharply on pH, since the hydrolysis speciation that produces the active polynuclear species occurs over a narrow window (roughly pH 6–7 for alum, 5–6 and above 8 for ferric salts). Typical removals from agro-industrial matrices are 40–70 % COD, 70–95 % turbidity and, for melanoidin-bearing effluents, 50–90 % colour (Amuda &amp; Amoo, 2007; Prazeres </w:t>
      </w:r>
      <w:r w:rsidR="00863831" w:rsidRPr="00137D90">
        <w:rPr>
          <w:i/>
          <w:iCs/>
        </w:rPr>
        <w:t>et al</w:t>
      </w:r>
      <w:r w:rsidRPr="00137D90">
        <w:t>., 2012).</w:t>
      </w:r>
    </w:p>
    <w:p w14:paraId="058C78C8" w14:textId="4F4B082C" w:rsidR="00C73FC8" w:rsidRPr="00137D90" w:rsidRDefault="00000000" w:rsidP="00E127BE">
      <w:pPr>
        <w:spacing w:after="160" w:line="360" w:lineRule="auto"/>
        <w:ind w:firstLine="720"/>
        <w:jc w:val="both"/>
      </w:pPr>
      <w:r w:rsidRPr="00137D90">
        <w:t>Two considerations matter for agro-industries specifically. First, natural coagulants Moringa oleifera seed protein, cactus mucilage, chitosan, tannin-based polymers and starch derivatives are locally available, biodegradable and produce a sludge that can be composted rather than landfilled, though they generally require higher doses and may add COD (Yin, 2010). Second, the chemical sludge volume is the real cost driver: a plant treating 500 m</w:t>
      </w:r>
      <w:r w:rsidRPr="00137D90">
        <w:rPr>
          <w:vertAlign w:val="superscript"/>
        </w:rPr>
        <w:t>3</w:t>
      </w:r>
      <w:r w:rsidRPr="00137D90">
        <w:t xml:space="preserve"> d</w:t>
      </w:r>
      <w:r w:rsidRPr="00137D90">
        <w:rPr>
          <w:vertAlign w:val="superscript"/>
        </w:rPr>
        <w:t>-1</w:t>
      </w:r>
      <w:r w:rsidRPr="00137D90">
        <w:t xml:space="preserve"> with 300 mg L</w:t>
      </w:r>
      <w:r w:rsidRPr="00137D90">
        <w:rPr>
          <w:vertAlign w:val="superscript"/>
        </w:rPr>
        <w:t>-1</w:t>
      </w:r>
      <w:r w:rsidRPr="00137D90">
        <w:t xml:space="preserve"> alum generates several tonnes of wet sludge daily, and dewaterability, not removal efficiency, often decides coagulant choice. Jar testing across dose, pH and mixing intensity (velocity gradient G and the Gt product) remains the standard design method, and increasingly is combined with response surface designs to map interactions rather than optimise one factor at a time.</w:t>
      </w:r>
    </w:p>
    <w:p w14:paraId="27C47DD4" w14:textId="32AF2E35" w:rsidR="005C4BF0" w:rsidRPr="00137D90" w:rsidRDefault="00000000" w:rsidP="00CF51FB">
      <w:pPr>
        <w:pStyle w:val="Heading2"/>
        <w:spacing w:before="240" w:after="100" w:line="360" w:lineRule="auto"/>
        <w:jc w:val="both"/>
      </w:pPr>
      <w:r w:rsidRPr="00137D90">
        <w:t>4.3 Dissolved air flotation and oil</w:t>
      </w:r>
      <w:r w:rsidR="00C73FC8" w:rsidRPr="00137D90">
        <w:t xml:space="preserve"> </w:t>
      </w:r>
      <w:r w:rsidRPr="00137D90">
        <w:t>water separation</w:t>
      </w:r>
    </w:p>
    <w:p w14:paraId="381BF4F9" w14:textId="712CA94B" w:rsidR="005C4BF0" w:rsidRPr="00137D90" w:rsidRDefault="00000000" w:rsidP="00CF51FB">
      <w:pPr>
        <w:spacing w:after="160" w:line="360" w:lineRule="auto"/>
        <w:ind w:firstLine="720"/>
        <w:jc w:val="both"/>
      </w:pPr>
      <w:r w:rsidRPr="00137D90">
        <w:lastRenderedPageBreak/>
        <w:t>Where particles are low-density fat globules, protein flocs, oil droplets, fibre</w:t>
      </w:r>
      <w:r w:rsidR="00C73FC8" w:rsidRPr="00137D90">
        <w:t xml:space="preserve"> </w:t>
      </w:r>
      <w:r w:rsidRPr="00137D90">
        <w:t>flotation outperforms sedimentation. In DAF, water saturated with air at 4–6 bar is released into the cell; the resulting 20–100 µm bubbles attach to flocs and carry them to a skimmed float layer. DAF is standard practice in dairy, meat, poultry, fish and palm oil applications, reducing fat, oil and grease by 80–95 % and COD by 30–60 % ahead of biological treatment, at surface loading rates of about 5–10 m</w:t>
      </w:r>
      <w:r w:rsidRPr="00137D90">
        <w:rPr>
          <w:vertAlign w:val="superscript"/>
        </w:rPr>
        <w:t>3</w:t>
      </w:r>
      <w:r w:rsidRPr="00137D90">
        <w:t xml:space="preserve"> m</w:t>
      </w:r>
      <w:r w:rsidRPr="00137D90">
        <w:rPr>
          <w:vertAlign w:val="superscript"/>
        </w:rPr>
        <w:t>-2</w:t>
      </w:r>
      <w:r w:rsidRPr="00137D90">
        <w:t xml:space="preserve"> h</w:t>
      </w:r>
      <w:r w:rsidRPr="00137D90">
        <w:rPr>
          <w:vertAlign w:val="superscript"/>
        </w:rPr>
        <w:t>-1</w:t>
      </w:r>
      <w:r w:rsidRPr="00137D90">
        <w:t xml:space="preserve"> and air</w:t>
      </w:r>
      <w:r w:rsidR="004621DD" w:rsidRPr="00137D90">
        <w:t xml:space="preserve"> </w:t>
      </w:r>
      <w:r w:rsidRPr="00137D90">
        <w:t>to</w:t>
      </w:r>
      <w:r w:rsidR="004621DD" w:rsidRPr="00137D90">
        <w:t xml:space="preserve"> </w:t>
      </w:r>
      <w:r w:rsidRPr="00137D90">
        <w:t xml:space="preserve">solids ratios of </w:t>
      </w:r>
      <w:r w:rsidR="005F0295" w:rsidRPr="00137D90">
        <w:t xml:space="preserve">0.01–0.05 kg air kg⁻¹ solids </w:t>
      </w:r>
      <w:r w:rsidRPr="00137D90">
        <w:t>(Edzwald, 2010). The float is lipid</w:t>
      </w:r>
      <w:r w:rsidR="00532809" w:rsidRPr="00137D90">
        <w:t xml:space="preserve"> </w:t>
      </w:r>
      <w:r w:rsidRPr="00137D90">
        <w:t>rich and, in meat and rendering contexts, is a saleable or digestible by-product rather than a waste.</w:t>
      </w:r>
    </w:p>
    <w:p w14:paraId="2391CED3" w14:textId="77777777" w:rsidR="005C4BF0" w:rsidRPr="00137D90" w:rsidRDefault="00000000" w:rsidP="00CF51FB">
      <w:pPr>
        <w:pStyle w:val="Heading2"/>
        <w:spacing w:before="240" w:after="100" w:line="360" w:lineRule="auto"/>
        <w:jc w:val="both"/>
      </w:pPr>
      <w:r w:rsidRPr="00137D90">
        <w:t>4.4 Chemical precipitation</w:t>
      </w:r>
    </w:p>
    <w:p w14:paraId="2BB82A61" w14:textId="77777777" w:rsidR="005C4BF0" w:rsidRPr="00137D90" w:rsidRDefault="00000000" w:rsidP="00CF51FB">
      <w:pPr>
        <w:spacing w:after="160" w:line="360" w:lineRule="auto"/>
        <w:ind w:firstLine="720"/>
        <w:jc w:val="both"/>
      </w:pPr>
      <w:r w:rsidRPr="00137D90">
        <w:t>Precipitation converts a dissolved nutrient into a recoverable solid. The most important reaction for agro-industry is struvite (magnesium ammonium phosphate hexahydrate) formation:</w:t>
      </w:r>
    </w:p>
    <w:p w14:paraId="533E87C8" w14:textId="4F10507A" w:rsidR="005C4BF0" w:rsidRPr="00137D90" w:rsidRDefault="00000000" w:rsidP="00CF51FB">
      <w:pPr>
        <w:spacing w:after="60" w:line="360" w:lineRule="auto"/>
        <w:jc w:val="center"/>
      </w:pPr>
      <w:r w:rsidRPr="00137D90">
        <w:rPr>
          <w:i/>
          <w:iCs/>
        </w:rPr>
        <w:t>Mg</w:t>
      </w:r>
      <w:r w:rsidRPr="00137D90">
        <w:rPr>
          <w:i/>
          <w:iCs/>
          <w:vertAlign w:val="superscript"/>
        </w:rPr>
        <w:t>2+</w:t>
      </w:r>
      <w:r w:rsidRPr="00137D90">
        <w:rPr>
          <w:i/>
          <w:iCs/>
        </w:rPr>
        <w:t xml:space="preserve"> + NH</w:t>
      </w:r>
      <w:r w:rsidRPr="00137D90">
        <w:rPr>
          <w:i/>
          <w:iCs/>
          <w:vertAlign w:val="subscript"/>
        </w:rPr>
        <w:t>4</w:t>
      </w:r>
      <w:r w:rsidRPr="00137D90">
        <w:rPr>
          <w:i/>
          <w:iCs/>
        </w:rPr>
        <w:t>+ + PO</w:t>
      </w:r>
      <w:r w:rsidRPr="00137D90">
        <w:rPr>
          <w:i/>
          <w:iCs/>
          <w:vertAlign w:val="subscript"/>
        </w:rPr>
        <w:t>4</w:t>
      </w:r>
      <w:r w:rsidR="003E7019" w:rsidRPr="00137D90">
        <w:rPr>
          <w:i/>
          <w:iCs/>
          <w:vertAlign w:val="subscript"/>
        </w:rPr>
        <w:t xml:space="preserve"> </w:t>
      </w:r>
      <w:r w:rsidRPr="00137D90">
        <w:rPr>
          <w:i/>
          <w:iCs/>
          <w:vertAlign w:val="superscript"/>
        </w:rPr>
        <w:t>3-</w:t>
      </w:r>
      <w:r w:rsidRPr="00137D90">
        <w:rPr>
          <w:i/>
          <w:iCs/>
        </w:rPr>
        <w:t xml:space="preserve"> + 6H</w:t>
      </w:r>
      <w:r w:rsidRPr="00137D90">
        <w:rPr>
          <w:i/>
          <w:iCs/>
          <w:vertAlign w:val="subscript"/>
        </w:rPr>
        <w:t>2</w:t>
      </w:r>
      <w:r w:rsidRPr="00137D90">
        <w:rPr>
          <w:i/>
          <w:iCs/>
        </w:rPr>
        <w:t>O → MgNH</w:t>
      </w:r>
      <w:r w:rsidRPr="00137D90">
        <w:rPr>
          <w:i/>
          <w:iCs/>
          <w:vertAlign w:val="subscript"/>
        </w:rPr>
        <w:t>4</w:t>
      </w:r>
      <w:r w:rsidRPr="00137D90">
        <w:rPr>
          <w:i/>
          <w:iCs/>
        </w:rPr>
        <w:t>PO</w:t>
      </w:r>
      <w:r w:rsidRPr="00137D90">
        <w:rPr>
          <w:i/>
          <w:iCs/>
          <w:vertAlign w:val="subscript"/>
        </w:rPr>
        <w:t>4</w:t>
      </w:r>
      <w:r w:rsidRPr="00137D90">
        <w:rPr>
          <w:i/>
          <w:iCs/>
        </w:rPr>
        <w:t>·6H</w:t>
      </w:r>
      <w:r w:rsidRPr="00137D90">
        <w:rPr>
          <w:i/>
          <w:iCs/>
          <w:vertAlign w:val="subscript"/>
        </w:rPr>
        <w:t>2</w:t>
      </w:r>
      <w:r w:rsidRPr="00137D90">
        <w:rPr>
          <w:i/>
          <w:iCs/>
        </w:rPr>
        <w:t>O (s)</w:t>
      </w:r>
    </w:p>
    <w:p w14:paraId="20EBD482" w14:textId="77777777" w:rsidR="005C4BF0" w:rsidRPr="00137D90" w:rsidRDefault="00000000" w:rsidP="00CF51FB">
      <w:pPr>
        <w:spacing w:after="180" w:line="360" w:lineRule="auto"/>
        <w:jc w:val="center"/>
      </w:pPr>
      <w:r w:rsidRPr="00137D90">
        <w:rPr>
          <w:i/>
          <w:iCs/>
        </w:rPr>
        <w:t>optimum near pH 8.5–9.5 with Mg:N:P approaching 1:1:1</w:t>
      </w:r>
    </w:p>
    <w:p w14:paraId="12443255" w14:textId="77777777" w:rsidR="005C4BF0" w:rsidRPr="00137D90" w:rsidRDefault="00000000" w:rsidP="00CF51FB">
      <w:pPr>
        <w:spacing w:after="160" w:line="360" w:lineRule="auto"/>
        <w:ind w:firstLine="720"/>
        <w:jc w:val="both"/>
      </w:pPr>
      <w:r w:rsidRPr="00137D90">
        <w:t>Struvite precipitation is discussed in detail in Section 9.2 because it is better understood as a recovery operation than a treatment step. Lime precipitation of phosphate as hydroxyapatite and sulphide precipitation of trace metals are conventional alternatives, but both yield a residue of low agronomic value.</w:t>
      </w:r>
    </w:p>
    <w:p w14:paraId="5D4B95B5" w14:textId="77777777" w:rsidR="005C4BF0" w:rsidRPr="00137D90" w:rsidRDefault="00000000" w:rsidP="00CF51FB">
      <w:pPr>
        <w:pStyle w:val="Heading1"/>
        <w:spacing w:before="320" w:after="140" w:line="360" w:lineRule="auto"/>
        <w:jc w:val="both"/>
        <w:rPr>
          <w:sz w:val="24"/>
          <w:szCs w:val="24"/>
        </w:rPr>
      </w:pPr>
      <w:r w:rsidRPr="00137D90">
        <w:rPr>
          <w:sz w:val="24"/>
          <w:szCs w:val="24"/>
        </w:rPr>
        <w:t>5. BIOLOGICAL TREATMENT AS REACTOR ENGINEERING</w:t>
      </w:r>
    </w:p>
    <w:p w14:paraId="37BB2EC0" w14:textId="77777777" w:rsidR="005C4BF0" w:rsidRPr="00137D90" w:rsidRDefault="00000000" w:rsidP="00CF51FB">
      <w:pPr>
        <w:spacing w:after="160" w:line="360" w:lineRule="auto"/>
        <w:ind w:firstLine="720"/>
        <w:jc w:val="both"/>
      </w:pPr>
      <w:r w:rsidRPr="00137D90">
        <w:t>Biological processes are catalytic reactors in which the catalyst is a self-replicating microbial consortium. Design is therefore a question of retaining catalyst (solids retention time, SRT), supplying substrate at a rate the catalyst can accept (organic loading rate, OLR), and removing products before they inhibit.</w:t>
      </w:r>
    </w:p>
    <w:p w14:paraId="22FD481B" w14:textId="77777777" w:rsidR="005C4BF0" w:rsidRPr="00137D90" w:rsidRDefault="00000000" w:rsidP="00CF51FB">
      <w:pPr>
        <w:pStyle w:val="Heading2"/>
        <w:spacing w:before="240" w:after="100" w:line="360" w:lineRule="auto"/>
        <w:jc w:val="both"/>
      </w:pPr>
      <w:r w:rsidRPr="00137D90">
        <w:t>5.1 Kinetic basis</w:t>
      </w:r>
    </w:p>
    <w:p w14:paraId="69C3EACE" w14:textId="77777777" w:rsidR="005C4BF0" w:rsidRPr="00137D90" w:rsidRDefault="00000000" w:rsidP="00CF51FB">
      <w:pPr>
        <w:spacing w:after="160" w:line="360" w:lineRule="auto"/>
        <w:ind w:firstLine="720"/>
        <w:jc w:val="both"/>
      </w:pPr>
      <w:r w:rsidRPr="00137D90">
        <w:t>Substrate utilisation is conventionally described by Monod kinetics, with specific growth rate</w:t>
      </w:r>
    </w:p>
    <w:p w14:paraId="1C13C71E" w14:textId="77777777" w:rsidR="005C4BF0" w:rsidRPr="00137D90" w:rsidRDefault="00000000" w:rsidP="00CF51FB">
      <w:pPr>
        <w:spacing w:after="60" w:line="360" w:lineRule="auto"/>
        <w:jc w:val="center"/>
      </w:pPr>
      <w:r w:rsidRPr="00137D90">
        <w:rPr>
          <w:i/>
          <w:iCs/>
        </w:rPr>
        <w:t>µ = µmax · S / (Ks + S) − kd</w:t>
      </w:r>
    </w:p>
    <w:p w14:paraId="3DCA7B0D" w14:textId="77777777" w:rsidR="005C4BF0" w:rsidRPr="00137D90" w:rsidRDefault="00000000" w:rsidP="00CF51FB">
      <w:pPr>
        <w:spacing w:after="180" w:line="360" w:lineRule="auto"/>
        <w:ind w:firstLine="720"/>
        <w:jc w:val="both"/>
      </w:pPr>
      <w:r w:rsidRPr="00137D90">
        <w:rPr>
          <w:i/>
          <w:iCs/>
        </w:rPr>
        <w:lastRenderedPageBreak/>
        <w:t>where S is the limiting substrate concentration, Ks the half-saturation constant and kd the endogenous decay coefficient</w:t>
      </w:r>
    </w:p>
    <w:p w14:paraId="1BDF818F" w14:textId="312573C7" w:rsidR="005C4BF0" w:rsidRPr="00137D90" w:rsidRDefault="00000000" w:rsidP="00CF51FB">
      <w:pPr>
        <w:spacing w:after="160" w:line="360" w:lineRule="auto"/>
        <w:ind w:firstLine="720"/>
        <w:jc w:val="both"/>
      </w:pPr>
      <w:r w:rsidRPr="00137D90">
        <w:t>The practical consequence is the minimum SRT: the reactor must retain biomass longer than its inverse net growth rate, or the organisms wash out. Because methanogens  particularly the acetoclastic genera grow slowly, with doubling times of days rather than hours, anaerobic reactors must decouple SRT from hydraulic retention time (HRT). Every successful high-rate anaerobic configuration is a different solution to that single problem: granulation in UASB and EGSB reactors, attachment in fixed</w:t>
      </w:r>
      <w:r w:rsidR="00036E1F" w:rsidRPr="00137D90">
        <w:t xml:space="preserve"> </w:t>
      </w:r>
      <w:r w:rsidRPr="00137D90">
        <w:t>and fluidised</w:t>
      </w:r>
      <w:r w:rsidR="0009613E" w:rsidRPr="00137D90">
        <w:t xml:space="preserve"> </w:t>
      </w:r>
      <w:r w:rsidRPr="00137D90">
        <w:t>bed systems, and membrane retention in anaerobic membrane bioreactors (AnMBRs).</w:t>
      </w:r>
    </w:p>
    <w:p w14:paraId="687A0AA3" w14:textId="77777777" w:rsidR="005C4BF0" w:rsidRPr="00137D90" w:rsidRDefault="00000000" w:rsidP="00CF51FB">
      <w:pPr>
        <w:pStyle w:val="Heading2"/>
        <w:spacing w:before="240" w:after="100" w:line="360" w:lineRule="auto"/>
        <w:jc w:val="both"/>
      </w:pPr>
      <w:r w:rsidRPr="00137D90">
        <w:t>5.2 Anaerobic processes and energy recovery</w:t>
      </w:r>
    </w:p>
    <w:p w14:paraId="2CF6F831" w14:textId="3095A857" w:rsidR="005C4BF0" w:rsidRPr="00137D90" w:rsidRDefault="00000000" w:rsidP="00CF51FB">
      <w:pPr>
        <w:spacing w:after="160" w:line="360" w:lineRule="auto"/>
        <w:ind w:firstLine="720"/>
        <w:jc w:val="both"/>
      </w:pPr>
      <w:r w:rsidRPr="00137D90">
        <w:t>Anaerobic digestion proceeds through hydrolysis, acidogenesis, acetogenesis and methanogenesis, with hydrolysis rate</w:t>
      </w:r>
      <w:r w:rsidR="00006B85" w:rsidRPr="00137D90">
        <w:t xml:space="preserve"> </w:t>
      </w:r>
      <w:r w:rsidRPr="00137D90">
        <w:t>limiting for particulate substrates and methanogenesis rate-limiting for soluble ones. Its appeal for agro</w:t>
      </w:r>
      <w:r w:rsidR="00006B85" w:rsidRPr="00137D90">
        <w:t xml:space="preserve"> </w:t>
      </w:r>
      <w:r w:rsidRPr="00137D90">
        <w:t>industry is arithmetic: it produces energy rather than consuming it, generates roughly a tenth of the sludge of an aerobic process per unit COD removed, and tolerates the high organic strengths that would make aeration economically absurd.</w:t>
      </w:r>
    </w:p>
    <w:p w14:paraId="199C35A3" w14:textId="77777777" w:rsidR="005C4BF0" w:rsidRPr="00137D90" w:rsidRDefault="00000000" w:rsidP="00CF51FB">
      <w:pPr>
        <w:spacing w:before="200" w:after="80" w:line="360" w:lineRule="auto"/>
        <w:jc w:val="both"/>
      </w:pPr>
      <w:r w:rsidRPr="00137D90">
        <w:rPr>
          <w:b/>
          <w:bCs/>
        </w:rPr>
        <w:t>Table 2. High-rate anaerobic configurations for agro-industrial effluent</w:t>
      </w:r>
    </w:p>
    <w:tbl>
      <w:tblPr>
        <w:tblW w:w="9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14"/>
        <w:gridCol w:w="1555"/>
        <w:gridCol w:w="1244"/>
        <w:gridCol w:w="2540"/>
        <w:gridCol w:w="2177"/>
      </w:tblGrid>
      <w:tr w:rsidR="005C4BF0" w:rsidRPr="00841015" w14:paraId="29C179EA" w14:textId="77777777" w:rsidTr="00961804">
        <w:trPr>
          <w:trHeight w:val="698"/>
          <w:tblHeader/>
        </w:trPr>
        <w:tc>
          <w:tcPr>
            <w:tcW w:w="1814" w:type="dxa"/>
            <w:shd w:val="clear" w:color="auto" w:fill="E8EEED"/>
            <w:tcMar>
              <w:top w:w="60" w:type="dxa"/>
              <w:left w:w="90" w:type="dxa"/>
              <w:bottom w:w="60" w:type="dxa"/>
              <w:right w:w="90" w:type="dxa"/>
            </w:tcMar>
          </w:tcPr>
          <w:p w14:paraId="18C26CC8" w14:textId="77777777" w:rsidR="005C4BF0" w:rsidRPr="00841015" w:rsidRDefault="00000000" w:rsidP="00CF51FB">
            <w:pPr>
              <w:spacing w:line="360" w:lineRule="auto"/>
              <w:jc w:val="both"/>
              <w:rPr>
                <w:sz w:val="20"/>
                <w:szCs w:val="20"/>
              </w:rPr>
            </w:pPr>
            <w:r w:rsidRPr="00841015">
              <w:rPr>
                <w:b/>
                <w:bCs/>
                <w:sz w:val="20"/>
                <w:szCs w:val="20"/>
              </w:rPr>
              <w:t>Reactor</w:t>
            </w:r>
          </w:p>
        </w:tc>
        <w:tc>
          <w:tcPr>
            <w:tcW w:w="1555" w:type="dxa"/>
            <w:shd w:val="clear" w:color="auto" w:fill="E8EEED"/>
            <w:tcMar>
              <w:top w:w="60" w:type="dxa"/>
              <w:left w:w="90" w:type="dxa"/>
              <w:bottom w:w="60" w:type="dxa"/>
              <w:right w:w="90" w:type="dxa"/>
            </w:tcMar>
          </w:tcPr>
          <w:p w14:paraId="75D401D4" w14:textId="77777777" w:rsidR="005C4BF0" w:rsidRPr="00841015" w:rsidRDefault="00000000" w:rsidP="00CF51FB">
            <w:pPr>
              <w:spacing w:line="360" w:lineRule="auto"/>
              <w:jc w:val="both"/>
              <w:rPr>
                <w:sz w:val="20"/>
                <w:szCs w:val="20"/>
              </w:rPr>
            </w:pPr>
            <w:r w:rsidRPr="00841015">
              <w:rPr>
                <w:b/>
                <w:bCs/>
                <w:sz w:val="20"/>
                <w:szCs w:val="20"/>
              </w:rPr>
              <w:t>OLR (kg COD m</w:t>
            </w:r>
            <w:r w:rsidRPr="00841015">
              <w:rPr>
                <w:b/>
                <w:bCs/>
                <w:sz w:val="20"/>
                <w:szCs w:val="20"/>
                <w:vertAlign w:val="superscript"/>
              </w:rPr>
              <w:t>-3</w:t>
            </w:r>
            <w:r w:rsidRPr="00841015">
              <w:rPr>
                <w:b/>
                <w:bCs/>
                <w:sz w:val="20"/>
                <w:szCs w:val="20"/>
              </w:rPr>
              <w:t xml:space="preserve"> d</w:t>
            </w:r>
            <w:r w:rsidRPr="00841015">
              <w:rPr>
                <w:b/>
                <w:bCs/>
                <w:sz w:val="20"/>
                <w:szCs w:val="20"/>
                <w:vertAlign w:val="superscript"/>
              </w:rPr>
              <w:t>-1</w:t>
            </w:r>
            <w:r w:rsidRPr="00841015">
              <w:rPr>
                <w:b/>
                <w:bCs/>
                <w:sz w:val="20"/>
                <w:szCs w:val="20"/>
              </w:rPr>
              <w:t>)</w:t>
            </w:r>
          </w:p>
        </w:tc>
        <w:tc>
          <w:tcPr>
            <w:tcW w:w="1244" w:type="dxa"/>
            <w:shd w:val="clear" w:color="auto" w:fill="E8EEED"/>
            <w:tcMar>
              <w:top w:w="60" w:type="dxa"/>
              <w:left w:w="90" w:type="dxa"/>
              <w:bottom w:w="60" w:type="dxa"/>
              <w:right w:w="90" w:type="dxa"/>
            </w:tcMar>
          </w:tcPr>
          <w:p w14:paraId="615725AA" w14:textId="77777777" w:rsidR="005C4BF0" w:rsidRPr="00841015" w:rsidRDefault="00000000" w:rsidP="00CF51FB">
            <w:pPr>
              <w:spacing w:line="360" w:lineRule="auto"/>
              <w:jc w:val="both"/>
              <w:rPr>
                <w:sz w:val="20"/>
                <w:szCs w:val="20"/>
              </w:rPr>
            </w:pPr>
            <w:r w:rsidRPr="00841015">
              <w:rPr>
                <w:b/>
                <w:bCs/>
                <w:sz w:val="20"/>
                <w:szCs w:val="20"/>
              </w:rPr>
              <w:t>COD removal</w:t>
            </w:r>
          </w:p>
        </w:tc>
        <w:tc>
          <w:tcPr>
            <w:tcW w:w="2540" w:type="dxa"/>
            <w:shd w:val="clear" w:color="auto" w:fill="E8EEED"/>
            <w:tcMar>
              <w:top w:w="60" w:type="dxa"/>
              <w:left w:w="90" w:type="dxa"/>
              <w:bottom w:w="60" w:type="dxa"/>
              <w:right w:w="90" w:type="dxa"/>
            </w:tcMar>
          </w:tcPr>
          <w:p w14:paraId="674CCA24" w14:textId="77777777" w:rsidR="005C4BF0" w:rsidRPr="00841015" w:rsidRDefault="00000000" w:rsidP="00CF51FB">
            <w:pPr>
              <w:spacing w:line="360" w:lineRule="auto"/>
              <w:jc w:val="both"/>
              <w:rPr>
                <w:sz w:val="20"/>
                <w:szCs w:val="20"/>
              </w:rPr>
            </w:pPr>
            <w:r w:rsidRPr="00841015">
              <w:rPr>
                <w:b/>
                <w:bCs/>
                <w:sz w:val="20"/>
                <w:szCs w:val="20"/>
              </w:rPr>
              <w:t>Best suited to</w:t>
            </w:r>
          </w:p>
        </w:tc>
        <w:tc>
          <w:tcPr>
            <w:tcW w:w="2177" w:type="dxa"/>
            <w:shd w:val="clear" w:color="auto" w:fill="E8EEED"/>
            <w:tcMar>
              <w:top w:w="60" w:type="dxa"/>
              <w:left w:w="90" w:type="dxa"/>
              <w:bottom w:w="60" w:type="dxa"/>
              <w:right w:w="90" w:type="dxa"/>
            </w:tcMar>
          </w:tcPr>
          <w:p w14:paraId="07F3A9B0" w14:textId="77777777" w:rsidR="005C4BF0" w:rsidRPr="00841015" w:rsidRDefault="00000000" w:rsidP="00CF51FB">
            <w:pPr>
              <w:spacing w:line="360" w:lineRule="auto"/>
              <w:jc w:val="both"/>
              <w:rPr>
                <w:sz w:val="20"/>
                <w:szCs w:val="20"/>
              </w:rPr>
            </w:pPr>
            <w:r w:rsidRPr="00841015">
              <w:rPr>
                <w:b/>
                <w:bCs/>
                <w:sz w:val="20"/>
                <w:szCs w:val="20"/>
              </w:rPr>
              <w:t>Principal limitation</w:t>
            </w:r>
          </w:p>
        </w:tc>
      </w:tr>
      <w:tr w:rsidR="005C4BF0" w:rsidRPr="00841015" w14:paraId="07D1A7C9" w14:textId="77777777" w:rsidTr="00961804">
        <w:trPr>
          <w:trHeight w:val="690"/>
        </w:trPr>
        <w:tc>
          <w:tcPr>
            <w:tcW w:w="1814" w:type="dxa"/>
            <w:tcMar>
              <w:top w:w="60" w:type="dxa"/>
              <w:left w:w="90" w:type="dxa"/>
              <w:bottom w:w="60" w:type="dxa"/>
              <w:right w:w="90" w:type="dxa"/>
            </w:tcMar>
          </w:tcPr>
          <w:p w14:paraId="7E6EC997" w14:textId="77777777" w:rsidR="005C4BF0" w:rsidRPr="00841015" w:rsidRDefault="00000000" w:rsidP="00CF51FB">
            <w:pPr>
              <w:spacing w:line="360" w:lineRule="auto"/>
              <w:jc w:val="both"/>
              <w:rPr>
                <w:sz w:val="20"/>
                <w:szCs w:val="20"/>
              </w:rPr>
            </w:pPr>
            <w:r w:rsidRPr="00841015">
              <w:rPr>
                <w:sz w:val="20"/>
                <w:szCs w:val="20"/>
              </w:rPr>
              <w:t>Covered anaerobic lagoon</w:t>
            </w:r>
          </w:p>
        </w:tc>
        <w:tc>
          <w:tcPr>
            <w:tcW w:w="1555" w:type="dxa"/>
            <w:tcMar>
              <w:top w:w="60" w:type="dxa"/>
              <w:left w:w="90" w:type="dxa"/>
              <w:bottom w:w="60" w:type="dxa"/>
              <w:right w:w="90" w:type="dxa"/>
            </w:tcMar>
          </w:tcPr>
          <w:p w14:paraId="7B389FE9" w14:textId="77777777" w:rsidR="005C4BF0" w:rsidRPr="00841015" w:rsidRDefault="00000000" w:rsidP="00CF51FB">
            <w:pPr>
              <w:spacing w:line="360" w:lineRule="auto"/>
              <w:jc w:val="both"/>
              <w:rPr>
                <w:sz w:val="20"/>
                <w:szCs w:val="20"/>
              </w:rPr>
            </w:pPr>
            <w:r w:rsidRPr="00841015">
              <w:rPr>
                <w:sz w:val="20"/>
                <w:szCs w:val="20"/>
              </w:rPr>
              <w:t>0.5–1.5</w:t>
            </w:r>
          </w:p>
        </w:tc>
        <w:tc>
          <w:tcPr>
            <w:tcW w:w="1244" w:type="dxa"/>
            <w:tcMar>
              <w:top w:w="60" w:type="dxa"/>
              <w:left w:w="90" w:type="dxa"/>
              <w:bottom w:w="60" w:type="dxa"/>
              <w:right w:w="90" w:type="dxa"/>
            </w:tcMar>
          </w:tcPr>
          <w:p w14:paraId="465BA9CD" w14:textId="77777777" w:rsidR="005C4BF0" w:rsidRPr="00841015" w:rsidRDefault="00000000" w:rsidP="00CF51FB">
            <w:pPr>
              <w:spacing w:line="360" w:lineRule="auto"/>
              <w:jc w:val="both"/>
              <w:rPr>
                <w:sz w:val="20"/>
                <w:szCs w:val="20"/>
              </w:rPr>
            </w:pPr>
            <w:r w:rsidRPr="00841015">
              <w:rPr>
                <w:sz w:val="20"/>
                <w:szCs w:val="20"/>
              </w:rPr>
              <w:t>60–85 %</w:t>
            </w:r>
          </w:p>
        </w:tc>
        <w:tc>
          <w:tcPr>
            <w:tcW w:w="2540" w:type="dxa"/>
            <w:tcMar>
              <w:top w:w="60" w:type="dxa"/>
              <w:left w:w="90" w:type="dxa"/>
              <w:bottom w:w="60" w:type="dxa"/>
              <w:right w:w="90" w:type="dxa"/>
            </w:tcMar>
          </w:tcPr>
          <w:p w14:paraId="458DF690" w14:textId="77777777" w:rsidR="005C4BF0" w:rsidRPr="00841015" w:rsidRDefault="00000000" w:rsidP="00CF51FB">
            <w:pPr>
              <w:spacing w:line="360" w:lineRule="auto"/>
              <w:jc w:val="both"/>
              <w:rPr>
                <w:sz w:val="20"/>
                <w:szCs w:val="20"/>
              </w:rPr>
            </w:pPr>
            <w:r w:rsidRPr="00841015">
              <w:rPr>
                <w:sz w:val="20"/>
                <w:szCs w:val="20"/>
              </w:rPr>
              <w:t>POME, starch, low-cost sites with land</w:t>
            </w:r>
          </w:p>
        </w:tc>
        <w:tc>
          <w:tcPr>
            <w:tcW w:w="2177" w:type="dxa"/>
            <w:tcMar>
              <w:top w:w="60" w:type="dxa"/>
              <w:left w:w="90" w:type="dxa"/>
              <w:bottom w:w="60" w:type="dxa"/>
              <w:right w:w="90" w:type="dxa"/>
            </w:tcMar>
          </w:tcPr>
          <w:p w14:paraId="7238CB06" w14:textId="77777777" w:rsidR="005C4BF0" w:rsidRPr="00841015" w:rsidRDefault="00000000" w:rsidP="00CF51FB">
            <w:pPr>
              <w:spacing w:line="360" w:lineRule="auto"/>
              <w:jc w:val="both"/>
              <w:rPr>
                <w:sz w:val="20"/>
                <w:szCs w:val="20"/>
              </w:rPr>
            </w:pPr>
            <w:r w:rsidRPr="00841015">
              <w:rPr>
                <w:sz w:val="20"/>
                <w:szCs w:val="20"/>
              </w:rPr>
              <w:t>Large footprint, long HRT, poor control</w:t>
            </w:r>
          </w:p>
        </w:tc>
      </w:tr>
      <w:tr w:rsidR="005C4BF0" w:rsidRPr="00841015" w14:paraId="749416A9" w14:textId="77777777" w:rsidTr="00961804">
        <w:trPr>
          <w:trHeight w:val="698"/>
        </w:trPr>
        <w:tc>
          <w:tcPr>
            <w:tcW w:w="1814" w:type="dxa"/>
            <w:tcMar>
              <w:top w:w="60" w:type="dxa"/>
              <w:left w:w="90" w:type="dxa"/>
              <w:bottom w:w="60" w:type="dxa"/>
              <w:right w:w="90" w:type="dxa"/>
            </w:tcMar>
          </w:tcPr>
          <w:p w14:paraId="111E6E37" w14:textId="77777777" w:rsidR="005C4BF0" w:rsidRPr="00841015" w:rsidRDefault="00000000" w:rsidP="00CF51FB">
            <w:pPr>
              <w:spacing w:line="360" w:lineRule="auto"/>
              <w:jc w:val="both"/>
              <w:rPr>
                <w:sz w:val="20"/>
                <w:szCs w:val="20"/>
              </w:rPr>
            </w:pPr>
            <w:r w:rsidRPr="00841015">
              <w:rPr>
                <w:sz w:val="20"/>
                <w:szCs w:val="20"/>
              </w:rPr>
              <w:t>UASB</w:t>
            </w:r>
          </w:p>
        </w:tc>
        <w:tc>
          <w:tcPr>
            <w:tcW w:w="1555" w:type="dxa"/>
            <w:tcMar>
              <w:top w:w="60" w:type="dxa"/>
              <w:left w:w="90" w:type="dxa"/>
              <w:bottom w:w="60" w:type="dxa"/>
              <w:right w:w="90" w:type="dxa"/>
            </w:tcMar>
          </w:tcPr>
          <w:p w14:paraId="5776DD31" w14:textId="77777777" w:rsidR="005C4BF0" w:rsidRPr="00841015" w:rsidRDefault="00000000" w:rsidP="00CF51FB">
            <w:pPr>
              <w:spacing w:line="360" w:lineRule="auto"/>
              <w:jc w:val="both"/>
              <w:rPr>
                <w:sz w:val="20"/>
                <w:szCs w:val="20"/>
              </w:rPr>
            </w:pPr>
            <w:r w:rsidRPr="00841015">
              <w:rPr>
                <w:sz w:val="20"/>
                <w:szCs w:val="20"/>
              </w:rPr>
              <w:t>5–15</w:t>
            </w:r>
          </w:p>
        </w:tc>
        <w:tc>
          <w:tcPr>
            <w:tcW w:w="1244" w:type="dxa"/>
            <w:tcMar>
              <w:top w:w="60" w:type="dxa"/>
              <w:left w:w="90" w:type="dxa"/>
              <w:bottom w:w="60" w:type="dxa"/>
              <w:right w:w="90" w:type="dxa"/>
            </w:tcMar>
          </w:tcPr>
          <w:p w14:paraId="061076E6" w14:textId="77777777" w:rsidR="005C4BF0" w:rsidRPr="00841015" w:rsidRDefault="00000000" w:rsidP="00CF51FB">
            <w:pPr>
              <w:spacing w:line="360" w:lineRule="auto"/>
              <w:jc w:val="both"/>
              <w:rPr>
                <w:sz w:val="20"/>
                <w:szCs w:val="20"/>
              </w:rPr>
            </w:pPr>
            <w:r w:rsidRPr="00841015">
              <w:rPr>
                <w:sz w:val="20"/>
                <w:szCs w:val="20"/>
              </w:rPr>
              <w:t>75–90 %</w:t>
            </w:r>
          </w:p>
        </w:tc>
        <w:tc>
          <w:tcPr>
            <w:tcW w:w="2540" w:type="dxa"/>
            <w:tcMar>
              <w:top w:w="60" w:type="dxa"/>
              <w:left w:w="90" w:type="dxa"/>
              <w:bottom w:w="60" w:type="dxa"/>
              <w:right w:w="90" w:type="dxa"/>
            </w:tcMar>
          </w:tcPr>
          <w:p w14:paraId="40ADFDB7" w14:textId="77777777" w:rsidR="005C4BF0" w:rsidRPr="00841015" w:rsidRDefault="00000000" w:rsidP="00CF51FB">
            <w:pPr>
              <w:spacing w:line="360" w:lineRule="auto"/>
              <w:jc w:val="both"/>
              <w:rPr>
                <w:sz w:val="20"/>
                <w:szCs w:val="20"/>
              </w:rPr>
            </w:pPr>
            <w:r w:rsidRPr="00841015">
              <w:rPr>
                <w:sz w:val="20"/>
                <w:szCs w:val="20"/>
              </w:rPr>
              <w:t>Soluble effluents: brewery, sugar, distillery</w:t>
            </w:r>
          </w:p>
        </w:tc>
        <w:tc>
          <w:tcPr>
            <w:tcW w:w="2177" w:type="dxa"/>
            <w:tcMar>
              <w:top w:w="60" w:type="dxa"/>
              <w:left w:w="90" w:type="dxa"/>
              <w:bottom w:w="60" w:type="dxa"/>
              <w:right w:w="90" w:type="dxa"/>
            </w:tcMar>
          </w:tcPr>
          <w:p w14:paraId="6DEB3D1B" w14:textId="77777777" w:rsidR="005C4BF0" w:rsidRPr="00841015" w:rsidRDefault="00000000" w:rsidP="00CF51FB">
            <w:pPr>
              <w:spacing w:line="360" w:lineRule="auto"/>
              <w:jc w:val="both"/>
              <w:rPr>
                <w:sz w:val="20"/>
                <w:szCs w:val="20"/>
              </w:rPr>
            </w:pPr>
            <w:r w:rsidRPr="00841015">
              <w:rPr>
                <w:sz w:val="20"/>
                <w:szCs w:val="20"/>
              </w:rPr>
              <w:t>Granulation loss with fats and solids</w:t>
            </w:r>
          </w:p>
        </w:tc>
      </w:tr>
      <w:tr w:rsidR="005C4BF0" w:rsidRPr="00841015" w14:paraId="3919BE42" w14:textId="77777777" w:rsidTr="00961804">
        <w:trPr>
          <w:trHeight w:val="698"/>
        </w:trPr>
        <w:tc>
          <w:tcPr>
            <w:tcW w:w="1814" w:type="dxa"/>
            <w:tcMar>
              <w:top w:w="60" w:type="dxa"/>
              <w:left w:w="90" w:type="dxa"/>
              <w:bottom w:w="60" w:type="dxa"/>
              <w:right w:w="90" w:type="dxa"/>
            </w:tcMar>
          </w:tcPr>
          <w:p w14:paraId="70365A49" w14:textId="77777777" w:rsidR="005C4BF0" w:rsidRPr="00841015" w:rsidRDefault="00000000" w:rsidP="00CF51FB">
            <w:pPr>
              <w:spacing w:line="360" w:lineRule="auto"/>
              <w:jc w:val="both"/>
              <w:rPr>
                <w:sz w:val="20"/>
                <w:szCs w:val="20"/>
              </w:rPr>
            </w:pPr>
            <w:r w:rsidRPr="00841015">
              <w:rPr>
                <w:sz w:val="20"/>
                <w:szCs w:val="20"/>
              </w:rPr>
              <w:t>EGSB / IC</w:t>
            </w:r>
          </w:p>
        </w:tc>
        <w:tc>
          <w:tcPr>
            <w:tcW w:w="1555" w:type="dxa"/>
            <w:tcMar>
              <w:top w:w="60" w:type="dxa"/>
              <w:left w:w="90" w:type="dxa"/>
              <w:bottom w:w="60" w:type="dxa"/>
              <w:right w:w="90" w:type="dxa"/>
            </w:tcMar>
          </w:tcPr>
          <w:p w14:paraId="70329D53" w14:textId="77777777" w:rsidR="005C4BF0" w:rsidRPr="00841015" w:rsidRDefault="00000000" w:rsidP="00CF51FB">
            <w:pPr>
              <w:spacing w:line="360" w:lineRule="auto"/>
              <w:jc w:val="both"/>
              <w:rPr>
                <w:sz w:val="20"/>
                <w:szCs w:val="20"/>
              </w:rPr>
            </w:pPr>
            <w:r w:rsidRPr="00841015">
              <w:rPr>
                <w:sz w:val="20"/>
                <w:szCs w:val="20"/>
              </w:rPr>
              <w:t>15–35</w:t>
            </w:r>
          </w:p>
        </w:tc>
        <w:tc>
          <w:tcPr>
            <w:tcW w:w="1244" w:type="dxa"/>
            <w:tcMar>
              <w:top w:w="60" w:type="dxa"/>
              <w:left w:w="90" w:type="dxa"/>
              <w:bottom w:w="60" w:type="dxa"/>
              <w:right w:w="90" w:type="dxa"/>
            </w:tcMar>
          </w:tcPr>
          <w:p w14:paraId="60CA6E43" w14:textId="77777777" w:rsidR="005C4BF0" w:rsidRPr="00841015" w:rsidRDefault="00000000" w:rsidP="00CF51FB">
            <w:pPr>
              <w:spacing w:line="360" w:lineRule="auto"/>
              <w:jc w:val="both"/>
              <w:rPr>
                <w:sz w:val="20"/>
                <w:szCs w:val="20"/>
              </w:rPr>
            </w:pPr>
            <w:r w:rsidRPr="00841015">
              <w:rPr>
                <w:sz w:val="20"/>
                <w:szCs w:val="20"/>
              </w:rPr>
              <w:t>80–95 %</w:t>
            </w:r>
          </w:p>
        </w:tc>
        <w:tc>
          <w:tcPr>
            <w:tcW w:w="2540" w:type="dxa"/>
            <w:tcMar>
              <w:top w:w="60" w:type="dxa"/>
              <w:left w:w="90" w:type="dxa"/>
              <w:bottom w:w="60" w:type="dxa"/>
              <w:right w:w="90" w:type="dxa"/>
            </w:tcMar>
          </w:tcPr>
          <w:p w14:paraId="50F4FCF2" w14:textId="77777777" w:rsidR="005C4BF0" w:rsidRPr="00841015" w:rsidRDefault="00000000" w:rsidP="00CF51FB">
            <w:pPr>
              <w:spacing w:line="360" w:lineRule="auto"/>
              <w:jc w:val="both"/>
              <w:rPr>
                <w:sz w:val="20"/>
                <w:szCs w:val="20"/>
              </w:rPr>
            </w:pPr>
            <w:r w:rsidRPr="00841015">
              <w:rPr>
                <w:sz w:val="20"/>
                <w:szCs w:val="20"/>
              </w:rPr>
              <w:t>Dilute-to-medium soluble streams, small footprint</w:t>
            </w:r>
          </w:p>
        </w:tc>
        <w:tc>
          <w:tcPr>
            <w:tcW w:w="2177" w:type="dxa"/>
            <w:tcMar>
              <w:top w:w="60" w:type="dxa"/>
              <w:left w:w="90" w:type="dxa"/>
              <w:bottom w:w="60" w:type="dxa"/>
              <w:right w:w="90" w:type="dxa"/>
            </w:tcMar>
          </w:tcPr>
          <w:p w14:paraId="6198AC60" w14:textId="77777777" w:rsidR="005C4BF0" w:rsidRPr="00841015" w:rsidRDefault="00000000" w:rsidP="00CF51FB">
            <w:pPr>
              <w:spacing w:line="360" w:lineRule="auto"/>
              <w:jc w:val="both"/>
              <w:rPr>
                <w:sz w:val="20"/>
                <w:szCs w:val="20"/>
              </w:rPr>
            </w:pPr>
            <w:r w:rsidRPr="00841015">
              <w:rPr>
                <w:sz w:val="20"/>
                <w:szCs w:val="20"/>
              </w:rPr>
              <w:t>Higher recirculation energy, solids-sensitive</w:t>
            </w:r>
          </w:p>
        </w:tc>
      </w:tr>
      <w:tr w:rsidR="005C4BF0" w:rsidRPr="00841015" w14:paraId="610A2153" w14:textId="77777777" w:rsidTr="00961804">
        <w:trPr>
          <w:trHeight w:val="698"/>
        </w:trPr>
        <w:tc>
          <w:tcPr>
            <w:tcW w:w="1814" w:type="dxa"/>
            <w:tcMar>
              <w:top w:w="60" w:type="dxa"/>
              <w:left w:w="90" w:type="dxa"/>
              <w:bottom w:w="60" w:type="dxa"/>
              <w:right w:w="90" w:type="dxa"/>
            </w:tcMar>
          </w:tcPr>
          <w:p w14:paraId="2BA4CC95" w14:textId="77777777" w:rsidR="005C4BF0" w:rsidRPr="00841015" w:rsidRDefault="00000000" w:rsidP="00CF51FB">
            <w:pPr>
              <w:spacing w:line="360" w:lineRule="auto"/>
              <w:jc w:val="both"/>
              <w:rPr>
                <w:sz w:val="20"/>
                <w:szCs w:val="20"/>
              </w:rPr>
            </w:pPr>
            <w:r w:rsidRPr="00841015">
              <w:rPr>
                <w:sz w:val="20"/>
                <w:szCs w:val="20"/>
              </w:rPr>
              <w:t>Anaerobic filter / fixed film</w:t>
            </w:r>
          </w:p>
        </w:tc>
        <w:tc>
          <w:tcPr>
            <w:tcW w:w="1555" w:type="dxa"/>
            <w:tcMar>
              <w:top w:w="60" w:type="dxa"/>
              <w:left w:w="90" w:type="dxa"/>
              <w:bottom w:w="60" w:type="dxa"/>
              <w:right w:w="90" w:type="dxa"/>
            </w:tcMar>
          </w:tcPr>
          <w:p w14:paraId="6C494B77" w14:textId="77777777" w:rsidR="005C4BF0" w:rsidRPr="00841015" w:rsidRDefault="00000000" w:rsidP="00CF51FB">
            <w:pPr>
              <w:spacing w:line="360" w:lineRule="auto"/>
              <w:jc w:val="both"/>
              <w:rPr>
                <w:sz w:val="20"/>
                <w:szCs w:val="20"/>
              </w:rPr>
            </w:pPr>
            <w:r w:rsidRPr="00841015">
              <w:rPr>
                <w:sz w:val="20"/>
                <w:szCs w:val="20"/>
              </w:rPr>
              <w:t>5–15</w:t>
            </w:r>
          </w:p>
        </w:tc>
        <w:tc>
          <w:tcPr>
            <w:tcW w:w="1244" w:type="dxa"/>
            <w:tcMar>
              <w:top w:w="60" w:type="dxa"/>
              <w:left w:w="90" w:type="dxa"/>
              <w:bottom w:w="60" w:type="dxa"/>
              <w:right w:w="90" w:type="dxa"/>
            </w:tcMar>
          </w:tcPr>
          <w:p w14:paraId="52E0FE2E" w14:textId="77777777" w:rsidR="005C4BF0" w:rsidRPr="00841015" w:rsidRDefault="00000000" w:rsidP="00CF51FB">
            <w:pPr>
              <w:spacing w:line="360" w:lineRule="auto"/>
              <w:jc w:val="both"/>
              <w:rPr>
                <w:sz w:val="20"/>
                <w:szCs w:val="20"/>
              </w:rPr>
            </w:pPr>
            <w:r w:rsidRPr="00841015">
              <w:rPr>
                <w:sz w:val="20"/>
                <w:szCs w:val="20"/>
              </w:rPr>
              <w:t>70–90 %</w:t>
            </w:r>
          </w:p>
        </w:tc>
        <w:tc>
          <w:tcPr>
            <w:tcW w:w="2540" w:type="dxa"/>
            <w:tcMar>
              <w:top w:w="60" w:type="dxa"/>
              <w:left w:w="90" w:type="dxa"/>
              <w:bottom w:w="60" w:type="dxa"/>
              <w:right w:w="90" w:type="dxa"/>
            </w:tcMar>
          </w:tcPr>
          <w:p w14:paraId="1C83FE8F" w14:textId="77777777" w:rsidR="005C4BF0" w:rsidRPr="00841015" w:rsidRDefault="00000000" w:rsidP="00CF51FB">
            <w:pPr>
              <w:spacing w:line="360" w:lineRule="auto"/>
              <w:jc w:val="both"/>
              <w:rPr>
                <w:sz w:val="20"/>
                <w:szCs w:val="20"/>
              </w:rPr>
            </w:pPr>
            <w:r w:rsidRPr="00841015">
              <w:rPr>
                <w:sz w:val="20"/>
                <w:szCs w:val="20"/>
              </w:rPr>
              <w:t>Variable-load, intermittent operation</w:t>
            </w:r>
          </w:p>
        </w:tc>
        <w:tc>
          <w:tcPr>
            <w:tcW w:w="2177" w:type="dxa"/>
            <w:tcMar>
              <w:top w:w="60" w:type="dxa"/>
              <w:left w:w="90" w:type="dxa"/>
              <w:bottom w:w="60" w:type="dxa"/>
              <w:right w:w="90" w:type="dxa"/>
            </w:tcMar>
          </w:tcPr>
          <w:p w14:paraId="0EC9713E" w14:textId="77777777" w:rsidR="005C4BF0" w:rsidRPr="00841015" w:rsidRDefault="00000000" w:rsidP="00CF51FB">
            <w:pPr>
              <w:spacing w:line="360" w:lineRule="auto"/>
              <w:jc w:val="both"/>
              <w:rPr>
                <w:sz w:val="20"/>
                <w:szCs w:val="20"/>
              </w:rPr>
            </w:pPr>
            <w:r w:rsidRPr="00841015">
              <w:rPr>
                <w:sz w:val="20"/>
                <w:szCs w:val="20"/>
              </w:rPr>
              <w:t>Clogging with suspended solids</w:t>
            </w:r>
          </w:p>
        </w:tc>
      </w:tr>
      <w:tr w:rsidR="005C4BF0" w:rsidRPr="00841015" w14:paraId="4BE8A938" w14:textId="77777777" w:rsidTr="00961804">
        <w:trPr>
          <w:trHeight w:val="690"/>
        </w:trPr>
        <w:tc>
          <w:tcPr>
            <w:tcW w:w="1814" w:type="dxa"/>
            <w:tcMar>
              <w:top w:w="60" w:type="dxa"/>
              <w:left w:w="90" w:type="dxa"/>
              <w:bottom w:w="60" w:type="dxa"/>
              <w:right w:w="90" w:type="dxa"/>
            </w:tcMar>
          </w:tcPr>
          <w:p w14:paraId="5CAD6A22" w14:textId="77777777" w:rsidR="005C4BF0" w:rsidRPr="00841015" w:rsidRDefault="00000000" w:rsidP="00CF51FB">
            <w:pPr>
              <w:spacing w:line="360" w:lineRule="auto"/>
              <w:jc w:val="both"/>
              <w:rPr>
                <w:sz w:val="20"/>
                <w:szCs w:val="20"/>
              </w:rPr>
            </w:pPr>
            <w:r w:rsidRPr="00841015">
              <w:rPr>
                <w:sz w:val="20"/>
                <w:szCs w:val="20"/>
              </w:rPr>
              <w:t>CSTR digester</w:t>
            </w:r>
          </w:p>
        </w:tc>
        <w:tc>
          <w:tcPr>
            <w:tcW w:w="1555" w:type="dxa"/>
            <w:tcMar>
              <w:top w:w="60" w:type="dxa"/>
              <w:left w:w="90" w:type="dxa"/>
              <w:bottom w:w="60" w:type="dxa"/>
              <w:right w:w="90" w:type="dxa"/>
            </w:tcMar>
          </w:tcPr>
          <w:p w14:paraId="03CD734C" w14:textId="77777777" w:rsidR="005C4BF0" w:rsidRPr="00841015" w:rsidRDefault="00000000" w:rsidP="00CF51FB">
            <w:pPr>
              <w:spacing w:line="360" w:lineRule="auto"/>
              <w:jc w:val="both"/>
              <w:rPr>
                <w:sz w:val="20"/>
                <w:szCs w:val="20"/>
              </w:rPr>
            </w:pPr>
            <w:r w:rsidRPr="00841015">
              <w:rPr>
                <w:sz w:val="20"/>
                <w:szCs w:val="20"/>
              </w:rPr>
              <w:t>2–6</w:t>
            </w:r>
          </w:p>
        </w:tc>
        <w:tc>
          <w:tcPr>
            <w:tcW w:w="1244" w:type="dxa"/>
            <w:tcMar>
              <w:top w:w="60" w:type="dxa"/>
              <w:left w:w="90" w:type="dxa"/>
              <w:bottom w:w="60" w:type="dxa"/>
              <w:right w:w="90" w:type="dxa"/>
            </w:tcMar>
          </w:tcPr>
          <w:p w14:paraId="7BCCCF05" w14:textId="77777777" w:rsidR="005C4BF0" w:rsidRPr="00841015" w:rsidRDefault="00000000" w:rsidP="00CF51FB">
            <w:pPr>
              <w:spacing w:line="360" w:lineRule="auto"/>
              <w:jc w:val="both"/>
              <w:rPr>
                <w:sz w:val="20"/>
                <w:szCs w:val="20"/>
              </w:rPr>
            </w:pPr>
            <w:r w:rsidRPr="00841015">
              <w:rPr>
                <w:sz w:val="20"/>
                <w:szCs w:val="20"/>
              </w:rPr>
              <w:t>50–80 %</w:t>
            </w:r>
          </w:p>
        </w:tc>
        <w:tc>
          <w:tcPr>
            <w:tcW w:w="2540" w:type="dxa"/>
            <w:tcMar>
              <w:top w:w="60" w:type="dxa"/>
              <w:left w:w="90" w:type="dxa"/>
              <w:bottom w:w="60" w:type="dxa"/>
              <w:right w:w="90" w:type="dxa"/>
            </w:tcMar>
          </w:tcPr>
          <w:p w14:paraId="7B2EFDA8" w14:textId="77777777" w:rsidR="005C4BF0" w:rsidRPr="00841015" w:rsidRDefault="00000000" w:rsidP="00CF51FB">
            <w:pPr>
              <w:spacing w:line="360" w:lineRule="auto"/>
              <w:jc w:val="both"/>
              <w:rPr>
                <w:sz w:val="20"/>
                <w:szCs w:val="20"/>
              </w:rPr>
            </w:pPr>
            <w:r w:rsidRPr="00841015">
              <w:rPr>
                <w:sz w:val="20"/>
                <w:szCs w:val="20"/>
              </w:rPr>
              <w:t>Slurries, solids-rich waste, co-digestion</w:t>
            </w:r>
          </w:p>
        </w:tc>
        <w:tc>
          <w:tcPr>
            <w:tcW w:w="2177" w:type="dxa"/>
            <w:tcMar>
              <w:top w:w="60" w:type="dxa"/>
              <w:left w:w="90" w:type="dxa"/>
              <w:bottom w:w="60" w:type="dxa"/>
              <w:right w:w="90" w:type="dxa"/>
            </w:tcMar>
          </w:tcPr>
          <w:p w14:paraId="54C60633" w14:textId="77777777" w:rsidR="005C4BF0" w:rsidRPr="00841015" w:rsidRDefault="00000000" w:rsidP="00CF51FB">
            <w:pPr>
              <w:spacing w:line="360" w:lineRule="auto"/>
              <w:jc w:val="both"/>
              <w:rPr>
                <w:sz w:val="20"/>
                <w:szCs w:val="20"/>
              </w:rPr>
            </w:pPr>
            <w:r w:rsidRPr="00841015">
              <w:rPr>
                <w:sz w:val="20"/>
                <w:szCs w:val="20"/>
              </w:rPr>
              <w:t>SRT = HRT, large volume, mixing energy</w:t>
            </w:r>
          </w:p>
        </w:tc>
      </w:tr>
      <w:tr w:rsidR="005C4BF0" w:rsidRPr="00841015" w14:paraId="6506B6F0" w14:textId="77777777" w:rsidTr="00961804">
        <w:trPr>
          <w:trHeight w:val="698"/>
        </w:trPr>
        <w:tc>
          <w:tcPr>
            <w:tcW w:w="1814" w:type="dxa"/>
            <w:tcMar>
              <w:top w:w="60" w:type="dxa"/>
              <w:left w:w="90" w:type="dxa"/>
              <w:bottom w:w="60" w:type="dxa"/>
              <w:right w:w="90" w:type="dxa"/>
            </w:tcMar>
          </w:tcPr>
          <w:p w14:paraId="37B0A941" w14:textId="77777777" w:rsidR="005C4BF0" w:rsidRPr="00841015" w:rsidRDefault="00000000" w:rsidP="00CF51FB">
            <w:pPr>
              <w:spacing w:line="360" w:lineRule="auto"/>
              <w:jc w:val="both"/>
              <w:rPr>
                <w:sz w:val="20"/>
                <w:szCs w:val="20"/>
              </w:rPr>
            </w:pPr>
            <w:r w:rsidRPr="00841015">
              <w:rPr>
                <w:sz w:val="20"/>
                <w:szCs w:val="20"/>
              </w:rPr>
              <w:lastRenderedPageBreak/>
              <w:t>AnMBR</w:t>
            </w:r>
          </w:p>
        </w:tc>
        <w:tc>
          <w:tcPr>
            <w:tcW w:w="1555" w:type="dxa"/>
            <w:tcMar>
              <w:top w:w="60" w:type="dxa"/>
              <w:left w:w="90" w:type="dxa"/>
              <w:bottom w:w="60" w:type="dxa"/>
              <w:right w:w="90" w:type="dxa"/>
            </w:tcMar>
          </w:tcPr>
          <w:p w14:paraId="0F59E946" w14:textId="77777777" w:rsidR="005C4BF0" w:rsidRPr="00841015" w:rsidRDefault="00000000" w:rsidP="00CF51FB">
            <w:pPr>
              <w:spacing w:line="360" w:lineRule="auto"/>
              <w:jc w:val="both"/>
              <w:rPr>
                <w:sz w:val="20"/>
                <w:szCs w:val="20"/>
              </w:rPr>
            </w:pPr>
            <w:r w:rsidRPr="00841015">
              <w:rPr>
                <w:sz w:val="20"/>
                <w:szCs w:val="20"/>
              </w:rPr>
              <w:t>5–20</w:t>
            </w:r>
          </w:p>
        </w:tc>
        <w:tc>
          <w:tcPr>
            <w:tcW w:w="1244" w:type="dxa"/>
            <w:tcMar>
              <w:top w:w="60" w:type="dxa"/>
              <w:left w:w="90" w:type="dxa"/>
              <w:bottom w:w="60" w:type="dxa"/>
              <w:right w:w="90" w:type="dxa"/>
            </w:tcMar>
          </w:tcPr>
          <w:p w14:paraId="0756E0EC" w14:textId="77777777" w:rsidR="005C4BF0" w:rsidRPr="00841015" w:rsidRDefault="00000000" w:rsidP="00CF51FB">
            <w:pPr>
              <w:spacing w:line="360" w:lineRule="auto"/>
              <w:jc w:val="both"/>
              <w:rPr>
                <w:sz w:val="20"/>
                <w:szCs w:val="20"/>
              </w:rPr>
            </w:pPr>
            <w:r w:rsidRPr="00841015">
              <w:rPr>
                <w:sz w:val="20"/>
                <w:szCs w:val="20"/>
              </w:rPr>
              <w:t>&gt;90 %</w:t>
            </w:r>
          </w:p>
        </w:tc>
        <w:tc>
          <w:tcPr>
            <w:tcW w:w="2540" w:type="dxa"/>
            <w:tcMar>
              <w:top w:w="60" w:type="dxa"/>
              <w:left w:w="90" w:type="dxa"/>
              <w:bottom w:w="60" w:type="dxa"/>
              <w:right w:w="90" w:type="dxa"/>
            </w:tcMar>
          </w:tcPr>
          <w:p w14:paraId="2AFF83F2" w14:textId="77777777" w:rsidR="005C4BF0" w:rsidRPr="00841015" w:rsidRDefault="00000000" w:rsidP="00CF51FB">
            <w:pPr>
              <w:spacing w:line="360" w:lineRule="auto"/>
              <w:jc w:val="both"/>
              <w:rPr>
                <w:sz w:val="20"/>
                <w:szCs w:val="20"/>
              </w:rPr>
            </w:pPr>
            <w:r w:rsidRPr="00841015">
              <w:rPr>
                <w:sz w:val="20"/>
                <w:szCs w:val="20"/>
              </w:rPr>
              <w:t>High-strength, solids-laden, reuse-driven cases</w:t>
            </w:r>
          </w:p>
        </w:tc>
        <w:tc>
          <w:tcPr>
            <w:tcW w:w="2177" w:type="dxa"/>
            <w:tcMar>
              <w:top w:w="60" w:type="dxa"/>
              <w:left w:w="90" w:type="dxa"/>
              <w:bottom w:w="60" w:type="dxa"/>
              <w:right w:w="90" w:type="dxa"/>
            </w:tcMar>
          </w:tcPr>
          <w:p w14:paraId="277595F6" w14:textId="77777777" w:rsidR="005C4BF0" w:rsidRPr="00841015" w:rsidRDefault="00000000" w:rsidP="00CF51FB">
            <w:pPr>
              <w:spacing w:line="360" w:lineRule="auto"/>
              <w:jc w:val="both"/>
              <w:rPr>
                <w:sz w:val="20"/>
                <w:szCs w:val="20"/>
              </w:rPr>
            </w:pPr>
            <w:r w:rsidRPr="00841015">
              <w:rPr>
                <w:sz w:val="20"/>
                <w:szCs w:val="20"/>
              </w:rPr>
              <w:t>Fouling, cost, dissolved CH4 loss</w:t>
            </w:r>
          </w:p>
        </w:tc>
      </w:tr>
    </w:tbl>
    <w:p w14:paraId="4DA4F459" w14:textId="77777777" w:rsidR="005C4BF0" w:rsidRPr="00137D90" w:rsidRDefault="005C4BF0" w:rsidP="00CF51FB">
      <w:pPr>
        <w:spacing w:after="200" w:line="360" w:lineRule="auto"/>
        <w:jc w:val="both"/>
      </w:pPr>
    </w:p>
    <w:p w14:paraId="4C3EC808" w14:textId="6429C39E" w:rsidR="005C4BF0" w:rsidRPr="00137D90" w:rsidRDefault="00000000" w:rsidP="00CF51FB">
      <w:pPr>
        <w:spacing w:after="160" w:line="360" w:lineRule="auto"/>
        <w:ind w:firstLine="720"/>
        <w:jc w:val="both"/>
      </w:pPr>
      <w:r w:rsidRPr="00137D90">
        <w:t>Methane yield follows directly from COD conversion: theoretically 0.35 m</w:t>
      </w:r>
      <w:r w:rsidRPr="00137D90">
        <w:rPr>
          <w:vertAlign w:val="superscript"/>
        </w:rPr>
        <w:t>3</w:t>
      </w:r>
      <w:r w:rsidRPr="00137D90">
        <w:t xml:space="preserve"> CH</w:t>
      </w:r>
      <w:r w:rsidRPr="00137D90">
        <w:rPr>
          <w:vertAlign w:val="subscript"/>
        </w:rPr>
        <w:t>4</w:t>
      </w:r>
      <w:r w:rsidRPr="00137D90">
        <w:t xml:space="preserve"> per kilogram of COD removed at STP, with 0.20–0.30 m</w:t>
      </w:r>
      <w:r w:rsidRPr="00137D90">
        <w:rPr>
          <w:vertAlign w:val="superscript"/>
        </w:rPr>
        <w:t>3</w:t>
      </w:r>
      <w:r w:rsidRPr="00137D90">
        <w:t xml:space="preserve"> realised in practice after accounting for biomass synthesis, dissolved methane losses and sulphate reduction. A palm oil mill processing 60 t of fresh fruit bunches per hour, with POME at 50,000 mg L</w:t>
      </w:r>
      <w:r w:rsidRPr="00137D90">
        <w:rPr>
          <w:vertAlign w:val="superscript"/>
        </w:rPr>
        <w:t>-1</w:t>
      </w:r>
      <w:r w:rsidRPr="00137D90">
        <w:t xml:space="preserve"> COD and 85 % conversion, generates biogas in the megawatt range enough to displace fossil fuel in the mill's own boilers and, where grid interconnection exists, to export power.</w:t>
      </w:r>
    </w:p>
    <w:p w14:paraId="1F8CC29C" w14:textId="35E19CA2" w:rsidR="005C4BF0" w:rsidRPr="00137D90" w:rsidRDefault="00000000" w:rsidP="00CF51FB">
      <w:pPr>
        <w:spacing w:after="160" w:line="360" w:lineRule="auto"/>
        <w:ind w:firstLine="720"/>
        <w:jc w:val="both"/>
      </w:pPr>
      <w:r w:rsidRPr="00137D90">
        <w:rPr>
          <w:b/>
          <w:bCs/>
        </w:rPr>
        <w:t>Inhibition and control</w:t>
      </w:r>
      <w:r w:rsidR="00B405FA" w:rsidRPr="00137D90">
        <w:t>:</w:t>
      </w:r>
      <w:r w:rsidRPr="00137D90">
        <w:t xml:space="preserve"> Ammonia (from protein-rich dairy, meat and poultry streams), sulphide (from sulphate-rich spent wash, where sulphate-reducing bacteria compete with methanogens for electrons), long-chain fatty acids (from lipid-rich flows), phenolics (olive mill, coffee) and cyanogenic compounds (cassava) are the recurring inhibitors. Countermeasures are dilution or co-digestion to shift stoichiometry, biological or chemical sulphide removal from the gas and liquid phases, upstream lipid separation, and gradual acclimation of the inoculum. Operationally, VFA concentration and the IA/PA alkalinity ratio give earlier warning of instability than either pH or biogas flow, and should be the primary control variables (Chen </w:t>
      </w:r>
      <w:r w:rsidR="00863831" w:rsidRPr="00137D90">
        <w:rPr>
          <w:i/>
          <w:iCs/>
        </w:rPr>
        <w:t>et al</w:t>
      </w:r>
      <w:r w:rsidRPr="00137D90">
        <w:t xml:space="preserve">., 2008; Appels </w:t>
      </w:r>
      <w:r w:rsidR="00863831" w:rsidRPr="00137D90">
        <w:rPr>
          <w:i/>
          <w:iCs/>
        </w:rPr>
        <w:t>et al</w:t>
      </w:r>
      <w:r w:rsidRPr="00137D90">
        <w:t>., 2008).</w:t>
      </w:r>
    </w:p>
    <w:p w14:paraId="76129D21" w14:textId="38D6A076" w:rsidR="005C4BF0" w:rsidRPr="00137D90" w:rsidRDefault="00000000" w:rsidP="00CF51FB">
      <w:pPr>
        <w:spacing w:after="160" w:line="360" w:lineRule="auto"/>
        <w:ind w:firstLine="720"/>
        <w:jc w:val="both"/>
      </w:pPr>
      <w:r w:rsidRPr="00137D90">
        <w:t xml:space="preserve">Co-digestion. Because agro-industries cluster geographically, complementary substrates are usually available within a short haul  press cake, bagasse, fruit pomace, whey, manure, crop residues. Co-digestion corrects C:N ratio, dilutes inhibitors, adds trace elements (Fe, Ni, Co, Mo) essential to methanogenic enzymes, and improves the economics by raising volumetric methane productivity in an already-built reactor. It is, in most settings, the single most cost-effective intensification available (Hagos </w:t>
      </w:r>
      <w:r w:rsidR="00863831" w:rsidRPr="00137D90">
        <w:rPr>
          <w:i/>
          <w:iCs/>
        </w:rPr>
        <w:t>et al</w:t>
      </w:r>
      <w:r w:rsidRPr="00137D90">
        <w:t>., 2017).</w:t>
      </w:r>
    </w:p>
    <w:p w14:paraId="4322FF9D" w14:textId="77777777" w:rsidR="005C4BF0" w:rsidRPr="00137D90" w:rsidRDefault="00000000" w:rsidP="00CF51FB">
      <w:pPr>
        <w:pStyle w:val="Heading2"/>
        <w:spacing w:before="240" w:after="100" w:line="360" w:lineRule="auto"/>
        <w:jc w:val="both"/>
      </w:pPr>
      <w:r w:rsidRPr="00137D90">
        <w:t>5.3 Aerobic processes for polishing and nitrogen management</w:t>
      </w:r>
    </w:p>
    <w:p w14:paraId="30B4F0FE" w14:textId="77777777" w:rsidR="005C4BF0" w:rsidRPr="00137D90" w:rsidRDefault="00000000" w:rsidP="00CF51FB">
      <w:pPr>
        <w:spacing w:after="160" w:line="360" w:lineRule="auto"/>
        <w:ind w:firstLine="720"/>
        <w:jc w:val="both"/>
      </w:pPr>
      <w:r w:rsidRPr="00137D90">
        <w:t>Anaerobic effluent still carries residual COD, ammonium (released, not removed, during digestion), colour and odour. Aerobic polishing addresses these.</w:t>
      </w:r>
    </w:p>
    <w:p w14:paraId="288E1AA4" w14:textId="214B8F95" w:rsidR="005C4BF0" w:rsidRPr="00137D90" w:rsidRDefault="00000000" w:rsidP="00CF51FB">
      <w:pPr>
        <w:spacing w:after="160" w:line="360" w:lineRule="auto"/>
        <w:ind w:firstLine="720"/>
        <w:jc w:val="both"/>
      </w:pPr>
      <w:r w:rsidRPr="00137D90">
        <w:rPr>
          <w:b/>
          <w:bCs/>
        </w:rPr>
        <w:lastRenderedPageBreak/>
        <w:t xml:space="preserve">Sequencing batch reactors (SBRs) </w:t>
      </w:r>
      <w:r w:rsidRPr="00137D90">
        <w:t xml:space="preserve">perform fill, react, settle, decant and idle in one vessel, and their </w:t>
      </w:r>
      <w:r w:rsidR="00D922CC" w:rsidRPr="00137D90">
        <w:t>time-based</w:t>
      </w:r>
      <w:r w:rsidRPr="00137D90">
        <w:t xml:space="preserve"> operation suits batch-wise and seasonal agro-processing particularly well. By varying aeration within the cycle, a single tank achieves nitrification under aerobic conditions and denitrification under anoxic conditions, with the influent's own organic carbon serving as the electron donor avoiding the methanol dosing that external carbon sources would require.</w:t>
      </w:r>
    </w:p>
    <w:p w14:paraId="6EA0BB4D" w14:textId="6309594A" w:rsidR="005C4BF0" w:rsidRPr="00137D90" w:rsidRDefault="00000000" w:rsidP="00CF51FB">
      <w:pPr>
        <w:spacing w:after="160" w:line="360" w:lineRule="auto"/>
        <w:ind w:firstLine="720"/>
        <w:jc w:val="both"/>
      </w:pPr>
      <w:r w:rsidRPr="00137D90">
        <w:rPr>
          <w:b/>
          <w:bCs/>
        </w:rPr>
        <w:t xml:space="preserve">Moving bed biofilm reactors (MBBRs) </w:t>
      </w:r>
      <w:r w:rsidRPr="00137D90">
        <w:t>and integrated fixed</w:t>
      </w:r>
      <w:r w:rsidR="00DE7214" w:rsidRPr="00137D90">
        <w:t xml:space="preserve"> </w:t>
      </w:r>
      <w:r w:rsidRPr="00137D90">
        <w:t>film activated sludge retain biomass on suspended carriers, decoupling SRT from HRT without the settleability problems that plague high-load activated sludge treating carbohydrate-rich effluent where filamentous bulking and viscous sludge are chronic. Carrier</w:t>
      </w:r>
      <w:r w:rsidR="00DE7214" w:rsidRPr="00137D90">
        <w:t xml:space="preserve"> </w:t>
      </w:r>
      <w:r w:rsidRPr="00137D90">
        <w:t>based systems also absorb the shock loads typical of seasonal industries.</w:t>
      </w:r>
    </w:p>
    <w:p w14:paraId="273E5BE1" w14:textId="20C669DD" w:rsidR="005C4BF0" w:rsidRPr="00137D90" w:rsidRDefault="00000000" w:rsidP="00CF51FB">
      <w:pPr>
        <w:spacing w:after="160" w:line="360" w:lineRule="auto"/>
        <w:ind w:firstLine="720"/>
        <w:jc w:val="both"/>
      </w:pPr>
      <w:r w:rsidRPr="00137D90">
        <w:rPr>
          <w:b/>
          <w:bCs/>
        </w:rPr>
        <w:t xml:space="preserve">Membrane bioreactors (MBRs) </w:t>
      </w:r>
      <w:r w:rsidRPr="00137D90">
        <w:t>replace clarification with membrane filtration, permitting mixed liquor suspended solids of 8–15 g L</w:t>
      </w:r>
      <w:r w:rsidRPr="00137D90">
        <w:rPr>
          <w:vertAlign w:val="superscript"/>
        </w:rPr>
        <w:t>-1</w:t>
      </w:r>
      <w:r w:rsidRPr="00137D90">
        <w:t>, a compact footprint and an effluent free of suspended solids and most pathogens</w:t>
      </w:r>
      <w:r w:rsidR="00DE7214" w:rsidRPr="00137D90">
        <w:t xml:space="preserve">, </w:t>
      </w:r>
      <w:r w:rsidRPr="00137D90">
        <w:t>the appropriate choice where reuse is the objective and where land is scarce. The cost is aeration energy for fouling control and periodic chemical cleaning.</w:t>
      </w:r>
    </w:p>
    <w:p w14:paraId="48550FFE" w14:textId="0B62EEDB" w:rsidR="00ED314C" w:rsidRDefault="00000000" w:rsidP="00E5677E">
      <w:pPr>
        <w:spacing w:after="160" w:line="360" w:lineRule="auto"/>
        <w:ind w:firstLine="720"/>
        <w:jc w:val="both"/>
      </w:pPr>
      <w:r w:rsidRPr="00137D90">
        <w:rPr>
          <w:b/>
          <w:bCs/>
        </w:rPr>
        <w:t xml:space="preserve">Aeration as the dominant energy term. </w:t>
      </w:r>
      <w:r w:rsidRPr="00137D90">
        <w:t>Oxygen transfer typically accounts for 45–60 % of the energy demand of an aerobic plant. Transfer rate is governed by OTR = kLa · (C* − CL) · α · β · θ(T−20), with α accounting for the depression of kLa by surfactants and dissolved organics  frequently 0.4–0.6 in agro-effluent. Fine-bubble diffused aeration with dissolved-oxygen-based variable-speed blower control, and correct α-factor selection at design stage, are the practical levers. Over</w:t>
      </w:r>
      <w:r w:rsidR="00DE7214" w:rsidRPr="00137D90">
        <w:t xml:space="preserve"> </w:t>
      </w:r>
      <w:r w:rsidRPr="00137D90">
        <w:t>aeration is both an energy waste and a process fault, since it suppresses the anoxic zones on which denitrification depends.</w:t>
      </w:r>
    </w:p>
    <w:p w14:paraId="215F2EF5" w14:textId="659CB83E" w:rsidR="005C4BF0" w:rsidRPr="00137D90" w:rsidRDefault="00000000" w:rsidP="00CF51FB">
      <w:pPr>
        <w:pStyle w:val="Heading1"/>
        <w:spacing w:before="320" w:after="140" w:line="360" w:lineRule="auto"/>
        <w:jc w:val="both"/>
        <w:rPr>
          <w:sz w:val="24"/>
          <w:szCs w:val="24"/>
        </w:rPr>
      </w:pPr>
      <w:r w:rsidRPr="00137D90">
        <w:rPr>
          <w:sz w:val="24"/>
          <w:szCs w:val="24"/>
        </w:rPr>
        <w:t>6. ADVANCED OXIDATION AND ELECTROCHEMICAL PROCESSES</w:t>
      </w:r>
    </w:p>
    <w:p w14:paraId="5B994232" w14:textId="6F8A9BD3" w:rsidR="005C4BF0" w:rsidRPr="00137D90" w:rsidRDefault="00000000" w:rsidP="00CF51FB">
      <w:pPr>
        <w:spacing w:after="160" w:line="360" w:lineRule="auto"/>
        <w:ind w:firstLine="720"/>
        <w:jc w:val="both"/>
      </w:pPr>
      <w:r w:rsidRPr="00137D90">
        <w:t xml:space="preserve">Advanced oxidation processes (AOPs) generate hydroxyl radicals (E0 ≈ 2.8 V), which attack organic molecules with little selectivity. They are the standard answer to the recalcitrant fraction that survives biological treatment </w:t>
      </w:r>
      <w:r w:rsidR="00EC7EC7" w:rsidRPr="00137D90">
        <w:t xml:space="preserve">- </w:t>
      </w:r>
      <w:r w:rsidRPr="00137D90">
        <w:t>melanoidins, polyphenols, tannins, pesticide residues, colour.</w:t>
      </w:r>
    </w:p>
    <w:p w14:paraId="218D6629" w14:textId="77777777" w:rsidR="005C4BF0" w:rsidRPr="00137D90" w:rsidRDefault="00000000" w:rsidP="00CF51FB">
      <w:pPr>
        <w:pStyle w:val="Heading2"/>
        <w:spacing w:before="240" w:after="100" w:line="360" w:lineRule="auto"/>
        <w:jc w:val="both"/>
      </w:pPr>
      <w:r w:rsidRPr="00137D90">
        <w:t>6.1 Fenton and related processes</w:t>
      </w:r>
    </w:p>
    <w:p w14:paraId="4894FF3F" w14:textId="77777777" w:rsidR="005C4BF0" w:rsidRPr="00137D90" w:rsidRDefault="00000000" w:rsidP="00CF51FB">
      <w:pPr>
        <w:spacing w:after="160" w:line="360" w:lineRule="auto"/>
        <w:ind w:firstLine="720"/>
        <w:jc w:val="both"/>
      </w:pPr>
      <w:r w:rsidRPr="00137D90">
        <w:lastRenderedPageBreak/>
        <w:t>The classical Fenton reaction couples ferrous iron and hydrogen peroxide:</w:t>
      </w:r>
    </w:p>
    <w:p w14:paraId="1710F140" w14:textId="744CD5CF" w:rsidR="005C4BF0" w:rsidRPr="00137D90" w:rsidRDefault="00000000" w:rsidP="00CF51FB">
      <w:pPr>
        <w:spacing w:after="60" w:line="360" w:lineRule="auto"/>
        <w:jc w:val="center"/>
      </w:pPr>
      <w:r w:rsidRPr="00137D90">
        <w:rPr>
          <w:i/>
          <w:iCs/>
        </w:rPr>
        <w:t>Fe</w:t>
      </w:r>
      <w:r w:rsidRPr="00137D90">
        <w:rPr>
          <w:i/>
          <w:iCs/>
          <w:vertAlign w:val="superscript"/>
        </w:rPr>
        <w:t>2+</w:t>
      </w:r>
      <w:r w:rsidRPr="00137D90">
        <w:rPr>
          <w:i/>
          <w:iCs/>
        </w:rPr>
        <w:t xml:space="preserve"> + H</w:t>
      </w:r>
      <w:r w:rsidRPr="00137D90">
        <w:rPr>
          <w:i/>
          <w:iCs/>
          <w:vertAlign w:val="subscript"/>
        </w:rPr>
        <w:t>2</w:t>
      </w:r>
      <w:r w:rsidRPr="00137D90">
        <w:rPr>
          <w:i/>
          <w:iCs/>
        </w:rPr>
        <w:t>O</w:t>
      </w:r>
      <w:r w:rsidRPr="00137D90">
        <w:rPr>
          <w:i/>
          <w:iCs/>
          <w:vertAlign w:val="subscript"/>
        </w:rPr>
        <w:t>2</w:t>
      </w:r>
      <w:r w:rsidRPr="00137D90">
        <w:rPr>
          <w:i/>
          <w:iCs/>
        </w:rPr>
        <w:t xml:space="preserve"> → Fe</w:t>
      </w:r>
      <w:r w:rsidRPr="00137D90">
        <w:rPr>
          <w:i/>
          <w:iCs/>
          <w:vertAlign w:val="superscript"/>
        </w:rPr>
        <w:t>3+</w:t>
      </w:r>
      <w:r w:rsidRPr="00137D90">
        <w:rPr>
          <w:i/>
          <w:iCs/>
        </w:rPr>
        <w:t xml:space="preserve"> + OH• + OH−</w:t>
      </w:r>
    </w:p>
    <w:p w14:paraId="0003E42B" w14:textId="75080AC8" w:rsidR="005C4BF0" w:rsidRPr="00137D90" w:rsidRDefault="00000000" w:rsidP="00CF51FB">
      <w:pPr>
        <w:spacing w:after="180" w:line="360" w:lineRule="auto"/>
        <w:jc w:val="center"/>
      </w:pPr>
      <w:r w:rsidRPr="00137D90">
        <w:rPr>
          <w:i/>
          <w:iCs/>
        </w:rPr>
        <w:t>optimum near pH 3, with Fe</w:t>
      </w:r>
      <w:r w:rsidRPr="00137D90">
        <w:rPr>
          <w:i/>
          <w:iCs/>
          <w:vertAlign w:val="superscript"/>
        </w:rPr>
        <w:t>3+</w:t>
      </w:r>
      <w:r w:rsidRPr="00137D90">
        <w:rPr>
          <w:i/>
          <w:iCs/>
        </w:rPr>
        <w:t xml:space="preserve"> regenerated photochemically in photo-Fenton or cathodically in electro-Fenton</w:t>
      </w:r>
    </w:p>
    <w:p w14:paraId="3054F6C6" w14:textId="71BCBD4E" w:rsidR="005C4BF0" w:rsidRPr="00137D90" w:rsidRDefault="00000000" w:rsidP="00CF51FB">
      <w:pPr>
        <w:spacing w:after="160" w:line="360" w:lineRule="auto"/>
        <w:ind w:firstLine="720"/>
        <w:jc w:val="both"/>
      </w:pPr>
      <w:r w:rsidRPr="00137D90">
        <w:t>Fenton oxidation removes 60–90 % of COD and most colour from distillery and olive mill effluents, but demands acidification, produces iron sludge and requires post-neutralisation. Photo-Fenton, driven by solar ultraviolet and visible light, regenerates Fe</w:t>
      </w:r>
      <w:r w:rsidRPr="00137D90">
        <w:rPr>
          <w:vertAlign w:val="superscript"/>
        </w:rPr>
        <w:t>2+</w:t>
      </w:r>
      <w:r w:rsidRPr="00137D90">
        <w:t xml:space="preserve"> and lowers reagent consumption  a meaningful advantage in tropical agricultural regions with high insolation, where compound parabolic collector reactors can be built at modest cost. Electro</w:t>
      </w:r>
      <w:r w:rsidR="007222B4" w:rsidRPr="00137D90">
        <w:t xml:space="preserve"> </w:t>
      </w:r>
      <w:r w:rsidRPr="00137D90">
        <w:t xml:space="preserve">Fenton generates peroxide in situ at a carbonaceous cathode, eliminating peroxide storage and transport (Babuponnusami &amp; Muthukumar, 2014; Malato </w:t>
      </w:r>
      <w:r w:rsidR="00863831" w:rsidRPr="00137D90">
        <w:rPr>
          <w:i/>
          <w:iCs/>
        </w:rPr>
        <w:t>et al</w:t>
      </w:r>
      <w:r w:rsidRPr="00137D90">
        <w:t>., 2009).</w:t>
      </w:r>
    </w:p>
    <w:p w14:paraId="468BE9C4" w14:textId="77777777" w:rsidR="005C4BF0" w:rsidRPr="00137D90" w:rsidRDefault="00000000" w:rsidP="00CF51FB">
      <w:pPr>
        <w:pStyle w:val="Heading2"/>
        <w:spacing w:before="240" w:after="100" w:line="360" w:lineRule="auto"/>
        <w:jc w:val="both"/>
      </w:pPr>
      <w:r w:rsidRPr="00137D90">
        <w:t>6.2 Ozonation, catalytic ozonation and photocatalysis</w:t>
      </w:r>
    </w:p>
    <w:p w14:paraId="0093D1B8" w14:textId="1D4192D8" w:rsidR="005C4BF0" w:rsidRPr="00137D90" w:rsidRDefault="00000000" w:rsidP="00CF51FB">
      <w:pPr>
        <w:spacing w:after="160" w:line="360" w:lineRule="auto"/>
        <w:ind w:firstLine="720"/>
        <w:jc w:val="both"/>
      </w:pPr>
      <w:r w:rsidRPr="00137D90">
        <w:t>Ozone oxidises both directly and through hydroxyl radicals at elevated pH. It decolourises melanoidin</w:t>
      </w:r>
      <w:r w:rsidR="007E3D61" w:rsidRPr="00137D90">
        <w:t xml:space="preserve"> </w:t>
      </w:r>
      <w:r w:rsidRPr="00137D90">
        <w:t>bearing effluent efficiently and, at sub-stoichiometric doses, cleaves aromatic rings to produce more biodegradable fragments the basis of ozone</w:t>
      </w:r>
      <w:r w:rsidR="007E3D61" w:rsidRPr="00137D90">
        <w:t xml:space="preserve"> </w:t>
      </w:r>
      <w:r w:rsidRPr="00137D90">
        <w:t>biological hybrid schemes in which ozone is deliberately used as a conditioning rather than a mineralising agent. Its drawbacks are the energy cost of generation (roughly 10–20 kWh per kilogram of O</w:t>
      </w:r>
      <w:r w:rsidRPr="00137D90">
        <w:rPr>
          <w:vertAlign w:val="subscript"/>
        </w:rPr>
        <w:t>3</w:t>
      </w:r>
      <w:r w:rsidRPr="00137D90">
        <w:t xml:space="preserve"> from air) and low aqueous solubility, which makes gas</w:t>
      </w:r>
      <w:r w:rsidR="00A90C2F" w:rsidRPr="00137D90">
        <w:t xml:space="preserve"> </w:t>
      </w:r>
      <w:r w:rsidRPr="00137D90">
        <w:t>liquid mass transfer the limiting step and makes contactor design  venturi injectors, static mixers, membrane contactors as important as the chemistry.</w:t>
      </w:r>
    </w:p>
    <w:p w14:paraId="7EE81035" w14:textId="4B6C625D" w:rsidR="007E3D61" w:rsidRPr="00137D90" w:rsidRDefault="00000000" w:rsidP="00434766">
      <w:pPr>
        <w:spacing w:after="160" w:line="360" w:lineRule="auto"/>
        <w:ind w:firstLine="720"/>
        <w:jc w:val="both"/>
      </w:pPr>
      <w:r w:rsidRPr="00137D90">
        <w:t>Heterogeneous photocatalysis over TiO</w:t>
      </w:r>
      <w:r w:rsidRPr="00137D90">
        <w:rPr>
          <w:vertAlign w:val="subscript"/>
        </w:rPr>
        <w:t>2</w:t>
      </w:r>
      <w:r w:rsidRPr="00137D90">
        <w:t xml:space="preserve"> and its visible-light-active modifications (nitrogen doping, ZnO, g-C</w:t>
      </w:r>
      <w:r w:rsidRPr="00137D90">
        <w:rPr>
          <w:vertAlign w:val="subscript"/>
        </w:rPr>
        <w:t>3</w:t>
      </w:r>
      <w:r w:rsidRPr="00137D90">
        <w:t>N</w:t>
      </w:r>
      <w:r w:rsidRPr="00137D90">
        <w:rPr>
          <w:vertAlign w:val="subscript"/>
        </w:rPr>
        <w:t>4</w:t>
      </w:r>
      <w:r w:rsidRPr="00137D90">
        <w:t xml:space="preserve">, composite semiconductors) generates radicals under illumination without chemical dosing. Laboratory results are consistently encouraging; scale-up is constrained by photon transport in a turbid, strongly coloured matrix and by the need to immobilise or recover the catalyst. Photocatalysis is therefore best placed at the end of a train, on an already-clarified stream, where optical path length is not the limiting factor (Chong </w:t>
      </w:r>
      <w:r w:rsidR="00863831" w:rsidRPr="00137D90">
        <w:rPr>
          <w:i/>
          <w:iCs/>
        </w:rPr>
        <w:t>et al</w:t>
      </w:r>
      <w:r w:rsidRPr="00137D90">
        <w:t>., 2010).</w:t>
      </w:r>
    </w:p>
    <w:p w14:paraId="79D3676E" w14:textId="77AB3A4A" w:rsidR="005C4BF0" w:rsidRPr="00137D90" w:rsidRDefault="00000000" w:rsidP="00CF51FB">
      <w:pPr>
        <w:pStyle w:val="Heading2"/>
        <w:spacing w:before="240" w:after="100" w:line="360" w:lineRule="auto"/>
        <w:jc w:val="both"/>
      </w:pPr>
      <w:r w:rsidRPr="00137D90">
        <w:t>6.3 Electrochemical processes</w:t>
      </w:r>
    </w:p>
    <w:p w14:paraId="3E33E0DF" w14:textId="464E8324" w:rsidR="005C4BF0" w:rsidRPr="00137D90" w:rsidRDefault="00000000" w:rsidP="00CF51FB">
      <w:pPr>
        <w:spacing w:after="160" w:line="360" w:lineRule="auto"/>
        <w:ind w:firstLine="720"/>
        <w:jc w:val="both"/>
      </w:pPr>
      <w:r w:rsidRPr="00137D90">
        <w:t xml:space="preserve">Electrocoagulation dissolves sacrificial aluminium or iron anodes in situ, producing coagulant without added salts and generating hydrogen microbubbles that assist flotation. </w:t>
      </w:r>
      <w:r w:rsidRPr="00137D90">
        <w:lastRenderedPageBreak/>
        <w:t>Reported performance on dairy, slaughterhouse, olive mill and distillery effluent is 50–90 % COD removal at energy demands of 1–10 kWh m</w:t>
      </w:r>
      <w:r w:rsidRPr="00137D90">
        <w:rPr>
          <w:vertAlign w:val="superscript"/>
        </w:rPr>
        <w:t>-3</w:t>
      </w:r>
      <w:r w:rsidRPr="00137D90">
        <w:t xml:space="preserve">, with the advantages of compactness, simple control and low sludge volume, offset by electrode passivation and replacement (Moussa </w:t>
      </w:r>
      <w:r w:rsidR="00863831" w:rsidRPr="00137D90">
        <w:rPr>
          <w:i/>
          <w:iCs/>
        </w:rPr>
        <w:t>et al</w:t>
      </w:r>
      <w:r w:rsidRPr="00137D90">
        <w:t>., 2017).</w:t>
      </w:r>
    </w:p>
    <w:p w14:paraId="197D2FE8" w14:textId="47804948" w:rsidR="005C4BF0" w:rsidRPr="00137D90" w:rsidRDefault="00000000" w:rsidP="00474596">
      <w:pPr>
        <w:spacing w:after="160" w:line="360" w:lineRule="auto"/>
        <w:ind w:firstLine="720"/>
        <w:jc w:val="both"/>
      </w:pPr>
      <w:r w:rsidRPr="00137D90">
        <w:rPr>
          <w:b/>
          <w:bCs/>
        </w:rPr>
        <w:t xml:space="preserve">Anodic oxidation </w:t>
      </w:r>
      <w:r w:rsidRPr="00137D90">
        <w:t>on boron-doped diamond or mixed-metal-oxide anodes mineralises organics directly and through electrogenerated oxidants. Where chloride is present common in food processing active chlorine species contribute substantially, but the same chemistry risks chlorinated by-products, which must be assessed before any reuse application.</w:t>
      </w:r>
      <w:r w:rsidR="00474596" w:rsidRPr="00137D90">
        <w:t xml:space="preserve"> </w:t>
      </w:r>
      <w:r w:rsidRPr="00137D90">
        <w:t>Electrochemical units are modular, need no chemical storage, and run on electricity that can be supplied by on-site biogas or solar generation attributes that suit decentralised agro-processing sites. Their weakness is electrode cost and durability in a fouling</w:t>
      </w:r>
      <w:r w:rsidR="00AD403F" w:rsidRPr="00137D90">
        <w:t xml:space="preserve"> </w:t>
      </w:r>
      <w:r w:rsidRPr="00137D90">
        <w:t>prone matrix.</w:t>
      </w:r>
    </w:p>
    <w:p w14:paraId="72A3A847" w14:textId="77777777" w:rsidR="005C4BF0" w:rsidRPr="00137D90" w:rsidRDefault="00000000" w:rsidP="00CF51FB">
      <w:pPr>
        <w:pStyle w:val="Heading2"/>
        <w:spacing w:before="240" w:after="100" w:line="360" w:lineRule="auto"/>
        <w:jc w:val="both"/>
      </w:pPr>
      <w:r w:rsidRPr="00137D90">
        <w:t>6.4 Placement logic</w:t>
      </w:r>
    </w:p>
    <w:p w14:paraId="0B7B9333" w14:textId="77777777" w:rsidR="005C4BF0" w:rsidRPr="00137D90" w:rsidRDefault="00000000" w:rsidP="00CF51FB">
      <w:pPr>
        <w:spacing w:after="160" w:line="360" w:lineRule="auto"/>
        <w:ind w:firstLine="720"/>
        <w:jc w:val="both"/>
      </w:pPr>
      <w:r w:rsidRPr="00137D90">
        <w:t>AOPs are energy-intensive per unit COD removed and should never carry bulk load. Their correct position is either (i) after biological treatment, sized only for the recalcitrant residue, or (ii) before biological treatment at deliberately partial conversion, to raise the BOD5/COD ratio of an intrinsically non-biodegradable matrix such as olive mill wastewater from below 0.2 to above 0.4. Treating an AOP as a substitute for a bioreactor rather than a complement to one is the most frequent and most expensive design error in this area.</w:t>
      </w:r>
    </w:p>
    <w:p w14:paraId="1ECAB21E" w14:textId="77777777" w:rsidR="005C4BF0" w:rsidRPr="00137D90" w:rsidRDefault="00000000" w:rsidP="00CF51FB">
      <w:pPr>
        <w:pStyle w:val="Heading1"/>
        <w:spacing w:before="320" w:after="140" w:line="360" w:lineRule="auto"/>
        <w:jc w:val="both"/>
        <w:rPr>
          <w:sz w:val="24"/>
          <w:szCs w:val="24"/>
        </w:rPr>
      </w:pPr>
      <w:r w:rsidRPr="00137D90">
        <w:rPr>
          <w:sz w:val="24"/>
          <w:szCs w:val="24"/>
        </w:rPr>
        <w:t>7. ADSORPTION AND ION EXCHANGE</w:t>
      </w:r>
    </w:p>
    <w:p w14:paraId="611FF147" w14:textId="679F2D30" w:rsidR="005C4BF0" w:rsidRPr="00137D90" w:rsidRDefault="00000000" w:rsidP="00CF51FB">
      <w:pPr>
        <w:spacing w:after="160" w:line="360" w:lineRule="auto"/>
        <w:ind w:firstLine="720"/>
        <w:jc w:val="both"/>
      </w:pPr>
      <w:r w:rsidRPr="00137D90">
        <w:t>Adsorption removes colour, phenolics, residual COD and trace metals by partitioning them onto a solid surface. Activated carbon is the benchmark, with Langmuir and Freundlich isotherms describing equilibrium and pseudo</w:t>
      </w:r>
      <w:r w:rsidR="00AD403F" w:rsidRPr="00137D90">
        <w:t xml:space="preserve"> </w:t>
      </w:r>
      <w:r w:rsidRPr="00137D90">
        <w:t>second</w:t>
      </w:r>
      <w:r w:rsidR="00AD403F" w:rsidRPr="00137D90">
        <w:t xml:space="preserve"> </w:t>
      </w:r>
      <w:r w:rsidRPr="00137D90">
        <w:t>order models usually fitting the kinetics; fixed-bed design follows from breakthrough curve analysis and the Bohart–Adams or Thomas models.</w:t>
      </w:r>
    </w:p>
    <w:p w14:paraId="21781C78" w14:textId="5B5A39DA" w:rsidR="005C4BF0" w:rsidRPr="00137D90" w:rsidRDefault="00000000" w:rsidP="00CF51FB">
      <w:pPr>
        <w:spacing w:after="160" w:line="360" w:lineRule="auto"/>
        <w:ind w:firstLine="720"/>
        <w:jc w:val="both"/>
      </w:pPr>
      <w:r w:rsidRPr="00137D90">
        <w:t>For agro-industries the compelling development is that the adsorbent can be made from the industry's own residue. Rice husk, bagasse, coir pith, sawdust, coconut shell, groundnut shell, olive stones, cassava peel and fruit seeds all pyrolyse to biochar with surface areas from a few tens to over 1,000 m</w:t>
      </w:r>
      <w:r w:rsidRPr="00137D90">
        <w:rPr>
          <w:vertAlign w:val="superscript"/>
        </w:rPr>
        <w:t>2</w:t>
      </w:r>
      <w:r w:rsidRPr="00137D90">
        <w:t xml:space="preserve"> g</w:t>
      </w:r>
      <w:r w:rsidRPr="00137D90">
        <w:rPr>
          <w:vertAlign w:val="superscript"/>
        </w:rPr>
        <w:t>-1</w:t>
      </w:r>
      <w:r w:rsidRPr="00137D90">
        <w:t xml:space="preserve"> after chemical (KOH, H</w:t>
      </w:r>
      <w:r w:rsidRPr="00137D90">
        <w:rPr>
          <w:vertAlign w:val="subscript"/>
        </w:rPr>
        <w:t>3</w:t>
      </w:r>
      <w:r w:rsidRPr="00137D90">
        <w:t>PO</w:t>
      </w:r>
      <w:r w:rsidRPr="00137D90">
        <w:rPr>
          <w:vertAlign w:val="subscript"/>
        </w:rPr>
        <w:t>4</w:t>
      </w:r>
      <w:r w:rsidRPr="00137D90">
        <w:t>, ZnCl</w:t>
      </w:r>
      <w:r w:rsidRPr="00137D90">
        <w:rPr>
          <w:vertAlign w:val="subscript"/>
        </w:rPr>
        <w:t>2</w:t>
      </w:r>
      <w:r w:rsidRPr="00137D90">
        <w:t>) or physical (steam, CO</w:t>
      </w:r>
      <w:r w:rsidRPr="00137D90">
        <w:rPr>
          <w:vertAlign w:val="subscript"/>
        </w:rPr>
        <w:t>2</w:t>
      </w:r>
      <w:r w:rsidRPr="00137D90">
        <w:t xml:space="preserve">) activation. This closes two loops at once: a solid residue becomes a treatment material, and the spent, nutrient-loaded adsorbent becomes a soil amendment that returns carbon, phosphorus and ammonium to </w:t>
      </w:r>
      <w:r w:rsidRPr="00137D90">
        <w:lastRenderedPageBreak/>
        <w:t xml:space="preserve">the field  provided that what it has adsorbed is agronomically benign rather than a heavy-metal or micropollutant burden. Where the loading is hazardous, regeneration or controlled disposal is required, and the apparent circularity disappears (Ahmad </w:t>
      </w:r>
      <w:r w:rsidR="00863831" w:rsidRPr="00137D90">
        <w:rPr>
          <w:i/>
          <w:iCs/>
        </w:rPr>
        <w:t>et al</w:t>
      </w:r>
      <w:r w:rsidRPr="00137D90">
        <w:t xml:space="preserve">., 2014; Bhatnagar </w:t>
      </w:r>
      <w:r w:rsidR="00863831" w:rsidRPr="00137D90">
        <w:rPr>
          <w:i/>
          <w:iCs/>
        </w:rPr>
        <w:t>et al</w:t>
      </w:r>
      <w:r w:rsidRPr="00137D90">
        <w:t>., 2015).</w:t>
      </w:r>
    </w:p>
    <w:p w14:paraId="17E8DBBF" w14:textId="2BC9FB1B" w:rsidR="005C4BF0" w:rsidRPr="00137D90" w:rsidRDefault="00000000" w:rsidP="00CF51FB">
      <w:pPr>
        <w:spacing w:after="160" w:line="360" w:lineRule="auto"/>
        <w:ind w:firstLine="720"/>
        <w:jc w:val="both"/>
      </w:pPr>
      <w:r w:rsidRPr="00137D90">
        <w:t>Ion exchange is applied more narrowly, for selective ammonium removal on natural zeolites such as clinoptilolite, for nitrate polishing, and for water softening ahead of membranes or boilers. Its limitation in agro-effluent is the regenerant brine, which reintroduces a concentrated, saline residual requiring disposal and which, if land</w:t>
      </w:r>
      <w:r w:rsidR="000247D0" w:rsidRPr="00137D90">
        <w:t xml:space="preserve"> </w:t>
      </w:r>
      <w:r w:rsidRPr="00137D90">
        <w:t>applied, transfers a sodicity problem to the soil.</w:t>
      </w:r>
    </w:p>
    <w:p w14:paraId="5B42F20C" w14:textId="77777777" w:rsidR="005C4BF0" w:rsidRPr="00137D90" w:rsidRDefault="00000000" w:rsidP="00CF51FB">
      <w:pPr>
        <w:pStyle w:val="Heading1"/>
        <w:spacing w:before="320" w:after="140" w:line="360" w:lineRule="auto"/>
        <w:jc w:val="both"/>
        <w:rPr>
          <w:sz w:val="24"/>
          <w:szCs w:val="24"/>
        </w:rPr>
      </w:pPr>
      <w:r w:rsidRPr="00137D90">
        <w:rPr>
          <w:sz w:val="24"/>
          <w:szCs w:val="24"/>
        </w:rPr>
        <w:t>8. MEMBRANE SEPARATION</w:t>
      </w:r>
    </w:p>
    <w:p w14:paraId="324C9106" w14:textId="378DB195" w:rsidR="005C4BF0" w:rsidRPr="00137D90" w:rsidRDefault="00000000" w:rsidP="00CF51FB">
      <w:pPr>
        <w:spacing w:after="160" w:line="360" w:lineRule="auto"/>
        <w:ind w:firstLine="720"/>
        <w:jc w:val="both"/>
      </w:pPr>
      <w:r w:rsidRPr="00137D90">
        <w:t>Membranes separate by size exclusion, charge and solution</w:t>
      </w:r>
      <w:r w:rsidR="000247D0" w:rsidRPr="00137D90">
        <w:t xml:space="preserve"> </w:t>
      </w:r>
      <w:r w:rsidRPr="00137D90">
        <w:t>diffusion, and they are the only family of processes considered here that can produce water of a quality permitting unrestricted reuse while simultaneously concentrating the rejected material into a recoverable product.</w:t>
      </w:r>
    </w:p>
    <w:p w14:paraId="3E6464C7" w14:textId="77777777" w:rsidR="005C4BF0" w:rsidRPr="00137D90" w:rsidRDefault="00000000" w:rsidP="00CF51FB">
      <w:pPr>
        <w:spacing w:before="200" w:after="80" w:line="360" w:lineRule="auto"/>
        <w:jc w:val="both"/>
      </w:pPr>
      <w:r w:rsidRPr="00137D90">
        <w:rPr>
          <w:b/>
          <w:bCs/>
        </w:rPr>
        <w:t>Table 3. Membrane processes in agro-industrial applications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1700"/>
        <w:gridCol w:w="2500"/>
        <w:gridCol w:w="3100"/>
      </w:tblGrid>
      <w:tr w:rsidR="005C4BF0" w:rsidRPr="00515E58" w14:paraId="22D9CEED" w14:textId="77777777">
        <w:trPr>
          <w:tblHeader/>
        </w:trPr>
        <w:tc>
          <w:tcPr>
            <w:tcW w:w="1700" w:type="dxa"/>
            <w:shd w:val="clear" w:color="auto" w:fill="E8EEED"/>
            <w:tcMar>
              <w:top w:w="60" w:type="dxa"/>
              <w:left w:w="90" w:type="dxa"/>
              <w:bottom w:w="60" w:type="dxa"/>
              <w:right w:w="90" w:type="dxa"/>
            </w:tcMar>
          </w:tcPr>
          <w:p w14:paraId="2C7AF8B7" w14:textId="77777777" w:rsidR="005C4BF0" w:rsidRPr="00515E58" w:rsidRDefault="00000000" w:rsidP="00CF51FB">
            <w:pPr>
              <w:spacing w:line="360" w:lineRule="auto"/>
              <w:jc w:val="both"/>
              <w:rPr>
                <w:sz w:val="20"/>
                <w:szCs w:val="20"/>
              </w:rPr>
            </w:pPr>
            <w:r w:rsidRPr="00515E58">
              <w:rPr>
                <w:b/>
                <w:bCs/>
                <w:sz w:val="20"/>
                <w:szCs w:val="20"/>
              </w:rPr>
              <w:t>Process</w:t>
            </w:r>
          </w:p>
        </w:tc>
        <w:tc>
          <w:tcPr>
            <w:tcW w:w="1700" w:type="dxa"/>
            <w:shd w:val="clear" w:color="auto" w:fill="E8EEED"/>
            <w:tcMar>
              <w:top w:w="60" w:type="dxa"/>
              <w:left w:w="90" w:type="dxa"/>
              <w:bottom w:w="60" w:type="dxa"/>
              <w:right w:w="90" w:type="dxa"/>
            </w:tcMar>
          </w:tcPr>
          <w:p w14:paraId="04A456D5" w14:textId="77777777" w:rsidR="005C4BF0" w:rsidRPr="00515E58" w:rsidRDefault="00000000" w:rsidP="00CF51FB">
            <w:pPr>
              <w:spacing w:line="360" w:lineRule="auto"/>
              <w:jc w:val="both"/>
              <w:rPr>
                <w:sz w:val="20"/>
                <w:szCs w:val="20"/>
              </w:rPr>
            </w:pPr>
            <w:r w:rsidRPr="00515E58">
              <w:rPr>
                <w:b/>
                <w:bCs/>
                <w:sz w:val="20"/>
                <w:szCs w:val="20"/>
              </w:rPr>
              <w:t>Driving pressure</w:t>
            </w:r>
          </w:p>
        </w:tc>
        <w:tc>
          <w:tcPr>
            <w:tcW w:w="2500" w:type="dxa"/>
            <w:shd w:val="clear" w:color="auto" w:fill="E8EEED"/>
            <w:tcMar>
              <w:top w:w="60" w:type="dxa"/>
              <w:left w:w="90" w:type="dxa"/>
              <w:bottom w:w="60" w:type="dxa"/>
              <w:right w:w="90" w:type="dxa"/>
            </w:tcMar>
          </w:tcPr>
          <w:p w14:paraId="2FA3CE65" w14:textId="77777777" w:rsidR="005C4BF0" w:rsidRPr="00515E58" w:rsidRDefault="00000000" w:rsidP="00CF51FB">
            <w:pPr>
              <w:spacing w:line="360" w:lineRule="auto"/>
              <w:jc w:val="both"/>
              <w:rPr>
                <w:sz w:val="20"/>
                <w:szCs w:val="20"/>
              </w:rPr>
            </w:pPr>
            <w:r w:rsidRPr="00515E58">
              <w:rPr>
                <w:b/>
                <w:bCs/>
                <w:sz w:val="20"/>
                <w:szCs w:val="20"/>
              </w:rPr>
              <w:t>Retains</w:t>
            </w:r>
          </w:p>
        </w:tc>
        <w:tc>
          <w:tcPr>
            <w:tcW w:w="3100" w:type="dxa"/>
            <w:shd w:val="clear" w:color="auto" w:fill="E8EEED"/>
            <w:tcMar>
              <w:top w:w="60" w:type="dxa"/>
              <w:left w:w="90" w:type="dxa"/>
              <w:bottom w:w="60" w:type="dxa"/>
              <w:right w:w="90" w:type="dxa"/>
            </w:tcMar>
          </w:tcPr>
          <w:p w14:paraId="3A31C831" w14:textId="77777777" w:rsidR="005C4BF0" w:rsidRPr="00515E58" w:rsidRDefault="00000000" w:rsidP="00CF51FB">
            <w:pPr>
              <w:spacing w:line="360" w:lineRule="auto"/>
              <w:jc w:val="both"/>
              <w:rPr>
                <w:sz w:val="20"/>
                <w:szCs w:val="20"/>
              </w:rPr>
            </w:pPr>
            <w:r w:rsidRPr="00515E58">
              <w:rPr>
                <w:b/>
                <w:bCs/>
                <w:sz w:val="20"/>
                <w:szCs w:val="20"/>
              </w:rPr>
              <w:t>Agro-industrial role</w:t>
            </w:r>
          </w:p>
        </w:tc>
      </w:tr>
      <w:tr w:rsidR="005C4BF0" w:rsidRPr="00515E58" w14:paraId="3D378236" w14:textId="77777777">
        <w:tc>
          <w:tcPr>
            <w:tcW w:w="1700" w:type="dxa"/>
            <w:tcMar>
              <w:top w:w="60" w:type="dxa"/>
              <w:left w:w="90" w:type="dxa"/>
              <w:bottom w:w="60" w:type="dxa"/>
              <w:right w:w="90" w:type="dxa"/>
            </w:tcMar>
          </w:tcPr>
          <w:p w14:paraId="18E42CBF" w14:textId="77777777" w:rsidR="005C4BF0" w:rsidRPr="00515E58" w:rsidRDefault="00000000" w:rsidP="00CF51FB">
            <w:pPr>
              <w:spacing w:line="360" w:lineRule="auto"/>
              <w:jc w:val="both"/>
              <w:rPr>
                <w:sz w:val="20"/>
                <w:szCs w:val="20"/>
              </w:rPr>
            </w:pPr>
            <w:r w:rsidRPr="00515E58">
              <w:rPr>
                <w:sz w:val="20"/>
                <w:szCs w:val="20"/>
              </w:rPr>
              <w:t>Microfiltration</w:t>
            </w:r>
          </w:p>
        </w:tc>
        <w:tc>
          <w:tcPr>
            <w:tcW w:w="1700" w:type="dxa"/>
            <w:tcMar>
              <w:top w:w="60" w:type="dxa"/>
              <w:left w:w="90" w:type="dxa"/>
              <w:bottom w:w="60" w:type="dxa"/>
              <w:right w:w="90" w:type="dxa"/>
            </w:tcMar>
          </w:tcPr>
          <w:p w14:paraId="04955C47" w14:textId="77777777" w:rsidR="005C4BF0" w:rsidRPr="00515E58" w:rsidRDefault="00000000" w:rsidP="00CF51FB">
            <w:pPr>
              <w:spacing w:line="360" w:lineRule="auto"/>
              <w:jc w:val="both"/>
              <w:rPr>
                <w:sz w:val="20"/>
                <w:szCs w:val="20"/>
              </w:rPr>
            </w:pPr>
            <w:r w:rsidRPr="00515E58">
              <w:rPr>
                <w:sz w:val="20"/>
                <w:szCs w:val="20"/>
              </w:rPr>
              <w:t>0.1–2 bar</w:t>
            </w:r>
          </w:p>
        </w:tc>
        <w:tc>
          <w:tcPr>
            <w:tcW w:w="2500" w:type="dxa"/>
            <w:tcMar>
              <w:top w:w="60" w:type="dxa"/>
              <w:left w:w="90" w:type="dxa"/>
              <w:bottom w:w="60" w:type="dxa"/>
              <w:right w:w="90" w:type="dxa"/>
            </w:tcMar>
          </w:tcPr>
          <w:p w14:paraId="7101CECE" w14:textId="77777777" w:rsidR="005C4BF0" w:rsidRPr="00515E58" w:rsidRDefault="00000000" w:rsidP="00CF51FB">
            <w:pPr>
              <w:spacing w:line="360" w:lineRule="auto"/>
              <w:jc w:val="both"/>
              <w:rPr>
                <w:sz w:val="20"/>
                <w:szCs w:val="20"/>
              </w:rPr>
            </w:pPr>
            <w:r w:rsidRPr="00515E58">
              <w:rPr>
                <w:sz w:val="20"/>
                <w:szCs w:val="20"/>
              </w:rPr>
              <w:t>Suspended solids, bacteria</w:t>
            </w:r>
          </w:p>
        </w:tc>
        <w:tc>
          <w:tcPr>
            <w:tcW w:w="3100" w:type="dxa"/>
            <w:tcMar>
              <w:top w:w="60" w:type="dxa"/>
              <w:left w:w="90" w:type="dxa"/>
              <w:bottom w:w="60" w:type="dxa"/>
              <w:right w:w="90" w:type="dxa"/>
            </w:tcMar>
          </w:tcPr>
          <w:p w14:paraId="6D67ABD2" w14:textId="77777777" w:rsidR="005C4BF0" w:rsidRPr="00515E58" w:rsidRDefault="00000000" w:rsidP="00CF51FB">
            <w:pPr>
              <w:spacing w:line="360" w:lineRule="auto"/>
              <w:jc w:val="both"/>
              <w:rPr>
                <w:sz w:val="20"/>
                <w:szCs w:val="20"/>
              </w:rPr>
            </w:pPr>
            <w:r w:rsidRPr="00515E58">
              <w:rPr>
                <w:sz w:val="20"/>
                <w:szCs w:val="20"/>
              </w:rPr>
              <w:t>Clarification; MBR/AnMBR solids barrier</w:t>
            </w:r>
          </w:p>
        </w:tc>
      </w:tr>
      <w:tr w:rsidR="005C4BF0" w:rsidRPr="00515E58" w14:paraId="07E65A99" w14:textId="77777777">
        <w:tc>
          <w:tcPr>
            <w:tcW w:w="1700" w:type="dxa"/>
            <w:tcMar>
              <w:top w:w="60" w:type="dxa"/>
              <w:left w:w="90" w:type="dxa"/>
              <w:bottom w:w="60" w:type="dxa"/>
              <w:right w:w="90" w:type="dxa"/>
            </w:tcMar>
          </w:tcPr>
          <w:p w14:paraId="158B3340" w14:textId="77777777" w:rsidR="005C4BF0" w:rsidRPr="00515E58" w:rsidRDefault="00000000" w:rsidP="00CF51FB">
            <w:pPr>
              <w:spacing w:line="360" w:lineRule="auto"/>
              <w:jc w:val="both"/>
              <w:rPr>
                <w:sz w:val="20"/>
                <w:szCs w:val="20"/>
              </w:rPr>
            </w:pPr>
            <w:r w:rsidRPr="00515E58">
              <w:rPr>
                <w:sz w:val="20"/>
                <w:szCs w:val="20"/>
              </w:rPr>
              <w:t>Ultrafiltration</w:t>
            </w:r>
          </w:p>
        </w:tc>
        <w:tc>
          <w:tcPr>
            <w:tcW w:w="1700" w:type="dxa"/>
            <w:tcMar>
              <w:top w:w="60" w:type="dxa"/>
              <w:left w:w="90" w:type="dxa"/>
              <w:bottom w:w="60" w:type="dxa"/>
              <w:right w:w="90" w:type="dxa"/>
            </w:tcMar>
          </w:tcPr>
          <w:p w14:paraId="1839EBBB" w14:textId="77777777" w:rsidR="005C4BF0" w:rsidRPr="00515E58" w:rsidRDefault="00000000" w:rsidP="00CF51FB">
            <w:pPr>
              <w:spacing w:line="360" w:lineRule="auto"/>
              <w:jc w:val="both"/>
              <w:rPr>
                <w:sz w:val="20"/>
                <w:szCs w:val="20"/>
              </w:rPr>
            </w:pPr>
            <w:r w:rsidRPr="00515E58">
              <w:rPr>
                <w:sz w:val="20"/>
                <w:szCs w:val="20"/>
              </w:rPr>
              <w:t>1–10 bar</w:t>
            </w:r>
          </w:p>
        </w:tc>
        <w:tc>
          <w:tcPr>
            <w:tcW w:w="2500" w:type="dxa"/>
            <w:tcMar>
              <w:top w:w="60" w:type="dxa"/>
              <w:left w:w="90" w:type="dxa"/>
              <w:bottom w:w="60" w:type="dxa"/>
              <w:right w:w="90" w:type="dxa"/>
            </w:tcMar>
          </w:tcPr>
          <w:p w14:paraId="0115115F" w14:textId="77777777" w:rsidR="005C4BF0" w:rsidRPr="00515E58" w:rsidRDefault="00000000" w:rsidP="00CF51FB">
            <w:pPr>
              <w:spacing w:line="360" w:lineRule="auto"/>
              <w:jc w:val="both"/>
              <w:rPr>
                <w:sz w:val="20"/>
                <w:szCs w:val="20"/>
              </w:rPr>
            </w:pPr>
            <w:r w:rsidRPr="00515E58">
              <w:rPr>
                <w:sz w:val="20"/>
                <w:szCs w:val="20"/>
              </w:rPr>
              <w:t>Macromolecules, proteins, colloids</w:t>
            </w:r>
          </w:p>
        </w:tc>
        <w:tc>
          <w:tcPr>
            <w:tcW w:w="3100" w:type="dxa"/>
            <w:tcMar>
              <w:top w:w="60" w:type="dxa"/>
              <w:left w:w="90" w:type="dxa"/>
              <w:bottom w:w="60" w:type="dxa"/>
              <w:right w:w="90" w:type="dxa"/>
            </w:tcMar>
          </w:tcPr>
          <w:p w14:paraId="204811FA" w14:textId="77777777" w:rsidR="005C4BF0" w:rsidRPr="00515E58" w:rsidRDefault="00000000" w:rsidP="00CF51FB">
            <w:pPr>
              <w:spacing w:line="360" w:lineRule="auto"/>
              <w:jc w:val="both"/>
              <w:rPr>
                <w:sz w:val="20"/>
                <w:szCs w:val="20"/>
              </w:rPr>
            </w:pPr>
            <w:r w:rsidRPr="00515E58">
              <w:rPr>
                <w:sz w:val="20"/>
                <w:szCs w:val="20"/>
              </w:rPr>
              <w:t>Whey protein recovery; RO pretreatment</w:t>
            </w:r>
          </w:p>
        </w:tc>
      </w:tr>
      <w:tr w:rsidR="005C4BF0" w:rsidRPr="00515E58" w14:paraId="62633963" w14:textId="77777777">
        <w:tc>
          <w:tcPr>
            <w:tcW w:w="1700" w:type="dxa"/>
            <w:tcMar>
              <w:top w:w="60" w:type="dxa"/>
              <w:left w:w="90" w:type="dxa"/>
              <w:bottom w:w="60" w:type="dxa"/>
              <w:right w:w="90" w:type="dxa"/>
            </w:tcMar>
          </w:tcPr>
          <w:p w14:paraId="2B2E5618" w14:textId="77777777" w:rsidR="005C4BF0" w:rsidRPr="00515E58" w:rsidRDefault="00000000" w:rsidP="00CF51FB">
            <w:pPr>
              <w:spacing w:line="360" w:lineRule="auto"/>
              <w:jc w:val="both"/>
              <w:rPr>
                <w:sz w:val="20"/>
                <w:szCs w:val="20"/>
              </w:rPr>
            </w:pPr>
            <w:r w:rsidRPr="00515E58">
              <w:rPr>
                <w:sz w:val="20"/>
                <w:szCs w:val="20"/>
              </w:rPr>
              <w:t>Nanofiltration</w:t>
            </w:r>
          </w:p>
        </w:tc>
        <w:tc>
          <w:tcPr>
            <w:tcW w:w="1700" w:type="dxa"/>
            <w:tcMar>
              <w:top w:w="60" w:type="dxa"/>
              <w:left w:w="90" w:type="dxa"/>
              <w:bottom w:w="60" w:type="dxa"/>
              <w:right w:w="90" w:type="dxa"/>
            </w:tcMar>
          </w:tcPr>
          <w:p w14:paraId="2BA9A2E3" w14:textId="77777777" w:rsidR="005C4BF0" w:rsidRPr="00515E58" w:rsidRDefault="00000000" w:rsidP="00CF51FB">
            <w:pPr>
              <w:spacing w:line="360" w:lineRule="auto"/>
              <w:jc w:val="both"/>
              <w:rPr>
                <w:sz w:val="20"/>
                <w:szCs w:val="20"/>
              </w:rPr>
            </w:pPr>
            <w:r w:rsidRPr="00515E58">
              <w:rPr>
                <w:sz w:val="20"/>
                <w:szCs w:val="20"/>
              </w:rPr>
              <w:t>5–40 bar</w:t>
            </w:r>
          </w:p>
        </w:tc>
        <w:tc>
          <w:tcPr>
            <w:tcW w:w="2500" w:type="dxa"/>
            <w:tcMar>
              <w:top w:w="60" w:type="dxa"/>
              <w:left w:w="90" w:type="dxa"/>
              <w:bottom w:w="60" w:type="dxa"/>
              <w:right w:w="90" w:type="dxa"/>
            </w:tcMar>
          </w:tcPr>
          <w:p w14:paraId="25DA973A" w14:textId="77777777" w:rsidR="005C4BF0" w:rsidRPr="00515E58" w:rsidRDefault="00000000" w:rsidP="00CF51FB">
            <w:pPr>
              <w:spacing w:line="360" w:lineRule="auto"/>
              <w:jc w:val="both"/>
              <w:rPr>
                <w:sz w:val="20"/>
                <w:szCs w:val="20"/>
              </w:rPr>
            </w:pPr>
            <w:r w:rsidRPr="00515E58">
              <w:rPr>
                <w:sz w:val="20"/>
                <w:szCs w:val="20"/>
              </w:rPr>
              <w:t>Divalent ions, sugars, colour bodies</w:t>
            </w:r>
          </w:p>
        </w:tc>
        <w:tc>
          <w:tcPr>
            <w:tcW w:w="3100" w:type="dxa"/>
            <w:tcMar>
              <w:top w:w="60" w:type="dxa"/>
              <w:left w:w="90" w:type="dxa"/>
              <w:bottom w:w="60" w:type="dxa"/>
              <w:right w:w="90" w:type="dxa"/>
            </w:tcMar>
          </w:tcPr>
          <w:p w14:paraId="4DE8431B" w14:textId="77777777" w:rsidR="005C4BF0" w:rsidRPr="00515E58" w:rsidRDefault="00000000" w:rsidP="00CF51FB">
            <w:pPr>
              <w:spacing w:line="360" w:lineRule="auto"/>
              <w:jc w:val="both"/>
              <w:rPr>
                <w:sz w:val="20"/>
                <w:szCs w:val="20"/>
              </w:rPr>
            </w:pPr>
            <w:r w:rsidRPr="00515E58">
              <w:rPr>
                <w:sz w:val="20"/>
                <w:szCs w:val="20"/>
              </w:rPr>
              <w:t>Colour and hardness removal; lactose and polyphenol concentration</w:t>
            </w:r>
          </w:p>
        </w:tc>
      </w:tr>
      <w:tr w:rsidR="005C4BF0" w:rsidRPr="00515E58" w14:paraId="61E83891" w14:textId="77777777">
        <w:tc>
          <w:tcPr>
            <w:tcW w:w="1700" w:type="dxa"/>
            <w:tcMar>
              <w:top w:w="60" w:type="dxa"/>
              <w:left w:w="90" w:type="dxa"/>
              <w:bottom w:w="60" w:type="dxa"/>
              <w:right w:w="90" w:type="dxa"/>
            </w:tcMar>
          </w:tcPr>
          <w:p w14:paraId="139D7391" w14:textId="77777777" w:rsidR="005C4BF0" w:rsidRPr="00515E58" w:rsidRDefault="00000000" w:rsidP="00CF51FB">
            <w:pPr>
              <w:spacing w:line="360" w:lineRule="auto"/>
              <w:jc w:val="both"/>
              <w:rPr>
                <w:sz w:val="20"/>
                <w:szCs w:val="20"/>
              </w:rPr>
            </w:pPr>
            <w:r w:rsidRPr="00515E58">
              <w:rPr>
                <w:sz w:val="20"/>
                <w:szCs w:val="20"/>
              </w:rPr>
              <w:t>Reverse osmosis</w:t>
            </w:r>
          </w:p>
        </w:tc>
        <w:tc>
          <w:tcPr>
            <w:tcW w:w="1700" w:type="dxa"/>
            <w:tcMar>
              <w:top w:w="60" w:type="dxa"/>
              <w:left w:w="90" w:type="dxa"/>
              <w:bottom w:w="60" w:type="dxa"/>
              <w:right w:w="90" w:type="dxa"/>
            </w:tcMar>
          </w:tcPr>
          <w:p w14:paraId="1A674B08" w14:textId="77777777" w:rsidR="005C4BF0" w:rsidRPr="00515E58" w:rsidRDefault="00000000" w:rsidP="00CF51FB">
            <w:pPr>
              <w:spacing w:line="360" w:lineRule="auto"/>
              <w:jc w:val="both"/>
              <w:rPr>
                <w:sz w:val="20"/>
                <w:szCs w:val="20"/>
              </w:rPr>
            </w:pPr>
            <w:r w:rsidRPr="00515E58">
              <w:rPr>
                <w:sz w:val="20"/>
                <w:szCs w:val="20"/>
              </w:rPr>
              <w:t>15–80 bar</w:t>
            </w:r>
          </w:p>
        </w:tc>
        <w:tc>
          <w:tcPr>
            <w:tcW w:w="2500" w:type="dxa"/>
            <w:tcMar>
              <w:top w:w="60" w:type="dxa"/>
              <w:left w:w="90" w:type="dxa"/>
              <w:bottom w:w="60" w:type="dxa"/>
              <w:right w:w="90" w:type="dxa"/>
            </w:tcMar>
          </w:tcPr>
          <w:p w14:paraId="07B64515" w14:textId="77777777" w:rsidR="005C4BF0" w:rsidRPr="00515E58" w:rsidRDefault="00000000" w:rsidP="00CF51FB">
            <w:pPr>
              <w:spacing w:line="360" w:lineRule="auto"/>
              <w:jc w:val="both"/>
              <w:rPr>
                <w:sz w:val="20"/>
                <w:szCs w:val="20"/>
              </w:rPr>
            </w:pPr>
            <w:r w:rsidRPr="00515E58">
              <w:rPr>
                <w:sz w:val="20"/>
                <w:szCs w:val="20"/>
              </w:rPr>
              <w:t>Monovalent ions, nearly all solutes</w:t>
            </w:r>
          </w:p>
        </w:tc>
        <w:tc>
          <w:tcPr>
            <w:tcW w:w="3100" w:type="dxa"/>
            <w:tcMar>
              <w:top w:w="60" w:type="dxa"/>
              <w:left w:w="90" w:type="dxa"/>
              <w:bottom w:w="60" w:type="dxa"/>
              <w:right w:w="90" w:type="dxa"/>
            </w:tcMar>
          </w:tcPr>
          <w:p w14:paraId="7684DB91" w14:textId="77777777" w:rsidR="005C4BF0" w:rsidRPr="00515E58" w:rsidRDefault="00000000" w:rsidP="00CF51FB">
            <w:pPr>
              <w:spacing w:line="360" w:lineRule="auto"/>
              <w:jc w:val="both"/>
              <w:rPr>
                <w:sz w:val="20"/>
                <w:szCs w:val="20"/>
              </w:rPr>
            </w:pPr>
            <w:r w:rsidRPr="00515E58">
              <w:rPr>
                <w:sz w:val="20"/>
                <w:szCs w:val="20"/>
              </w:rPr>
              <w:t>Reclaimed water for reuse; volume reduction toward ZLD</w:t>
            </w:r>
          </w:p>
        </w:tc>
      </w:tr>
      <w:tr w:rsidR="005C4BF0" w:rsidRPr="00515E58" w14:paraId="1B5136EC" w14:textId="77777777">
        <w:tc>
          <w:tcPr>
            <w:tcW w:w="1700" w:type="dxa"/>
            <w:tcMar>
              <w:top w:w="60" w:type="dxa"/>
              <w:left w:w="90" w:type="dxa"/>
              <w:bottom w:w="60" w:type="dxa"/>
              <w:right w:w="90" w:type="dxa"/>
            </w:tcMar>
          </w:tcPr>
          <w:p w14:paraId="24CF0C49" w14:textId="77777777" w:rsidR="005C4BF0" w:rsidRPr="00515E58" w:rsidRDefault="00000000" w:rsidP="00CF51FB">
            <w:pPr>
              <w:spacing w:line="360" w:lineRule="auto"/>
              <w:jc w:val="both"/>
              <w:rPr>
                <w:sz w:val="20"/>
                <w:szCs w:val="20"/>
              </w:rPr>
            </w:pPr>
            <w:r w:rsidRPr="00515E58">
              <w:rPr>
                <w:sz w:val="20"/>
                <w:szCs w:val="20"/>
              </w:rPr>
              <w:t>Forward osmosis</w:t>
            </w:r>
          </w:p>
        </w:tc>
        <w:tc>
          <w:tcPr>
            <w:tcW w:w="1700" w:type="dxa"/>
            <w:tcMar>
              <w:top w:w="60" w:type="dxa"/>
              <w:left w:w="90" w:type="dxa"/>
              <w:bottom w:w="60" w:type="dxa"/>
              <w:right w:w="90" w:type="dxa"/>
            </w:tcMar>
          </w:tcPr>
          <w:p w14:paraId="36171ECB" w14:textId="77777777" w:rsidR="005C4BF0" w:rsidRPr="00515E58" w:rsidRDefault="00000000" w:rsidP="00CF51FB">
            <w:pPr>
              <w:spacing w:line="360" w:lineRule="auto"/>
              <w:jc w:val="both"/>
              <w:rPr>
                <w:sz w:val="20"/>
                <w:szCs w:val="20"/>
              </w:rPr>
            </w:pPr>
            <w:r w:rsidRPr="00515E58">
              <w:rPr>
                <w:sz w:val="20"/>
                <w:szCs w:val="20"/>
              </w:rPr>
              <w:t>Osmotic gradient</w:t>
            </w:r>
          </w:p>
        </w:tc>
        <w:tc>
          <w:tcPr>
            <w:tcW w:w="2500" w:type="dxa"/>
            <w:tcMar>
              <w:top w:w="60" w:type="dxa"/>
              <w:left w:w="90" w:type="dxa"/>
              <w:bottom w:w="60" w:type="dxa"/>
              <w:right w:w="90" w:type="dxa"/>
            </w:tcMar>
          </w:tcPr>
          <w:p w14:paraId="30051628" w14:textId="77777777" w:rsidR="005C4BF0" w:rsidRPr="00515E58" w:rsidRDefault="00000000" w:rsidP="00CF51FB">
            <w:pPr>
              <w:spacing w:line="360" w:lineRule="auto"/>
              <w:jc w:val="both"/>
              <w:rPr>
                <w:sz w:val="20"/>
                <w:szCs w:val="20"/>
              </w:rPr>
            </w:pPr>
            <w:r w:rsidRPr="00515E58">
              <w:rPr>
                <w:sz w:val="20"/>
                <w:szCs w:val="20"/>
              </w:rPr>
              <w:t>As above, low hydraulic pressure</w:t>
            </w:r>
          </w:p>
        </w:tc>
        <w:tc>
          <w:tcPr>
            <w:tcW w:w="3100" w:type="dxa"/>
            <w:tcMar>
              <w:top w:w="60" w:type="dxa"/>
              <w:left w:w="90" w:type="dxa"/>
              <w:bottom w:w="60" w:type="dxa"/>
              <w:right w:w="90" w:type="dxa"/>
            </w:tcMar>
          </w:tcPr>
          <w:p w14:paraId="4E2FD027" w14:textId="77777777" w:rsidR="005C4BF0" w:rsidRPr="00515E58" w:rsidRDefault="00000000" w:rsidP="00CF51FB">
            <w:pPr>
              <w:spacing w:line="360" w:lineRule="auto"/>
              <w:jc w:val="both"/>
              <w:rPr>
                <w:sz w:val="20"/>
                <w:szCs w:val="20"/>
              </w:rPr>
            </w:pPr>
            <w:r w:rsidRPr="00515E58">
              <w:rPr>
                <w:sz w:val="20"/>
                <w:szCs w:val="20"/>
              </w:rPr>
              <w:t>Concentrating high-fouling streams; fertiliser-drawn FO</w:t>
            </w:r>
          </w:p>
        </w:tc>
      </w:tr>
      <w:tr w:rsidR="005C4BF0" w:rsidRPr="00515E58" w14:paraId="584CDAC7" w14:textId="77777777">
        <w:tc>
          <w:tcPr>
            <w:tcW w:w="1700" w:type="dxa"/>
            <w:tcMar>
              <w:top w:w="60" w:type="dxa"/>
              <w:left w:w="90" w:type="dxa"/>
              <w:bottom w:w="60" w:type="dxa"/>
              <w:right w:w="90" w:type="dxa"/>
            </w:tcMar>
          </w:tcPr>
          <w:p w14:paraId="15B4AB8B" w14:textId="77777777" w:rsidR="005C4BF0" w:rsidRPr="00515E58" w:rsidRDefault="00000000" w:rsidP="00CF51FB">
            <w:pPr>
              <w:spacing w:line="360" w:lineRule="auto"/>
              <w:jc w:val="both"/>
              <w:rPr>
                <w:sz w:val="20"/>
                <w:szCs w:val="20"/>
              </w:rPr>
            </w:pPr>
            <w:r w:rsidRPr="00515E58">
              <w:rPr>
                <w:sz w:val="20"/>
                <w:szCs w:val="20"/>
              </w:rPr>
              <w:t>Membrane distillation</w:t>
            </w:r>
          </w:p>
        </w:tc>
        <w:tc>
          <w:tcPr>
            <w:tcW w:w="1700" w:type="dxa"/>
            <w:tcMar>
              <w:top w:w="60" w:type="dxa"/>
              <w:left w:w="90" w:type="dxa"/>
              <w:bottom w:w="60" w:type="dxa"/>
              <w:right w:w="90" w:type="dxa"/>
            </w:tcMar>
          </w:tcPr>
          <w:p w14:paraId="4F25A2A0" w14:textId="77777777" w:rsidR="005C4BF0" w:rsidRPr="00515E58" w:rsidRDefault="00000000" w:rsidP="00CF51FB">
            <w:pPr>
              <w:spacing w:line="360" w:lineRule="auto"/>
              <w:jc w:val="both"/>
              <w:rPr>
                <w:sz w:val="20"/>
                <w:szCs w:val="20"/>
              </w:rPr>
            </w:pPr>
            <w:r w:rsidRPr="00515E58">
              <w:rPr>
                <w:sz w:val="20"/>
                <w:szCs w:val="20"/>
              </w:rPr>
              <w:t>Thermal gradient</w:t>
            </w:r>
          </w:p>
        </w:tc>
        <w:tc>
          <w:tcPr>
            <w:tcW w:w="2500" w:type="dxa"/>
            <w:tcMar>
              <w:top w:w="60" w:type="dxa"/>
              <w:left w:w="90" w:type="dxa"/>
              <w:bottom w:w="60" w:type="dxa"/>
              <w:right w:w="90" w:type="dxa"/>
            </w:tcMar>
          </w:tcPr>
          <w:p w14:paraId="71DCB7A1" w14:textId="77777777" w:rsidR="005C4BF0" w:rsidRPr="00515E58" w:rsidRDefault="00000000" w:rsidP="00CF51FB">
            <w:pPr>
              <w:spacing w:line="360" w:lineRule="auto"/>
              <w:jc w:val="both"/>
              <w:rPr>
                <w:sz w:val="20"/>
                <w:szCs w:val="20"/>
              </w:rPr>
            </w:pPr>
            <w:r w:rsidRPr="00515E58">
              <w:rPr>
                <w:sz w:val="20"/>
                <w:szCs w:val="20"/>
              </w:rPr>
              <w:t>All non-volatiles</w:t>
            </w:r>
          </w:p>
        </w:tc>
        <w:tc>
          <w:tcPr>
            <w:tcW w:w="3100" w:type="dxa"/>
            <w:tcMar>
              <w:top w:w="60" w:type="dxa"/>
              <w:left w:w="90" w:type="dxa"/>
              <w:bottom w:w="60" w:type="dxa"/>
              <w:right w:w="90" w:type="dxa"/>
            </w:tcMar>
          </w:tcPr>
          <w:p w14:paraId="3B7D7DB8" w14:textId="77777777" w:rsidR="005C4BF0" w:rsidRPr="00515E58" w:rsidRDefault="00000000" w:rsidP="00CF51FB">
            <w:pPr>
              <w:spacing w:line="360" w:lineRule="auto"/>
              <w:jc w:val="both"/>
              <w:rPr>
                <w:sz w:val="20"/>
                <w:szCs w:val="20"/>
              </w:rPr>
            </w:pPr>
            <w:r w:rsidRPr="00515E58">
              <w:rPr>
                <w:sz w:val="20"/>
                <w:szCs w:val="20"/>
              </w:rPr>
              <w:t>Brine concentration using waste heat</w:t>
            </w:r>
          </w:p>
        </w:tc>
      </w:tr>
    </w:tbl>
    <w:p w14:paraId="1771E374" w14:textId="77777777" w:rsidR="005C4BF0" w:rsidRPr="00137D90" w:rsidRDefault="005C4BF0" w:rsidP="00CF51FB">
      <w:pPr>
        <w:spacing w:after="200" w:line="360" w:lineRule="auto"/>
        <w:jc w:val="both"/>
      </w:pPr>
    </w:p>
    <w:p w14:paraId="072FA6D8" w14:textId="47352125" w:rsidR="005C4BF0" w:rsidRPr="00137D90" w:rsidRDefault="00000000" w:rsidP="00CF51FB">
      <w:pPr>
        <w:spacing w:after="160" w:line="360" w:lineRule="auto"/>
        <w:ind w:firstLine="720"/>
        <w:jc w:val="both"/>
      </w:pPr>
      <w:r w:rsidRPr="00137D90">
        <w:lastRenderedPageBreak/>
        <w:t>Two aspects deserve emphasis. First, fouling  organic adsorption, colloidal cake formation, inorganic scaling and biofouling is the governing operational reality in agro-effluent, whose foulants are precisely the proteins, polysaccharides and lipids that membranes retain best. Control is a design question (crossflow velocity, spacer geometry, flux operated below the critical value, air scouring) before it is a cleaning question (alkaline, acidic and enzymatic cycles), and chronic over-flux operation shortens membrane life far more than inadequate cleaning does.</w:t>
      </w:r>
    </w:p>
    <w:p w14:paraId="4A206DCE" w14:textId="6B613399" w:rsidR="005C4BF0" w:rsidRPr="00137D90" w:rsidRDefault="00000000" w:rsidP="00CF51FB">
      <w:pPr>
        <w:spacing w:after="160" w:line="360" w:lineRule="auto"/>
        <w:ind w:firstLine="720"/>
        <w:jc w:val="both"/>
      </w:pPr>
      <w:r w:rsidRPr="00137D90">
        <w:t>Second, fertiliser-drawn forward osmosis is of particular interest to this journal's readership: a concentrated fertiliser solution (KCl, KNO</w:t>
      </w:r>
      <w:r w:rsidRPr="00137D90">
        <w:rPr>
          <w:vertAlign w:val="subscript"/>
        </w:rPr>
        <w:t>3</w:t>
      </w:r>
      <w:r w:rsidRPr="00137D90">
        <w:t>, NH</w:t>
      </w:r>
      <w:r w:rsidRPr="00137D90">
        <w:rPr>
          <w:vertAlign w:val="subscript"/>
        </w:rPr>
        <w:t>4</w:t>
      </w:r>
      <w:r w:rsidRPr="00137D90">
        <w:t>H</w:t>
      </w:r>
      <w:r w:rsidRPr="00137D90">
        <w:rPr>
          <w:vertAlign w:val="subscript"/>
        </w:rPr>
        <w:t>2</w:t>
      </w:r>
      <w:r w:rsidRPr="00137D90">
        <w:t>PO</w:t>
      </w:r>
      <w:r w:rsidRPr="00137D90">
        <w:rPr>
          <w:vertAlign w:val="subscript"/>
        </w:rPr>
        <w:t>4</w:t>
      </w:r>
      <w:r w:rsidRPr="00137D90">
        <w:t xml:space="preserve">) serves as draw solution, water permeates from the treated effluent to dilute it, and the diluted draw solution is applied directly through fertigation without a regeneration step. The economics depend on the diluted draw meeting agronomic concentration requirements, and reverse salt flux must be quantified, but the concept removes the energy penalty of draw recovery that limits forward osmosis elsewhere (Phuntsho </w:t>
      </w:r>
      <w:r w:rsidR="00863831" w:rsidRPr="00137D90">
        <w:rPr>
          <w:i/>
          <w:iCs/>
        </w:rPr>
        <w:t>et al</w:t>
      </w:r>
      <w:r w:rsidRPr="00137D90">
        <w:t xml:space="preserve">., 2011; Shannon </w:t>
      </w:r>
      <w:r w:rsidR="00863831" w:rsidRPr="00137D90">
        <w:rPr>
          <w:i/>
          <w:iCs/>
        </w:rPr>
        <w:t>et al</w:t>
      </w:r>
      <w:r w:rsidRPr="00137D90">
        <w:t>., 2008).</w:t>
      </w:r>
    </w:p>
    <w:p w14:paraId="592160A9" w14:textId="77777777" w:rsidR="005C4BF0" w:rsidRPr="00137D90" w:rsidRDefault="00000000" w:rsidP="00CF51FB">
      <w:pPr>
        <w:pStyle w:val="Heading1"/>
        <w:spacing w:before="320" w:after="140" w:line="360" w:lineRule="auto"/>
        <w:jc w:val="both"/>
        <w:rPr>
          <w:sz w:val="24"/>
          <w:szCs w:val="24"/>
        </w:rPr>
      </w:pPr>
      <w:r w:rsidRPr="00137D90">
        <w:rPr>
          <w:sz w:val="24"/>
          <w:szCs w:val="24"/>
        </w:rPr>
        <w:t>9. RESOURCE RECOVERY AND THE CIRCULAR AGRO-INDUSTRIAL PLANT</w:t>
      </w:r>
    </w:p>
    <w:p w14:paraId="708611A7" w14:textId="77777777" w:rsidR="005C4BF0" w:rsidRPr="00137D90" w:rsidRDefault="00000000" w:rsidP="00CF51FB">
      <w:pPr>
        <w:pStyle w:val="Heading2"/>
        <w:spacing w:before="240" w:after="100" w:line="360" w:lineRule="auto"/>
        <w:jc w:val="both"/>
      </w:pPr>
      <w:r w:rsidRPr="00137D90">
        <w:t>9.1 Energy</w:t>
      </w:r>
    </w:p>
    <w:p w14:paraId="626020D6" w14:textId="5278BAD1" w:rsidR="005C4BF0" w:rsidRPr="00137D90" w:rsidRDefault="00000000" w:rsidP="00CF51FB">
      <w:pPr>
        <w:spacing w:after="160" w:line="360" w:lineRule="auto"/>
        <w:ind w:firstLine="720"/>
        <w:jc w:val="both"/>
      </w:pPr>
      <w:r w:rsidRPr="00137D90">
        <w:t>Biogas is the primary recovered product. Raw biogas at 55–70 % methane can fuel boilers directly; combined heat and power engines supply electricity and hot water; upgrading by water scrubbing, amine absorption, pressure swing adsorption or membrane permeation yields biomethane of pipeline or vehicle-fuel quality. Hydrogen sulphide removal biological, iron-oxide or activated</w:t>
      </w:r>
      <w:r w:rsidR="003C7A95" w:rsidRPr="00137D90">
        <w:t xml:space="preserve"> </w:t>
      </w:r>
      <w:r w:rsidRPr="00137D90">
        <w:t>carbon based is non-negotiable upstream of any engine or upgrading unit, since H</w:t>
      </w:r>
      <w:r w:rsidRPr="00137D90">
        <w:rPr>
          <w:vertAlign w:val="subscript"/>
        </w:rPr>
        <w:t>2</w:t>
      </w:r>
      <w:r w:rsidRPr="00137D90">
        <w:t>S corrodes rapidly and poisons catalysts. Where digester heat and mill waste heat coincide, as in sugar and palm complexes, integrating the digester with the existing steam system is usually more valuable than power export.</w:t>
      </w:r>
    </w:p>
    <w:p w14:paraId="1CD8A49C" w14:textId="77777777" w:rsidR="005C4BF0" w:rsidRPr="00137D90" w:rsidRDefault="00000000" w:rsidP="00CF51FB">
      <w:pPr>
        <w:pStyle w:val="Heading2"/>
        <w:spacing w:before="240" w:after="100" w:line="360" w:lineRule="auto"/>
        <w:jc w:val="both"/>
      </w:pPr>
      <w:r w:rsidRPr="00137D90">
        <w:t>9.2 Nutrients</w:t>
      </w:r>
    </w:p>
    <w:p w14:paraId="3E2FB99B" w14:textId="69B3A088" w:rsidR="005C4BF0" w:rsidRPr="00137D90" w:rsidRDefault="00000000" w:rsidP="00CF51FB">
      <w:pPr>
        <w:spacing w:after="160" w:line="360" w:lineRule="auto"/>
        <w:ind w:firstLine="720"/>
        <w:jc w:val="both"/>
      </w:pPr>
      <w:r w:rsidRPr="00137D90">
        <w:t xml:space="preserve">Struvite crystallisation, introduced in Section 4.4, recovers phosphorus and ammonium as a granular, </w:t>
      </w:r>
      <w:r w:rsidR="00F64E52" w:rsidRPr="00137D90">
        <w:t>slow-release</w:t>
      </w:r>
      <w:r w:rsidRPr="00137D90">
        <w:t xml:space="preserve"> fertiliser with low solubility in water but availability in the rhizosphere, and with negligible heavy</w:t>
      </w:r>
      <w:r w:rsidR="00B7766E" w:rsidRPr="00137D90">
        <w:t xml:space="preserve"> </w:t>
      </w:r>
      <w:r w:rsidRPr="00137D90">
        <w:t>metal content compared with some rock</w:t>
      </w:r>
      <w:r w:rsidR="00841484" w:rsidRPr="00137D90">
        <w:t xml:space="preserve"> </w:t>
      </w:r>
      <w:r w:rsidRPr="00137D90">
        <w:t>phosphate</w:t>
      </w:r>
      <w:r w:rsidR="00841484" w:rsidRPr="00137D90">
        <w:t xml:space="preserve"> </w:t>
      </w:r>
      <w:r w:rsidRPr="00137D90">
        <w:t xml:space="preserve">derived products. Crystalliser design typically a fluidised bed with controlled supersaturation, seed recycle and </w:t>
      </w:r>
      <w:r w:rsidRPr="00137D90">
        <w:lastRenderedPageBreak/>
        <w:t>residence time tuned to produce granules of 1–3 mm rather than unusable fines is a classical crystallisation engineering problem: nucleation and growth must be balanced, and supersaturation controlled through magnesium dosing, pH adjustment by aeration-driven CO</w:t>
      </w:r>
      <w:r w:rsidRPr="00137D90">
        <w:rPr>
          <w:vertAlign w:val="subscript"/>
        </w:rPr>
        <w:t>2</w:t>
      </w:r>
      <w:r w:rsidRPr="00137D90">
        <w:t xml:space="preserve"> stripping rather than caustic addition where possible, and mixing intensity.</w:t>
      </w:r>
    </w:p>
    <w:p w14:paraId="47F04D58" w14:textId="2D2CC9A8" w:rsidR="005C4BF0" w:rsidRPr="00137D90" w:rsidRDefault="00000000" w:rsidP="00CF51FB">
      <w:pPr>
        <w:spacing w:after="160" w:line="360" w:lineRule="auto"/>
        <w:ind w:firstLine="720"/>
        <w:jc w:val="both"/>
      </w:pPr>
      <w:r w:rsidRPr="00137D90">
        <w:t>Ammonia stripping at elevated pH and temperature, with acid absorption of the stripped gas, produces ammonium sulphate solution again a direct fertiliser product. This is well matched to the high-ammonia digestate from slaughterhouse, poultry and dairy digestion, where it also relieves ammonia inhibition in the digester if applied to a recycle stream. Potassium</w:t>
      </w:r>
      <w:r w:rsidR="007F1631" w:rsidRPr="00137D90">
        <w:t xml:space="preserve"> </w:t>
      </w:r>
      <w:r w:rsidRPr="00137D90">
        <w:t xml:space="preserve">rich distillery spent wash, after controlled </w:t>
      </w:r>
      <w:r w:rsidR="00AD403F" w:rsidRPr="00137D90">
        <w:t>bio methanation</w:t>
      </w:r>
      <w:r w:rsidRPr="00137D90">
        <w:t xml:space="preserve"> and composting with press mud, yields an organic manure whose potassium content is agronomically significant the basis of </w:t>
      </w:r>
      <w:r w:rsidR="007F1631" w:rsidRPr="00137D90">
        <w:t>long</w:t>
      </w:r>
      <w:r w:rsidR="00AD403F" w:rsidRPr="00137D90">
        <w:t xml:space="preserve"> </w:t>
      </w:r>
      <w:r w:rsidR="007F1631" w:rsidRPr="00137D90">
        <w:t>established</w:t>
      </w:r>
      <w:r w:rsidRPr="00137D90">
        <w:t xml:space="preserve"> bio-composting practice in cane-growing regions (Le Corre </w:t>
      </w:r>
      <w:r w:rsidR="00863831" w:rsidRPr="00137D90">
        <w:rPr>
          <w:i/>
          <w:iCs/>
        </w:rPr>
        <w:t>et al</w:t>
      </w:r>
      <w:r w:rsidRPr="00137D90">
        <w:t xml:space="preserve">., 2009; Rahman </w:t>
      </w:r>
      <w:r w:rsidR="00863831" w:rsidRPr="00137D90">
        <w:rPr>
          <w:i/>
          <w:iCs/>
        </w:rPr>
        <w:t>et al</w:t>
      </w:r>
      <w:r w:rsidRPr="00137D90">
        <w:t>., 2014).</w:t>
      </w:r>
    </w:p>
    <w:p w14:paraId="68D4013B" w14:textId="77777777" w:rsidR="005C4BF0" w:rsidRPr="00137D90" w:rsidRDefault="00000000" w:rsidP="00CF51FB">
      <w:pPr>
        <w:pStyle w:val="Heading2"/>
        <w:spacing w:before="240" w:after="100" w:line="360" w:lineRule="auto"/>
        <w:jc w:val="both"/>
      </w:pPr>
      <w:r w:rsidRPr="00137D90">
        <w:t>9.3 Chemicals and materials</w:t>
      </w:r>
    </w:p>
    <w:p w14:paraId="28403397" w14:textId="350795E5" w:rsidR="005C4BF0" w:rsidRPr="00137D90" w:rsidRDefault="00000000" w:rsidP="00CF51FB">
      <w:pPr>
        <w:spacing w:after="160" w:line="360" w:lineRule="auto"/>
        <w:ind w:firstLine="720"/>
        <w:jc w:val="both"/>
      </w:pPr>
      <w:r w:rsidRPr="00137D90">
        <w:t xml:space="preserve">Arrested anaerobic digestion halting the process at the acidogenic stage by controlling pH, SRT and inoculum produces volatile fatty acids as platform chemicals rather than methane. Olive mill and coffee wastewaters are sources of polyphenols with antioxidant value that may exceed the cost of treating them, recoverable by resin adsorption or membrane fractionation before the effluent enters biological treatment. Protein-rich dairy and starch effluents support single-cell protein production for feed. Microbial fuel cells and other </w:t>
      </w:r>
      <w:r w:rsidR="00AD403F" w:rsidRPr="00137D90">
        <w:t>bio electrochemical</w:t>
      </w:r>
      <w:r w:rsidRPr="00137D90">
        <w:t xml:space="preserve"> systems convert organic matter directly to electric current or, in microbial electrolysis mode, to hydrogen; power densities remain too low for economic bulk treatment, but the technology is credible as a sensor and as a niche process for low</w:t>
      </w:r>
      <w:r w:rsidR="002700D6" w:rsidRPr="00137D90">
        <w:t xml:space="preserve"> </w:t>
      </w:r>
      <w:r w:rsidRPr="00137D90">
        <w:t>strength polishing (Logan &amp; Rabaey, 2012).</w:t>
      </w:r>
    </w:p>
    <w:p w14:paraId="4207E4B3" w14:textId="77777777" w:rsidR="005C4BF0" w:rsidRPr="00137D90" w:rsidRDefault="00000000" w:rsidP="00CF51FB">
      <w:pPr>
        <w:pStyle w:val="Heading2"/>
        <w:spacing w:before="240" w:after="100" w:line="360" w:lineRule="auto"/>
        <w:jc w:val="both"/>
      </w:pPr>
      <w:r w:rsidRPr="00137D90">
        <w:t>9.4 Water and zero liquid discharge</w:t>
      </w:r>
    </w:p>
    <w:p w14:paraId="43DD6D63" w14:textId="36FD5F88" w:rsidR="005C4BF0" w:rsidRPr="00137D90" w:rsidRDefault="00000000" w:rsidP="00CF51FB">
      <w:pPr>
        <w:spacing w:after="160" w:line="360" w:lineRule="auto"/>
        <w:ind w:firstLine="720"/>
        <w:jc w:val="both"/>
      </w:pPr>
      <w:r w:rsidRPr="00137D90">
        <w:t xml:space="preserve">Reclaimed water displaces freshwater abstraction for cooling, floor washing, initial produce washing (subject to food-safety constraints) and irrigation. In water-stressed regions and under stringent discharge regulation, zero liquid discharge (ZLD) is sometimes mandated, combining RO volume reduction with multiple-effect evaporation, mechanical vapour recompression and crystallisation. ZLD is thermodynamically expensive energy demand scales with the water evaporated, not the salt removed and its honest assessment requires a life cycle </w:t>
      </w:r>
      <w:r w:rsidRPr="00137D90">
        <w:lastRenderedPageBreak/>
        <w:t>view, since the carbon cost of evaporating water may exceed the environmental benefit of eliminating a discharge unless waste heat is genuinely available (Tong &amp; Elimelech, 2016).</w:t>
      </w:r>
    </w:p>
    <w:p w14:paraId="20BA37F2" w14:textId="77777777" w:rsidR="005C4BF0" w:rsidRPr="00137D90" w:rsidRDefault="00000000" w:rsidP="00CF51FB">
      <w:pPr>
        <w:pStyle w:val="Heading1"/>
        <w:spacing w:before="320" w:after="140" w:line="360" w:lineRule="auto"/>
        <w:jc w:val="both"/>
        <w:rPr>
          <w:sz w:val="24"/>
          <w:szCs w:val="24"/>
        </w:rPr>
      </w:pPr>
      <w:r w:rsidRPr="00137D90">
        <w:rPr>
          <w:sz w:val="24"/>
          <w:szCs w:val="24"/>
        </w:rPr>
        <w:t>10. AGRONOMIC QUALITY OF RECLAIMED EFFLUENT: THE SOIL AND PLANT INTERFACE</w:t>
      </w:r>
    </w:p>
    <w:p w14:paraId="16C0DE7F" w14:textId="7F0E31A7" w:rsidR="00422826" w:rsidRPr="00137D90" w:rsidRDefault="00000000" w:rsidP="002700D6">
      <w:pPr>
        <w:spacing w:after="160" w:line="360" w:lineRule="auto"/>
        <w:ind w:firstLine="720"/>
        <w:jc w:val="both"/>
      </w:pPr>
      <w:r w:rsidRPr="00137D90">
        <w:t>Because agro-industries sit inside agricultural landscapes, the most natural destination for treated effluent is the field. This makes treatment objectives agronomic as well as environmental, and shifts the relevant quality criteria away from BOD and COD toward the parameters that determine soil behaviour and crop response.</w:t>
      </w:r>
    </w:p>
    <w:p w14:paraId="7BA6BB37" w14:textId="669FAD1B" w:rsidR="005C4BF0" w:rsidRPr="00137D90" w:rsidRDefault="00000000" w:rsidP="00CF51FB">
      <w:pPr>
        <w:spacing w:before="200" w:after="80" w:line="360" w:lineRule="auto"/>
        <w:jc w:val="both"/>
      </w:pPr>
      <w:r w:rsidRPr="00137D90">
        <w:rPr>
          <w:b/>
          <w:bCs/>
        </w:rPr>
        <w:t>Table 4. Quality parameters governing irrigation reuse of treated agro-industrial effluent</w:t>
      </w: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100"/>
        <w:gridCol w:w="3700"/>
      </w:tblGrid>
      <w:tr w:rsidR="005C4BF0" w:rsidRPr="0017783F" w14:paraId="753B0B7F" w14:textId="77777777" w:rsidTr="008B549D">
        <w:trPr>
          <w:tblHeader/>
          <w:jc w:val="center"/>
        </w:trPr>
        <w:tc>
          <w:tcPr>
            <w:tcW w:w="2200" w:type="dxa"/>
            <w:shd w:val="clear" w:color="auto" w:fill="E8EEED"/>
            <w:tcMar>
              <w:top w:w="60" w:type="dxa"/>
              <w:left w:w="90" w:type="dxa"/>
              <w:bottom w:w="60" w:type="dxa"/>
              <w:right w:w="90" w:type="dxa"/>
            </w:tcMar>
          </w:tcPr>
          <w:p w14:paraId="46691A00" w14:textId="77777777" w:rsidR="005C4BF0" w:rsidRPr="0017783F" w:rsidRDefault="00000000" w:rsidP="00CF51FB">
            <w:pPr>
              <w:spacing w:line="360" w:lineRule="auto"/>
              <w:jc w:val="both"/>
              <w:rPr>
                <w:sz w:val="20"/>
                <w:szCs w:val="20"/>
              </w:rPr>
            </w:pPr>
            <w:r w:rsidRPr="0017783F">
              <w:rPr>
                <w:b/>
                <w:bCs/>
                <w:sz w:val="20"/>
                <w:szCs w:val="20"/>
              </w:rPr>
              <w:t>Parameter</w:t>
            </w:r>
          </w:p>
        </w:tc>
        <w:tc>
          <w:tcPr>
            <w:tcW w:w="3100" w:type="dxa"/>
            <w:shd w:val="clear" w:color="auto" w:fill="E8EEED"/>
            <w:tcMar>
              <w:top w:w="60" w:type="dxa"/>
              <w:left w:w="90" w:type="dxa"/>
              <w:bottom w:w="60" w:type="dxa"/>
              <w:right w:w="90" w:type="dxa"/>
            </w:tcMar>
          </w:tcPr>
          <w:p w14:paraId="491756EE" w14:textId="77777777" w:rsidR="005C4BF0" w:rsidRPr="0017783F" w:rsidRDefault="00000000" w:rsidP="00CF51FB">
            <w:pPr>
              <w:spacing w:line="360" w:lineRule="auto"/>
              <w:jc w:val="both"/>
              <w:rPr>
                <w:sz w:val="20"/>
                <w:szCs w:val="20"/>
              </w:rPr>
            </w:pPr>
            <w:r w:rsidRPr="0017783F">
              <w:rPr>
                <w:b/>
                <w:bCs/>
                <w:sz w:val="20"/>
                <w:szCs w:val="20"/>
              </w:rPr>
              <w:t>Concern</w:t>
            </w:r>
          </w:p>
        </w:tc>
        <w:tc>
          <w:tcPr>
            <w:tcW w:w="3700" w:type="dxa"/>
            <w:shd w:val="clear" w:color="auto" w:fill="E8EEED"/>
            <w:tcMar>
              <w:top w:w="60" w:type="dxa"/>
              <w:left w:w="90" w:type="dxa"/>
              <w:bottom w:w="60" w:type="dxa"/>
              <w:right w:w="90" w:type="dxa"/>
            </w:tcMar>
          </w:tcPr>
          <w:p w14:paraId="1F6EB5A4" w14:textId="77777777" w:rsidR="005C4BF0" w:rsidRPr="0017783F" w:rsidRDefault="00000000" w:rsidP="00CF51FB">
            <w:pPr>
              <w:spacing w:line="360" w:lineRule="auto"/>
              <w:jc w:val="both"/>
              <w:rPr>
                <w:sz w:val="20"/>
                <w:szCs w:val="20"/>
              </w:rPr>
            </w:pPr>
            <w:r w:rsidRPr="0017783F">
              <w:rPr>
                <w:b/>
                <w:bCs/>
                <w:sz w:val="20"/>
                <w:szCs w:val="20"/>
              </w:rPr>
              <w:t>Guideline sense</w:t>
            </w:r>
          </w:p>
        </w:tc>
      </w:tr>
      <w:tr w:rsidR="005C4BF0" w:rsidRPr="0017783F" w14:paraId="1F6D16F9" w14:textId="77777777" w:rsidTr="008B549D">
        <w:trPr>
          <w:jc w:val="center"/>
        </w:trPr>
        <w:tc>
          <w:tcPr>
            <w:tcW w:w="2200" w:type="dxa"/>
            <w:tcMar>
              <w:top w:w="60" w:type="dxa"/>
              <w:left w:w="90" w:type="dxa"/>
              <w:bottom w:w="60" w:type="dxa"/>
              <w:right w:w="90" w:type="dxa"/>
            </w:tcMar>
          </w:tcPr>
          <w:p w14:paraId="75350CCE" w14:textId="77777777" w:rsidR="005C4BF0" w:rsidRPr="0017783F" w:rsidRDefault="00000000" w:rsidP="00CF51FB">
            <w:pPr>
              <w:spacing w:line="360" w:lineRule="auto"/>
              <w:jc w:val="both"/>
              <w:rPr>
                <w:sz w:val="20"/>
                <w:szCs w:val="20"/>
              </w:rPr>
            </w:pPr>
            <w:r w:rsidRPr="0017783F">
              <w:rPr>
                <w:sz w:val="20"/>
                <w:szCs w:val="20"/>
              </w:rPr>
              <w:t>EC (dS m</w:t>
            </w:r>
            <w:r w:rsidRPr="0017783F">
              <w:rPr>
                <w:sz w:val="20"/>
                <w:szCs w:val="20"/>
                <w:vertAlign w:val="superscript"/>
              </w:rPr>
              <w:t>-1</w:t>
            </w:r>
            <w:r w:rsidRPr="0017783F">
              <w:rPr>
                <w:sz w:val="20"/>
                <w:szCs w:val="20"/>
              </w:rPr>
              <w:t>)</w:t>
            </w:r>
          </w:p>
        </w:tc>
        <w:tc>
          <w:tcPr>
            <w:tcW w:w="3100" w:type="dxa"/>
            <w:tcMar>
              <w:top w:w="60" w:type="dxa"/>
              <w:left w:w="90" w:type="dxa"/>
              <w:bottom w:w="60" w:type="dxa"/>
              <w:right w:w="90" w:type="dxa"/>
            </w:tcMar>
          </w:tcPr>
          <w:p w14:paraId="0F393CD7" w14:textId="77777777" w:rsidR="005C4BF0" w:rsidRPr="0017783F" w:rsidRDefault="00000000" w:rsidP="00CF51FB">
            <w:pPr>
              <w:spacing w:line="360" w:lineRule="auto"/>
              <w:jc w:val="both"/>
              <w:rPr>
                <w:sz w:val="20"/>
                <w:szCs w:val="20"/>
              </w:rPr>
            </w:pPr>
            <w:r w:rsidRPr="0017783F">
              <w:rPr>
                <w:sz w:val="20"/>
                <w:szCs w:val="20"/>
              </w:rPr>
              <w:t>Osmotic stress, yield depression</w:t>
            </w:r>
          </w:p>
        </w:tc>
        <w:tc>
          <w:tcPr>
            <w:tcW w:w="3700" w:type="dxa"/>
            <w:tcMar>
              <w:top w:w="60" w:type="dxa"/>
              <w:left w:w="90" w:type="dxa"/>
              <w:bottom w:w="60" w:type="dxa"/>
              <w:right w:w="90" w:type="dxa"/>
            </w:tcMar>
          </w:tcPr>
          <w:p w14:paraId="21DFBD47" w14:textId="77777777" w:rsidR="005C4BF0" w:rsidRPr="0017783F" w:rsidRDefault="00000000" w:rsidP="00CF51FB">
            <w:pPr>
              <w:spacing w:line="360" w:lineRule="auto"/>
              <w:jc w:val="both"/>
              <w:rPr>
                <w:sz w:val="20"/>
                <w:szCs w:val="20"/>
              </w:rPr>
            </w:pPr>
            <w:r w:rsidRPr="0017783F">
              <w:rPr>
                <w:sz w:val="20"/>
                <w:szCs w:val="20"/>
              </w:rPr>
              <w:t>&lt;0.7 unrestricted; 0.7–3.0 slight to moderate restriction</w:t>
            </w:r>
          </w:p>
        </w:tc>
      </w:tr>
      <w:tr w:rsidR="005C4BF0" w:rsidRPr="0017783F" w14:paraId="1EEC32D7" w14:textId="77777777" w:rsidTr="008B549D">
        <w:trPr>
          <w:jc w:val="center"/>
        </w:trPr>
        <w:tc>
          <w:tcPr>
            <w:tcW w:w="2200" w:type="dxa"/>
            <w:tcMar>
              <w:top w:w="60" w:type="dxa"/>
              <w:left w:w="90" w:type="dxa"/>
              <w:bottom w:w="60" w:type="dxa"/>
              <w:right w:w="90" w:type="dxa"/>
            </w:tcMar>
          </w:tcPr>
          <w:p w14:paraId="3717218E" w14:textId="77777777" w:rsidR="005C4BF0" w:rsidRPr="0017783F" w:rsidRDefault="00000000" w:rsidP="00CF51FB">
            <w:pPr>
              <w:spacing w:line="360" w:lineRule="auto"/>
              <w:jc w:val="both"/>
              <w:rPr>
                <w:sz w:val="20"/>
                <w:szCs w:val="20"/>
              </w:rPr>
            </w:pPr>
            <w:r w:rsidRPr="0017783F">
              <w:rPr>
                <w:sz w:val="20"/>
                <w:szCs w:val="20"/>
              </w:rPr>
              <w:t>SAR with EC</w:t>
            </w:r>
          </w:p>
        </w:tc>
        <w:tc>
          <w:tcPr>
            <w:tcW w:w="3100" w:type="dxa"/>
            <w:tcMar>
              <w:top w:w="60" w:type="dxa"/>
              <w:left w:w="90" w:type="dxa"/>
              <w:bottom w:w="60" w:type="dxa"/>
              <w:right w:w="90" w:type="dxa"/>
            </w:tcMar>
          </w:tcPr>
          <w:p w14:paraId="0D6F08ED" w14:textId="77777777" w:rsidR="005C4BF0" w:rsidRPr="0017783F" w:rsidRDefault="00000000" w:rsidP="00CF51FB">
            <w:pPr>
              <w:spacing w:line="360" w:lineRule="auto"/>
              <w:jc w:val="both"/>
              <w:rPr>
                <w:sz w:val="20"/>
                <w:szCs w:val="20"/>
              </w:rPr>
            </w:pPr>
            <w:r w:rsidRPr="0017783F">
              <w:rPr>
                <w:sz w:val="20"/>
                <w:szCs w:val="20"/>
              </w:rPr>
              <w:t>Sodicity: clay dispersion, loss of infiltration</w:t>
            </w:r>
          </w:p>
        </w:tc>
        <w:tc>
          <w:tcPr>
            <w:tcW w:w="3700" w:type="dxa"/>
            <w:tcMar>
              <w:top w:w="60" w:type="dxa"/>
              <w:left w:w="90" w:type="dxa"/>
              <w:bottom w:w="60" w:type="dxa"/>
              <w:right w:w="90" w:type="dxa"/>
            </w:tcMar>
          </w:tcPr>
          <w:p w14:paraId="77B61262" w14:textId="77777777" w:rsidR="005C4BF0" w:rsidRPr="0017783F" w:rsidRDefault="00000000" w:rsidP="00CF51FB">
            <w:pPr>
              <w:spacing w:line="360" w:lineRule="auto"/>
              <w:jc w:val="both"/>
              <w:rPr>
                <w:sz w:val="20"/>
                <w:szCs w:val="20"/>
              </w:rPr>
            </w:pPr>
            <w:r w:rsidRPr="0017783F">
              <w:rPr>
                <w:sz w:val="20"/>
                <w:szCs w:val="20"/>
              </w:rPr>
              <w:t>Interpreted jointly; SAR &gt;9 at low EC is hazardous</w:t>
            </w:r>
          </w:p>
        </w:tc>
      </w:tr>
      <w:tr w:rsidR="005C4BF0" w:rsidRPr="0017783F" w14:paraId="795BC4F7" w14:textId="77777777" w:rsidTr="008B549D">
        <w:trPr>
          <w:jc w:val="center"/>
        </w:trPr>
        <w:tc>
          <w:tcPr>
            <w:tcW w:w="2200" w:type="dxa"/>
            <w:tcMar>
              <w:top w:w="60" w:type="dxa"/>
              <w:left w:w="90" w:type="dxa"/>
              <w:bottom w:w="60" w:type="dxa"/>
              <w:right w:w="90" w:type="dxa"/>
            </w:tcMar>
          </w:tcPr>
          <w:p w14:paraId="666711AF" w14:textId="77777777" w:rsidR="005C4BF0" w:rsidRPr="0017783F" w:rsidRDefault="00000000" w:rsidP="00CF51FB">
            <w:pPr>
              <w:spacing w:line="360" w:lineRule="auto"/>
              <w:jc w:val="both"/>
              <w:rPr>
                <w:sz w:val="20"/>
                <w:szCs w:val="20"/>
              </w:rPr>
            </w:pPr>
            <w:r w:rsidRPr="0017783F">
              <w:rPr>
                <w:sz w:val="20"/>
                <w:szCs w:val="20"/>
              </w:rPr>
              <w:t>Residual sodium carbonate</w:t>
            </w:r>
          </w:p>
        </w:tc>
        <w:tc>
          <w:tcPr>
            <w:tcW w:w="3100" w:type="dxa"/>
            <w:tcMar>
              <w:top w:w="60" w:type="dxa"/>
              <w:left w:w="90" w:type="dxa"/>
              <w:bottom w:w="60" w:type="dxa"/>
              <w:right w:w="90" w:type="dxa"/>
            </w:tcMar>
          </w:tcPr>
          <w:p w14:paraId="1B1E4D87" w14:textId="77777777" w:rsidR="005C4BF0" w:rsidRPr="0017783F" w:rsidRDefault="00000000" w:rsidP="00CF51FB">
            <w:pPr>
              <w:spacing w:line="360" w:lineRule="auto"/>
              <w:jc w:val="both"/>
              <w:rPr>
                <w:sz w:val="20"/>
                <w:szCs w:val="20"/>
              </w:rPr>
            </w:pPr>
            <w:r w:rsidRPr="0017783F">
              <w:rPr>
                <w:sz w:val="20"/>
                <w:szCs w:val="20"/>
              </w:rPr>
              <w:t>Precipitation of Ca/Mg raising effective SAR</w:t>
            </w:r>
          </w:p>
        </w:tc>
        <w:tc>
          <w:tcPr>
            <w:tcW w:w="3700" w:type="dxa"/>
            <w:tcMar>
              <w:top w:w="60" w:type="dxa"/>
              <w:left w:w="90" w:type="dxa"/>
              <w:bottom w:w="60" w:type="dxa"/>
              <w:right w:w="90" w:type="dxa"/>
            </w:tcMar>
          </w:tcPr>
          <w:p w14:paraId="7490FD8B" w14:textId="77777777" w:rsidR="005C4BF0" w:rsidRPr="0017783F" w:rsidRDefault="00000000" w:rsidP="00CF51FB">
            <w:pPr>
              <w:spacing w:line="360" w:lineRule="auto"/>
              <w:jc w:val="both"/>
              <w:rPr>
                <w:sz w:val="20"/>
                <w:szCs w:val="20"/>
              </w:rPr>
            </w:pPr>
            <w:r w:rsidRPr="0017783F">
              <w:rPr>
                <w:sz w:val="20"/>
                <w:szCs w:val="20"/>
              </w:rPr>
              <w:t>&lt;1.25 meq L-1 generally safe</w:t>
            </w:r>
          </w:p>
        </w:tc>
      </w:tr>
      <w:tr w:rsidR="005C4BF0" w:rsidRPr="0017783F" w14:paraId="66A53784" w14:textId="77777777" w:rsidTr="008B549D">
        <w:trPr>
          <w:jc w:val="center"/>
        </w:trPr>
        <w:tc>
          <w:tcPr>
            <w:tcW w:w="2200" w:type="dxa"/>
            <w:tcMar>
              <w:top w:w="60" w:type="dxa"/>
              <w:left w:w="90" w:type="dxa"/>
              <w:bottom w:w="60" w:type="dxa"/>
              <w:right w:w="90" w:type="dxa"/>
            </w:tcMar>
          </w:tcPr>
          <w:p w14:paraId="50A02127" w14:textId="77777777" w:rsidR="005C4BF0" w:rsidRPr="0017783F" w:rsidRDefault="00000000" w:rsidP="00CF51FB">
            <w:pPr>
              <w:spacing w:line="360" w:lineRule="auto"/>
              <w:jc w:val="both"/>
              <w:rPr>
                <w:sz w:val="20"/>
                <w:szCs w:val="20"/>
              </w:rPr>
            </w:pPr>
            <w:r w:rsidRPr="0017783F">
              <w:rPr>
                <w:sz w:val="20"/>
                <w:szCs w:val="20"/>
              </w:rPr>
              <w:t>Chloride, boron</w:t>
            </w:r>
          </w:p>
        </w:tc>
        <w:tc>
          <w:tcPr>
            <w:tcW w:w="3100" w:type="dxa"/>
            <w:tcMar>
              <w:top w:w="60" w:type="dxa"/>
              <w:left w:w="90" w:type="dxa"/>
              <w:bottom w:w="60" w:type="dxa"/>
              <w:right w:w="90" w:type="dxa"/>
            </w:tcMar>
          </w:tcPr>
          <w:p w14:paraId="2A24C4E3" w14:textId="77777777" w:rsidR="005C4BF0" w:rsidRPr="0017783F" w:rsidRDefault="00000000" w:rsidP="00CF51FB">
            <w:pPr>
              <w:spacing w:line="360" w:lineRule="auto"/>
              <w:jc w:val="both"/>
              <w:rPr>
                <w:sz w:val="20"/>
                <w:szCs w:val="20"/>
              </w:rPr>
            </w:pPr>
            <w:r w:rsidRPr="0017783F">
              <w:rPr>
                <w:sz w:val="20"/>
                <w:szCs w:val="20"/>
              </w:rPr>
              <w:t>Specific ion toxicity, especially in perennials</w:t>
            </w:r>
          </w:p>
        </w:tc>
        <w:tc>
          <w:tcPr>
            <w:tcW w:w="3700" w:type="dxa"/>
            <w:tcMar>
              <w:top w:w="60" w:type="dxa"/>
              <w:left w:w="90" w:type="dxa"/>
              <w:bottom w:w="60" w:type="dxa"/>
              <w:right w:w="90" w:type="dxa"/>
            </w:tcMar>
          </w:tcPr>
          <w:p w14:paraId="5FA20BA2" w14:textId="77777777" w:rsidR="005C4BF0" w:rsidRPr="0017783F" w:rsidRDefault="00000000" w:rsidP="00CF51FB">
            <w:pPr>
              <w:spacing w:line="360" w:lineRule="auto"/>
              <w:jc w:val="both"/>
              <w:rPr>
                <w:sz w:val="20"/>
                <w:szCs w:val="20"/>
              </w:rPr>
            </w:pPr>
            <w:r w:rsidRPr="0017783F">
              <w:rPr>
                <w:sz w:val="20"/>
                <w:szCs w:val="20"/>
              </w:rPr>
              <w:t>Crop-specific; boron toxic above 1–2 mg L-1 in sensitive species</w:t>
            </w:r>
          </w:p>
        </w:tc>
      </w:tr>
      <w:tr w:rsidR="005C4BF0" w:rsidRPr="0017783F" w14:paraId="7F51CC7C" w14:textId="77777777" w:rsidTr="008B549D">
        <w:trPr>
          <w:jc w:val="center"/>
        </w:trPr>
        <w:tc>
          <w:tcPr>
            <w:tcW w:w="2200" w:type="dxa"/>
            <w:tcMar>
              <w:top w:w="60" w:type="dxa"/>
              <w:left w:w="90" w:type="dxa"/>
              <w:bottom w:w="60" w:type="dxa"/>
              <w:right w:w="90" w:type="dxa"/>
            </w:tcMar>
          </w:tcPr>
          <w:p w14:paraId="6B4FB1D8" w14:textId="77777777" w:rsidR="005C4BF0" w:rsidRPr="0017783F" w:rsidRDefault="00000000" w:rsidP="00CF51FB">
            <w:pPr>
              <w:spacing w:line="360" w:lineRule="auto"/>
              <w:jc w:val="both"/>
              <w:rPr>
                <w:sz w:val="20"/>
                <w:szCs w:val="20"/>
              </w:rPr>
            </w:pPr>
            <w:r w:rsidRPr="0017783F">
              <w:rPr>
                <w:sz w:val="20"/>
                <w:szCs w:val="20"/>
              </w:rPr>
              <w:t>N and P</w:t>
            </w:r>
          </w:p>
        </w:tc>
        <w:tc>
          <w:tcPr>
            <w:tcW w:w="3100" w:type="dxa"/>
            <w:tcMar>
              <w:top w:w="60" w:type="dxa"/>
              <w:left w:w="90" w:type="dxa"/>
              <w:bottom w:w="60" w:type="dxa"/>
              <w:right w:w="90" w:type="dxa"/>
            </w:tcMar>
          </w:tcPr>
          <w:p w14:paraId="6B66A513" w14:textId="77777777" w:rsidR="005C4BF0" w:rsidRPr="0017783F" w:rsidRDefault="00000000" w:rsidP="00CF51FB">
            <w:pPr>
              <w:spacing w:line="360" w:lineRule="auto"/>
              <w:jc w:val="both"/>
              <w:rPr>
                <w:sz w:val="20"/>
                <w:szCs w:val="20"/>
              </w:rPr>
            </w:pPr>
            <w:r w:rsidRPr="0017783F">
              <w:rPr>
                <w:sz w:val="20"/>
                <w:szCs w:val="20"/>
              </w:rPr>
              <w:t>Fertiliser value; excess causes lodging, leaching</w:t>
            </w:r>
          </w:p>
        </w:tc>
        <w:tc>
          <w:tcPr>
            <w:tcW w:w="3700" w:type="dxa"/>
            <w:tcMar>
              <w:top w:w="60" w:type="dxa"/>
              <w:left w:w="90" w:type="dxa"/>
              <w:bottom w:w="60" w:type="dxa"/>
              <w:right w:w="90" w:type="dxa"/>
            </w:tcMar>
          </w:tcPr>
          <w:p w14:paraId="5BD7C29C" w14:textId="77777777" w:rsidR="005C4BF0" w:rsidRPr="0017783F" w:rsidRDefault="00000000" w:rsidP="00CF51FB">
            <w:pPr>
              <w:spacing w:line="360" w:lineRule="auto"/>
              <w:jc w:val="both"/>
              <w:rPr>
                <w:sz w:val="20"/>
                <w:szCs w:val="20"/>
              </w:rPr>
            </w:pPr>
            <w:r w:rsidRPr="0017783F">
              <w:rPr>
                <w:sz w:val="20"/>
                <w:szCs w:val="20"/>
              </w:rPr>
              <w:t>Credit against the fertiliser schedule</w:t>
            </w:r>
          </w:p>
        </w:tc>
      </w:tr>
      <w:tr w:rsidR="005C4BF0" w:rsidRPr="0017783F" w14:paraId="31237AE5" w14:textId="77777777" w:rsidTr="008B549D">
        <w:trPr>
          <w:jc w:val="center"/>
        </w:trPr>
        <w:tc>
          <w:tcPr>
            <w:tcW w:w="2200" w:type="dxa"/>
            <w:tcMar>
              <w:top w:w="60" w:type="dxa"/>
              <w:left w:w="90" w:type="dxa"/>
              <w:bottom w:w="60" w:type="dxa"/>
              <w:right w:w="90" w:type="dxa"/>
            </w:tcMar>
          </w:tcPr>
          <w:p w14:paraId="001EADE2" w14:textId="77777777" w:rsidR="005C4BF0" w:rsidRPr="0017783F" w:rsidRDefault="00000000" w:rsidP="00CF51FB">
            <w:pPr>
              <w:spacing w:line="360" w:lineRule="auto"/>
              <w:jc w:val="both"/>
              <w:rPr>
                <w:sz w:val="20"/>
                <w:szCs w:val="20"/>
              </w:rPr>
            </w:pPr>
            <w:r w:rsidRPr="0017783F">
              <w:rPr>
                <w:sz w:val="20"/>
                <w:szCs w:val="20"/>
              </w:rPr>
              <w:t>Trace elements</w:t>
            </w:r>
          </w:p>
        </w:tc>
        <w:tc>
          <w:tcPr>
            <w:tcW w:w="3100" w:type="dxa"/>
            <w:tcMar>
              <w:top w:w="60" w:type="dxa"/>
              <w:left w:w="90" w:type="dxa"/>
              <w:bottom w:w="60" w:type="dxa"/>
              <w:right w:w="90" w:type="dxa"/>
            </w:tcMar>
          </w:tcPr>
          <w:p w14:paraId="34015BE4" w14:textId="77777777" w:rsidR="005C4BF0" w:rsidRPr="0017783F" w:rsidRDefault="00000000" w:rsidP="00CF51FB">
            <w:pPr>
              <w:spacing w:line="360" w:lineRule="auto"/>
              <w:jc w:val="both"/>
              <w:rPr>
                <w:sz w:val="20"/>
                <w:szCs w:val="20"/>
              </w:rPr>
            </w:pPr>
            <w:r w:rsidRPr="0017783F">
              <w:rPr>
                <w:sz w:val="20"/>
                <w:szCs w:val="20"/>
              </w:rPr>
              <w:t>Accumulation in soil and produce</w:t>
            </w:r>
          </w:p>
        </w:tc>
        <w:tc>
          <w:tcPr>
            <w:tcW w:w="3700" w:type="dxa"/>
            <w:tcMar>
              <w:top w:w="60" w:type="dxa"/>
              <w:left w:w="90" w:type="dxa"/>
              <w:bottom w:w="60" w:type="dxa"/>
              <w:right w:w="90" w:type="dxa"/>
            </w:tcMar>
          </w:tcPr>
          <w:p w14:paraId="332F1ACA" w14:textId="77777777" w:rsidR="005C4BF0" w:rsidRPr="0017783F" w:rsidRDefault="00000000" w:rsidP="00CF51FB">
            <w:pPr>
              <w:spacing w:line="360" w:lineRule="auto"/>
              <w:jc w:val="both"/>
              <w:rPr>
                <w:sz w:val="20"/>
                <w:szCs w:val="20"/>
              </w:rPr>
            </w:pPr>
            <w:r w:rsidRPr="0017783F">
              <w:rPr>
                <w:sz w:val="20"/>
                <w:szCs w:val="20"/>
              </w:rPr>
              <w:t>Cumulative loading limits, not concentration alone</w:t>
            </w:r>
          </w:p>
        </w:tc>
      </w:tr>
      <w:tr w:rsidR="005C4BF0" w:rsidRPr="0017783F" w14:paraId="72311945" w14:textId="77777777" w:rsidTr="008B549D">
        <w:trPr>
          <w:jc w:val="center"/>
        </w:trPr>
        <w:tc>
          <w:tcPr>
            <w:tcW w:w="2200" w:type="dxa"/>
            <w:tcMar>
              <w:top w:w="60" w:type="dxa"/>
              <w:left w:w="90" w:type="dxa"/>
              <w:bottom w:w="60" w:type="dxa"/>
              <w:right w:w="90" w:type="dxa"/>
            </w:tcMar>
          </w:tcPr>
          <w:p w14:paraId="392E6FEB" w14:textId="77777777" w:rsidR="005C4BF0" w:rsidRPr="0017783F" w:rsidRDefault="00000000" w:rsidP="00CF51FB">
            <w:pPr>
              <w:spacing w:line="360" w:lineRule="auto"/>
              <w:jc w:val="both"/>
              <w:rPr>
                <w:sz w:val="20"/>
                <w:szCs w:val="20"/>
              </w:rPr>
            </w:pPr>
            <w:r w:rsidRPr="0017783F">
              <w:rPr>
                <w:sz w:val="20"/>
                <w:szCs w:val="20"/>
              </w:rPr>
              <w:t>E. coli / helminth ova</w:t>
            </w:r>
          </w:p>
        </w:tc>
        <w:tc>
          <w:tcPr>
            <w:tcW w:w="3100" w:type="dxa"/>
            <w:tcMar>
              <w:top w:w="60" w:type="dxa"/>
              <w:left w:w="90" w:type="dxa"/>
              <w:bottom w:w="60" w:type="dxa"/>
              <w:right w:w="90" w:type="dxa"/>
            </w:tcMar>
          </w:tcPr>
          <w:p w14:paraId="45886436" w14:textId="77777777" w:rsidR="005C4BF0" w:rsidRPr="0017783F" w:rsidRDefault="00000000" w:rsidP="00CF51FB">
            <w:pPr>
              <w:spacing w:line="360" w:lineRule="auto"/>
              <w:jc w:val="both"/>
              <w:rPr>
                <w:sz w:val="20"/>
                <w:szCs w:val="20"/>
              </w:rPr>
            </w:pPr>
            <w:r w:rsidRPr="0017783F">
              <w:rPr>
                <w:sz w:val="20"/>
                <w:szCs w:val="20"/>
              </w:rPr>
              <w:t>Public health, especially raw-eaten crops</w:t>
            </w:r>
          </w:p>
        </w:tc>
        <w:tc>
          <w:tcPr>
            <w:tcW w:w="3700" w:type="dxa"/>
            <w:tcMar>
              <w:top w:w="60" w:type="dxa"/>
              <w:left w:w="90" w:type="dxa"/>
              <w:bottom w:w="60" w:type="dxa"/>
              <w:right w:w="90" w:type="dxa"/>
            </w:tcMar>
          </w:tcPr>
          <w:p w14:paraId="1C793D4B" w14:textId="77777777" w:rsidR="005C4BF0" w:rsidRPr="0017783F" w:rsidRDefault="00000000" w:rsidP="00CF51FB">
            <w:pPr>
              <w:spacing w:line="360" w:lineRule="auto"/>
              <w:jc w:val="both"/>
              <w:rPr>
                <w:sz w:val="20"/>
                <w:szCs w:val="20"/>
              </w:rPr>
            </w:pPr>
            <w:r w:rsidRPr="0017783F">
              <w:rPr>
                <w:sz w:val="20"/>
                <w:szCs w:val="20"/>
              </w:rPr>
              <w:t>Tiered by irrigation method and crop category</w:t>
            </w:r>
          </w:p>
        </w:tc>
      </w:tr>
      <w:tr w:rsidR="005C4BF0" w:rsidRPr="0017783F" w14:paraId="5F9EB1AB" w14:textId="77777777" w:rsidTr="008B549D">
        <w:trPr>
          <w:jc w:val="center"/>
        </w:trPr>
        <w:tc>
          <w:tcPr>
            <w:tcW w:w="2200" w:type="dxa"/>
            <w:tcMar>
              <w:top w:w="60" w:type="dxa"/>
              <w:left w:w="90" w:type="dxa"/>
              <w:bottom w:w="60" w:type="dxa"/>
              <w:right w:w="90" w:type="dxa"/>
            </w:tcMar>
          </w:tcPr>
          <w:p w14:paraId="60A360A7" w14:textId="77777777" w:rsidR="005C4BF0" w:rsidRPr="0017783F" w:rsidRDefault="00000000" w:rsidP="00CF51FB">
            <w:pPr>
              <w:spacing w:line="360" w:lineRule="auto"/>
              <w:jc w:val="both"/>
              <w:rPr>
                <w:sz w:val="20"/>
                <w:szCs w:val="20"/>
              </w:rPr>
            </w:pPr>
            <w:r w:rsidRPr="0017783F">
              <w:rPr>
                <w:sz w:val="20"/>
                <w:szCs w:val="20"/>
              </w:rPr>
              <w:t>Residual organics, phenolics</w:t>
            </w:r>
          </w:p>
        </w:tc>
        <w:tc>
          <w:tcPr>
            <w:tcW w:w="3100" w:type="dxa"/>
            <w:tcMar>
              <w:top w:w="60" w:type="dxa"/>
              <w:left w:w="90" w:type="dxa"/>
              <w:bottom w:w="60" w:type="dxa"/>
              <w:right w:w="90" w:type="dxa"/>
            </w:tcMar>
          </w:tcPr>
          <w:p w14:paraId="76BFD8C8" w14:textId="77777777" w:rsidR="005C4BF0" w:rsidRPr="0017783F" w:rsidRDefault="00000000" w:rsidP="00CF51FB">
            <w:pPr>
              <w:spacing w:line="360" w:lineRule="auto"/>
              <w:jc w:val="both"/>
              <w:rPr>
                <w:sz w:val="20"/>
                <w:szCs w:val="20"/>
              </w:rPr>
            </w:pPr>
            <w:r w:rsidRPr="0017783F">
              <w:rPr>
                <w:sz w:val="20"/>
                <w:szCs w:val="20"/>
              </w:rPr>
              <w:t>Phytotoxicity, germination inhibition</w:t>
            </w:r>
          </w:p>
        </w:tc>
        <w:tc>
          <w:tcPr>
            <w:tcW w:w="3700" w:type="dxa"/>
            <w:tcMar>
              <w:top w:w="60" w:type="dxa"/>
              <w:left w:w="90" w:type="dxa"/>
              <w:bottom w:w="60" w:type="dxa"/>
              <w:right w:w="90" w:type="dxa"/>
            </w:tcMar>
          </w:tcPr>
          <w:p w14:paraId="38EC62FF" w14:textId="77777777" w:rsidR="005C4BF0" w:rsidRPr="0017783F" w:rsidRDefault="00000000" w:rsidP="00CF51FB">
            <w:pPr>
              <w:spacing w:line="360" w:lineRule="auto"/>
              <w:jc w:val="both"/>
              <w:rPr>
                <w:sz w:val="20"/>
                <w:szCs w:val="20"/>
              </w:rPr>
            </w:pPr>
            <w:r w:rsidRPr="0017783F">
              <w:rPr>
                <w:sz w:val="20"/>
                <w:szCs w:val="20"/>
              </w:rPr>
              <w:t>Verify by bioassay before field-scale reuse</w:t>
            </w:r>
          </w:p>
        </w:tc>
      </w:tr>
    </w:tbl>
    <w:p w14:paraId="7AB22E2A" w14:textId="1C405DE2" w:rsidR="005C4BF0" w:rsidRPr="00137D90" w:rsidRDefault="00000000" w:rsidP="0070328B">
      <w:pPr>
        <w:spacing w:after="160" w:line="360" w:lineRule="auto"/>
        <w:ind w:firstLine="720"/>
        <w:jc w:val="both"/>
      </w:pPr>
      <w:r w:rsidRPr="00137D90">
        <w:t xml:space="preserve">Several implications follow for process design. Salinity is not removed by biological or oxidative treatment; if reuse is intended, either source control of sodium-bearing chemicals or a desalting step (NF/RO) must be designed in from the start. Conversely, nitrogen and phosphorus </w:t>
      </w:r>
      <w:r w:rsidRPr="00137D90">
        <w:lastRenderedPageBreak/>
        <w:t xml:space="preserve">should not be removed to the lowest achievable concentration if the effluent is destined for fertigation nutrient removal and nutrient reuse are competing objectives, and the flowsheet must be built for one or the other, with a bypass and blending arrangement if the destination changes seasonally. Phytotoxicity of phenolic residues, well documented for untreated olive mill and distillery effluents, means that compliance with chemical limits alone is insufficient evidence of agronomic safety; germination indices and pot trials remain necessary confirmation (Ayers &amp; Westcot, 1985; Pedrero </w:t>
      </w:r>
      <w:r w:rsidR="00863831" w:rsidRPr="00137D90">
        <w:rPr>
          <w:i/>
          <w:iCs/>
        </w:rPr>
        <w:t>et al</w:t>
      </w:r>
      <w:r w:rsidRPr="00137D90">
        <w:t>., 2010).</w:t>
      </w:r>
    </w:p>
    <w:p w14:paraId="20A1F373" w14:textId="77777777" w:rsidR="005C4BF0" w:rsidRPr="00137D90" w:rsidRDefault="00000000" w:rsidP="00CF51FB">
      <w:pPr>
        <w:spacing w:after="160" w:line="360" w:lineRule="auto"/>
        <w:ind w:firstLine="720"/>
        <w:jc w:val="both"/>
      </w:pPr>
      <w:r w:rsidRPr="00137D90">
        <w:t>Controlled field application also requires attention to timing and hydraulic loading. Applying a full season's effluent volume during a non-cropping window, when evapotranspiration is low, moves salts and nitrate below the root zone toward groundwater; storage capacity sized to the cropping calendar is therefore part of the treatment system, not an afterthought. Long-term monitoring of soil EC, exchangeable sodium percentage, organic carbon and available P in effluent-irrigated plots is the only reliable basis for confirming that a reuse scheme is sustainable rather than merely permitted.</w:t>
      </w:r>
    </w:p>
    <w:p w14:paraId="000555BA" w14:textId="77777777" w:rsidR="005C4BF0" w:rsidRPr="00137D90" w:rsidRDefault="00000000" w:rsidP="00CF51FB">
      <w:pPr>
        <w:pStyle w:val="Heading1"/>
        <w:spacing w:before="320" w:after="140" w:line="360" w:lineRule="auto"/>
        <w:jc w:val="both"/>
        <w:rPr>
          <w:sz w:val="24"/>
          <w:szCs w:val="24"/>
        </w:rPr>
      </w:pPr>
      <w:r w:rsidRPr="00137D90">
        <w:rPr>
          <w:sz w:val="24"/>
          <w:szCs w:val="24"/>
        </w:rPr>
        <w:t>11. PROCESS INTEGRATION, MODELLING AND SUSTAINABILITY ASSESSMENT</w:t>
      </w:r>
    </w:p>
    <w:p w14:paraId="67B676F7" w14:textId="162F7861" w:rsidR="005C4BF0" w:rsidRPr="00137D90" w:rsidRDefault="00000000" w:rsidP="00CF51FB">
      <w:pPr>
        <w:spacing w:after="160" w:line="360" w:lineRule="auto"/>
        <w:ind w:firstLine="720"/>
        <w:jc w:val="both"/>
      </w:pPr>
      <w:r w:rsidRPr="00137D90">
        <w:t>Statistical and data-driven optimisation. Response surface methodology</w:t>
      </w:r>
      <w:r w:rsidR="00F24B42" w:rsidRPr="00137D90">
        <w:t xml:space="preserve">- </w:t>
      </w:r>
      <w:r w:rsidRPr="00137D90">
        <w:t>Box–Behnken and central composite designs has largely replaced one</w:t>
      </w:r>
      <w:r w:rsidR="00434766">
        <w:t xml:space="preserve"> </w:t>
      </w:r>
      <w:r w:rsidRPr="00137D90">
        <w:t>factor</w:t>
      </w:r>
      <w:r w:rsidR="00434766">
        <w:t xml:space="preserve"> </w:t>
      </w:r>
      <w:r w:rsidRPr="00137D90">
        <w:t>at</w:t>
      </w:r>
      <w:r w:rsidR="00434766">
        <w:t xml:space="preserve"> </w:t>
      </w:r>
      <w:r w:rsidRPr="00137D90">
        <w:t>a</w:t>
      </w:r>
      <w:r w:rsidR="00434766">
        <w:t xml:space="preserve"> </w:t>
      </w:r>
      <w:r w:rsidRPr="00137D90">
        <w:t>time experimentation for coagulation, Fenton, electrocoagulation and adsorption studies, because it quantifies interactions between pH, dose and time with a manageable number of runs. Artificial neural networks and hybrid ANN</w:t>
      </w:r>
      <w:r w:rsidR="00F24B42" w:rsidRPr="00137D90">
        <w:t xml:space="preserve"> </w:t>
      </w:r>
      <w:r w:rsidRPr="00137D90">
        <w:t xml:space="preserve">genetic algorithm schemes model the strongly non-linear behaviour of full-scale biological plants and can be embedded in soft sensors for variables that are otherwise measured too slowly, such as effluent COD. Both approaches predict well and extrapolate badly; neither replaces mechanistic understanding, and their validity is confined to the experimental domain sampled (Bezerra </w:t>
      </w:r>
      <w:r w:rsidR="00863831" w:rsidRPr="00137D90">
        <w:rPr>
          <w:i/>
          <w:iCs/>
        </w:rPr>
        <w:t>et al</w:t>
      </w:r>
      <w:r w:rsidRPr="00137D90">
        <w:t xml:space="preserve">., 2008; Hamed </w:t>
      </w:r>
      <w:r w:rsidR="00863831" w:rsidRPr="00137D90">
        <w:rPr>
          <w:i/>
          <w:iCs/>
        </w:rPr>
        <w:t>et al</w:t>
      </w:r>
      <w:r w:rsidRPr="00137D90">
        <w:t>., 2004).</w:t>
      </w:r>
    </w:p>
    <w:p w14:paraId="5DFEDCFD" w14:textId="4BCA1DF2" w:rsidR="005C4BF0" w:rsidRPr="00137D90" w:rsidRDefault="00000000" w:rsidP="00CF51FB">
      <w:pPr>
        <w:spacing w:after="160" w:line="360" w:lineRule="auto"/>
        <w:ind w:firstLine="720"/>
        <w:jc w:val="both"/>
      </w:pPr>
      <w:r w:rsidRPr="00137D90">
        <w:rPr>
          <w:b/>
          <w:bCs/>
        </w:rPr>
        <w:t xml:space="preserve">Mechanistic models. </w:t>
      </w:r>
      <w:r w:rsidRPr="00137D90">
        <w:t xml:space="preserve">The IWA Activated Sludge Models and Anaerobic Digestion Model No. 1 (ADM1) remain the reference frameworks for dynamic simulation, calibration and control design, and their use for agro-industrial substrates requires careful re-fractionation of the influent COD into readily and slowly biodegradable, inert soluble and inert particulate components </w:t>
      </w:r>
      <w:r w:rsidR="0062099F" w:rsidRPr="00137D90">
        <w:t xml:space="preserve">- </w:t>
      </w:r>
      <w:r w:rsidRPr="00137D90">
        <w:t xml:space="preserve"> a step frequently omitted, and the usual reason a calibrated model fails on a new substrate.</w:t>
      </w:r>
    </w:p>
    <w:p w14:paraId="1570B5E5" w14:textId="6D310EC1" w:rsidR="005C4BF0" w:rsidRPr="00137D90" w:rsidRDefault="00000000" w:rsidP="00CF51FB">
      <w:pPr>
        <w:spacing w:after="160" w:line="360" w:lineRule="auto"/>
        <w:ind w:firstLine="720"/>
        <w:jc w:val="both"/>
      </w:pPr>
      <w:r w:rsidRPr="00137D90">
        <w:lastRenderedPageBreak/>
        <w:t xml:space="preserve">Life cycle and techno-economic assessment. LCA reveals trade-offs that removal efficiency conceals: an AOP achieving stringent discharge limits may carry a global warming burden exceeding the eutrophication benefit it delivers; an anaerobic train with biogas utilisation typically shows net environmental credit. Techno-economic assessment in the agro-industrial context must include revenue from recovered products electricity, heat, fertiliser, reclaimed water, avoided disposal cost because treatment considered as pure cost will always appear unaffordable to a low-margin processor. Sensitivity analysis on energy price, fertiliser price and discharge penalty usually determines the outcome more strongly than capital cost estimates do (Corominas </w:t>
      </w:r>
      <w:r w:rsidR="00863831" w:rsidRPr="00137D90">
        <w:rPr>
          <w:i/>
          <w:iCs/>
        </w:rPr>
        <w:t>et al</w:t>
      </w:r>
      <w:r w:rsidRPr="00137D90">
        <w:t xml:space="preserve">., 2013; Guest </w:t>
      </w:r>
      <w:r w:rsidR="00863831" w:rsidRPr="00137D90">
        <w:rPr>
          <w:i/>
          <w:iCs/>
        </w:rPr>
        <w:t>et al</w:t>
      </w:r>
      <w:r w:rsidRPr="00137D90">
        <w:t>., 2009).</w:t>
      </w:r>
    </w:p>
    <w:p w14:paraId="1FFEDFD2" w14:textId="77777777" w:rsidR="005C4BF0" w:rsidRPr="00137D90" w:rsidRDefault="00000000" w:rsidP="00CF51FB">
      <w:pPr>
        <w:spacing w:after="160" w:line="360" w:lineRule="auto"/>
        <w:ind w:firstLine="720"/>
        <w:jc w:val="both"/>
      </w:pPr>
      <w:r w:rsidRPr="00137D90">
        <w:rPr>
          <w:b/>
          <w:bCs/>
        </w:rPr>
        <w:t xml:space="preserve">Instrumentation, control and digitalisation. </w:t>
      </w:r>
      <w:r w:rsidRPr="00137D90">
        <w:t>Online pH, oxidation–reduction potential, dissolved oxygen, conductivity, turbidity, UV254 absorbance and biogas composition, combined with supervisory control, convert a plant from reactive to predictive operation. Digital twins calibrated on plant data allow load changes to be rehearsed before they are imposed. For small and medium agro-enterprises, however, the binding constraint is rarely sensor availability but calibration discipline and trained operators, and an instrument that is not maintained is worse than none because it produces confident wrong numbers.</w:t>
      </w:r>
    </w:p>
    <w:p w14:paraId="0FDD35A9" w14:textId="77777777" w:rsidR="005C4BF0" w:rsidRPr="00137D90" w:rsidRDefault="00000000" w:rsidP="00CF51FB">
      <w:pPr>
        <w:pStyle w:val="Heading1"/>
        <w:spacing w:before="320" w:after="140" w:line="360" w:lineRule="auto"/>
        <w:jc w:val="both"/>
        <w:rPr>
          <w:sz w:val="24"/>
          <w:szCs w:val="24"/>
        </w:rPr>
      </w:pPr>
      <w:r w:rsidRPr="00137D90">
        <w:rPr>
          <w:sz w:val="24"/>
          <w:szCs w:val="24"/>
        </w:rPr>
        <w:t>12. CHALLENGES, RESEARCH GAPS AND FUTURE PERSPECTIVES</w:t>
      </w:r>
    </w:p>
    <w:p w14:paraId="34605AFA" w14:textId="77777777" w:rsidR="005C4BF0" w:rsidRPr="00137D90" w:rsidRDefault="00000000" w:rsidP="00CF51FB">
      <w:pPr>
        <w:pStyle w:val="ListParagraph"/>
        <w:numPr>
          <w:ilvl w:val="0"/>
          <w:numId w:val="2"/>
        </w:numPr>
        <w:spacing w:after="100" w:line="360" w:lineRule="auto"/>
        <w:jc w:val="both"/>
      </w:pPr>
      <w:r w:rsidRPr="00137D90">
        <w:rPr>
          <w:b/>
          <w:bCs/>
        </w:rPr>
        <w:t xml:space="preserve">Seasonality and intermittency. </w:t>
      </w:r>
      <w:r w:rsidRPr="00137D90">
        <w:t>Sugar, fruit and coffee processing operate for a few months each year. Biological systems lose activity during shutdown and need weeks to recover. Preservation strategies for granular sludge, rapid start-up protocols and modular designs that can be idled and restarted are practical research needs rather than academic ones.</w:t>
      </w:r>
    </w:p>
    <w:p w14:paraId="6F8F06B4" w14:textId="77777777" w:rsidR="005C4BF0" w:rsidRPr="00137D90" w:rsidRDefault="00000000" w:rsidP="00CF51FB">
      <w:pPr>
        <w:pStyle w:val="ListParagraph"/>
        <w:numPr>
          <w:ilvl w:val="0"/>
          <w:numId w:val="2"/>
        </w:numPr>
        <w:spacing w:after="100" w:line="360" w:lineRule="auto"/>
        <w:jc w:val="both"/>
      </w:pPr>
      <w:r w:rsidRPr="00137D90">
        <w:rPr>
          <w:b/>
          <w:bCs/>
        </w:rPr>
        <w:t xml:space="preserve">Scale mismatch. </w:t>
      </w:r>
      <w:r w:rsidRPr="00137D90">
        <w:t>Much of the reported work is on synthetic effluent at laboratory scale under steady conditions. Real matrices vary hourly, foul surfaces and contain interfering species. Long-duration pilot studies on actual effluent, reported with failures as well as successes, would be disproportionately valuable.</w:t>
      </w:r>
    </w:p>
    <w:p w14:paraId="5D011815" w14:textId="77777777" w:rsidR="005C4BF0" w:rsidRPr="00137D90" w:rsidRDefault="00000000" w:rsidP="00CF51FB">
      <w:pPr>
        <w:pStyle w:val="ListParagraph"/>
        <w:numPr>
          <w:ilvl w:val="0"/>
          <w:numId w:val="2"/>
        </w:numPr>
        <w:spacing w:after="100" w:line="360" w:lineRule="auto"/>
        <w:jc w:val="both"/>
      </w:pPr>
      <w:r w:rsidRPr="00137D90">
        <w:rPr>
          <w:b/>
          <w:bCs/>
        </w:rPr>
        <w:t xml:space="preserve">Residual streams. </w:t>
      </w:r>
      <w:r w:rsidRPr="00137D90">
        <w:t>RO retentate, AOP-treated concentrate, chemical sludge and spent adsorbent receive far less attention than the primary treatment step. A flowsheet is not complete, and should not be published as complete, without specifying their fate.</w:t>
      </w:r>
    </w:p>
    <w:p w14:paraId="0E05BEAA" w14:textId="67568DCA" w:rsidR="005C4BF0" w:rsidRPr="00137D90" w:rsidRDefault="00000000" w:rsidP="00CF51FB">
      <w:pPr>
        <w:pStyle w:val="ListParagraph"/>
        <w:numPr>
          <w:ilvl w:val="0"/>
          <w:numId w:val="2"/>
        </w:numPr>
        <w:spacing w:after="100" w:line="360" w:lineRule="auto"/>
        <w:jc w:val="both"/>
      </w:pPr>
      <w:r w:rsidRPr="00137D90">
        <w:rPr>
          <w:b/>
          <w:bCs/>
        </w:rPr>
        <w:lastRenderedPageBreak/>
        <w:t xml:space="preserve">Micropollutants. </w:t>
      </w:r>
      <w:r w:rsidRPr="00137D90">
        <w:t>Pesticide residues, veterinary antibiotics, disinfection by-products and antibiotic resistance genes travel from farm to processor to effluent to field. Their fate through agro-industrial treatment trains and their accumulation in effluent</w:t>
      </w:r>
      <w:r w:rsidR="002700D6" w:rsidRPr="00137D90">
        <w:t xml:space="preserve"> </w:t>
      </w:r>
      <w:r w:rsidRPr="00137D90">
        <w:t>irrigated soils are inadequately characterised.</w:t>
      </w:r>
    </w:p>
    <w:p w14:paraId="0D703BDB" w14:textId="1EB305A3" w:rsidR="005C4BF0" w:rsidRPr="00137D90" w:rsidRDefault="00000000" w:rsidP="00CF51FB">
      <w:pPr>
        <w:pStyle w:val="ListParagraph"/>
        <w:numPr>
          <w:ilvl w:val="0"/>
          <w:numId w:val="2"/>
        </w:numPr>
        <w:spacing w:after="100" w:line="360" w:lineRule="auto"/>
        <w:jc w:val="both"/>
      </w:pPr>
      <w:r w:rsidRPr="00137D90">
        <w:rPr>
          <w:b/>
          <w:bCs/>
        </w:rPr>
        <w:t xml:space="preserve">Energy- and carbon-positive design. </w:t>
      </w:r>
      <w:r w:rsidRPr="00137D90">
        <w:t xml:space="preserve">The achievable target for most high-strength agro-effluents is a plant that is a net energy exporter. Meeting it requires maximising anaerobic capture of influent COD, minimising aerobic polishing, recovering dissolved methane from anaerobic effluent </w:t>
      </w:r>
      <w:r w:rsidR="00AC2C06" w:rsidRPr="00137D90">
        <w:t xml:space="preserve">- </w:t>
      </w:r>
      <w:r w:rsidRPr="00137D90">
        <w:t>a real and frequently ignored emission and integrating waste heat.</w:t>
      </w:r>
    </w:p>
    <w:p w14:paraId="25B4E799" w14:textId="7FA8CB29" w:rsidR="005C4BF0" w:rsidRPr="00137D90" w:rsidRDefault="00000000" w:rsidP="00CF51FB">
      <w:pPr>
        <w:pStyle w:val="ListParagraph"/>
        <w:numPr>
          <w:ilvl w:val="0"/>
          <w:numId w:val="2"/>
        </w:numPr>
        <w:spacing w:after="100" w:line="360" w:lineRule="auto"/>
        <w:jc w:val="both"/>
      </w:pPr>
      <w:r w:rsidRPr="00137D90">
        <w:rPr>
          <w:b/>
          <w:bCs/>
        </w:rPr>
        <w:t xml:space="preserve">Affordability and decentralisation. </w:t>
      </w:r>
      <w:r w:rsidRPr="00137D90">
        <w:t>Most agro-processors are small or medium enterprises for whom a conventional effluent treatment plant is unaffordable and unstaffable. Cluster</w:t>
      </w:r>
      <w:r w:rsidR="00AC2C06" w:rsidRPr="00137D90">
        <w:t xml:space="preserve"> </w:t>
      </w:r>
      <w:r w:rsidRPr="00137D90">
        <w:t>based common facilities, container-scale modular units, and designs deliberately constrained to low operator skill and low chemical dependence are more likely to be adopted than technically superior alternatives that assume a resident engineer.</w:t>
      </w:r>
    </w:p>
    <w:p w14:paraId="2825A469" w14:textId="77777777" w:rsidR="005C4BF0" w:rsidRPr="00137D90" w:rsidRDefault="00000000" w:rsidP="00CF51FB">
      <w:pPr>
        <w:pStyle w:val="ListParagraph"/>
        <w:numPr>
          <w:ilvl w:val="0"/>
          <w:numId w:val="2"/>
        </w:numPr>
        <w:spacing w:after="100" w:line="360" w:lineRule="auto"/>
        <w:jc w:val="both"/>
      </w:pPr>
      <w:r w:rsidRPr="00137D90">
        <w:rPr>
          <w:b/>
          <w:bCs/>
        </w:rPr>
        <w:t xml:space="preserve">Policy and standards alignment. </w:t>
      </w:r>
      <w:r w:rsidRPr="00137D90">
        <w:t>Discharge standards written for concentration encourage dilution; standards written for mass load and for reuse quality encourage recovery. Aligning regulation, fertiliser product standards for recovered struvite and digestate, and renewable energy incentives would remove much of the current disincentive to build recovery-oriented plants.</w:t>
      </w:r>
    </w:p>
    <w:p w14:paraId="47212317" w14:textId="77777777" w:rsidR="005C4BF0" w:rsidRPr="00137D90" w:rsidRDefault="00000000" w:rsidP="00CF51FB">
      <w:pPr>
        <w:pStyle w:val="Heading1"/>
        <w:spacing w:before="320" w:after="140" w:line="360" w:lineRule="auto"/>
        <w:jc w:val="both"/>
        <w:rPr>
          <w:sz w:val="24"/>
          <w:szCs w:val="24"/>
        </w:rPr>
      </w:pPr>
      <w:r w:rsidRPr="00137D90">
        <w:rPr>
          <w:sz w:val="24"/>
          <w:szCs w:val="24"/>
        </w:rPr>
        <w:t>13. CONCLUSION</w:t>
      </w:r>
    </w:p>
    <w:p w14:paraId="5D4C061D" w14:textId="234515B2" w:rsidR="005C4BF0" w:rsidRPr="00137D90" w:rsidRDefault="00000000" w:rsidP="00CF51FB">
      <w:pPr>
        <w:spacing w:after="160" w:line="360" w:lineRule="auto"/>
        <w:ind w:firstLine="720"/>
        <w:jc w:val="both"/>
      </w:pPr>
      <w:r w:rsidRPr="00137D90">
        <w:t>Agro-industrial wastewater is concentrated, seasonal, nutrient-rich and treated as a raw material rather than a liability valuable. No single unit operation addresses it adequately: coagulation removes colloids but not dissolved COD; anaerobic digestion removes bulk organics and recovers energy but releases ammonium and leaves colour; advanced oxidation destroys recalcitrant molecules at a cost that forbids its use on bulk load; membranes produce reusable water but concentrate rather than eliminate the contaminants. Effective design consists in assembling these operations into a sequence in which each stage delivers an influent within the next stage's operating envelope, and in which the material removed leaves the plant as a product wherever possible.</w:t>
      </w:r>
    </w:p>
    <w:p w14:paraId="489381CB" w14:textId="52C4A21D" w:rsidR="005C4BF0" w:rsidRPr="00137D90" w:rsidRDefault="00000000" w:rsidP="00CF51FB">
      <w:pPr>
        <w:spacing w:after="160" w:line="360" w:lineRule="auto"/>
        <w:ind w:firstLine="720"/>
        <w:jc w:val="both"/>
      </w:pPr>
      <w:r w:rsidRPr="00137D90">
        <w:lastRenderedPageBreak/>
        <w:t>The chemical engineering contribution is specific and practical: segregate streams at source so that concentration is preserved where it is useful; identify the rate-limiting step before selecting equipment; size reactors on kinetics and retention time rather than on precedent; treat mass transfer oxygen into water, ozone into water, water through a membrane as the design variable it usually is; and account explicitly for every residual. Applied with a recovery orientation, this framework converts an agro-industrial effluent plant from a compliance cost into a source of biomethane, fertiliser and irrigation water. For agricultural economies where processing units, arable land and water scarcity coincide, that conversion is the difference between a treatment system that is installed and one that is actually operated.</w:t>
      </w:r>
    </w:p>
    <w:p w14:paraId="5DE71ADE" w14:textId="77777777" w:rsidR="005C4BF0" w:rsidRPr="00137D90" w:rsidRDefault="00000000" w:rsidP="00CF51FB">
      <w:pPr>
        <w:pStyle w:val="Heading1"/>
        <w:spacing w:before="320" w:after="140" w:line="360" w:lineRule="auto"/>
        <w:jc w:val="both"/>
        <w:rPr>
          <w:sz w:val="24"/>
          <w:szCs w:val="24"/>
        </w:rPr>
      </w:pPr>
      <w:r w:rsidRPr="00137D90">
        <w:rPr>
          <w:sz w:val="24"/>
          <w:szCs w:val="24"/>
        </w:rPr>
        <w:t>COMPETING INTERESTS</w:t>
      </w:r>
    </w:p>
    <w:p w14:paraId="05FE937D" w14:textId="77777777" w:rsidR="005C4BF0" w:rsidRPr="00137D90" w:rsidRDefault="00000000" w:rsidP="00CF51FB">
      <w:pPr>
        <w:spacing w:after="160" w:line="360" w:lineRule="auto"/>
        <w:ind w:firstLine="720"/>
        <w:jc w:val="both"/>
      </w:pPr>
      <w:r w:rsidRPr="00137D90">
        <w:t>The authors declare that no competing interests exist.</w:t>
      </w:r>
    </w:p>
    <w:p w14:paraId="2BDB5824" w14:textId="77777777" w:rsidR="0058005B" w:rsidRDefault="0058005B" w:rsidP="00515EBD">
      <w:pPr>
        <w:rPr>
          <w:b/>
        </w:rPr>
      </w:pPr>
    </w:p>
    <w:p w14:paraId="1D03CBE2" w14:textId="69A2AB62" w:rsidR="00515EBD" w:rsidRDefault="00515EBD" w:rsidP="00515EBD">
      <w:pPr>
        <w:rPr>
          <w:b/>
        </w:rPr>
      </w:pPr>
      <w:r w:rsidRPr="000839CE">
        <w:rPr>
          <w:b/>
        </w:rPr>
        <w:t>Declaration of AI Use</w:t>
      </w:r>
    </w:p>
    <w:p w14:paraId="35B14F01" w14:textId="77777777" w:rsidR="00515EBD" w:rsidRDefault="00515EBD" w:rsidP="00515EBD">
      <w:pPr>
        <w:rPr>
          <w:b/>
        </w:rPr>
      </w:pPr>
    </w:p>
    <w:p w14:paraId="6E30B227" w14:textId="77777777" w:rsidR="00515EBD" w:rsidRPr="002D08AC" w:rsidRDefault="00515EBD" w:rsidP="00515EBD">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CA6588C" w14:textId="77777777" w:rsidR="00515EBD" w:rsidRDefault="00515EBD" w:rsidP="00980EF1">
      <w:pPr>
        <w:pStyle w:val="Heading1"/>
        <w:spacing w:before="320" w:after="140" w:line="360" w:lineRule="auto"/>
        <w:ind w:firstLine="720"/>
        <w:jc w:val="both"/>
        <w:rPr>
          <w:b w:val="0"/>
          <w:bCs w:val="0"/>
          <w:color w:val="auto"/>
          <w:sz w:val="24"/>
          <w:szCs w:val="24"/>
        </w:rPr>
      </w:pPr>
    </w:p>
    <w:p w14:paraId="4BFB3E27" w14:textId="27A08928" w:rsidR="005C4BF0" w:rsidRPr="00137D90" w:rsidRDefault="00000000" w:rsidP="00980EF1">
      <w:pPr>
        <w:pStyle w:val="Heading1"/>
        <w:spacing w:before="320" w:after="140" w:line="360" w:lineRule="auto"/>
        <w:jc w:val="both"/>
        <w:rPr>
          <w:sz w:val="24"/>
          <w:szCs w:val="24"/>
        </w:rPr>
      </w:pPr>
      <w:r>
        <w:t>References</w:t>
      </w:r>
    </w:p>
    <w:p w14:paraId="008C3683" w14:textId="68280E4F" w:rsidR="005C4BF0" w:rsidRPr="00137D90" w:rsidRDefault="00000000" w:rsidP="00A71902">
      <w:pPr>
        <w:numPr>
          <w:ilvl w:val="0"/>
          <w:numId w:val="3"/>
        </w:numPr>
        <w:spacing w:after="120" w:line="360" w:lineRule="auto"/>
        <w:ind w:left="360" w:hanging="360"/>
        <w:jc w:val="both"/>
      </w:pPr>
      <w:r>
        <w:t xml:space="preserve">Chowdhary, P., Raj, A., &amp; Bharagava, R. N. (2018). Environmental pollution and health hazards from distillery wastewater and treatment approaches to combat the environmental threats: a review. </w:t>
      </w:r>
      <w:r>
        <w:rPr>
          <w:i/>
        </w:rPr>
        <w:t>Chemosphere, 194</w:t>
      </w:r>
      <w:r>
        <w:t>, 229–246. https://doi.org/10.1016/j.chemosphere.2017.11.163</w:t>
      </w:r>
    </w:p>
    <w:p w14:paraId="1E13F8FD" w14:textId="33D99575" w:rsidR="005C4BF0" w:rsidRPr="00137D90" w:rsidRDefault="00000000" w:rsidP="00A71902">
      <w:pPr>
        <w:numPr>
          <w:ilvl w:val="0"/>
          <w:numId w:val="3"/>
        </w:numPr>
        <w:spacing w:after="120" w:line="360" w:lineRule="auto"/>
        <w:ind w:left="360" w:hanging="360"/>
        <w:jc w:val="both"/>
      </w:pPr>
      <w:r>
        <w:t xml:space="preserve">Paraskeva, P., &amp; Diamadopoulos, E. (2006). Technologies for olive mill wastewater (OMW) treatment: a review. </w:t>
      </w:r>
      <w:r>
        <w:rPr>
          <w:i/>
        </w:rPr>
        <w:t>Journal of Chemical Technology and Biotechnology, 81(9)</w:t>
      </w:r>
      <w:r>
        <w:t>, 1475–1485. https://doi.org/10.1002/jctb.1553</w:t>
      </w:r>
    </w:p>
    <w:p w14:paraId="7F43BAA1" w14:textId="1253890B" w:rsidR="005C4BF0" w:rsidRPr="00137D90" w:rsidRDefault="00000000" w:rsidP="00A71902">
      <w:pPr>
        <w:numPr>
          <w:ilvl w:val="0"/>
          <w:numId w:val="3"/>
        </w:numPr>
        <w:spacing w:after="120" w:line="360" w:lineRule="auto"/>
        <w:ind w:left="360" w:hanging="360"/>
        <w:jc w:val="both"/>
      </w:pPr>
      <w:r>
        <w:t xml:space="preserve">Kushwaha, J. P., Srivastava, V. C., &amp; Mall, I. D. (2011). An overview of various technologies for the treatment of dairy wastewaters. </w:t>
      </w:r>
      <w:r>
        <w:rPr>
          <w:i/>
        </w:rPr>
        <w:t>Critical Reviews in Food Science and Nutrition, 51(5)</w:t>
      </w:r>
      <w:r>
        <w:t>, 442–452. https://doi.org/10.1080/10408391003663879</w:t>
      </w:r>
    </w:p>
    <w:p w14:paraId="645BAB15" w14:textId="7A9705D0" w:rsidR="005C4BF0" w:rsidRPr="00137D90" w:rsidRDefault="00000000" w:rsidP="00A71902">
      <w:pPr>
        <w:numPr>
          <w:ilvl w:val="0"/>
          <w:numId w:val="3"/>
        </w:numPr>
        <w:spacing w:after="120" w:line="360" w:lineRule="auto"/>
        <w:ind w:left="360" w:hanging="360"/>
        <w:jc w:val="both"/>
      </w:pPr>
      <w:r>
        <w:lastRenderedPageBreak/>
        <w:t xml:space="preserve">Poh, P. E., &amp; Chong, M. F. (2009). Development of anaerobic digestion methods for palm oil mill effluent (POME) treatment. </w:t>
      </w:r>
      <w:r>
        <w:rPr>
          <w:i/>
        </w:rPr>
        <w:t>Bioresource Technology, 100(1)</w:t>
      </w:r>
      <w:r>
        <w:t>, 1–9. https://doi.org/10.1016/j.biortech.2008.06.022</w:t>
      </w:r>
    </w:p>
    <w:p w14:paraId="2BBF3F23" w14:textId="5D7A0D48" w:rsidR="005C4BF0" w:rsidRPr="00137D90" w:rsidRDefault="00000000" w:rsidP="00A71902">
      <w:pPr>
        <w:numPr>
          <w:ilvl w:val="0"/>
          <w:numId w:val="3"/>
        </w:numPr>
        <w:spacing w:after="120" w:line="360" w:lineRule="auto"/>
        <w:ind w:left="360" w:hanging="360"/>
        <w:jc w:val="both"/>
      </w:pPr>
      <w:r>
        <w:t xml:space="preserve">Bustillo-Lecompte, C. F., &amp; Mehrvar, M. (2015). Slaughterhouse wastewater characteristics, treatment, and management in the meat processing industry: a review on trends and advances. </w:t>
      </w:r>
      <w:r>
        <w:rPr>
          <w:i/>
        </w:rPr>
        <w:t>Journal of Environmental Management, 161</w:t>
      </w:r>
      <w:r>
        <w:t>, 287–302. https://doi.org/10.1016/j.jenvman.2015.07.008</w:t>
      </w:r>
    </w:p>
    <w:p w14:paraId="62E5FAE1" w14:textId="19DD6EE0" w:rsidR="005C4BF0" w:rsidRPr="00137D90" w:rsidRDefault="00000000" w:rsidP="00A71902">
      <w:pPr>
        <w:numPr>
          <w:ilvl w:val="0"/>
          <w:numId w:val="3"/>
        </w:numPr>
        <w:spacing w:after="120" w:line="360" w:lineRule="auto"/>
        <w:ind w:left="360" w:hanging="360"/>
        <w:jc w:val="both"/>
      </w:pPr>
      <w:r>
        <w:t xml:space="preserve">Simate, G. S., Cluett, J., Iyuke, S. E., Musapatika, E. T., Ndlovu, S., Walubita, L. F., et al. (2011). The treatment of brewery wastewater for reuse: state of the art. </w:t>
      </w:r>
      <w:r>
        <w:rPr>
          <w:i/>
        </w:rPr>
        <w:t>Desalination, 273(2–3)</w:t>
      </w:r>
      <w:r>
        <w:t>, 235–247. https://doi.org/10.1016/j.desal.2011.02.035</w:t>
      </w:r>
    </w:p>
    <w:p w14:paraId="2BD6696C" w14:textId="4B339073" w:rsidR="005C4BF0" w:rsidRPr="00137D90" w:rsidRDefault="00000000" w:rsidP="00A71902">
      <w:pPr>
        <w:numPr>
          <w:ilvl w:val="0"/>
          <w:numId w:val="3"/>
        </w:numPr>
        <w:spacing w:after="120" w:line="360" w:lineRule="auto"/>
        <w:ind w:left="360" w:hanging="360"/>
        <w:jc w:val="both"/>
      </w:pPr>
      <w:r>
        <w:t xml:space="preserve">Mekonnen, M. M., &amp; Hoekstra, A. Y. (2016). Four billion people facing severe water scarcity. </w:t>
      </w:r>
      <w:r>
        <w:rPr>
          <w:i/>
        </w:rPr>
        <w:t>Science Advances, 2(2)</w:t>
      </w:r>
      <w:r>
        <w:t>, e1500323. https://doi.org/10.1126/sciadv.1500323</w:t>
      </w:r>
    </w:p>
    <w:p w14:paraId="5B972C59" w14:textId="550F30A9" w:rsidR="005C4BF0" w:rsidRPr="00137D90" w:rsidRDefault="00000000" w:rsidP="00A71902">
      <w:pPr>
        <w:numPr>
          <w:ilvl w:val="0"/>
          <w:numId w:val="3"/>
        </w:numPr>
        <w:spacing w:after="120" w:line="360" w:lineRule="auto"/>
        <w:ind w:left="360" w:hanging="360"/>
        <w:jc w:val="both"/>
      </w:pPr>
      <w:r>
        <w:t xml:space="preserve">Batstone, D. J., Hülsen, T., Mehta, C. M., &amp; Keller, J. (2015). Platforms for energy and nutrient recovery from domestic wastewater: a review. </w:t>
      </w:r>
      <w:r>
        <w:rPr>
          <w:i/>
        </w:rPr>
        <w:t>Chemosphere, 140</w:t>
      </w:r>
      <w:r>
        <w:t>, 2–11. https://doi.org/10.1016/j.chemosphere.2014.10.021</w:t>
      </w:r>
    </w:p>
    <w:p w14:paraId="518D438C" w14:textId="4256BF7A" w:rsidR="005C4BF0" w:rsidRPr="00137D90" w:rsidRDefault="00000000" w:rsidP="00A71902">
      <w:pPr>
        <w:numPr>
          <w:ilvl w:val="0"/>
          <w:numId w:val="3"/>
        </w:numPr>
        <w:spacing w:after="120" w:line="360" w:lineRule="auto"/>
        <w:ind w:left="360" w:hanging="360"/>
        <w:jc w:val="both"/>
      </w:pPr>
      <w:r>
        <w:t xml:space="preserve">Puyol, D., Batstone, D. J., Hülsen, T., Astals, S., Peces, M., &amp; Krömer, J. O. (2017). Resource recovery from wastewater by biological technologies: opportunities, challenges, and prospects. </w:t>
      </w:r>
      <w:r>
        <w:rPr>
          <w:i/>
        </w:rPr>
        <w:t>Frontiers in Microbiology, 7</w:t>
      </w:r>
      <w:r>
        <w:t>, 2106. https://doi.org/10.3389/fmicb.2016.02106</w:t>
      </w:r>
    </w:p>
    <w:p w14:paraId="33653D4F" w14:textId="25325A69" w:rsidR="005C4BF0" w:rsidRPr="00137D90" w:rsidRDefault="00000000" w:rsidP="00A71902">
      <w:pPr>
        <w:numPr>
          <w:ilvl w:val="0"/>
          <w:numId w:val="3"/>
        </w:numPr>
        <w:spacing w:after="120" w:line="360" w:lineRule="auto"/>
        <w:ind w:left="360" w:hanging="360"/>
        <w:jc w:val="both"/>
      </w:pPr>
      <w:r>
        <w:t xml:space="preserve">Satyawali, Y., &amp; Balakrishnan, M. (2008). Wastewater treatment in molasses-based alcohol distilleries for COD and colour removal: a review. </w:t>
      </w:r>
      <w:r>
        <w:rPr>
          <w:i/>
        </w:rPr>
        <w:t>Journal of Environmental Management, 86(3)</w:t>
      </w:r>
      <w:r>
        <w:t>, 481–497. https://doi.org/10.1016/j.jenvman.2006.12.024</w:t>
      </w:r>
    </w:p>
    <w:p w14:paraId="4DEDC54F" w14:textId="07A5F3D0" w:rsidR="005C4BF0" w:rsidRPr="00137D90" w:rsidRDefault="00000000" w:rsidP="00A71902">
      <w:pPr>
        <w:numPr>
          <w:ilvl w:val="0"/>
          <w:numId w:val="3"/>
        </w:numPr>
        <w:spacing w:after="120" w:line="360" w:lineRule="auto"/>
        <w:ind w:left="360" w:hanging="360"/>
        <w:jc w:val="both"/>
      </w:pPr>
      <w:r>
        <w:t xml:space="preserve">Ahmad, A. L., Ismail, S., &amp; Bhatia, S. (2003). Water recycling from palm oil mill effluent (POME) using membrane technology. </w:t>
      </w:r>
      <w:r>
        <w:rPr>
          <w:i/>
        </w:rPr>
        <w:t>Desalination, 157(1–3)</w:t>
      </w:r>
      <w:r>
        <w:t>, 87–95. https://doi.org/10.1016/S0011-9164(03)00387-4</w:t>
      </w:r>
    </w:p>
    <w:p w14:paraId="35B737B9" w14:textId="1B497F15" w:rsidR="005C4BF0" w:rsidRPr="00137D90" w:rsidRDefault="00000000" w:rsidP="00A71902">
      <w:pPr>
        <w:numPr>
          <w:ilvl w:val="0"/>
          <w:numId w:val="3"/>
        </w:numPr>
        <w:spacing w:after="120" w:line="360" w:lineRule="auto"/>
        <w:ind w:left="360" w:hanging="360"/>
        <w:jc w:val="both"/>
      </w:pPr>
      <w:r>
        <w:t xml:space="preserve">Rajesh Banu, J., Kaliappan, S., &amp; Yeom, I. T. (2007). Treatment of domestic wastewater using upflow anaerobic sludge blanket reactor. </w:t>
      </w:r>
      <w:r>
        <w:rPr>
          <w:i/>
        </w:rPr>
        <w:t>International Journal of Environmental Science and Technology, 4(3)</w:t>
      </w:r>
      <w:r>
        <w:t>, 363–370. https://doi.org/10.1007/BF03326295</w:t>
      </w:r>
    </w:p>
    <w:p w14:paraId="50E18DBF" w14:textId="77777777" w:rsidR="005C4BF0" w:rsidRPr="00137D90" w:rsidRDefault="00000000" w:rsidP="00A71902">
      <w:pPr>
        <w:numPr>
          <w:ilvl w:val="0"/>
          <w:numId w:val="3"/>
        </w:numPr>
        <w:spacing w:after="120" w:line="360" w:lineRule="auto"/>
        <w:ind w:left="360" w:hanging="360"/>
        <w:jc w:val="both"/>
      </w:pPr>
      <w:r>
        <w:lastRenderedPageBreak/>
        <w:t xml:space="preserve">Sridevi, V., Lakshmi, M. V. V. C., Manasa, M., &amp; Sravani, M. (2012). Metabolic pathways for the biodegradation of phenol. </w:t>
      </w:r>
      <w:r>
        <w:rPr>
          <w:i/>
        </w:rPr>
        <w:t>International Journal of Engineering Science and Advanced Technology, 2(3)</w:t>
      </w:r>
      <w:r>
        <w:t>, 695–705.</w:t>
      </w:r>
    </w:p>
    <w:p w14:paraId="7807B48C" w14:textId="5EFD60AD" w:rsidR="005C4BF0" w:rsidRPr="00137D90" w:rsidRDefault="00000000" w:rsidP="00A71902">
      <w:pPr>
        <w:numPr>
          <w:ilvl w:val="0"/>
          <w:numId w:val="3"/>
        </w:numPr>
        <w:spacing w:after="120" w:line="360" w:lineRule="auto"/>
        <w:ind w:left="360" w:hanging="360"/>
        <w:jc w:val="both"/>
      </w:pPr>
      <w:r>
        <w:t xml:space="preserve">Kaushik, G., &amp; Thakur, I. S. (2013). Adsorption of colored pollutants from distillery spent wash by native and treated fungus: Neurospora intermedia. </w:t>
      </w:r>
      <w:r>
        <w:rPr>
          <w:i/>
        </w:rPr>
        <w:t>Environmental Science and Pollution Research, 20(2)</w:t>
      </w:r>
      <w:r>
        <w:t>, 1070–1078. https://doi.org/10.1007/s11356-012-0957-2</w:t>
      </w:r>
    </w:p>
    <w:p w14:paraId="5AA648BB" w14:textId="5F30A98C" w:rsidR="005C4BF0" w:rsidRPr="00137D90" w:rsidRDefault="00000000" w:rsidP="00A71902">
      <w:pPr>
        <w:numPr>
          <w:ilvl w:val="0"/>
          <w:numId w:val="3"/>
        </w:numPr>
        <w:spacing w:after="120" w:line="360" w:lineRule="auto"/>
        <w:ind w:left="360" w:hanging="360"/>
        <w:jc w:val="both"/>
      </w:pPr>
      <w:r>
        <w:t xml:space="preserve">Oller, I., Malato, S., &amp; Sánchez-Pérez, J. A. (2011). Combination of advanced oxidation processes and biological treatments for wastewater decontamination: a review. </w:t>
      </w:r>
      <w:r>
        <w:rPr>
          <w:i/>
        </w:rPr>
        <w:t>Science of the Total Environment, 409(20)</w:t>
      </w:r>
      <w:r>
        <w:t>, 4141–4166. https://doi.org/10.1016/j.scitotenv.2010.08.061</w:t>
      </w:r>
    </w:p>
    <w:p w14:paraId="38412119" w14:textId="5BB782A7" w:rsidR="005C4BF0" w:rsidRPr="00137D90" w:rsidRDefault="00000000" w:rsidP="00A71902">
      <w:pPr>
        <w:numPr>
          <w:ilvl w:val="0"/>
          <w:numId w:val="3"/>
        </w:numPr>
        <w:spacing w:after="120" w:line="360" w:lineRule="auto"/>
        <w:ind w:left="360" w:hanging="360"/>
        <w:jc w:val="both"/>
      </w:pPr>
      <w:r>
        <w:t xml:space="preserve">Mata-Alvarez, J., Dosta, J., Romero-Güiza, M. S., Fonoll, X., Peces, M., &amp; Astals, S. (2014). A critical review on anaerobic co-digestion achievements between 2010 and 2013. </w:t>
      </w:r>
      <w:r>
        <w:rPr>
          <w:i/>
        </w:rPr>
        <w:t>Renewable and Sustainable Energy Reviews, 36</w:t>
      </w:r>
      <w:r>
        <w:t>, 412–427. https://doi.org/10.1016/j.rser.2014.04.039</w:t>
      </w:r>
    </w:p>
    <w:p w14:paraId="359F9CE4" w14:textId="2CE1A177" w:rsidR="005C4BF0" w:rsidRPr="00137D90" w:rsidRDefault="00000000" w:rsidP="00A71902">
      <w:pPr>
        <w:numPr>
          <w:ilvl w:val="0"/>
          <w:numId w:val="3"/>
        </w:numPr>
        <w:spacing w:after="120" w:line="360" w:lineRule="auto"/>
        <w:ind w:left="360" w:hanging="360"/>
        <w:jc w:val="both"/>
      </w:pPr>
      <w:r>
        <w:t xml:space="preserve">Yenigün, O., &amp; Demirel, B. (2013). Ammonia inhibition in anaerobic digestion: a review. </w:t>
      </w:r>
      <w:r>
        <w:rPr>
          <w:i/>
        </w:rPr>
        <w:t>Process Biochemistry, 48(5–6)</w:t>
      </w:r>
      <w:r>
        <w:t>, 901–911. https://doi.org/10.1016/j.procbio.2013.04.012</w:t>
      </w:r>
    </w:p>
    <w:p w14:paraId="4752A461" w14:textId="19315AB0" w:rsidR="005C4BF0" w:rsidRPr="00137D90" w:rsidRDefault="00000000" w:rsidP="00A71902">
      <w:pPr>
        <w:numPr>
          <w:ilvl w:val="0"/>
          <w:numId w:val="3"/>
        </w:numPr>
        <w:spacing w:after="120" w:line="360" w:lineRule="auto"/>
        <w:ind w:left="360" w:hanging="360"/>
        <w:jc w:val="both"/>
      </w:pPr>
      <w:r>
        <w:t xml:space="preserve">Wang, L. K., Hung, Y. T., Lo, H. H., &amp; Yapijakis, C. (Eds.). (2006). </w:t>
      </w:r>
      <w:r>
        <w:rPr>
          <w:i/>
        </w:rPr>
        <w:t>Waste Treatment in the Food Processing Industry</w:t>
      </w:r>
      <w:r>
        <w:t>. Boca Raton: CRC Press. https://doi.org/10.1201/9781420037128</w:t>
      </w:r>
    </w:p>
    <w:p w14:paraId="4878F701" w14:textId="2D24941B" w:rsidR="005C4BF0" w:rsidRPr="00137D90" w:rsidRDefault="00000000" w:rsidP="00A71902">
      <w:pPr>
        <w:numPr>
          <w:ilvl w:val="0"/>
          <w:numId w:val="3"/>
        </w:numPr>
        <w:spacing w:after="120" w:line="360" w:lineRule="auto"/>
        <w:ind w:left="360" w:hanging="360"/>
        <w:jc w:val="both"/>
      </w:pPr>
      <w:r>
        <w:t>Amuda, O. S., &amp; Amoo, I. A. (2007). Coagulation/flocculation process and sludge conditioning in beverage industrial wastewater treatment. Journal of Hazardous Materials, 141(3), 778–783. https://doi.org/10.1016/j.jhazmat.2006.07.044</w:t>
      </w:r>
    </w:p>
    <w:p w14:paraId="63A8AC11" w14:textId="4DF86784" w:rsidR="005C4BF0" w:rsidRPr="00137D90" w:rsidRDefault="00000000" w:rsidP="00A71902">
      <w:pPr>
        <w:numPr>
          <w:ilvl w:val="0"/>
          <w:numId w:val="3"/>
        </w:numPr>
        <w:spacing w:after="120" w:line="360" w:lineRule="auto"/>
        <w:ind w:left="360" w:hanging="360"/>
        <w:jc w:val="both"/>
      </w:pPr>
      <w:r>
        <w:t xml:space="preserve">Prazeres, A. R., Carvalho, F., &amp; Rivas, J. (2012). Cheese whey management: a review. </w:t>
      </w:r>
      <w:r>
        <w:rPr>
          <w:i/>
        </w:rPr>
        <w:t>Journal of Environmental Management, 110</w:t>
      </w:r>
      <w:r>
        <w:t>, 48–68. https://doi.org/10.1016/j.jenvman.2012.05.018</w:t>
      </w:r>
    </w:p>
    <w:p w14:paraId="58DDE5AF" w14:textId="1D681119" w:rsidR="005C4BF0" w:rsidRPr="00137D90" w:rsidRDefault="00000000" w:rsidP="00A71902">
      <w:pPr>
        <w:numPr>
          <w:ilvl w:val="0"/>
          <w:numId w:val="3"/>
        </w:numPr>
        <w:spacing w:after="120" w:line="360" w:lineRule="auto"/>
        <w:ind w:left="360" w:hanging="360"/>
        <w:jc w:val="both"/>
      </w:pPr>
      <w:r>
        <w:t xml:space="preserve">Yin, C. Y. (2010). Emerging usage of plant-based coagulants for water and wastewater treatment. </w:t>
      </w:r>
      <w:r>
        <w:rPr>
          <w:i/>
        </w:rPr>
        <w:t>Process Biochemistry, 45(9)</w:t>
      </w:r>
      <w:r>
        <w:t>, 1437–1444. https://doi.org/10.1016/j.procbio.2010.05.030</w:t>
      </w:r>
    </w:p>
    <w:p w14:paraId="53C15ECA" w14:textId="472D3D3F" w:rsidR="005C4BF0" w:rsidRPr="00137D90" w:rsidRDefault="00000000" w:rsidP="00A71902">
      <w:pPr>
        <w:numPr>
          <w:ilvl w:val="0"/>
          <w:numId w:val="3"/>
        </w:numPr>
        <w:spacing w:after="120" w:line="360" w:lineRule="auto"/>
        <w:ind w:left="360" w:hanging="360"/>
        <w:jc w:val="both"/>
      </w:pPr>
      <w:r>
        <w:t xml:space="preserve">Edzwald, J. K. (2010). Dissolved air flotation and me. </w:t>
      </w:r>
      <w:r>
        <w:rPr>
          <w:i/>
        </w:rPr>
        <w:t>Water Research, 44(7)</w:t>
      </w:r>
      <w:r>
        <w:t>, 2077–2106. https://doi.org/10.1016/j.watres.2009.12.040</w:t>
      </w:r>
    </w:p>
    <w:p w14:paraId="3C5E3AA8" w14:textId="4493FE59" w:rsidR="005C4BF0" w:rsidRPr="00137D90" w:rsidRDefault="00000000" w:rsidP="00A71902">
      <w:pPr>
        <w:numPr>
          <w:ilvl w:val="0"/>
          <w:numId w:val="3"/>
        </w:numPr>
        <w:spacing w:after="120" w:line="360" w:lineRule="auto"/>
        <w:ind w:left="360" w:hanging="360"/>
        <w:jc w:val="both"/>
      </w:pPr>
      <w:r>
        <w:lastRenderedPageBreak/>
        <w:t xml:space="preserve">Chen, Y., Cheng, J. J., &amp; Creamer, K. S. (2008). Inhibition of anaerobic digestion process: a review. </w:t>
      </w:r>
      <w:r>
        <w:rPr>
          <w:i/>
        </w:rPr>
        <w:t>Bioresource Technology, 99(10)</w:t>
      </w:r>
      <w:r>
        <w:t>, 4044–4064. https://doi.org/10.1016/j.biortech.2007.01.057</w:t>
      </w:r>
    </w:p>
    <w:p w14:paraId="05FD1F9E" w14:textId="3209E14D" w:rsidR="005C4BF0" w:rsidRPr="00137D90" w:rsidRDefault="00000000" w:rsidP="00A71902">
      <w:pPr>
        <w:numPr>
          <w:ilvl w:val="0"/>
          <w:numId w:val="3"/>
        </w:numPr>
        <w:spacing w:after="120" w:line="360" w:lineRule="auto"/>
        <w:ind w:left="360" w:hanging="360"/>
        <w:jc w:val="both"/>
      </w:pPr>
      <w:r>
        <w:t xml:space="preserve">Appels, L., Baeyens, J., Degrève, J., &amp; Dewil, R. (2008). Principles and potential of the anaerobic digestion of waste-activated sludge. Progress in Energy and Combustion </w:t>
      </w:r>
      <w:r>
        <w:rPr>
          <w:i/>
        </w:rPr>
        <w:t>Science, 34(6)</w:t>
      </w:r>
      <w:r>
        <w:t>, 755–781. https://doi.org/10.1016/j.pecs.2008.06.002</w:t>
      </w:r>
    </w:p>
    <w:p w14:paraId="5AB2A90B" w14:textId="28C53F69" w:rsidR="005C4BF0" w:rsidRPr="00137D90" w:rsidRDefault="00000000" w:rsidP="00A71902">
      <w:pPr>
        <w:numPr>
          <w:ilvl w:val="0"/>
          <w:numId w:val="3"/>
        </w:numPr>
        <w:spacing w:after="120" w:line="360" w:lineRule="auto"/>
        <w:ind w:left="360" w:hanging="360"/>
        <w:jc w:val="both"/>
      </w:pPr>
      <w:r>
        <w:t xml:space="preserve">Hagos, K., Zong, J., Li, D., Liu, C., &amp; Lu, X. (2017). Anaerobic co-digestion process for biogas production: progress, challenges and perspectives. </w:t>
      </w:r>
      <w:r>
        <w:rPr>
          <w:i/>
        </w:rPr>
        <w:t>Renewable and Sustainable Energy Reviews, 76</w:t>
      </w:r>
      <w:r>
        <w:t>, 1485–1496. https://doi.org/10.1016/j.rser.2016.11.184</w:t>
      </w:r>
    </w:p>
    <w:p w14:paraId="130BF120" w14:textId="4DA68C39" w:rsidR="005C4BF0" w:rsidRPr="00137D90" w:rsidRDefault="00000000" w:rsidP="00A71902">
      <w:pPr>
        <w:numPr>
          <w:ilvl w:val="0"/>
          <w:numId w:val="3"/>
        </w:numPr>
        <w:spacing w:after="120" w:line="360" w:lineRule="auto"/>
        <w:ind w:left="360" w:hanging="360"/>
        <w:jc w:val="both"/>
      </w:pPr>
      <w:r>
        <w:t xml:space="preserve">Babuponnusami, A., &amp; Muthukumar, K. (2014). A review on Fenton and improvements to the Fenton process for wastewater treatment. </w:t>
      </w:r>
      <w:r>
        <w:rPr>
          <w:i/>
        </w:rPr>
        <w:t>Journal of Environmental Chemical Engineering, 2(1)</w:t>
      </w:r>
      <w:r>
        <w:t>, 557–572. https://doi.org/10.1016/j.jece.2013.10.011</w:t>
      </w:r>
    </w:p>
    <w:p w14:paraId="4C2E2234" w14:textId="4362911D" w:rsidR="005C4BF0" w:rsidRPr="00137D90" w:rsidRDefault="00000000" w:rsidP="00A71902">
      <w:pPr>
        <w:numPr>
          <w:ilvl w:val="0"/>
          <w:numId w:val="3"/>
        </w:numPr>
        <w:spacing w:after="120" w:line="360" w:lineRule="auto"/>
        <w:ind w:left="360" w:hanging="360"/>
        <w:jc w:val="both"/>
      </w:pPr>
      <w:r>
        <w:t xml:space="preserve">Malato, S., Fernández-Ibáñez, P., Maldonado, M. I., Blanco, J., &amp; Gernjak, W. (2009). Decontamination and disinfection of water by solar photocatalysis: recent overview and trends. </w:t>
      </w:r>
      <w:r>
        <w:rPr>
          <w:i/>
        </w:rPr>
        <w:t>Catalysis Today, 147(1)</w:t>
      </w:r>
      <w:r>
        <w:t>, 1–59. https://doi.org/10.1016/j.cattod.2009.06.018</w:t>
      </w:r>
    </w:p>
    <w:p w14:paraId="20E30CF8" w14:textId="762E7413" w:rsidR="005C4BF0" w:rsidRPr="00137D90" w:rsidRDefault="00000000" w:rsidP="00A71902">
      <w:pPr>
        <w:numPr>
          <w:ilvl w:val="0"/>
          <w:numId w:val="3"/>
        </w:numPr>
        <w:spacing w:after="120" w:line="360" w:lineRule="auto"/>
        <w:ind w:left="360" w:hanging="360"/>
        <w:jc w:val="both"/>
      </w:pPr>
      <w:r>
        <w:t xml:space="preserve">Chong, M. N., Jin, B., Chow, C. W. K., &amp; Saint, C. (2010). Recent developments in photocatalytic water treatment technology: a review. </w:t>
      </w:r>
      <w:r>
        <w:rPr>
          <w:i/>
        </w:rPr>
        <w:t>Water Research, 44(10)</w:t>
      </w:r>
      <w:r>
        <w:t>, 2997–3027. https://doi.org/10.1016/j.watres.2010.02.039</w:t>
      </w:r>
    </w:p>
    <w:p w14:paraId="41754509" w14:textId="41C671A4" w:rsidR="005C4BF0" w:rsidRPr="00137D90" w:rsidRDefault="00000000" w:rsidP="00A71902">
      <w:pPr>
        <w:numPr>
          <w:ilvl w:val="0"/>
          <w:numId w:val="3"/>
        </w:numPr>
        <w:spacing w:after="120" w:line="360" w:lineRule="auto"/>
        <w:ind w:left="360" w:hanging="360"/>
        <w:jc w:val="both"/>
      </w:pPr>
      <w:r>
        <w:t xml:space="preserve">Moussa, D. T., El-Naas, M. H., Nasser, M., &amp; Al-Marri, M. J. (2017). A comprehensive review of electrocoagulation for water treatment: potentials and challenges. </w:t>
      </w:r>
      <w:r>
        <w:rPr>
          <w:i/>
        </w:rPr>
        <w:t>Journal of Environmental Management, 186</w:t>
      </w:r>
      <w:r>
        <w:t>, 24–41. https://doi.org/10.1016/j.jenvman.2016.10.032</w:t>
      </w:r>
    </w:p>
    <w:p w14:paraId="4AE633EC" w14:textId="3B0AA281" w:rsidR="005C4BF0" w:rsidRPr="00137D90" w:rsidRDefault="00000000" w:rsidP="00A71902">
      <w:pPr>
        <w:numPr>
          <w:ilvl w:val="0"/>
          <w:numId w:val="3"/>
        </w:numPr>
        <w:spacing w:after="120" w:line="360" w:lineRule="auto"/>
        <w:ind w:left="360" w:hanging="360"/>
        <w:jc w:val="both"/>
      </w:pPr>
      <w:r>
        <w:t xml:space="preserve">Ahmad, M., Rajapaksha, A. U., Lim, J. E., Zhang, M., Bolan, N., Mohan, D., et al. (2014). Biochar as a sorbent for contaminant management in soil and water: a review. </w:t>
      </w:r>
      <w:r>
        <w:rPr>
          <w:i/>
        </w:rPr>
        <w:t>Chemosphere, 99</w:t>
      </w:r>
      <w:r>
        <w:t>, 19–33. https://doi.org/10.1016/j.chemosphere.2013.10.071</w:t>
      </w:r>
    </w:p>
    <w:p w14:paraId="7C62D3C6" w14:textId="66745583" w:rsidR="005C4BF0" w:rsidRPr="00137D90" w:rsidRDefault="00000000" w:rsidP="00A71902">
      <w:pPr>
        <w:numPr>
          <w:ilvl w:val="0"/>
          <w:numId w:val="3"/>
        </w:numPr>
        <w:spacing w:after="120" w:line="360" w:lineRule="auto"/>
        <w:ind w:left="360" w:hanging="360"/>
        <w:jc w:val="both"/>
      </w:pPr>
      <w:r>
        <w:t xml:space="preserve">Bhatnagar, A., Sillanpää, M., &amp; Witek-Krowiak, A. (2015). Agricultural waste peels as versatile biomass for water purification: a review. </w:t>
      </w:r>
      <w:r>
        <w:rPr>
          <w:i/>
        </w:rPr>
        <w:t>Chemical Engineering Journal, 270</w:t>
      </w:r>
      <w:r>
        <w:t>, 244–271. https://doi.org/10.1016/j.cej.2015.01.135</w:t>
      </w:r>
    </w:p>
    <w:p w14:paraId="76635A79" w14:textId="5747B7B8" w:rsidR="005C4BF0" w:rsidRPr="00137D90" w:rsidRDefault="00000000" w:rsidP="00A71902">
      <w:pPr>
        <w:numPr>
          <w:ilvl w:val="0"/>
          <w:numId w:val="3"/>
        </w:numPr>
        <w:spacing w:after="120" w:line="360" w:lineRule="auto"/>
        <w:ind w:left="360" w:hanging="360"/>
        <w:jc w:val="both"/>
      </w:pPr>
      <w:r>
        <w:t xml:space="preserve">Phuntsho, S., Shon, H. K., Hong, S., Lee, S., &amp; Vigneswaran, S. (2011). A novel low energy fertilizer driven forward osmosis desalination for direct fertigation: evaluating the performance </w:t>
      </w:r>
      <w:r>
        <w:lastRenderedPageBreak/>
        <w:t xml:space="preserve">of fertilizer draw solutions. </w:t>
      </w:r>
      <w:r>
        <w:rPr>
          <w:i/>
        </w:rPr>
        <w:t>Journal of Membrane Science, 375(1–2)</w:t>
      </w:r>
      <w:r>
        <w:t>, 172–181. https://doi.org/10.1016/j.memsci.2011.03.038</w:t>
      </w:r>
    </w:p>
    <w:p w14:paraId="5C92C46C" w14:textId="35F02306" w:rsidR="005C4BF0" w:rsidRPr="00137D90" w:rsidRDefault="00000000" w:rsidP="00A71902">
      <w:pPr>
        <w:numPr>
          <w:ilvl w:val="0"/>
          <w:numId w:val="3"/>
        </w:numPr>
        <w:spacing w:after="120" w:line="360" w:lineRule="auto"/>
        <w:ind w:left="360" w:hanging="360"/>
        <w:jc w:val="both"/>
      </w:pPr>
      <w:r>
        <w:t xml:space="preserve">Shannon, M. A., Bohn, P. W., Elimelech, M., Georgiadis, J. G., Mariñas, B. J., &amp; Mayes, A. M. (2008). Science and technology for water purification in the coming decades. </w:t>
      </w:r>
      <w:r>
        <w:rPr>
          <w:i/>
        </w:rPr>
        <w:t>Nature, 452(7185)</w:t>
      </w:r>
      <w:r>
        <w:t>, 301–310. https://doi.org/10.1038/nature06599</w:t>
      </w:r>
    </w:p>
    <w:p w14:paraId="058655CE" w14:textId="1E802060" w:rsidR="005C4BF0" w:rsidRPr="00137D90" w:rsidRDefault="00000000" w:rsidP="00A71902">
      <w:pPr>
        <w:numPr>
          <w:ilvl w:val="0"/>
          <w:numId w:val="3"/>
        </w:numPr>
        <w:spacing w:after="120" w:line="360" w:lineRule="auto"/>
        <w:ind w:left="360" w:hanging="360"/>
        <w:jc w:val="both"/>
      </w:pPr>
      <w:r>
        <w:t xml:space="preserve">Le Corre, K. S., Valsami-Jones, E., Hobbs, P., &amp; Parsons, S. A. (2009). Phosphorus recovery from wastewater by struvite crystallization: a review. </w:t>
      </w:r>
      <w:r>
        <w:rPr>
          <w:i/>
        </w:rPr>
        <w:t>Critical Reviews in Environmental Science and Technology, 39(6)</w:t>
      </w:r>
      <w:r>
        <w:t>, 433–477. https://doi.org/10.1080/10643380701640573</w:t>
      </w:r>
    </w:p>
    <w:p w14:paraId="0D9668E6" w14:textId="2060A928" w:rsidR="005C4BF0" w:rsidRPr="00137D90" w:rsidRDefault="00000000" w:rsidP="00A71902">
      <w:pPr>
        <w:numPr>
          <w:ilvl w:val="0"/>
          <w:numId w:val="3"/>
        </w:numPr>
        <w:spacing w:after="120" w:line="360" w:lineRule="auto"/>
        <w:ind w:left="360" w:hanging="360"/>
        <w:jc w:val="both"/>
      </w:pPr>
      <w:r>
        <w:t xml:space="preserve">Rahman, M. M., Salleh, M. A. M., Rashid, U., Ahsan, A., Hossain, M. M., &amp; Ra, C. S. (2014). Production of slow release crystal fertilizer from wastewaters through struvite crystallization: a review. </w:t>
      </w:r>
      <w:r>
        <w:rPr>
          <w:i/>
        </w:rPr>
        <w:t>Arabian Journal of Chemistry, 7(1)</w:t>
      </w:r>
      <w:r>
        <w:t>, 139–155. https://doi.org/10.1016/j.arabjc.2013.10.007</w:t>
      </w:r>
    </w:p>
    <w:p w14:paraId="5E4307B6" w14:textId="5AD83A97" w:rsidR="005C4BF0" w:rsidRPr="00137D90" w:rsidRDefault="00000000" w:rsidP="00A71902">
      <w:pPr>
        <w:numPr>
          <w:ilvl w:val="0"/>
          <w:numId w:val="3"/>
        </w:numPr>
        <w:spacing w:after="120" w:line="360" w:lineRule="auto"/>
        <w:ind w:left="360" w:hanging="360"/>
        <w:jc w:val="both"/>
      </w:pPr>
      <w:r>
        <w:t xml:space="preserve">Logan, B. E., &amp; Rabaey, K. (2012). Conversion of wastes into bioelectricity and chemicals by using microbial electrochemical technologies. </w:t>
      </w:r>
      <w:r>
        <w:rPr>
          <w:i/>
        </w:rPr>
        <w:t>Science, 337(6095)</w:t>
      </w:r>
      <w:r>
        <w:t>, 686–690. https://doi.org/10.1126/science.339.6122.906-a</w:t>
      </w:r>
    </w:p>
    <w:p w14:paraId="4C8BA7E2" w14:textId="0B572CD9" w:rsidR="005C4BF0" w:rsidRPr="00137D90" w:rsidRDefault="00000000" w:rsidP="00A71902">
      <w:pPr>
        <w:numPr>
          <w:ilvl w:val="0"/>
          <w:numId w:val="3"/>
        </w:numPr>
        <w:spacing w:after="120" w:line="360" w:lineRule="auto"/>
        <w:ind w:left="360" w:hanging="360"/>
        <w:jc w:val="both"/>
      </w:pPr>
      <w:r>
        <w:t xml:space="preserve">Tong, T., &amp; Elimelech, M. (2016). The global rise of zero liquid discharge for wastewater management: drivers, technologies, and future directions. Environmental </w:t>
      </w:r>
      <w:r>
        <w:rPr>
          <w:i/>
        </w:rPr>
        <w:t>Science, 50(13)</w:t>
      </w:r>
      <w:r>
        <w:t>, 6846–6855. https://doi.org/10.1021/acs.est.6b01000</w:t>
      </w:r>
    </w:p>
    <w:p w14:paraId="24B46FFB" w14:textId="77777777" w:rsidR="005C4BF0" w:rsidRPr="00137D90" w:rsidRDefault="00000000" w:rsidP="00A71902">
      <w:pPr>
        <w:numPr>
          <w:ilvl w:val="0"/>
          <w:numId w:val="3"/>
        </w:numPr>
        <w:spacing w:after="120" w:line="360" w:lineRule="auto"/>
        <w:ind w:left="360" w:hanging="360"/>
        <w:jc w:val="both"/>
      </w:pPr>
      <w:r>
        <w:t>Ayers, R. S., &amp; Westcot, D. W. (1985). Water quality for agriculture: FAO Irrigation and Drainage Paper 29, Rev. 1. Rome: FAO.</w:t>
      </w:r>
    </w:p>
    <w:p w14:paraId="3938B2B8" w14:textId="3C2C1A09" w:rsidR="005C4BF0" w:rsidRPr="00137D90" w:rsidRDefault="00000000" w:rsidP="00A71902">
      <w:pPr>
        <w:numPr>
          <w:ilvl w:val="0"/>
          <w:numId w:val="3"/>
        </w:numPr>
        <w:spacing w:after="120" w:line="360" w:lineRule="auto"/>
        <w:ind w:left="360" w:hanging="360"/>
        <w:jc w:val="both"/>
      </w:pPr>
      <w:r>
        <w:t xml:space="preserve">Pedrero, F., Kalavrouziotis, I., Alarcón, J. J., Koukoulakis, P., &amp; Asano, T. (2010). Use of treated municipal wastewater in irrigated agriculture: review of some practices in Spain and Greece. </w:t>
      </w:r>
      <w:r>
        <w:rPr>
          <w:i/>
        </w:rPr>
        <w:t>Agricultural Water Management, 97(9)</w:t>
      </w:r>
      <w:r>
        <w:t>, 1233–1241. https://doi.org/10.1016/j.agwat.2010.03.003</w:t>
      </w:r>
    </w:p>
    <w:p w14:paraId="4F2D2212" w14:textId="376639CB" w:rsidR="005C4BF0" w:rsidRPr="00137D90" w:rsidRDefault="00000000" w:rsidP="00A71902">
      <w:pPr>
        <w:numPr>
          <w:ilvl w:val="0"/>
          <w:numId w:val="3"/>
        </w:numPr>
        <w:spacing w:after="120" w:line="360" w:lineRule="auto"/>
        <w:ind w:left="360" w:hanging="360"/>
        <w:jc w:val="both"/>
      </w:pPr>
      <w:r>
        <w:t xml:space="preserve">Bezerra, M. A., Santelli, R. E., Oliveira, E. P., Villar, L. S., &amp; Escaleira, L. A. (2008). Response surface methodology (RSM) as a tool for optimization in analytical chemistry. </w:t>
      </w:r>
      <w:r>
        <w:rPr>
          <w:i/>
        </w:rPr>
        <w:t>Talanta, 76(5)</w:t>
      </w:r>
      <w:r>
        <w:t>, 965–977. https://doi.org/10.1016/j.talanta.2008.05.019</w:t>
      </w:r>
    </w:p>
    <w:p w14:paraId="1180F597" w14:textId="75B8A5C5" w:rsidR="005C4BF0" w:rsidRPr="00137D90" w:rsidRDefault="00000000" w:rsidP="00A71902">
      <w:pPr>
        <w:numPr>
          <w:ilvl w:val="0"/>
          <w:numId w:val="3"/>
        </w:numPr>
        <w:spacing w:after="120" w:line="360" w:lineRule="auto"/>
        <w:ind w:left="360" w:hanging="360"/>
        <w:jc w:val="both"/>
      </w:pPr>
      <w:r>
        <w:lastRenderedPageBreak/>
        <w:t xml:space="preserve">Hamed, M. M., Khalafallah, M. G., &amp; Hassanien, E. A. (2004). Prediction of wastewater treatment plant performance using artificial neural networks. </w:t>
      </w:r>
      <w:r>
        <w:rPr>
          <w:i/>
        </w:rPr>
        <w:t>Environmental Modelling &amp; Software, 19(10)</w:t>
      </w:r>
      <w:r>
        <w:t>, 919–928. https://doi.org/10.1016/j.envsoft.2003.10.005</w:t>
      </w:r>
    </w:p>
    <w:p w14:paraId="1B5A6EA9" w14:textId="1B613B65" w:rsidR="005C4BF0" w:rsidRPr="00137D90" w:rsidRDefault="00000000" w:rsidP="00A71902">
      <w:pPr>
        <w:numPr>
          <w:ilvl w:val="0"/>
          <w:numId w:val="3"/>
        </w:numPr>
        <w:spacing w:after="120" w:line="360" w:lineRule="auto"/>
        <w:ind w:left="360" w:hanging="360"/>
        <w:jc w:val="both"/>
      </w:pPr>
      <w:r>
        <w:t xml:space="preserve">Corominas, L., Foley, J., Guest, J. S., Hospido, A., Larsen, H. F., Morera, S., et al. (2013). Life cycle assessment applied to wastewater treatment: state of the art. </w:t>
      </w:r>
      <w:r>
        <w:rPr>
          <w:i/>
        </w:rPr>
        <w:t>Water Research, 47(15)</w:t>
      </w:r>
      <w:r>
        <w:t>, 5480–5492. https://doi.org/10.1016/j.watres.2013.06.049</w:t>
      </w:r>
    </w:p>
    <w:p w14:paraId="775403D6" w14:textId="1483CE37" w:rsidR="005C4BF0" w:rsidRPr="00137D90" w:rsidRDefault="00000000" w:rsidP="00A71902">
      <w:pPr>
        <w:numPr>
          <w:ilvl w:val="0"/>
          <w:numId w:val="3"/>
        </w:numPr>
        <w:spacing w:after="120" w:line="360" w:lineRule="auto"/>
        <w:ind w:left="360" w:hanging="360"/>
        <w:jc w:val="both"/>
      </w:pPr>
      <w:r>
        <w:t xml:space="preserve">Guest, J. S., Skerlos, S. J., Barnard, J. L., Beck, M. B., Daigger, G. T., &amp; Hilger, H. (2009). A new planning and design paradigm to achieve sustainable resource recovery from wastewater. Environmental </w:t>
      </w:r>
      <w:r>
        <w:rPr>
          <w:i/>
        </w:rPr>
        <w:t>Science, 43(16)</w:t>
      </w:r>
      <w:r>
        <w:t>, 6126–6130. https://doi.org/10.1021/es9010515</w:t>
      </w:r>
    </w:p>
    <w:sectPr w:rsidR="005C4BF0" w:rsidRPr="00137D9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60D0E" w14:textId="77777777" w:rsidR="00F32CD1" w:rsidRDefault="00F32CD1">
      <w:r>
        <w:separator/>
      </w:r>
    </w:p>
  </w:endnote>
  <w:endnote w:type="continuationSeparator" w:id="0">
    <w:p w14:paraId="6265D402" w14:textId="77777777" w:rsidR="00F32CD1" w:rsidRDefault="00F32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DD520" w14:textId="77777777" w:rsidR="0058005B" w:rsidRDefault="005800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1A1C6" w14:textId="77777777" w:rsidR="005C4BF0" w:rsidRDefault="00000000">
    <w:pPr>
      <w:jc w:val="center"/>
    </w:pPr>
    <w:r>
      <w:rPr>
        <w:sz w:val="20"/>
        <w:szCs w:val="20"/>
      </w:rPr>
      <w:fldChar w:fldCharType="begin"/>
    </w:r>
    <w:r>
      <w:rPr>
        <w:sz w:val="20"/>
        <w:szCs w:val="20"/>
      </w:rPr>
      <w:instrText>PAGE</w:instrText>
    </w:r>
    <w:r>
      <w:rPr>
        <w:sz w:val="20"/>
        <w:szCs w:val="20"/>
      </w:rPr>
      <w:fldChar w:fldCharType="separate"/>
    </w:r>
    <w:r w:rsidR="00123487">
      <w:rPr>
        <w:noProof/>
        <w:sz w:val="20"/>
        <w:szCs w:val="20"/>
      </w:rPr>
      <w:t>1</w:t>
    </w:r>
    <w:r>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52DF9" w14:textId="77777777" w:rsidR="0058005B" w:rsidRDefault="005800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74237" w14:textId="77777777" w:rsidR="00F32CD1" w:rsidRDefault="00F32CD1">
      <w:r>
        <w:separator/>
      </w:r>
    </w:p>
  </w:footnote>
  <w:footnote w:type="continuationSeparator" w:id="0">
    <w:p w14:paraId="49596D7B" w14:textId="77777777" w:rsidR="00F32CD1" w:rsidRDefault="00F32C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AAD41" w14:textId="76D7FF3C" w:rsidR="0058005B" w:rsidRDefault="00000000">
    <w:pPr>
      <w:pStyle w:val="Header"/>
    </w:pPr>
    <w:r>
      <w:rPr>
        <w:noProof/>
      </w:rPr>
      <w:pict w14:anchorId="7519B8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7709719"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CDC74" w14:textId="28896216" w:rsidR="0058005B" w:rsidRDefault="00000000">
    <w:pPr>
      <w:pStyle w:val="Header"/>
    </w:pPr>
    <w:r>
      <w:rPr>
        <w:noProof/>
      </w:rPr>
      <w:pict w14:anchorId="7FEFAB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7709720"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23143" w14:textId="1ED4E1F5" w:rsidR="0058005B" w:rsidRDefault="00000000">
    <w:pPr>
      <w:pStyle w:val="Header"/>
    </w:pPr>
    <w:r>
      <w:rPr>
        <w:noProof/>
      </w:rPr>
      <w:pict w14:anchorId="3579DB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7709718"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16644"/>
    <w:multiLevelType w:val="hybridMultilevel"/>
    <w:tmpl w:val="0C2C4C9A"/>
    <w:lvl w:ilvl="0" w:tplc="33F47702">
      <w:start w:val="1"/>
      <w:numFmt w:val="bullet"/>
      <w:lvlText w:val="•"/>
      <w:lvlJc w:val="left"/>
      <w:pPr>
        <w:ind w:left="504" w:hanging="288"/>
      </w:pPr>
    </w:lvl>
    <w:lvl w:ilvl="1" w:tplc="2244E8C8">
      <w:numFmt w:val="decimal"/>
      <w:lvlText w:val=""/>
      <w:lvlJc w:val="left"/>
    </w:lvl>
    <w:lvl w:ilvl="2" w:tplc="DBD873CC">
      <w:numFmt w:val="decimal"/>
      <w:lvlText w:val=""/>
      <w:lvlJc w:val="left"/>
    </w:lvl>
    <w:lvl w:ilvl="3" w:tplc="D4A2D1EC">
      <w:numFmt w:val="decimal"/>
      <w:lvlText w:val=""/>
      <w:lvlJc w:val="left"/>
    </w:lvl>
    <w:lvl w:ilvl="4" w:tplc="E82A3870">
      <w:numFmt w:val="decimal"/>
      <w:lvlText w:val=""/>
      <w:lvlJc w:val="left"/>
    </w:lvl>
    <w:lvl w:ilvl="5" w:tplc="84D0C8DC">
      <w:numFmt w:val="decimal"/>
      <w:lvlText w:val=""/>
      <w:lvlJc w:val="left"/>
    </w:lvl>
    <w:lvl w:ilvl="6" w:tplc="30C8BD14">
      <w:numFmt w:val="decimal"/>
      <w:lvlText w:val=""/>
      <w:lvlJc w:val="left"/>
    </w:lvl>
    <w:lvl w:ilvl="7" w:tplc="1B366BD4">
      <w:numFmt w:val="decimal"/>
      <w:lvlText w:val=""/>
      <w:lvlJc w:val="left"/>
    </w:lvl>
    <w:lvl w:ilvl="8" w:tplc="3C701EFC">
      <w:numFmt w:val="decimal"/>
      <w:lvlText w:val=""/>
      <w:lvlJc w:val="left"/>
    </w:lvl>
  </w:abstractNum>
  <w:abstractNum w:abstractNumId="1" w15:restartNumberingAfterBreak="0">
    <w:nsid w:val="2C004325"/>
    <w:multiLevelType w:val="hybridMultilevel"/>
    <w:tmpl w:val="36E0A09E"/>
    <w:lvl w:ilvl="0" w:tplc="5668409A">
      <w:start w:val="1"/>
      <w:numFmt w:val="bullet"/>
      <w:lvlText w:val="●"/>
      <w:lvlJc w:val="left"/>
      <w:pPr>
        <w:ind w:left="720" w:hanging="360"/>
      </w:pPr>
    </w:lvl>
    <w:lvl w:ilvl="1" w:tplc="AFFCF722">
      <w:start w:val="1"/>
      <w:numFmt w:val="bullet"/>
      <w:lvlText w:val="○"/>
      <w:lvlJc w:val="left"/>
      <w:pPr>
        <w:ind w:left="1440" w:hanging="360"/>
      </w:pPr>
    </w:lvl>
    <w:lvl w:ilvl="2" w:tplc="9BE8A970">
      <w:start w:val="1"/>
      <w:numFmt w:val="bullet"/>
      <w:lvlText w:val="■"/>
      <w:lvlJc w:val="left"/>
      <w:pPr>
        <w:ind w:left="2160" w:hanging="360"/>
      </w:pPr>
    </w:lvl>
    <w:lvl w:ilvl="3" w:tplc="A29A7776">
      <w:start w:val="1"/>
      <w:numFmt w:val="bullet"/>
      <w:lvlText w:val="●"/>
      <w:lvlJc w:val="left"/>
      <w:pPr>
        <w:ind w:left="2880" w:hanging="360"/>
      </w:pPr>
    </w:lvl>
    <w:lvl w:ilvl="4" w:tplc="883A7A8E">
      <w:start w:val="1"/>
      <w:numFmt w:val="bullet"/>
      <w:lvlText w:val="○"/>
      <w:lvlJc w:val="left"/>
      <w:pPr>
        <w:ind w:left="3600" w:hanging="360"/>
      </w:pPr>
    </w:lvl>
    <w:lvl w:ilvl="5" w:tplc="FE0CC494">
      <w:start w:val="1"/>
      <w:numFmt w:val="bullet"/>
      <w:lvlText w:val="■"/>
      <w:lvlJc w:val="left"/>
      <w:pPr>
        <w:ind w:left="4320" w:hanging="360"/>
      </w:pPr>
    </w:lvl>
    <w:lvl w:ilvl="6" w:tplc="DC1A760E">
      <w:start w:val="1"/>
      <w:numFmt w:val="bullet"/>
      <w:lvlText w:val="●"/>
      <w:lvlJc w:val="left"/>
      <w:pPr>
        <w:ind w:left="5040" w:hanging="360"/>
      </w:pPr>
    </w:lvl>
    <w:lvl w:ilvl="7" w:tplc="7C7E7098">
      <w:start w:val="1"/>
      <w:numFmt w:val="bullet"/>
      <w:lvlText w:val="●"/>
      <w:lvlJc w:val="left"/>
      <w:pPr>
        <w:ind w:left="5760" w:hanging="360"/>
      </w:pPr>
    </w:lvl>
    <w:lvl w:ilvl="8" w:tplc="EB58170C">
      <w:start w:val="1"/>
      <w:numFmt w:val="bullet"/>
      <w:lvlText w:val="●"/>
      <w:lvlJc w:val="left"/>
      <w:pPr>
        <w:ind w:left="6480" w:hanging="360"/>
      </w:pPr>
    </w:lvl>
  </w:abstractNum>
  <w:abstractNum w:abstractNumId="2" w15:restartNumberingAfterBreak="0">
    <w:nsid w:val="30FB3F58"/>
    <w:multiLevelType w:val="hybridMultilevel"/>
    <w:tmpl w:val="8F48210A"/>
    <w:lvl w:ilvl="0" w:tplc="01BA8FB0">
      <w:start w:val="1"/>
      <w:numFmt w:val="decimal"/>
      <w:lvlText w:val="%1."/>
      <w:lvlJc w:val="left"/>
      <w:pPr>
        <w:ind w:left="576" w:hanging="403"/>
      </w:pPr>
    </w:lvl>
    <w:lvl w:ilvl="1" w:tplc="F61401B6">
      <w:numFmt w:val="decimal"/>
      <w:lvlText w:val=""/>
      <w:lvlJc w:val="left"/>
    </w:lvl>
    <w:lvl w:ilvl="2" w:tplc="E93A02B6">
      <w:numFmt w:val="decimal"/>
      <w:lvlText w:val=""/>
      <w:lvlJc w:val="left"/>
    </w:lvl>
    <w:lvl w:ilvl="3" w:tplc="40566EB2">
      <w:numFmt w:val="decimal"/>
      <w:lvlText w:val=""/>
      <w:lvlJc w:val="left"/>
    </w:lvl>
    <w:lvl w:ilvl="4" w:tplc="3640812E">
      <w:numFmt w:val="decimal"/>
      <w:lvlText w:val=""/>
      <w:lvlJc w:val="left"/>
    </w:lvl>
    <w:lvl w:ilvl="5" w:tplc="51E8C996">
      <w:numFmt w:val="decimal"/>
      <w:lvlText w:val=""/>
      <w:lvlJc w:val="left"/>
    </w:lvl>
    <w:lvl w:ilvl="6" w:tplc="26CEF0BC">
      <w:numFmt w:val="decimal"/>
      <w:lvlText w:val=""/>
      <w:lvlJc w:val="left"/>
    </w:lvl>
    <w:lvl w:ilvl="7" w:tplc="247C1FE2">
      <w:numFmt w:val="decimal"/>
      <w:lvlText w:val=""/>
      <w:lvlJc w:val="left"/>
    </w:lvl>
    <w:lvl w:ilvl="8" w:tplc="7F208DA2">
      <w:numFmt w:val="decimal"/>
      <w:lvlText w:val=""/>
      <w:lvlJc w:val="left"/>
    </w:lvl>
  </w:abstractNum>
  <w:num w:numId="1" w16cid:durableId="285701935">
    <w:abstractNumId w:val="1"/>
    <w:lvlOverride w:ilvl="0">
      <w:startOverride w:val="1"/>
    </w:lvlOverride>
  </w:num>
  <w:num w:numId="2" w16cid:durableId="453715993">
    <w:abstractNumId w:val="0"/>
    <w:lvlOverride w:ilvl="0">
      <w:startOverride w:val="1"/>
    </w:lvlOverride>
  </w:num>
  <w:num w:numId="3" w16cid:durableId="1684630091">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4BF0"/>
    <w:rsid w:val="000054D7"/>
    <w:rsid w:val="00006B85"/>
    <w:rsid w:val="000247D0"/>
    <w:rsid w:val="00036E1F"/>
    <w:rsid w:val="00053921"/>
    <w:rsid w:val="0005670E"/>
    <w:rsid w:val="00057613"/>
    <w:rsid w:val="000619D1"/>
    <w:rsid w:val="000674F7"/>
    <w:rsid w:val="00067E93"/>
    <w:rsid w:val="0008428D"/>
    <w:rsid w:val="000915ED"/>
    <w:rsid w:val="0009613E"/>
    <w:rsid w:val="000A58CE"/>
    <w:rsid w:val="000A5F6F"/>
    <w:rsid w:val="00116576"/>
    <w:rsid w:val="00123487"/>
    <w:rsid w:val="00123840"/>
    <w:rsid w:val="00137D90"/>
    <w:rsid w:val="00150D68"/>
    <w:rsid w:val="0017783F"/>
    <w:rsid w:val="00183081"/>
    <w:rsid w:val="00187F1F"/>
    <w:rsid w:val="001C34C5"/>
    <w:rsid w:val="001E382A"/>
    <w:rsid w:val="001E579D"/>
    <w:rsid w:val="00225DB9"/>
    <w:rsid w:val="0022622C"/>
    <w:rsid w:val="002349A9"/>
    <w:rsid w:val="00235201"/>
    <w:rsid w:val="0024102D"/>
    <w:rsid w:val="0024222E"/>
    <w:rsid w:val="00261B8C"/>
    <w:rsid w:val="002700D6"/>
    <w:rsid w:val="0028481A"/>
    <w:rsid w:val="00287ABB"/>
    <w:rsid w:val="002A1F1C"/>
    <w:rsid w:val="002D7E7F"/>
    <w:rsid w:val="002E40A8"/>
    <w:rsid w:val="002F04EE"/>
    <w:rsid w:val="002F0D56"/>
    <w:rsid w:val="00313275"/>
    <w:rsid w:val="00320DCF"/>
    <w:rsid w:val="003333CA"/>
    <w:rsid w:val="00394689"/>
    <w:rsid w:val="003C4AED"/>
    <w:rsid w:val="003C7A95"/>
    <w:rsid w:val="003D396D"/>
    <w:rsid w:val="003D43F4"/>
    <w:rsid w:val="003D7471"/>
    <w:rsid w:val="003E7019"/>
    <w:rsid w:val="0040161B"/>
    <w:rsid w:val="00402CC5"/>
    <w:rsid w:val="00422826"/>
    <w:rsid w:val="00434766"/>
    <w:rsid w:val="00442C1D"/>
    <w:rsid w:val="004621DD"/>
    <w:rsid w:val="00470E1A"/>
    <w:rsid w:val="00474596"/>
    <w:rsid w:val="004836B6"/>
    <w:rsid w:val="004C42D2"/>
    <w:rsid w:val="004E2C69"/>
    <w:rsid w:val="00505D94"/>
    <w:rsid w:val="00515E58"/>
    <w:rsid w:val="00515EBD"/>
    <w:rsid w:val="00523262"/>
    <w:rsid w:val="00532809"/>
    <w:rsid w:val="0053622B"/>
    <w:rsid w:val="00547F20"/>
    <w:rsid w:val="00551D33"/>
    <w:rsid w:val="005728DD"/>
    <w:rsid w:val="0058005B"/>
    <w:rsid w:val="00587365"/>
    <w:rsid w:val="005912A3"/>
    <w:rsid w:val="005B5D1D"/>
    <w:rsid w:val="005C2E3C"/>
    <w:rsid w:val="005C4BF0"/>
    <w:rsid w:val="005D73E0"/>
    <w:rsid w:val="005F0295"/>
    <w:rsid w:val="006055ED"/>
    <w:rsid w:val="0062099F"/>
    <w:rsid w:val="00622FAE"/>
    <w:rsid w:val="006508B4"/>
    <w:rsid w:val="00652BE0"/>
    <w:rsid w:val="00684CC4"/>
    <w:rsid w:val="006C2EC3"/>
    <w:rsid w:val="006C4491"/>
    <w:rsid w:val="006F5D8B"/>
    <w:rsid w:val="00701422"/>
    <w:rsid w:val="0070328B"/>
    <w:rsid w:val="007222B4"/>
    <w:rsid w:val="00731292"/>
    <w:rsid w:val="00735B4F"/>
    <w:rsid w:val="007363EF"/>
    <w:rsid w:val="00752888"/>
    <w:rsid w:val="00760C21"/>
    <w:rsid w:val="007632BE"/>
    <w:rsid w:val="00770562"/>
    <w:rsid w:val="00775107"/>
    <w:rsid w:val="007E3D61"/>
    <w:rsid w:val="007F1631"/>
    <w:rsid w:val="007F7B62"/>
    <w:rsid w:val="008354D3"/>
    <w:rsid w:val="00841015"/>
    <w:rsid w:val="00841484"/>
    <w:rsid w:val="008421FC"/>
    <w:rsid w:val="00863831"/>
    <w:rsid w:val="00863A36"/>
    <w:rsid w:val="00884416"/>
    <w:rsid w:val="00892F75"/>
    <w:rsid w:val="00895D01"/>
    <w:rsid w:val="008A4592"/>
    <w:rsid w:val="008B549D"/>
    <w:rsid w:val="008B595C"/>
    <w:rsid w:val="008C6924"/>
    <w:rsid w:val="008E1309"/>
    <w:rsid w:val="0092545E"/>
    <w:rsid w:val="009429D4"/>
    <w:rsid w:val="00945C2F"/>
    <w:rsid w:val="00961804"/>
    <w:rsid w:val="00980EF1"/>
    <w:rsid w:val="0098362C"/>
    <w:rsid w:val="00983B51"/>
    <w:rsid w:val="00994704"/>
    <w:rsid w:val="009A0AB9"/>
    <w:rsid w:val="009B150A"/>
    <w:rsid w:val="009D1DA2"/>
    <w:rsid w:val="009E5BBC"/>
    <w:rsid w:val="00A162D7"/>
    <w:rsid w:val="00A2688A"/>
    <w:rsid w:val="00A614D0"/>
    <w:rsid w:val="00A62998"/>
    <w:rsid w:val="00A71902"/>
    <w:rsid w:val="00A8123E"/>
    <w:rsid w:val="00A90C2F"/>
    <w:rsid w:val="00A9393A"/>
    <w:rsid w:val="00AB2AA3"/>
    <w:rsid w:val="00AC2C06"/>
    <w:rsid w:val="00AD403F"/>
    <w:rsid w:val="00AF2CFF"/>
    <w:rsid w:val="00B405FA"/>
    <w:rsid w:val="00B54648"/>
    <w:rsid w:val="00B65EBE"/>
    <w:rsid w:val="00B7766E"/>
    <w:rsid w:val="00B82815"/>
    <w:rsid w:val="00B91532"/>
    <w:rsid w:val="00B930B1"/>
    <w:rsid w:val="00BC6C91"/>
    <w:rsid w:val="00BD66C9"/>
    <w:rsid w:val="00BE4EBA"/>
    <w:rsid w:val="00C1155A"/>
    <w:rsid w:val="00C156A8"/>
    <w:rsid w:val="00C156B0"/>
    <w:rsid w:val="00C17C80"/>
    <w:rsid w:val="00C2210F"/>
    <w:rsid w:val="00C25D9E"/>
    <w:rsid w:val="00C26CA4"/>
    <w:rsid w:val="00C50139"/>
    <w:rsid w:val="00C73FC8"/>
    <w:rsid w:val="00C7714A"/>
    <w:rsid w:val="00C85EE4"/>
    <w:rsid w:val="00C946FD"/>
    <w:rsid w:val="00CB2A26"/>
    <w:rsid w:val="00CB71D2"/>
    <w:rsid w:val="00CF056C"/>
    <w:rsid w:val="00CF51FB"/>
    <w:rsid w:val="00D047F8"/>
    <w:rsid w:val="00D04FD3"/>
    <w:rsid w:val="00D24C48"/>
    <w:rsid w:val="00D30CA6"/>
    <w:rsid w:val="00D35673"/>
    <w:rsid w:val="00D477D4"/>
    <w:rsid w:val="00D63189"/>
    <w:rsid w:val="00D6771D"/>
    <w:rsid w:val="00D922CC"/>
    <w:rsid w:val="00DA0AD5"/>
    <w:rsid w:val="00DA5F86"/>
    <w:rsid w:val="00DB45E9"/>
    <w:rsid w:val="00DE1332"/>
    <w:rsid w:val="00DE7214"/>
    <w:rsid w:val="00DF2CA9"/>
    <w:rsid w:val="00E06206"/>
    <w:rsid w:val="00E127BE"/>
    <w:rsid w:val="00E24CC7"/>
    <w:rsid w:val="00E4562A"/>
    <w:rsid w:val="00E4778F"/>
    <w:rsid w:val="00E5677E"/>
    <w:rsid w:val="00E902E7"/>
    <w:rsid w:val="00EA560B"/>
    <w:rsid w:val="00EC798F"/>
    <w:rsid w:val="00EC7EC7"/>
    <w:rsid w:val="00ED314C"/>
    <w:rsid w:val="00F11B74"/>
    <w:rsid w:val="00F24B42"/>
    <w:rsid w:val="00F32CD1"/>
    <w:rsid w:val="00F5214D"/>
    <w:rsid w:val="00F5451C"/>
    <w:rsid w:val="00F577AF"/>
    <w:rsid w:val="00F57AF5"/>
    <w:rsid w:val="00F57F97"/>
    <w:rsid w:val="00F62F89"/>
    <w:rsid w:val="00F64E52"/>
    <w:rsid w:val="00F76839"/>
    <w:rsid w:val="00F77767"/>
    <w:rsid w:val="00FA6078"/>
    <w:rsid w:val="00FB0F51"/>
    <w:rsid w:val="00FC34E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1F6A43"/>
  <w15:docId w15:val="{1340E0D9-6DC4-4D4F-887B-A9DB11607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000000"/>
      <w:sz w:val="26"/>
      <w:szCs w:val="26"/>
    </w:rPr>
  </w:style>
  <w:style w:type="paragraph" w:styleId="Heading2">
    <w:name w:val="heading 2"/>
    <w:uiPriority w:val="9"/>
    <w:unhideWhenUsed/>
    <w:qFormat/>
    <w:pPr>
      <w:outlineLvl w:val="1"/>
    </w:pPr>
    <w:rPr>
      <w:b/>
      <w:bCs/>
      <w:color w:val="000000"/>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8C6924"/>
    <w:rPr>
      <w:color w:val="605E5C"/>
      <w:shd w:val="clear" w:color="auto" w:fill="E1DFDD"/>
    </w:rPr>
  </w:style>
  <w:style w:type="paragraph" w:styleId="Header">
    <w:name w:val="header"/>
    <w:basedOn w:val="Normal"/>
    <w:link w:val="HeaderChar"/>
    <w:uiPriority w:val="99"/>
    <w:unhideWhenUsed/>
    <w:rsid w:val="0058005B"/>
    <w:pPr>
      <w:tabs>
        <w:tab w:val="center" w:pos="4680"/>
        <w:tab w:val="right" w:pos="9360"/>
      </w:tabs>
    </w:pPr>
  </w:style>
  <w:style w:type="character" w:customStyle="1" w:styleId="HeaderChar">
    <w:name w:val="Header Char"/>
    <w:basedOn w:val="DefaultParagraphFont"/>
    <w:link w:val="Header"/>
    <w:uiPriority w:val="99"/>
    <w:rsid w:val="0058005B"/>
  </w:style>
  <w:style w:type="paragraph" w:styleId="Footer">
    <w:name w:val="footer"/>
    <w:basedOn w:val="Normal"/>
    <w:link w:val="FooterChar"/>
    <w:uiPriority w:val="99"/>
    <w:unhideWhenUsed/>
    <w:rsid w:val="0058005B"/>
    <w:pPr>
      <w:tabs>
        <w:tab w:val="center" w:pos="4680"/>
        <w:tab w:val="right" w:pos="9360"/>
      </w:tabs>
    </w:pPr>
  </w:style>
  <w:style w:type="character" w:customStyle="1" w:styleId="FooterChar">
    <w:name w:val="Footer Char"/>
    <w:basedOn w:val="DefaultParagraphFont"/>
    <w:link w:val="Footer"/>
    <w:uiPriority w:val="99"/>
    <w:rsid w:val="005800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242</TotalTime>
  <Pages>27</Pages>
  <Words>8512</Words>
  <Characters>48524</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1159</cp:lastModifiedBy>
  <cp:revision>190</cp:revision>
  <dcterms:created xsi:type="dcterms:W3CDTF">2026-09-21T04:54:00Z</dcterms:created>
  <dcterms:modified xsi:type="dcterms:W3CDTF">2026-09-25T12:19:00Z</dcterms:modified>
</cp:coreProperties>
</file>